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7F4" w:rsidRPr="00BA1A3E" w:rsidRDefault="009117F4" w:rsidP="0072158B">
      <w:pPr>
        <w:jc w:val="center"/>
        <w:rPr>
          <w:sz w:val="28"/>
          <w:lang w:eastAsia="en-US"/>
        </w:rPr>
      </w:pPr>
      <w:r w:rsidRPr="00BA1A3E">
        <w:rPr>
          <w:sz w:val="28"/>
          <w:lang w:eastAsia="en-US"/>
        </w:rPr>
        <w:t>Ministru kabineta noteikumu projekta</w:t>
      </w:r>
      <w:r w:rsidR="00643FD1" w:rsidRPr="00BA1A3E">
        <w:rPr>
          <w:sz w:val="28"/>
          <w:lang w:eastAsia="en-US"/>
        </w:rPr>
        <w:t xml:space="preserve"> </w:t>
      </w:r>
      <w:r w:rsidR="00643FD1" w:rsidRPr="00BA1A3E">
        <w:rPr>
          <w:b/>
          <w:sz w:val="28"/>
          <w:lang w:eastAsia="en-US"/>
        </w:rPr>
        <w:t xml:space="preserve">„Grozījumi Ministru kabineta 2015. gada 7. aprīļa noteikumos Nr. 171 </w:t>
      </w:r>
      <w:r w:rsidR="00032CCB" w:rsidRPr="00BA1A3E">
        <w:rPr>
          <w:sz w:val="28"/>
          <w:lang w:eastAsia="en-US"/>
        </w:rPr>
        <w:t>„</w:t>
      </w:r>
      <w:r w:rsidR="00227150" w:rsidRPr="00BA1A3E">
        <w:rPr>
          <w:rStyle w:val="Izteiksmgs"/>
          <w:bCs w:val="0"/>
          <w:sz w:val="28"/>
        </w:rPr>
        <w:t xml:space="preserve">Noteikumi par valsts un Eiropas Savienības atbalsta piešķiršanu, administrēšanu un uzraudzību </w:t>
      </w:r>
      <w:r w:rsidR="00227150" w:rsidRPr="00BA1A3E">
        <w:rPr>
          <w:rStyle w:val="Izteiksmgs"/>
          <w:sz w:val="28"/>
        </w:rPr>
        <w:t xml:space="preserve">vides, klimata un lauku ainavas uzlabošanai </w:t>
      </w:r>
      <w:r w:rsidR="00227150" w:rsidRPr="00BA1A3E">
        <w:rPr>
          <w:rStyle w:val="Izteiksmgs"/>
          <w:bCs w:val="0"/>
          <w:sz w:val="28"/>
        </w:rPr>
        <w:t>2014.</w:t>
      </w:r>
      <w:r w:rsidR="00A73BFF" w:rsidRPr="00BA1A3E">
        <w:rPr>
          <w:rStyle w:val="Izteiksmgs"/>
          <w:bCs w:val="0"/>
          <w:sz w:val="28"/>
        </w:rPr>
        <w:t>–</w:t>
      </w:r>
      <w:r w:rsidR="00227150" w:rsidRPr="00BA1A3E">
        <w:rPr>
          <w:rStyle w:val="Izteiksmgs"/>
          <w:bCs w:val="0"/>
          <w:sz w:val="28"/>
        </w:rPr>
        <w:t>2020.</w:t>
      </w:r>
      <w:r w:rsidR="00A73BFF" w:rsidRPr="00BA1A3E">
        <w:rPr>
          <w:rStyle w:val="Izteiksmgs"/>
          <w:bCs w:val="0"/>
          <w:sz w:val="28"/>
        </w:rPr>
        <w:t> </w:t>
      </w:r>
      <w:r w:rsidR="00227150" w:rsidRPr="00BA1A3E">
        <w:rPr>
          <w:rStyle w:val="Izteiksmgs"/>
          <w:bCs w:val="0"/>
          <w:sz w:val="28"/>
        </w:rPr>
        <w:t>gada plānošanas periodā</w:t>
      </w:r>
      <w:r w:rsidRPr="00BA1A3E">
        <w:rPr>
          <w:b/>
          <w:sz w:val="28"/>
          <w:lang w:eastAsia="en-US"/>
        </w:rPr>
        <w:t>”</w:t>
      </w:r>
      <w:r w:rsidR="00A73BFF" w:rsidRPr="00BA1A3E">
        <w:rPr>
          <w:b/>
          <w:sz w:val="28"/>
          <w:lang w:eastAsia="en-US"/>
        </w:rPr>
        <w:t>”</w:t>
      </w:r>
      <w:r w:rsidRPr="00BA1A3E">
        <w:rPr>
          <w:sz w:val="28"/>
          <w:lang w:eastAsia="en-US"/>
        </w:rPr>
        <w:t xml:space="preserve"> sākotnējās ietekmes novērtējuma </w:t>
      </w:r>
      <w:smartTag w:uri="schemas-tilde-lv/tildestengine" w:element="veidnes">
        <w:smartTagPr>
          <w:attr w:name="id" w:val="-1"/>
          <w:attr w:name="baseform" w:val="ziņojums"/>
          <w:attr w:name="text" w:val="ziņojums"/>
        </w:smartTagPr>
        <w:r w:rsidRPr="00BA1A3E">
          <w:rPr>
            <w:sz w:val="28"/>
            <w:lang w:eastAsia="en-US"/>
          </w:rPr>
          <w:t>ziņojums</w:t>
        </w:r>
      </w:smartTag>
      <w:r w:rsidRPr="00BA1A3E">
        <w:rPr>
          <w:sz w:val="28"/>
          <w:lang w:eastAsia="en-US"/>
        </w:rPr>
        <w:t xml:space="preserve"> </w:t>
      </w:r>
      <w:proofErr w:type="gramStart"/>
      <w:r w:rsidRPr="00BA1A3E">
        <w:rPr>
          <w:sz w:val="28"/>
          <w:lang w:eastAsia="en-US"/>
        </w:rPr>
        <w:t>(</w:t>
      </w:r>
      <w:proofErr w:type="gramEnd"/>
      <w:r w:rsidRPr="00BA1A3E">
        <w:rPr>
          <w:sz w:val="28"/>
          <w:lang w:eastAsia="en-US"/>
        </w:rPr>
        <w:t>anotācija)</w:t>
      </w:r>
    </w:p>
    <w:p w:rsidR="00945B51" w:rsidRPr="002A7678" w:rsidRDefault="00945B51" w:rsidP="00227150">
      <w:pPr>
        <w:jc w:val="center"/>
        <w:rPr>
          <w:bCs/>
          <w:szCs w:val="28"/>
        </w:rPr>
      </w:pPr>
    </w:p>
    <w:p w:rsidR="009117F4" w:rsidRPr="002A7678" w:rsidRDefault="009117F4" w:rsidP="006B42E1">
      <w:pPr>
        <w:ind w:firstLine="301"/>
        <w:rPr>
          <w:sz w:val="8"/>
        </w:rPr>
      </w:pPr>
      <w:r w:rsidRPr="002A7678">
        <w:rPr>
          <w:sz w:val="8"/>
        </w:rPr>
        <w:t> </w:t>
      </w:r>
    </w:p>
    <w:tbl>
      <w:tblPr>
        <w:tblW w:w="961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
        <w:gridCol w:w="1613"/>
        <w:gridCol w:w="7129"/>
      </w:tblGrid>
      <w:tr w:rsidR="009117F4" w:rsidRPr="005F2CAC" w:rsidTr="008D4EEA">
        <w:trPr>
          <w:trHeight w:val="147"/>
        </w:trPr>
        <w:tc>
          <w:tcPr>
            <w:tcW w:w="9614" w:type="dxa"/>
            <w:gridSpan w:val="3"/>
          </w:tcPr>
          <w:p w:rsidR="009117F4" w:rsidRPr="005F2CAC" w:rsidRDefault="009117F4" w:rsidP="00E06138">
            <w:pPr>
              <w:jc w:val="center"/>
            </w:pPr>
            <w:r w:rsidRPr="005F2CAC">
              <w:rPr>
                <w:b/>
                <w:bCs/>
              </w:rPr>
              <w:t>I. Tiesību akta projekta izstrādes nepieciešamība</w:t>
            </w:r>
          </w:p>
        </w:tc>
      </w:tr>
      <w:tr w:rsidR="009117F4" w:rsidRPr="005F2CAC" w:rsidTr="008D4EEA">
        <w:trPr>
          <w:trHeight w:val="147"/>
        </w:trPr>
        <w:tc>
          <w:tcPr>
            <w:tcW w:w="872" w:type="dxa"/>
          </w:tcPr>
          <w:p w:rsidR="009117F4" w:rsidRPr="005F2CAC" w:rsidRDefault="009117F4" w:rsidP="00E06138">
            <w:pPr>
              <w:spacing w:before="100" w:beforeAutospacing="1" w:after="100" w:afterAutospacing="1" w:line="360" w:lineRule="auto"/>
              <w:ind w:firstLine="19"/>
              <w:jc w:val="both"/>
            </w:pPr>
            <w:r w:rsidRPr="005F2CAC">
              <w:t>1.</w:t>
            </w:r>
          </w:p>
        </w:tc>
        <w:tc>
          <w:tcPr>
            <w:tcW w:w="1613" w:type="dxa"/>
          </w:tcPr>
          <w:p w:rsidR="009117F4" w:rsidRPr="005F2CAC" w:rsidRDefault="009117F4" w:rsidP="00E06138">
            <w:r w:rsidRPr="005F2CAC">
              <w:t>Pamatojums</w:t>
            </w:r>
          </w:p>
        </w:tc>
        <w:tc>
          <w:tcPr>
            <w:tcW w:w="7129" w:type="dxa"/>
          </w:tcPr>
          <w:p w:rsidR="00131E94" w:rsidRPr="005F2CAC" w:rsidRDefault="007C5B5D" w:rsidP="00131E94">
            <w:pPr>
              <w:autoSpaceDE w:val="0"/>
              <w:autoSpaceDN w:val="0"/>
              <w:adjustRightInd w:val="0"/>
              <w:jc w:val="both"/>
            </w:pPr>
            <w:r w:rsidRPr="005F2CAC">
              <w:t>Noteikumu projekts sagatavots, pamatojoties uz Lauksaimniecības un lauku attīstības likuma 5.panta ceturto un septīto daļu</w:t>
            </w:r>
            <w:r w:rsidR="005E6328" w:rsidRPr="005F2CAC">
              <w:t>.</w:t>
            </w:r>
          </w:p>
        </w:tc>
      </w:tr>
      <w:tr w:rsidR="009117F4" w:rsidRPr="00D30FB2" w:rsidTr="008D4EEA">
        <w:trPr>
          <w:trHeight w:val="147"/>
        </w:trPr>
        <w:tc>
          <w:tcPr>
            <w:tcW w:w="872" w:type="dxa"/>
          </w:tcPr>
          <w:p w:rsidR="009117F4" w:rsidRPr="005F2CAC" w:rsidRDefault="009117F4" w:rsidP="00E06138">
            <w:pPr>
              <w:spacing w:before="100" w:beforeAutospacing="1" w:after="100" w:afterAutospacing="1" w:line="360" w:lineRule="auto"/>
              <w:ind w:firstLine="19"/>
              <w:jc w:val="both"/>
            </w:pPr>
            <w:r w:rsidRPr="005F2CAC">
              <w:t>2.</w:t>
            </w:r>
          </w:p>
        </w:tc>
        <w:tc>
          <w:tcPr>
            <w:tcW w:w="1613" w:type="dxa"/>
          </w:tcPr>
          <w:p w:rsidR="009117F4" w:rsidRPr="005F2CAC" w:rsidRDefault="009117F4" w:rsidP="00E06138">
            <w:r w:rsidRPr="005F2CAC">
              <w:t>Pašreizējā situācija un problēmas, kuru risināšanai tiesību akta projekts izstrādāts, tiesiskā regulējuma mērķis un būtība</w:t>
            </w:r>
          </w:p>
        </w:tc>
        <w:tc>
          <w:tcPr>
            <w:tcW w:w="7129" w:type="dxa"/>
          </w:tcPr>
          <w:p w:rsidR="00A512E8" w:rsidRPr="009B3CCA" w:rsidRDefault="00A73BFF" w:rsidP="007B2DBD">
            <w:pPr>
              <w:spacing w:after="120"/>
              <w:jc w:val="both"/>
              <w:rPr>
                <w:b/>
                <w:lang w:eastAsia="en-US"/>
              </w:rPr>
            </w:pPr>
            <w:r>
              <w:rPr>
                <w:lang w:eastAsia="en-US"/>
              </w:rPr>
              <w:t>Patlaban</w:t>
            </w:r>
            <w:r w:rsidR="0012012A" w:rsidRPr="005F2CAC">
              <w:rPr>
                <w:lang w:eastAsia="en-US"/>
              </w:rPr>
              <w:t xml:space="preserve"> valsts un Eiropas Savienības</w:t>
            </w:r>
            <w:r w:rsidR="0036088B" w:rsidRPr="005F2CAC">
              <w:t xml:space="preserve"> atbalsta piešķiršanas kārtību lauku attīstībai – vides</w:t>
            </w:r>
            <w:r w:rsidR="000B0E4C">
              <w:t>, klimata</w:t>
            </w:r>
            <w:r w:rsidR="0036088B" w:rsidRPr="005F2CAC">
              <w:t xml:space="preserve"> un lauku ainavas uzlabošanas pasākumiem </w:t>
            </w:r>
            <w:r>
              <w:t xml:space="preserve">– </w:t>
            </w:r>
            <w:r w:rsidR="0012012A" w:rsidRPr="005F2CAC">
              <w:rPr>
                <w:lang w:eastAsia="en-US"/>
              </w:rPr>
              <w:t xml:space="preserve">nosaka </w:t>
            </w:r>
            <w:r w:rsidR="00643FD1" w:rsidRPr="00643FD1">
              <w:rPr>
                <w:lang w:eastAsia="en-US"/>
              </w:rPr>
              <w:t>Ministru kabineta 2015. gada 7. aprīļa noteikum</w:t>
            </w:r>
            <w:r>
              <w:rPr>
                <w:lang w:eastAsia="en-US"/>
              </w:rPr>
              <w:t>i</w:t>
            </w:r>
            <w:r w:rsidR="00643FD1" w:rsidRPr="00643FD1">
              <w:rPr>
                <w:lang w:eastAsia="en-US"/>
              </w:rPr>
              <w:t xml:space="preserve"> Nr. 171 </w:t>
            </w:r>
            <w:r w:rsidR="00643FD1" w:rsidRPr="00945B51">
              <w:rPr>
                <w:lang w:eastAsia="en-US"/>
              </w:rPr>
              <w:t>„</w:t>
            </w:r>
            <w:r w:rsidR="00643FD1" w:rsidRPr="00945B51">
              <w:rPr>
                <w:rStyle w:val="Izteiksmgs"/>
                <w:bCs w:val="0"/>
              </w:rPr>
              <w:t xml:space="preserve">Noteikumi par valsts un Eiropas Savienības atbalsta piešķiršanu, administrēšanu un uzraudzību </w:t>
            </w:r>
            <w:r w:rsidR="00643FD1" w:rsidRPr="00945B51">
              <w:rPr>
                <w:rStyle w:val="Izteiksmgs"/>
              </w:rPr>
              <w:t xml:space="preserve">vides, klimata un lauku ainavas uzlabošanai </w:t>
            </w:r>
            <w:r w:rsidR="00643FD1" w:rsidRPr="00945B51">
              <w:rPr>
                <w:rStyle w:val="Izteiksmgs"/>
                <w:bCs w:val="0"/>
              </w:rPr>
              <w:t>2014.</w:t>
            </w:r>
            <w:r>
              <w:rPr>
                <w:rStyle w:val="Izteiksmgs"/>
                <w:bCs w:val="0"/>
              </w:rPr>
              <w:t>–</w:t>
            </w:r>
            <w:r w:rsidR="00643FD1" w:rsidRPr="00945B51">
              <w:rPr>
                <w:rStyle w:val="Izteiksmgs"/>
                <w:bCs w:val="0"/>
              </w:rPr>
              <w:t>2020.</w:t>
            </w:r>
            <w:r>
              <w:rPr>
                <w:rStyle w:val="Izteiksmgs"/>
                <w:bCs w:val="0"/>
              </w:rPr>
              <w:t> </w:t>
            </w:r>
            <w:r w:rsidR="00643FD1" w:rsidRPr="00945B51">
              <w:rPr>
                <w:rStyle w:val="Izteiksmgs"/>
                <w:bCs w:val="0"/>
              </w:rPr>
              <w:t>gada plānošanas periodā</w:t>
            </w:r>
            <w:r w:rsidR="00643FD1" w:rsidRPr="00945B51">
              <w:rPr>
                <w:lang w:eastAsia="en-US"/>
              </w:rPr>
              <w:t>”</w:t>
            </w:r>
            <w:r w:rsidR="000B0E4C">
              <w:rPr>
                <w:lang w:eastAsia="en-US"/>
              </w:rPr>
              <w:t xml:space="preserve"> </w:t>
            </w:r>
            <w:r w:rsidR="0012012A" w:rsidRPr="005F2CAC">
              <w:rPr>
                <w:lang w:eastAsia="en-US"/>
              </w:rPr>
              <w:t>(turpmāk –</w:t>
            </w:r>
            <w:r w:rsidR="001C0729">
              <w:rPr>
                <w:lang w:eastAsia="en-US"/>
              </w:rPr>
              <w:t xml:space="preserve"> </w:t>
            </w:r>
            <w:r w:rsidR="0012012A" w:rsidRPr="005F2CAC">
              <w:rPr>
                <w:lang w:eastAsia="en-US"/>
              </w:rPr>
              <w:t>noteikumi Nr.</w:t>
            </w:r>
            <w:r w:rsidR="000B0E4C">
              <w:rPr>
                <w:lang w:eastAsia="en-US"/>
              </w:rPr>
              <w:t>171</w:t>
            </w:r>
            <w:r w:rsidR="0012012A" w:rsidRPr="005F2CAC">
              <w:rPr>
                <w:lang w:eastAsia="en-US"/>
              </w:rPr>
              <w:t>).</w:t>
            </w:r>
            <w:r w:rsidR="000B0E4C">
              <w:rPr>
                <w:lang w:eastAsia="en-US"/>
              </w:rPr>
              <w:t xml:space="preserve"> </w:t>
            </w:r>
            <w:r w:rsidR="00B64EC7" w:rsidRPr="005F2CAC">
              <w:rPr>
                <w:lang w:eastAsia="en-US"/>
              </w:rPr>
              <w:t>Noteikum</w:t>
            </w:r>
            <w:r w:rsidR="00D81B78" w:rsidRPr="005F2CAC">
              <w:rPr>
                <w:lang w:eastAsia="en-US"/>
              </w:rPr>
              <w:t>u projektā</w:t>
            </w:r>
            <w:r w:rsidR="00B64EC7" w:rsidRPr="005F2CAC">
              <w:rPr>
                <w:lang w:eastAsia="en-US"/>
              </w:rPr>
              <w:t xml:space="preserve"> </w:t>
            </w:r>
            <w:r w:rsidRPr="00814935">
              <w:rPr>
                <w:lang w:eastAsia="en-US"/>
              </w:rPr>
              <w:t xml:space="preserve">„Grozījumi Ministru kabineta 2015. gada 7. aprīļa noteikumos Nr. 171 </w:t>
            </w:r>
            <w:r w:rsidRPr="000A7694">
              <w:rPr>
                <w:lang w:eastAsia="en-US"/>
              </w:rPr>
              <w:t>„</w:t>
            </w:r>
            <w:r w:rsidRPr="00814935">
              <w:rPr>
                <w:rStyle w:val="Izteiksmgs"/>
                <w:b w:val="0"/>
                <w:bCs w:val="0"/>
              </w:rPr>
              <w:t xml:space="preserve">Noteikumi par valsts un Eiropas Savienības atbalsta piešķiršanu, administrēšanu un uzraudzību </w:t>
            </w:r>
            <w:r w:rsidRPr="00814935">
              <w:rPr>
                <w:rStyle w:val="Izteiksmgs"/>
                <w:b w:val="0"/>
              </w:rPr>
              <w:t xml:space="preserve">vides, klimata un lauku ainavas uzlabošanai </w:t>
            </w:r>
            <w:r w:rsidRPr="00A73BFF">
              <w:rPr>
                <w:rStyle w:val="Izteiksmgs"/>
                <w:b w:val="0"/>
                <w:bCs w:val="0"/>
              </w:rPr>
              <w:t>2014.</w:t>
            </w:r>
            <w:r>
              <w:rPr>
                <w:rStyle w:val="Izteiksmgs"/>
                <w:b w:val="0"/>
                <w:bCs w:val="0"/>
              </w:rPr>
              <w:t>–</w:t>
            </w:r>
            <w:r w:rsidRPr="00814935">
              <w:rPr>
                <w:rStyle w:val="Izteiksmgs"/>
                <w:b w:val="0"/>
                <w:bCs w:val="0"/>
              </w:rPr>
              <w:t>2020.gada plānošanas periodā</w:t>
            </w:r>
            <w:r w:rsidRPr="00814935">
              <w:rPr>
                <w:lang w:eastAsia="en-US"/>
              </w:rPr>
              <w:t xml:space="preserve">”” </w:t>
            </w:r>
            <w:r>
              <w:rPr>
                <w:lang w:eastAsia="en-US"/>
              </w:rPr>
              <w:t xml:space="preserve">(turpmāk – noteikumu projekts) </w:t>
            </w:r>
            <w:r w:rsidR="00B64EC7" w:rsidRPr="005F2CAC">
              <w:rPr>
                <w:lang w:eastAsia="en-US"/>
              </w:rPr>
              <w:t>paredzēts</w:t>
            </w:r>
            <w:r w:rsidR="00E60E01">
              <w:rPr>
                <w:lang w:eastAsia="en-US"/>
              </w:rPr>
              <w:t xml:space="preserve">, ka tiks veiktas šādas izmaiņas </w:t>
            </w:r>
            <w:r w:rsidR="00B86BCA" w:rsidRPr="009B3CCA">
              <w:rPr>
                <w:b/>
              </w:rPr>
              <w:t>noteikum</w:t>
            </w:r>
            <w:r w:rsidR="00E60E01">
              <w:rPr>
                <w:b/>
              </w:rPr>
              <w:t>os</w:t>
            </w:r>
            <w:r w:rsidR="00B86BCA" w:rsidRPr="009B3CCA">
              <w:rPr>
                <w:b/>
              </w:rPr>
              <w:t xml:space="preserve"> Nr.171:</w:t>
            </w:r>
          </w:p>
          <w:p w:rsidR="005475D3" w:rsidRPr="00E66227" w:rsidRDefault="005475D3" w:rsidP="00CB7A74">
            <w:pPr>
              <w:pStyle w:val="Sarakstarindkopa"/>
              <w:numPr>
                <w:ilvl w:val="0"/>
                <w:numId w:val="15"/>
              </w:numPr>
              <w:spacing w:before="240" w:after="120"/>
              <w:jc w:val="both"/>
              <w:rPr>
                <w:rFonts w:ascii="Times New Roman" w:eastAsia="Times New Roman" w:hAnsi="Times New Roman"/>
                <w:sz w:val="24"/>
                <w:szCs w:val="24"/>
              </w:rPr>
            </w:pPr>
            <w:r w:rsidRPr="00E66227">
              <w:rPr>
                <w:rFonts w:ascii="Times New Roman" w:hAnsi="Times New Roman"/>
                <w:sz w:val="24"/>
              </w:rPr>
              <w:t xml:space="preserve">jāpapildina </w:t>
            </w:r>
            <w:r w:rsidR="00E60E01" w:rsidRPr="00E66227">
              <w:rPr>
                <w:rFonts w:ascii="Times New Roman" w:hAnsi="Times New Roman"/>
                <w:sz w:val="24"/>
              </w:rPr>
              <w:t>37</w:t>
            </w:r>
            <w:r w:rsidR="00E60E01">
              <w:rPr>
                <w:rFonts w:ascii="Times New Roman" w:hAnsi="Times New Roman"/>
                <w:sz w:val="24"/>
              </w:rPr>
              <w:t>.</w:t>
            </w:r>
            <w:r w:rsidR="00E60E01" w:rsidRPr="00E66227">
              <w:rPr>
                <w:rFonts w:ascii="Times New Roman" w:hAnsi="Times New Roman"/>
                <w:sz w:val="24"/>
                <w:vertAlign w:val="superscript"/>
              </w:rPr>
              <w:t>4</w:t>
            </w:r>
            <w:r w:rsidR="00E60E01" w:rsidRPr="00E66227">
              <w:rPr>
                <w:rFonts w:ascii="Times New Roman" w:hAnsi="Times New Roman"/>
                <w:sz w:val="24"/>
              </w:rPr>
              <w:t>2. apakšpunkt</w:t>
            </w:r>
            <w:r w:rsidR="00E60E01">
              <w:rPr>
                <w:rFonts w:ascii="Times New Roman" w:hAnsi="Times New Roman"/>
                <w:sz w:val="24"/>
              </w:rPr>
              <w:t>s</w:t>
            </w:r>
            <w:r w:rsidRPr="00E66227">
              <w:rPr>
                <w:rFonts w:ascii="Times New Roman" w:hAnsi="Times New Roman"/>
                <w:sz w:val="24"/>
              </w:rPr>
              <w:t xml:space="preserve">, attiecībā uz atšķirīgu pieeju pārvietojamām un stacionārām bišu novietnēm. </w:t>
            </w:r>
            <w:r w:rsidR="00E66227" w:rsidRPr="00E66227">
              <w:rPr>
                <w:rFonts w:ascii="Times New Roman" w:hAnsi="Times New Roman"/>
                <w:sz w:val="24"/>
              </w:rPr>
              <w:t xml:space="preserve">Minētas izmaiņas ir nepieciešams, lai nodrošinātu, ka saistības var uzņemties arī tādi atbalsta pretendenti, kuru bišu saimes atrodas stacionārās novietnēs netālu no nektāraugu lauka, tādejādi veicinot aktivitātes mērķu sasniegšanu. </w:t>
            </w:r>
            <w:r w:rsidRPr="00E66227">
              <w:rPr>
                <w:rFonts w:ascii="Times New Roman" w:eastAsia="Times New Roman" w:hAnsi="Times New Roman"/>
                <w:sz w:val="24"/>
                <w:szCs w:val="24"/>
                <w:lang w:eastAsia="lv-LV"/>
              </w:rPr>
              <w:t xml:space="preserve">Šāds precizējums </w:t>
            </w:r>
            <w:r w:rsidR="00F2352D" w:rsidRPr="00E66227">
              <w:rPr>
                <w:rFonts w:ascii="Times New Roman" w:eastAsia="Times New Roman" w:hAnsi="Times New Roman"/>
                <w:sz w:val="24"/>
                <w:szCs w:val="24"/>
                <w:lang w:eastAsia="lv-LV"/>
              </w:rPr>
              <w:t>izriet no Eiropas Komisijā apstiprinātajiem Lauku attīstības programmas 2014-2020. gadam atbalsta nosacījumiem</w:t>
            </w:r>
            <w:r w:rsidRPr="00E66227">
              <w:rPr>
                <w:rFonts w:ascii="Times New Roman" w:eastAsia="Times New Roman" w:hAnsi="Times New Roman"/>
                <w:sz w:val="24"/>
                <w:szCs w:val="24"/>
                <w:lang w:eastAsia="lv-LV"/>
              </w:rPr>
              <w:t>;</w:t>
            </w:r>
          </w:p>
          <w:p w:rsidR="001759AC" w:rsidRDefault="001759AC" w:rsidP="005475D3">
            <w:pPr>
              <w:pStyle w:val="Sarakstarindkopa"/>
              <w:numPr>
                <w:ilvl w:val="0"/>
                <w:numId w:val="15"/>
              </w:numPr>
              <w:spacing w:after="120"/>
              <w:jc w:val="both"/>
              <w:rPr>
                <w:rFonts w:ascii="Times New Roman" w:eastAsia="Times New Roman" w:hAnsi="Times New Roman"/>
                <w:sz w:val="24"/>
                <w:szCs w:val="24"/>
              </w:rPr>
            </w:pPr>
            <w:r>
              <w:rPr>
                <w:rFonts w:ascii="Times New Roman" w:eastAsia="Times New Roman" w:hAnsi="Times New Roman"/>
                <w:sz w:val="24"/>
                <w:szCs w:val="24"/>
              </w:rPr>
              <w:t>jāpapildina 49.1. apakšpunkts un 66. punkts ar jaunu kultūrauga veida definējumu, par ko iespējams saņemt atbilstošo maksājumu;</w:t>
            </w:r>
          </w:p>
          <w:p w:rsidR="001759AC" w:rsidRDefault="001759AC" w:rsidP="005475D3">
            <w:pPr>
              <w:pStyle w:val="Sarakstarindkopa"/>
              <w:numPr>
                <w:ilvl w:val="0"/>
                <w:numId w:val="15"/>
              </w:numPr>
              <w:spacing w:after="120"/>
              <w:jc w:val="both"/>
              <w:rPr>
                <w:rFonts w:ascii="Times New Roman" w:eastAsia="Times New Roman" w:hAnsi="Times New Roman"/>
                <w:sz w:val="24"/>
                <w:szCs w:val="24"/>
              </w:rPr>
            </w:pPr>
            <w:r>
              <w:rPr>
                <w:rFonts w:ascii="Times New Roman" w:eastAsia="Times New Roman" w:hAnsi="Times New Roman"/>
                <w:sz w:val="24"/>
                <w:szCs w:val="24"/>
              </w:rPr>
              <w:t xml:space="preserve">jāpapildina noteikumi ar jaunu </w:t>
            </w:r>
            <w:r w:rsidR="00E60E01">
              <w:rPr>
                <w:rFonts w:ascii="Times New Roman" w:eastAsia="Times New Roman" w:hAnsi="Times New Roman"/>
                <w:sz w:val="24"/>
                <w:szCs w:val="24"/>
              </w:rPr>
              <w:t>apakš</w:t>
            </w:r>
            <w:r>
              <w:rPr>
                <w:rFonts w:ascii="Times New Roman" w:eastAsia="Times New Roman" w:hAnsi="Times New Roman"/>
                <w:sz w:val="24"/>
                <w:szCs w:val="24"/>
              </w:rPr>
              <w:t xml:space="preserve">punktu </w:t>
            </w:r>
            <w:r w:rsidR="00E60E01" w:rsidRPr="00E60E01">
              <w:rPr>
                <w:rFonts w:ascii="Times New Roman" w:eastAsia="Times New Roman" w:hAnsi="Times New Roman"/>
                <w:sz w:val="24"/>
                <w:szCs w:val="24"/>
              </w:rPr>
              <w:t>74.</w:t>
            </w:r>
            <w:r w:rsidR="00E60E01" w:rsidRPr="00E60E01">
              <w:rPr>
                <w:rFonts w:ascii="Times New Roman" w:eastAsia="Times New Roman" w:hAnsi="Times New Roman"/>
                <w:sz w:val="24"/>
                <w:szCs w:val="24"/>
                <w:vertAlign w:val="superscript"/>
              </w:rPr>
              <w:t>2</w:t>
            </w:r>
            <w:r w:rsidR="00E60E01" w:rsidRPr="00E60E01">
              <w:rPr>
                <w:rFonts w:ascii="Times New Roman" w:eastAsia="Times New Roman" w:hAnsi="Times New Roman"/>
                <w:sz w:val="24"/>
                <w:szCs w:val="24"/>
              </w:rPr>
              <w:t xml:space="preserve">, </w:t>
            </w:r>
            <w:r w:rsidR="00E60E01">
              <w:rPr>
                <w:rFonts w:ascii="Times New Roman" w:eastAsia="Times New Roman" w:hAnsi="Times New Roman"/>
                <w:sz w:val="24"/>
                <w:szCs w:val="24"/>
              </w:rPr>
              <w:t xml:space="preserve">lai nodrošinātu savlaicīgas sējas nosacījumu ievērošanu, </w:t>
            </w:r>
            <w:r w:rsidR="00E60E01" w:rsidRPr="00E60E01">
              <w:rPr>
                <w:rFonts w:ascii="Times New Roman" w:eastAsia="Times New Roman" w:hAnsi="Times New Roman"/>
                <w:sz w:val="24"/>
                <w:szCs w:val="24"/>
              </w:rPr>
              <w:t>nosakot, ka</w:t>
            </w:r>
            <w:r w:rsidR="00E60E01">
              <w:rPr>
                <w:rFonts w:ascii="Times New Roman" w:eastAsia="Times New Roman" w:hAnsi="Times New Roman"/>
                <w:sz w:val="24"/>
                <w:szCs w:val="24"/>
              </w:rPr>
              <w:t xml:space="preserve"> agrovides un bioloģiskās lauksaimniecības atbalstu nevarēs saņemt par tādiem kultūraugiem, </w:t>
            </w:r>
            <w:proofErr w:type="gramStart"/>
            <w:r w:rsidR="00E60E01">
              <w:rPr>
                <w:rFonts w:ascii="Times New Roman" w:eastAsia="Times New Roman" w:hAnsi="Times New Roman"/>
                <w:sz w:val="24"/>
                <w:szCs w:val="24"/>
              </w:rPr>
              <w:t>kuri aramzemē tiks</w:t>
            </w:r>
            <w:proofErr w:type="gramEnd"/>
            <w:r w:rsidR="00E60E01">
              <w:rPr>
                <w:rFonts w:ascii="Times New Roman" w:eastAsia="Times New Roman" w:hAnsi="Times New Roman"/>
                <w:sz w:val="24"/>
                <w:szCs w:val="24"/>
              </w:rPr>
              <w:t xml:space="preserve"> sēti pēc kārtējā gada 25. jūnija, izņemot par atsevišķiem kultūraugiem ar īsu veģetācijas periodu;</w:t>
            </w:r>
          </w:p>
          <w:p w:rsidR="005475D3" w:rsidRDefault="005475D3" w:rsidP="005475D3">
            <w:pPr>
              <w:pStyle w:val="Sarakstarindkopa"/>
              <w:numPr>
                <w:ilvl w:val="0"/>
                <w:numId w:val="15"/>
              </w:numPr>
              <w:spacing w:after="120"/>
              <w:jc w:val="both"/>
              <w:rPr>
                <w:rFonts w:ascii="Times New Roman" w:eastAsia="Times New Roman" w:hAnsi="Times New Roman"/>
                <w:sz w:val="24"/>
                <w:szCs w:val="24"/>
              </w:rPr>
            </w:pPr>
            <w:r>
              <w:rPr>
                <w:rFonts w:ascii="Times New Roman" w:eastAsia="Times New Roman" w:hAnsi="Times New Roman"/>
                <w:sz w:val="24"/>
                <w:szCs w:val="24"/>
              </w:rPr>
              <w:t xml:space="preserve">jāpapildina noteikumi ar jauniem punktiem </w:t>
            </w:r>
            <w:r w:rsidRPr="005475D3">
              <w:rPr>
                <w:rFonts w:ascii="Times New Roman" w:hAnsi="Times New Roman"/>
              </w:rPr>
              <w:t>95.</w:t>
            </w:r>
            <w:r w:rsidRPr="005475D3">
              <w:rPr>
                <w:rFonts w:ascii="Times New Roman" w:hAnsi="Times New Roman"/>
                <w:vertAlign w:val="superscript"/>
              </w:rPr>
              <w:t>3</w:t>
            </w:r>
            <w:r w:rsidRPr="005475D3">
              <w:rPr>
                <w:rFonts w:ascii="Times New Roman" w:hAnsi="Times New Roman"/>
              </w:rPr>
              <w:t xml:space="preserve"> un 95.</w:t>
            </w:r>
            <w:r w:rsidRPr="005475D3">
              <w:rPr>
                <w:rFonts w:ascii="Times New Roman" w:hAnsi="Times New Roman"/>
                <w:vertAlign w:val="superscript"/>
              </w:rPr>
              <w:t xml:space="preserve">4 </w:t>
            </w:r>
            <w:r w:rsidRPr="005475D3">
              <w:rPr>
                <w:rFonts w:ascii="Times New Roman" w:eastAsia="Times New Roman" w:hAnsi="Times New Roman"/>
                <w:sz w:val="24"/>
                <w:szCs w:val="24"/>
              </w:rPr>
              <w:t>n</w:t>
            </w:r>
            <w:r>
              <w:rPr>
                <w:rFonts w:ascii="Times New Roman" w:eastAsia="Times New Roman" w:hAnsi="Times New Roman"/>
                <w:sz w:val="24"/>
                <w:szCs w:val="24"/>
              </w:rPr>
              <w:t>orādot tajos rīcības, kas izriet no pašreiz spēkā esošās noteikumu redakcijas 19.</w:t>
            </w:r>
            <w:r w:rsidR="0069530A">
              <w:rPr>
                <w:rFonts w:ascii="Times New Roman" w:eastAsia="Times New Roman" w:hAnsi="Times New Roman"/>
                <w:sz w:val="24"/>
                <w:szCs w:val="24"/>
              </w:rPr>
              <w:t xml:space="preserve"> </w:t>
            </w:r>
            <w:r>
              <w:rPr>
                <w:rFonts w:ascii="Times New Roman" w:eastAsia="Times New Roman" w:hAnsi="Times New Roman"/>
                <w:sz w:val="24"/>
                <w:szCs w:val="24"/>
              </w:rPr>
              <w:t>punkta, kurā noteikt prasība ik sezonu noslēdzot, izvērtēt pretendentu aktivitāti, attiecībā uz pieteikšanos platībatkarīgajiem maksājumiem un šīm aktivitātēm rezervēto</w:t>
            </w:r>
            <w:r w:rsidR="001759AC">
              <w:rPr>
                <w:rFonts w:ascii="Times New Roman" w:eastAsia="Times New Roman" w:hAnsi="Times New Roman"/>
                <w:sz w:val="24"/>
                <w:szCs w:val="24"/>
              </w:rPr>
              <w:t xml:space="preserve"> daudzgadu finansējuma atlikumu;</w:t>
            </w:r>
          </w:p>
          <w:p w:rsidR="001759AC" w:rsidRDefault="00E60E01" w:rsidP="005475D3">
            <w:pPr>
              <w:pStyle w:val="Sarakstarindkopa"/>
              <w:numPr>
                <w:ilvl w:val="0"/>
                <w:numId w:val="15"/>
              </w:numPr>
              <w:spacing w:after="120"/>
              <w:jc w:val="both"/>
              <w:rPr>
                <w:rFonts w:ascii="Times New Roman" w:eastAsia="Times New Roman" w:hAnsi="Times New Roman"/>
                <w:sz w:val="24"/>
                <w:szCs w:val="24"/>
              </w:rPr>
            </w:pPr>
            <w:r>
              <w:rPr>
                <w:rFonts w:ascii="Times New Roman" w:eastAsia="Times New Roman" w:hAnsi="Times New Roman"/>
                <w:sz w:val="24"/>
                <w:szCs w:val="24"/>
              </w:rPr>
              <w:t xml:space="preserve">jāpapildina noteikumi ar jaunu apakšpunktu 97., nosakot, ka 2018. gadā situācijās, kad bioloģiskajiem lauksaimniekiem tiks </w:t>
            </w:r>
            <w:proofErr w:type="gramStart"/>
            <w:r>
              <w:rPr>
                <w:rFonts w:ascii="Times New Roman" w:eastAsia="Times New Roman" w:hAnsi="Times New Roman"/>
                <w:sz w:val="24"/>
                <w:szCs w:val="24"/>
              </w:rPr>
              <w:t xml:space="preserve">konstatēta </w:t>
            </w:r>
            <w:r w:rsidRPr="00E60E01">
              <w:rPr>
                <w:rFonts w:ascii="Times New Roman" w:eastAsia="Times New Roman" w:hAnsi="Times New Roman"/>
                <w:sz w:val="24"/>
                <w:szCs w:val="24"/>
              </w:rPr>
              <w:t>regulas</w:t>
            </w:r>
            <w:proofErr w:type="gramEnd"/>
            <w:r w:rsidRPr="00E60E01">
              <w:rPr>
                <w:rFonts w:ascii="Times New Roman" w:eastAsia="Times New Roman" w:hAnsi="Times New Roman"/>
                <w:sz w:val="24"/>
                <w:szCs w:val="24"/>
              </w:rPr>
              <w:t xml:space="preserve"> Nr.  </w:t>
            </w:r>
            <w:hyperlink r:id="rId8" w:tgtFrame="_blank" w:history="1">
              <w:r w:rsidRPr="00E60E01">
                <w:rPr>
                  <w:rFonts w:ascii="Times New Roman" w:eastAsia="Times New Roman" w:hAnsi="Times New Roman"/>
                  <w:sz w:val="24"/>
                  <w:szCs w:val="24"/>
                </w:rPr>
                <w:t>834/2007</w:t>
              </w:r>
            </w:hyperlink>
            <w:r w:rsidRPr="00E60E01">
              <w:rPr>
                <w:rFonts w:ascii="Times New Roman" w:eastAsia="Times New Roman" w:hAnsi="Times New Roman"/>
                <w:sz w:val="24"/>
                <w:szCs w:val="24"/>
              </w:rPr>
              <w:t> 3. panta "b" un "c" apakšpunktā noteikt</w:t>
            </w:r>
            <w:r>
              <w:rPr>
                <w:rFonts w:ascii="Times New Roman" w:eastAsia="Times New Roman" w:hAnsi="Times New Roman"/>
                <w:sz w:val="24"/>
                <w:szCs w:val="24"/>
              </w:rPr>
              <w:t xml:space="preserve">o </w:t>
            </w:r>
            <w:r w:rsidRPr="00E60E01">
              <w:rPr>
                <w:rFonts w:ascii="Times New Roman" w:eastAsia="Times New Roman" w:hAnsi="Times New Roman"/>
                <w:sz w:val="24"/>
                <w:szCs w:val="24"/>
              </w:rPr>
              <w:t>mērķ</w:t>
            </w:r>
            <w:r>
              <w:rPr>
                <w:rFonts w:ascii="Times New Roman" w:eastAsia="Times New Roman" w:hAnsi="Times New Roman"/>
                <w:sz w:val="24"/>
                <w:szCs w:val="24"/>
              </w:rPr>
              <w:t xml:space="preserve">u neizpilde, atbalsta pretendentam aprēķinātais </w:t>
            </w:r>
            <w:r w:rsidR="00B02A47">
              <w:rPr>
                <w:rFonts w:ascii="Times New Roman" w:eastAsia="Times New Roman" w:hAnsi="Times New Roman"/>
                <w:sz w:val="24"/>
                <w:szCs w:val="24"/>
              </w:rPr>
              <w:t xml:space="preserve">bioloģiskās lauksaimniecības atbalsts netiks samazināts, pamatojoties uz 2017. </w:t>
            </w:r>
            <w:r w:rsidR="00B02A47">
              <w:rPr>
                <w:rFonts w:ascii="Times New Roman" w:eastAsia="Times New Roman" w:hAnsi="Times New Roman"/>
                <w:sz w:val="24"/>
                <w:szCs w:val="24"/>
              </w:rPr>
              <w:lastRenderedPageBreak/>
              <w:t>gadā nelabvēlīgo laikapstākļu izraisītajām negatīvajām sekām lauksaimniekiem;</w:t>
            </w:r>
          </w:p>
          <w:p w:rsidR="00B02A47" w:rsidRDefault="00945D74" w:rsidP="005475D3">
            <w:pPr>
              <w:pStyle w:val="Sarakstarindkopa"/>
              <w:numPr>
                <w:ilvl w:val="0"/>
                <w:numId w:val="15"/>
              </w:numPr>
              <w:spacing w:after="120"/>
              <w:jc w:val="both"/>
              <w:rPr>
                <w:rFonts w:ascii="Times New Roman" w:eastAsia="Times New Roman" w:hAnsi="Times New Roman"/>
                <w:sz w:val="24"/>
                <w:szCs w:val="24"/>
              </w:rPr>
            </w:pPr>
            <w:r>
              <w:rPr>
                <w:rFonts w:ascii="Times New Roman" w:eastAsia="Times New Roman" w:hAnsi="Times New Roman"/>
                <w:sz w:val="24"/>
                <w:szCs w:val="24"/>
              </w:rPr>
              <w:t xml:space="preserve">precizēt 4. un 6.pielikuma nosaukumus, nosakot, kādam jābūt minimālajam </w:t>
            </w:r>
            <w:r w:rsidR="00C31EA6">
              <w:rPr>
                <w:rFonts w:ascii="Times New Roman" w:eastAsia="Times New Roman" w:hAnsi="Times New Roman"/>
                <w:sz w:val="24"/>
                <w:szCs w:val="24"/>
              </w:rPr>
              <w:t>saturam, institūciju atzinumos par integrētās dārzkopības vai bioloģiskās lauksaimniecības prasību ievērošanu;</w:t>
            </w:r>
          </w:p>
          <w:p w:rsidR="00C31EA6" w:rsidRPr="00AB21BB" w:rsidRDefault="00C31EA6" w:rsidP="00F545C2">
            <w:pPr>
              <w:pStyle w:val="Sarakstarindkopa"/>
              <w:numPr>
                <w:ilvl w:val="0"/>
                <w:numId w:val="15"/>
              </w:numPr>
              <w:spacing w:after="120"/>
              <w:jc w:val="both"/>
            </w:pPr>
            <w:r w:rsidRPr="00C31EA6">
              <w:rPr>
                <w:rFonts w:ascii="Times New Roman" w:eastAsia="Times New Roman" w:hAnsi="Times New Roman"/>
                <w:sz w:val="24"/>
                <w:szCs w:val="24"/>
              </w:rPr>
              <w:t xml:space="preserve">precizēt 8. pielikuma atsevišķas sadaļas, veicot tehniska rakstura precizējumus, kā arī papildinot 2.2. apakšnodaļu ar jaunu punktu, </w:t>
            </w:r>
            <w:proofErr w:type="gramStart"/>
            <w:r w:rsidRPr="00C31EA6">
              <w:rPr>
                <w:rFonts w:ascii="Times New Roman" w:eastAsia="Times New Roman" w:hAnsi="Times New Roman"/>
                <w:sz w:val="24"/>
                <w:szCs w:val="24"/>
              </w:rPr>
              <w:t xml:space="preserve">kas noteiktu rīcību gadījumos, kad saskaņā ar </w:t>
            </w:r>
            <w:r w:rsidR="00F545C2" w:rsidRPr="00C31EA6">
              <w:rPr>
                <w:rFonts w:ascii="Times New Roman" w:eastAsia="Times New Roman" w:hAnsi="Times New Roman"/>
                <w:sz w:val="24"/>
                <w:szCs w:val="24"/>
              </w:rPr>
              <w:t>Dabas aizsardzības pārvaldes</w:t>
            </w:r>
            <w:r w:rsidRPr="00C31EA6">
              <w:rPr>
                <w:rFonts w:ascii="Times New Roman" w:eastAsia="Times New Roman" w:hAnsi="Times New Roman"/>
                <w:sz w:val="24"/>
                <w:szCs w:val="24"/>
              </w:rPr>
              <w:t xml:space="preserve"> saskaņotu rīcību, bioloģiski vērtīgā zālāja platības augsnes virskārta tiek kultivēta, vai tajā tiek</w:t>
            </w:r>
            <w:proofErr w:type="gramEnd"/>
            <w:r w:rsidRPr="00C31EA6">
              <w:rPr>
                <w:rFonts w:ascii="Times New Roman" w:eastAsia="Times New Roman" w:hAnsi="Times New Roman"/>
                <w:sz w:val="24"/>
                <w:szCs w:val="24"/>
              </w:rPr>
              <w:t xml:space="preserve"> veikta divreizēja pļauja, vai sēklu saturošas zāles vai siena izklāšana. Šāds papildinājums nepiecie</w:t>
            </w:r>
            <w:r>
              <w:rPr>
                <w:rFonts w:ascii="Times New Roman" w:eastAsia="Times New Roman" w:hAnsi="Times New Roman"/>
                <w:sz w:val="24"/>
                <w:szCs w:val="24"/>
              </w:rPr>
              <w:t>ša</w:t>
            </w:r>
            <w:r w:rsidRPr="00C31EA6">
              <w:rPr>
                <w:rFonts w:ascii="Times New Roman" w:eastAsia="Times New Roman" w:hAnsi="Times New Roman"/>
                <w:sz w:val="24"/>
                <w:szCs w:val="24"/>
              </w:rPr>
              <w:t>ms,</w:t>
            </w:r>
            <w:r>
              <w:rPr>
                <w:rFonts w:ascii="Times New Roman" w:eastAsia="Times New Roman" w:hAnsi="Times New Roman"/>
                <w:sz w:val="24"/>
                <w:szCs w:val="24"/>
              </w:rPr>
              <w:t xml:space="preserve"> lai nodrošinātu sinerģiju starp dažādiem Eiropas savienības finanšu instrumentiem,</w:t>
            </w:r>
            <w:r w:rsidR="00F545C2">
              <w:rPr>
                <w:rFonts w:ascii="Times New Roman" w:eastAsia="Times New Roman" w:hAnsi="Times New Roman"/>
                <w:sz w:val="24"/>
                <w:szCs w:val="24"/>
              </w:rPr>
              <w:t xml:space="preserve"> tais skaitā</w:t>
            </w:r>
            <w:r w:rsidRPr="00C31EA6">
              <w:rPr>
                <w:rFonts w:ascii="Times New Roman" w:eastAsia="Times New Roman" w:hAnsi="Times New Roman"/>
                <w:sz w:val="24"/>
                <w:szCs w:val="24"/>
              </w:rPr>
              <w:t xml:space="preserve"> LIFE programmas</w:t>
            </w:r>
            <w:r w:rsidR="00F545C2">
              <w:rPr>
                <w:rFonts w:ascii="Times New Roman" w:eastAsia="Times New Roman" w:hAnsi="Times New Roman"/>
                <w:sz w:val="24"/>
                <w:szCs w:val="24"/>
              </w:rPr>
              <w:t>, kā arī cita</w:t>
            </w:r>
            <w:r w:rsidRPr="00C31EA6">
              <w:rPr>
                <w:rFonts w:ascii="Times New Roman" w:eastAsia="Times New Roman" w:hAnsi="Times New Roman"/>
                <w:sz w:val="24"/>
                <w:szCs w:val="24"/>
              </w:rPr>
              <w:t>s programm</w:t>
            </w:r>
            <w:r w:rsidR="00F545C2">
              <w:rPr>
                <w:rFonts w:ascii="Times New Roman" w:eastAsia="Times New Roman" w:hAnsi="Times New Roman"/>
                <w:sz w:val="24"/>
                <w:szCs w:val="24"/>
              </w:rPr>
              <w:t>a</w:t>
            </w:r>
            <w:r w:rsidRPr="00C31EA6">
              <w:rPr>
                <w:rFonts w:ascii="Times New Roman" w:eastAsia="Times New Roman" w:hAnsi="Times New Roman"/>
                <w:sz w:val="24"/>
                <w:szCs w:val="24"/>
              </w:rPr>
              <w:t>s, kas tiek finansētas</w:t>
            </w:r>
            <w:r w:rsidR="00AB21BB">
              <w:rPr>
                <w:rFonts w:ascii="Times New Roman" w:eastAsia="Times New Roman" w:hAnsi="Times New Roman"/>
                <w:sz w:val="24"/>
                <w:szCs w:val="24"/>
              </w:rPr>
              <w:t xml:space="preserve"> no sabiedriskajiem līdzekļiem;</w:t>
            </w:r>
          </w:p>
          <w:p w:rsidR="00AB21BB" w:rsidRPr="00744590" w:rsidRDefault="00AB21BB" w:rsidP="00AB21BB">
            <w:pPr>
              <w:pStyle w:val="Sarakstarindkopa"/>
              <w:numPr>
                <w:ilvl w:val="0"/>
                <w:numId w:val="15"/>
              </w:numPr>
              <w:spacing w:after="120"/>
              <w:jc w:val="both"/>
            </w:pPr>
            <w:r>
              <w:rPr>
                <w:rFonts w:ascii="Times New Roman" w:eastAsia="Times New Roman" w:hAnsi="Times New Roman"/>
                <w:sz w:val="24"/>
                <w:szCs w:val="24"/>
              </w:rPr>
              <w:t>papildināts 8</w:t>
            </w:r>
            <w:r w:rsidRPr="00C31EA6">
              <w:rPr>
                <w:rFonts w:ascii="Times New Roman" w:eastAsia="Times New Roman" w:hAnsi="Times New Roman"/>
                <w:sz w:val="24"/>
                <w:szCs w:val="24"/>
              </w:rPr>
              <w:t xml:space="preserve">. pielikuma </w:t>
            </w:r>
            <w:r>
              <w:rPr>
                <w:rFonts w:ascii="Times New Roman" w:eastAsia="Times New Roman" w:hAnsi="Times New Roman"/>
                <w:sz w:val="24"/>
                <w:szCs w:val="24"/>
              </w:rPr>
              <w:t xml:space="preserve">2.6. apakšnodaļu ar jaunu punktu, </w:t>
            </w:r>
            <w:proofErr w:type="gramStart"/>
            <w:r>
              <w:rPr>
                <w:rFonts w:ascii="Times New Roman" w:eastAsia="Times New Roman" w:hAnsi="Times New Roman"/>
                <w:sz w:val="24"/>
                <w:szCs w:val="24"/>
              </w:rPr>
              <w:t>kurā noteikta rīcība gadījumos, kad a</w:t>
            </w:r>
            <w:r w:rsidRPr="00AB21BB">
              <w:rPr>
                <w:rFonts w:ascii="Times New Roman" w:eastAsia="Times New Roman" w:hAnsi="Times New Roman"/>
                <w:sz w:val="24"/>
                <w:szCs w:val="24"/>
              </w:rPr>
              <w:t>tbalsta saņēmējam konstatētas citas neatbilstības, kas noteiktas normatīvajos aktos par bioloģiskās lauksaimniecības uzraudzības un kontroles kārtību, kad saimniecība ir iekļauta bioloģiskās lauksaimniecības kontroles sistēmā un no lauksaimnieka neatkarīgu iemeslu dēļ kārtējā gadā nav</w:t>
            </w:r>
            <w:proofErr w:type="gramEnd"/>
            <w:r w:rsidRPr="00AB21BB">
              <w:rPr>
                <w:rFonts w:ascii="Times New Roman" w:eastAsia="Times New Roman" w:hAnsi="Times New Roman"/>
                <w:sz w:val="24"/>
                <w:szCs w:val="24"/>
              </w:rPr>
              <w:t xml:space="preserve"> sertificēta biškopības joma, jo nav izpildāma  Regulas </w:t>
            </w:r>
            <w:hyperlink r:id="rId9" w:tgtFrame="_blank" w:history="1">
              <w:r w:rsidRPr="00AB21BB">
                <w:rPr>
                  <w:rFonts w:ascii="Times New Roman" w:eastAsia="Times New Roman" w:hAnsi="Times New Roman"/>
                  <w:sz w:val="24"/>
                  <w:szCs w:val="24"/>
                </w:rPr>
                <w:t>889/2008</w:t>
              </w:r>
            </w:hyperlink>
            <w:r w:rsidRPr="00AB21BB">
              <w:rPr>
                <w:rFonts w:ascii="Times New Roman" w:eastAsia="Times New Roman" w:hAnsi="Times New Roman"/>
                <w:sz w:val="24"/>
                <w:szCs w:val="24"/>
              </w:rPr>
              <w:t xml:space="preserve"> 13. panta prasība par dravu novietojumu attālumu no platībām ar konvencionāli apsaimniekotiem laukiem, - nektāra un ziedputekšņu avotiem</w:t>
            </w:r>
            <w:r>
              <w:rPr>
                <w:rFonts w:ascii="Times New Roman" w:eastAsia="Times New Roman" w:hAnsi="Times New Roman"/>
                <w:sz w:val="24"/>
                <w:szCs w:val="24"/>
              </w:rPr>
              <w:t>. Šajās situācijās uzņemtās bioloģiskās lauksaimniecības daudzgadu saistības par platību var turpināt, jo netiek saņemts atbalsts par bioloģiski sertificētām bišu saimēm, kā arī tās neatstāj negatīvas sekas uz bioloģiski sertificētajām platībām kopumā.</w:t>
            </w:r>
          </w:p>
        </w:tc>
      </w:tr>
      <w:tr w:rsidR="009117F4" w:rsidRPr="00D30FB2" w:rsidTr="008D4EEA">
        <w:trPr>
          <w:trHeight w:val="147"/>
        </w:trPr>
        <w:tc>
          <w:tcPr>
            <w:tcW w:w="872" w:type="dxa"/>
          </w:tcPr>
          <w:p w:rsidR="009117F4" w:rsidRPr="00D30FB2" w:rsidRDefault="009117F4" w:rsidP="00E06138">
            <w:pPr>
              <w:spacing w:before="100" w:beforeAutospacing="1" w:after="100" w:afterAutospacing="1" w:line="360" w:lineRule="auto"/>
              <w:ind w:firstLine="19"/>
              <w:jc w:val="both"/>
            </w:pPr>
            <w:r w:rsidRPr="00D30FB2">
              <w:lastRenderedPageBreak/>
              <w:t>3.</w:t>
            </w:r>
          </w:p>
        </w:tc>
        <w:tc>
          <w:tcPr>
            <w:tcW w:w="1613" w:type="dxa"/>
          </w:tcPr>
          <w:p w:rsidR="009117F4" w:rsidRPr="00D30FB2" w:rsidRDefault="00110153" w:rsidP="00E06138">
            <w:r w:rsidRPr="00D30FB2">
              <w:t xml:space="preserve">Projekta izstrādē iesaistītās </w:t>
            </w:r>
            <w:r w:rsidR="009117F4" w:rsidRPr="00D30FB2">
              <w:t>institūcijas</w:t>
            </w:r>
          </w:p>
        </w:tc>
        <w:tc>
          <w:tcPr>
            <w:tcW w:w="7129" w:type="dxa"/>
          </w:tcPr>
          <w:p w:rsidR="009117F4" w:rsidRPr="006D0A21" w:rsidRDefault="009117F4" w:rsidP="00E66227">
            <w:pPr>
              <w:jc w:val="both"/>
              <w:rPr>
                <w:bCs/>
                <w:lang w:eastAsia="en-US"/>
              </w:rPr>
            </w:pPr>
            <w:r w:rsidRPr="00D30FB2">
              <w:rPr>
                <w:lang w:eastAsia="en-US"/>
              </w:rPr>
              <w:t>Zemkopības ministrija</w:t>
            </w:r>
            <w:r w:rsidR="007F2259" w:rsidRPr="00D30FB2">
              <w:rPr>
                <w:lang w:eastAsia="en-US"/>
              </w:rPr>
              <w:t>,</w:t>
            </w:r>
            <w:r w:rsidRPr="00D30FB2">
              <w:rPr>
                <w:lang w:eastAsia="en-US"/>
              </w:rPr>
              <w:t xml:space="preserve"> </w:t>
            </w:r>
            <w:r w:rsidR="0021371F" w:rsidRPr="00D30FB2">
              <w:rPr>
                <w:lang w:eastAsia="en-US"/>
              </w:rPr>
              <w:t>Lauku atbalsta dienests</w:t>
            </w:r>
          </w:p>
        </w:tc>
      </w:tr>
      <w:tr w:rsidR="009117F4" w:rsidRPr="00D30FB2" w:rsidTr="008D4EEA">
        <w:trPr>
          <w:trHeight w:val="147"/>
        </w:trPr>
        <w:tc>
          <w:tcPr>
            <w:tcW w:w="872" w:type="dxa"/>
          </w:tcPr>
          <w:p w:rsidR="009117F4" w:rsidRPr="00D30FB2" w:rsidRDefault="009117F4" w:rsidP="00E06138">
            <w:pPr>
              <w:spacing w:before="100" w:beforeAutospacing="1" w:after="100" w:afterAutospacing="1" w:line="360" w:lineRule="auto"/>
              <w:ind w:firstLine="19"/>
              <w:jc w:val="both"/>
            </w:pPr>
            <w:r w:rsidRPr="00D30FB2">
              <w:t>4.</w:t>
            </w:r>
          </w:p>
        </w:tc>
        <w:tc>
          <w:tcPr>
            <w:tcW w:w="1613" w:type="dxa"/>
          </w:tcPr>
          <w:p w:rsidR="009117F4" w:rsidRPr="00D30FB2" w:rsidRDefault="009117F4" w:rsidP="00E06138">
            <w:r w:rsidRPr="00D30FB2">
              <w:t>Cita informācija</w:t>
            </w:r>
          </w:p>
        </w:tc>
        <w:tc>
          <w:tcPr>
            <w:tcW w:w="7129" w:type="dxa"/>
          </w:tcPr>
          <w:p w:rsidR="009117F4" w:rsidRPr="00D30FB2" w:rsidRDefault="009117F4" w:rsidP="00E06138">
            <w:pPr>
              <w:spacing w:before="100" w:beforeAutospacing="1" w:after="100" w:afterAutospacing="1" w:line="360" w:lineRule="auto"/>
            </w:pPr>
            <w:r w:rsidRPr="00D30FB2">
              <w:t>Nav</w:t>
            </w:r>
          </w:p>
        </w:tc>
      </w:tr>
    </w:tbl>
    <w:p w:rsidR="008B6DFD" w:rsidRPr="00D30FB2" w:rsidRDefault="008B6DFD" w:rsidP="006B42E1">
      <w:pPr>
        <w:ind w:firstLine="301"/>
      </w:pPr>
    </w:p>
    <w:tbl>
      <w:tblPr>
        <w:tblW w:w="550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3"/>
        <w:gridCol w:w="2262"/>
        <w:gridCol w:w="6957"/>
      </w:tblGrid>
      <w:tr w:rsidR="009117F4" w:rsidRPr="00D30FB2" w:rsidTr="00CD1BE7">
        <w:trPr>
          <w:trHeight w:val="555"/>
        </w:trPr>
        <w:tc>
          <w:tcPr>
            <w:tcW w:w="5000" w:type="pct"/>
            <w:gridSpan w:val="3"/>
          </w:tcPr>
          <w:p w:rsidR="009117F4" w:rsidRPr="00D30FB2" w:rsidRDefault="009117F4" w:rsidP="00E06138">
            <w:pPr>
              <w:spacing w:before="100" w:beforeAutospacing="1" w:after="100" w:afterAutospacing="1"/>
              <w:ind w:firstLine="301"/>
              <w:jc w:val="center"/>
              <w:rPr>
                <w:b/>
                <w:bCs/>
              </w:rPr>
            </w:pPr>
            <w:r w:rsidRPr="00D30FB2">
              <w:rPr>
                <w:b/>
                <w:bCs/>
              </w:rPr>
              <w:t>II. Tiesību akta projekta ietekme uz sabiedrību, tautsaimniecības attīstību un administratīvo slogu</w:t>
            </w:r>
          </w:p>
        </w:tc>
      </w:tr>
      <w:tr w:rsidR="009117F4" w:rsidRPr="00D30FB2" w:rsidTr="00CD1BE7">
        <w:trPr>
          <w:trHeight w:val="465"/>
        </w:trPr>
        <w:tc>
          <w:tcPr>
            <w:tcW w:w="382" w:type="pct"/>
          </w:tcPr>
          <w:p w:rsidR="009117F4" w:rsidRPr="00D30FB2" w:rsidRDefault="009117F4" w:rsidP="00E06138">
            <w:r w:rsidRPr="00D30FB2">
              <w:t>1.</w:t>
            </w:r>
          </w:p>
        </w:tc>
        <w:tc>
          <w:tcPr>
            <w:tcW w:w="1133" w:type="pct"/>
          </w:tcPr>
          <w:p w:rsidR="009117F4" w:rsidRPr="00D30FB2" w:rsidRDefault="009117F4" w:rsidP="00E06138">
            <w:pPr>
              <w:rPr>
                <w:lang w:eastAsia="en-US"/>
              </w:rPr>
            </w:pPr>
            <w:r w:rsidRPr="00D30FB2">
              <w:rPr>
                <w:lang w:eastAsia="en-US"/>
              </w:rPr>
              <w:t>Sabiedrības mērķgrupas, kuras tiesiskais regulējums ietekmē vai varētu ietekmēt</w:t>
            </w:r>
          </w:p>
        </w:tc>
        <w:tc>
          <w:tcPr>
            <w:tcW w:w="3485" w:type="pct"/>
          </w:tcPr>
          <w:p w:rsidR="00274145" w:rsidRDefault="00274145" w:rsidP="00260D3F">
            <w:pPr>
              <w:pStyle w:val="naiskr"/>
              <w:numPr>
                <w:ilvl w:val="0"/>
                <w:numId w:val="13"/>
              </w:numPr>
              <w:spacing w:before="0" w:after="0"/>
              <w:jc w:val="both"/>
            </w:pPr>
            <w:r>
              <w:t xml:space="preserve">Aptuveni </w:t>
            </w:r>
            <w:r w:rsidR="00E66227">
              <w:t>100</w:t>
            </w:r>
            <w:r w:rsidRPr="00F15076">
              <w:t xml:space="preserve"> </w:t>
            </w:r>
            <w:r w:rsidRPr="00603054">
              <w:t>„</w:t>
            </w:r>
            <w:r w:rsidR="00E66227" w:rsidRPr="00E66227">
              <w:t>Saudzējošas vides izveide, audzējot augus nektāra ieguvei</w:t>
            </w:r>
            <w:r w:rsidRPr="00603054">
              <w:t>”</w:t>
            </w:r>
            <w:r w:rsidRPr="00881992">
              <w:t xml:space="preserve"> </w:t>
            </w:r>
            <w:r>
              <w:t>atbalsta saņemšanas pretendentu.</w:t>
            </w:r>
          </w:p>
          <w:p w:rsidR="00260D3F" w:rsidRPr="00D30FB2" w:rsidRDefault="00260D3F" w:rsidP="00252D8B">
            <w:pPr>
              <w:pStyle w:val="naiskr"/>
              <w:numPr>
                <w:ilvl w:val="0"/>
                <w:numId w:val="13"/>
              </w:numPr>
              <w:spacing w:before="0" w:after="0"/>
              <w:jc w:val="both"/>
            </w:pPr>
            <w:r>
              <w:t xml:space="preserve">Aptuveni 45 000 </w:t>
            </w:r>
            <w:r w:rsidR="00252D8B" w:rsidRPr="00603054">
              <w:rPr>
                <w:lang w:eastAsia="en-US"/>
              </w:rPr>
              <w:t xml:space="preserve">„Maksājumi apgabaliem, </w:t>
            </w:r>
            <w:proofErr w:type="gramStart"/>
            <w:r w:rsidR="00252D8B" w:rsidRPr="00603054">
              <w:rPr>
                <w:lang w:eastAsia="en-US"/>
              </w:rPr>
              <w:t>kuros ir dabas</w:t>
            </w:r>
            <w:proofErr w:type="gramEnd"/>
            <w:r w:rsidR="00252D8B" w:rsidRPr="00603054">
              <w:rPr>
                <w:lang w:eastAsia="en-US"/>
              </w:rPr>
              <w:t xml:space="preserve"> vai citi specifiski ierobežojumi” </w:t>
            </w:r>
            <w:r>
              <w:t>atbalsta saņemšanas pretendentu.</w:t>
            </w:r>
          </w:p>
        </w:tc>
      </w:tr>
      <w:tr w:rsidR="009117F4" w:rsidRPr="00D30FB2" w:rsidTr="00CD1BE7">
        <w:trPr>
          <w:trHeight w:val="510"/>
        </w:trPr>
        <w:tc>
          <w:tcPr>
            <w:tcW w:w="382" w:type="pct"/>
          </w:tcPr>
          <w:p w:rsidR="009117F4" w:rsidRPr="00D30FB2" w:rsidRDefault="009117F4" w:rsidP="00E06138">
            <w:r w:rsidRPr="00D30FB2">
              <w:t>2.</w:t>
            </w:r>
          </w:p>
        </w:tc>
        <w:tc>
          <w:tcPr>
            <w:tcW w:w="1133" w:type="pct"/>
          </w:tcPr>
          <w:p w:rsidR="009117F4" w:rsidRPr="00D30FB2" w:rsidRDefault="009117F4" w:rsidP="00E06138">
            <w:pPr>
              <w:rPr>
                <w:lang w:eastAsia="en-US"/>
              </w:rPr>
            </w:pPr>
            <w:r w:rsidRPr="00D30FB2">
              <w:rPr>
                <w:lang w:eastAsia="en-US"/>
              </w:rPr>
              <w:t>Tiesiskā regulējuma ietekme uz tautsaimniecību un administratīvo slogu</w:t>
            </w:r>
          </w:p>
        </w:tc>
        <w:tc>
          <w:tcPr>
            <w:tcW w:w="3485" w:type="pct"/>
          </w:tcPr>
          <w:p w:rsidR="00133BE0" w:rsidRPr="00D30FB2" w:rsidRDefault="00E279A4" w:rsidP="002C4EA4">
            <w:pPr>
              <w:jc w:val="both"/>
              <w:rPr>
                <w:lang w:eastAsia="en-US"/>
              </w:rPr>
            </w:pPr>
            <w:r w:rsidRPr="00D30FB2">
              <w:rPr>
                <w:lang w:eastAsia="en-US"/>
              </w:rPr>
              <w:t xml:space="preserve">Noteikumu projekta </w:t>
            </w:r>
            <w:r w:rsidR="00A73BFF">
              <w:rPr>
                <w:lang w:eastAsia="en-US"/>
              </w:rPr>
              <w:t>pieņemšana do</w:t>
            </w:r>
            <w:r w:rsidR="002C4EA4">
              <w:rPr>
                <w:lang w:eastAsia="en-US"/>
              </w:rPr>
              <w:t>s</w:t>
            </w:r>
            <w:r w:rsidR="00A73BFF">
              <w:rPr>
                <w:lang w:eastAsia="en-US"/>
              </w:rPr>
              <w:t xml:space="preserve"> iespēju</w:t>
            </w:r>
            <w:r w:rsidRPr="00D30FB2">
              <w:rPr>
                <w:lang w:eastAsia="en-US"/>
              </w:rPr>
              <w:t xml:space="preserve"> </w:t>
            </w:r>
            <w:r w:rsidR="00106AC9" w:rsidRPr="00603054">
              <w:t>lauku attīstības platībatkarīgo</w:t>
            </w:r>
            <w:r w:rsidR="00106AC9">
              <w:t xml:space="preserve"> maksājumu</w:t>
            </w:r>
            <w:r w:rsidRPr="00D30FB2">
              <w:rPr>
                <w:lang w:eastAsia="en-US"/>
              </w:rPr>
              <w:t xml:space="preserve"> piešķir</w:t>
            </w:r>
            <w:r w:rsidR="002C4EA4">
              <w:rPr>
                <w:lang w:eastAsia="en-US"/>
              </w:rPr>
              <w:t>t</w:t>
            </w:r>
            <w:r w:rsidRPr="00D30FB2">
              <w:rPr>
                <w:lang w:eastAsia="en-US"/>
              </w:rPr>
              <w:t xml:space="preserve"> pretendentiem, k</w:t>
            </w:r>
            <w:r w:rsidR="002C4EA4">
              <w:rPr>
                <w:lang w:eastAsia="en-US"/>
              </w:rPr>
              <w:t>as</w:t>
            </w:r>
            <w:r w:rsidRPr="00D30FB2">
              <w:rPr>
                <w:lang w:eastAsia="en-US"/>
              </w:rPr>
              <w:t xml:space="preserve"> atbildīs a</w:t>
            </w:r>
            <w:r w:rsidR="00942DF1">
              <w:rPr>
                <w:lang w:eastAsia="en-US"/>
              </w:rPr>
              <w:t xml:space="preserve">tbalsta saņemšanas nosacījumiem, </w:t>
            </w:r>
            <w:r w:rsidR="00A73BFF">
              <w:rPr>
                <w:lang w:eastAsia="en-US"/>
              </w:rPr>
              <w:t>un tas</w:t>
            </w:r>
            <w:r w:rsidR="00942DF1">
              <w:rPr>
                <w:lang w:eastAsia="en-US"/>
              </w:rPr>
              <w:t xml:space="preserve"> </w:t>
            </w:r>
            <w:r w:rsidR="00106AC9">
              <w:rPr>
                <w:lang w:eastAsia="en-US"/>
              </w:rPr>
              <w:t>ne</w:t>
            </w:r>
            <w:r w:rsidR="00F4551F" w:rsidRPr="00D30FB2">
              <w:rPr>
                <w:lang w:eastAsia="en-US"/>
              </w:rPr>
              <w:t>radīs administratīv</w:t>
            </w:r>
            <w:r w:rsidR="005E4799" w:rsidRPr="00D30FB2">
              <w:rPr>
                <w:lang w:eastAsia="en-US"/>
              </w:rPr>
              <w:t>ā sloga p</w:t>
            </w:r>
            <w:r w:rsidR="00A73BFF">
              <w:rPr>
                <w:lang w:eastAsia="en-US"/>
              </w:rPr>
              <w:t>alielināšanos</w:t>
            </w:r>
            <w:r w:rsidR="005E4799" w:rsidRPr="00D30FB2">
              <w:rPr>
                <w:lang w:eastAsia="en-US"/>
              </w:rPr>
              <w:t xml:space="preserve"> </w:t>
            </w:r>
            <w:r w:rsidR="00106AC9" w:rsidRPr="00603054">
              <w:t>lauku attīstības platībatkarīgo</w:t>
            </w:r>
            <w:r w:rsidR="005E4799" w:rsidRPr="00D30FB2">
              <w:rPr>
                <w:lang w:eastAsia="en-US"/>
              </w:rPr>
              <w:t xml:space="preserve"> maksājumu pretendentiem, </w:t>
            </w:r>
            <w:r w:rsidR="00106AC9">
              <w:rPr>
                <w:lang w:eastAsia="en-US"/>
              </w:rPr>
              <w:t>jo pamat</w:t>
            </w:r>
            <w:r w:rsidR="002C4EA4">
              <w:rPr>
                <w:lang w:eastAsia="en-US"/>
              </w:rPr>
              <w:t>os</w:t>
            </w:r>
            <w:r w:rsidR="00106AC9">
              <w:rPr>
                <w:lang w:eastAsia="en-US"/>
              </w:rPr>
              <w:t xml:space="preserve"> tiek saglabāta iepriekšējā plānošanas perioda atbalsta administrēšanas pieeja.</w:t>
            </w:r>
          </w:p>
        </w:tc>
      </w:tr>
      <w:tr w:rsidR="009117F4" w:rsidRPr="00D30FB2" w:rsidTr="00CD1BE7">
        <w:trPr>
          <w:trHeight w:val="510"/>
        </w:trPr>
        <w:tc>
          <w:tcPr>
            <w:tcW w:w="382" w:type="pct"/>
          </w:tcPr>
          <w:p w:rsidR="009117F4" w:rsidRPr="00D30FB2" w:rsidRDefault="009117F4" w:rsidP="00E06138">
            <w:r w:rsidRPr="00D30FB2">
              <w:lastRenderedPageBreak/>
              <w:t>3.</w:t>
            </w:r>
          </w:p>
        </w:tc>
        <w:tc>
          <w:tcPr>
            <w:tcW w:w="1133" w:type="pct"/>
          </w:tcPr>
          <w:p w:rsidR="009117F4" w:rsidRPr="00D30FB2" w:rsidRDefault="009117F4" w:rsidP="00E06138">
            <w:pPr>
              <w:rPr>
                <w:lang w:eastAsia="en-US"/>
              </w:rPr>
            </w:pPr>
            <w:r w:rsidRPr="00D30FB2">
              <w:rPr>
                <w:lang w:eastAsia="en-US"/>
              </w:rPr>
              <w:t>Administratīvo izmaksu monetārs novērtējums</w:t>
            </w:r>
            <w:r w:rsidR="002B42DB">
              <w:rPr>
                <w:lang w:eastAsia="en-US"/>
              </w:rPr>
              <w:t>.</w:t>
            </w:r>
          </w:p>
        </w:tc>
        <w:tc>
          <w:tcPr>
            <w:tcW w:w="3485" w:type="pct"/>
          </w:tcPr>
          <w:p w:rsidR="009117F4" w:rsidRPr="00D30FB2" w:rsidRDefault="007E22BA" w:rsidP="00A73BFF">
            <w:pPr>
              <w:jc w:val="both"/>
            </w:pPr>
            <w:bookmarkStart w:id="0" w:name="p-468669"/>
            <w:bookmarkStart w:id="1" w:name="p24"/>
            <w:bookmarkEnd w:id="0"/>
            <w:bookmarkEnd w:id="1"/>
            <w:r>
              <w:rPr>
                <w:lang w:eastAsia="en-US"/>
              </w:rPr>
              <w:t xml:space="preserve">Lai pieteiktos uz kādu no iepriekšminētajiem </w:t>
            </w:r>
            <w:r>
              <w:t>lauku attīstības platībatkarīgajiem atbalstiem</w:t>
            </w:r>
            <w:r w:rsidR="00A73BFF">
              <w:t>,</w:t>
            </w:r>
            <w:r w:rsidR="00F8527F">
              <w:t xml:space="preserve"> nepieciešams aizpildīt </w:t>
            </w:r>
            <w:r>
              <w:rPr>
                <w:lang w:eastAsia="en-US"/>
              </w:rPr>
              <w:t>Vienot</w:t>
            </w:r>
            <w:r w:rsidR="00F8527F">
              <w:rPr>
                <w:lang w:eastAsia="en-US"/>
              </w:rPr>
              <w:t>o</w:t>
            </w:r>
            <w:r>
              <w:rPr>
                <w:lang w:eastAsia="en-US"/>
              </w:rPr>
              <w:t xml:space="preserve"> iesniegum</w:t>
            </w:r>
            <w:r w:rsidR="00F8527F">
              <w:rPr>
                <w:lang w:eastAsia="en-US"/>
              </w:rPr>
              <w:t>u saskaņā ar normatīvajiem aktiem par t</w:t>
            </w:r>
            <w:r w:rsidR="00F8527F">
              <w:t xml:space="preserve">iešo maksājumu piešķiršanas kārtību lauksaimniekiem. Šis iesniegums ir Ministru kabineta 2015.gada 10.marta noteikumu Nr.126 ”Tiešo maksājumu piešķiršanas kārtība lauksaimniekiem” (turpmāk – noteikumi </w:t>
            </w:r>
            <w:r w:rsidR="00A73BFF">
              <w:t>N</w:t>
            </w:r>
            <w:r w:rsidR="00F8527F">
              <w:t xml:space="preserve">r.126) 1.pielikums, un tā aizpildīšanas </w:t>
            </w:r>
            <w:r w:rsidR="00F8527F">
              <w:rPr>
                <w:lang w:eastAsia="en-US"/>
              </w:rPr>
              <w:t>a</w:t>
            </w:r>
            <w:r w:rsidRPr="00D30FB2">
              <w:rPr>
                <w:lang w:eastAsia="en-US"/>
              </w:rPr>
              <w:t>dministratīvo izmaksu monetārs novērtējums</w:t>
            </w:r>
            <w:r w:rsidR="00F8527F">
              <w:rPr>
                <w:lang w:eastAsia="en-US"/>
              </w:rPr>
              <w:t xml:space="preserve"> ir ietverts noteikumu Nr.126 anotācijā</w:t>
            </w:r>
            <w:r w:rsidR="00F8527F">
              <w:t xml:space="preserve">, kas ir par pamatu arī šī noteikumu projekta </w:t>
            </w:r>
            <w:r>
              <w:t>atbalsta pasākumi</w:t>
            </w:r>
            <w:r w:rsidR="00F8527F">
              <w:t xml:space="preserve">em. </w:t>
            </w:r>
            <w:r w:rsidR="00A73BFF">
              <w:rPr>
                <w:b/>
              </w:rPr>
              <w:t>Ievērojot minēto,</w:t>
            </w:r>
            <w:r w:rsidR="00F8527F" w:rsidRPr="008907EA">
              <w:rPr>
                <w:b/>
              </w:rPr>
              <w:t xml:space="preserve"> šajā noteikumu projektā administratīvo izmaksu monetārais novērtējums nav iekļaujams.</w:t>
            </w:r>
            <w:r w:rsidR="00F8527F">
              <w:t xml:space="preserve"> </w:t>
            </w:r>
          </w:p>
        </w:tc>
      </w:tr>
      <w:tr w:rsidR="009117F4" w:rsidRPr="00D30FB2" w:rsidTr="00CD1BE7">
        <w:trPr>
          <w:trHeight w:val="345"/>
        </w:trPr>
        <w:tc>
          <w:tcPr>
            <w:tcW w:w="382" w:type="pct"/>
          </w:tcPr>
          <w:p w:rsidR="009117F4" w:rsidRPr="00D30FB2" w:rsidRDefault="009117F4" w:rsidP="00E06138">
            <w:r w:rsidRPr="00D30FB2">
              <w:t>4.</w:t>
            </w:r>
          </w:p>
        </w:tc>
        <w:tc>
          <w:tcPr>
            <w:tcW w:w="1133" w:type="pct"/>
          </w:tcPr>
          <w:p w:rsidR="009117F4" w:rsidRPr="00D30FB2" w:rsidRDefault="009117F4" w:rsidP="00E06138">
            <w:pPr>
              <w:rPr>
                <w:lang w:eastAsia="en-US"/>
              </w:rPr>
            </w:pPr>
            <w:r w:rsidRPr="00D30FB2">
              <w:rPr>
                <w:lang w:eastAsia="en-US"/>
              </w:rPr>
              <w:t>Cita informācija</w:t>
            </w:r>
          </w:p>
        </w:tc>
        <w:tc>
          <w:tcPr>
            <w:tcW w:w="3485" w:type="pct"/>
          </w:tcPr>
          <w:p w:rsidR="009117F4" w:rsidRPr="00D30FB2" w:rsidRDefault="009C2D35" w:rsidP="00E06138">
            <w:pPr>
              <w:spacing w:before="100" w:beforeAutospacing="1" w:after="100" w:afterAutospacing="1" w:line="360" w:lineRule="auto"/>
            </w:pPr>
            <w:r w:rsidRPr="00D30FB2">
              <w:t>Nav</w:t>
            </w:r>
          </w:p>
        </w:tc>
      </w:tr>
    </w:tbl>
    <w:p w:rsidR="00777B15" w:rsidRDefault="00777B15" w:rsidP="00777B15">
      <w:pPr>
        <w:pStyle w:val="a"/>
        <w:tabs>
          <w:tab w:val="left" w:pos="1494"/>
          <w:tab w:val="center" w:pos="4357"/>
        </w:tabs>
        <w:spacing w:before="0" w:beforeAutospacing="0" w:after="0" w:afterAutospacing="0"/>
        <w:rPr>
          <w:b/>
        </w:rPr>
      </w:pPr>
      <w:r>
        <w:rPr>
          <w:b/>
        </w:rPr>
        <w:tab/>
      </w:r>
    </w:p>
    <w:p w:rsidR="00777B15" w:rsidRDefault="00777B15" w:rsidP="00777B15">
      <w:pPr>
        <w:pStyle w:val="a"/>
        <w:tabs>
          <w:tab w:val="left" w:pos="1494"/>
          <w:tab w:val="center" w:pos="4357"/>
        </w:tabs>
        <w:spacing w:before="0" w:beforeAutospacing="0" w:after="0" w:afterAutospacing="0"/>
        <w:rPr>
          <w:b/>
        </w:rPr>
      </w:pPr>
      <w:r>
        <w:rPr>
          <w:b/>
        </w:rPr>
        <w:t xml:space="preserve">Anotācijas III, </w:t>
      </w:r>
      <w:r w:rsidR="00A624CC">
        <w:rPr>
          <w:b/>
        </w:rPr>
        <w:t xml:space="preserve">un </w:t>
      </w:r>
      <w:r w:rsidRPr="00B8565C">
        <w:rPr>
          <w:b/>
        </w:rPr>
        <w:t>IV</w:t>
      </w:r>
      <w:r>
        <w:rPr>
          <w:b/>
        </w:rPr>
        <w:t xml:space="preserve"> </w:t>
      </w:r>
      <w:r w:rsidR="00A624CC">
        <w:rPr>
          <w:b/>
        </w:rPr>
        <w:t xml:space="preserve">- </w:t>
      </w:r>
      <w:r w:rsidRPr="00B8565C">
        <w:rPr>
          <w:b/>
        </w:rPr>
        <w:t>projekts šo jomu neskar.</w:t>
      </w:r>
    </w:p>
    <w:p w:rsidR="00A624CC" w:rsidRDefault="00943E4E" w:rsidP="00943E4E">
      <w:r w:rsidRPr="00D30FB2">
        <w:t> </w:t>
      </w:r>
    </w:p>
    <w:tbl>
      <w:tblPr>
        <w:tblW w:w="53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
        <w:gridCol w:w="2627"/>
        <w:gridCol w:w="6291"/>
      </w:tblGrid>
      <w:tr w:rsidR="00DC26CD" w:rsidRPr="00DC26CD" w:rsidTr="00F64690">
        <w:tc>
          <w:tcPr>
            <w:tcW w:w="5000" w:type="pct"/>
            <w:gridSpan w:val="3"/>
          </w:tcPr>
          <w:p w:rsidR="00A624CC" w:rsidRPr="00DC26CD" w:rsidRDefault="00A624CC" w:rsidP="00F64690">
            <w:pPr>
              <w:rPr>
                <w:b/>
                <w:bCs/>
              </w:rPr>
            </w:pPr>
            <w:r w:rsidRPr="00DC26CD">
              <w:rPr>
                <w:b/>
                <w:bCs/>
              </w:rPr>
              <w:t>V. Tiesību akta projekta atbilstība Latvijas Republikas starptautiskajām saistībām</w:t>
            </w:r>
          </w:p>
        </w:tc>
      </w:tr>
      <w:tr w:rsidR="00DC26CD" w:rsidRPr="00DC26CD" w:rsidTr="00F64690">
        <w:tc>
          <w:tcPr>
            <w:tcW w:w="393" w:type="pct"/>
          </w:tcPr>
          <w:p w:rsidR="00A624CC" w:rsidRPr="00DC26CD" w:rsidRDefault="00A624CC" w:rsidP="00F64690">
            <w:r w:rsidRPr="00DC26CD">
              <w:t>1.</w:t>
            </w:r>
          </w:p>
        </w:tc>
        <w:tc>
          <w:tcPr>
            <w:tcW w:w="1357" w:type="pct"/>
          </w:tcPr>
          <w:p w:rsidR="00A624CC" w:rsidRPr="00DC26CD" w:rsidRDefault="00A624CC" w:rsidP="00F64690">
            <w:r w:rsidRPr="00DC26CD">
              <w:t>Saistības pret Eiropas Savienību</w:t>
            </w:r>
          </w:p>
        </w:tc>
        <w:tc>
          <w:tcPr>
            <w:tcW w:w="3250" w:type="pct"/>
          </w:tcPr>
          <w:p w:rsidR="00A624CC" w:rsidRPr="00225E21" w:rsidRDefault="00A624CC" w:rsidP="00F64690">
            <w:pPr>
              <w:jc w:val="both"/>
            </w:pPr>
            <w:r w:rsidRPr="00225E21">
              <w:t>Noteikumu projekts ir sagatavots, pamatojoties uz šād</w:t>
            </w:r>
            <w:r w:rsidR="001E000E" w:rsidRPr="00225E21">
              <w:t xml:space="preserve">u </w:t>
            </w:r>
            <w:r w:rsidRPr="00225E21">
              <w:t>regul</w:t>
            </w:r>
            <w:r w:rsidR="001E000E" w:rsidRPr="00225E21">
              <w:t>u</w:t>
            </w:r>
            <w:r w:rsidRPr="00225E21">
              <w:t>:</w:t>
            </w:r>
          </w:p>
          <w:p w:rsidR="007107CD" w:rsidRPr="00225E21" w:rsidRDefault="004F113B" w:rsidP="004F113B">
            <w:pPr>
              <w:pStyle w:val="Punkts"/>
            </w:pPr>
            <w:r w:rsidRPr="00225E21">
              <w:t xml:space="preserve">1) </w:t>
            </w:r>
            <w:r w:rsidR="00BD1AA6" w:rsidRPr="00225E21">
              <w:t>Komisijas 2016. gada 28. aprīļa Īstenošanas regula (ES) Nr. </w:t>
            </w:r>
            <w:hyperlink r:id="rId10" w:tgtFrame="_blank" w:history="1">
              <w:r w:rsidR="00BD1AA6" w:rsidRPr="00225E21">
                <w:t>669/201</w:t>
              </w:r>
            </w:hyperlink>
            <w:r w:rsidR="00BD1AA6" w:rsidRPr="00225E21">
              <w:t>6 ar ko Īstenošanas Regulu (ES) Nr. 808/2014 groza attiecībā uz lauku attīstības programmu grozīšanu un saturu, šo programmu publicitāti un konversijas likmēm pārrēķināšanai nosacītajās mājlopu vienībās</w:t>
            </w:r>
            <w:r w:rsidRPr="00225E21">
              <w:t>;</w:t>
            </w:r>
          </w:p>
          <w:p w:rsidR="004F113B" w:rsidRPr="00225E21" w:rsidRDefault="004F113B" w:rsidP="004F113B">
            <w:pPr>
              <w:jc w:val="both"/>
            </w:pPr>
            <w:r w:rsidRPr="00225E21">
              <w:t>2) Komisijas 2014. gada 17. jūlija Īstenošanas regulu (ES) Nr. 808/2014, ar kuru paredz noteikumus, kā piemērot Eiropas Parlamenta un Padomes Regulu (ES) Nr. 1305/2013 par atbalstu lauku attīstībai no Eiropas Lauksaimniecības fonda lauku attīstībai (ELFLA);</w:t>
            </w:r>
          </w:p>
          <w:p w:rsidR="004F113B" w:rsidRPr="00225E21" w:rsidRDefault="00B43173" w:rsidP="00B43173">
            <w:pPr>
              <w:jc w:val="both"/>
            </w:pPr>
            <w:r w:rsidRPr="00225E21">
              <w:t>3) Eiropas Parlamenta un Padomes 2013. gada 17. decembra Regulas (ES) Nr. 1306/2013 par kopējās lauksaimniecības politikas finansēšanu, pārvaldību un uzraudzību un Padomes Regulu (EEK) Nr. 352/78, (EK) Nr. 165/94, (EK) Nr. 2799/98, (EK) Nr. 814/2000, (EK) Nr. 1290/2005 un (EK) Nr. 485/2008 atcelšanu;</w:t>
            </w:r>
          </w:p>
          <w:p w:rsidR="00F64690" w:rsidRPr="00225E21" w:rsidRDefault="00F64690" w:rsidP="00F64690">
            <w:pPr>
              <w:jc w:val="both"/>
            </w:pPr>
            <w:r w:rsidRPr="00225E21">
              <w:t>4) Padomes 2013. gada 17. decembra Regulas (ES) Nr. 1305/2013 par atbalstu lauku attīstībai no Eiropas Lauksaimniecības fonda lauku attīstībai (ELFLA) un ar ko atceļ Padomes Regulu (EK) Nr. 1698/2005;</w:t>
            </w:r>
          </w:p>
          <w:p w:rsidR="00F64690" w:rsidRPr="00225E21" w:rsidRDefault="00F64690" w:rsidP="00F64690">
            <w:pPr>
              <w:jc w:val="both"/>
            </w:pPr>
            <w:r w:rsidRPr="00225E21">
              <w:t>5) Padomes 2007. gada 28. jūnija Regulu (EK) Nr. 834/2007 par bioloģisko ražošanu un bioloģisko produktu marķēšanu un par Regulas (EEK) Nr. 2092/91 atcelšanu;</w:t>
            </w:r>
          </w:p>
          <w:p w:rsidR="00F64690" w:rsidRPr="004F113B" w:rsidRDefault="00F64690" w:rsidP="00225E21">
            <w:pPr>
              <w:jc w:val="both"/>
            </w:pPr>
            <w:r w:rsidRPr="00225E21">
              <w:t>6) Komisijas 2014. gada 11. marta Deleģētās regulas (ES) Nr. 640/2014, ar ko papildina Eiropas Parlamenta un Padomes Regulu (ES) Nr. 1306/2013 attiecībā uz integrēto administrācijas un kontroles sistēmu, maksājumu atteikšanas vai atsaukšanas nosacījumiem un administratīvajiem sodiem, kas piemērojami tiešo maksājumu, lauku attīstības atbalsta un savstarpējās atbilstības kontekstā</w:t>
            </w:r>
            <w:r w:rsidR="00225E21" w:rsidRPr="00225E21">
              <w:t>.</w:t>
            </w:r>
          </w:p>
        </w:tc>
      </w:tr>
      <w:tr w:rsidR="00DC26CD" w:rsidRPr="00DC26CD" w:rsidTr="00F64690">
        <w:tc>
          <w:tcPr>
            <w:tcW w:w="393" w:type="pct"/>
          </w:tcPr>
          <w:p w:rsidR="00A624CC" w:rsidRPr="00DC26CD" w:rsidRDefault="00A624CC" w:rsidP="00F64690">
            <w:r w:rsidRPr="00DC26CD">
              <w:t>2.</w:t>
            </w:r>
          </w:p>
        </w:tc>
        <w:tc>
          <w:tcPr>
            <w:tcW w:w="1357" w:type="pct"/>
          </w:tcPr>
          <w:p w:rsidR="00A624CC" w:rsidRPr="00DC26CD" w:rsidRDefault="00A624CC" w:rsidP="00F64690">
            <w:r w:rsidRPr="00DC26CD">
              <w:t>Citas starptautiskās saistības</w:t>
            </w:r>
          </w:p>
        </w:tc>
        <w:tc>
          <w:tcPr>
            <w:tcW w:w="3250" w:type="pct"/>
          </w:tcPr>
          <w:p w:rsidR="00A624CC" w:rsidRPr="00DC26CD" w:rsidRDefault="00A624CC" w:rsidP="00F64690">
            <w:r w:rsidRPr="00DC26CD">
              <w:t>Nav</w:t>
            </w:r>
          </w:p>
        </w:tc>
      </w:tr>
      <w:tr w:rsidR="00DC26CD" w:rsidRPr="00DC26CD" w:rsidTr="00F64690">
        <w:tc>
          <w:tcPr>
            <w:tcW w:w="393" w:type="pct"/>
          </w:tcPr>
          <w:p w:rsidR="00A624CC" w:rsidRPr="00DC26CD" w:rsidRDefault="00A624CC" w:rsidP="00F64690">
            <w:r w:rsidRPr="00DC26CD">
              <w:t>3.</w:t>
            </w:r>
          </w:p>
        </w:tc>
        <w:tc>
          <w:tcPr>
            <w:tcW w:w="1357" w:type="pct"/>
          </w:tcPr>
          <w:p w:rsidR="00A624CC" w:rsidRPr="00DC26CD" w:rsidRDefault="00A624CC" w:rsidP="00F64690">
            <w:r w:rsidRPr="00DC26CD">
              <w:t>Cita informācija</w:t>
            </w:r>
          </w:p>
        </w:tc>
        <w:tc>
          <w:tcPr>
            <w:tcW w:w="3250" w:type="pct"/>
          </w:tcPr>
          <w:p w:rsidR="00A624CC" w:rsidRPr="00DC26CD" w:rsidRDefault="00A624CC" w:rsidP="00F64690">
            <w:r w:rsidRPr="00DC26CD">
              <w:t>Nav</w:t>
            </w:r>
          </w:p>
        </w:tc>
      </w:tr>
    </w:tbl>
    <w:p w:rsidR="00943E4E" w:rsidRDefault="00943E4E" w:rsidP="00943E4E"/>
    <w:tbl>
      <w:tblPr>
        <w:tblW w:w="53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8"/>
        <w:gridCol w:w="2211"/>
        <w:gridCol w:w="1069"/>
        <w:gridCol w:w="263"/>
        <w:gridCol w:w="3368"/>
      </w:tblGrid>
      <w:tr w:rsidR="00DC26CD" w:rsidRPr="00DC26CD" w:rsidTr="00F64690">
        <w:tc>
          <w:tcPr>
            <w:tcW w:w="5000" w:type="pct"/>
            <w:gridSpan w:val="5"/>
          </w:tcPr>
          <w:p w:rsidR="000645F6" w:rsidRPr="003F6573" w:rsidRDefault="000645F6" w:rsidP="00F64690">
            <w:pPr>
              <w:rPr>
                <w:b/>
                <w:bCs/>
              </w:rPr>
            </w:pPr>
            <w:r w:rsidRPr="003F6573">
              <w:rPr>
                <w:b/>
                <w:bCs/>
              </w:rPr>
              <w:t>1.tabula</w:t>
            </w:r>
            <w:r w:rsidRPr="003F6573">
              <w:rPr>
                <w:b/>
                <w:bCs/>
              </w:rPr>
              <w:br/>
              <w:t>Tiesību akta projekta atbilstība ES tiesību aktiem</w:t>
            </w:r>
          </w:p>
        </w:tc>
      </w:tr>
      <w:tr w:rsidR="00DC26CD" w:rsidRPr="00DC26CD" w:rsidTr="00F64690">
        <w:tc>
          <w:tcPr>
            <w:tcW w:w="1430" w:type="pct"/>
          </w:tcPr>
          <w:p w:rsidR="000645F6" w:rsidRPr="003F6573" w:rsidRDefault="000645F6" w:rsidP="00F64690">
            <w:r w:rsidRPr="003F6573">
              <w:t>Attiecīgā ES tiesību akta datums, numurs un nosaukums</w:t>
            </w:r>
          </w:p>
        </w:tc>
        <w:tc>
          <w:tcPr>
            <w:tcW w:w="3570" w:type="pct"/>
            <w:gridSpan w:val="4"/>
          </w:tcPr>
          <w:p w:rsidR="000645F6" w:rsidRDefault="004F113B" w:rsidP="003F6573">
            <w:pPr>
              <w:pStyle w:val="Punkts"/>
              <w:rPr>
                <w:iCs/>
                <w:szCs w:val="28"/>
              </w:rPr>
            </w:pPr>
            <w:r>
              <w:rPr>
                <w:iCs/>
                <w:szCs w:val="28"/>
              </w:rPr>
              <w:t xml:space="preserve">1) </w:t>
            </w:r>
            <w:r w:rsidR="00B322C1" w:rsidRPr="008824BC">
              <w:rPr>
                <w:iCs/>
                <w:szCs w:val="28"/>
              </w:rPr>
              <w:t>Komisijas 2016. gada 28. aprīļa Īstenošanas regulai (ES) Nr. </w:t>
            </w:r>
            <w:hyperlink r:id="rId11" w:tgtFrame="_blank" w:history="1">
              <w:r w:rsidR="00B322C1" w:rsidRPr="008824BC">
                <w:rPr>
                  <w:iCs/>
                  <w:szCs w:val="28"/>
                </w:rPr>
                <w:t>669/201</w:t>
              </w:r>
            </w:hyperlink>
            <w:r w:rsidR="00B322C1" w:rsidRPr="008824BC">
              <w:rPr>
                <w:iCs/>
                <w:szCs w:val="28"/>
              </w:rPr>
              <w:t>6, ar ko Īstenošanas Regulu (ES) Nr. 808/2014 groza attiecībā uz lauku attīstības programmu grozīšanu un saturu, šo programmu publicitāti un konversijas likmēm pārrēķināšanai nosacītajās mājlopu vienībās (turpmāk – regula Nr. </w:t>
            </w:r>
            <w:hyperlink r:id="rId12" w:tgtFrame="_blank" w:history="1">
              <w:r w:rsidR="00B322C1" w:rsidRPr="008824BC">
                <w:rPr>
                  <w:iCs/>
                  <w:szCs w:val="28"/>
                </w:rPr>
                <w:t>669/201</w:t>
              </w:r>
            </w:hyperlink>
            <w:r w:rsidR="00B322C1" w:rsidRPr="008824BC">
              <w:rPr>
                <w:iCs/>
                <w:szCs w:val="28"/>
              </w:rPr>
              <w:t>6</w:t>
            </w:r>
            <w:r>
              <w:rPr>
                <w:iCs/>
                <w:szCs w:val="28"/>
              </w:rPr>
              <w:t>);</w:t>
            </w:r>
          </w:p>
          <w:p w:rsidR="004F113B" w:rsidRPr="00A776D6" w:rsidRDefault="004F113B" w:rsidP="00A776D6">
            <w:pPr>
              <w:jc w:val="both"/>
            </w:pPr>
            <w:r>
              <w:t xml:space="preserve">2) </w:t>
            </w:r>
            <w:r w:rsidR="00783388" w:rsidRPr="004F113B">
              <w:t>Komisijas 2014. gada 17. jūlija Īstenošanas r</w:t>
            </w:r>
            <w:r w:rsidR="00783388" w:rsidRPr="00A776D6">
              <w:t>egulu (ES) Nr. 808/2014, ar kuru paredz noteikumus, kā piemērot Eiropas Parlamenta un Padomes Regulu (ES) Nr. 1305/2013 par atbalstu lauku attīstībai no Eiropas Lauksaimniecības fonda lauku attīstībai (ELFLA)</w:t>
            </w:r>
            <w:r w:rsidR="00783388" w:rsidRPr="00A776D6">
              <w:rPr>
                <w:iCs/>
              </w:rPr>
              <w:t xml:space="preserve"> (turpmāk – regula Nr. </w:t>
            </w:r>
            <w:hyperlink r:id="rId13" w:tgtFrame="_blank" w:history="1">
              <w:r w:rsidR="00783388" w:rsidRPr="00A776D6">
                <w:rPr>
                  <w:iCs/>
                </w:rPr>
                <w:t>808/201</w:t>
              </w:r>
            </w:hyperlink>
            <w:r w:rsidR="00783388" w:rsidRPr="00A776D6">
              <w:t>4</w:t>
            </w:r>
            <w:r w:rsidR="00783388" w:rsidRPr="00A776D6">
              <w:rPr>
                <w:iCs/>
              </w:rPr>
              <w:t>)</w:t>
            </w:r>
            <w:r w:rsidR="00783388" w:rsidRPr="00A776D6">
              <w:t>;</w:t>
            </w:r>
          </w:p>
          <w:p w:rsidR="00B43173" w:rsidRPr="00A776D6" w:rsidRDefault="00B43173" w:rsidP="00A776D6">
            <w:pPr>
              <w:jc w:val="both"/>
            </w:pPr>
            <w:r w:rsidRPr="00A776D6">
              <w:t>3) Eiropas Parlamenta un Padomes 2013. gada 17. decembra Regulas (ES) Nr. 1306/2013 par kopējās lauksaimniecības politikas finansēšanu, pārvaldību un uzraudzību un Padomes Regulu (EEK) Nr. 352/78, (EK) Nr. 165/94, (EK) Nr. 2799/98, (EK) Nr. 814/2000, (EK) Nr. 1290/2005 un (EK) Nr. 485/2008 atcelšanu (turpmāk – Regula Nr. 1306/2013);</w:t>
            </w:r>
          </w:p>
          <w:p w:rsidR="00F64690" w:rsidRPr="00A776D6" w:rsidRDefault="00F64690" w:rsidP="00A776D6">
            <w:pPr>
              <w:jc w:val="both"/>
            </w:pPr>
            <w:r w:rsidRPr="00A776D6">
              <w:t>4) Padomes 2013. gada 17. decembra Regulas (ES) Nr. 1305/2013 par atbalstu lauku attīstībai no Eiropas Lauksaimniecības fonda lauku attīstībai (ELFLA) un ar ko atceļ Padomes Regulu (EK) Nr. 1698/2005 (turpmāk – Regula Nr. 1305/2013);</w:t>
            </w:r>
          </w:p>
          <w:p w:rsidR="004F113B" w:rsidRPr="00A776D6" w:rsidRDefault="00F64690" w:rsidP="00A776D6">
            <w:pPr>
              <w:jc w:val="both"/>
            </w:pPr>
            <w:r w:rsidRPr="00A776D6">
              <w:t>5) Padomes 2007. gada 28. jūnija Regulu (EK) Nr. 834/2007 par bioloģisko ražošanu un bioloģisko produktu marķēšanu un par Regulas (EEK) Nr. 2092/91 atcelšanu (turpmāk - Regula Nr. 834/2007);</w:t>
            </w:r>
          </w:p>
          <w:p w:rsidR="00F64690" w:rsidRPr="004F113B" w:rsidRDefault="00F64690" w:rsidP="00225E21">
            <w:pPr>
              <w:jc w:val="both"/>
            </w:pPr>
            <w:r w:rsidRPr="00A776D6">
              <w:t>6) Komisijas 2014. gada 11. marta Deleģētās regulas (ES) Nr. 640/2014, ar ko papildina Eiropas Parlamenta un Padomes Regulu (ES) Nr. 1306/2013 attiecībā uz integrēto administrācijas un kontroles sistēmu, maksājumu atteikšanas vai atsaukšanas nosacījumiem un administratīvajiem sodiem, kas piemērojami tiešo maksājumu, lauku attīstības atbalsta un savstarpējās atbilstības kontekstā, (turpmāk – Regula Nr. 640/2014)</w:t>
            </w:r>
            <w:r w:rsidR="00225E21">
              <w:t>.</w:t>
            </w:r>
          </w:p>
        </w:tc>
      </w:tr>
      <w:tr w:rsidR="00DC26CD" w:rsidRPr="00DC26CD" w:rsidTr="00F64690">
        <w:tc>
          <w:tcPr>
            <w:tcW w:w="1430" w:type="pct"/>
          </w:tcPr>
          <w:p w:rsidR="000645F6" w:rsidRPr="00DC26CD" w:rsidRDefault="000645F6" w:rsidP="00F64690">
            <w:r w:rsidRPr="00DC26CD">
              <w:t>A</w:t>
            </w:r>
          </w:p>
        </w:tc>
        <w:tc>
          <w:tcPr>
            <w:tcW w:w="1142" w:type="pct"/>
          </w:tcPr>
          <w:p w:rsidR="000645F6" w:rsidRPr="00DC26CD" w:rsidRDefault="000645F6" w:rsidP="00F64690">
            <w:r w:rsidRPr="00DC26CD">
              <w:t>B</w:t>
            </w:r>
          </w:p>
        </w:tc>
        <w:tc>
          <w:tcPr>
            <w:tcW w:w="552" w:type="pct"/>
          </w:tcPr>
          <w:p w:rsidR="000645F6" w:rsidRPr="00DC26CD" w:rsidRDefault="000645F6" w:rsidP="00F64690">
            <w:r w:rsidRPr="00DC26CD">
              <w:t>C</w:t>
            </w:r>
          </w:p>
        </w:tc>
        <w:tc>
          <w:tcPr>
            <w:tcW w:w="1876" w:type="pct"/>
            <w:gridSpan w:val="2"/>
          </w:tcPr>
          <w:p w:rsidR="000645F6" w:rsidRPr="00DC26CD" w:rsidRDefault="000645F6" w:rsidP="00F64690">
            <w:r w:rsidRPr="00DC26CD">
              <w:t>D</w:t>
            </w:r>
          </w:p>
        </w:tc>
      </w:tr>
      <w:tr w:rsidR="00225E21" w:rsidRPr="00DC26CD" w:rsidTr="00F64690">
        <w:tc>
          <w:tcPr>
            <w:tcW w:w="1430" w:type="pct"/>
          </w:tcPr>
          <w:p w:rsidR="00225E21" w:rsidRPr="00DC26CD" w:rsidRDefault="00225E21" w:rsidP="00AF0BA9">
            <w:pPr>
              <w:jc w:val="both"/>
            </w:pPr>
            <w:r w:rsidRPr="00DC26CD">
              <w:t>Kā ir izmantota ES tiesību aktā paredzētā rīcības brīvība dalībvalstij pārņemt vai ieviest noteiktas ES tiesību akta normas?</w:t>
            </w:r>
            <w:r w:rsidRPr="00DC26CD">
              <w:br/>
              <w:t>Kādēļ?</w:t>
            </w:r>
          </w:p>
        </w:tc>
        <w:tc>
          <w:tcPr>
            <w:tcW w:w="3570" w:type="pct"/>
            <w:gridSpan w:val="4"/>
            <w:shd w:val="clear" w:color="auto" w:fill="auto"/>
          </w:tcPr>
          <w:p w:rsidR="00225E21" w:rsidRPr="00DC26CD" w:rsidRDefault="00510753" w:rsidP="00065BBD">
            <w:pPr>
              <w:pStyle w:val="Pamattekstsaratkpi"/>
              <w:widowControl w:val="0"/>
              <w:spacing w:after="0"/>
              <w:ind w:left="0"/>
              <w:jc w:val="both"/>
              <w:rPr>
                <w:lang w:val="lv-LV"/>
              </w:rPr>
            </w:pPr>
            <w:r>
              <w:rPr>
                <w:lang w:val="lv-LV"/>
              </w:rPr>
              <w:t>NAV</w:t>
            </w:r>
          </w:p>
        </w:tc>
      </w:tr>
      <w:tr w:rsidR="00225E21" w:rsidRPr="00DC26CD" w:rsidTr="00F64690">
        <w:tc>
          <w:tcPr>
            <w:tcW w:w="1430" w:type="pct"/>
          </w:tcPr>
          <w:p w:rsidR="00225E21" w:rsidRPr="00DC26CD" w:rsidRDefault="00225E21" w:rsidP="00A30C7A">
            <w:r w:rsidRPr="00DC26CD">
              <w:t xml:space="preserve">Saistības sniegt paziņojumu ES institūcijām un ES dalībvalstīm atbilstoši normatīvajiem aktiem, kas regulē informācijas sniegšanu par tehnisko noteikumu, valsts atbalsta </w:t>
            </w:r>
            <w:r w:rsidRPr="00DC26CD">
              <w:lastRenderedPageBreak/>
              <w:t>piešķiršanas un finanšu noteikumu (attiecībā uz monetāro politiku) projektiem</w:t>
            </w:r>
          </w:p>
        </w:tc>
        <w:tc>
          <w:tcPr>
            <w:tcW w:w="3570" w:type="pct"/>
            <w:gridSpan w:val="4"/>
          </w:tcPr>
          <w:p w:rsidR="00225E21" w:rsidRPr="00DC26CD" w:rsidRDefault="00225E21" w:rsidP="00A30C7A">
            <w:pPr>
              <w:rPr>
                <w:sz w:val="28"/>
                <w:lang w:eastAsia="en-US"/>
              </w:rPr>
            </w:pPr>
            <w:r w:rsidRPr="00DC26CD">
              <w:rPr>
                <w:sz w:val="28"/>
                <w:lang w:eastAsia="en-US"/>
              </w:rPr>
              <w:lastRenderedPageBreak/>
              <w:t>Nav</w:t>
            </w:r>
          </w:p>
          <w:p w:rsidR="00225E21" w:rsidRPr="00DC26CD" w:rsidRDefault="00225E21" w:rsidP="00A30C7A"/>
          <w:p w:rsidR="00225E21" w:rsidRPr="00DC26CD" w:rsidRDefault="00225E21" w:rsidP="00A30C7A"/>
          <w:p w:rsidR="00225E21" w:rsidRPr="00DC26CD" w:rsidRDefault="00225E21" w:rsidP="00A30C7A"/>
        </w:tc>
      </w:tr>
      <w:tr w:rsidR="00225E21" w:rsidRPr="00DC26CD" w:rsidTr="00F64690">
        <w:tc>
          <w:tcPr>
            <w:tcW w:w="1430" w:type="pct"/>
          </w:tcPr>
          <w:p w:rsidR="00225E21" w:rsidRPr="00DC26CD" w:rsidRDefault="00225E21" w:rsidP="00A30C7A">
            <w:r w:rsidRPr="00DC26CD">
              <w:t>Cita informācija</w:t>
            </w:r>
          </w:p>
        </w:tc>
        <w:tc>
          <w:tcPr>
            <w:tcW w:w="3570" w:type="pct"/>
            <w:gridSpan w:val="4"/>
          </w:tcPr>
          <w:p w:rsidR="00225E21" w:rsidRPr="00DC26CD" w:rsidRDefault="00225E21" w:rsidP="00A30C7A">
            <w:r w:rsidRPr="00DC26CD">
              <w:t>Nav</w:t>
            </w:r>
          </w:p>
        </w:tc>
      </w:tr>
      <w:tr w:rsidR="00225E21" w:rsidRPr="00DC26CD" w:rsidTr="00F64690">
        <w:tc>
          <w:tcPr>
            <w:tcW w:w="5000" w:type="pct"/>
            <w:gridSpan w:val="5"/>
          </w:tcPr>
          <w:p w:rsidR="00225E21" w:rsidRPr="00DC26CD" w:rsidRDefault="00225E21" w:rsidP="00A30C7A">
            <w:pPr>
              <w:rPr>
                <w:b/>
                <w:bCs/>
              </w:rPr>
            </w:pPr>
            <w:r w:rsidRPr="00DC26CD">
              <w:rPr>
                <w:b/>
                <w:bCs/>
              </w:rPr>
              <w:t>2.tabula</w:t>
            </w:r>
            <w:r w:rsidRPr="00DC26CD">
              <w:rPr>
                <w:b/>
                <w:bCs/>
              </w:rPr>
              <w:br/>
              <w:t>Ar tiesību akta projektu izpildītās vai uzņemtās saistības, kas izriet no starptautiskajiem tiesību aktiem vai starptautiskas institūcijas vai organizācijas dokumentiem.</w:t>
            </w:r>
            <w:r w:rsidRPr="00DC26CD">
              <w:rPr>
                <w:b/>
                <w:bCs/>
              </w:rPr>
              <w:br/>
              <w:t>Pasākumi šo saistību izpildei</w:t>
            </w:r>
          </w:p>
        </w:tc>
      </w:tr>
      <w:tr w:rsidR="00225E21" w:rsidRPr="00DC26CD" w:rsidTr="00F64690">
        <w:tc>
          <w:tcPr>
            <w:tcW w:w="1430" w:type="pct"/>
          </w:tcPr>
          <w:p w:rsidR="00225E21" w:rsidRPr="00DC26CD" w:rsidRDefault="00225E21" w:rsidP="00A30C7A">
            <w:r w:rsidRPr="00DC26CD">
              <w:t>Attiecīgā starptautiskā tiesību akta vai starptautiskas institūcijas vai organizācijas dokumenta (turpmāk – starptautiskais dokuments) datums, numurs un nosaukums</w:t>
            </w:r>
          </w:p>
        </w:tc>
        <w:tc>
          <w:tcPr>
            <w:tcW w:w="3570" w:type="pct"/>
            <w:gridSpan w:val="4"/>
          </w:tcPr>
          <w:p w:rsidR="00225E21" w:rsidRPr="00DC26CD" w:rsidRDefault="00225E21" w:rsidP="00A30C7A">
            <w:r w:rsidRPr="00DC26CD">
              <w:t>Nav</w:t>
            </w:r>
          </w:p>
        </w:tc>
      </w:tr>
      <w:tr w:rsidR="00225E21" w:rsidRPr="00DC26CD" w:rsidTr="00F64690">
        <w:tc>
          <w:tcPr>
            <w:tcW w:w="1430" w:type="pct"/>
          </w:tcPr>
          <w:p w:rsidR="00225E21" w:rsidRPr="00DC26CD" w:rsidRDefault="00225E21" w:rsidP="00A30C7A">
            <w:r w:rsidRPr="00DC26CD">
              <w:t>A</w:t>
            </w:r>
          </w:p>
        </w:tc>
        <w:tc>
          <w:tcPr>
            <w:tcW w:w="1830" w:type="pct"/>
            <w:gridSpan w:val="3"/>
          </w:tcPr>
          <w:p w:rsidR="00225E21" w:rsidRPr="00DC26CD" w:rsidRDefault="00225E21" w:rsidP="00A30C7A">
            <w:r w:rsidRPr="00DC26CD">
              <w:t>B</w:t>
            </w:r>
          </w:p>
        </w:tc>
        <w:tc>
          <w:tcPr>
            <w:tcW w:w="1740" w:type="pct"/>
          </w:tcPr>
          <w:p w:rsidR="00225E21" w:rsidRPr="00DC26CD" w:rsidRDefault="00225E21" w:rsidP="00A30C7A">
            <w:r w:rsidRPr="00DC26CD">
              <w:t>C</w:t>
            </w:r>
          </w:p>
        </w:tc>
      </w:tr>
      <w:tr w:rsidR="00225E21" w:rsidRPr="00DC26CD" w:rsidTr="00F64690">
        <w:tc>
          <w:tcPr>
            <w:tcW w:w="1430" w:type="pct"/>
          </w:tcPr>
          <w:p w:rsidR="00225E21" w:rsidRPr="00DC26CD" w:rsidRDefault="00225E21" w:rsidP="00A30C7A">
            <w:r w:rsidRPr="00DC26CD">
              <w:t>-</w:t>
            </w:r>
          </w:p>
        </w:tc>
        <w:tc>
          <w:tcPr>
            <w:tcW w:w="1830" w:type="pct"/>
            <w:gridSpan w:val="3"/>
          </w:tcPr>
          <w:p w:rsidR="00225E21" w:rsidRPr="00DC26CD" w:rsidRDefault="00225E21" w:rsidP="00A30C7A">
            <w:r w:rsidRPr="00DC26CD">
              <w:t>-</w:t>
            </w:r>
          </w:p>
        </w:tc>
        <w:tc>
          <w:tcPr>
            <w:tcW w:w="1740" w:type="pct"/>
          </w:tcPr>
          <w:p w:rsidR="00225E21" w:rsidRPr="00DC26CD" w:rsidRDefault="00225E21" w:rsidP="00A30C7A">
            <w:r w:rsidRPr="00DC26CD">
              <w:t>-</w:t>
            </w:r>
          </w:p>
        </w:tc>
      </w:tr>
      <w:tr w:rsidR="00225E21" w:rsidRPr="00DC26CD" w:rsidTr="00F64690">
        <w:tc>
          <w:tcPr>
            <w:tcW w:w="1430" w:type="pct"/>
          </w:tcPr>
          <w:p w:rsidR="00225E21" w:rsidRPr="00DC26CD" w:rsidRDefault="00225E21" w:rsidP="00A30C7A">
            <w:r w:rsidRPr="00DC26CD">
              <w:t>Vai starptautiskajā dokumentā paredzētās saistības nav pretrunā ar jau esošajām Latvijas Republikas starptautiskajām saistībām</w:t>
            </w:r>
          </w:p>
        </w:tc>
        <w:tc>
          <w:tcPr>
            <w:tcW w:w="3570" w:type="pct"/>
            <w:gridSpan w:val="4"/>
          </w:tcPr>
          <w:p w:rsidR="00225E21" w:rsidRPr="00DC26CD" w:rsidRDefault="00225E21" w:rsidP="00A30C7A">
            <w:r w:rsidRPr="00DC26CD">
              <w:t>Projekts šo jomu neskar</w:t>
            </w:r>
          </w:p>
        </w:tc>
      </w:tr>
      <w:tr w:rsidR="00225E21" w:rsidRPr="00DC26CD" w:rsidTr="00F64690">
        <w:tc>
          <w:tcPr>
            <w:tcW w:w="1430" w:type="pct"/>
          </w:tcPr>
          <w:p w:rsidR="00225E21" w:rsidRPr="00DC26CD" w:rsidRDefault="00225E21" w:rsidP="00A30C7A">
            <w:r w:rsidRPr="00DC26CD">
              <w:t>Cita informācija</w:t>
            </w:r>
          </w:p>
        </w:tc>
        <w:tc>
          <w:tcPr>
            <w:tcW w:w="3570" w:type="pct"/>
            <w:gridSpan w:val="4"/>
          </w:tcPr>
          <w:p w:rsidR="00225E21" w:rsidRPr="00DC26CD" w:rsidRDefault="00225E21" w:rsidP="00A30C7A">
            <w:r w:rsidRPr="00DC26CD">
              <w:t>Nav</w:t>
            </w:r>
          </w:p>
        </w:tc>
      </w:tr>
    </w:tbl>
    <w:p w:rsidR="00A624CC" w:rsidRPr="00D30FB2" w:rsidRDefault="00A624CC" w:rsidP="00943E4E"/>
    <w:tbl>
      <w:tblPr>
        <w:tblW w:w="534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28"/>
        <w:gridCol w:w="2017"/>
        <w:gridCol w:w="6942"/>
      </w:tblGrid>
      <w:tr w:rsidR="00FA3CCB" w:rsidRPr="00D30FB2" w:rsidTr="007D2EF8">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A3CCB" w:rsidRPr="00D30FB2" w:rsidRDefault="00FA3CCB" w:rsidP="00FA3CCB">
            <w:pPr>
              <w:rPr>
                <w:b/>
                <w:bCs/>
              </w:rPr>
            </w:pPr>
            <w:r w:rsidRPr="00D30FB2">
              <w:rPr>
                <w:b/>
                <w:bCs/>
              </w:rPr>
              <w:t>VI. Sabiedrības līdzdalība un komunikācijas aktivitātes</w:t>
            </w:r>
          </w:p>
        </w:tc>
      </w:tr>
      <w:tr w:rsidR="00FA3CCB" w:rsidRPr="00D30FB2" w:rsidTr="00FE7CA0">
        <w:trPr>
          <w:trHeight w:val="540"/>
          <w:jc w:val="center"/>
        </w:trPr>
        <w:tc>
          <w:tcPr>
            <w:tcW w:w="376"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t>1.</w:t>
            </w:r>
          </w:p>
        </w:tc>
        <w:tc>
          <w:tcPr>
            <w:tcW w:w="1041"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t>Plānotās sabiedrības līdzdalības un komunikācijas aktivitātes saistībā ar projektu</w:t>
            </w:r>
          </w:p>
        </w:tc>
        <w:tc>
          <w:tcPr>
            <w:tcW w:w="3583" w:type="pct"/>
            <w:tcBorders>
              <w:top w:val="outset" w:sz="6" w:space="0" w:color="414142"/>
              <w:left w:val="outset" w:sz="6" w:space="0" w:color="414142"/>
              <w:bottom w:val="outset" w:sz="6" w:space="0" w:color="414142"/>
              <w:right w:val="outset" w:sz="6" w:space="0" w:color="414142"/>
            </w:tcBorders>
            <w:hideMark/>
          </w:tcPr>
          <w:p w:rsidR="004C6825" w:rsidRPr="00D30FB2" w:rsidRDefault="001C645D" w:rsidP="00CB11D7">
            <w:pPr>
              <w:jc w:val="both"/>
            </w:pPr>
            <w:r>
              <w:t>I</w:t>
            </w:r>
            <w:r w:rsidR="005C64B5" w:rsidRPr="00ED766F">
              <w:rPr>
                <w:iCs/>
              </w:rPr>
              <w:t xml:space="preserve">nformācija </w:t>
            </w:r>
            <w:r w:rsidR="005C64B5">
              <w:rPr>
                <w:iCs/>
              </w:rPr>
              <w:t>p</w:t>
            </w:r>
            <w:r w:rsidR="005C64B5" w:rsidRPr="00ED766F">
              <w:rPr>
                <w:iCs/>
              </w:rPr>
              <w:t>ar no</w:t>
            </w:r>
            <w:r w:rsidR="005C64B5">
              <w:rPr>
                <w:iCs/>
              </w:rPr>
              <w:t>teikumu</w:t>
            </w:r>
            <w:r w:rsidR="005C64B5" w:rsidRPr="00ED766F">
              <w:rPr>
                <w:iCs/>
              </w:rPr>
              <w:t xml:space="preserve"> projektu </w:t>
            </w:r>
            <w:r w:rsidR="00CB11D7">
              <w:rPr>
                <w:iCs/>
              </w:rPr>
              <w:t>tika</w:t>
            </w:r>
            <w:r w:rsidR="005C64B5" w:rsidRPr="00ED766F">
              <w:t xml:space="preserve"> ievietota tīmekļa vie</w:t>
            </w:r>
            <w:r w:rsidR="00CB11D7">
              <w:t xml:space="preserve">tnē </w:t>
            </w:r>
            <w:r w:rsidR="00CB11D7" w:rsidRPr="00CB11D7">
              <w:t>www.zm.gov.lv</w:t>
            </w:r>
            <w:r w:rsidR="00CB11D7">
              <w:t xml:space="preserve">, kā arī papildus tika lūgts to nevalstisko organizāciju viedoklis, kuru darbības jomas attiecas uz normatīvā akta saturu, nosūtot noteikumu projektu no zemkopības ministrijas oficiālā e-pasta zm@zm.gov.lv. </w:t>
            </w:r>
          </w:p>
        </w:tc>
      </w:tr>
      <w:tr w:rsidR="00FA3CCB" w:rsidRPr="00D30FB2" w:rsidTr="00FE7CA0">
        <w:trPr>
          <w:trHeight w:val="330"/>
          <w:jc w:val="center"/>
        </w:trPr>
        <w:tc>
          <w:tcPr>
            <w:tcW w:w="376"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t>2.</w:t>
            </w:r>
          </w:p>
        </w:tc>
        <w:tc>
          <w:tcPr>
            <w:tcW w:w="1041"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t>Sabiedrības līdzdalība projekta izstrādē</w:t>
            </w:r>
          </w:p>
        </w:tc>
        <w:tc>
          <w:tcPr>
            <w:tcW w:w="3583" w:type="pct"/>
            <w:tcBorders>
              <w:top w:val="outset" w:sz="6" w:space="0" w:color="414142"/>
              <w:left w:val="outset" w:sz="6" w:space="0" w:color="414142"/>
              <w:bottom w:val="outset" w:sz="6" w:space="0" w:color="414142"/>
              <w:right w:val="outset" w:sz="6" w:space="0" w:color="414142"/>
            </w:tcBorders>
            <w:hideMark/>
          </w:tcPr>
          <w:p w:rsidR="00CB11D7" w:rsidRDefault="00693DBB" w:rsidP="00CB11D7">
            <w:pPr>
              <w:jc w:val="both"/>
            </w:pPr>
            <w:r w:rsidRPr="00D30FB2">
              <w:t>Noteikumu projekt</w:t>
            </w:r>
            <w:r w:rsidR="002102BB" w:rsidRPr="00D30FB2">
              <w:t xml:space="preserve">a sagatavošanas </w:t>
            </w:r>
            <w:r w:rsidR="00A73BFF">
              <w:t>gaitā</w:t>
            </w:r>
            <w:r w:rsidR="002102BB" w:rsidRPr="00D30FB2">
              <w:t xml:space="preserve"> </w:t>
            </w:r>
            <w:r w:rsidRPr="00D30FB2">
              <w:t xml:space="preserve">ir notikušas </w:t>
            </w:r>
            <w:r w:rsidR="001001E4" w:rsidRPr="00D30FB2">
              <w:t xml:space="preserve">diskusijas </w:t>
            </w:r>
            <w:r w:rsidR="00072232" w:rsidRPr="00D30FB2">
              <w:t xml:space="preserve">ar pārstāvjiem no </w:t>
            </w:r>
            <w:r w:rsidR="003241BD">
              <w:t>l</w:t>
            </w:r>
            <w:r w:rsidR="00414376">
              <w:t xml:space="preserve">auksaimniecības nozaru </w:t>
            </w:r>
            <w:r w:rsidR="00072232" w:rsidRPr="00D30FB2">
              <w:t>konsultantiem.</w:t>
            </w:r>
            <w:r w:rsidR="00777B15">
              <w:t xml:space="preserve"> </w:t>
            </w:r>
          </w:p>
          <w:p w:rsidR="004C6825" w:rsidRPr="00D30FB2" w:rsidRDefault="004C6825" w:rsidP="00CB11D7">
            <w:pPr>
              <w:jc w:val="both"/>
            </w:pPr>
            <w:r w:rsidRPr="00D30FB2">
              <w:t xml:space="preserve">Pēc publicēšanas Zemkopības ministrijas </w:t>
            </w:r>
            <w:r w:rsidR="00A73BFF">
              <w:t>tīmekļa vietnē</w:t>
            </w:r>
            <w:r w:rsidRPr="00D30FB2">
              <w:t xml:space="preserve"> ikvienam</w:t>
            </w:r>
            <w:r w:rsidR="002102BB" w:rsidRPr="00D30FB2">
              <w:t xml:space="preserve"> sabiedrības pārstāvim</w:t>
            </w:r>
            <w:r w:rsidRPr="00D30FB2">
              <w:t xml:space="preserve"> ir iespēja sniegt viedokli, iebildumus un priekšlikumus par </w:t>
            </w:r>
            <w:r w:rsidR="002C4EA4">
              <w:t>sagatavo</w:t>
            </w:r>
            <w:r w:rsidRPr="00D30FB2">
              <w:t xml:space="preserve">to </w:t>
            </w:r>
            <w:r w:rsidR="00E664D9">
              <w:t>n</w:t>
            </w:r>
            <w:r w:rsidRPr="00D30FB2">
              <w:t>oteikumu projektu.</w:t>
            </w:r>
          </w:p>
        </w:tc>
      </w:tr>
      <w:tr w:rsidR="00FA3CCB" w:rsidRPr="00D30FB2" w:rsidTr="00FE7CA0">
        <w:trPr>
          <w:trHeight w:val="465"/>
          <w:jc w:val="center"/>
        </w:trPr>
        <w:tc>
          <w:tcPr>
            <w:tcW w:w="376"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t>3.</w:t>
            </w:r>
          </w:p>
        </w:tc>
        <w:tc>
          <w:tcPr>
            <w:tcW w:w="1041"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t>Sabiedrības līdzdalības rezultāti</w:t>
            </w:r>
          </w:p>
        </w:tc>
        <w:tc>
          <w:tcPr>
            <w:tcW w:w="3583" w:type="pct"/>
            <w:tcBorders>
              <w:top w:val="outset" w:sz="6" w:space="0" w:color="414142"/>
              <w:left w:val="outset" w:sz="6" w:space="0" w:color="414142"/>
              <w:bottom w:val="outset" w:sz="6" w:space="0" w:color="414142"/>
              <w:right w:val="outset" w:sz="6" w:space="0" w:color="414142"/>
            </w:tcBorders>
            <w:hideMark/>
          </w:tcPr>
          <w:p w:rsidR="00A24D92" w:rsidRPr="00D30FB2" w:rsidRDefault="00A24D92" w:rsidP="00510753">
            <w:pPr>
              <w:pStyle w:val="tv213"/>
              <w:spacing w:before="0" w:beforeAutospacing="0" w:after="0" w:afterAutospacing="0" w:line="293" w:lineRule="atLeast"/>
              <w:jc w:val="both"/>
            </w:pPr>
            <w:r w:rsidRPr="00D30FB2">
              <w:rPr>
                <w:lang w:eastAsia="en-US"/>
              </w:rPr>
              <w:t xml:space="preserve">Zemkopības ministrijas </w:t>
            </w:r>
            <w:r w:rsidR="00E664D9">
              <w:rPr>
                <w:lang w:eastAsia="en-US"/>
              </w:rPr>
              <w:t>n</w:t>
            </w:r>
            <w:r w:rsidRPr="00D30FB2">
              <w:rPr>
                <w:lang w:eastAsia="en-US"/>
              </w:rPr>
              <w:t>oteikumu projekta izstrādes laikā konsult</w:t>
            </w:r>
            <w:r w:rsidR="00776FC9">
              <w:rPr>
                <w:lang w:eastAsia="en-US"/>
              </w:rPr>
              <w:t>ējās ar Lauku atbalsta dienestu</w:t>
            </w:r>
            <w:r w:rsidR="00D223DA">
              <w:rPr>
                <w:lang w:eastAsia="en-US"/>
              </w:rPr>
              <w:t xml:space="preserve"> un izvērtējusi visus nevalstisko organizāciju saņemtos priekšlikumus.</w:t>
            </w:r>
          </w:p>
        </w:tc>
      </w:tr>
      <w:tr w:rsidR="00FA3CCB" w:rsidRPr="00D30FB2" w:rsidTr="00FE7CA0">
        <w:trPr>
          <w:trHeight w:val="465"/>
          <w:jc w:val="center"/>
        </w:trPr>
        <w:tc>
          <w:tcPr>
            <w:tcW w:w="376"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t>4.</w:t>
            </w:r>
          </w:p>
        </w:tc>
        <w:tc>
          <w:tcPr>
            <w:tcW w:w="1041"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t>Cita informācija</w:t>
            </w:r>
          </w:p>
        </w:tc>
        <w:tc>
          <w:tcPr>
            <w:tcW w:w="3583"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D933F7">
            <w:r w:rsidRPr="00D30FB2">
              <w:t>Nav</w:t>
            </w:r>
          </w:p>
        </w:tc>
      </w:tr>
    </w:tbl>
    <w:p w:rsidR="009117F4" w:rsidRPr="00D30FB2" w:rsidRDefault="00FA3CCB" w:rsidP="001A6197">
      <w:pPr>
        <w:rPr>
          <w:sz w:val="14"/>
        </w:rPr>
      </w:pPr>
      <w:r w:rsidRPr="00D30FB2">
        <w:t> </w:t>
      </w:r>
    </w:p>
    <w:tbl>
      <w:tblPr>
        <w:tblW w:w="53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
        <w:gridCol w:w="3333"/>
        <w:gridCol w:w="5585"/>
      </w:tblGrid>
      <w:tr w:rsidR="009117F4" w:rsidRPr="00D30FB2" w:rsidTr="007D2EF8">
        <w:trPr>
          <w:trHeight w:val="375"/>
        </w:trPr>
        <w:tc>
          <w:tcPr>
            <w:tcW w:w="5000" w:type="pct"/>
            <w:gridSpan w:val="3"/>
          </w:tcPr>
          <w:p w:rsidR="009117F4" w:rsidRPr="00D30FB2" w:rsidRDefault="009117F4" w:rsidP="00E06138">
            <w:pPr>
              <w:spacing w:before="100" w:beforeAutospacing="1" w:after="100" w:afterAutospacing="1" w:line="360" w:lineRule="auto"/>
              <w:ind w:firstLine="300"/>
              <w:jc w:val="center"/>
              <w:rPr>
                <w:b/>
                <w:bCs/>
              </w:rPr>
            </w:pPr>
            <w:r w:rsidRPr="00D30FB2">
              <w:rPr>
                <w:b/>
                <w:bCs/>
              </w:rPr>
              <w:t>VII. Tiesību akta projekta izpildes nodrošināšana un tās ietekme uz institūcijām</w:t>
            </w:r>
          </w:p>
        </w:tc>
      </w:tr>
      <w:tr w:rsidR="009117F4" w:rsidRPr="00D30FB2" w:rsidTr="00FE7CA0">
        <w:trPr>
          <w:trHeight w:val="420"/>
        </w:trPr>
        <w:tc>
          <w:tcPr>
            <w:tcW w:w="393" w:type="pct"/>
          </w:tcPr>
          <w:p w:rsidR="009117F4" w:rsidRPr="00D30FB2" w:rsidRDefault="009117F4" w:rsidP="00E06138">
            <w:r w:rsidRPr="00D30FB2">
              <w:t>1.</w:t>
            </w:r>
          </w:p>
        </w:tc>
        <w:tc>
          <w:tcPr>
            <w:tcW w:w="1722" w:type="pct"/>
          </w:tcPr>
          <w:p w:rsidR="009117F4" w:rsidRPr="00D30FB2" w:rsidRDefault="009117F4" w:rsidP="00E06138">
            <w:r w:rsidRPr="00D30FB2">
              <w:t>Projekta izpildē iesaistītās institūcijas</w:t>
            </w:r>
          </w:p>
        </w:tc>
        <w:tc>
          <w:tcPr>
            <w:tcW w:w="2885" w:type="pct"/>
          </w:tcPr>
          <w:p w:rsidR="009117F4" w:rsidRPr="00D30FB2" w:rsidRDefault="001772F8" w:rsidP="00510753">
            <w:pPr>
              <w:pStyle w:val="tv213"/>
              <w:spacing w:before="0" w:beforeAutospacing="0" w:after="0" w:afterAutospacing="0" w:line="293" w:lineRule="atLeast"/>
              <w:jc w:val="both"/>
              <w:rPr>
                <w:lang w:eastAsia="en-US"/>
              </w:rPr>
            </w:pPr>
            <w:r w:rsidRPr="00D30FB2">
              <w:rPr>
                <w:lang w:eastAsia="en-US"/>
              </w:rPr>
              <w:t>L</w:t>
            </w:r>
            <w:r w:rsidR="00595C41">
              <w:rPr>
                <w:lang w:eastAsia="en-US"/>
              </w:rPr>
              <w:t>auku atbalsta dienests</w:t>
            </w:r>
          </w:p>
        </w:tc>
      </w:tr>
      <w:tr w:rsidR="009117F4" w:rsidRPr="00D30FB2" w:rsidTr="00FE7CA0">
        <w:trPr>
          <w:trHeight w:val="450"/>
        </w:trPr>
        <w:tc>
          <w:tcPr>
            <w:tcW w:w="393" w:type="pct"/>
          </w:tcPr>
          <w:p w:rsidR="009117F4" w:rsidRPr="00D30FB2" w:rsidRDefault="009117F4" w:rsidP="00E06138">
            <w:r w:rsidRPr="00D30FB2">
              <w:lastRenderedPageBreak/>
              <w:t>2.</w:t>
            </w:r>
          </w:p>
        </w:tc>
        <w:tc>
          <w:tcPr>
            <w:tcW w:w="1722" w:type="pct"/>
          </w:tcPr>
          <w:p w:rsidR="009117F4" w:rsidRPr="00D30FB2" w:rsidRDefault="009117F4" w:rsidP="00E06138">
            <w:r w:rsidRPr="00D30FB2">
              <w:t>Projekta izpildes ietekme uz pārvaldes funkcijām un institucionālo struktūru. Jaunu institūciju izveide, esošu institūciju likvidācija vai reorganizācija, to ietekme uz institūcijas cilvēkresursiem</w:t>
            </w:r>
          </w:p>
        </w:tc>
        <w:tc>
          <w:tcPr>
            <w:tcW w:w="2885" w:type="pct"/>
          </w:tcPr>
          <w:p w:rsidR="009117F4" w:rsidRPr="00D30FB2" w:rsidRDefault="009C2D35" w:rsidP="00F86060">
            <w:pPr>
              <w:spacing w:before="100" w:beforeAutospacing="1" w:after="100" w:afterAutospacing="1"/>
              <w:jc w:val="both"/>
            </w:pPr>
            <w:r w:rsidRPr="00D30FB2">
              <w:rPr>
                <w:lang w:eastAsia="en-US"/>
              </w:rPr>
              <w:t>Projekts šo jomu neskar</w:t>
            </w:r>
            <w:r w:rsidR="00885E9A" w:rsidRPr="00D30FB2">
              <w:rPr>
                <w:lang w:eastAsia="en-US"/>
              </w:rPr>
              <w:t xml:space="preserve">. </w:t>
            </w:r>
            <w:r w:rsidR="00885E9A" w:rsidRPr="00D30FB2">
              <w:t>Jaunas institūcijas netiks izveidotas</w:t>
            </w:r>
            <w:r w:rsidR="00A73BFF">
              <w:t>,</w:t>
            </w:r>
            <w:r w:rsidR="00885E9A" w:rsidRPr="00D30FB2">
              <w:t xml:space="preserve"> un esošās institūcijas netiks likvidētas vai reorganizētas.</w:t>
            </w:r>
            <w:r w:rsidR="001179D3" w:rsidRPr="00D30FB2">
              <w:t xml:space="preserve"> Projekta izpilde tiks nodrošināta ar pašreizējiem cilvēkresursiem.</w:t>
            </w:r>
          </w:p>
        </w:tc>
      </w:tr>
      <w:tr w:rsidR="009117F4" w:rsidRPr="00D30FB2" w:rsidTr="00FE7CA0">
        <w:trPr>
          <w:trHeight w:val="390"/>
        </w:trPr>
        <w:tc>
          <w:tcPr>
            <w:tcW w:w="393" w:type="pct"/>
          </w:tcPr>
          <w:p w:rsidR="009117F4" w:rsidRPr="00D30FB2" w:rsidRDefault="009117F4" w:rsidP="00E06138">
            <w:r w:rsidRPr="00D30FB2">
              <w:t>3.</w:t>
            </w:r>
          </w:p>
        </w:tc>
        <w:tc>
          <w:tcPr>
            <w:tcW w:w="1722" w:type="pct"/>
          </w:tcPr>
          <w:p w:rsidR="009117F4" w:rsidRPr="00D30FB2" w:rsidRDefault="009117F4" w:rsidP="00E06138">
            <w:r w:rsidRPr="00D30FB2">
              <w:t>Cita informācija</w:t>
            </w:r>
          </w:p>
        </w:tc>
        <w:tc>
          <w:tcPr>
            <w:tcW w:w="2885" w:type="pct"/>
          </w:tcPr>
          <w:p w:rsidR="009117F4" w:rsidRPr="00D30FB2" w:rsidRDefault="009C2D35" w:rsidP="00E06138">
            <w:pPr>
              <w:spacing w:before="100" w:beforeAutospacing="1" w:after="100" w:afterAutospacing="1" w:line="360" w:lineRule="auto"/>
            </w:pPr>
            <w:r w:rsidRPr="00D30FB2">
              <w:t>Nav</w:t>
            </w:r>
          </w:p>
        </w:tc>
      </w:tr>
    </w:tbl>
    <w:p w:rsidR="008F4AAD" w:rsidRDefault="008F4AAD" w:rsidP="009C2D35">
      <w:pPr>
        <w:ind w:right="-284"/>
        <w:jc w:val="both"/>
        <w:rPr>
          <w:sz w:val="28"/>
          <w:szCs w:val="28"/>
          <w:lang w:eastAsia="en-US"/>
        </w:rPr>
      </w:pPr>
    </w:p>
    <w:p w:rsidR="00F01843" w:rsidRDefault="00F01843" w:rsidP="009C2D35">
      <w:pPr>
        <w:ind w:right="-284"/>
        <w:jc w:val="both"/>
        <w:rPr>
          <w:sz w:val="28"/>
          <w:szCs w:val="28"/>
          <w:lang w:eastAsia="en-US"/>
        </w:rPr>
      </w:pPr>
    </w:p>
    <w:p w:rsidR="009117F4" w:rsidRPr="00D223DA" w:rsidRDefault="009117F4" w:rsidP="00BA1A3E">
      <w:pPr>
        <w:ind w:firstLine="720"/>
        <w:jc w:val="both"/>
        <w:rPr>
          <w:sz w:val="28"/>
          <w:szCs w:val="28"/>
          <w:lang w:eastAsia="en-US"/>
        </w:rPr>
      </w:pPr>
      <w:r w:rsidRPr="00D223DA">
        <w:rPr>
          <w:sz w:val="28"/>
          <w:szCs w:val="28"/>
          <w:lang w:eastAsia="en-US"/>
        </w:rPr>
        <w:t xml:space="preserve">Zemkopības ministrs </w:t>
      </w:r>
      <w:r w:rsidRPr="00D223DA">
        <w:rPr>
          <w:sz w:val="28"/>
          <w:szCs w:val="28"/>
          <w:lang w:eastAsia="en-US"/>
        </w:rPr>
        <w:tab/>
      </w:r>
      <w:r w:rsidRPr="00D223DA">
        <w:rPr>
          <w:sz w:val="28"/>
          <w:szCs w:val="28"/>
          <w:lang w:eastAsia="en-US"/>
        </w:rPr>
        <w:tab/>
      </w:r>
      <w:r w:rsidRPr="00D223DA">
        <w:rPr>
          <w:sz w:val="28"/>
          <w:szCs w:val="28"/>
          <w:lang w:eastAsia="en-US"/>
        </w:rPr>
        <w:tab/>
      </w:r>
      <w:r w:rsidRPr="00D223DA">
        <w:rPr>
          <w:sz w:val="28"/>
          <w:szCs w:val="28"/>
          <w:lang w:eastAsia="en-US"/>
        </w:rPr>
        <w:tab/>
      </w:r>
      <w:r w:rsidR="00BA1A3E">
        <w:rPr>
          <w:sz w:val="28"/>
          <w:szCs w:val="28"/>
          <w:lang w:eastAsia="en-US"/>
        </w:rPr>
        <w:tab/>
      </w:r>
      <w:r w:rsidR="002A7678" w:rsidRPr="00D223DA">
        <w:rPr>
          <w:sz w:val="28"/>
          <w:szCs w:val="28"/>
          <w:lang w:eastAsia="en-US"/>
        </w:rPr>
        <w:tab/>
      </w:r>
      <w:r w:rsidR="009C2D35" w:rsidRPr="00D223DA">
        <w:rPr>
          <w:sz w:val="28"/>
          <w:szCs w:val="28"/>
          <w:lang w:eastAsia="en-US"/>
        </w:rPr>
        <w:t xml:space="preserve"> </w:t>
      </w:r>
      <w:r w:rsidRPr="00D223DA">
        <w:rPr>
          <w:sz w:val="28"/>
          <w:szCs w:val="28"/>
          <w:lang w:eastAsia="en-US"/>
        </w:rPr>
        <w:t>J.Dūklavs</w:t>
      </w:r>
    </w:p>
    <w:p w:rsidR="00D223DA" w:rsidRDefault="00D223DA" w:rsidP="00BA1A3E">
      <w:pPr>
        <w:ind w:firstLine="720"/>
        <w:jc w:val="both"/>
        <w:rPr>
          <w:sz w:val="28"/>
          <w:szCs w:val="20"/>
          <w:lang w:eastAsia="en-US"/>
        </w:rPr>
      </w:pPr>
    </w:p>
    <w:p w:rsidR="00D223DA" w:rsidRPr="00375B9F" w:rsidRDefault="00D223DA" w:rsidP="00BA1A3E">
      <w:pPr>
        <w:ind w:firstLine="720"/>
        <w:jc w:val="both"/>
        <w:rPr>
          <w:sz w:val="28"/>
          <w:szCs w:val="20"/>
          <w:lang w:eastAsia="en-US"/>
        </w:rPr>
      </w:pPr>
    </w:p>
    <w:p w:rsidR="00D223DA" w:rsidRPr="0080482C" w:rsidRDefault="00D223DA" w:rsidP="00BA1A3E">
      <w:pPr>
        <w:ind w:firstLine="720"/>
        <w:jc w:val="both"/>
        <w:rPr>
          <w:sz w:val="20"/>
          <w:szCs w:val="20"/>
          <w:lang w:eastAsia="en-US"/>
        </w:rPr>
      </w:pPr>
      <w:r w:rsidRPr="00375B9F">
        <w:rPr>
          <w:sz w:val="28"/>
          <w:szCs w:val="20"/>
          <w:lang w:eastAsia="en-US"/>
        </w:rPr>
        <w:t xml:space="preserve">Zemkopības </w:t>
      </w:r>
      <w:r w:rsidR="00BA1A3E">
        <w:rPr>
          <w:sz w:val="28"/>
          <w:szCs w:val="20"/>
          <w:lang w:eastAsia="en-US"/>
        </w:rPr>
        <w:t>ministrijas valsts sekretāre</w:t>
      </w:r>
      <w:r w:rsidR="00BA1A3E">
        <w:rPr>
          <w:sz w:val="28"/>
          <w:szCs w:val="20"/>
          <w:lang w:eastAsia="en-US"/>
        </w:rPr>
        <w:tab/>
      </w:r>
      <w:r w:rsidR="00BA1A3E">
        <w:rPr>
          <w:sz w:val="28"/>
          <w:szCs w:val="20"/>
          <w:lang w:eastAsia="en-US"/>
        </w:rPr>
        <w:tab/>
      </w:r>
      <w:r w:rsidR="00BA1A3E">
        <w:rPr>
          <w:sz w:val="28"/>
          <w:szCs w:val="20"/>
          <w:lang w:eastAsia="en-US"/>
        </w:rPr>
        <w:tab/>
      </w:r>
      <w:r w:rsidRPr="00375B9F">
        <w:rPr>
          <w:sz w:val="28"/>
          <w:szCs w:val="20"/>
          <w:lang w:eastAsia="en-US"/>
        </w:rPr>
        <w:t>D. Lucaua</w:t>
      </w:r>
    </w:p>
    <w:p w:rsidR="00D223DA" w:rsidRPr="00945B51" w:rsidRDefault="00D223DA" w:rsidP="002A7678">
      <w:pPr>
        <w:ind w:right="-284"/>
        <w:jc w:val="both"/>
        <w:rPr>
          <w:lang w:eastAsia="en-US"/>
        </w:rPr>
      </w:pPr>
    </w:p>
    <w:p w:rsidR="00177785" w:rsidRDefault="00177785" w:rsidP="00232AA2">
      <w:pPr>
        <w:jc w:val="both"/>
        <w:rPr>
          <w:sz w:val="20"/>
          <w:szCs w:val="20"/>
          <w:lang w:eastAsia="en-US"/>
        </w:rPr>
      </w:pPr>
      <w:bookmarkStart w:id="2" w:name="OLE_LINK5"/>
      <w:bookmarkStart w:id="3" w:name="OLE_LINK6"/>
    </w:p>
    <w:p w:rsidR="001F234A" w:rsidRDefault="001F234A" w:rsidP="00232AA2">
      <w:pPr>
        <w:jc w:val="both"/>
        <w:rPr>
          <w:sz w:val="20"/>
          <w:szCs w:val="20"/>
          <w:lang w:eastAsia="en-US"/>
        </w:rPr>
      </w:pPr>
    </w:p>
    <w:p w:rsidR="001F234A" w:rsidRDefault="001F234A" w:rsidP="00232AA2">
      <w:pPr>
        <w:jc w:val="both"/>
        <w:rPr>
          <w:sz w:val="20"/>
          <w:szCs w:val="20"/>
          <w:lang w:eastAsia="en-US"/>
        </w:rPr>
      </w:pPr>
    </w:p>
    <w:p w:rsidR="00F01843" w:rsidRDefault="00F01843" w:rsidP="00232AA2">
      <w:pPr>
        <w:jc w:val="both"/>
        <w:rPr>
          <w:sz w:val="20"/>
          <w:szCs w:val="20"/>
          <w:lang w:eastAsia="en-US"/>
        </w:rPr>
      </w:pPr>
    </w:p>
    <w:p w:rsidR="00BA1A3E" w:rsidRDefault="00BA1A3E" w:rsidP="00232AA2">
      <w:pPr>
        <w:jc w:val="both"/>
        <w:rPr>
          <w:sz w:val="20"/>
          <w:szCs w:val="20"/>
          <w:lang w:eastAsia="en-US"/>
        </w:rPr>
      </w:pPr>
    </w:p>
    <w:p w:rsidR="00BA1A3E" w:rsidRDefault="00BA1A3E" w:rsidP="00232AA2">
      <w:pPr>
        <w:jc w:val="both"/>
        <w:rPr>
          <w:sz w:val="20"/>
          <w:szCs w:val="20"/>
          <w:lang w:eastAsia="en-US"/>
        </w:rPr>
      </w:pPr>
    </w:p>
    <w:p w:rsidR="00BA1A3E" w:rsidRDefault="00BA1A3E" w:rsidP="00232AA2">
      <w:pPr>
        <w:jc w:val="both"/>
        <w:rPr>
          <w:sz w:val="20"/>
          <w:szCs w:val="20"/>
          <w:lang w:eastAsia="en-US"/>
        </w:rPr>
      </w:pPr>
    </w:p>
    <w:p w:rsidR="00BA1A3E" w:rsidRDefault="00BA1A3E" w:rsidP="00232AA2">
      <w:pPr>
        <w:jc w:val="both"/>
        <w:rPr>
          <w:sz w:val="20"/>
          <w:szCs w:val="20"/>
          <w:lang w:eastAsia="en-US"/>
        </w:rPr>
      </w:pPr>
    </w:p>
    <w:p w:rsidR="00BA1A3E" w:rsidRDefault="00BA1A3E" w:rsidP="00232AA2">
      <w:pPr>
        <w:jc w:val="both"/>
        <w:rPr>
          <w:sz w:val="20"/>
          <w:szCs w:val="20"/>
          <w:lang w:eastAsia="en-US"/>
        </w:rPr>
      </w:pPr>
    </w:p>
    <w:p w:rsidR="00BA1A3E" w:rsidRDefault="00BA1A3E" w:rsidP="00232AA2">
      <w:pPr>
        <w:jc w:val="both"/>
        <w:rPr>
          <w:sz w:val="20"/>
          <w:szCs w:val="20"/>
          <w:lang w:eastAsia="en-US"/>
        </w:rPr>
      </w:pPr>
    </w:p>
    <w:p w:rsidR="00BA1A3E" w:rsidRDefault="00BA1A3E" w:rsidP="00232AA2">
      <w:pPr>
        <w:jc w:val="both"/>
        <w:rPr>
          <w:sz w:val="20"/>
          <w:szCs w:val="20"/>
          <w:lang w:eastAsia="en-US"/>
        </w:rPr>
      </w:pPr>
    </w:p>
    <w:p w:rsidR="00BA1A3E" w:rsidRDefault="00BA1A3E" w:rsidP="00232AA2">
      <w:pPr>
        <w:jc w:val="both"/>
        <w:rPr>
          <w:sz w:val="20"/>
          <w:szCs w:val="20"/>
          <w:lang w:eastAsia="en-US"/>
        </w:rPr>
      </w:pPr>
      <w:bookmarkStart w:id="4" w:name="_GoBack"/>
      <w:bookmarkEnd w:id="4"/>
    </w:p>
    <w:p w:rsidR="00F01843" w:rsidRDefault="00F01843" w:rsidP="00232AA2">
      <w:pPr>
        <w:jc w:val="both"/>
        <w:rPr>
          <w:sz w:val="20"/>
          <w:szCs w:val="20"/>
          <w:lang w:eastAsia="en-US"/>
        </w:rPr>
      </w:pPr>
    </w:p>
    <w:p w:rsidR="001141E5" w:rsidRDefault="001141E5" w:rsidP="00232AA2">
      <w:pPr>
        <w:jc w:val="both"/>
        <w:rPr>
          <w:sz w:val="20"/>
          <w:szCs w:val="20"/>
          <w:lang w:eastAsia="en-US"/>
        </w:rPr>
      </w:pPr>
    </w:p>
    <w:bookmarkEnd w:id="2"/>
    <w:bookmarkEnd w:id="3"/>
    <w:p w:rsidR="00D223DA" w:rsidRPr="00375B9F" w:rsidRDefault="00D223DA" w:rsidP="00D223DA">
      <w:pPr>
        <w:jc w:val="both"/>
        <w:rPr>
          <w:szCs w:val="20"/>
        </w:rPr>
      </w:pPr>
      <w:r>
        <w:rPr>
          <w:szCs w:val="20"/>
        </w:rPr>
        <w:t>Bāra 67027398</w:t>
      </w:r>
    </w:p>
    <w:p w:rsidR="00D223DA" w:rsidRPr="00375B9F" w:rsidRDefault="00D223DA" w:rsidP="00D223DA">
      <w:pPr>
        <w:jc w:val="both"/>
        <w:rPr>
          <w:szCs w:val="20"/>
        </w:rPr>
      </w:pPr>
      <w:r>
        <w:rPr>
          <w:szCs w:val="20"/>
        </w:rPr>
        <w:t>gunta.bara</w:t>
      </w:r>
      <w:r w:rsidRPr="00375B9F">
        <w:rPr>
          <w:szCs w:val="20"/>
        </w:rPr>
        <w:t>@zm.gov.lv</w:t>
      </w:r>
    </w:p>
    <w:p w:rsidR="00D223DA" w:rsidRPr="008824BC" w:rsidRDefault="00D223DA" w:rsidP="00D223DA">
      <w:pPr>
        <w:rPr>
          <w:szCs w:val="28"/>
        </w:rPr>
      </w:pPr>
    </w:p>
    <w:p w:rsidR="00F01843" w:rsidRDefault="00F01843" w:rsidP="00232AA2">
      <w:pPr>
        <w:jc w:val="both"/>
        <w:rPr>
          <w:sz w:val="20"/>
          <w:szCs w:val="20"/>
          <w:lang w:eastAsia="en-US"/>
        </w:rPr>
      </w:pPr>
    </w:p>
    <w:sectPr w:rsidR="00F01843" w:rsidSect="00BA1A3E">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4F4" w:rsidRDefault="008C54F4" w:rsidP="006B42E1">
      <w:pPr>
        <w:rPr>
          <w:rFonts w:ascii="Calibri" w:hAnsi="Calibri"/>
          <w:sz w:val="22"/>
          <w:szCs w:val="22"/>
          <w:lang w:eastAsia="en-US"/>
        </w:rPr>
      </w:pPr>
      <w:r>
        <w:rPr>
          <w:rFonts w:ascii="Calibri" w:hAnsi="Calibri"/>
          <w:sz w:val="22"/>
          <w:szCs w:val="22"/>
          <w:lang w:eastAsia="en-US"/>
        </w:rPr>
        <w:separator/>
      </w:r>
    </w:p>
  </w:endnote>
  <w:endnote w:type="continuationSeparator" w:id="0">
    <w:p w:rsidR="008C54F4" w:rsidRDefault="008C54F4" w:rsidP="006B42E1">
      <w:pPr>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Sitka Smal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690" w:rsidRPr="00BA1A3E" w:rsidRDefault="00BA1A3E" w:rsidP="00BA1A3E">
    <w:pPr>
      <w:pStyle w:val="Kjene"/>
    </w:pPr>
    <w:r w:rsidRPr="00BA1A3E">
      <w:rPr>
        <w:rFonts w:ascii="Times New Roman" w:eastAsia="Times New Roman" w:hAnsi="Times New Roman"/>
        <w:sz w:val="20"/>
        <w:szCs w:val="24"/>
        <w:lang w:eastAsia="lv-LV"/>
      </w:rPr>
      <w:t>ZMAnot_211117_Lauk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690" w:rsidRPr="00BA1A3E" w:rsidRDefault="00BA1A3E" w:rsidP="00BA1A3E">
    <w:pPr>
      <w:pStyle w:val="Kjene"/>
    </w:pPr>
    <w:r w:rsidRPr="00BA1A3E">
      <w:rPr>
        <w:rFonts w:ascii="Times New Roman" w:eastAsia="Times New Roman" w:hAnsi="Times New Roman"/>
        <w:sz w:val="20"/>
        <w:szCs w:val="24"/>
        <w:lang w:eastAsia="lv-LV"/>
      </w:rPr>
      <w:t>ZMAnot_211117_Lauk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4F4" w:rsidRDefault="008C54F4" w:rsidP="006B42E1">
      <w:pPr>
        <w:rPr>
          <w:rFonts w:ascii="Calibri" w:hAnsi="Calibri"/>
          <w:sz w:val="22"/>
          <w:szCs w:val="22"/>
          <w:lang w:eastAsia="en-US"/>
        </w:rPr>
      </w:pPr>
      <w:r>
        <w:rPr>
          <w:rFonts w:ascii="Calibri" w:hAnsi="Calibri"/>
          <w:sz w:val="22"/>
          <w:szCs w:val="22"/>
          <w:lang w:eastAsia="en-US"/>
        </w:rPr>
        <w:separator/>
      </w:r>
    </w:p>
  </w:footnote>
  <w:footnote w:type="continuationSeparator" w:id="0">
    <w:p w:rsidR="008C54F4" w:rsidRDefault="008C54F4" w:rsidP="006B42E1">
      <w:pPr>
        <w:rPr>
          <w:rFonts w:ascii="Calibri" w:hAnsi="Calibri"/>
          <w:sz w:val="22"/>
          <w:szCs w:val="22"/>
          <w:lang w:eastAsia="en-US"/>
        </w:rPr>
      </w:pPr>
      <w:r>
        <w:rPr>
          <w:rFonts w:ascii="Calibri" w:hAnsi="Calibri"/>
          <w:sz w:val="22"/>
          <w:szCs w:val="22"/>
          <w:lang w:eastAsia="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690" w:rsidRPr="006B42E1" w:rsidRDefault="00F64690" w:rsidP="006B42E1">
    <w:pPr>
      <w:pStyle w:val="Galvene"/>
      <w:jc w:val="center"/>
      <w:rPr>
        <w:rFonts w:ascii="Times New Roman" w:hAnsi="Times New Roman"/>
        <w:sz w:val="24"/>
        <w:szCs w:val="24"/>
      </w:rPr>
    </w:pPr>
    <w:r w:rsidRPr="006B42E1">
      <w:rPr>
        <w:rFonts w:ascii="Times New Roman" w:hAnsi="Times New Roman"/>
        <w:sz w:val="24"/>
        <w:szCs w:val="24"/>
      </w:rPr>
      <w:fldChar w:fldCharType="begin"/>
    </w:r>
    <w:r w:rsidRPr="006B42E1">
      <w:rPr>
        <w:rFonts w:ascii="Times New Roman" w:hAnsi="Times New Roman"/>
        <w:sz w:val="24"/>
        <w:szCs w:val="24"/>
      </w:rPr>
      <w:instrText>PAGE   \* MERGEFORMAT</w:instrText>
    </w:r>
    <w:r w:rsidRPr="006B42E1">
      <w:rPr>
        <w:rFonts w:ascii="Times New Roman" w:hAnsi="Times New Roman"/>
        <w:sz w:val="24"/>
        <w:szCs w:val="24"/>
      </w:rPr>
      <w:fldChar w:fldCharType="separate"/>
    </w:r>
    <w:r w:rsidR="00BA1A3E">
      <w:rPr>
        <w:rFonts w:ascii="Times New Roman" w:hAnsi="Times New Roman"/>
        <w:noProof/>
        <w:sz w:val="24"/>
        <w:szCs w:val="24"/>
      </w:rPr>
      <w:t>6</w:t>
    </w:r>
    <w:r w:rsidRPr="006B42E1">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3EC8"/>
    <w:multiLevelType w:val="hybridMultilevel"/>
    <w:tmpl w:val="A3323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2B01E3"/>
    <w:multiLevelType w:val="hybridMultilevel"/>
    <w:tmpl w:val="0FF0E682"/>
    <w:lvl w:ilvl="0" w:tplc="04260001">
      <w:start w:val="1"/>
      <w:numFmt w:val="bullet"/>
      <w:lvlText w:val=""/>
      <w:lvlJc w:val="left"/>
      <w:pPr>
        <w:ind w:left="429" w:hanging="360"/>
      </w:pPr>
      <w:rPr>
        <w:rFonts w:ascii="Symbol" w:hAnsi="Symbol" w:hint="default"/>
      </w:rPr>
    </w:lvl>
    <w:lvl w:ilvl="1" w:tplc="04260003" w:tentative="1">
      <w:start w:val="1"/>
      <w:numFmt w:val="bullet"/>
      <w:lvlText w:val="o"/>
      <w:lvlJc w:val="left"/>
      <w:pPr>
        <w:ind w:left="1149" w:hanging="360"/>
      </w:pPr>
      <w:rPr>
        <w:rFonts w:ascii="Courier New" w:hAnsi="Courier New" w:cs="Courier New" w:hint="default"/>
      </w:rPr>
    </w:lvl>
    <w:lvl w:ilvl="2" w:tplc="04260005" w:tentative="1">
      <w:start w:val="1"/>
      <w:numFmt w:val="bullet"/>
      <w:lvlText w:val=""/>
      <w:lvlJc w:val="left"/>
      <w:pPr>
        <w:ind w:left="1869" w:hanging="360"/>
      </w:pPr>
      <w:rPr>
        <w:rFonts w:ascii="Wingdings" w:hAnsi="Wingdings" w:hint="default"/>
      </w:rPr>
    </w:lvl>
    <w:lvl w:ilvl="3" w:tplc="04260001" w:tentative="1">
      <w:start w:val="1"/>
      <w:numFmt w:val="bullet"/>
      <w:lvlText w:val=""/>
      <w:lvlJc w:val="left"/>
      <w:pPr>
        <w:ind w:left="2589" w:hanging="360"/>
      </w:pPr>
      <w:rPr>
        <w:rFonts w:ascii="Symbol" w:hAnsi="Symbol" w:hint="default"/>
      </w:rPr>
    </w:lvl>
    <w:lvl w:ilvl="4" w:tplc="04260003" w:tentative="1">
      <w:start w:val="1"/>
      <w:numFmt w:val="bullet"/>
      <w:lvlText w:val="o"/>
      <w:lvlJc w:val="left"/>
      <w:pPr>
        <w:ind w:left="3309" w:hanging="360"/>
      </w:pPr>
      <w:rPr>
        <w:rFonts w:ascii="Courier New" w:hAnsi="Courier New" w:cs="Courier New" w:hint="default"/>
      </w:rPr>
    </w:lvl>
    <w:lvl w:ilvl="5" w:tplc="04260005" w:tentative="1">
      <w:start w:val="1"/>
      <w:numFmt w:val="bullet"/>
      <w:lvlText w:val=""/>
      <w:lvlJc w:val="left"/>
      <w:pPr>
        <w:ind w:left="4029" w:hanging="360"/>
      </w:pPr>
      <w:rPr>
        <w:rFonts w:ascii="Wingdings" w:hAnsi="Wingdings" w:hint="default"/>
      </w:rPr>
    </w:lvl>
    <w:lvl w:ilvl="6" w:tplc="04260001" w:tentative="1">
      <w:start w:val="1"/>
      <w:numFmt w:val="bullet"/>
      <w:lvlText w:val=""/>
      <w:lvlJc w:val="left"/>
      <w:pPr>
        <w:ind w:left="4749" w:hanging="360"/>
      </w:pPr>
      <w:rPr>
        <w:rFonts w:ascii="Symbol" w:hAnsi="Symbol" w:hint="default"/>
      </w:rPr>
    </w:lvl>
    <w:lvl w:ilvl="7" w:tplc="04260003" w:tentative="1">
      <w:start w:val="1"/>
      <w:numFmt w:val="bullet"/>
      <w:lvlText w:val="o"/>
      <w:lvlJc w:val="left"/>
      <w:pPr>
        <w:ind w:left="5469" w:hanging="360"/>
      </w:pPr>
      <w:rPr>
        <w:rFonts w:ascii="Courier New" w:hAnsi="Courier New" w:cs="Courier New" w:hint="default"/>
      </w:rPr>
    </w:lvl>
    <w:lvl w:ilvl="8" w:tplc="04260005" w:tentative="1">
      <w:start w:val="1"/>
      <w:numFmt w:val="bullet"/>
      <w:lvlText w:val=""/>
      <w:lvlJc w:val="left"/>
      <w:pPr>
        <w:ind w:left="6189" w:hanging="360"/>
      </w:pPr>
      <w:rPr>
        <w:rFonts w:ascii="Wingdings" w:hAnsi="Wingdings" w:hint="default"/>
      </w:rPr>
    </w:lvl>
  </w:abstractNum>
  <w:abstractNum w:abstractNumId="2" w15:restartNumberingAfterBreak="0">
    <w:nsid w:val="07F03DF0"/>
    <w:multiLevelType w:val="hybridMultilevel"/>
    <w:tmpl w:val="576E9F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AB3BD0"/>
    <w:multiLevelType w:val="hybridMultilevel"/>
    <w:tmpl w:val="92F8E092"/>
    <w:lvl w:ilvl="0" w:tplc="0426000F">
      <w:start w:val="1"/>
      <w:numFmt w:val="decimal"/>
      <w:lvlText w:val="%1."/>
      <w:lvlJc w:val="left"/>
      <w:pPr>
        <w:ind w:left="363" w:hanging="360"/>
      </w:pPr>
      <w:rPr>
        <w:rFonts w:hint="default"/>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4" w15:restartNumberingAfterBreak="0">
    <w:nsid w:val="10222425"/>
    <w:multiLevelType w:val="hybridMultilevel"/>
    <w:tmpl w:val="9A6EF8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881B49"/>
    <w:multiLevelType w:val="hybridMultilevel"/>
    <w:tmpl w:val="45B8FFF2"/>
    <w:lvl w:ilvl="0" w:tplc="9206647C">
      <w:start w:val="1"/>
      <w:numFmt w:val="decimal"/>
      <w:lvlText w:val="%1)"/>
      <w:lvlJc w:val="left"/>
      <w:pPr>
        <w:ind w:left="720" w:hanging="360"/>
      </w:pPr>
      <w:rPr>
        <w:rFonts w:ascii="Times New Roman" w:hAnsi="Times New Roman" w:cs="Times New Roman" w:hint="default"/>
        <w:color w:val="C55A11"/>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2B593D73"/>
    <w:multiLevelType w:val="hybridMultilevel"/>
    <w:tmpl w:val="9D4CF400"/>
    <w:lvl w:ilvl="0" w:tplc="3C7A7CFE">
      <w:start w:val="20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1583A8E"/>
    <w:multiLevelType w:val="hybridMultilevel"/>
    <w:tmpl w:val="B0E83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1DE1666"/>
    <w:multiLevelType w:val="hybridMultilevel"/>
    <w:tmpl w:val="B636DFCA"/>
    <w:lvl w:ilvl="0" w:tplc="CF7C775E">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49D95DFE"/>
    <w:multiLevelType w:val="hybridMultilevel"/>
    <w:tmpl w:val="507AB2E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0" w15:restartNumberingAfterBreak="0">
    <w:nsid w:val="5A7630FE"/>
    <w:multiLevelType w:val="hybridMultilevel"/>
    <w:tmpl w:val="73C48D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027091D"/>
    <w:multiLevelType w:val="hybridMultilevel"/>
    <w:tmpl w:val="507AB2E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2" w15:restartNumberingAfterBreak="0">
    <w:nsid w:val="604A345C"/>
    <w:multiLevelType w:val="hybridMultilevel"/>
    <w:tmpl w:val="646C17FE"/>
    <w:lvl w:ilvl="0" w:tplc="F4642BC4">
      <w:start w:val="35"/>
      <w:numFmt w:val="bullet"/>
      <w:lvlText w:val="-"/>
      <w:lvlJc w:val="left"/>
      <w:pPr>
        <w:ind w:left="789" w:hanging="360"/>
      </w:pPr>
      <w:rPr>
        <w:rFonts w:ascii="Times New Roman" w:eastAsia="Times New Roman" w:hAnsi="Times New Roman" w:cs="Times New Roman" w:hint="default"/>
        <w:sz w:val="24"/>
      </w:rPr>
    </w:lvl>
    <w:lvl w:ilvl="1" w:tplc="04260003" w:tentative="1">
      <w:start w:val="1"/>
      <w:numFmt w:val="bullet"/>
      <w:lvlText w:val="o"/>
      <w:lvlJc w:val="left"/>
      <w:pPr>
        <w:ind w:left="1509" w:hanging="360"/>
      </w:pPr>
      <w:rPr>
        <w:rFonts w:ascii="Courier New" w:hAnsi="Courier New" w:cs="Courier New" w:hint="default"/>
      </w:rPr>
    </w:lvl>
    <w:lvl w:ilvl="2" w:tplc="04260005" w:tentative="1">
      <w:start w:val="1"/>
      <w:numFmt w:val="bullet"/>
      <w:lvlText w:val=""/>
      <w:lvlJc w:val="left"/>
      <w:pPr>
        <w:ind w:left="2229" w:hanging="360"/>
      </w:pPr>
      <w:rPr>
        <w:rFonts w:ascii="Wingdings" w:hAnsi="Wingdings" w:hint="default"/>
      </w:rPr>
    </w:lvl>
    <w:lvl w:ilvl="3" w:tplc="04260001" w:tentative="1">
      <w:start w:val="1"/>
      <w:numFmt w:val="bullet"/>
      <w:lvlText w:val=""/>
      <w:lvlJc w:val="left"/>
      <w:pPr>
        <w:ind w:left="2949" w:hanging="360"/>
      </w:pPr>
      <w:rPr>
        <w:rFonts w:ascii="Symbol" w:hAnsi="Symbol" w:hint="default"/>
      </w:rPr>
    </w:lvl>
    <w:lvl w:ilvl="4" w:tplc="04260003" w:tentative="1">
      <w:start w:val="1"/>
      <w:numFmt w:val="bullet"/>
      <w:lvlText w:val="o"/>
      <w:lvlJc w:val="left"/>
      <w:pPr>
        <w:ind w:left="3669" w:hanging="360"/>
      </w:pPr>
      <w:rPr>
        <w:rFonts w:ascii="Courier New" w:hAnsi="Courier New" w:cs="Courier New" w:hint="default"/>
      </w:rPr>
    </w:lvl>
    <w:lvl w:ilvl="5" w:tplc="04260005" w:tentative="1">
      <w:start w:val="1"/>
      <w:numFmt w:val="bullet"/>
      <w:lvlText w:val=""/>
      <w:lvlJc w:val="left"/>
      <w:pPr>
        <w:ind w:left="4389" w:hanging="360"/>
      </w:pPr>
      <w:rPr>
        <w:rFonts w:ascii="Wingdings" w:hAnsi="Wingdings" w:hint="default"/>
      </w:rPr>
    </w:lvl>
    <w:lvl w:ilvl="6" w:tplc="04260001" w:tentative="1">
      <w:start w:val="1"/>
      <w:numFmt w:val="bullet"/>
      <w:lvlText w:val=""/>
      <w:lvlJc w:val="left"/>
      <w:pPr>
        <w:ind w:left="5109" w:hanging="360"/>
      </w:pPr>
      <w:rPr>
        <w:rFonts w:ascii="Symbol" w:hAnsi="Symbol" w:hint="default"/>
      </w:rPr>
    </w:lvl>
    <w:lvl w:ilvl="7" w:tplc="04260003" w:tentative="1">
      <w:start w:val="1"/>
      <w:numFmt w:val="bullet"/>
      <w:lvlText w:val="o"/>
      <w:lvlJc w:val="left"/>
      <w:pPr>
        <w:ind w:left="5829" w:hanging="360"/>
      </w:pPr>
      <w:rPr>
        <w:rFonts w:ascii="Courier New" w:hAnsi="Courier New" w:cs="Courier New" w:hint="default"/>
      </w:rPr>
    </w:lvl>
    <w:lvl w:ilvl="8" w:tplc="04260005" w:tentative="1">
      <w:start w:val="1"/>
      <w:numFmt w:val="bullet"/>
      <w:lvlText w:val=""/>
      <w:lvlJc w:val="left"/>
      <w:pPr>
        <w:ind w:left="6549" w:hanging="360"/>
      </w:pPr>
      <w:rPr>
        <w:rFonts w:ascii="Wingdings" w:hAnsi="Wingdings" w:hint="default"/>
      </w:rPr>
    </w:lvl>
  </w:abstractNum>
  <w:abstractNum w:abstractNumId="13" w15:restartNumberingAfterBreak="0">
    <w:nsid w:val="6295423C"/>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656D5A41"/>
    <w:multiLevelType w:val="hybridMultilevel"/>
    <w:tmpl w:val="DFA07D88"/>
    <w:lvl w:ilvl="0" w:tplc="72B054AA">
      <w:start w:val="1"/>
      <w:numFmt w:val="decimal"/>
      <w:lvlText w:val="%1."/>
      <w:lvlJc w:val="left"/>
      <w:pPr>
        <w:tabs>
          <w:tab w:val="num" w:pos="735"/>
        </w:tabs>
        <w:ind w:left="735" w:hanging="735"/>
      </w:pPr>
      <w:rPr>
        <w:rFonts w:cs="Times New Roman" w:hint="default"/>
      </w:rPr>
    </w:lvl>
    <w:lvl w:ilvl="1" w:tplc="7046CEBC">
      <w:numFmt w:val="none"/>
      <w:lvlText w:val=""/>
      <w:lvlJc w:val="left"/>
      <w:pPr>
        <w:tabs>
          <w:tab w:val="num" w:pos="360"/>
        </w:tabs>
      </w:pPr>
      <w:rPr>
        <w:rFonts w:cs="Times New Roman"/>
      </w:rPr>
    </w:lvl>
    <w:lvl w:ilvl="2" w:tplc="9E629F00">
      <w:numFmt w:val="none"/>
      <w:lvlText w:val=""/>
      <w:lvlJc w:val="left"/>
      <w:pPr>
        <w:tabs>
          <w:tab w:val="num" w:pos="360"/>
        </w:tabs>
      </w:pPr>
      <w:rPr>
        <w:rFonts w:cs="Times New Roman"/>
      </w:rPr>
    </w:lvl>
    <w:lvl w:ilvl="3" w:tplc="738C3EA4">
      <w:numFmt w:val="none"/>
      <w:lvlText w:val=""/>
      <w:lvlJc w:val="left"/>
      <w:pPr>
        <w:tabs>
          <w:tab w:val="num" w:pos="360"/>
        </w:tabs>
      </w:pPr>
      <w:rPr>
        <w:rFonts w:cs="Times New Roman"/>
      </w:rPr>
    </w:lvl>
    <w:lvl w:ilvl="4" w:tplc="62BAD478">
      <w:numFmt w:val="none"/>
      <w:lvlText w:val=""/>
      <w:lvlJc w:val="left"/>
      <w:pPr>
        <w:tabs>
          <w:tab w:val="num" w:pos="360"/>
        </w:tabs>
      </w:pPr>
      <w:rPr>
        <w:rFonts w:cs="Times New Roman"/>
      </w:rPr>
    </w:lvl>
    <w:lvl w:ilvl="5" w:tplc="9A122A92">
      <w:numFmt w:val="none"/>
      <w:lvlText w:val=""/>
      <w:lvlJc w:val="left"/>
      <w:pPr>
        <w:tabs>
          <w:tab w:val="num" w:pos="360"/>
        </w:tabs>
      </w:pPr>
      <w:rPr>
        <w:rFonts w:cs="Times New Roman"/>
      </w:rPr>
    </w:lvl>
    <w:lvl w:ilvl="6" w:tplc="7DBACBE6">
      <w:numFmt w:val="none"/>
      <w:lvlText w:val=""/>
      <w:lvlJc w:val="left"/>
      <w:pPr>
        <w:tabs>
          <w:tab w:val="num" w:pos="360"/>
        </w:tabs>
      </w:pPr>
      <w:rPr>
        <w:rFonts w:cs="Times New Roman"/>
      </w:rPr>
    </w:lvl>
    <w:lvl w:ilvl="7" w:tplc="BC66165C">
      <w:numFmt w:val="none"/>
      <w:lvlText w:val=""/>
      <w:lvlJc w:val="left"/>
      <w:pPr>
        <w:tabs>
          <w:tab w:val="num" w:pos="360"/>
        </w:tabs>
      </w:pPr>
      <w:rPr>
        <w:rFonts w:cs="Times New Roman"/>
      </w:rPr>
    </w:lvl>
    <w:lvl w:ilvl="8" w:tplc="1F0A3654">
      <w:numFmt w:val="none"/>
      <w:lvlText w:val=""/>
      <w:lvlJc w:val="left"/>
      <w:pPr>
        <w:tabs>
          <w:tab w:val="num" w:pos="360"/>
        </w:tabs>
      </w:pPr>
      <w:rPr>
        <w:rFonts w:cs="Times New Roman"/>
      </w:rPr>
    </w:lvl>
  </w:abstractNum>
  <w:abstractNum w:abstractNumId="15" w15:restartNumberingAfterBreak="0">
    <w:nsid w:val="66410F18"/>
    <w:multiLevelType w:val="hybridMultilevel"/>
    <w:tmpl w:val="91CEF3D8"/>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34165D5"/>
    <w:multiLevelType w:val="hybridMultilevel"/>
    <w:tmpl w:val="3440E50A"/>
    <w:lvl w:ilvl="0" w:tplc="9A10DFEE">
      <w:start w:val="1"/>
      <w:numFmt w:val="decimal"/>
      <w:lvlText w:val="%1."/>
      <w:lvlJc w:val="left"/>
      <w:pPr>
        <w:ind w:left="429" w:hanging="360"/>
      </w:pPr>
      <w:rPr>
        <w:rFonts w:hint="default"/>
      </w:rPr>
    </w:lvl>
    <w:lvl w:ilvl="1" w:tplc="04260019" w:tentative="1">
      <w:start w:val="1"/>
      <w:numFmt w:val="lowerLetter"/>
      <w:lvlText w:val="%2."/>
      <w:lvlJc w:val="left"/>
      <w:pPr>
        <w:ind w:left="1149" w:hanging="360"/>
      </w:pPr>
    </w:lvl>
    <w:lvl w:ilvl="2" w:tplc="0426001B" w:tentative="1">
      <w:start w:val="1"/>
      <w:numFmt w:val="lowerRoman"/>
      <w:lvlText w:val="%3."/>
      <w:lvlJc w:val="right"/>
      <w:pPr>
        <w:ind w:left="1869" w:hanging="180"/>
      </w:pPr>
    </w:lvl>
    <w:lvl w:ilvl="3" w:tplc="0426000F" w:tentative="1">
      <w:start w:val="1"/>
      <w:numFmt w:val="decimal"/>
      <w:lvlText w:val="%4."/>
      <w:lvlJc w:val="left"/>
      <w:pPr>
        <w:ind w:left="2589" w:hanging="360"/>
      </w:pPr>
    </w:lvl>
    <w:lvl w:ilvl="4" w:tplc="04260019" w:tentative="1">
      <w:start w:val="1"/>
      <w:numFmt w:val="lowerLetter"/>
      <w:lvlText w:val="%5."/>
      <w:lvlJc w:val="left"/>
      <w:pPr>
        <w:ind w:left="3309" w:hanging="360"/>
      </w:pPr>
    </w:lvl>
    <w:lvl w:ilvl="5" w:tplc="0426001B" w:tentative="1">
      <w:start w:val="1"/>
      <w:numFmt w:val="lowerRoman"/>
      <w:lvlText w:val="%6."/>
      <w:lvlJc w:val="right"/>
      <w:pPr>
        <w:ind w:left="4029" w:hanging="180"/>
      </w:pPr>
    </w:lvl>
    <w:lvl w:ilvl="6" w:tplc="0426000F" w:tentative="1">
      <w:start w:val="1"/>
      <w:numFmt w:val="decimal"/>
      <w:lvlText w:val="%7."/>
      <w:lvlJc w:val="left"/>
      <w:pPr>
        <w:ind w:left="4749" w:hanging="360"/>
      </w:pPr>
    </w:lvl>
    <w:lvl w:ilvl="7" w:tplc="04260019" w:tentative="1">
      <w:start w:val="1"/>
      <w:numFmt w:val="lowerLetter"/>
      <w:lvlText w:val="%8."/>
      <w:lvlJc w:val="left"/>
      <w:pPr>
        <w:ind w:left="5469" w:hanging="360"/>
      </w:pPr>
    </w:lvl>
    <w:lvl w:ilvl="8" w:tplc="0426001B" w:tentative="1">
      <w:start w:val="1"/>
      <w:numFmt w:val="lowerRoman"/>
      <w:lvlText w:val="%9."/>
      <w:lvlJc w:val="right"/>
      <w:pPr>
        <w:ind w:left="6189" w:hanging="180"/>
      </w:pPr>
    </w:lvl>
  </w:abstractNum>
  <w:abstractNum w:abstractNumId="17" w15:restartNumberingAfterBreak="0">
    <w:nsid w:val="75201B17"/>
    <w:multiLevelType w:val="hybridMultilevel"/>
    <w:tmpl w:val="F1F86FDC"/>
    <w:lvl w:ilvl="0" w:tplc="0470A080">
      <w:start w:val="1"/>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7613131A"/>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7C96589C"/>
    <w:multiLevelType w:val="hybridMultilevel"/>
    <w:tmpl w:val="0524800E"/>
    <w:lvl w:ilvl="0" w:tplc="5CB05B04">
      <w:numFmt w:val="bullet"/>
      <w:lvlText w:val=""/>
      <w:lvlJc w:val="left"/>
      <w:pPr>
        <w:ind w:left="720" w:hanging="360"/>
      </w:pPr>
      <w:rPr>
        <w:rFonts w:ascii="Symbol" w:eastAsia="Times New Roman" w:hAnsi="Symbol"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
  </w:num>
  <w:num w:numId="4">
    <w:abstractNumId w:val="8"/>
  </w:num>
  <w:num w:numId="5">
    <w:abstractNumId w:val="11"/>
  </w:num>
  <w:num w:numId="6">
    <w:abstractNumId w:val="2"/>
  </w:num>
  <w:num w:numId="7">
    <w:abstractNumId w:val="6"/>
  </w:num>
  <w:num w:numId="8">
    <w:abstractNumId w:val="7"/>
  </w:num>
  <w:num w:numId="9">
    <w:abstractNumId w:val="13"/>
  </w:num>
  <w:num w:numId="10">
    <w:abstractNumId w:val="15"/>
  </w:num>
  <w:num w:numId="11">
    <w:abstractNumId w:val="18"/>
  </w:num>
  <w:num w:numId="12">
    <w:abstractNumId w:val="10"/>
  </w:num>
  <w:num w:numId="13">
    <w:abstractNumId w:val="3"/>
  </w:num>
  <w:num w:numId="14">
    <w:abstractNumId w:val="0"/>
  </w:num>
  <w:num w:numId="15">
    <w:abstractNumId w:val="1"/>
  </w:num>
  <w:num w:numId="16">
    <w:abstractNumId w:val="19"/>
  </w:num>
  <w:num w:numId="17">
    <w:abstractNumId w:val="17"/>
  </w:num>
  <w:num w:numId="18">
    <w:abstractNumId w:val="12"/>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lv-LV" w:vendorID="71" w:dllVersion="512"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E1"/>
    <w:rsid w:val="00000397"/>
    <w:rsid w:val="00010363"/>
    <w:rsid w:val="0001058D"/>
    <w:rsid w:val="000135B1"/>
    <w:rsid w:val="000141C1"/>
    <w:rsid w:val="00021B33"/>
    <w:rsid w:val="000245E4"/>
    <w:rsid w:val="00025686"/>
    <w:rsid w:val="000270E2"/>
    <w:rsid w:val="000307D6"/>
    <w:rsid w:val="00032CCB"/>
    <w:rsid w:val="00033E73"/>
    <w:rsid w:val="000440CD"/>
    <w:rsid w:val="000450F6"/>
    <w:rsid w:val="000454C9"/>
    <w:rsid w:val="00045DC4"/>
    <w:rsid w:val="00045F10"/>
    <w:rsid w:val="000504C9"/>
    <w:rsid w:val="00050B22"/>
    <w:rsid w:val="000527E3"/>
    <w:rsid w:val="0005367D"/>
    <w:rsid w:val="00054B66"/>
    <w:rsid w:val="00055267"/>
    <w:rsid w:val="00056BFD"/>
    <w:rsid w:val="0006144E"/>
    <w:rsid w:val="00063D28"/>
    <w:rsid w:val="000645F6"/>
    <w:rsid w:val="00064782"/>
    <w:rsid w:val="00065414"/>
    <w:rsid w:val="00065BBD"/>
    <w:rsid w:val="00072232"/>
    <w:rsid w:val="00072919"/>
    <w:rsid w:val="00074F79"/>
    <w:rsid w:val="000752E9"/>
    <w:rsid w:val="00075969"/>
    <w:rsid w:val="000801E3"/>
    <w:rsid w:val="00080C6F"/>
    <w:rsid w:val="00081B49"/>
    <w:rsid w:val="0008302C"/>
    <w:rsid w:val="000861D8"/>
    <w:rsid w:val="00086361"/>
    <w:rsid w:val="00086774"/>
    <w:rsid w:val="00087088"/>
    <w:rsid w:val="00091CE8"/>
    <w:rsid w:val="00091E42"/>
    <w:rsid w:val="00095486"/>
    <w:rsid w:val="000957E5"/>
    <w:rsid w:val="00095F9A"/>
    <w:rsid w:val="000A0487"/>
    <w:rsid w:val="000A3303"/>
    <w:rsid w:val="000A5E3C"/>
    <w:rsid w:val="000A7694"/>
    <w:rsid w:val="000B0071"/>
    <w:rsid w:val="000B0E4C"/>
    <w:rsid w:val="000B16CA"/>
    <w:rsid w:val="000B1D64"/>
    <w:rsid w:val="000B2414"/>
    <w:rsid w:val="000B53DF"/>
    <w:rsid w:val="000B698E"/>
    <w:rsid w:val="000C0408"/>
    <w:rsid w:val="000C0DAB"/>
    <w:rsid w:val="000C13C1"/>
    <w:rsid w:val="000C1D81"/>
    <w:rsid w:val="000C283D"/>
    <w:rsid w:val="000C2DF9"/>
    <w:rsid w:val="000C3027"/>
    <w:rsid w:val="000C3050"/>
    <w:rsid w:val="000C57DA"/>
    <w:rsid w:val="000C7DD4"/>
    <w:rsid w:val="000D16A8"/>
    <w:rsid w:val="000D4EF0"/>
    <w:rsid w:val="000D57AF"/>
    <w:rsid w:val="000D5C8C"/>
    <w:rsid w:val="000E2443"/>
    <w:rsid w:val="000E3C59"/>
    <w:rsid w:val="000E5392"/>
    <w:rsid w:val="000E7B64"/>
    <w:rsid w:val="000F01BE"/>
    <w:rsid w:val="000F442A"/>
    <w:rsid w:val="000F6B11"/>
    <w:rsid w:val="000F6C06"/>
    <w:rsid w:val="000F7756"/>
    <w:rsid w:val="001001E4"/>
    <w:rsid w:val="00106AC9"/>
    <w:rsid w:val="00106FDC"/>
    <w:rsid w:val="00107EAA"/>
    <w:rsid w:val="00110153"/>
    <w:rsid w:val="001130CC"/>
    <w:rsid w:val="001141E5"/>
    <w:rsid w:val="00115B9E"/>
    <w:rsid w:val="001166CE"/>
    <w:rsid w:val="00117452"/>
    <w:rsid w:val="001175B7"/>
    <w:rsid w:val="001179D3"/>
    <w:rsid w:val="0012012A"/>
    <w:rsid w:val="00121B31"/>
    <w:rsid w:val="00122123"/>
    <w:rsid w:val="001221B8"/>
    <w:rsid w:val="00124391"/>
    <w:rsid w:val="001251F4"/>
    <w:rsid w:val="001305EE"/>
    <w:rsid w:val="001307C8"/>
    <w:rsid w:val="00131E94"/>
    <w:rsid w:val="00133BE0"/>
    <w:rsid w:val="00136660"/>
    <w:rsid w:val="00142EA1"/>
    <w:rsid w:val="00152F9A"/>
    <w:rsid w:val="001543E8"/>
    <w:rsid w:val="00154BF4"/>
    <w:rsid w:val="00155754"/>
    <w:rsid w:val="001569AB"/>
    <w:rsid w:val="00160403"/>
    <w:rsid w:val="0016220B"/>
    <w:rsid w:val="001676A0"/>
    <w:rsid w:val="001702B7"/>
    <w:rsid w:val="00172056"/>
    <w:rsid w:val="00174322"/>
    <w:rsid w:val="001759AC"/>
    <w:rsid w:val="001772F8"/>
    <w:rsid w:val="00177785"/>
    <w:rsid w:val="00184D91"/>
    <w:rsid w:val="00187981"/>
    <w:rsid w:val="00196583"/>
    <w:rsid w:val="001A3BFC"/>
    <w:rsid w:val="001A3C80"/>
    <w:rsid w:val="001A4E09"/>
    <w:rsid w:val="001A50BC"/>
    <w:rsid w:val="001A5C18"/>
    <w:rsid w:val="001A6197"/>
    <w:rsid w:val="001A77A9"/>
    <w:rsid w:val="001B2A89"/>
    <w:rsid w:val="001B2CFC"/>
    <w:rsid w:val="001B6789"/>
    <w:rsid w:val="001C0729"/>
    <w:rsid w:val="001C074D"/>
    <w:rsid w:val="001C0B85"/>
    <w:rsid w:val="001C645D"/>
    <w:rsid w:val="001D0B8A"/>
    <w:rsid w:val="001D7165"/>
    <w:rsid w:val="001E000E"/>
    <w:rsid w:val="001E1FC0"/>
    <w:rsid w:val="001E7D8C"/>
    <w:rsid w:val="001F234A"/>
    <w:rsid w:val="001F3B1B"/>
    <w:rsid w:val="001F436B"/>
    <w:rsid w:val="001F574C"/>
    <w:rsid w:val="001F5D71"/>
    <w:rsid w:val="00202987"/>
    <w:rsid w:val="002046BC"/>
    <w:rsid w:val="00205385"/>
    <w:rsid w:val="00207BD9"/>
    <w:rsid w:val="002102BB"/>
    <w:rsid w:val="00210DB4"/>
    <w:rsid w:val="00212CFC"/>
    <w:rsid w:val="0021371F"/>
    <w:rsid w:val="0021641A"/>
    <w:rsid w:val="00217689"/>
    <w:rsid w:val="00217B23"/>
    <w:rsid w:val="0022441C"/>
    <w:rsid w:val="00225E21"/>
    <w:rsid w:val="00227150"/>
    <w:rsid w:val="00227E83"/>
    <w:rsid w:val="00231B01"/>
    <w:rsid w:val="002321A8"/>
    <w:rsid w:val="00232AA2"/>
    <w:rsid w:val="00234811"/>
    <w:rsid w:val="002362AB"/>
    <w:rsid w:val="002407C0"/>
    <w:rsid w:val="00242542"/>
    <w:rsid w:val="00243240"/>
    <w:rsid w:val="00243C17"/>
    <w:rsid w:val="0024414A"/>
    <w:rsid w:val="00252D8B"/>
    <w:rsid w:val="00260D3F"/>
    <w:rsid w:val="002679CC"/>
    <w:rsid w:val="00270A74"/>
    <w:rsid w:val="00274145"/>
    <w:rsid w:val="0028045B"/>
    <w:rsid w:val="00282674"/>
    <w:rsid w:val="0028376E"/>
    <w:rsid w:val="0028566A"/>
    <w:rsid w:val="00286AD9"/>
    <w:rsid w:val="002878F6"/>
    <w:rsid w:val="00292364"/>
    <w:rsid w:val="0029537C"/>
    <w:rsid w:val="002956B0"/>
    <w:rsid w:val="002A72AF"/>
    <w:rsid w:val="002A73B3"/>
    <w:rsid w:val="002A7678"/>
    <w:rsid w:val="002A7CC2"/>
    <w:rsid w:val="002A7F17"/>
    <w:rsid w:val="002B103A"/>
    <w:rsid w:val="002B37F4"/>
    <w:rsid w:val="002B42DB"/>
    <w:rsid w:val="002B4EBC"/>
    <w:rsid w:val="002C1F64"/>
    <w:rsid w:val="002C4EA4"/>
    <w:rsid w:val="002C5159"/>
    <w:rsid w:val="002D11C7"/>
    <w:rsid w:val="002D34BA"/>
    <w:rsid w:val="002D38B2"/>
    <w:rsid w:val="002D6F69"/>
    <w:rsid w:val="002E180D"/>
    <w:rsid w:val="002E58E1"/>
    <w:rsid w:val="002E7998"/>
    <w:rsid w:val="002F20C6"/>
    <w:rsid w:val="002F4C88"/>
    <w:rsid w:val="002F553E"/>
    <w:rsid w:val="003017F3"/>
    <w:rsid w:val="003057DA"/>
    <w:rsid w:val="00306ABF"/>
    <w:rsid w:val="0031097F"/>
    <w:rsid w:val="00314164"/>
    <w:rsid w:val="00316DF0"/>
    <w:rsid w:val="003177BA"/>
    <w:rsid w:val="00322B25"/>
    <w:rsid w:val="00322EF9"/>
    <w:rsid w:val="003241BD"/>
    <w:rsid w:val="00326540"/>
    <w:rsid w:val="00327FCF"/>
    <w:rsid w:val="0033465E"/>
    <w:rsid w:val="003406F9"/>
    <w:rsid w:val="00350DCD"/>
    <w:rsid w:val="0035236C"/>
    <w:rsid w:val="00352976"/>
    <w:rsid w:val="0035326A"/>
    <w:rsid w:val="00355E2A"/>
    <w:rsid w:val="00357FC8"/>
    <w:rsid w:val="0036088B"/>
    <w:rsid w:val="0036380C"/>
    <w:rsid w:val="00365593"/>
    <w:rsid w:val="00367BB1"/>
    <w:rsid w:val="00371839"/>
    <w:rsid w:val="00372222"/>
    <w:rsid w:val="00374351"/>
    <w:rsid w:val="00383838"/>
    <w:rsid w:val="00385F76"/>
    <w:rsid w:val="00386ACF"/>
    <w:rsid w:val="00386D4D"/>
    <w:rsid w:val="003905FE"/>
    <w:rsid w:val="00391FC6"/>
    <w:rsid w:val="00396B0E"/>
    <w:rsid w:val="003A06E9"/>
    <w:rsid w:val="003A14D9"/>
    <w:rsid w:val="003A22B1"/>
    <w:rsid w:val="003A3B23"/>
    <w:rsid w:val="003A4CE9"/>
    <w:rsid w:val="003A6498"/>
    <w:rsid w:val="003A64CB"/>
    <w:rsid w:val="003A6DEF"/>
    <w:rsid w:val="003A7924"/>
    <w:rsid w:val="003B5E1C"/>
    <w:rsid w:val="003C0519"/>
    <w:rsid w:val="003D048C"/>
    <w:rsid w:val="003D3761"/>
    <w:rsid w:val="003D64F2"/>
    <w:rsid w:val="003E2BF5"/>
    <w:rsid w:val="003E4363"/>
    <w:rsid w:val="003E58C9"/>
    <w:rsid w:val="003F0B16"/>
    <w:rsid w:val="003F2EFD"/>
    <w:rsid w:val="003F5A33"/>
    <w:rsid w:val="003F6573"/>
    <w:rsid w:val="00400C7A"/>
    <w:rsid w:val="00405C9D"/>
    <w:rsid w:val="00406D01"/>
    <w:rsid w:val="00407235"/>
    <w:rsid w:val="004103AB"/>
    <w:rsid w:val="00410FA7"/>
    <w:rsid w:val="00411EAD"/>
    <w:rsid w:val="00413737"/>
    <w:rsid w:val="00414376"/>
    <w:rsid w:val="00414510"/>
    <w:rsid w:val="00414BFC"/>
    <w:rsid w:val="00414C2F"/>
    <w:rsid w:val="004234AA"/>
    <w:rsid w:val="0042573E"/>
    <w:rsid w:val="004302F7"/>
    <w:rsid w:val="00432A95"/>
    <w:rsid w:val="0043387C"/>
    <w:rsid w:val="0043497F"/>
    <w:rsid w:val="004367C7"/>
    <w:rsid w:val="0044165F"/>
    <w:rsid w:val="00442BB6"/>
    <w:rsid w:val="00443EAD"/>
    <w:rsid w:val="004560EA"/>
    <w:rsid w:val="00460BD7"/>
    <w:rsid w:val="00470669"/>
    <w:rsid w:val="00471F64"/>
    <w:rsid w:val="00473D4A"/>
    <w:rsid w:val="0047465B"/>
    <w:rsid w:val="00475220"/>
    <w:rsid w:val="00475F87"/>
    <w:rsid w:val="004851D5"/>
    <w:rsid w:val="00495BDF"/>
    <w:rsid w:val="00495CA0"/>
    <w:rsid w:val="00496D64"/>
    <w:rsid w:val="004976B3"/>
    <w:rsid w:val="004976CD"/>
    <w:rsid w:val="004A1054"/>
    <w:rsid w:val="004A1446"/>
    <w:rsid w:val="004A3064"/>
    <w:rsid w:val="004A3C96"/>
    <w:rsid w:val="004A5480"/>
    <w:rsid w:val="004A64C6"/>
    <w:rsid w:val="004A72C6"/>
    <w:rsid w:val="004A75AD"/>
    <w:rsid w:val="004B609E"/>
    <w:rsid w:val="004C1C6B"/>
    <w:rsid w:val="004C259C"/>
    <w:rsid w:val="004C5413"/>
    <w:rsid w:val="004C5A0A"/>
    <w:rsid w:val="004C66C4"/>
    <w:rsid w:val="004C6825"/>
    <w:rsid w:val="004D4ADE"/>
    <w:rsid w:val="004E1B7F"/>
    <w:rsid w:val="004E251A"/>
    <w:rsid w:val="004E5420"/>
    <w:rsid w:val="004E5E63"/>
    <w:rsid w:val="004E78FE"/>
    <w:rsid w:val="004F113B"/>
    <w:rsid w:val="004F1369"/>
    <w:rsid w:val="004F1787"/>
    <w:rsid w:val="004F2475"/>
    <w:rsid w:val="004F5324"/>
    <w:rsid w:val="004F698B"/>
    <w:rsid w:val="0050329E"/>
    <w:rsid w:val="00507389"/>
    <w:rsid w:val="00510753"/>
    <w:rsid w:val="00515D58"/>
    <w:rsid w:val="00516CA2"/>
    <w:rsid w:val="00521D14"/>
    <w:rsid w:val="00523258"/>
    <w:rsid w:val="00527442"/>
    <w:rsid w:val="0053040D"/>
    <w:rsid w:val="0053269A"/>
    <w:rsid w:val="00537069"/>
    <w:rsid w:val="005418FF"/>
    <w:rsid w:val="005421CE"/>
    <w:rsid w:val="00544AEF"/>
    <w:rsid w:val="005475D3"/>
    <w:rsid w:val="00552F8D"/>
    <w:rsid w:val="00561519"/>
    <w:rsid w:val="0057099E"/>
    <w:rsid w:val="0057365C"/>
    <w:rsid w:val="00575D42"/>
    <w:rsid w:val="00580170"/>
    <w:rsid w:val="00583572"/>
    <w:rsid w:val="00587737"/>
    <w:rsid w:val="00590FFC"/>
    <w:rsid w:val="00595C41"/>
    <w:rsid w:val="00597B53"/>
    <w:rsid w:val="00597D8F"/>
    <w:rsid w:val="005A2CB2"/>
    <w:rsid w:val="005A514F"/>
    <w:rsid w:val="005A7131"/>
    <w:rsid w:val="005C083B"/>
    <w:rsid w:val="005C174B"/>
    <w:rsid w:val="005C64B5"/>
    <w:rsid w:val="005D0E1A"/>
    <w:rsid w:val="005D2639"/>
    <w:rsid w:val="005D2B28"/>
    <w:rsid w:val="005D378D"/>
    <w:rsid w:val="005D3DB2"/>
    <w:rsid w:val="005D3E62"/>
    <w:rsid w:val="005D4C64"/>
    <w:rsid w:val="005D5A78"/>
    <w:rsid w:val="005E1126"/>
    <w:rsid w:val="005E162A"/>
    <w:rsid w:val="005E2547"/>
    <w:rsid w:val="005E4799"/>
    <w:rsid w:val="005E6328"/>
    <w:rsid w:val="005F1BF2"/>
    <w:rsid w:val="005F2356"/>
    <w:rsid w:val="005F2CAC"/>
    <w:rsid w:val="005F4B05"/>
    <w:rsid w:val="0060161B"/>
    <w:rsid w:val="00603054"/>
    <w:rsid w:val="006039A6"/>
    <w:rsid w:val="006043B7"/>
    <w:rsid w:val="00605072"/>
    <w:rsid w:val="006050C4"/>
    <w:rsid w:val="006058DD"/>
    <w:rsid w:val="00606205"/>
    <w:rsid w:val="00607050"/>
    <w:rsid w:val="00607083"/>
    <w:rsid w:val="006159D9"/>
    <w:rsid w:val="00615D84"/>
    <w:rsid w:val="00624E0D"/>
    <w:rsid w:val="00624F2A"/>
    <w:rsid w:val="00624F8A"/>
    <w:rsid w:val="00625380"/>
    <w:rsid w:val="00625FE0"/>
    <w:rsid w:val="00633043"/>
    <w:rsid w:val="00636649"/>
    <w:rsid w:val="00640D7A"/>
    <w:rsid w:val="00642C6C"/>
    <w:rsid w:val="00643FD1"/>
    <w:rsid w:val="00644228"/>
    <w:rsid w:val="0065006A"/>
    <w:rsid w:val="00650AD3"/>
    <w:rsid w:val="0065213B"/>
    <w:rsid w:val="00652835"/>
    <w:rsid w:val="006531A3"/>
    <w:rsid w:val="00655B01"/>
    <w:rsid w:val="0065724F"/>
    <w:rsid w:val="0065757D"/>
    <w:rsid w:val="006666DC"/>
    <w:rsid w:val="006666EE"/>
    <w:rsid w:val="006667D4"/>
    <w:rsid w:val="00666816"/>
    <w:rsid w:val="0067231D"/>
    <w:rsid w:val="00674FE0"/>
    <w:rsid w:val="00675F9F"/>
    <w:rsid w:val="00677BC4"/>
    <w:rsid w:val="00681270"/>
    <w:rsid w:val="00682D73"/>
    <w:rsid w:val="006837FD"/>
    <w:rsid w:val="0068388B"/>
    <w:rsid w:val="00687CE5"/>
    <w:rsid w:val="00690BC1"/>
    <w:rsid w:val="006917D6"/>
    <w:rsid w:val="00693DBB"/>
    <w:rsid w:val="00694786"/>
    <w:rsid w:val="0069530A"/>
    <w:rsid w:val="00695CA2"/>
    <w:rsid w:val="006A19B6"/>
    <w:rsid w:val="006A449D"/>
    <w:rsid w:val="006A576C"/>
    <w:rsid w:val="006A7063"/>
    <w:rsid w:val="006B2A3B"/>
    <w:rsid w:val="006B2CEB"/>
    <w:rsid w:val="006B42E1"/>
    <w:rsid w:val="006B46C2"/>
    <w:rsid w:val="006B5EBF"/>
    <w:rsid w:val="006B6490"/>
    <w:rsid w:val="006C1714"/>
    <w:rsid w:val="006C4042"/>
    <w:rsid w:val="006C6746"/>
    <w:rsid w:val="006C69A8"/>
    <w:rsid w:val="006D0A21"/>
    <w:rsid w:val="006D1ECA"/>
    <w:rsid w:val="006D615F"/>
    <w:rsid w:val="006E1F2C"/>
    <w:rsid w:val="006E63EB"/>
    <w:rsid w:val="006F1C3F"/>
    <w:rsid w:val="006F24FD"/>
    <w:rsid w:val="006F2B65"/>
    <w:rsid w:val="006F7F35"/>
    <w:rsid w:val="00702C5F"/>
    <w:rsid w:val="007107CD"/>
    <w:rsid w:val="00712137"/>
    <w:rsid w:val="007131DB"/>
    <w:rsid w:val="00713973"/>
    <w:rsid w:val="00713D07"/>
    <w:rsid w:val="00717EC7"/>
    <w:rsid w:val="007214B3"/>
    <w:rsid w:val="0072158B"/>
    <w:rsid w:val="00724BC3"/>
    <w:rsid w:val="0072667D"/>
    <w:rsid w:val="0072717A"/>
    <w:rsid w:val="00727B86"/>
    <w:rsid w:val="00730DD0"/>
    <w:rsid w:val="00732892"/>
    <w:rsid w:val="00733C7A"/>
    <w:rsid w:val="00733F64"/>
    <w:rsid w:val="0073404C"/>
    <w:rsid w:val="0073451D"/>
    <w:rsid w:val="0073457B"/>
    <w:rsid w:val="00741D7A"/>
    <w:rsid w:val="007426AC"/>
    <w:rsid w:val="00744354"/>
    <w:rsid w:val="00744584"/>
    <w:rsid w:val="00744590"/>
    <w:rsid w:val="007460CE"/>
    <w:rsid w:val="00747171"/>
    <w:rsid w:val="00747C75"/>
    <w:rsid w:val="00753454"/>
    <w:rsid w:val="00755774"/>
    <w:rsid w:val="00756595"/>
    <w:rsid w:val="00763F08"/>
    <w:rsid w:val="00764117"/>
    <w:rsid w:val="00764FC1"/>
    <w:rsid w:val="00766212"/>
    <w:rsid w:val="00770A9E"/>
    <w:rsid w:val="00774EE0"/>
    <w:rsid w:val="00776129"/>
    <w:rsid w:val="00776FC9"/>
    <w:rsid w:val="00777B15"/>
    <w:rsid w:val="007818E3"/>
    <w:rsid w:val="00781F19"/>
    <w:rsid w:val="00782128"/>
    <w:rsid w:val="00783388"/>
    <w:rsid w:val="007869F1"/>
    <w:rsid w:val="00791AAF"/>
    <w:rsid w:val="00795587"/>
    <w:rsid w:val="007967E9"/>
    <w:rsid w:val="00796F3A"/>
    <w:rsid w:val="007A011F"/>
    <w:rsid w:val="007A0388"/>
    <w:rsid w:val="007A0EE4"/>
    <w:rsid w:val="007A5C52"/>
    <w:rsid w:val="007A6285"/>
    <w:rsid w:val="007B2CFA"/>
    <w:rsid w:val="007B2DBD"/>
    <w:rsid w:val="007B4D5A"/>
    <w:rsid w:val="007B613A"/>
    <w:rsid w:val="007B6FBD"/>
    <w:rsid w:val="007C033F"/>
    <w:rsid w:val="007C4D20"/>
    <w:rsid w:val="007C54A8"/>
    <w:rsid w:val="007C5B5D"/>
    <w:rsid w:val="007D1380"/>
    <w:rsid w:val="007D2EF8"/>
    <w:rsid w:val="007E1E87"/>
    <w:rsid w:val="007E22BA"/>
    <w:rsid w:val="007E5913"/>
    <w:rsid w:val="007E5E0A"/>
    <w:rsid w:val="007E6E49"/>
    <w:rsid w:val="007E7805"/>
    <w:rsid w:val="007E7FA0"/>
    <w:rsid w:val="007F00BB"/>
    <w:rsid w:val="007F2259"/>
    <w:rsid w:val="007F3D9F"/>
    <w:rsid w:val="007F4058"/>
    <w:rsid w:val="007F4B04"/>
    <w:rsid w:val="007F529A"/>
    <w:rsid w:val="007F6F84"/>
    <w:rsid w:val="00806FBE"/>
    <w:rsid w:val="00814935"/>
    <w:rsid w:val="0081658C"/>
    <w:rsid w:val="00816F66"/>
    <w:rsid w:val="0081762F"/>
    <w:rsid w:val="008203CA"/>
    <w:rsid w:val="0082336A"/>
    <w:rsid w:val="008273DA"/>
    <w:rsid w:val="008319F3"/>
    <w:rsid w:val="00833052"/>
    <w:rsid w:val="00833614"/>
    <w:rsid w:val="00835EC1"/>
    <w:rsid w:val="00836B74"/>
    <w:rsid w:val="00842C65"/>
    <w:rsid w:val="00844242"/>
    <w:rsid w:val="0084442A"/>
    <w:rsid w:val="008446B2"/>
    <w:rsid w:val="00847E40"/>
    <w:rsid w:val="00850E8F"/>
    <w:rsid w:val="0085581B"/>
    <w:rsid w:val="00855D1E"/>
    <w:rsid w:val="00856727"/>
    <w:rsid w:val="008602AB"/>
    <w:rsid w:val="00860EE4"/>
    <w:rsid w:val="00860FED"/>
    <w:rsid w:val="00861801"/>
    <w:rsid w:val="00872F1F"/>
    <w:rsid w:val="0087347E"/>
    <w:rsid w:val="00873E30"/>
    <w:rsid w:val="00876A07"/>
    <w:rsid w:val="00877882"/>
    <w:rsid w:val="00880CA8"/>
    <w:rsid w:val="00880F26"/>
    <w:rsid w:val="00882DA1"/>
    <w:rsid w:val="00882E86"/>
    <w:rsid w:val="00885E9A"/>
    <w:rsid w:val="00886AD3"/>
    <w:rsid w:val="008907EA"/>
    <w:rsid w:val="008924DB"/>
    <w:rsid w:val="008946F5"/>
    <w:rsid w:val="00897874"/>
    <w:rsid w:val="008A08A3"/>
    <w:rsid w:val="008A1722"/>
    <w:rsid w:val="008A22DA"/>
    <w:rsid w:val="008A415F"/>
    <w:rsid w:val="008B19A5"/>
    <w:rsid w:val="008B1D7B"/>
    <w:rsid w:val="008B5AA3"/>
    <w:rsid w:val="008B6DFD"/>
    <w:rsid w:val="008C0EB2"/>
    <w:rsid w:val="008C13D6"/>
    <w:rsid w:val="008C2225"/>
    <w:rsid w:val="008C2F4B"/>
    <w:rsid w:val="008C331E"/>
    <w:rsid w:val="008C54F4"/>
    <w:rsid w:val="008C6032"/>
    <w:rsid w:val="008D02C3"/>
    <w:rsid w:val="008D151E"/>
    <w:rsid w:val="008D4EEA"/>
    <w:rsid w:val="008E079D"/>
    <w:rsid w:val="008E11FB"/>
    <w:rsid w:val="008E38E3"/>
    <w:rsid w:val="008E42EB"/>
    <w:rsid w:val="008E5AF8"/>
    <w:rsid w:val="008F0704"/>
    <w:rsid w:val="008F0AFA"/>
    <w:rsid w:val="008F1BBC"/>
    <w:rsid w:val="008F4AAD"/>
    <w:rsid w:val="008F68A0"/>
    <w:rsid w:val="008F76C8"/>
    <w:rsid w:val="008F7ABB"/>
    <w:rsid w:val="009004C1"/>
    <w:rsid w:val="00900EAA"/>
    <w:rsid w:val="00902598"/>
    <w:rsid w:val="0090322F"/>
    <w:rsid w:val="00907F61"/>
    <w:rsid w:val="009117F4"/>
    <w:rsid w:val="00912E77"/>
    <w:rsid w:val="00915D84"/>
    <w:rsid w:val="00916218"/>
    <w:rsid w:val="00917B2A"/>
    <w:rsid w:val="009201CE"/>
    <w:rsid w:val="009217F0"/>
    <w:rsid w:val="0092241D"/>
    <w:rsid w:val="00925500"/>
    <w:rsid w:val="00927AD8"/>
    <w:rsid w:val="009313EC"/>
    <w:rsid w:val="00934646"/>
    <w:rsid w:val="00935417"/>
    <w:rsid w:val="00942229"/>
    <w:rsid w:val="00942DF1"/>
    <w:rsid w:val="00943E4E"/>
    <w:rsid w:val="00944B51"/>
    <w:rsid w:val="00945B51"/>
    <w:rsid w:val="00945D74"/>
    <w:rsid w:val="009512AA"/>
    <w:rsid w:val="009519C6"/>
    <w:rsid w:val="00951C45"/>
    <w:rsid w:val="00955F30"/>
    <w:rsid w:val="00956DC9"/>
    <w:rsid w:val="00957CAC"/>
    <w:rsid w:val="0096145B"/>
    <w:rsid w:val="00962027"/>
    <w:rsid w:val="00963B92"/>
    <w:rsid w:val="00963F95"/>
    <w:rsid w:val="009656B0"/>
    <w:rsid w:val="009675DE"/>
    <w:rsid w:val="00970B7E"/>
    <w:rsid w:val="00973A6E"/>
    <w:rsid w:val="00976120"/>
    <w:rsid w:val="009763E1"/>
    <w:rsid w:val="0098329F"/>
    <w:rsid w:val="009844FE"/>
    <w:rsid w:val="00986D2E"/>
    <w:rsid w:val="00990133"/>
    <w:rsid w:val="00993017"/>
    <w:rsid w:val="009976A1"/>
    <w:rsid w:val="0099774F"/>
    <w:rsid w:val="00997DEC"/>
    <w:rsid w:val="009B13DB"/>
    <w:rsid w:val="009B1885"/>
    <w:rsid w:val="009B18CB"/>
    <w:rsid w:val="009B3CCA"/>
    <w:rsid w:val="009C0C91"/>
    <w:rsid w:val="009C10C1"/>
    <w:rsid w:val="009C1F75"/>
    <w:rsid w:val="009C2D35"/>
    <w:rsid w:val="009C4F9C"/>
    <w:rsid w:val="009C5AD5"/>
    <w:rsid w:val="009C5EF5"/>
    <w:rsid w:val="009C769E"/>
    <w:rsid w:val="009D2197"/>
    <w:rsid w:val="009D2FE5"/>
    <w:rsid w:val="009E3299"/>
    <w:rsid w:val="009E3D2F"/>
    <w:rsid w:val="009E42AA"/>
    <w:rsid w:val="009E5AE3"/>
    <w:rsid w:val="009E7E4B"/>
    <w:rsid w:val="009F1E27"/>
    <w:rsid w:val="009F2315"/>
    <w:rsid w:val="009F2A32"/>
    <w:rsid w:val="009F472F"/>
    <w:rsid w:val="009F5434"/>
    <w:rsid w:val="009F55ED"/>
    <w:rsid w:val="009F5F03"/>
    <w:rsid w:val="009F626B"/>
    <w:rsid w:val="009F6F3E"/>
    <w:rsid w:val="009F7902"/>
    <w:rsid w:val="00A039DE"/>
    <w:rsid w:val="00A043BD"/>
    <w:rsid w:val="00A14FFA"/>
    <w:rsid w:val="00A23275"/>
    <w:rsid w:val="00A23590"/>
    <w:rsid w:val="00A24D92"/>
    <w:rsid w:val="00A25529"/>
    <w:rsid w:val="00A26902"/>
    <w:rsid w:val="00A26BD0"/>
    <w:rsid w:val="00A271CF"/>
    <w:rsid w:val="00A30C7A"/>
    <w:rsid w:val="00A32466"/>
    <w:rsid w:val="00A353B5"/>
    <w:rsid w:val="00A37AFB"/>
    <w:rsid w:val="00A403C0"/>
    <w:rsid w:val="00A41C37"/>
    <w:rsid w:val="00A438B5"/>
    <w:rsid w:val="00A45092"/>
    <w:rsid w:val="00A4607B"/>
    <w:rsid w:val="00A50B78"/>
    <w:rsid w:val="00A512E8"/>
    <w:rsid w:val="00A52144"/>
    <w:rsid w:val="00A532CA"/>
    <w:rsid w:val="00A5479D"/>
    <w:rsid w:val="00A60FCF"/>
    <w:rsid w:val="00A624CC"/>
    <w:rsid w:val="00A62FAA"/>
    <w:rsid w:val="00A6516F"/>
    <w:rsid w:val="00A70085"/>
    <w:rsid w:val="00A70143"/>
    <w:rsid w:val="00A71AD1"/>
    <w:rsid w:val="00A71ECB"/>
    <w:rsid w:val="00A73BFF"/>
    <w:rsid w:val="00A776D6"/>
    <w:rsid w:val="00A8082E"/>
    <w:rsid w:val="00A8465F"/>
    <w:rsid w:val="00A8470A"/>
    <w:rsid w:val="00A9015D"/>
    <w:rsid w:val="00A93AE4"/>
    <w:rsid w:val="00A9468D"/>
    <w:rsid w:val="00A94D7E"/>
    <w:rsid w:val="00AA2F47"/>
    <w:rsid w:val="00AB21BB"/>
    <w:rsid w:val="00AB3893"/>
    <w:rsid w:val="00AB399D"/>
    <w:rsid w:val="00AC1087"/>
    <w:rsid w:val="00AC3D04"/>
    <w:rsid w:val="00AC4409"/>
    <w:rsid w:val="00AD04FA"/>
    <w:rsid w:val="00AD0A35"/>
    <w:rsid w:val="00AD34CA"/>
    <w:rsid w:val="00AD4704"/>
    <w:rsid w:val="00AD4EDA"/>
    <w:rsid w:val="00AD66A4"/>
    <w:rsid w:val="00AD7431"/>
    <w:rsid w:val="00AE2F44"/>
    <w:rsid w:val="00AE3F48"/>
    <w:rsid w:val="00AE5AA6"/>
    <w:rsid w:val="00AF0BA9"/>
    <w:rsid w:val="00AF0E36"/>
    <w:rsid w:val="00AF13DB"/>
    <w:rsid w:val="00AF31EF"/>
    <w:rsid w:val="00B00C6A"/>
    <w:rsid w:val="00B02A47"/>
    <w:rsid w:val="00B02C38"/>
    <w:rsid w:val="00B035A0"/>
    <w:rsid w:val="00B06D15"/>
    <w:rsid w:val="00B1446E"/>
    <w:rsid w:val="00B15AFF"/>
    <w:rsid w:val="00B16ADF"/>
    <w:rsid w:val="00B242F3"/>
    <w:rsid w:val="00B265FE"/>
    <w:rsid w:val="00B27603"/>
    <w:rsid w:val="00B31554"/>
    <w:rsid w:val="00B322C1"/>
    <w:rsid w:val="00B375A8"/>
    <w:rsid w:val="00B375C3"/>
    <w:rsid w:val="00B43173"/>
    <w:rsid w:val="00B438B5"/>
    <w:rsid w:val="00B44F22"/>
    <w:rsid w:val="00B469BF"/>
    <w:rsid w:val="00B50862"/>
    <w:rsid w:val="00B5096A"/>
    <w:rsid w:val="00B514F8"/>
    <w:rsid w:val="00B51E46"/>
    <w:rsid w:val="00B53CEA"/>
    <w:rsid w:val="00B56A0A"/>
    <w:rsid w:val="00B64711"/>
    <w:rsid w:val="00B64EC7"/>
    <w:rsid w:val="00B65B94"/>
    <w:rsid w:val="00B703BE"/>
    <w:rsid w:val="00B717F5"/>
    <w:rsid w:val="00B718EB"/>
    <w:rsid w:val="00B73219"/>
    <w:rsid w:val="00B7432B"/>
    <w:rsid w:val="00B75356"/>
    <w:rsid w:val="00B76231"/>
    <w:rsid w:val="00B765C2"/>
    <w:rsid w:val="00B82F0B"/>
    <w:rsid w:val="00B83C5F"/>
    <w:rsid w:val="00B86BCA"/>
    <w:rsid w:val="00B90531"/>
    <w:rsid w:val="00B919FF"/>
    <w:rsid w:val="00B91F22"/>
    <w:rsid w:val="00B923B6"/>
    <w:rsid w:val="00B96AD4"/>
    <w:rsid w:val="00BA1A3E"/>
    <w:rsid w:val="00BB6F77"/>
    <w:rsid w:val="00BB7EDD"/>
    <w:rsid w:val="00BC2483"/>
    <w:rsid w:val="00BC5598"/>
    <w:rsid w:val="00BC6353"/>
    <w:rsid w:val="00BD066F"/>
    <w:rsid w:val="00BD15F3"/>
    <w:rsid w:val="00BD1AA6"/>
    <w:rsid w:val="00BD4114"/>
    <w:rsid w:val="00BD4816"/>
    <w:rsid w:val="00BD5C15"/>
    <w:rsid w:val="00BE0D82"/>
    <w:rsid w:val="00BF5975"/>
    <w:rsid w:val="00BF5C3C"/>
    <w:rsid w:val="00BF630A"/>
    <w:rsid w:val="00BF6DA5"/>
    <w:rsid w:val="00C01151"/>
    <w:rsid w:val="00C05D05"/>
    <w:rsid w:val="00C05D86"/>
    <w:rsid w:val="00C0646F"/>
    <w:rsid w:val="00C06D3E"/>
    <w:rsid w:val="00C0768E"/>
    <w:rsid w:val="00C20A0E"/>
    <w:rsid w:val="00C248C4"/>
    <w:rsid w:val="00C27277"/>
    <w:rsid w:val="00C27737"/>
    <w:rsid w:val="00C2779A"/>
    <w:rsid w:val="00C27B8C"/>
    <w:rsid w:val="00C30B54"/>
    <w:rsid w:val="00C31EA6"/>
    <w:rsid w:val="00C33321"/>
    <w:rsid w:val="00C344BB"/>
    <w:rsid w:val="00C37B10"/>
    <w:rsid w:val="00C37B5C"/>
    <w:rsid w:val="00C37C64"/>
    <w:rsid w:val="00C37FF1"/>
    <w:rsid w:val="00C4020E"/>
    <w:rsid w:val="00C437F4"/>
    <w:rsid w:val="00C439CA"/>
    <w:rsid w:val="00C43D6F"/>
    <w:rsid w:val="00C50362"/>
    <w:rsid w:val="00C503E7"/>
    <w:rsid w:val="00C66503"/>
    <w:rsid w:val="00C66DFC"/>
    <w:rsid w:val="00C70BEB"/>
    <w:rsid w:val="00C72789"/>
    <w:rsid w:val="00C771E8"/>
    <w:rsid w:val="00C80105"/>
    <w:rsid w:val="00C80D34"/>
    <w:rsid w:val="00C833F4"/>
    <w:rsid w:val="00C84A35"/>
    <w:rsid w:val="00C851CF"/>
    <w:rsid w:val="00C91D6B"/>
    <w:rsid w:val="00C93A9A"/>
    <w:rsid w:val="00C969B2"/>
    <w:rsid w:val="00C97834"/>
    <w:rsid w:val="00C97916"/>
    <w:rsid w:val="00CA1799"/>
    <w:rsid w:val="00CA29D5"/>
    <w:rsid w:val="00CA41D8"/>
    <w:rsid w:val="00CA4F09"/>
    <w:rsid w:val="00CB0A2C"/>
    <w:rsid w:val="00CB11D7"/>
    <w:rsid w:val="00CB2233"/>
    <w:rsid w:val="00CB754A"/>
    <w:rsid w:val="00CC1A38"/>
    <w:rsid w:val="00CC22CD"/>
    <w:rsid w:val="00CC43FF"/>
    <w:rsid w:val="00CD1BE7"/>
    <w:rsid w:val="00CD1F4E"/>
    <w:rsid w:val="00CD62E9"/>
    <w:rsid w:val="00CF2E64"/>
    <w:rsid w:val="00CF4526"/>
    <w:rsid w:val="00CF473A"/>
    <w:rsid w:val="00CF52D5"/>
    <w:rsid w:val="00CF6AF3"/>
    <w:rsid w:val="00CF7862"/>
    <w:rsid w:val="00D05256"/>
    <w:rsid w:val="00D056EF"/>
    <w:rsid w:val="00D124D2"/>
    <w:rsid w:val="00D150E7"/>
    <w:rsid w:val="00D21DAB"/>
    <w:rsid w:val="00D223DA"/>
    <w:rsid w:val="00D22DDB"/>
    <w:rsid w:val="00D2317A"/>
    <w:rsid w:val="00D24251"/>
    <w:rsid w:val="00D258AD"/>
    <w:rsid w:val="00D25AE2"/>
    <w:rsid w:val="00D2622C"/>
    <w:rsid w:val="00D304AF"/>
    <w:rsid w:val="00D30C85"/>
    <w:rsid w:val="00D30FB2"/>
    <w:rsid w:val="00D32E48"/>
    <w:rsid w:val="00D378C7"/>
    <w:rsid w:val="00D40ADE"/>
    <w:rsid w:val="00D41D11"/>
    <w:rsid w:val="00D429E6"/>
    <w:rsid w:val="00D47335"/>
    <w:rsid w:val="00D51BF8"/>
    <w:rsid w:val="00D53344"/>
    <w:rsid w:val="00D542F8"/>
    <w:rsid w:val="00D5623C"/>
    <w:rsid w:val="00D56BAA"/>
    <w:rsid w:val="00D57959"/>
    <w:rsid w:val="00D57ACF"/>
    <w:rsid w:val="00D6790A"/>
    <w:rsid w:val="00D71DD5"/>
    <w:rsid w:val="00D73309"/>
    <w:rsid w:val="00D73F02"/>
    <w:rsid w:val="00D75439"/>
    <w:rsid w:val="00D76D29"/>
    <w:rsid w:val="00D81B78"/>
    <w:rsid w:val="00D83F1D"/>
    <w:rsid w:val="00D842CC"/>
    <w:rsid w:val="00D86BE8"/>
    <w:rsid w:val="00D91068"/>
    <w:rsid w:val="00D93092"/>
    <w:rsid w:val="00D93279"/>
    <w:rsid w:val="00D933F7"/>
    <w:rsid w:val="00D934C6"/>
    <w:rsid w:val="00D93AB5"/>
    <w:rsid w:val="00D94886"/>
    <w:rsid w:val="00D9493C"/>
    <w:rsid w:val="00D95324"/>
    <w:rsid w:val="00D967CA"/>
    <w:rsid w:val="00D96FF7"/>
    <w:rsid w:val="00D97FD7"/>
    <w:rsid w:val="00DB0C8F"/>
    <w:rsid w:val="00DB69D7"/>
    <w:rsid w:val="00DC0E1E"/>
    <w:rsid w:val="00DC26CD"/>
    <w:rsid w:val="00DC2F13"/>
    <w:rsid w:val="00DC4083"/>
    <w:rsid w:val="00DC5758"/>
    <w:rsid w:val="00DC779E"/>
    <w:rsid w:val="00DD0382"/>
    <w:rsid w:val="00DD0CF7"/>
    <w:rsid w:val="00DD39C3"/>
    <w:rsid w:val="00DD5584"/>
    <w:rsid w:val="00DE27B1"/>
    <w:rsid w:val="00DF441E"/>
    <w:rsid w:val="00DF7CF8"/>
    <w:rsid w:val="00E00A5A"/>
    <w:rsid w:val="00E01659"/>
    <w:rsid w:val="00E016C1"/>
    <w:rsid w:val="00E01BFE"/>
    <w:rsid w:val="00E0296B"/>
    <w:rsid w:val="00E02A4F"/>
    <w:rsid w:val="00E06138"/>
    <w:rsid w:val="00E0709D"/>
    <w:rsid w:val="00E07A17"/>
    <w:rsid w:val="00E1364B"/>
    <w:rsid w:val="00E13BD4"/>
    <w:rsid w:val="00E15398"/>
    <w:rsid w:val="00E155B2"/>
    <w:rsid w:val="00E17999"/>
    <w:rsid w:val="00E2184E"/>
    <w:rsid w:val="00E252BA"/>
    <w:rsid w:val="00E2575D"/>
    <w:rsid w:val="00E279A4"/>
    <w:rsid w:val="00E27AF0"/>
    <w:rsid w:val="00E331AB"/>
    <w:rsid w:val="00E3354F"/>
    <w:rsid w:val="00E352E4"/>
    <w:rsid w:val="00E3687A"/>
    <w:rsid w:val="00E413E4"/>
    <w:rsid w:val="00E424D5"/>
    <w:rsid w:val="00E45237"/>
    <w:rsid w:val="00E507D8"/>
    <w:rsid w:val="00E54555"/>
    <w:rsid w:val="00E55213"/>
    <w:rsid w:val="00E56EA5"/>
    <w:rsid w:val="00E60E01"/>
    <w:rsid w:val="00E64126"/>
    <w:rsid w:val="00E64478"/>
    <w:rsid w:val="00E66227"/>
    <w:rsid w:val="00E664D9"/>
    <w:rsid w:val="00E6707A"/>
    <w:rsid w:val="00E67821"/>
    <w:rsid w:val="00E67E7E"/>
    <w:rsid w:val="00E702BC"/>
    <w:rsid w:val="00E72504"/>
    <w:rsid w:val="00E74460"/>
    <w:rsid w:val="00E748C2"/>
    <w:rsid w:val="00E76083"/>
    <w:rsid w:val="00E80BB3"/>
    <w:rsid w:val="00E82FC8"/>
    <w:rsid w:val="00E8392E"/>
    <w:rsid w:val="00E84FF8"/>
    <w:rsid w:val="00E85507"/>
    <w:rsid w:val="00E85E43"/>
    <w:rsid w:val="00E875F0"/>
    <w:rsid w:val="00E87D84"/>
    <w:rsid w:val="00E91C89"/>
    <w:rsid w:val="00E920F7"/>
    <w:rsid w:val="00E921C4"/>
    <w:rsid w:val="00E9256A"/>
    <w:rsid w:val="00E952EC"/>
    <w:rsid w:val="00EA2FC5"/>
    <w:rsid w:val="00EA5201"/>
    <w:rsid w:val="00EA776A"/>
    <w:rsid w:val="00EB1B03"/>
    <w:rsid w:val="00EB1D20"/>
    <w:rsid w:val="00EB27A2"/>
    <w:rsid w:val="00EB3F83"/>
    <w:rsid w:val="00EB6C86"/>
    <w:rsid w:val="00EB7480"/>
    <w:rsid w:val="00EB755A"/>
    <w:rsid w:val="00EC484A"/>
    <w:rsid w:val="00EC4FF3"/>
    <w:rsid w:val="00EC7653"/>
    <w:rsid w:val="00ED1EA4"/>
    <w:rsid w:val="00ED5B3C"/>
    <w:rsid w:val="00EE219B"/>
    <w:rsid w:val="00EE3A95"/>
    <w:rsid w:val="00EE556A"/>
    <w:rsid w:val="00EE576A"/>
    <w:rsid w:val="00EF0236"/>
    <w:rsid w:val="00EF06E9"/>
    <w:rsid w:val="00EF1AC2"/>
    <w:rsid w:val="00EF4DDE"/>
    <w:rsid w:val="00F01843"/>
    <w:rsid w:val="00F0248B"/>
    <w:rsid w:val="00F040D5"/>
    <w:rsid w:val="00F043DB"/>
    <w:rsid w:val="00F0537D"/>
    <w:rsid w:val="00F069C1"/>
    <w:rsid w:val="00F10C91"/>
    <w:rsid w:val="00F141A3"/>
    <w:rsid w:val="00F15613"/>
    <w:rsid w:val="00F17334"/>
    <w:rsid w:val="00F174F1"/>
    <w:rsid w:val="00F209A6"/>
    <w:rsid w:val="00F20A52"/>
    <w:rsid w:val="00F2352D"/>
    <w:rsid w:val="00F235EA"/>
    <w:rsid w:val="00F23FF6"/>
    <w:rsid w:val="00F23FFF"/>
    <w:rsid w:val="00F268A3"/>
    <w:rsid w:val="00F269EE"/>
    <w:rsid w:val="00F27A7E"/>
    <w:rsid w:val="00F30F87"/>
    <w:rsid w:val="00F36064"/>
    <w:rsid w:val="00F40A5B"/>
    <w:rsid w:val="00F422C6"/>
    <w:rsid w:val="00F433CB"/>
    <w:rsid w:val="00F449F4"/>
    <w:rsid w:val="00F4551F"/>
    <w:rsid w:val="00F469AE"/>
    <w:rsid w:val="00F474F2"/>
    <w:rsid w:val="00F508F2"/>
    <w:rsid w:val="00F545C2"/>
    <w:rsid w:val="00F61F22"/>
    <w:rsid w:val="00F64690"/>
    <w:rsid w:val="00F7145E"/>
    <w:rsid w:val="00F71515"/>
    <w:rsid w:val="00F71EBE"/>
    <w:rsid w:val="00F73D33"/>
    <w:rsid w:val="00F74BD5"/>
    <w:rsid w:val="00F75912"/>
    <w:rsid w:val="00F761FA"/>
    <w:rsid w:val="00F77674"/>
    <w:rsid w:val="00F8292E"/>
    <w:rsid w:val="00F832C1"/>
    <w:rsid w:val="00F8527F"/>
    <w:rsid w:val="00F85AEC"/>
    <w:rsid w:val="00F85C13"/>
    <w:rsid w:val="00F86000"/>
    <w:rsid w:val="00F86060"/>
    <w:rsid w:val="00F90730"/>
    <w:rsid w:val="00F92499"/>
    <w:rsid w:val="00F92EA5"/>
    <w:rsid w:val="00FA3CCB"/>
    <w:rsid w:val="00FA7D99"/>
    <w:rsid w:val="00FB04A9"/>
    <w:rsid w:val="00FB1AAC"/>
    <w:rsid w:val="00FB5717"/>
    <w:rsid w:val="00FB5AF1"/>
    <w:rsid w:val="00FB64F5"/>
    <w:rsid w:val="00FC12B3"/>
    <w:rsid w:val="00FC3030"/>
    <w:rsid w:val="00FC566E"/>
    <w:rsid w:val="00FC682B"/>
    <w:rsid w:val="00FC6B2F"/>
    <w:rsid w:val="00FD3369"/>
    <w:rsid w:val="00FD7657"/>
    <w:rsid w:val="00FE033E"/>
    <w:rsid w:val="00FE0A12"/>
    <w:rsid w:val="00FE0DF4"/>
    <w:rsid w:val="00FE35E5"/>
    <w:rsid w:val="00FE66CF"/>
    <w:rsid w:val="00FE7984"/>
    <w:rsid w:val="00FE7C72"/>
    <w:rsid w:val="00FE7CA0"/>
    <w:rsid w:val="00FE7FC6"/>
    <w:rsid w:val="00FF435C"/>
    <w:rsid w:val="00FF498B"/>
    <w:rsid w:val="00FF545E"/>
    <w:rsid w:val="00FF62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4097"/>
    <o:shapelayout v:ext="edit">
      <o:idmap v:ext="edit" data="1"/>
    </o:shapelayout>
  </w:shapeDefaults>
  <w:decimalSymbol w:val=","/>
  <w:listSeparator w:val=";"/>
  <w15:docId w15:val="{310551AA-3FDC-43EA-93A8-D2662E91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D5A78"/>
    <w:rPr>
      <w:rFonts w:ascii="Times New Roman" w:eastAsia="Times New Roman" w:hAnsi="Times New Roman"/>
      <w:sz w:val="24"/>
      <w:szCs w:val="24"/>
    </w:rPr>
  </w:style>
  <w:style w:type="paragraph" w:styleId="Virsraksts3">
    <w:name w:val="heading 3"/>
    <w:basedOn w:val="Parasts"/>
    <w:next w:val="Parasts"/>
    <w:link w:val="Virsraksts3Rakstz"/>
    <w:semiHidden/>
    <w:unhideWhenUsed/>
    <w:qFormat/>
    <w:locked/>
    <w:rsid w:val="00410FA7"/>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9"/>
    <w:qFormat/>
    <w:rsid w:val="00F23FFF"/>
    <w:pPr>
      <w:keepNext/>
      <w:keepLines/>
      <w:spacing w:before="200" w:line="259" w:lineRule="auto"/>
      <w:outlineLvl w:val="3"/>
    </w:pPr>
    <w:rPr>
      <w:rFonts w:ascii="Calibri Light" w:hAnsi="Calibri Light"/>
      <w:b/>
      <w:bCs/>
      <w:i/>
      <w:iCs/>
      <w:color w:val="5B9BD5"/>
      <w:sz w:val="22"/>
      <w:szCs w:val="22"/>
      <w:lang w:eastAsia="en-US"/>
    </w:rPr>
  </w:style>
  <w:style w:type="paragraph" w:styleId="Virsraksts5">
    <w:name w:val="heading 5"/>
    <w:basedOn w:val="Parasts"/>
    <w:next w:val="Parasts"/>
    <w:link w:val="Virsraksts5Rakstz"/>
    <w:uiPriority w:val="99"/>
    <w:qFormat/>
    <w:rsid w:val="00232AA2"/>
    <w:pPr>
      <w:suppressAutoHyphens/>
      <w:spacing w:before="240" w:after="60"/>
      <w:outlineLvl w:val="4"/>
    </w:pPr>
    <w:rPr>
      <w:b/>
      <w:bCs/>
      <w:i/>
      <w:iCs/>
      <w:kern w:val="1"/>
      <w:sz w:val="26"/>
      <w:szCs w:val="26"/>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link w:val="Virsraksts4"/>
    <w:uiPriority w:val="99"/>
    <w:semiHidden/>
    <w:locked/>
    <w:rsid w:val="00F23FFF"/>
    <w:rPr>
      <w:rFonts w:ascii="Calibri Light" w:hAnsi="Calibri Light" w:cs="Times New Roman"/>
      <w:b/>
      <w:bCs/>
      <w:i/>
      <w:iCs/>
      <w:color w:val="5B9BD5"/>
    </w:rPr>
  </w:style>
  <w:style w:type="character" w:customStyle="1" w:styleId="Virsraksts5Rakstz">
    <w:name w:val="Virsraksts 5 Rakstz."/>
    <w:link w:val="Virsraksts5"/>
    <w:uiPriority w:val="99"/>
    <w:locked/>
    <w:rsid w:val="00232AA2"/>
    <w:rPr>
      <w:rFonts w:ascii="Times New Roman" w:hAnsi="Times New Roman" w:cs="Times New Roman"/>
      <w:b/>
      <w:bCs/>
      <w:i/>
      <w:iCs/>
      <w:kern w:val="1"/>
      <w:sz w:val="26"/>
      <w:szCs w:val="26"/>
      <w:lang w:eastAsia="ar-SA" w:bidi="ar-SA"/>
    </w:rPr>
  </w:style>
  <w:style w:type="paragraph" w:customStyle="1" w:styleId="labojumupamats1">
    <w:name w:val="labojumu_pamats1"/>
    <w:basedOn w:val="Parasts"/>
    <w:uiPriority w:val="99"/>
    <w:rsid w:val="006B42E1"/>
    <w:pPr>
      <w:spacing w:before="45" w:line="360" w:lineRule="auto"/>
      <w:ind w:firstLine="300"/>
    </w:pPr>
    <w:rPr>
      <w:i/>
      <w:iCs/>
      <w:color w:val="414142"/>
      <w:sz w:val="20"/>
      <w:szCs w:val="20"/>
    </w:rPr>
  </w:style>
  <w:style w:type="paragraph" w:styleId="Galvene">
    <w:name w:val="header"/>
    <w:basedOn w:val="Parasts"/>
    <w:link w:val="GalveneRakstz"/>
    <w:uiPriority w:val="99"/>
    <w:rsid w:val="006B42E1"/>
    <w:pPr>
      <w:tabs>
        <w:tab w:val="center" w:pos="4153"/>
        <w:tab w:val="right" w:pos="8306"/>
      </w:tabs>
    </w:pPr>
    <w:rPr>
      <w:rFonts w:ascii="Calibri" w:eastAsia="Calibri" w:hAnsi="Calibri"/>
      <w:sz w:val="22"/>
      <w:szCs w:val="22"/>
      <w:lang w:eastAsia="en-US"/>
    </w:rPr>
  </w:style>
  <w:style w:type="character" w:customStyle="1" w:styleId="GalveneRakstz">
    <w:name w:val="Galvene Rakstz."/>
    <w:link w:val="Galvene"/>
    <w:uiPriority w:val="99"/>
    <w:locked/>
    <w:rsid w:val="006B42E1"/>
    <w:rPr>
      <w:rFonts w:cs="Times New Roman"/>
    </w:rPr>
  </w:style>
  <w:style w:type="paragraph" w:styleId="Kjene">
    <w:name w:val="footer"/>
    <w:basedOn w:val="Parasts"/>
    <w:link w:val="KjeneRakstz"/>
    <w:uiPriority w:val="99"/>
    <w:rsid w:val="006B42E1"/>
    <w:pPr>
      <w:tabs>
        <w:tab w:val="center" w:pos="4153"/>
        <w:tab w:val="right" w:pos="8306"/>
      </w:tabs>
    </w:pPr>
    <w:rPr>
      <w:rFonts w:ascii="Calibri" w:eastAsia="Calibri" w:hAnsi="Calibri"/>
      <w:sz w:val="22"/>
      <w:szCs w:val="22"/>
      <w:lang w:eastAsia="en-US"/>
    </w:rPr>
  </w:style>
  <w:style w:type="character" w:customStyle="1" w:styleId="KjeneRakstz">
    <w:name w:val="Kājene Rakstz."/>
    <w:link w:val="Kjene"/>
    <w:uiPriority w:val="99"/>
    <w:locked/>
    <w:rsid w:val="006B42E1"/>
    <w:rPr>
      <w:rFonts w:cs="Times New Roman"/>
    </w:rPr>
  </w:style>
  <w:style w:type="table" w:styleId="Reatabula">
    <w:name w:val="Table Grid"/>
    <w:basedOn w:val="Parastatabula"/>
    <w:uiPriority w:val="99"/>
    <w:rsid w:val="00EE5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EB3F83"/>
    <w:pPr>
      <w:ind w:left="720"/>
    </w:pPr>
    <w:rPr>
      <w:rFonts w:ascii="Calibri" w:eastAsia="Calibri" w:hAnsi="Calibri"/>
      <w:sz w:val="22"/>
      <w:szCs w:val="22"/>
      <w:lang w:eastAsia="en-US"/>
    </w:rPr>
  </w:style>
  <w:style w:type="character" w:customStyle="1" w:styleId="main1">
    <w:name w:val="main1"/>
    <w:uiPriority w:val="99"/>
    <w:rsid w:val="006837FD"/>
    <w:rPr>
      <w:rFonts w:ascii="Verdana" w:hAnsi="Verdana" w:cs="Times New Roman"/>
      <w:color w:val="333333"/>
      <w:sz w:val="17"/>
      <w:szCs w:val="17"/>
    </w:rPr>
  </w:style>
  <w:style w:type="paragraph" w:customStyle="1" w:styleId="tv2131">
    <w:name w:val="tv2131"/>
    <w:basedOn w:val="Parasts"/>
    <w:uiPriority w:val="99"/>
    <w:rsid w:val="006837FD"/>
    <w:pPr>
      <w:spacing w:line="360" w:lineRule="auto"/>
      <w:ind w:firstLine="300"/>
    </w:pPr>
    <w:rPr>
      <w:color w:val="414142"/>
      <w:sz w:val="20"/>
      <w:szCs w:val="20"/>
    </w:rPr>
  </w:style>
  <w:style w:type="paragraph" w:styleId="Parakstszemobjekta">
    <w:name w:val="caption"/>
    <w:basedOn w:val="Parasts"/>
    <w:next w:val="Parasts"/>
    <w:uiPriority w:val="99"/>
    <w:qFormat/>
    <w:rsid w:val="005D5A78"/>
    <w:rPr>
      <w:sz w:val="28"/>
      <w:szCs w:val="28"/>
      <w:lang w:val="en-GB" w:eastAsia="en-US"/>
    </w:rPr>
  </w:style>
  <w:style w:type="character" w:styleId="Hipersaite">
    <w:name w:val="Hyperlink"/>
    <w:uiPriority w:val="99"/>
    <w:rsid w:val="005D5A78"/>
    <w:rPr>
      <w:rFonts w:cs="Times New Roman"/>
      <w:color w:val="0000FF"/>
      <w:u w:val="single"/>
    </w:rPr>
  </w:style>
  <w:style w:type="paragraph" w:customStyle="1" w:styleId="CM1">
    <w:name w:val="CM1"/>
    <w:basedOn w:val="Parasts"/>
    <w:next w:val="Parasts"/>
    <w:uiPriority w:val="99"/>
    <w:rsid w:val="005D5A78"/>
    <w:pPr>
      <w:autoSpaceDE w:val="0"/>
      <w:autoSpaceDN w:val="0"/>
      <w:adjustRightInd w:val="0"/>
    </w:pPr>
    <w:rPr>
      <w:rFonts w:ascii="EUAlbertina" w:hAnsi="EUAlbertina"/>
    </w:rPr>
  </w:style>
  <w:style w:type="paragraph" w:customStyle="1" w:styleId="Default">
    <w:name w:val="Default"/>
    <w:rsid w:val="002407C0"/>
    <w:pPr>
      <w:autoSpaceDE w:val="0"/>
      <w:autoSpaceDN w:val="0"/>
      <w:adjustRightInd w:val="0"/>
    </w:pPr>
    <w:rPr>
      <w:rFonts w:ascii="EUAlbertina" w:hAnsi="EUAlbertina" w:cs="EUAlbertina"/>
      <w:color w:val="000000"/>
      <w:sz w:val="24"/>
      <w:szCs w:val="24"/>
      <w:lang w:eastAsia="en-US"/>
    </w:rPr>
  </w:style>
  <w:style w:type="paragraph" w:customStyle="1" w:styleId="CM3">
    <w:name w:val="CM3"/>
    <w:basedOn w:val="Default"/>
    <w:next w:val="Default"/>
    <w:uiPriority w:val="99"/>
    <w:rsid w:val="002407C0"/>
    <w:rPr>
      <w:rFonts w:cs="Times New Roman"/>
      <w:color w:val="auto"/>
    </w:rPr>
  </w:style>
  <w:style w:type="paragraph" w:customStyle="1" w:styleId="CM4">
    <w:name w:val="CM4"/>
    <w:basedOn w:val="Default"/>
    <w:next w:val="Default"/>
    <w:uiPriority w:val="99"/>
    <w:rsid w:val="002407C0"/>
    <w:rPr>
      <w:rFonts w:cs="Times New Roman"/>
      <w:color w:val="auto"/>
    </w:rPr>
  </w:style>
  <w:style w:type="paragraph" w:styleId="Balonteksts">
    <w:name w:val="Balloon Text"/>
    <w:basedOn w:val="Parasts"/>
    <w:link w:val="BalontekstsRakstz"/>
    <w:uiPriority w:val="99"/>
    <w:semiHidden/>
    <w:rsid w:val="000F7756"/>
    <w:rPr>
      <w:rFonts w:ascii="Segoe UI" w:eastAsia="Calibri" w:hAnsi="Segoe UI" w:cs="Segoe UI"/>
      <w:sz w:val="18"/>
      <w:szCs w:val="18"/>
      <w:lang w:eastAsia="en-US"/>
    </w:rPr>
  </w:style>
  <w:style w:type="character" w:customStyle="1" w:styleId="BalontekstsRakstz">
    <w:name w:val="Balonteksts Rakstz."/>
    <w:link w:val="Balonteksts"/>
    <w:uiPriority w:val="99"/>
    <w:semiHidden/>
    <w:locked/>
    <w:rsid w:val="000F7756"/>
    <w:rPr>
      <w:rFonts w:ascii="Segoe UI" w:hAnsi="Segoe UI" w:cs="Segoe UI"/>
      <w:sz w:val="18"/>
      <w:szCs w:val="18"/>
    </w:rPr>
  </w:style>
  <w:style w:type="paragraph" w:customStyle="1" w:styleId="naislab">
    <w:name w:val="naislab"/>
    <w:basedOn w:val="Parasts"/>
    <w:uiPriority w:val="99"/>
    <w:rsid w:val="00C80D34"/>
    <w:pPr>
      <w:spacing w:before="100" w:after="100"/>
      <w:jc w:val="right"/>
    </w:pPr>
    <w:rPr>
      <w:rFonts w:eastAsia="Calibri"/>
    </w:rPr>
  </w:style>
  <w:style w:type="character" w:styleId="Komentraatsauce">
    <w:name w:val="annotation reference"/>
    <w:uiPriority w:val="99"/>
    <w:semiHidden/>
    <w:rsid w:val="00CD62E9"/>
    <w:rPr>
      <w:rFonts w:cs="Times New Roman"/>
      <w:sz w:val="16"/>
      <w:szCs w:val="16"/>
    </w:rPr>
  </w:style>
  <w:style w:type="paragraph" w:styleId="Komentrateksts">
    <w:name w:val="annotation text"/>
    <w:basedOn w:val="Parasts"/>
    <w:link w:val="KomentratekstsRakstz"/>
    <w:uiPriority w:val="99"/>
    <w:semiHidden/>
    <w:rsid w:val="00CD62E9"/>
    <w:rPr>
      <w:sz w:val="20"/>
      <w:szCs w:val="20"/>
    </w:rPr>
  </w:style>
  <w:style w:type="character" w:customStyle="1" w:styleId="KomentratekstsRakstz">
    <w:name w:val="Komentāra teksts Rakstz."/>
    <w:link w:val="Komentrateksts"/>
    <w:uiPriority w:val="99"/>
    <w:semiHidden/>
    <w:rsid w:val="002F1DE4"/>
    <w:rPr>
      <w:rFonts w:ascii="Times New Roman" w:eastAsia="Times New Roman" w:hAnsi="Times New Roman"/>
      <w:sz w:val="20"/>
      <w:szCs w:val="20"/>
    </w:rPr>
  </w:style>
  <w:style w:type="paragraph" w:styleId="Komentratma">
    <w:name w:val="annotation subject"/>
    <w:basedOn w:val="Komentrateksts"/>
    <w:next w:val="Komentrateksts"/>
    <w:link w:val="KomentratmaRakstz"/>
    <w:uiPriority w:val="99"/>
    <w:semiHidden/>
    <w:rsid w:val="00CD62E9"/>
    <w:rPr>
      <w:b/>
      <w:bCs/>
    </w:rPr>
  </w:style>
  <w:style w:type="character" w:customStyle="1" w:styleId="KomentratmaRakstz">
    <w:name w:val="Komentāra tēma Rakstz."/>
    <w:link w:val="Komentratma"/>
    <w:uiPriority w:val="99"/>
    <w:semiHidden/>
    <w:rsid w:val="002F1DE4"/>
    <w:rPr>
      <w:rFonts w:ascii="Times New Roman" w:eastAsia="Times New Roman" w:hAnsi="Times New Roman"/>
      <w:b/>
      <w:bCs/>
      <w:sz w:val="20"/>
      <w:szCs w:val="20"/>
    </w:rPr>
  </w:style>
  <w:style w:type="character" w:customStyle="1" w:styleId="Virsraksts3Rakstz">
    <w:name w:val="Virsraksts 3 Rakstz."/>
    <w:basedOn w:val="Noklusjumarindkopasfonts"/>
    <w:link w:val="Virsraksts3"/>
    <w:semiHidden/>
    <w:rsid w:val="00410FA7"/>
    <w:rPr>
      <w:rFonts w:asciiTheme="majorHAnsi" w:eastAsiaTheme="majorEastAsia" w:hAnsiTheme="majorHAnsi" w:cstheme="majorBidi"/>
      <w:b/>
      <w:bCs/>
      <w:color w:val="4F81BD" w:themeColor="accent1"/>
      <w:sz w:val="24"/>
      <w:szCs w:val="24"/>
    </w:rPr>
  </w:style>
  <w:style w:type="character" w:styleId="Izmantotahipersaite">
    <w:name w:val="FollowedHyperlink"/>
    <w:basedOn w:val="Noklusjumarindkopasfonts"/>
    <w:uiPriority w:val="99"/>
    <w:semiHidden/>
    <w:unhideWhenUsed/>
    <w:rsid w:val="009F626B"/>
    <w:rPr>
      <w:color w:val="800080" w:themeColor="followedHyperlink"/>
      <w:u w:val="single"/>
    </w:rPr>
  </w:style>
  <w:style w:type="paragraph" w:customStyle="1" w:styleId="tv213">
    <w:name w:val="tv213"/>
    <w:basedOn w:val="Parasts"/>
    <w:rsid w:val="009F626B"/>
    <w:pPr>
      <w:spacing w:before="100" w:beforeAutospacing="1" w:after="100" w:afterAutospacing="1"/>
    </w:pPr>
  </w:style>
  <w:style w:type="character" w:customStyle="1" w:styleId="apple-converted-space">
    <w:name w:val="apple-converted-space"/>
    <w:basedOn w:val="Noklusjumarindkopasfonts"/>
    <w:rsid w:val="009F626B"/>
  </w:style>
  <w:style w:type="paragraph" w:styleId="Bezatstarpm">
    <w:name w:val="No Spacing"/>
    <w:uiPriority w:val="1"/>
    <w:qFormat/>
    <w:rsid w:val="008C2F4B"/>
    <w:rPr>
      <w:rFonts w:asciiTheme="minorHAnsi" w:eastAsiaTheme="minorHAnsi" w:hAnsiTheme="minorHAnsi" w:cstheme="minorBidi"/>
      <w:sz w:val="22"/>
      <w:szCs w:val="22"/>
      <w:lang w:eastAsia="en-US"/>
    </w:rPr>
  </w:style>
  <w:style w:type="paragraph" w:styleId="Pamattekstsaratkpi">
    <w:name w:val="Body Text Indent"/>
    <w:basedOn w:val="Parasts"/>
    <w:link w:val="PamattekstsaratkpiRakstz"/>
    <w:rsid w:val="00E82FC8"/>
    <w:pPr>
      <w:spacing w:after="120"/>
      <w:ind w:left="283"/>
    </w:pPr>
    <w:rPr>
      <w:lang w:val="en-GB" w:eastAsia="en-US"/>
    </w:rPr>
  </w:style>
  <w:style w:type="character" w:customStyle="1" w:styleId="BodyTextIndentChar">
    <w:name w:val="Body Text Indent Char"/>
    <w:basedOn w:val="Noklusjumarindkopasfonts"/>
    <w:uiPriority w:val="99"/>
    <w:semiHidden/>
    <w:rsid w:val="00E82FC8"/>
    <w:rPr>
      <w:rFonts w:ascii="Times New Roman" w:eastAsia="Times New Roman" w:hAnsi="Times New Roman"/>
      <w:sz w:val="24"/>
      <w:szCs w:val="24"/>
    </w:rPr>
  </w:style>
  <w:style w:type="character" w:customStyle="1" w:styleId="PamattekstsaratkpiRakstz">
    <w:name w:val="Pamatteksts ar atkāpi Rakstz."/>
    <w:link w:val="Pamattekstsaratkpi"/>
    <w:rsid w:val="00E82FC8"/>
    <w:rPr>
      <w:rFonts w:ascii="Times New Roman" w:eastAsia="Times New Roman" w:hAnsi="Times New Roman"/>
      <w:sz w:val="24"/>
      <w:szCs w:val="24"/>
      <w:lang w:val="en-GB" w:eastAsia="en-US"/>
    </w:rPr>
  </w:style>
  <w:style w:type="character" w:styleId="Izteiksmgs">
    <w:name w:val="Strong"/>
    <w:uiPriority w:val="22"/>
    <w:qFormat/>
    <w:locked/>
    <w:rsid w:val="00227150"/>
    <w:rPr>
      <w:b/>
      <w:bCs/>
    </w:rPr>
  </w:style>
  <w:style w:type="paragraph" w:customStyle="1" w:styleId="Punkts">
    <w:name w:val="Punkts"/>
    <w:basedOn w:val="Pamatteksts"/>
    <w:next w:val="Parasts"/>
    <w:autoRedefine/>
    <w:qFormat/>
    <w:rsid w:val="0036088B"/>
    <w:pPr>
      <w:spacing w:before="120"/>
      <w:jc w:val="both"/>
    </w:pPr>
  </w:style>
  <w:style w:type="paragraph" w:styleId="Pamatteksts">
    <w:name w:val="Body Text"/>
    <w:basedOn w:val="Parasts"/>
    <w:link w:val="PamattekstsRakstz"/>
    <w:uiPriority w:val="99"/>
    <w:semiHidden/>
    <w:unhideWhenUsed/>
    <w:rsid w:val="0036088B"/>
    <w:pPr>
      <w:spacing w:after="120"/>
    </w:pPr>
  </w:style>
  <w:style w:type="character" w:customStyle="1" w:styleId="PamattekstsRakstz">
    <w:name w:val="Pamatteksts Rakstz."/>
    <w:basedOn w:val="Noklusjumarindkopasfonts"/>
    <w:link w:val="Pamatteksts"/>
    <w:uiPriority w:val="99"/>
    <w:semiHidden/>
    <w:rsid w:val="0036088B"/>
    <w:rPr>
      <w:rFonts w:ascii="Times New Roman" w:eastAsia="Times New Roman" w:hAnsi="Times New Roman"/>
      <w:sz w:val="24"/>
      <w:szCs w:val="24"/>
    </w:rPr>
  </w:style>
  <w:style w:type="character" w:styleId="Izclums">
    <w:name w:val="Emphasis"/>
    <w:qFormat/>
    <w:locked/>
    <w:rsid w:val="00603054"/>
    <w:rPr>
      <w:i/>
      <w:iCs/>
    </w:rPr>
  </w:style>
  <w:style w:type="character" w:customStyle="1" w:styleId="st">
    <w:name w:val="st"/>
    <w:basedOn w:val="Noklusjumarindkopasfonts"/>
    <w:rsid w:val="006D0A21"/>
  </w:style>
  <w:style w:type="paragraph" w:customStyle="1" w:styleId="naiskr">
    <w:name w:val="naiskr"/>
    <w:basedOn w:val="Parasts"/>
    <w:rsid w:val="00260D3F"/>
    <w:pPr>
      <w:spacing w:before="75" w:after="75"/>
    </w:pPr>
  </w:style>
  <w:style w:type="paragraph" w:customStyle="1" w:styleId="naisnod">
    <w:name w:val="naisnod"/>
    <w:basedOn w:val="Parasts"/>
    <w:rsid w:val="009F5F03"/>
    <w:pPr>
      <w:spacing w:before="150" w:after="150"/>
      <w:jc w:val="center"/>
    </w:pPr>
    <w:rPr>
      <w:b/>
      <w:bCs/>
    </w:rPr>
  </w:style>
  <w:style w:type="paragraph" w:customStyle="1" w:styleId="a">
    <w:basedOn w:val="Parasts"/>
    <w:next w:val="Paraststmeklis"/>
    <w:uiPriority w:val="99"/>
    <w:rsid w:val="00777B15"/>
    <w:pPr>
      <w:spacing w:before="100" w:beforeAutospacing="1" w:after="100" w:afterAutospacing="1"/>
    </w:pPr>
  </w:style>
  <w:style w:type="paragraph" w:styleId="Paraststmeklis">
    <w:name w:val="Normal (Web)"/>
    <w:basedOn w:val="Parasts"/>
    <w:uiPriority w:val="99"/>
    <w:semiHidden/>
    <w:unhideWhenUsed/>
    <w:rsid w:val="00777B15"/>
  </w:style>
  <w:style w:type="paragraph" w:customStyle="1" w:styleId="naisf">
    <w:name w:val="naisf"/>
    <w:basedOn w:val="Parasts"/>
    <w:rsid w:val="00764117"/>
    <w:pPr>
      <w:spacing w:before="100" w:beforeAutospacing="1" w:after="100" w:afterAutospacing="1"/>
    </w:pPr>
  </w:style>
  <w:style w:type="paragraph" w:customStyle="1" w:styleId="Parasts1">
    <w:name w:val="Parasts1"/>
    <w:basedOn w:val="Parasts"/>
    <w:rsid w:val="003F6573"/>
    <w:pPr>
      <w:spacing w:before="100" w:beforeAutospacing="1" w:after="100" w:afterAutospacing="1"/>
    </w:pPr>
  </w:style>
  <w:style w:type="paragraph" w:customStyle="1" w:styleId="ti-art">
    <w:name w:val="ti-art"/>
    <w:basedOn w:val="Parasts"/>
    <w:rsid w:val="004B609E"/>
    <w:pPr>
      <w:spacing w:before="100" w:beforeAutospacing="1" w:after="100" w:afterAutospacing="1"/>
    </w:pPr>
  </w:style>
  <w:style w:type="paragraph" w:customStyle="1" w:styleId="Parasts2">
    <w:name w:val="Parasts2"/>
    <w:basedOn w:val="Parasts"/>
    <w:rsid w:val="004B60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5785">
      <w:bodyDiv w:val="1"/>
      <w:marLeft w:val="0"/>
      <w:marRight w:val="0"/>
      <w:marTop w:val="0"/>
      <w:marBottom w:val="0"/>
      <w:divBdr>
        <w:top w:val="none" w:sz="0" w:space="0" w:color="auto"/>
        <w:left w:val="none" w:sz="0" w:space="0" w:color="auto"/>
        <w:bottom w:val="none" w:sz="0" w:space="0" w:color="auto"/>
        <w:right w:val="none" w:sz="0" w:space="0" w:color="auto"/>
      </w:divBdr>
    </w:div>
    <w:div w:id="140464816">
      <w:bodyDiv w:val="1"/>
      <w:marLeft w:val="0"/>
      <w:marRight w:val="0"/>
      <w:marTop w:val="0"/>
      <w:marBottom w:val="0"/>
      <w:divBdr>
        <w:top w:val="none" w:sz="0" w:space="0" w:color="auto"/>
        <w:left w:val="none" w:sz="0" w:space="0" w:color="auto"/>
        <w:bottom w:val="none" w:sz="0" w:space="0" w:color="auto"/>
        <w:right w:val="none" w:sz="0" w:space="0" w:color="auto"/>
      </w:divBdr>
    </w:div>
    <w:div w:id="161969595">
      <w:bodyDiv w:val="1"/>
      <w:marLeft w:val="0"/>
      <w:marRight w:val="0"/>
      <w:marTop w:val="0"/>
      <w:marBottom w:val="0"/>
      <w:divBdr>
        <w:top w:val="none" w:sz="0" w:space="0" w:color="auto"/>
        <w:left w:val="none" w:sz="0" w:space="0" w:color="auto"/>
        <w:bottom w:val="none" w:sz="0" w:space="0" w:color="auto"/>
        <w:right w:val="none" w:sz="0" w:space="0" w:color="auto"/>
      </w:divBdr>
    </w:div>
    <w:div w:id="267082437">
      <w:bodyDiv w:val="1"/>
      <w:marLeft w:val="0"/>
      <w:marRight w:val="0"/>
      <w:marTop w:val="0"/>
      <w:marBottom w:val="0"/>
      <w:divBdr>
        <w:top w:val="none" w:sz="0" w:space="0" w:color="auto"/>
        <w:left w:val="none" w:sz="0" w:space="0" w:color="auto"/>
        <w:bottom w:val="none" w:sz="0" w:space="0" w:color="auto"/>
        <w:right w:val="none" w:sz="0" w:space="0" w:color="auto"/>
      </w:divBdr>
    </w:div>
    <w:div w:id="281614500">
      <w:bodyDiv w:val="1"/>
      <w:marLeft w:val="0"/>
      <w:marRight w:val="0"/>
      <w:marTop w:val="0"/>
      <w:marBottom w:val="0"/>
      <w:divBdr>
        <w:top w:val="none" w:sz="0" w:space="0" w:color="auto"/>
        <w:left w:val="none" w:sz="0" w:space="0" w:color="auto"/>
        <w:bottom w:val="none" w:sz="0" w:space="0" w:color="auto"/>
        <w:right w:val="none" w:sz="0" w:space="0" w:color="auto"/>
      </w:divBdr>
    </w:div>
    <w:div w:id="330647245">
      <w:bodyDiv w:val="1"/>
      <w:marLeft w:val="0"/>
      <w:marRight w:val="0"/>
      <w:marTop w:val="0"/>
      <w:marBottom w:val="0"/>
      <w:divBdr>
        <w:top w:val="none" w:sz="0" w:space="0" w:color="auto"/>
        <w:left w:val="none" w:sz="0" w:space="0" w:color="auto"/>
        <w:bottom w:val="none" w:sz="0" w:space="0" w:color="auto"/>
        <w:right w:val="none" w:sz="0" w:space="0" w:color="auto"/>
      </w:divBdr>
    </w:div>
    <w:div w:id="399327353">
      <w:bodyDiv w:val="1"/>
      <w:marLeft w:val="0"/>
      <w:marRight w:val="0"/>
      <w:marTop w:val="0"/>
      <w:marBottom w:val="0"/>
      <w:divBdr>
        <w:top w:val="none" w:sz="0" w:space="0" w:color="auto"/>
        <w:left w:val="none" w:sz="0" w:space="0" w:color="auto"/>
        <w:bottom w:val="none" w:sz="0" w:space="0" w:color="auto"/>
        <w:right w:val="none" w:sz="0" w:space="0" w:color="auto"/>
      </w:divBdr>
    </w:div>
    <w:div w:id="405804263">
      <w:bodyDiv w:val="1"/>
      <w:marLeft w:val="0"/>
      <w:marRight w:val="0"/>
      <w:marTop w:val="0"/>
      <w:marBottom w:val="0"/>
      <w:divBdr>
        <w:top w:val="none" w:sz="0" w:space="0" w:color="auto"/>
        <w:left w:val="none" w:sz="0" w:space="0" w:color="auto"/>
        <w:bottom w:val="none" w:sz="0" w:space="0" w:color="auto"/>
        <w:right w:val="none" w:sz="0" w:space="0" w:color="auto"/>
      </w:divBdr>
    </w:div>
    <w:div w:id="463351974">
      <w:bodyDiv w:val="1"/>
      <w:marLeft w:val="0"/>
      <w:marRight w:val="0"/>
      <w:marTop w:val="0"/>
      <w:marBottom w:val="0"/>
      <w:divBdr>
        <w:top w:val="none" w:sz="0" w:space="0" w:color="auto"/>
        <w:left w:val="none" w:sz="0" w:space="0" w:color="auto"/>
        <w:bottom w:val="none" w:sz="0" w:space="0" w:color="auto"/>
        <w:right w:val="none" w:sz="0" w:space="0" w:color="auto"/>
      </w:divBdr>
    </w:div>
    <w:div w:id="481703356">
      <w:bodyDiv w:val="1"/>
      <w:marLeft w:val="0"/>
      <w:marRight w:val="0"/>
      <w:marTop w:val="0"/>
      <w:marBottom w:val="0"/>
      <w:divBdr>
        <w:top w:val="none" w:sz="0" w:space="0" w:color="auto"/>
        <w:left w:val="none" w:sz="0" w:space="0" w:color="auto"/>
        <w:bottom w:val="none" w:sz="0" w:space="0" w:color="auto"/>
        <w:right w:val="none" w:sz="0" w:space="0" w:color="auto"/>
      </w:divBdr>
      <w:divsChild>
        <w:div w:id="616255877">
          <w:marLeft w:val="0"/>
          <w:marRight w:val="0"/>
          <w:marTop w:val="480"/>
          <w:marBottom w:val="240"/>
          <w:divBdr>
            <w:top w:val="none" w:sz="0" w:space="0" w:color="auto"/>
            <w:left w:val="none" w:sz="0" w:space="0" w:color="auto"/>
            <w:bottom w:val="none" w:sz="0" w:space="0" w:color="auto"/>
            <w:right w:val="none" w:sz="0" w:space="0" w:color="auto"/>
          </w:divBdr>
        </w:div>
        <w:div w:id="1963926635">
          <w:marLeft w:val="0"/>
          <w:marRight w:val="0"/>
          <w:marTop w:val="0"/>
          <w:marBottom w:val="567"/>
          <w:divBdr>
            <w:top w:val="none" w:sz="0" w:space="0" w:color="auto"/>
            <w:left w:val="none" w:sz="0" w:space="0" w:color="auto"/>
            <w:bottom w:val="none" w:sz="0" w:space="0" w:color="auto"/>
            <w:right w:val="none" w:sz="0" w:space="0" w:color="auto"/>
          </w:divBdr>
        </w:div>
      </w:divsChild>
    </w:div>
    <w:div w:id="490870295">
      <w:bodyDiv w:val="1"/>
      <w:marLeft w:val="0"/>
      <w:marRight w:val="0"/>
      <w:marTop w:val="0"/>
      <w:marBottom w:val="0"/>
      <w:divBdr>
        <w:top w:val="none" w:sz="0" w:space="0" w:color="auto"/>
        <w:left w:val="none" w:sz="0" w:space="0" w:color="auto"/>
        <w:bottom w:val="none" w:sz="0" w:space="0" w:color="auto"/>
        <w:right w:val="none" w:sz="0" w:space="0" w:color="auto"/>
      </w:divBdr>
    </w:div>
    <w:div w:id="614559045">
      <w:bodyDiv w:val="1"/>
      <w:marLeft w:val="0"/>
      <w:marRight w:val="0"/>
      <w:marTop w:val="0"/>
      <w:marBottom w:val="0"/>
      <w:divBdr>
        <w:top w:val="none" w:sz="0" w:space="0" w:color="auto"/>
        <w:left w:val="none" w:sz="0" w:space="0" w:color="auto"/>
        <w:bottom w:val="none" w:sz="0" w:space="0" w:color="auto"/>
        <w:right w:val="none" w:sz="0" w:space="0" w:color="auto"/>
      </w:divBdr>
    </w:div>
    <w:div w:id="664432724">
      <w:bodyDiv w:val="1"/>
      <w:marLeft w:val="0"/>
      <w:marRight w:val="0"/>
      <w:marTop w:val="0"/>
      <w:marBottom w:val="0"/>
      <w:divBdr>
        <w:top w:val="none" w:sz="0" w:space="0" w:color="auto"/>
        <w:left w:val="none" w:sz="0" w:space="0" w:color="auto"/>
        <w:bottom w:val="none" w:sz="0" w:space="0" w:color="auto"/>
        <w:right w:val="none" w:sz="0" w:space="0" w:color="auto"/>
      </w:divBdr>
    </w:div>
    <w:div w:id="717162885">
      <w:bodyDiv w:val="1"/>
      <w:marLeft w:val="0"/>
      <w:marRight w:val="0"/>
      <w:marTop w:val="0"/>
      <w:marBottom w:val="0"/>
      <w:divBdr>
        <w:top w:val="none" w:sz="0" w:space="0" w:color="auto"/>
        <w:left w:val="none" w:sz="0" w:space="0" w:color="auto"/>
        <w:bottom w:val="none" w:sz="0" w:space="0" w:color="auto"/>
        <w:right w:val="none" w:sz="0" w:space="0" w:color="auto"/>
      </w:divBdr>
      <w:divsChild>
        <w:div w:id="1478036265">
          <w:marLeft w:val="0"/>
          <w:marRight w:val="0"/>
          <w:marTop w:val="0"/>
          <w:marBottom w:val="0"/>
          <w:divBdr>
            <w:top w:val="none" w:sz="0" w:space="0" w:color="auto"/>
            <w:left w:val="none" w:sz="0" w:space="0" w:color="auto"/>
            <w:bottom w:val="none" w:sz="0" w:space="0" w:color="auto"/>
            <w:right w:val="none" w:sz="0" w:space="0" w:color="auto"/>
          </w:divBdr>
          <w:divsChild>
            <w:div w:id="1253321523">
              <w:marLeft w:val="0"/>
              <w:marRight w:val="0"/>
              <w:marTop w:val="0"/>
              <w:marBottom w:val="0"/>
              <w:divBdr>
                <w:top w:val="none" w:sz="0" w:space="0" w:color="auto"/>
                <w:left w:val="none" w:sz="0" w:space="0" w:color="auto"/>
                <w:bottom w:val="none" w:sz="0" w:space="0" w:color="auto"/>
                <w:right w:val="none" w:sz="0" w:space="0" w:color="auto"/>
              </w:divBdr>
              <w:divsChild>
                <w:div w:id="1536969585">
                  <w:marLeft w:val="0"/>
                  <w:marRight w:val="0"/>
                  <w:marTop w:val="0"/>
                  <w:marBottom w:val="0"/>
                  <w:divBdr>
                    <w:top w:val="none" w:sz="0" w:space="0" w:color="auto"/>
                    <w:left w:val="none" w:sz="0" w:space="0" w:color="auto"/>
                    <w:bottom w:val="none" w:sz="0" w:space="0" w:color="auto"/>
                    <w:right w:val="none" w:sz="0" w:space="0" w:color="auto"/>
                  </w:divBdr>
                  <w:divsChild>
                    <w:div w:id="1670137219">
                      <w:marLeft w:val="0"/>
                      <w:marRight w:val="0"/>
                      <w:marTop w:val="0"/>
                      <w:marBottom w:val="0"/>
                      <w:divBdr>
                        <w:top w:val="none" w:sz="0" w:space="0" w:color="auto"/>
                        <w:left w:val="none" w:sz="0" w:space="0" w:color="auto"/>
                        <w:bottom w:val="none" w:sz="0" w:space="0" w:color="auto"/>
                        <w:right w:val="none" w:sz="0" w:space="0" w:color="auto"/>
                      </w:divBdr>
                      <w:divsChild>
                        <w:div w:id="1748767236">
                          <w:marLeft w:val="0"/>
                          <w:marRight w:val="0"/>
                          <w:marTop w:val="0"/>
                          <w:marBottom w:val="0"/>
                          <w:divBdr>
                            <w:top w:val="none" w:sz="0" w:space="0" w:color="auto"/>
                            <w:left w:val="none" w:sz="0" w:space="0" w:color="auto"/>
                            <w:bottom w:val="none" w:sz="0" w:space="0" w:color="auto"/>
                            <w:right w:val="none" w:sz="0" w:space="0" w:color="auto"/>
                          </w:divBdr>
                          <w:divsChild>
                            <w:div w:id="671642730">
                              <w:marLeft w:val="0"/>
                              <w:marRight w:val="0"/>
                              <w:marTop w:val="480"/>
                              <w:marBottom w:val="240"/>
                              <w:divBdr>
                                <w:top w:val="none" w:sz="0" w:space="0" w:color="auto"/>
                                <w:left w:val="none" w:sz="0" w:space="0" w:color="auto"/>
                                <w:bottom w:val="none" w:sz="0" w:space="0" w:color="auto"/>
                                <w:right w:val="none" w:sz="0" w:space="0" w:color="auto"/>
                              </w:divBdr>
                            </w:div>
                            <w:div w:id="101465340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883203">
      <w:bodyDiv w:val="1"/>
      <w:marLeft w:val="0"/>
      <w:marRight w:val="0"/>
      <w:marTop w:val="0"/>
      <w:marBottom w:val="0"/>
      <w:divBdr>
        <w:top w:val="none" w:sz="0" w:space="0" w:color="auto"/>
        <w:left w:val="none" w:sz="0" w:space="0" w:color="auto"/>
        <w:bottom w:val="none" w:sz="0" w:space="0" w:color="auto"/>
        <w:right w:val="none" w:sz="0" w:space="0" w:color="auto"/>
      </w:divBdr>
    </w:div>
    <w:div w:id="756629923">
      <w:bodyDiv w:val="1"/>
      <w:marLeft w:val="0"/>
      <w:marRight w:val="0"/>
      <w:marTop w:val="0"/>
      <w:marBottom w:val="0"/>
      <w:divBdr>
        <w:top w:val="none" w:sz="0" w:space="0" w:color="auto"/>
        <w:left w:val="none" w:sz="0" w:space="0" w:color="auto"/>
        <w:bottom w:val="none" w:sz="0" w:space="0" w:color="auto"/>
        <w:right w:val="none" w:sz="0" w:space="0" w:color="auto"/>
      </w:divBdr>
    </w:div>
    <w:div w:id="758913651">
      <w:bodyDiv w:val="1"/>
      <w:marLeft w:val="0"/>
      <w:marRight w:val="0"/>
      <w:marTop w:val="0"/>
      <w:marBottom w:val="0"/>
      <w:divBdr>
        <w:top w:val="none" w:sz="0" w:space="0" w:color="auto"/>
        <w:left w:val="none" w:sz="0" w:space="0" w:color="auto"/>
        <w:bottom w:val="none" w:sz="0" w:space="0" w:color="auto"/>
        <w:right w:val="none" w:sz="0" w:space="0" w:color="auto"/>
      </w:divBdr>
    </w:div>
    <w:div w:id="778180308">
      <w:bodyDiv w:val="1"/>
      <w:marLeft w:val="0"/>
      <w:marRight w:val="0"/>
      <w:marTop w:val="0"/>
      <w:marBottom w:val="0"/>
      <w:divBdr>
        <w:top w:val="none" w:sz="0" w:space="0" w:color="auto"/>
        <w:left w:val="none" w:sz="0" w:space="0" w:color="auto"/>
        <w:bottom w:val="none" w:sz="0" w:space="0" w:color="auto"/>
        <w:right w:val="none" w:sz="0" w:space="0" w:color="auto"/>
      </w:divBdr>
    </w:div>
    <w:div w:id="925265057">
      <w:bodyDiv w:val="1"/>
      <w:marLeft w:val="0"/>
      <w:marRight w:val="0"/>
      <w:marTop w:val="0"/>
      <w:marBottom w:val="0"/>
      <w:divBdr>
        <w:top w:val="none" w:sz="0" w:space="0" w:color="auto"/>
        <w:left w:val="none" w:sz="0" w:space="0" w:color="auto"/>
        <w:bottom w:val="none" w:sz="0" w:space="0" w:color="auto"/>
        <w:right w:val="none" w:sz="0" w:space="0" w:color="auto"/>
      </w:divBdr>
    </w:div>
    <w:div w:id="933509740">
      <w:bodyDiv w:val="1"/>
      <w:marLeft w:val="0"/>
      <w:marRight w:val="0"/>
      <w:marTop w:val="0"/>
      <w:marBottom w:val="0"/>
      <w:divBdr>
        <w:top w:val="none" w:sz="0" w:space="0" w:color="auto"/>
        <w:left w:val="none" w:sz="0" w:space="0" w:color="auto"/>
        <w:bottom w:val="none" w:sz="0" w:space="0" w:color="auto"/>
        <w:right w:val="none" w:sz="0" w:space="0" w:color="auto"/>
      </w:divBdr>
    </w:div>
    <w:div w:id="1017657619">
      <w:bodyDiv w:val="1"/>
      <w:marLeft w:val="0"/>
      <w:marRight w:val="0"/>
      <w:marTop w:val="0"/>
      <w:marBottom w:val="0"/>
      <w:divBdr>
        <w:top w:val="none" w:sz="0" w:space="0" w:color="auto"/>
        <w:left w:val="none" w:sz="0" w:space="0" w:color="auto"/>
        <w:bottom w:val="none" w:sz="0" w:space="0" w:color="auto"/>
        <w:right w:val="none" w:sz="0" w:space="0" w:color="auto"/>
      </w:divBdr>
    </w:div>
    <w:div w:id="1071123948">
      <w:bodyDiv w:val="1"/>
      <w:marLeft w:val="0"/>
      <w:marRight w:val="0"/>
      <w:marTop w:val="0"/>
      <w:marBottom w:val="0"/>
      <w:divBdr>
        <w:top w:val="none" w:sz="0" w:space="0" w:color="auto"/>
        <w:left w:val="none" w:sz="0" w:space="0" w:color="auto"/>
        <w:bottom w:val="none" w:sz="0" w:space="0" w:color="auto"/>
        <w:right w:val="none" w:sz="0" w:space="0" w:color="auto"/>
      </w:divBdr>
    </w:div>
    <w:div w:id="1083257527">
      <w:bodyDiv w:val="1"/>
      <w:marLeft w:val="0"/>
      <w:marRight w:val="0"/>
      <w:marTop w:val="0"/>
      <w:marBottom w:val="0"/>
      <w:divBdr>
        <w:top w:val="none" w:sz="0" w:space="0" w:color="auto"/>
        <w:left w:val="none" w:sz="0" w:space="0" w:color="auto"/>
        <w:bottom w:val="none" w:sz="0" w:space="0" w:color="auto"/>
        <w:right w:val="none" w:sz="0" w:space="0" w:color="auto"/>
      </w:divBdr>
    </w:div>
    <w:div w:id="1117455536">
      <w:bodyDiv w:val="1"/>
      <w:marLeft w:val="0"/>
      <w:marRight w:val="0"/>
      <w:marTop w:val="0"/>
      <w:marBottom w:val="0"/>
      <w:divBdr>
        <w:top w:val="none" w:sz="0" w:space="0" w:color="auto"/>
        <w:left w:val="none" w:sz="0" w:space="0" w:color="auto"/>
        <w:bottom w:val="none" w:sz="0" w:space="0" w:color="auto"/>
        <w:right w:val="none" w:sz="0" w:space="0" w:color="auto"/>
      </w:divBdr>
    </w:div>
    <w:div w:id="1153721113">
      <w:bodyDiv w:val="1"/>
      <w:marLeft w:val="0"/>
      <w:marRight w:val="0"/>
      <w:marTop w:val="0"/>
      <w:marBottom w:val="0"/>
      <w:divBdr>
        <w:top w:val="none" w:sz="0" w:space="0" w:color="auto"/>
        <w:left w:val="none" w:sz="0" w:space="0" w:color="auto"/>
        <w:bottom w:val="none" w:sz="0" w:space="0" w:color="auto"/>
        <w:right w:val="none" w:sz="0" w:space="0" w:color="auto"/>
      </w:divBdr>
    </w:div>
    <w:div w:id="1161119590">
      <w:bodyDiv w:val="1"/>
      <w:marLeft w:val="0"/>
      <w:marRight w:val="0"/>
      <w:marTop w:val="0"/>
      <w:marBottom w:val="0"/>
      <w:divBdr>
        <w:top w:val="none" w:sz="0" w:space="0" w:color="auto"/>
        <w:left w:val="none" w:sz="0" w:space="0" w:color="auto"/>
        <w:bottom w:val="none" w:sz="0" w:space="0" w:color="auto"/>
        <w:right w:val="none" w:sz="0" w:space="0" w:color="auto"/>
      </w:divBdr>
    </w:div>
    <w:div w:id="1164248595">
      <w:bodyDiv w:val="1"/>
      <w:marLeft w:val="0"/>
      <w:marRight w:val="0"/>
      <w:marTop w:val="0"/>
      <w:marBottom w:val="0"/>
      <w:divBdr>
        <w:top w:val="none" w:sz="0" w:space="0" w:color="auto"/>
        <w:left w:val="none" w:sz="0" w:space="0" w:color="auto"/>
        <w:bottom w:val="none" w:sz="0" w:space="0" w:color="auto"/>
        <w:right w:val="none" w:sz="0" w:space="0" w:color="auto"/>
      </w:divBdr>
    </w:div>
    <w:div w:id="1165852194">
      <w:bodyDiv w:val="1"/>
      <w:marLeft w:val="0"/>
      <w:marRight w:val="0"/>
      <w:marTop w:val="0"/>
      <w:marBottom w:val="0"/>
      <w:divBdr>
        <w:top w:val="none" w:sz="0" w:space="0" w:color="auto"/>
        <w:left w:val="none" w:sz="0" w:space="0" w:color="auto"/>
        <w:bottom w:val="none" w:sz="0" w:space="0" w:color="auto"/>
        <w:right w:val="none" w:sz="0" w:space="0" w:color="auto"/>
      </w:divBdr>
    </w:div>
    <w:div w:id="1182085294">
      <w:bodyDiv w:val="1"/>
      <w:marLeft w:val="0"/>
      <w:marRight w:val="0"/>
      <w:marTop w:val="0"/>
      <w:marBottom w:val="0"/>
      <w:divBdr>
        <w:top w:val="none" w:sz="0" w:space="0" w:color="auto"/>
        <w:left w:val="none" w:sz="0" w:space="0" w:color="auto"/>
        <w:bottom w:val="none" w:sz="0" w:space="0" w:color="auto"/>
        <w:right w:val="none" w:sz="0" w:space="0" w:color="auto"/>
      </w:divBdr>
    </w:div>
    <w:div w:id="1235093209">
      <w:bodyDiv w:val="1"/>
      <w:marLeft w:val="0"/>
      <w:marRight w:val="0"/>
      <w:marTop w:val="0"/>
      <w:marBottom w:val="0"/>
      <w:divBdr>
        <w:top w:val="none" w:sz="0" w:space="0" w:color="auto"/>
        <w:left w:val="none" w:sz="0" w:space="0" w:color="auto"/>
        <w:bottom w:val="none" w:sz="0" w:space="0" w:color="auto"/>
        <w:right w:val="none" w:sz="0" w:space="0" w:color="auto"/>
      </w:divBdr>
    </w:div>
    <w:div w:id="1252349241">
      <w:bodyDiv w:val="1"/>
      <w:marLeft w:val="0"/>
      <w:marRight w:val="0"/>
      <w:marTop w:val="0"/>
      <w:marBottom w:val="0"/>
      <w:divBdr>
        <w:top w:val="none" w:sz="0" w:space="0" w:color="auto"/>
        <w:left w:val="none" w:sz="0" w:space="0" w:color="auto"/>
        <w:bottom w:val="none" w:sz="0" w:space="0" w:color="auto"/>
        <w:right w:val="none" w:sz="0" w:space="0" w:color="auto"/>
      </w:divBdr>
    </w:div>
    <w:div w:id="1255741681">
      <w:bodyDiv w:val="1"/>
      <w:marLeft w:val="0"/>
      <w:marRight w:val="0"/>
      <w:marTop w:val="0"/>
      <w:marBottom w:val="0"/>
      <w:divBdr>
        <w:top w:val="none" w:sz="0" w:space="0" w:color="auto"/>
        <w:left w:val="none" w:sz="0" w:space="0" w:color="auto"/>
        <w:bottom w:val="none" w:sz="0" w:space="0" w:color="auto"/>
        <w:right w:val="none" w:sz="0" w:space="0" w:color="auto"/>
      </w:divBdr>
    </w:div>
    <w:div w:id="1267470311">
      <w:bodyDiv w:val="1"/>
      <w:marLeft w:val="0"/>
      <w:marRight w:val="0"/>
      <w:marTop w:val="0"/>
      <w:marBottom w:val="0"/>
      <w:divBdr>
        <w:top w:val="none" w:sz="0" w:space="0" w:color="auto"/>
        <w:left w:val="none" w:sz="0" w:space="0" w:color="auto"/>
        <w:bottom w:val="none" w:sz="0" w:space="0" w:color="auto"/>
        <w:right w:val="none" w:sz="0" w:space="0" w:color="auto"/>
      </w:divBdr>
    </w:div>
    <w:div w:id="1269387789">
      <w:bodyDiv w:val="1"/>
      <w:marLeft w:val="0"/>
      <w:marRight w:val="0"/>
      <w:marTop w:val="0"/>
      <w:marBottom w:val="0"/>
      <w:divBdr>
        <w:top w:val="none" w:sz="0" w:space="0" w:color="auto"/>
        <w:left w:val="none" w:sz="0" w:space="0" w:color="auto"/>
        <w:bottom w:val="none" w:sz="0" w:space="0" w:color="auto"/>
        <w:right w:val="none" w:sz="0" w:space="0" w:color="auto"/>
      </w:divBdr>
    </w:div>
    <w:div w:id="1311522461">
      <w:bodyDiv w:val="1"/>
      <w:marLeft w:val="0"/>
      <w:marRight w:val="0"/>
      <w:marTop w:val="0"/>
      <w:marBottom w:val="0"/>
      <w:divBdr>
        <w:top w:val="none" w:sz="0" w:space="0" w:color="auto"/>
        <w:left w:val="none" w:sz="0" w:space="0" w:color="auto"/>
        <w:bottom w:val="none" w:sz="0" w:space="0" w:color="auto"/>
        <w:right w:val="none" w:sz="0" w:space="0" w:color="auto"/>
      </w:divBdr>
    </w:div>
    <w:div w:id="1345128406">
      <w:bodyDiv w:val="1"/>
      <w:marLeft w:val="0"/>
      <w:marRight w:val="0"/>
      <w:marTop w:val="0"/>
      <w:marBottom w:val="0"/>
      <w:divBdr>
        <w:top w:val="none" w:sz="0" w:space="0" w:color="auto"/>
        <w:left w:val="none" w:sz="0" w:space="0" w:color="auto"/>
        <w:bottom w:val="none" w:sz="0" w:space="0" w:color="auto"/>
        <w:right w:val="none" w:sz="0" w:space="0" w:color="auto"/>
      </w:divBdr>
    </w:div>
    <w:div w:id="1428692322">
      <w:bodyDiv w:val="1"/>
      <w:marLeft w:val="0"/>
      <w:marRight w:val="0"/>
      <w:marTop w:val="0"/>
      <w:marBottom w:val="0"/>
      <w:divBdr>
        <w:top w:val="none" w:sz="0" w:space="0" w:color="auto"/>
        <w:left w:val="none" w:sz="0" w:space="0" w:color="auto"/>
        <w:bottom w:val="none" w:sz="0" w:space="0" w:color="auto"/>
        <w:right w:val="none" w:sz="0" w:space="0" w:color="auto"/>
      </w:divBdr>
    </w:div>
    <w:div w:id="1433554743">
      <w:bodyDiv w:val="1"/>
      <w:marLeft w:val="0"/>
      <w:marRight w:val="0"/>
      <w:marTop w:val="0"/>
      <w:marBottom w:val="0"/>
      <w:divBdr>
        <w:top w:val="none" w:sz="0" w:space="0" w:color="auto"/>
        <w:left w:val="none" w:sz="0" w:space="0" w:color="auto"/>
        <w:bottom w:val="none" w:sz="0" w:space="0" w:color="auto"/>
        <w:right w:val="none" w:sz="0" w:space="0" w:color="auto"/>
      </w:divBdr>
    </w:div>
    <w:div w:id="1484934765">
      <w:marLeft w:val="0"/>
      <w:marRight w:val="0"/>
      <w:marTop w:val="0"/>
      <w:marBottom w:val="0"/>
      <w:divBdr>
        <w:top w:val="none" w:sz="0" w:space="0" w:color="auto"/>
        <w:left w:val="none" w:sz="0" w:space="0" w:color="auto"/>
        <w:bottom w:val="none" w:sz="0" w:space="0" w:color="auto"/>
        <w:right w:val="none" w:sz="0" w:space="0" w:color="auto"/>
      </w:divBdr>
      <w:divsChild>
        <w:div w:id="1484934779">
          <w:marLeft w:val="0"/>
          <w:marRight w:val="0"/>
          <w:marTop w:val="0"/>
          <w:marBottom w:val="0"/>
          <w:divBdr>
            <w:top w:val="none" w:sz="0" w:space="0" w:color="auto"/>
            <w:left w:val="none" w:sz="0" w:space="0" w:color="auto"/>
            <w:bottom w:val="none" w:sz="0" w:space="0" w:color="auto"/>
            <w:right w:val="none" w:sz="0" w:space="0" w:color="auto"/>
          </w:divBdr>
          <w:divsChild>
            <w:div w:id="1484934788">
              <w:marLeft w:val="0"/>
              <w:marRight w:val="0"/>
              <w:marTop w:val="0"/>
              <w:marBottom w:val="0"/>
              <w:divBdr>
                <w:top w:val="none" w:sz="0" w:space="0" w:color="auto"/>
                <w:left w:val="none" w:sz="0" w:space="0" w:color="auto"/>
                <w:bottom w:val="none" w:sz="0" w:space="0" w:color="auto"/>
                <w:right w:val="none" w:sz="0" w:space="0" w:color="auto"/>
              </w:divBdr>
              <w:divsChild>
                <w:div w:id="1484934770">
                  <w:marLeft w:val="0"/>
                  <w:marRight w:val="0"/>
                  <w:marTop w:val="0"/>
                  <w:marBottom w:val="0"/>
                  <w:divBdr>
                    <w:top w:val="none" w:sz="0" w:space="0" w:color="auto"/>
                    <w:left w:val="none" w:sz="0" w:space="0" w:color="auto"/>
                    <w:bottom w:val="none" w:sz="0" w:space="0" w:color="auto"/>
                    <w:right w:val="none" w:sz="0" w:space="0" w:color="auto"/>
                  </w:divBdr>
                  <w:divsChild>
                    <w:div w:id="1484934769">
                      <w:marLeft w:val="0"/>
                      <w:marRight w:val="0"/>
                      <w:marTop w:val="0"/>
                      <w:marBottom w:val="0"/>
                      <w:divBdr>
                        <w:top w:val="none" w:sz="0" w:space="0" w:color="auto"/>
                        <w:left w:val="none" w:sz="0" w:space="0" w:color="auto"/>
                        <w:bottom w:val="none" w:sz="0" w:space="0" w:color="auto"/>
                        <w:right w:val="none" w:sz="0" w:space="0" w:color="auto"/>
                      </w:divBdr>
                      <w:divsChild>
                        <w:div w:id="1484934774">
                          <w:marLeft w:val="0"/>
                          <w:marRight w:val="0"/>
                          <w:marTop w:val="0"/>
                          <w:marBottom w:val="0"/>
                          <w:divBdr>
                            <w:top w:val="none" w:sz="0" w:space="0" w:color="auto"/>
                            <w:left w:val="none" w:sz="0" w:space="0" w:color="auto"/>
                            <w:bottom w:val="none" w:sz="0" w:space="0" w:color="auto"/>
                            <w:right w:val="none" w:sz="0" w:space="0" w:color="auto"/>
                          </w:divBdr>
                          <w:divsChild>
                            <w:div w:id="1484934768">
                              <w:marLeft w:val="0"/>
                              <w:marRight w:val="0"/>
                              <w:marTop w:val="400"/>
                              <w:marBottom w:val="0"/>
                              <w:divBdr>
                                <w:top w:val="none" w:sz="0" w:space="0" w:color="auto"/>
                                <w:left w:val="none" w:sz="0" w:space="0" w:color="auto"/>
                                <w:bottom w:val="none" w:sz="0" w:space="0" w:color="auto"/>
                                <w:right w:val="none" w:sz="0" w:space="0" w:color="auto"/>
                              </w:divBdr>
                            </w:div>
                            <w:div w:id="1484934790">
                              <w:marLeft w:val="0"/>
                              <w:marRight w:val="0"/>
                              <w:marTop w:val="240"/>
                              <w:marBottom w:val="0"/>
                              <w:divBdr>
                                <w:top w:val="none" w:sz="0" w:space="0" w:color="auto"/>
                                <w:left w:val="none" w:sz="0" w:space="0" w:color="auto"/>
                                <w:bottom w:val="none" w:sz="0" w:space="0" w:color="auto"/>
                                <w:right w:val="none" w:sz="0" w:space="0" w:color="auto"/>
                              </w:divBdr>
                            </w:div>
                            <w:div w:id="1484934792">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1484934766">
      <w:marLeft w:val="0"/>
      <w:marRight w:val="0"/>
      <w:marTop w:val="0"/>
      <w:marBottom w:val="0"/>
      <w:divBdr>
        <w:top w:val="none" w:sz="0" w:space="0" w:color="auto"/>
        <w:left w:val="none" w:sz="0" w:space="0" w:color="auto"/>
        <w:bottom w:val="none" w:sz="0" w:space="0" w:color="auto"/>
        <w:right w:val="none" w:sz="0" w:space="0" w:color="auto"/>
      </w:divBdr>
    </w:div>
    <w:div w:id="1484934767">
      <w:marLeft w:val="0"/>
      <w:marRight w:val="0"/>
      <w:marTop w:val="0"/>
      <w:marBottom w:val="0"/>
      <w:divBdr>
        <w:top w:val="none" w:sz="0" w:space="0" w:color="auto"/>
        <w:left w:val="none" w:sz="0" w:space="0" w:color="auto"/>
        <w:bottom w:val="none" w:sz="0" w:space="0" w:color="auto"/>
        <w:right w:val="none" w:sz="0" w:space="0" w:color="auto"/>
      </w:divBdr>
    </w:div>
    <w:div w:id="1484934771">
      <w:marLeft w:val="0"/>
      <w:marRight w:val="0"/>
      <w:marTop w:val="0"/>
      <w:marBottom w:val="0"/>
      <w:divBdr>
        <w:top w:val="none" w:sz="0" w:space="0" w:color="auto"/>
        <w:left w:val="none" w:sz="0" w:space="0" w:color="auto"/>
        <w:bottom w:val="none" w:sz="0" w:space="0" w:color="auto"/>
        <w:right w:val="none" w:sz="0" w:space="0" w:color="auto"/>
      </w:divBdr>
    </w:div>
    <w:div w:id="1484934780">
      <w:marLeft w:val="0"/>
      <w:marRight w:val="0"/>
      <w:marTop w:val="0"/>
      <w:marBottom w:val="0"/>
      <w:divBdr>
        <w:top w:val="none" w:sz="0" w:space="0" w:color="auto"/>
        <w:left w:val="none" w:sz="0" w:space="0" w:color="auto"/>
        <w:bottom w:val="none" w:sz="0" w:space="0" w:color="auto"/>
        <w:right w:val="none" w:sz="0" w:space="0" w:color="auto"/>
      </w:divBdr>
    </w:div>
    <w:div w:id="1484934781">
      <w:marLeft w:val="0"/>
      <w:marRight w:val="0"/>
      <w:marTop w:val="0"/>
      <w:marBottom w:val="0"/>
      <w:divBdr>
        <w:top w:val="none" w:sz="0" w:space="0" w:color="auto"/>
        <w:left w:val="none" w:sz="0" w:space="0" w:color="auto"/>
        <w:bottom w:val="none" w:sz="0" w:space="0" w:color="auto"/>
        <w:right w:val="none" w:sz="0" w:space="0" w:color="auto"/>
      </w:divBdr>
      <w:divsChild>
        <w:div w:id="1484934782">
          <w:marLeft w:val="0"/>
          <w:marRight w:val="0"/>
          <w:marTop w:val="0"/>
          <w:marBottom w:val="0"/>
          <w:divBdr>
            <w:top w:val="none" w:sz="0" w:space="0" w:color="auto"/>
            <w:left w:val="none" w:sz="0" w:space="0" w:color="auto"/>
            <w:bottom w:val="none" w:sz="0" w:space="0" w:color="auto"/>
            <w:right w:val="none" w:sz="0" w:space="0" w:color="auto"/>
          </w:divBdr>
          <w:divsChild>
            <w:div w:id="1484934785">
              <w:marLeft w:val="0"/>
              <w:marRight w:val="0"/>
              <w:marTop w:val="0"/>
              <w:marBottom w:val="0"/>
              <w:divBdr>
                <w:top w:val="none" w:sz="0" w:space="0" w:color="auto"/>
                <w:left w:val="none" w:sz="0" w:space="0" w:color="auto"/>
                <w:bottom w:val="none" w:sz="0" w:space="0" w:color="auto"/>
                <w:right w:val="none" w:sz="0" w:space="0" w:color="auto"/>
              </w:divBdr>
              <w:divsChild>
                <w:div w:id="1484934776">
                  <w:marLeft w:val="0"/>
                  <w:marRight w:val="0"/>
                  <w:marTop w:val="0"/>
                  <w:marBottom w:val="0"/>
                  <w:divBdr>
                    <w:top w:val="none" w:sz="0" w:space="0" w:color="auto"/>
                    <w:left w:val="none" w:sz="0" w:space="0" w:color="auto"/>
                    <w:bottom w:val="none" w:sz="0" w:space="0" w:color="auto"/>
                    <w:right w:val="none" w:sz="0" w:space="0" w:color="auto"/>
                  </w:divBdr>
                  <w:divsChild>
                    <w:div w:id="1484934791">
                      <w:marLeft w:val="0"/>
                      <w:marRight w:val="0"/>
                      <w:marTop w:val="0"/>
                      <w:marBottom w:val="0"/>
                      <w:divBdr>
                        <w:top w:val="none" w:sz="0" w:space="0" w:color="auto"/>
                        <w:left w:val="none" w:sz="0" w:space="0" w:color="auto"/>
                        <w:bottom w:val="none" w:sz="0" w:space="0" w:color="auto"/>
                        <w:right w:val="none" w:sz="0" w:space="0" w:color="auto"/>
                      </w:divBdr>
                      <w:divsChild>
                        <w:div w:id="1484934784">
                          <w:marLeft w:val="0"/>
                          <w:marRight w:val="0"/>
                          <w:marTop w:val="0"/>
                          <w:marBottom w:val="0"/>
                          <w:divBdr>
                            <w:top w:val="none" w:sz="0" w:space="0" w:color="auto"/>
                            <w:left w:val="none" w:sz="0" w:space="0" w:color="auto"/>
                            <w:bottom w:val="none" w:sz="0" w:space="0" w:color="auto"/>
                            <w:right w:val="none" w:sz="0" w:space="0" w:color="auto"/>
                          </w:divBdr>
                          <w:divsChild>
                            <w:div w:id="14849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934787">
      <w:marLeft w:val="0"/>
      <w:marRight w:val="0"/>
      <w:marTop w:val="0"/>
      <w:marBottom w:val="0"/>
      <w:divBdr>
        <w:top w:val="none" w:sz="0" w:space="0" w:color="auto"/>
        <w:left w:val="none" w:sz="0" w:space="0" w:color="auto"/>
        <w:bottom w:val="none" w:sz="0" w:space="0" w:color="auto"/>
        <w:right w:val="none" w:sz="0" w:space="0" w:color="auto"/>
      </w:divBdr>
      <w:divsChild>
        <w:div w:id="1484934775">
          <w:marLeft w:val="0"/>
          <w:marRight w:val="0"/>
          <w:marTop w:val="0"/>
          <w:marBottom w:val="0"/>
          <w:divBdr>
            <w:top w:val="none" w:sz="0" w:space="0" w:color="auto"/>
            <w:left w:val="none" w:sz="0" w:space="0" w:color="auto"/>
            <w:bottom w:val="none" w:sz="0" w:space="0" w:color="auto"/>
            <w:right w:val="none" w:sz="0" w:space="0" w:color="auto"/>
          </w:divBdr>
          <w:divsChild>
            <w:div w:id="1484934789">
              <w:marLeft w:val="0"/>
              <w:marRight w:val="0"/>
              <w:marTop w:val="0"/>
              <w:marBottom w:val="0"/>
              <w:divBdr>
                <w:top w:val="none" w:sz="0" w:space="0" w:color="auto"/>
                <w:left w:val="none" w:sz="0" w:space="0" w:color="auto"/>
                <w:bottom w:val="none" w:sz="0" w:space="0" w:color="auto"/>
                <w:right w:val="none" w:sz="0" w:space="0" w:color="auto"/>
              </w:divBdr>
              <w:divsChild>
                <w:div w:id="1484934777">
                  <w:marLeft w:val="0"/>
                  <w:marRight w:val="0"/>
                  <w:marTop w:val="0"/>
                  <w:marBottom w:val="0"/>
                  <w:divBdr>
                    <w:top w:val="none" w:sz="0" w:space="0" w:color="auto"/>
                    <w:left w:val="none" w:sz="0" w:space="0" w:color="auto"/>
                    <w:bottom w:val="none" w:sz="0" w:space="0" w:color="auto"/>
                    <w:right w:val="none" w:sz="0" w:space="0" w:color="auto"/>
                  </w:divBdr>
                  <w:divsChild>
                    <w:div w:id="1484934783">
                      <w:marLeft w:val="0"/>
                      <w:marRight w:val="0"/>
                      <w:marTop w:val="0"/>
                      <w:marBottom w:val="0"/>
                      <w:divBdr>
                        <w:top w:val="none" w:sz="0" w:space="0" w:color="auto"/>
                        <w:left w:val="none" w:sz="0" w:space="0" w:color="auto"/>
                        <w:bottom w:val="none" w:sz="0" w:space="0" w:color="auto"/>
                        <w:right w:val="none" w:sz="0" w:space="0" w:color="auto"/>
                      </w:divBdr>
                      <w:divsChild>
                        <w:div w:id="1484934772">
                          <w:marLeft w:val="0"/>
                          <w:marRight w:val="0"/>
                          <w:marTop w:val="0"/>
                          <w:marBottom w:val="0"/>
                          <w:divBdr>
                            <w:top w:val="none" w:sz="0" w:space="0" w:color="auto"/>
                            <w:left w:val="none" w:sz="0" w:space="0" w:color="auto"/>
                            <w:bottom w:val="none" w:sz="0" w:space="0" w:color="auto"/>
                            <w:right w:val="none" w:sz="0" w:space="0" w:color="auto"/>
                          </w:divBdr>
                          <w:divsChild>
                            <w:div w:id="1484934786">
                              <w:marLeft w:val="0"/>
                              <w:marRight w:val="0"/>
                              <w:marTop w:val="0"/>
                              <w:marBottom w:val="0"/>
                              <w:divBdr>
                                <w:top w:val="none" w:sz="0" w:space="0" w:color="auto"/>
                                <w:left w:val="none" w:sz="0" w:space="0" w:color="auto"/>
                                <w:bottom w:val="none" w:sz="0" w:space="0" w:color="auto"/>
                                <w:right w:val="none" w:sz="0" w:space="0" w:color="auto"/>
                              </w:divBdr>
                              <w:divsChild>
                                <w:div w:id="14849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154234">
      <w:bodyDiv w:val="1"/>
      <w:marLeft w:val="0"/>
      <w:marRight w:val="0"/>
      <w:marTop w:val="0"/>
      <w:marBottom w:val="0"/>
      <w:divBdr>
        <w:top w:val="none" w:sz="0" w:space="0" w:color="auto"/>
        <w:left w:val="none" w:sz="0" w:space="0" w:color="auto"/>
        <w:bottom w:val="none" w:sz="0" w:space="0" w:color="auto"/>
        <w:right w:val="none" w:sz="0" w:space="0" w:color="auto"/>
      </w:divBdr>
    </w:div>
    <w:div w:id="1506675023">
      <w:bodyDiv w:val="1"/>
      <w:marLeft w:val="0"/>
      <w:marRight w:val="0"/>
      <w:marTop w:val="0"/>
      <w:marBottom w:val="0"/>
      <w:divBdr>
        <w:top w:val="none" w:sz="0" w:space="0" w:color="auto"/>
        <w:left w:val="none" w:sz="0" w:space="0" w:color="auto"/>
        <w:bottom w:val="none" w:sz="0" w:space="0" w:color="auto"/>
        <w:right w:val="none" w:sz="0" w:space="0" w:color="auto"/>
      </w:divBdr>
    </w:div>
    <w:div w:id="1512184818">
      <w:bodyDiv w:val="1"/>
      <w:marLeft w:val="0"/>
      <w:marRight w:val="0"/>
      <w:marTop w:val="0"/>
      <w:marBottom w:val="0"/>
      <w:divBdr>
        <w:top w:val="none" w:sz="0" w:space="0" w:color="auto"/>
        <w:left w:val="none" w:sz="0" w:space="0" w:color="auto"/>
        <w:bottom w:val="none" w:sz="0" w:space="0" w:color="auto"/>
        <w:right w:val="none" w:sz="0" w:space="0" w:color="auto"/>
      </w:divBdr>
    </w:div>
    <w:div w:id="1657686816">
      <w:bodyDiv w:val="1"/>
      <w:marLeft w:val="0"/>
      <w:marRight w:val="0"/>
      <w:marTop w:val="0"/>
      <w:marBottom w:val="0"/>
      <w:divBdr>
        <w:top w:val="none" w:sz="0" w:space="0" w:color="auto"/>
        <w:left w:val="none" w:sz="0" w:space="0" w:color="auto"/>
        <w:bottom w:val="none" w:sz="0" w:space="0" w:color="auto"/>
        <w:right w:val="none" w:sz="0" w:space="0" w:color="auto"/>
      </w:divBdr>
    </w:div>
    <w:div w:id="1695880141">
      <w:bodyDiv w:val="1"/>
      <w:marLeft w:val="0"/>
      <w:marRight w:val="0"/>
      <w:marTop w:val="0"/>
      <w:marBottom w:val="0"/>
      <w:divBdr>
        <w:top w:val="none" w:sz="0" w:space="0" w:color="auto"/>
        <w:left w:val="none" w:sz="0" w:space="0" w:color="auto"/>
        <w:bottom w:val="none" w:sz="0" w:space="0" w:color="auto"/>
        <w:right w:val="none" w:sz="0" w:space="0" w:color="auto"/>
      </w:divBdr>
    </w:div>
    <w:div w:id="1858231407">
      <w:bodyDiv w:val="1"/>
      <w:marLeft w:val="0"/>
      <w:marRight w:val="0"/>
      <w:marTop w:val="0"/>
      <w:marBottom w:val="0"/>
      <w:divBdr>
        <w:top w:val="none" w:sz="0" w:space="0" w:color="auto"/>
        <w:left w:val="none" w:sz="0" w:space="0" w:color="auto"/>
        <w:bottom w:val="none" w:sz="0" w:space="0" w:color="auto"/>
        <w:right w:val="none" w:sz="0" w:space="0" w:color="auto"/>
      </w:divBdr>
    </w:div>
    <w:div w:id="1871140379">
      <w:bodyDiv w:val="1"/>
      <w:marLeft w:val="0"/>
      <w:marRight w:val="0"/>
      <w:marTop w:val="0"/>
      <w:marBottom w:val="0"/>
      <w:divBdr>
        <w:top w:val="none" w:sz="0" w:space="0" w:color="auto"/>
        <w:left w:val="none" w:sz="0" w:space="0" w:color="auto"/>
        <w:bottom w:val="none" w:sz="0" w:space="0" w:color="auto"/>
        <w:right w:val="none" w:sz="0" w:space="0" w:color="auto"/>
      </w:divBdr>
    </w:div>
    <w:div w:id="1975866700">
      <w:bodyDiv w:val="1"/>
      <w:marLeft w:val="0"/>
      <w:marRight w:val="0"/>
      <w:marTop w:val="0"/>
      <w:marBottom w:val="0"/>
      <w:divBdr>
        <w:top w:val="none" w:sz="0" w:space="0" w:color="auto"/>
        <w:left w:val="none" w:sz="0" w:space="0" w:color="auto"/>
        <w:bottom w:val="none" w:sz="0" w:space="0" w:color="auto"/>
        <w:right w:val="none" w:sz="0" w:space="0" w:color="auto"/>
      </w:divBdr>
    </w:div>
    <w:div w:id="207882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7/834/oj/?locale=LV" TargetMode="External"/><Relationship Id="rId13" Type="http://schemas.openxmlformats.org/officeDocument/2006/relationships/hyperlink" Target="http://eur-lex.europa.eu/eli/reg/2011/679?locale=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1/679?locale=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1/679?local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eli/reg/2011/679?locale=LV" TargetMode="External"/><Relationship Id="rId4" Type="http://schemas.openxmlformats.org/officeDocument/2006/relationships/settings" Target="settings.xml"/><Relationship Id="rId9" Type="http://schemas.openxmlformats.org/officeDocument/2006/relationships/hyperlink" Target="http://eur-lex.europa.eu/eli/reg/2008/889/oj/?locale=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75A5E-D0A6-4FA8-A36C-A7BA1EA0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1612</Words>
  <Characters>11774</Characters>
  <Application>Microsoft Office Word</Application>
  <DocSecurity>0</DocSecurity>
  <Lines>98</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Sākotnējās ietekmes novērtējuma ziņojums (anotācija)</vt:lpstr>
      <vt:lpstr>Sākotnējās ietekmes novērtējuma ziņojums (anotācija)</vt:lpstr>
    </vt:vector>
  </TitlesOfParts>
  <Company>ZM</Company>
  <LinksUpToDate>false</LinksUpToDate>
  <CharactersWithSpaces>13360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dc:title>
  <dc:subject>Ministru kabineta noteikumu projekta „Grozījumi Ministru kabineta 2009.gada 17.jūnija noteikumos Nr.573 „Kārtība, kādā administrē Eiropas Lauksaimniecības garantiju fondu, Eiropas Lauksaimniecības fondu lauku attīstībai un Eiropas Zivsaimniecības fondu, k</dc:subject>
  <dc:creator>Gunta Bāra</dc:creator>
  <dc:description>Bāra 67027398_x000d_
gunta.bara@zm.gov.lv</dc:description>
  <cp:lastModifiedBy>Sanita Žagare</cp:lastModifiedBy>
  <cp:revision>4</cp:revision>
  <cp:lastPrinted>2015-02-05T08:51:00Z</cp:lastPrinted>
  <dcterms:created xsi:type="dcterms:W3CDTF">2017-11-21T06:41:00Z</dcterms:created>
  <dcterms:modified xsi:type="dcterms:W3CDTF">2017-11-21T07:14:00Z</dcterms:modified>
</cp:coreProperties>
</file>