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6E80" w14:textId="77777777" w:rsidR="00436A04" w:rsidRPr="003A7996" w:rsidRDefault="004C1B2A" w:rsidP="00221C75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bookmarkStart w:id="0" w:name="OLE_LINK7"/>
      <w:bookmarkStart w:id="1" w:name="OLE_LINK8"/>
      <w:r w:rsidRPr="003A7996">
        <w:rPr>
          <w:b/>
          <w:sz w:val="28"/>
          <w:lang w:val="lv-LV"/>
        </w:rPr>
        <w:t xml:space="preserve">Ministru kabineta noteikumu projekta </w:t>
      </w:r>
      <w:r w:rsidRPr="003A7996">
        <w:rPr>
          <w:b/>
          <w:bCs/>
          <w:sz w:val="28"/>
          <w:lang w:val="lv-LV"/>
        </w:rPr>
        <w:t>„</w:t>
      </w:r>
      <w:r w:rsidRPr="003A7996">
        <w:rPr>
          <w:b/>
          <w:sz w:val="28"/>
          <w:lang w:val="lv-LV"/>
        </w:rPr>
        <w:t>Grozījum</w:t>
      </w:r>
      <w:r w:rsidR="00C4508F" w:rsidRPr="003A7996">
        <w:rPr>
          <w:b/>
          <w:sz w:val="28"/>
          <w:lang w:val="lv-LV"/>
        </w:rPr>
        <w:t>i</w:t>
      </w:r>
      <w:r w:rsidRPr="003A7996">
        <w:rPr>
          <w:b/>
          <w:sz w:val="28"/>
          <w:lang w:val="lv-LV"/>
        </w:rPr>
        <w:t xml:space="preserve"> Ministru kabineta </w:t>
      </w:r>
    </w:p>
    <w:p w14:paraId="42ACEC0F" w14:textId="65B95C30" w:rsidR="004C1B2A" w:rsidRPr="003A7996" w:rsidRDefault="004C1B2A" w:rsidP="00221C75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3A7996">
        <w:rPr>
          <w:b/>
          <w:sz w:val="28"/>
          <w:lang w:val="lv-LV"/>
        </w:rPr>
        <w:t>2007.</w:t>
      </w:r>
      <w:r w:rsidR="00436A04" w:rsidRPr="003A7996">
        <w:rPr>
          <w:b/>
          <w:sz w:val="28"/>
          <w:lang w:val="lv-LV"/>
        </w:rPr>
        <w:t xml:space="preserve"> </w:t>
      </w:r>
      <w:r w:rsidRPr="003A7996">
        <w:rPr>
          <w:b/>
          <w:sz w:val="28"/>
          <w:lang w:val="lv-LV"/>
        </w:rPr>
        <w:t>gada 19.</w:t>
      </w:r>
      <w:r w:rsidR="00436A04" w:rsidRPr="003A7996">
        <w:rPr>
          <w:b/>
          <w:sz w:val="28"/>
          <w:lang w:val="lv-LV"/>
        </w:rPr>
        <w:t xml:space="preserve"> </w:t>
      </w:r>
      <w:r w:rsidRPr="003A7996">
        <w:rPr>
          <w:b/>
          <w:sz w:val="28"/>
          <w:lang w:val="lv-LV"/>
        </w:rPr>
        <w:t>jūnija noteikumos Nr.</w:t>
      </w:r>
      <w:r w:rsidR="00734FE2">
        <w:rPr>
          <w:b/>
          <w:sz w:val="28"/>
          <w:lang w:val="lv-LV"/>
        </w:rPr>
        <w:t xml:space="preserve"> </w:t>
      </w:r>
      <w:r w:rsidRPr="003A7996">
        <w:rPr>
          <w:b/>
          <w:sz w:val="28"/>
          <w:lang w:val="lv-LV"/>
        </w:rPr>
        <w:t>405 „</w:t>
      </w:r>
      <w:r w:rsidRPr="003A7996">
        <w:rPr>
          <w:b/>
          <w:bCs/>
          <w:sz w:val="28"/>
          <w:lang w:val="lv-LV"/>
        </w:rPr>
        <w:t>Putnu gripas uzliesmojuma likvidēšanas un draudu novēršanas kārtība</w:t>
      </w:r>
      <w:r w:rsidRPr="003A7996">
        <w:rPr>
          <w:b/>
          <w:sz w:val="28"/>
          <w:lang w:val="lv-LV"/>
        </w:rPr>
        <w:t>”</w:t>
      </w:r>
      <w:r w:rsidRPr="003A7996">
        <w:rPr>
          <w:b/>
          <w:bCs/>
          <w:sz w:val="28"/>
          <w:lang w:val="lv-LV"/>
        </w:rPr>
        <w:t>”</w:t>
      </w:r>
    </w:p>
    <w:p w14:paraId="7EE8C0D4" w14:textId="77777777" w:rsidR="00221C75" w:rsidRDefault="004C1B2A" w:rsidP="000F47E9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3A7996">
        <w:rPr>
          <w:b/>
          <w:bCs/>
          <w:sz w:val="28"/>
          <w:lang w:val="lv-LV"/>
        </w:rPr>
        <w:t>sākotnējās ietekmes novērtējuma ziņojums (anotācija)</w:t>
      </w:r>
    </w:p>
    <w:p w14:paraId="423A8CDC" w14:textId="77777777" w:rsidR="00064002" w:rsidRPr="004C1B2A" w:rsidRDefault="00064002" w:rsidP="000F47E9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0F47E9" w14:paraId="76FA8E8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B3AB9E6" w14:textId="77777777" w:rsidR="00A162FE" w:rsidRPr="000F47E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0F47E9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734FE2" w14:paraId="46D0C744" w14:textId="77777777" w:rsidTr="00C21DCA">
        <w:tc>
          <w:tcPr>
            <w:tcW w:w="250" w:type="pct"/>
          </w:tcPr>
          <w:p w14:paraId="053BF445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6816B954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4AD0C98B" w14:textId="7E4AF2EC" w:rsidR="00A162FE" w:rsidRPr="00576DE0" w:rsidRDefault="00734FE2">
            <w:pPr>
              <w:jc w:val="both"/>
            </w:pPr>
            <w:proofErr w:type="spellStart"/>
            <w:r w:rsidRPr="00576DE0">
              <w:t>Veterinārmedicīnas</w:t>
            </w:r>
            <w:proofErr w:type="spellEnd"/>
            <w:r w:rsidRPr="00576DE0">
              <w:t xml:space="preserve"> </w:t>
            </w:r>
            <w:proofErr w:type="spellStart"/>
            <w:r w:rsidRPr="00576DE0">
              <w:t>likuma</w:t>
            </w:r>
            <w:proofErr w:type="spellEnd"/>
            <w:r>
              <w:t xml:space="preserve"> </w:t>
            </w:r>
            <w:r w:rsidRPr="00576DE0">
              <w:t>26. </w:t>
            </w:r>
            <w:proofErr w:type="spellStart"/>
            <w:proofErr w:type="gramStart"/>
            <w:r>
              <w:t>panta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pirmā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  <w:r w:rsidRPr="00576DE0">
              <w:t xml:space="preserve"> un</w:t>
            </w:r>
            <w:r>
              <w:t xml:space="preserve"> </w:t>
            </w:r>
            <w:r w:rsidRPr="00576DE0">
              <w:t>27. </w:t>
            </w:r>
            <w:proofErr w:type="spellStart"/>
            <w:r w:rsidRPr="00576DE0">
              <w:t>panta</w:t>
            </w:r>
            <w:proofErr w:type="spellEnd"/>
            <w:r w:rsidRPr="00576DE0">
              <w:t xml:space="preserve"> </w:t>
            </w:r>
            <w:proofErr w:type="spellStart"/>
            <w:r w:rsidRPr="00576DE0">
              <w:t>treš</w:t>
            </w:r>
            <w:r>
              <w:t>ā</w:t>
            </w:r>
            <w:proofErr w:type="spellEnd"/>
            <w:r w:rsidRPr="00576DE0">
              <w:t xml:space="preserve"> </w:t>
            </w:r>
            <w:proofErr w:type="spellStart"/>
            <w:r w:rsidRPr="00576DE0">
              <w:t>daļ</w:t>
            </w:r>
            <w:r>
              <w:t>a</w:t>
            </w:r>
            <w:proofErr w:type="spellEnd"/>
          </w:p>
        </w:tc>
      </w:tr>
      <w:tr w:rsidR="005D73DE" w:rsidRPr="00504103" w14:paraId="651A6BE1" w14:textId="77777777" w:rsidTr="00C21DCA">
        <w:tc>
          <w:tcPr>
            <w:tcW w:w="250" w:type="pct"/>
          </w:tcPr>
          <w:p w14:paraId="52795983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146BE051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09894238" w14:textId="1C564A0A" w:rsidR="00DB0154" w:rsidRPr="00DB0154" w:rsidRDefault="00C4508F" w:rsidP="00DB0154">
            <w:pPr>
              <w:jc w:val="both"/>
              <w:rPr>
                <w:bCs/>
                <w:lang w:val="lv-LV"/>
              </w:rPr>
            </w:pPr>
            <w:r w:rsidRPr="00C4508F">
              <w:rPr>
                <w:bCs/>
                <w:lang w:val="lv-LV"/>
              </w:rPr>
              <w:t xml:space="preserve">Ir stājies spēkā </w:t>
            </w:r>
            <w:r w:rsidR="00734FE2" w:rsidRPr="00354D81">
              <w:rPr>
                <w:bCs/>
                <w:lang w:val="lv-LV"/>
              </w:rPr>
              <w:t>Eiropas Komisijas 2017. gada 14. februāra Īstenošanas lēmums</w:t>
            </w:r>
            <w:r w:rsidR="00734FE2" w:rsidRPr="00CE3EF3">
              <w:rPr>
                <w:bCs/>
                <w:lang w:val="lv-LV"/>
              </w:rPr>
              <w:t xml:space="preserve"> (ES) 2017/263 par riska mazināšanas un pastiprinātiem biodrošības pasākumiem un agrīnās konstatācijas sistēmām atti</w:t>
            </w:r>
            <w:r w:rsidR="00734FE2" w:rsidRPr="00506F16">
              <w:rPr>
                <w:bCs/>
                <w:lang w:val="lv-LV"/>
              </w:rPr>
              <w:t>ecībā uz risku, ko rada savvaļas putni saistībā ar augsti patogēnās putnu gripas vīrusu pārnešanu uz mājputniem (turpmāk – Īstenošanas lēmums 2017/263)</w:t>
            </w:r>
            <w:r w:rsidR="00734FE2" w:rsidRPr="00F81EFA">
              <w:rPr>
                <w:lang w:val="lv-LV"/>
              </w:rPr>
              <w:t>.</w:t>
            </w:r>
            <w:r w:rsidR="00734FE2">
              <w:rPr>
                <w:lang w:val="lv-LV"/>
              </w:rPr>
              <w:t xml:space="preserve"> </w:t>
            </w:r>
            <w:r w:rsidRPr="00C4508F">
              <w:rPr>
                <w:bCs/>
                <w:lang w:val="lv-LV"/>
              </w:rPr>
              <w:t>Īstenošanas lēmum</w:t>
            </w:r>
            <w:r w:rsidR="00734FE2">
              <w:rPr>
                <w:bCs/>
                <w:lang w:val="lv-LV"/>
              </w:rPr>
              <w:t>a</w:t>
            </w:r>
            <w:r w:rsidRPr="00C4508F">
              <w:rPr>
                <w:bCs/>
                <w:lang w:val="lv-LV"/>
              </w:rPr>
              <w:t xml:space="preserve"> 2017/263</w:t>
            </w:r>
            <w:r>
              <w:rPr>
                <w:bCs/>
                <w:lang w:val="lv-LV"/>
              </w:rPr>
              <w:t xml:space="preserve">, prasības </w:t>
            </w:r>
            <w:r w:rsidR="00371F54">
              <w:rPr>
                <w:bCs/>
                <w:lang w:val="lv-LV"/>
              </w:rPr>
              <w:t xml:space="preserve">tika ieviestas </w:t>
            </w:r>
            <w:r>
              <w:rPr>
                <w:bCs/>
                <w:lang w:val="lv-LV"/>
              </w:rPr>
              <w:t>Ministru kabineta</w:t>
            </w:r>
            <w:r w:rsidRPr="00C4508F">
              <w:rPr>
                <w:rFonts w:ascii="Arial" w:hAnsi="Arial" w:cs="Arial"/>
                <w:b/>
                <w:bCs/>
                <w:color w:val="414142"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bCs/>
                <w:lang w:val="lv-LV"/>
              </w:rPr>
              <w:t>2015.</w:t>
            </w:r>
            <w:r w:rsidR="00734FE2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gada 9.</w:t>
            </w:r>
            <w:r w:rsidR="00734FE2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 xml:space="preserve">jūnija </w:t>
            </w:r>
            <w:r w:rsidRPr="00C4508F">
              <w:rPr>
                <w:bCs/>
                <w:lang w:val="lv-LV"/>
              </w:rPr>
              <w:t>noteikumos Nr.</w:t>
            </w:r>
            <w:r w:rsidR="00734FE2">
              <w:rPr>
                <w:bCs/>
                <w:lang w:val="lv-LV"/>
              </w:rPr>
              <w:t xml:space="preserve"> </w:t>
            </w:r>
            <w:r w:rsidRPr="00C4508F">
              <w:rPr>
                <w:bCs/>
                <w:lang w:val="lv-LV"/>
              </w:rPr>
              <w:t>291 “Noteikumi par biodrošības pasākumu kopumu dzīvnieku turēšanas vietām”</w:t>
            </w:r>
            <w:r w:rsidR="003A7996">
              <w:rPr>
                <w:bCs/>
                <w:lang w:val="lv-LV"/>
              </w:rPr>
              <w:t xml:space="preserve"> (turpmāk – noteikumi Nr.</w:t>
            </w:r>
            <w:r w:rsidR="00734FE2">
              <w:rPr>
                <w:bCs/>
                <w:lang w:val="lv-LV"/>
              </w:rPr>
              <w:t xml:space="preserve"> </w:t>
            </w:r>
            <w:r w:rsidR="003A7996">
              <w:rPr>
                <w:bCs/>
                <w:lang w:val="lv-LV"/>
              </w:rPr>
              <w:t>291)</w:t>
            </w:r>
            <w:r w:rsidRPr="00C4508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 xml:space="preserve"> Īstenošanas lēmum</w:t>
            </w:r>
            <w:r w:rsidR="00734FE2">
              <w:rPr>
                <w:bCs/>
                <w:lang w:val="lv-LV"/>
              </w:rPr>
              <w:t>s</w:t>
            </w:r>
            <w:r>
              <w:rPr>
                <w:bCs/>
                <w:lang w:val="lv-LV"/>
              </w:rPr>
              <w:t xml:space="preserve"> 2017/263 </w:t>
            </w:r>
            <w:r w:rsidR="00734FE2">
              <w:rPr>
                <w:bCs/>
                <w:lang w:val="lv-LV"/>
              </w:rPr>
              <w:t>atcēla</w:t>
            </w:r>
            <w:r w:rsidR="00DB0154">
              <w:rPr>
                <w:bCs/>
                <w:lang w:val="lv-LV"/>
              </w:rPr>
              <w:t xml:space="preserve"> Komisijas 2005. gada 19. oktobra </w:t>
            </w:r>
            <w:r w:rsidR="00C70DED">
              <w:rPr>
                <w:bCs/>
                <w:lang w:val="lv-LV"/>
              </w:rPr>
              <w:t>L</w:t>
            </w:r>
            <w:r w:rsidR="00DB0154">
              <w:rPr>
                <w:bCs/>
                <w:lang w:val="lv-LV"/>
              </w:rPr>
              <w:t>ēmum</w:t>
            </w:r>
            <w:r w:rsidR="00734FE2">
              <w:rPr>
                <w:bCs/>
                <w:lang w:val="lv-LV"/>
              </w:rPr>
              <w:t>u</w:t>
            </w:r>
            <w:r w:rsidR="00DB0154" w:rsidRPr="00576DE0">
              <w:rPr>
                <w:color w:val="444444"/>
                <w:sz w:val="27"/>
                <w:szCs w:val="27"/>
                <w:lang w:val="lv-LV"/>
              </w:rPr>
              <w:t xml:space="preserve"> </w:t>
            </w:r>
            <w:r w:rsidR="00DB0154" w:rsidRPr="00576DE0">
              <w:rPr>
                <w:bCs/>
                <w:lang w:val="lv-LV"/>
              </w:rPr>
              <w:t>2005/734/EK</w:t>
            </w:r>
            <w:r w:rsidR="00DB0154" w:rsidRPr="00DB0154">
              <w:rPr>
                <w:bCs/>
                <w:lang w:val="lv-LV"/>
              </w:rPr>
              <w:t>,</w:t>
            </w:r>
            <w:r w:rsidR="00DB0154">
              <w:rPr>
                <w:bCs/>
                <w:lang w:val="lv-LV"/>
              </w:rPr>
              <w:t xml:space="preserve"> </w:t>
            </w:r>
            <w:r w:rsidR="00DB0154" w:rsidRPr="00DB0154">
              <w:rPr>
                <w:bCs/>
                <w:lang w:val="lv-LV"/>
              </w:rPr>
              <w:t xml:space="preserve">ar ko nosaka biodrošības pasākumus, lai mazinātu risku, ka ļoti patogēno putnu gripu, ko izraisa A tipa H5N1 apakštipa gripas vīruss, no savvaļas putniem varētu pārnest uz mājputniem un citiem nebrīvē turētiem putniem, un ar ko paredz agrīnas konstatācijas sistēmu īpaši apdraudētos apgabalos (turpmāk – </w:t>
            </w:r>
            <w:r w:rsidR="00C70DED">
              <w:rPr>
                <w:bCs/>
                <w:lang w:val="lv-LV"/>
              </w:rPr>
              <w:t>L</w:t>
            </w:r>
            <w:r w:rsidR="00DB0154" w:rsidRPr="00DB0154">
              <w:rPr>
                <w:bCs/>
                <w:lang w:val="lv-LV"/>
              </w:rPr>
              <w:t>ēmums 2005/734/EK)</w:t>
            </w:r>
            <w:r w:rsidR="00DB0154">
              <w:rPr>
                <w:bCs/>
                <w:lang w:val="lv-LV"/>
              </w:rPr>
              <w:t>.</w:t>
            </w:r>
          </w:p>
          <w:p w14:paraId="71BE1A0F" w14:textId="0D67FEAE" w:rsidR="00DB0154" w:rsidRDefault="00DB0154" w:rsidP="00DB015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Lēmuma 2005/734/EK prasības </w:t>
            </w:r>
            <w:r w:rsidR="00734FE2">
              <w:rPr>
                <w:bCs/>
                <w:lang w:val="lv-LV"/>
              </w:rPr>
              <w:t>ir pārņemtas</w:t>
            </w:r>
            <w:r>
              <w:rPr>
                <w:bCs/>
                <w:lang w:val="lv-LV"/>
              </w:rPr>
              <w:t xml:space="preserve"> </w:t>
            </w:r>
            <w:r w:rsidR="004C1B2A" w:rsidRPr="004C1B2A">
              <w:rPr>
                <w:lang w:val="lv-LV"/>
              </w:rPr>
              <w:t>Ministru kabineta 2007.</w:t>
            </w:r>
            <w:r w:rsidR="00436A04">
              <w:rPr>
                <w:lang w:val="lv-LV"/>
              </w:rPr>
              <w:t xml:space="preserve"> </w:t>
            </w:r>
            <w:r w:rsidR="004C1B2A" w:rsidRPr="004C1B2A">
              <w:rPr>
                <w:lang w:val="lv-LV"/>
              </w:rPr>
              <w:t>gada 19.</w:t>
            </w:r>
            <w:r w:rsidR="00436A04">
              <w:rPr>
                <w:lang w:val="lv-LV"/>
              </w:rPr>
              <w:t xml:space="preserve"> </w:t>
            </w:r>
            <w:r w:rsidR="004C1B2A" w:rsidRPr="004C1B2A">
              <w:rPr>
                <w:lang w:val="lv-LV"/>
              </w:rPr>
              <w:t>jūnija noteikumu Nr.</w:t>
            </w:r>
            <w:r w:rsidR="00734FE2">
              <w:rPr>
                <w:lang w:val="lv-LV"/>
              </w:rPr>
              <w:t xml:space="preserve"> </w:t>
            </w:r>
            <w:r w:rsidR="004C1B2A" w:rsidRPr="004C1B2A">
              <w:rPr>
                <w:lang w:val="lv-LV"/>
              </w:rPr>
              <w:t>405 „</w:t>
            </w:r>
            <w:r w:rsidR="004C1B2A" w:rsidRPr="004C1B2A">
              <w:rPr>
                <w:bCs/>
                <w:lang w:val="lv-LV"/>
              </w:rPr>
              <w:t>Putnu gripas uzliesmojuma likvidēšanas un draudu novēršanas kārtība</w:t>
            </w:r>
            <w:r w:rsidR="004C1B2A" w:rsidRPr="004C1B2A">
              <w:rPr>
                <w:lang w:val="lv-LV"/>
              </w:rPr>
              <w:t>” (turpmāk – noteikumi Nr.</w:t>
            </w:r>
            <w:r w:rsidR="00734FE2">
              <w:rPr>
                <w:lang w:val="lv-LV"/>
              </w:rPr>
              <w:t xml:space="preserve"> </w:t>
            </w:r>
            <w:r w:rsidR="004C1B2A" w:rsidRPr="004C1B2A">
              <w:rPr>
                <w:lang w:val="lv-LV"/>
              </w:rPr>
              <w:t xml:space="preserve">405) </w:t>
            </w:r>
            <w:r w:rsidR="004C1B2A" w:rsidRPr="004C1B2A">
              <w:rPr>
                <w:bCs/>
                <w:lang w:val="lv-LV"/>
              </w:rPr>
              <w:t>XVIII</w:t>
            </w:r>
            <w:r w:rsidR="004C1B2A" w:rsidRPr="004C1B2A">
              <w:rPr>
                <w:bCs/>
                <w:vertAlign w:val="superscript"/>
                <w:lang w:val="lv-LV"/>
              </w:rPr>
              <w:t>2</w:t>
            </w:r>
            <w:r>
              <w:rPr>
                <w:bCs/>
                <w:lang w:val="lv-LV"/>
              </w:rPr>
              <w:t xml:space="preserve"> nodaļā</w:t>
            </w:r>
            <w:r w:rsidR="004C1B2A" w:rsidRPr="004C1B2A">
              <w:rPr>
                <w:bCs/>
                <w:lang w:val="lv-LV"/>
              </w:rPr>
              <w:t>, kas nosaka bioloģiskās drošības pasākumus, lai mazinātu augsti patogēno slimības ierosinātāju pārnešanas risku no savvaļas putniem uz mājputniem un citiem nebrīvē turētiem putniem</w:t>
            </w:r>
            <w:r>
              <w:rPr>
                <w:bCs/>
                <w:lang w:val="lv-LV"/>
              </w:rPr>
              <w:t xml:space="preserve">. </w:t>
            </w:r>
          </w:p>
          <w:p w14:paraId="4D62B29C" w14:textId="3475AD1F" w:rsidR="00FB3C56" w:rsidRDefault="00371F54" w:rsidP="00DB015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Līdz ar to nepieciešams grozī</w:t>
            </w:r>
            <w:r w:rsidR="005A73F3">
              <w:rPr>
                <w:bCs/>
                <w:lang w:val="lv-LV"/>
              </w:rPr>
              <w:t>t</w:t>
            </w:r>
            <w:r>
              <w:rPr>
                <w:bCs/>
                <w:lang w:val="lv-LV"/>
              </w:rPr>
              <w:t xml:space="preserve"> noteikum</w:t>
            </w:r>
            <w:r w:rsidR="005A73F3">
              <w:rPr>
                <w:bCs/>
                <w:lang w:val="lv-LV"/>
              </w:rPr>
              <w:t>u</w:t>
            </w:r>
            <w:r>
              <w:rPr>
                <w:bCs/>
                <w:lang w:val="lv-LV"/>
              </w:rPr>
              <w:t>s Nr. 405</w:t>
            </w:r>
            <w:r w:rsidR="005A73F3">
              <w:rPr>
                <w:bCs/>
                <w:lang w:val="lv-LV"/>
              </w:rPr>
              <w:t>,</w:t>
            </w:r>
            <w:r>
              <w:rPr>
                <w:bCs/>
                <w:lang w:val="lv-LV"/>
              </w:rPr>
              <w:t xml:space="preserve"> </w:t>
            </w:r>
            <w:r w:rsidR="003A7996">
              <w:rPr>
                <w:bCs/>
                <w:lang w:val="lv-LV"/>
              </w:rPr>
              <w:t>svītro</w:t>
            </w:r>
            <w:r w:rsidR="005A73F3">
              <w:rPr>
                <w:bCs/>
                <w:lang w:val="lv-LV"/>
              </w:rPr>
              <w:t>jo</w:t>
            </w:r>
            <w:r w:rsidR="003A7996">
              <w:rPr>
                <w:bCs/>
                <w:lang w:val="lv-LV"/>
              </w:rPr>
              <w:t xml:space="preserve">t </w:t>
            </w:r>
            <w:r w:rsidR="003A7996" w:rsidRPr="003A7996">
              <w:rPr>
                <w:bCs/>
                <w:lang w:val="lv-LV"/>
              </w:rPr>
              <w:t>XVIII</w:t>
            </w:r>
            <w:r w:rsidR="003A7996" w:rsidRPr="003A7996">
              <w:rPr>
                <w:bCs/>
                <w:vertAlign w:val="superscript"/>
                <w:lang w:val="lv-LV"/>
              </w:rPr>
              <w:t>2</w:t>
            </w:r>
            <w:r w:rsidR="003A7996" w:rsidRPr="00576DE0">
              <w:rPr>
                <w:bCs/>
                <w:lang w:val="lv-LV"/>
              </w:rPr>
              <w:t xml:space="preserve"> nodaļu</w:t>
            </w:r>
            <w:r>
              <w:rPr>
                <w:bCs/>
                <w:lang w:val="lv-LV"/>
              </w:rPr>
              <w:t xml:space="preserve">, </w:t>
            </w:r>
            <w:r w:rsidR="003A7996">
              <w:rPr>
                <w:bCs/>
                <w:lang w:val="lv-LV"/>
              </w:rPr>
              <w:t>jo biodrošības prasības, kas jāievēro mājputnu novietnēs</w:t>
            </w:r>
            <w:r w:rsidR="00A86223">
              <w:rPr>
                <w:bCs/>
                <w:lang w:val="lv-LV"/>
              </w:rPr>
              <w:t>,</w:t>
            </w:r>
            <w:r w:rsidR="003A7996">
              <w:rPr>
                <w:bCs/>
                <w:lang w:val="lv-LV"/>
              </w:rPr>
              <w:t xml:space="preserve"> </w:t>
            </w:r>
            <w:r w:rsidR="005A73F3">
              <w:rPr>
                <w:bCs/>
                <w:lang w:val="lv-LV"/>
              </w:rPr>
              <w:t xml:space="preserve">jau </w:t>
            </w:r>
            <w:r w:rsidR="003A7996">
              <w:rPr>
                <w:bCs/>
                <w:lang w:val="lv-LV"/>
              </w:rPr>
              <w:t>ir noteiktas noteikumos Nr.</w:t>
            </w:r>
            <w:r w:rsidR="005A73F3">
              <w:rPr>
                <w:bCs/>
                <w:lang w:val="lv-LV"/>
              </w:rPr>
              <w:t xml:space="preserve"> </w:t>
            </w:r>
            <w:r w:rsidR="003A7996">
              <w:rPr>
                <w:bCs/>
                <w:lang w:val="lv-LV"/>
              </w:rPr>
              <w:t>291</w:t>
            </w:r>
            <w:r w:rsidR="00846D58">
              <w:rPr>
                <w:bCs/>
                <w:lang w:val="lv-LV"/>
              </w:rPr>
              <w:t xml:space="preserve"> </w:t>
            </w:r>
            <w:proofErr w:type="gramStart"/>
            <w:r w:rsidR="00846D58">
              <w:rPr>
                <w:bCs/>
                <w:lang w:val="lv-LV"/>
              </w:rPr>
              <w:t>(</w:t>
            </w:r>
            <w:proofErr w:type="gramEnd"/>
            <w:r w:rsidR="00846D58">
              <w:rPr>
                <w:bCs/>
                <w:lang w:val="lv-LV"/>
              </w:rPr>
              <w:t>Ministru kabineta 2017. gada 28. februāra noteikumi Nr. 112 “</w:t>
            </w:r>
            <w:r w:rsidR="00FB3C56">
              <w:rPr>
                <w:bCs/>
                <w:lang w:val="lv-LV"/>
              </w:rPr>
              <w:t>Grozījumi Ministru kabineta</w:t>
            </w:r>
            <w:r w:rsidR="00FB3C56" w:rsidRPr="00C4508F">
              <w:rPr>
                <w:rFonts w:ascii="Arial" w:hAnsi="Arial" w:cs="Arial"/>
                <w:b/>
                <w:bCs/>
                <w:color w:val="414142"/>
                <w:sz w:val="20"/>
                <w:szCs w:val="20"/>
                <w:lang w:val="lv-LV" w:eastAsia="lv-LV"/>
              </w:rPr>
              <w:t xml:space="preserve"> </w:t>
            </w:r>
            <w:r w:rsidR="00FB3C56">
              <w:rPr>
                <w:bCs/>
                <w:lang w:val="lv-LV"/>
              </w:rPr>
              <w:t xml:space="preserve">2015. gada 9. jūnija </w:t>
            </w:r>
            <w:r w:rsidR="00FB3C56" w:rsidRPr="00C4508F">
              <w:rPr>
                <w:bCs/>
                <w:lang w:val="lv-LV"/>
              </w:rPr>
              <w:t>noteikumos Nr.</w:t>
            </w:r>
            <w:r w:rsidR="00FB3C56">
              <w:rPr>
                <w:bCs/>
                <w:lang w:val="lv-LV"/>
              </w:rPr>
              <w:t xml:space="preserve"> </w:t>
            </w:r>
            <w:r w:rsidR="00FB3C56" w:rsidRPr="00C4508F">
              <w:rPr>
                <w:bCs/>
                <w:lang w:val="lv-LV"/>
              </w:rPr>
              <w:t>291 “Noteikumi par biodrošības pasākumu kopumu dzīvnieku turēšanas vietām”</w:t>
            </w:r>
            <w:r w:rsidR="00A86223">
              <w:rPr>
                <w:bCs/>
                <w:lang w:val="lv-LV"/>
              </w:rPr>
              <w:t>”</w:t>
            </w:r>
            <w:r w:rsidR="00FB3C56">
              <w:rPr>
                <w:bCs/>
                <w:lang w:val="lv-LV"/>
              </w:rPr>
              <w:t>.</w:t>
            </w:r>
          </w:p>
          <w:p w14:paraId="3F2814BB" w14:textId="217F52DC" w:rsidR="00076381" w:rsidRDefault="00076381" w:rsidP="00DB015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Papildus minētajam noteikumos Nr. 405 nepieciešams </w:t>
            </w:r>
            <w:r w:rsidR="005A73F3">
              <w:rPr>
                <w:bCs/>
                <w:lang w:val="lv-LV"/>
              </w:rPr>
              <w:t xml:space="preserve">izdarīt </w:t>
            </w:r>
            <w:r w:rsidR="0015592C">
              <w:rPr>
                <w:bCs/>
                <w:lang w:val="lv-LV"/>
              </w:rPr>
              <w:t>šādus grozījumus</w:t>
            </w:r>
            <w:r>
              <w:rPr>
                <w:bCs/>
                <w:lang w:val="lv-LV"/>
              </w:rPr>
              <w:t xml:space="preserve">: </w:t>
            </w:r>
          </w:p>
          <w:p w14:paraId="7FB01B01" w14:textId="690E55EA" w:rsidR="00076381" w:rsidRDefault="00076381" w:rsidP="002C0037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</w:t>
            </w:r>
            <w:r w:rsidR="009D1C72">
              <w:rPr>
                <w:bCs/>
                <w:lang w:val="lv-LV"/>
              </w:rPr>
              <w:t xml:space="preserve">) </w:t>
            </w:r>
            <w:r>
              <w:rPr>
                <w:bCs/>
                <w:lang w:val="lv-LV"/>
              </w:rPr>
              <w:t>precizēt vārdu salikumu “rakstiska atļauja”</w:t>
            </w:r>
            <w:r w:rsidR="005A73F3">
              <w:rPr>
                <w:bCs/>
                <w:lang w:val="lv-LV"/>
              </w:rPr>
              <w:t>,</w:t>
            </w:r>
            <w:r>
              <w:rPr>
                <w:bCs/>
                <w:lang w:val="lv-LV"/>
              </w:rPr>
              <w:t xml:space="preserve"> </w:t>
            </w:r>
            <w:proofErr w:type="gramStart"/>
            <w:r>
              <w:rPr>
                <w:bCs/>
                <w:lang w:val="lv-LV"/>
              </w:rPr>
              <w:t>nosakot, k</w:t>
            </w:r>
            <w:r w:rsidR="005A73F3">
              <w:rPr>
                <w:bCs/>
                <w:lang w:val="lv-LV"/>
              </w:rPr>
              <w:t>a</w:t>
            </w:r>
            <w:r>
              <w:rPr>
                <w:bCs/>
                <w:lang w:val="lv-LV"/>
              </w:rPr>
              <w:t xml:space="preserve"> turpmāk </w:t>
            </w:r>
            <w:r w:rsidR="00FD5323">
              <w:rPr>
                <w:bCs/>
                <w:lang w:val="lv-LV"/>
              </w:rPr>
              <w:t xml:space="preserve">tiks izsniegtas </w:t>
            </w:r>
            <w:r>
              <w:rPr>
                <w:bCs/>
                <w:lang w:val="lv-LV"/>
              </w:rPr>
              <w:t>atļaujas</w:t>
            </w:r>
            <w:r w:rsidR="00FD5323">
              <w:rPr>
                <w:bCs/>
                <w:lang w:val="lv-LV"/>
              </w:rPr>
              <w:t xml:space="preserve">, </w:t>
            </w:r>
            <w:r w:rsidR="0057708F">
              <w:rPr>
                <w:bCs/>
                <w:lang w:val="lv-LV"/>
              </w:rPr>
              <w:t xml:space="preserve">bet </w:t>
            </w:r>
            <w:r w:rsidR="00FD5323">
              <w:rPr>
                <w:bCs/>
                <w:lang w:val="lv-LV"/>
              </w:rPr>
              <w:t>neminot</w:t>
            </w:r>
            <w:r w:rsidR="0057708F">
              <w:rPr>
                <w:bCs/>
                <w:lang w:val="lv-LV"/>
              </w:rPr>
              <w:t>,</w:t>
            </w:r>
            <w:r w:rsidR="00FD5323">
              <w:rPr>
                <w:bCs/>
                <w:lang w:val="lv-LV"/>
              </w:rPr>
              <w:t xml:space="preserve"> kādas formas atļaujas tās</w:t>
            </w:r>
            <w:proofErr w:type="gramEnd"/>
            <w:r w:rsidR="00FD5323">
              <w:rPr>
                <w:bCs/>
                <w:lang w:val="lv-LV"/>
              </w:rPr>
              <w:t xml:space="preserve"> ir. Saskaņā ar Pārtikas un veterinārā dienesta sniegto informāciju</w:t>
            </w:r>
            <w:r>
              <w:rPr>
                <w:bCs/>
                <w:lang w:val="lv-LV"/>
              </w:rPr>
              <w:t xml:space="preserve"> </w:t>
            </w:r>
            <w:r w:rsidR="00576DE0">
              <w:rPr>
                <w:bCs/>
                <w:lang w:val="lv-LV"/>
              </w:rPr>
              <w:t>atļauja</w:t>
            </w:r>
            <w:r w:rsidR="00FD5323">
              <w:rPr>
                <w:bCs/>
                <w:lang w:val="lv-LV"/>
              </w:rPr>
              <w:t>s</w:t>
            </w:r>
            <w:r w:rsidR="00576DE0">
              <w:rPr>
                <w:bCs/>
                <w:lang w:val="lv-LV"/>
              </w:rPr>
              <w:t xml:space="preserve"> var tikt </w:t>
            </w:r>
            <w:proofErr w:type="gramStart"/>
            <w:r w:rsidR="00576DE0">
              <w:rPr>
                <w:bCs/>
                <w:lang w:val="lv-LV"/>
              </w:rPr>
              <w:t>dota</w:t>
            </w:r>
            <w:r w:rsidR="00FD5323">
              <w:rPr>
                <w:bCs/>
                <w:lang w:val="lv-LV"/>
              </w:rPr>
              <w:t>s dažādos veidos, piemēram,</w:t>
            </w:r>
            <w:proofErr w:type="gramEnd"/>
            <w:r w:rsidR="00FD5323">
              <w:rPr>
                <w:bCs/>
                <w:lang w:val="lv-LV"/>
              </w:rPr>
              <w:t xml:space="preserve"> </w:t>
            </w:r>
            <w:r w:rsidR="00576DE0">
              <w:rPr>
                <w:bCs/>
                <w:lang w:val="lv-LV"/>
              </w:rPr>
              <w:t xml:space="preserve">Pārtikas un veterinārais dienests savā oficiālajā </w:t>
            </w:r>
            <w:r w:rsidR="0057708F">
              <w:rPr>
                <w:bCs/>
                <w:lang w:val="lv-LV"/>
              </w:rPr>
              <w:t>tīmekļa vietnē</w:t>
            </w:r>
            <w:r w:rsidR="00576DE0">
              <w:rPr>
                <w:bCs/>
                <w:lang w:val="lv-LV"/>
              </w:rPr>
              <w:t xml:space="preserve"> publicē </w:t>
            </w:r>
            <w:r w:rsidR="0057708F">
              <w:rPr>
                <w:bCs/>
                <w:lang w:val="lv-LV"/>
              </w:rPr>
              <w:t xml:space="preserve">to </w:t>
            </w:r>
            <w:r w:rsidR="00576DE0">
              <w:rPr>
                <w:bCs/>
                <w:lang w:val="lv-LV"/>
              </w:rPr>
              <w:t>uzņēmumu sarakstu, kuriem ir tiesības izplatīt</w:t>
            </w:r>
            <w:r>
              <w:rPr>
                <w:bCs/>
                <w:lang w:val="lv-LV"/>
              </w:rPr>
              <w:t xml:space="preserve"> dzīvniekus vai dzīvnieku izcelsmes pārtikas produktus</w:t>
            </w:r>
            <w:r w:rsidR="00576DE0">
              <w:rPr>
                <w:bCs/>
                <w:lang w:val="lv-LV"/>
              </w:rPr>
              <w:t xml:space="preserve"> vai veikt citas darbības, kas slimības kontroles un apkarošanas laikā citiem uzņēmumiem ir aizli</w:t>
            </w:r>
            <w:r w:rsidR="00FD5323">
              <w:rPr>
                <w:bCs/>
                <w:lang w:val="lv-LV"/>
              </w:rPr>
              <w:t>egtas</w:t>
            </w:r>
            <w:r>
              <w:rPr>
                <w:bCs/>
                <w:lang w:val="lv-LV"/>
              </w:rPr>
              <w:t xml:space="preserve">; </w:t>
            </w:r>
          </w:p>
          <w:p w14:paraId="2208E3BC" w14:textId="1E70A04E" w:rsidR="002C0037" w:rsidRPr="00576DE0" w:rsidRDefault="00587A37" w:rsidP="002C0037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2</w:t>
            </w:r>
            <w:r w:rsidR="009D1C72">
              <w:rPr>
                <w:bCs/>
                <w:lang w:val="lv-LV"/>
              </w:rPr>
              <w:t>)</w:t>
            </w:r>
            <w:r w:rsidR="00DB0154">
              <w:rPr>
                <w:bCs/>
                <w:lang w:val="lv-LV"/>
              </w:rPr>
              <w:t xml:space="preserve"> </w:t>
            </w:r>
            <w:r w:rsidR="00656CBE">
              <w:rPr>
                <w:bCs/>
                <w:lang w:val="lv-LV"/>
              </w:rPr>
              <w:t xml:space="preserve">precizēt </w:t>
            </w:r>
            <w:r w:rsidR="005A73F3" w:rsidRPr="0095084E">
              <w:rPr>
                <w:bCs/>
                <w:lang w:val="lv-LV"/>
              </w:rPr>
              <w:t>noteikumu Nr. 405</w:t>
            </w:r>
            <w:r w:rsidR="005A73F3">
              <w:rPr>
                <w:bCs/>
                <w:lang w:val="lv-LV"/>
              </w:rPr>
              <w:t xml:space="preserve"> </w:t>
            </w:r>
            <w:r w:rsidR="00DB0154" w:rsidRPr="0095084E">
              <w:rPr>
                <w:bCs/>
                <w:lang w:val="lv-LV"/>
              </w:rPr>
              <w:t>50.4.2. apakšpunkt</w:t>
            </w:r>
            <w:r w:rsidR="00656CBE">
              <w:rPr>
                <w:bCs/>
                <w:lang w:val="lv-LV"/>
              </w:rPr>
              <w:t>u</w:t>
            </w:r>
            <w:r w:rsidR="00DB0154" w:rsidRPr="0095084E">
              <w:rPr>
                <w:bCs/>
                <w:lang w:val="lv-LV"/>
              </w:rPr>
              <w:t xml:space="preserve"> par gaļas pārvietošanas ierobežojumiem aizsardzības zonas teritorijā. Pašlaik no </w:t>
            </w:r>
            <w:r w:rsidR="00656CBE">
              <w:rPr>
                <w:bCs/>
                <w:lang w:val="lv-LV"/>
              </w:rPr>
              <w:t>spēkā</w:t>
            </w:r>
            <w:r w:rsidR="00087540" w:rsidRPr="0095084E">
              <w:rPr>
                <w:bCs/>
                <w:lang w:val="lv-LV"/>
              </w:rPr>
              <w:t xml:space="preserve"> </w:t>
            </w:r>
            <w:r w:rsidR="00DB0154" w:rsidRPr="0095084E">
              <w:rPr>
                <w:bCs/>
                <w:lang w:val="lv-LV"/>
              </w:rPr>
              <w:t>esošās redakcijas izriet, ka no aizsardzības zonas nav atļauts izvest gaļu, k</w:t>
            </w:r>
            <w:r w:rsidR="0057708F">
              <w:rPr>
                <w:bCs/>
                <w:lang w:val="lv-LV"/>
              </w:rPr>
              <w:t>as</w:t>
            </w:r>
            <w:r w:rsidR="00DB0154" w:rsidRPr="0095084E">
              <w:rPr>
                <w:bCs/>
                <w:lang w:val="lv-LV"/>
              </w:rPr>
              <w:t xml:space="preserve"> iegūta</w:t>
            </w:r>
            <w:r w:rsidR="0057708F">
              <w:rPr>
                <w:bCs/>
                <w:lang w:val="lv-LV"/>
              </w:rPr>
              <w:t>,</w:t>
            </w:r>
            <w:r w:rsidR="00DB0154" w:rsidRPr="0095084E">
              <w:rPr>
                <w:bCs/>
                <w:lang w:val="lv-LV"/>
              </w:rPr>
              <w:t xml:space="preserve"> </w:t>
            </w:r>
            <w:r w:rsidR="002C0037" w:rsidRPr="0095084E">
              <w:rPr>
                <w:bCs/>
                <w:lang w:val="lv-LV"/>
              </w:rPr>
              <w:t xml:space="preserve">pirms </w:t>
            </w:r>
            <w:r w:rsidR="00576DE0">
              <w:rPr>
                <w:bCs/>
                <w:lang w:val="lv-LV"/>
              </w:rPr>
              <w:t>māj</w:t>
            </w:r>
            <w:r w:rsidR="002C0037" w:rsidRPr="0095084E">
              <w:rPr>
                <w:bCs/>
                <w:lang w:val="lv-LV"/>
              </w:rPr>
              <w:t>putnu</w:t>
            </w:r>
            <w:r w:rsidR="00576DE0">
              <w:rPr>
                <w:bCs/>
                <w:lang w:val="lv-LV"/>
              </w:rPr>
              <w:t xml:space="preserve"> novietnē tika apstiprināts slimības ierosinātājs.</w:t>
            </w:r>
            <w:r w:rsidR="002C0037" w:rsidRPr="0095084E">
              <w:rPr>
                <w:bCs/>
                <w:lang w:val="lv-LV"/>
              </w:rPr>
              <w:t xml:space="preserve"> </w:t>
            </w:r>
            <w:r w:rsidR="0057708F">
              <w:rPr>
                <w:bCs/>
                <w:lang w:val="lv-LV"/>
              </w:rPr>
              <w:t>Ņemot vērā</w:t>
            </w:r>
            <w:r w:rsidR="00FD5323">
              <w:rPr>
                <w:bCs/>
                <w:lang w:val="lv-LV"/>
              </w:rPr>
              <w:t xml:space="preserve"> veterinār</w:t>
            </w:r>
            <w:r w:rsidR="0057708F">
              <w:rPr>
                <w:bCs/>
                <w:lang w:val="lv-LV"/>
              </w:rPr>
              <w:t>ās</w:t>
            </w:r>
            <w:r w:rsidR="00FD5323">
              <w:rPr>
                <w:bCs/>
                <w:lang w:val="lv-LV"/>
              </w:rPr>
              <w:t xml:space="preserve"> prasīb</w:t>
            </w:r>
            <w:r w:rsidR="0057708F">
              <w:rPr>
                <w:bCs/>
                <w:lang w:val="lv-LV"/>
              </w:rPr>
              <w:t>as,</w:t>
            </w:r>
            <w:r w:rsidR="00FD5323">
              <w:rPr>
                <w:bCs/>
                <w:lang w:val="lv-LV"/>
              </w:rPr>
              <w:t xml:space="preserve"> šādas norma </w:t>
            </w:r>
            <w:r w:rsidR="0057708F">
              <w:rPr>
                <w:bCs/>
                <w:lang w:val="lv-LV"/>
              </w:rPr>
              <w:t xml:space="preserve">nav </w:t>
            </w:r>
            <w:r w:rsidR="00FD5323">
              <w:rPr>
                <w:bCs/>
                <w:lang w:val="lv-LV"/>
              </w:rPr>
              <w:t>atbilstoša no</w:t>
            </w:r>
            <w:r w:rsidR="00576DE0">
              <w:rPr>
                <w:bCs/>
                <w:lang w:val="lv-LV"/>
              </w:rPr>
              <w:t xml:space="preserve"> sl</w:t>
            </w:r>
            <w:r w:rsidR="00FD5323">
              <w:rPr>
                <w:bCs/>
                <w:lang w:val="lv-LV"/>
              </w:rPr>
              <w:t xml:space="preserve">imības ierosinātāja </w:t>
            </w:r>
            <w:proofErr w:type="spellStart"/>
            <w:r w:rsidR="00FD5323">
              <w:rPr>
                <w:bCs/>
                <w:lang w:val="lv-LV"/>
              </w:rPr>
              <w:t>etioloģiskā</w:t>
            </w:r>
            <w:proofErr w:type="spellEnd"/>
            <w:r w:rsidR="00FD5323">
              <w:rPr>
                <w:bCs/>
                <w:lang w:val="lv-LV"/>
              </w:rPr>
              <w:t xml:space="preserve"> aspekta</w:t>
            </w:r>
            <w:r w:rsidR="00576DE0">
              <w:rPr>
                <w:bCs/>
                <w:lang w:val="lv-LV"/>
              </w:rPr>
              <w:t xml:space="preserve">, </w:t>
            </w:r>
            <w:r w:rsidR="00FD5323">
              <w:rPr>
                <w:bCs/>
                <w:lang w:val="lv-LV"/>
              </w:rPr>
              <w:t xml:space="preserve">jo </w:t>
            </w:r>
            <w:r w:rsidR="00576DE0">
              <w:rPr>
                <w:bCs/>
                <w:lang w:val="lv-LV"/>
              </w:rPr>
              <w:t xml:space="preserve">nav pamata aizliegt izplatīt dzīvnieku izcelsmes pārtikas produktus, ja tie iegūti </w:t>
            </w:r>
            <w:r w:rsidR="00FD5323">
              <w:rPr>
                <w:bCs/>
                <w:lang w:val="lv-LV"/>
              </w:rPr>
              <w:t xml:space="preserve">slimības </w:t>
            </w:r>
            <w:proofErr w:type="spellStart"/>
            <w:r w:rsidR="00576DE0">
              <w:rPr>
                <w:bCs/>
                <w:lang w:val="lv-LV"/>
              </w:rPr>
              <w:t>pirmsinkubācijas</w:t>
            </w:r>
            <w:proofErr w:type="spellEnd"/>
            <w:r w:rsidR="00576DE0">
              <w:rPr>
                <w:bCs/>
                <w:lang w:val="lv-LV"/>
              </w:rPr>
              <w:t xml:space="preserve"> periodā.</w:t>
            </w:r>
            <w:r w:rsidR="00DB0154" w:rsidRPr="00576DE0">
              <w:rPr>
                <w:bCs/>
                <w:lang w:val="lv-LV"/>
              </w:rPr>
              <w:t xml:space="preserve"> </w:t>
            </w:r>
          </w:p>
          <w:p w14:paraId="70D63775" w14:textId="00A05936" w:rsidR="004C1B2A" w:rsidRPr="002C0037" w:rsidRDefault="0057708F">
            <w:pPr>
              <w:jc w:val="both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>Ievērojot</w:t>
            </w:r>
            <w:r w:rsidR="002C0037" w:rsidRPr="00576DE0">
              <w:rPr>
                <w:bCs/>
                <w:lang w:val="lv-LV"/>
              </w:rPr>
              <w:t xml:space="preserve"> minēto, i</w:t>
            </w:r>
            <w:r w:rsidR="004C1B2A" w:rsidRPr="004C1B2A">
              <w:rPr>
                <w:bCs/>
                <w:lang w:val="lv-LV"/>
              </w:rPr>
              <w:t>r sagatavots Ministru kabineta noteikumu projekts „Grozījum</w:t>
            </w:r>
            <w:r w:rsidR="009D1C72">
              <w:rPr>
                <w:bCs/>
                <w:lang w:val="lv-LV"/>
              </w:rPr>
              <w:t>i</w:t>
            </w:r>
            <w:r w:rsidR="004C1B2A" w:rsidRPr="004C1B2A">
              <w:rPr>
                <w:bCs/>
                <w:lang w:val="lv-LV"/>
              </w:rPr>
              <w:t xml:space="preserve"> Ministru kabineta 2007.</w:t>
            </w:r>
            <w:r w:rsidR="00436A04">
              <w:rPr>
                <w:bCs/>
                <w:lang w:val="lv-LV"/>
              </w:rPr>
              <w:t xml:space="preserve"> </w:t>
            </w:r>
            <w:r w:rsidR="004C1B2A" w:rsidRPr="004C1B2A">
              <w:rPr>
                <w:bCs/>
                <w:lang w:val="lv-LV"/>
              </w:rPr>
              <w:t>gada 19.</w:t>
            </w:r>
            <w:r w:rsidR="00436A04">
              <w:rPr>
                <w:bCs/>
                <w:lang w:val="lv-LV"/>
              </w:rPr>
              <w:t xml:space="preserve"> </w:t>
            </w:r>
            <w:r w:rsidR="004C1B2A" w:rsidRPr="004C1B2A">
              <w:rPr>
                <w:bCs/>
                <w:lang w:val="lv-LV"/>
              </w:rPr>
              <w:t>jūnija noteikumos Nr.</w:t>
            </w:r>
            <w:r w:rsidR="00656CBE">
              <w:rPr>
                <w:bCs/>
                <w:lang w:val="lv-LV"/>
              </w:rPr>
              <w:t xml:space="preserve"> </w:t>
            </w:r>
            <w:r w:rsidR="004C1B2A" w:rsidRPr="004C1B2A">
              <w:rPr>
                <w:bCs/>
                <w:lang w:val="lv-LV"/>
              </w:rPr>
              <w:t>405 „Putnu gripas uzliesmojuma likvidēšanas un draudu novēršanas kārtība”” (turpmāk – noteikumu</w:t>
            </w:r>
            <w:r w:rsidR="002C0037">
              <w:rPr>
                <w:bCs/>
                <w:lang w:val="lv-LV"/>
              </w:rPr>
              <w:t xml:space="preserve"> projekts)</w:t>
            </w:r>
            <w:r w:rsidR="002C0037" w:rsidRPr="002C0037">
              <w:rPr>
                <w:bCs/>
                <w:lang w:val="lv-LV"/>
              </w:rPr>
              <w:t>.</w:t>
            </w:r>
            <w:r w:rsidR="004C1B2A" w:rsidRPr="002C0037">
              <w:rPr>
                <w:bCs/>
                <w:lang w:val="lv-LV"/>
              </w:rPr>
              <w:t xml:space="preserve"> </w:t>
            </w:r>
          </w:p>
        </w:tc>
      </w:tr>
      <w:tr w:rsidR="005D73DE" w:rsidRPr="009E2709" w14:paraId="66987154" w14:textId="77777777" w:rsidTr="00C21DCA">
        <w:tc>
          <w:tcPr>
            <w:tcW w:w="250" w:type="pct"/>
          </w:tcPr>
          <w:p w14:paraId="41A971A0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1C78EDA1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6640FF8B" w14:textId="77777777"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9E2709" w14:paraId="1F6F95F9" w14:textId="77777777" w:rsidTr="00C21DCA">
        <w:tc>
          <w:tcPr>
            <w:tcW w:w="250" w:type="pct"/>
          </w:tcPr>
          <w:p w14:paraId="01408AB2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241586B6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68DDC8DC" w14:textId="77777777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16D93EC9" w14:textId="77777777" w:rsidR="004D267D" w:rsidRPr="009E2709" w:rsidRDefault="004D267D">
      <w:pPr>
        <w:rPr>
          <w:lang w:val="lv-LV"/>
        </w:rPr>
      </w:pPr>
    </w:p>
    <w:tbl>
      <w:tblPr>
        <w:tblW w:w="5008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2485"/>
        <w:gridCol w:w="6038"/>
        <w:gridCol w:w="15"/>
      </w:tblGrid>
      <w:tr w:rsidR="005D73DE" w:rsidRPr="00504103" w14:paraId="6CCCB3CD" w14:textId="77777777" w:rsidTr="00371F54">
        <w:trPr>
          <w:gridAfter w:val="1"/>
          <w:wAfter w:w="8" w:type="pct"/>
        </w:trPr>
        <w:tc>
          <w:tcPr>
            <w:tcW w:w="49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69E1" w14:textId="77777777" w:rsidR="008F3459" w:rsidRPr="000F47E9" w:rsidRDefault="008F3459" w:rsidP="005D73DE">
            <w:pPr>
              <w:jc w:val="center"/>
              <w:rPr>
                <w:b/>
                <w:lang w:val="lv-LV"/>
              </w:rPr>
            </w:pPr>
            <w:r w:rsidRPr="000F47E9">
              <w:rPr>
                <w:b/>
                <w:lang w:val="lv-LV"/>
              </w:rPr>
              <w:t>II. Tiesību akta projekta ietekme uz sabiedrību</w:t>
            </w:r>
            <w:r w:rsidR="00D533EA" w:rsidRPr="000F47E9">
              <w:rPr>
                <w:b/>
                <w:lang w:val="lv-LV"/>
              </w:rPr>
              <w:t>,</w:t>
            </w:r>
            <w:r w:rsidR="00D533EA" w:rsidRPr="000F47E9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D73DE" w:rsidRPr="00504103" w14:paraId="467232C4" w14:textId="77777777" w:rsidTr="00371F54">
        <w:trPr>
          <w:gridAfter w:val="1"/>
          <w:wAfter w:w="8" w:type="pct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1AC23A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99DD33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C7B4DC" w14:textId="4BB1C90B" w:rsidR="00101E0B" w:rsidRPr="00E312B1" w:rsidRDefault="00087540">
            <w:pPr>
              <w:jc w:val="both"/>
              <w:rPr>
                <w:lang w:val="lv-LV"/>
              </w:rPr>
            </w:pPr>
            <w:r w:rsidRPr="00087540">
              <w:rPr>
                <w:lang w:val="lv-LV"/>
              </w:rPr>
              <w:t xml:space="preserve">Noteikumu projekta tiesiskais regulējums attiecas uz dzīvnieku īpašniekiem vai turētājiem, kas audzē vai tur mājputnus </w:t>
            </w:r>
            <w:r w:rsidR="0057708F">
              <w:rPr>
                <w:lang w:val="lv-LV"/>
              </w:rPr>
              <w:t xml:space="preserve">– </w:t>
            </w:r>
            <w:r w:rsidRPr="00087540">
              <w:rPr>
                <w:lang w:val="lv-LV"/>
              </w:rPr>
              <w:t>vistas, tītarus, pērļu vistiņas, zosis, pīles, paipalas, baložus, fazānus, irbes un citu</w:t>
            </w:r>
            <w:r w:rsidR="0084459B">
              <w:rPr>
                <w:lang w:val="lv-LV"/>
              </w:rPr>
              <w:t>s</w:t>
            </w:r>
            <w:r w:rsidRPr="00087540">
              <w:rPr>
                <w:lang w:val="lv-LV"/>
              </w:rPr>
              <w:t xml:space="preserve"> nožogotās platībās turētus putnus. Saskaņā ar Lauksaimniecības datu centra datiem Latvijā 2017.</w:t>
            </w:r>
            <w:r w:rsidR="00656CBE">
              <w:rPr>
                <w:lang w:val="lv-LV"/>
              </w:rPr>
              <w:t xml:space="preserve"> </w:t>
            </w:r>
            <w:r w:rsidRPr="00087540">
              <w:rPr>
                <w:lang w:val="lv-LV"/>
              </w:rPr>
              <w:t>gada 1.</w:t>
            </w:r>
            <w:r w:rsidR="00656CBE">
              <w:rPr>
                <w:lang w:val="lv-LV"/>
              </w:rPr>
              <w:t xml:space="preserve"> </w:t>
            </w:r>
            <w:r w:rsidRPr="00087540">
              <w:rPr>
                <w:lang w:val="lv-LV"/>
              </w:rPr>
              <w:t>janvārī bija reģistrētas 4367 mājputnu novietnes (mājputnu īpašnieki).</w:t>
            </w:r>
          </w:p>
        </w:tc>
      </w:tr>
      <w:tr w:rsidR="005D73DE" w:rsidRPr="009125DB" w14:paraId="6FF20122" w14:textId="77777777" w:rsidTr="00371F54">
        <w:trPr>
          <w:gridAfter w:val="1"/>
          <w:wAfter w:w="8" w:type="pct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1250B0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AE2E5B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35184C" w14:textId="7E8E2036" w:rsidR="00307454" w:rsidRPr="00E04435" w:rsidRDefault="00F97126" w:rsidP="00F97126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E7DED">
              <w:rPr>
                <w:lang w:val="lv-LV"/>
              </w:rPr>
              <w:t>rojekts šo jomu neskar.</w:t>
            </w:r>
          </w:p>
        </w:tc>
      </w:tr>
      <w:tr w:rsidR="005D73DE" w:rsidRPr="009125DB" w14:paraId="750F0813" w14:textId="77777777" w:rsidTr="00371F54">
        <w:trPr>
          <w:gridAfter w:val="1"/>
          <w:wAfter w:w="8" w:type="pct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227A47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B9B242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F87E38" w14:textId="2D76C216" w:rsidR="002C59C1" w:rsidRPr="009E2709" w:rsidRDefault="00F97126" w:rsidP="00F9712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603F7B" w:rsidRPr="00603F7B">
              <w:rPr>
                <w:lang w:val="lv-LV"/>
              </w:rPr>
              <w:t>rojekts šo jomu neskar.</w:t>
            </w:r>
          </w:p>
        </w:tc>
      </w:tr>
      <w:tr w:rsidR="005D73DE" w:rsidRPr="009E2709" w14:paraId="76DE3509" w14:textId="77777777" w:rsidTr="00371F54">
        <w:trPr>
          <w:gridAfter w:val="1"/>
          <w:wAfter w:w="8" w:type="pct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B5CA05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140B3E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0012CE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371F54" w:rsidRPr="00E5432F" w14:paraId="7B94579A" w14:textId="77777777" w:rsidTr="00371F5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5900F" w14:textId="77777777" w:rsidR="00371F54" w:rsidRPr="00E5432F" w:rsidRDefault="00371F54" w:rsidP="00E5432F">
            <w:pPr>
              <w:jc w:val="center"/>
              <w:rPr>
                <w:b/>
                <w:bCs/>
                <w:lang w:val="lv-LV" w:eastAsia="lv-LV"/>
              </w:rPr>
            </w:pPr>
            <w:r w:rsidRPr="00E5432F">
              <w:rPr>
                <w:b/>
                <w:bCs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371F54" w:rsidRPr="00E5432F" w14:paraId="46633BEE" w14:textId="77777777" w:rsidTr="00371F5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1AC14" w14:textId="77777777" w:rsidR="00371F54" w:rsidRPr="00E5432F" w:rsidRDefault="00371F54" w:rsidP="00E5432F">
            <w:pPr>
              <w:jc w:val="center"/>
              <w:rPr>
                <w:bCs/>
                <w:lang w:val="lv-LV" w:eastAsia="lv-LV"/>
              </w:rPr>
            </w:pPr>
            <w:r w:rsidRPr="00E5432F">
              <w:rPr>
                <w:bCs/>
                <w:lang w:val="lv-LV" w:eastAsia="lv-LV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371F54" w:rsidRPr="00E5432F" w14:paraId="396152D0" w14:textId="77777777" w:rsidTr="00C73375">
        <w:tc>
          <w:tcPr>
            <w:tcW w:w="9077" w:type="dxa"/>
            <w:vAlign w:val="center"/>
          </w:tcPr>
          <w:p w14:paraId="67FEE9EF" w14:textId="77777777" w:rsidR="00371F54" w:rsidRPr="00E5432F" w:rsidRDefault="00371F54" w:rsidP="00E5432F">
            <w:pPr>
              <w:jc w:val="center"/>
              <w:rPr>
                <w:b/>
                <w:bCs/>
                <w:lang w:val="lv-LV" w:eastAsia="lv-LV"/>
              </w:rPr>
            </w:pPr>
            <w:r w:rsidRPr="00E5432F">
              <w:rPr>
                <w:b/>
                <w:lang w:val="lv-LV" w:eastAsia="lv-LV"/>
              </w:rPr>
              <w:t>IV. Tiesību akta projekta ietekme uz spēkā esošo tiesību normu sistēmu</w:t>
            </w:r>
          </w:p>
        </w:tc>
      </w:tr>
      <w:tr w:rsidR="00371F54" w:rsidRPr="00E5432F" w14:paraId="146FFAC3" w14:textId="77777777" w:rsidTr="00C73375">
        <w:tc>
          <w:tcPr>
            <w:tcW w:w="9077" w:type="dxa"/>
            <w:vAlign w:val="center"/>
          </w:tcPr>
          <w:p w14:paraId="65B2B8FF" w14:textId="77777777" w:rsidR="00371F54" w:rsidRPr="00E5432F" w:rsidRDefault="00371F54" w:rsidP="00E5432F">
            <w:pPr>
              <w:jc w:val="center"/>
              <w:rPr>
                <w:lang w:val="lv-LV" w:eastAsia="lv-LV"/>
              </w:rPr>
            </w:pPr>
            <w:r w:rsidRPr="00E5432F">
              <w:rPr>
                <w:bCs/>
                <w:lang w:val="lv-LV" w:eastAsia="lv-LV"/>
              </w:rPr>
              <w:t>Projekts šo jomu neskar.</w:t>
            </w:r>
          </w:p>
        </w:tc>
      </w:tr>
    </w:tbl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9055"/>
        <w:gridCol w:w="15"/>
      </w:tblGrid>
      <w:tr w:rsidR="005D73DE" w:rsidRPr="009125DB" w14:paraId="707713FB" w14:textId="77777777" w:rsidTr="00FD5323">
        <w:trPr>
          <w:gridAfter w:val="1"/>
          <w:wAfter w:w="8" w:type="pct"/>
        </w:trPr>
        <w:tc>
          <w:tcPr>
            <w:tcW w:w="4992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6F3C270" w14:textId="77777777" w:rsidR="009E04D3" w:rsidRPr="000F47E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0F47E9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FD5323" w:rsidRPr="00734FE2" w14:paraId="66CD01D8" w14:textId="77777777" w:rsidTr="00FD5323">
        <w:trPr>
          <w:gridAfter w:val="1"/>
          <w:wAfter w:w="8" w:type="pct"/>
          <w:trHeight w:val="375"/>
        </w:trPr>
        <w:tc>
          <w:tcPr>
            <w:tcW w:w="4992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6138B1E" w14:textId="2C879BA6" w:rsidR="00FD5323" w:rsidRPr="005A2A04" w:rsidRDefault="00FD5323" w:rsidP="00FD53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9125DB" w14:paraId="16A395FB" w14:textId="77777777" w:rsidTr="00FD532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2"/>
            <w:vAlign w:val="center"/>
          </w:tcPr>
          <w:p w14:paraId="78FEACF0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14:paraId="5D3D6048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FD5323" w:rsidRPr="009E2709" w14:paraId="2C45AECC" w14:textId="77777777" w:rsidTr="00FD532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2"/>
          </w:tcPr>
          <w:p w14:paraId="2167F599" w14:textId="5D9A0C7B" w:rsidR="00FD5323" w:rsidRPr="009E2709" w:rsidRDefault="00FD5323" w:rsidP="009E2709">
            <w:pPr>
              <w:pStyle w:val="naiskr"/>
              <w:spacing w:before="0" w:beforeAutospacing="0" w:after="0" w:afterAutospacing="0"/>
              <w:jc w:val="center"/>
              <w:rPr>
                <w:b/>
                <w:bCs/>
                <w:szCs w:val="20"/>
              </w:rPr>
            </w:pPr>
            <w:r>
              <w:t>Projekts šo jomu neskar.</w:t>
            </w:r>
          </w:p>
        </w:tc>
      </w:tr>
      <w:tr w:rsidR="005D73DE" w:rsidRPr="009E2709" w14:paraId="0B30C48E" w14:textId="77777777" w:rsidTr="00FD532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2"/>
          </w:tcPr>
          <w:p w14:paraId="717E091E" w14:textId="77777777" w:rsidR="009C6B02" w:rsidRPr="009E2709" w:rsidRDefault="009C6B02" w:rsidP="009E2709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lastRenderedPageBreak/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FD5323" w:rsidRPr="009125DB" w14:paraId="02D3AB38" w14:textId="77777777" w:rsidTr="00FD532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359"/>
          <w:jc w:val="center"/>
        </w:trPr>
        <w:tc>
          <w:tcPr>
            <w:tcW w:w="4996" w:type="pct"/>
            <w:gridSpan w:val="2"/>
          </w:tcPr>
          <w:p w14:paraId="06F51282" w14:textId="1941A331" w:rsidR="00FD5323" w:rsidRPr="009E2709" w:rsidRDefault="00FD5323" w:rsidP="00FD5323">
            <w:pPr>
              <w:pStyle w:val="naiskr"/>
              <w:spacing w:before="0" w:after="0"/>
              <w:jc w:val="center"/>
            </w:pPr>
            <w:r>
              <w:t>Projekts šo jomu neskar.</w:t>
            </w:r>
          </w:p>
        </w:tc>
      </w:tr>
    </w:tbl>
    <w:p w14:paraId="00879AB6" w14:textId="77777777" w:rsidR="009E04D3" w:rsidRDefault="009E04D3" w:rsidP="005D73DE">
      <w:pPr>
        <w:rPr>
          <w:u w:val="single"/>
          <w:lang w:val="lv-LV" w:eastAsia="lv-LV"/>
        </w:rPr>
      </w:pPr>
    </w:p>
    <w:tbl>
      <w:tblPr>
        <w:tblW w:w="5000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110"/>
        <w:gridCol w:w="2544"/>
        <w:gridCol w:w="5956"/>
      </w:tblGrid>
      <w:tr w:rsidR="00457BB2" w:rsidRPr="00504103" w14:paraId="532B0A84" w14:textId="77777777" w:rsidTr="00457B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6E0CD" w14:textId="77777777" w:rsidR="00457BB2" w:rsidRPr="000F47E9" w:rsidRDefault="00457BB2" w:rsidP="001D47DA">
            <w:pPr>
              <w:jc w:val="center"/>
              <w:rPr>
                <w:b/>
                <w:bCs/>
                <w:lang w:val="lv-LV" w:eastAsia="lv-LV"/>
              </w:rPr>
            </w:pPr>
            <w:r w:rsidRPr="000F47E9">
              <w:rPr>
                <w:b/>
                <w:bCs/>
                <w:lang w:val="lv-LV" w:eastAsia="lv-LV"/>
              </w:rPr>
              <w:t xml:space="preserve">VI. Sabiedrības līdzdalība </w:t>
            </w:r>
            <w:r w:rsidRPr="000F47E9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457BB2" w:rsidRPr="009125DB" w14:paraId="18BA4D6D" w14:textId="77777777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14:paraId="353F3A81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05" w:type="pct"/>
          </w:tcPr>
          <w:p w14:paraId="55B42474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9" w:type="pct"/>
          </w:tcPr>
          <w:p w14:paraId="7AE75BD1" w14:textId="23BA1BC7" w:rsidR="00457BB2" w:rsidRPr="009E2709" w:rsidRDefault="00457BB2" w:rsidP="00576DE0">
            <w:pPr>
              <w:jc w:val="both"/>
              <w:rPr>
                <w:lang w:val="lv-LV"/>
              </w:rPr>
            </w:pPr>
            <w:r w:rsidRPr="00457BB2">
              <w:rPr>
                <w:lang w:val="lv-LV"/>
              </w:rPr>
              <w:t>Noteikumu projekts ievietots Zemkopības</w:t>
            </w:r>
            <w:r w:rsidR="003E5748">
              <w:rPr>
                <w:lang w:val="lv-LV"/>
              </w:rPr>
              <w:t xml:space="preserve"> ministrijas tīmekļa vietnē </w:t>
            </w:r>
            <w:r w:rsidR="00C8651E">
              <w:rPr>
                <w:lang w:val="lv-LV"/>
              </w:rPr>
              <w:t xml:space="preserve">no </w:t>
            </w:r>
            <w:r w:rsidR="003E5748">
              <w:rPr>
                <w:lang w:val="lv-LV"/>
              </w:rPr>
              <w:t>2017</w:t>
            </w:r>
            <w:r w:rsidRPr="00457BB2">
              <w:rPr>
                <w:lang w:val="lv-LV"/>
              </w:rPr>
              <w:t>.</w:t>
            </w:r>
            <w:r w:rsidR="003E5748">
              <w:rPr>
                <w:lang w:val="lv-LV"/>
              </w:rPr>
              <w:t xml:space="preserve"> gada </w:t>
            </w:r>
            <w:r w:rsidR="00576DE0">
              <w:rPr>
                <w:lang w:val="lv-LV"/>
              </w:rPr>
              <w:t>16</w:t>
            </w:r>
            <w:r>
              <w:rPr>
                <w:lang w:val="lv-LV"/>
              </w:rPr>
              <w:t xml:space="preserve">. </w:t>
            </w:r>
            <w:r w:rsidR="00E5432F">
              <w:rPr>
                <w:lang w:val="lv-LV"/>
              </w:rPr>
              <w:t>oktobr</w:t>
            </w:r>
            <w:r w:rsidR="00C8651E">
              <w:rPr>
                <w:lang w:val="lv-LV"/>
              </w:rPr>
              <w:t xml:space="preserve">a līdz </w:t>
            </w:r>
            <w:r w:rsidR="00576DE0">
              <w:rPr>
                <w:lang w:val="lv-LV"/>
              </w:rPr>
              <w:t>2. novembrim.</w:t>
            </w:r>
          </w:p>
        </w:tc>
      </w:tr>
      <w:tr w:rsidR="00457BB2" w:rsidRPr="00504103" w14:paraId="4AF49F98" w14:textId="77777777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14:paraId="3E3902AC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5" w:type="pct"/>
          </w:tcPr>
          <w:p w14:paraId="2C28638B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9" w:type="pct"/>
          </w:tcPr>
          <w:p w14:paraId="247F83EB" w14:textId="2E8635CC" w:rsidR="0096154A" w:rsidRPr="009E2709" w:rsidRDefault="0096154A" w:rsidP="001D47DA">
            <w:pPr>
              <w:pStyle w:val="naiskr"/>
              <w:spacing w:before="0" w:beforeAutospacing="0" w:after="0" w:afterAutospacing="0"/>
              <w:jc w:val="both"/>
            </w:pPr>
            <w:r>
              <w:t xml:space="preserve">Noteikumu projekta saskaņošana ar sociālajiem partneriem nav nepieciešama, jo </w:t>
            </w:r>
            <w:r w:rsidR="006C0ADE" w:rsidRPr="001F7EDD">
              <w:t xml:space="preserve">noteikumu projekts satur tehniskus un redakcionālus labojumus </w:t>
            </w:r>
            <w:r w:rsidR="006C0ADE" w:rsidRPr="001F7EDD">
              <w:rPr>
                <w:bCs/>
              </w:rPr>
              <w:t>noteikumos Nr. 405.</w:t>
            </w:r>
          </w:p>
        </w:tc>
      </w:tr>
      <w:tr w:rsidR="00457BB2" w:rsidRPr="009E2709" w14:paraId="793E9D59" w14:textId="77777777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14:paraId="259B602A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5" w:type="pct"/>
          </w:tcPr>
          <w:p w14:paraId="54C4EBD8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9" w:type="pct"/>
          </w:tcPr>
          <w:p w14:paraId="2198AD57" w14:textId="5E8C83F6" w:rsidR="00457BB2" w:rsidRPr="009E2709" w:rsidRDefault="006C0ADE" w:rsidP="001D47DA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proofErr w:type="spellStart"/>
            <w:r w:rsidRPr="006C0ADE">
              <w:rPr>
                <w:rFonts w:eastAsia="Arial Unicode MS"/>
                <w:lang w:val="en-GB"/>
              </w:rPr>
              <w:t>Projekts</w:t>
            </w:r>
            <w:proofErr w:type="spellEnd"/>
            <w:r w:rsidRPr="006C0ADE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6C0ADE">
              <w:rPr>
                <w:rFonts w:eastAsia="Arial Unicode MS"/>
                <w:lang w:val="en-GB"/>
              </w:rPr>
              <w:t>šo</w:t>
            </w:r>
            <w:proofErr w:type="spellEnd"/>
            <w:r w:rsidRPr="006C0ADE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6C0ADE">
              <w:rPr>
                <w:rFonts w:eastAsia="Arial Unicode MS"/>
                <w:lang w:val="en-GB"/>
              </w:rPr>
              <w:t>jomu</w:t>
            </w:r>
            <w:proofErr w:type="spellEnd"/>
            <w:r w:rsidRPr="006C0ADE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Pr="006C0ADE">
              <w:rPr>
                <w:rFonts w:eastAsia="Arial Unicode MS"/>
                <w:lang w:val="en-GB"/>
              </w:rPr>
              <w:t>neskar</w:t>
            </w:r>
            <w:proofErr w:type="spellEnd"/>
            <w:r w:rsidRPr="006C0ADE">
              <w:rPr>
                <w:rFonts w:eastAsia="Arial Unicode MS"/>
                <w:lang w:val="en-GB"/>
              </w:rPr>
              <w:t>.</w:t>
            </w:r>
          </w:p>
        </w:tc>
      </w:tr>
      <w:tr w:rsidR="00457BB2" w:rsidRPr="009E2709" w14:paraId="012A2D67" w14:textId="77777777" w:rsidTr="0045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gridSpan w:val="2"/>
          </w:tcPr>
          <w:p w14:paraId="722748C1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1405" w:type="pct"/>
          </w:tcPr>
          <w:p w14:paraId="681F03D4" w14:textId="77777777" w:rsidR="00457BB2" w:rsidRPr="009E2709" w:rsidRDefault="00457BB2" w:rsidP="001D47DA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9" w:type="pct"/>
          </w:tcPr>
          <w:p w14:paraId="08E2D5A1" w14:textId="77777777" w:rsidR="00457BB2" w:rsidRPr="009E2709" w:rsidRDefault="00457BB2" w:rsidP="001D47DA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457BB2" w14:paraId="3E93B6DA" w14:textId="77777777" w:rsidTr="00457BB2">
        <w:tc>
          <w:tcPr>
            <w:tcW w:w="49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C6677" w14:textId="77777777" w:rsidR="00A162FE" w:rsidRPr="000F47E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0F47E9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55BA03CA" w14:textId="77777777" w:rsidTr="00457BB2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AA369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BC14C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34564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9125DB" w14:paraId="59AD3971" w14:textId="77777777" w:rsidTr="00457BB2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03CF7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FAEBD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25FF6ECA" w14:textId="77777777" w:rsidR="002C46AC" w:rsidRPr="009E2709" w:rsidRDefault="00713C15" w:rsidP="004C1B2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A04F6" w14:textId="7E1B1CED" w:rsidR="005F1986" w:rsidRPr="009E2709" w:rsidRDefault="00C8651E" w:rsidP="00C8651E">
            <w:pPr>
              <w:pStyle w:val="naiskr"/>
              <w:spacing w:before="0" w:beforeAutospacing="0" w:after="0" w:afterAutospacing="0"/>
              <w:jc w:val="both"/>
            </w:pPr>
            <w:r>
              <w:t>P</w:t>
            </w:r>
            <w:r w:rsidR="001532AD">
              <w:t>rojekts šo jomu neskar.</w:t>
            </w:r>
          </w:p>
        </w:tc>
      </w:tr>
      <w:tr w:rsidR="005D73DE" w:rsidRPr="009E2709" w14:paraId="6796C013" w14:textId="77777777" w:rsidTr="00457BB2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1895A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F31B7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30229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D53895F" w14:textId="77777777" w:rsid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28C9CDA4" w14:textId="77777777" w:rsidR="004C7C51" w:rsidRPr="009E2709" w:rsidRDefault="004C7C51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60E2D508" w14:textId="7131A655" w:rsidR="00105AE2" w:rsidRPr="009E2709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9E2709">
        <w:rPr>
          <w:b w:val="0"/>
          <w:szCs w:val="28"/>
        </w:rPr>
        <w:t xml:space="preserve">Zemkopības </w:t>
      </w:r>
      <w:r w:rsidR="001532AD">
        <w:rPr>
          <w:b w:val="0"/>
          <w:szCs w:val="28"/>
        </w:rPr>
        <w:t>ministrs</w:t>
      </w:r>
      <w:r w:rsidR="00105AE2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A22819" w:rsidRPr="009E2709">
        <w:rPr>
          <w:b w:val="0"/>
          <w:szCs w:val="28"/>
        </w:rPr>
        <w:tab/>
      </w:r>
      <w:r w:rsidR="00105AE2" w:rsidRPr="009E2709">
        <w:rPr>
          <w:b w:val="0"/>
          <w:szCs w:val="28"/>
        </w:rPr>
        <w:tab/>
      </w:r>
      <w:r w:rsidR="001532AD">
        <w:rPr>
          <w:b w:val="0"/>
          <w:szCs w:val="28"/>
        </w:rPr>
        <w:t>J</w:t>
      </w:r>
      <w:r w:rsidR="00A72EFD">
        <w:rPr>
          <w:b w:val="0"/>
          <w:szCs w:val="28"/>
        </w:rPr>
        <w:t xml:space="preserve">ānis </w:t>
      </w:r>
      <w:r w:rsidR="001532AD">
        <w:rPr>
          <w:b w:val="0"/>
          <w:szCs w:val="28"/>
        </w:rPr>
        <w:t>Dūklavs</w:t>
      </w:r>
    </w:p>
    <w:p w14:paraId="7913868B" w14:textId="77777777" w:rsidR="004D267D" w:rsidRDefault="004D267D" w:rsidP="005D73DE">
      <w:pPr>
        <w:jc w:val="both"/>
        <w:rPr>
          <w:sz w:val="28"/>
          <w:lang w:val="lv-LV"/>
        </w:rPr>
      </w:pPr>
    </w:p>
    <w:p w14:paraId="59C436DF" w14:textId="77777777" w:rsidR="00504103" w:rsidRPr="00A72EFD" w:rsidRDefault="00504103" w:rsidP="005D73DE">
      <w:pPr>
        <w:jc w:val="both"/>
        <w:rPr>
          <w:sz w:val="28"/>
          <w:lang w:val="lv-LV"/>
        </w:rPr>
      </w:pPr>
    </w:p>
    <w:p w14:paraId="7D1D7F40" w14:textId="77777777" w:rsidR="004C7C51" w:rsidRDefault="00A72EFD" w:rsidP="005D73DE">
      <w:pPr>
        <w:jc w:val="both"/>
        <w:rPr>
          <w:sz w:val="28"/>
          <w:lang w:val="lv-LV"/>
        </w:rPr>
      </w:pPr>
      <w:r w:rsidRPr="00A72EFD">
        <w:rPr>
          <w:sz w:val="28"/>
          <w:lang w:val="lv-LV"/>
        </w:rPr>
        <w:tab/>
        <w:t>Zemkopības ministrijas valsts sekretāre</w:t>
      </w:r>
      <w:r w:rsidRPr="00A72EFD">
        <w:rPr>
          <w:sz w:val="28"/>
          <w:lang w:val="lv-LV"/>
        </w:rPr>
        <w:tab/>
      </w:r>
      <w:r w:rsidRPr="00A72EFD">
        <w:rPr>
          <w:sz w:val="28"/>
          <w:lang w:val="lv-LV"/>
        </w:rPr>
        <w:tab/>
      </w:r>
      <w:r w:rsidRPr="00A72EFD">
        <w:rPr>
          <w:sz w:val="28"/>
          <w:lang w:val="lv-LV"/>
        </w:rPr>
        <w:tab/>
        <w:t>Dace Lucaua</w:t>
      </w:r>
    </w:p>
    <w:p w14:paraId="6FA7A4B8" w14:textId="77777777" w:rsidR="00A72EFD" w:rsidRDefault="00A72EFD" w:rsidP="005D73DE">
      <w:pPr>
        <w:jc w:val="both"/>
        <w:rPr>
          <w:sz w:val="28"/>
          <w:lang w:val="lv-LV"/>
        </w:rPr>
      </w:pPr>
    </w:p>
    <w:p w14:paraId="0D672B65" w14:textId="77777777" w:rsidR="00A72EFD" w:rsidRDefault="00A72EFD" w:rsidP="005D73DE">
      <w:pPr>
        <w:jc w:val="both"/>
        <w:rPr>
          <w:sz w:val="28"/>
          <w:lang w:val="lv-LV"/>
        </w:rPr>
      </w:pPr>
    </w:p>
    <w:p w14:paraId="49F8819B" w14:textId="77777777" w:rsidR="00A72EFD" w:rsidRDefault="00A72EFD" w:rsidP="005D73DE">
      <w:pPr>
        <w:jc w:val="both"/>
        <w:rPr>
          <w:sz w:val="28"/>
          <w:lang w:val="lv-LV"/>
        </w:rPr>
      </w:pPr>
    </w:p>
    <w:p w14:paraId="7E7E6322" w14:textId="77777777" w:rsidR="00504103" w:rsidRDefault="00504103" w:rsidP="005D73DE">
      <w:pPr>
        <w:jc w:val="both"/>
        <w:rPr>
          <w:sz w:val="28"/>
          <w:lang w:val="lv-LV"/>
        </w:rPr>
      </w:pPr>
    </w:p>
    <w:p w14:paraId="51AE104D" w14:textId="77777777" w:rsidR="00504103" w:rsidRDefault="00504103" w:rsidP="005D73DE">
      <w:pPr>
        <w:jc w:val="both"/>
        <w:rPr>
          <w:sz w:val="28"/>
          <w:lang w:val="lv-LV"/>
        </w:rPr>
      </w:pPr>
      <w:bookmarkStart w:id="2" w:name="_GoBack"/>
      <w:bookmarkEnd w:id="2"/>
    </w:p>
    <w:p w14:paraId="31518E1A" w14:textId="77777777" w:rsidR="00504103" w:rsidRPr="00504103" w:rsidRDefault="003A7996" w:rsidP="003A7996">
      <w:pPr>
        <w:jc w:val="both"/>
        <w:rPr>
          <w:lang w:val="lv-LV"/>
        </w:rPr>
      </w:pPr>
      <w:r w:rsidRPr="00504103">
        <w:rPr>
          <w:lang w:val="lv-LV"/>
        </w:rPr>
        <w:t>Vecuma-Veco</w:t>
      </w:r>
      <w:r w:rsidR="00504103" w:rsidRPr="00504103">
        <w:rPr>
          <w:lang w:val="lv-LV"/>
        </w:rPr>
        <w:t xml:space="preserve"> 67027551</w:t>
      </w:r>
    </w:p>
    <w:p w14:paraId="73DCF4C3" w14:textId="20C540C2" w:rsidR="003A7996" w:rsidRPr="00504103" w:rsidRDefault="00504103" w:rsidP="003A7996">
      <w:pPr>
        <w:jc w:val="both"/>
        <w:rPr>
          <w:lang w:val="lv-LV"/>
        </w:rPr>
      </w:pPr>
      <w:hyperlink r:id="rId7" w:history="1">
        <w:r w:rsidR="003A7996" w:rsidRPr="00504103">
          <w:rPr>
            <w:rStyle w:val="Hipersaite"/>
            <w:lang w:val="lv-LV"/>
          </w:rPr>
          <w:t>Olita.Vecuma-Veco@zm.gov.lv</w:t>
        </w:r>
      </w:hyperlink>
    </w:p>
    <w:p w14:paraId="1C26F47D" w14:textId="77777777" w:rsidR="00A72EFD" w:rsidRDefault="00A72EFD" w:rsidP="005D73DE">
      <w:pPr>
        <w:jc w:val="both"/>
        <w:rPr>
          <w:sz w:val="28"/>
          <w:lang w:val="lv-LV"/>
        </w:rPr>
      </w:pPr>
    </w:p>
    <w:p w14:paraId="4EF56448" w14:textId="0F399A90" w:rsidR="00A72EFD" w:rsidRDefault="00A72EFD" w:rsidP="005D73DE">
      <w:pPr>
        <w:jc w:val="both"/>
        <w:rPr>
          <w:sz w:val="28"/>
          <w:lang w:val="lv-LV"/>
        </w:rPr>
      </w:pPr>
    </w:p>
    <w:sectPr w:rsidR="00A72EFD" w:rsidSect="0050410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33F9" w14:textId="77777777" w:rsidR="00913D2B" w:rsidRDefault="00913D2B">
      <w:r>
        <w:separator/>
      </w:r>
    </w:p>
  </w:endnote>
  <w:endnote w:type="continuationSeparator" w:id="0">
    <w:p w14:paraId="576650B2" w14:textId="77777777" w:rsidR="00913D2B" w:rsidRDefault="009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65C6" w14:textId="67F0D680" w:rsidR="0031149B" w:rsidRPr="00504103" w:rsidRDefault="00504103" w:rsidP="00504103">
    <w:pPr>
      <w:pStyle w:val="Kjene"/>
    </w:pPr>
    <w:r w:rsidRPr="00504103">
      <w:rPr>
        <w:rFonts w:ascii="Times New Roman" w:hAnsi="Times New Roman"/>
        <w:sz w:val="20"/>
      </w:rPr>
      <w:t>ZManot_091117_putnugripa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3D48" w14:textId="60AA600B" w:rsidR="0031149B" w:rsidRPr="00504103" w:rsidRDefault="00504103" w:rsidP="00504103">
    <w:pPr>
      <w:pStyle w:val="Kjene"/>
    </w:pPr>
    <w:r w:rsidRPr="00504103">
      <w:rPr>
        <w:rFonts w:ascii="Times New Roman" w:hAnsi="Times New Roman"/>
        <w:sz w:val="20"/>
      </w:rPr>
      <w:t>ZManot_091117_putnugripa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AAAA" w14:textId="77777777" w:rsidR="00913D2B" w:rsidRDefault="00913D2B">
      <w:r>
        <w:separator/>
      </w:r>
    </w:p>
  </w:footnote>
  <w:footnote w:type="continuationSeparator" w:id="0">
    <w:p w14:paraId="4C6BDEC2" w14:textId="77777777" w:rsidR="00913D2B" w:rsidRDefault="0091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46F5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2620BBC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41AA" w14:textId="49471963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04103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747DD8B1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D326F"/>
    <w:multiLevelType w:val="hybridMultilevel"/>
    <w:tmpl w:val="728E3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3E75"/>
    <w:rsid w:val="00004B99"/>
    <w:rsid w:val="00004DF0"/>
    <w:rsid w:val="00005589"/>
    <w:rsid w:val="00011500"/>
    <w:rsid w:val="0001274B"/>
    <w:rsid w:val="00012769"/>
    <w:rsid w:val="000147B2"/>
    <w:rsid w:val="00015A39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EE5"/>
    <w:rsid w:val="000463AC"/>
    <w:rsid w:val="00046472"/>
    <w:rsid w:val="00054536"/>
    <w:rsid w:val="00056991"/>
    <w:rsid w:val="00057FBC"/>
    <w:rsid w:val="00064002"/>
    <w:rsid w:val="0006719B"/>
    <w:rsid w:val="00072310"/>
    <w:rsid w:val="0007255F"/>
    <w:rsid w:val="00072622"/>
    <w:rsid w:val="00074423"/>
    <w:rsid w:val="000744AE"/>
    <w:rsid w:val="00074D2A"/>
    <w:rsid w:val="0007562F"/>
    <w:rsid w:val="00075C44"/>
    <w:rsid w:val="00076381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87540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47E9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E4A"/>
    <w:rsid w:val="0011310D"/>
    <w:rsid w:val="0011601E"/>
    <w:rsid w:val="00116784"/>
    <w:rsid w:val="001177FE"/>
    <w:rsid w:val="001178E3"/>
    <w:rsid w:val="00122B9A"/>
    <w:rsid w:val="001304F1"/>
    <w:rsid w:val="001306C1"/>
    <w:rsid w:val="0013088C"/>
    <w:rsid w:val="001316FA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201"/>
    <w:rsid w:val="00150011"/>
    <w:rsid w:val="0015254E"/>
    <w:rsid w:val="001532AD"/>
    <w:rsid w:val="00153C68"/>
    <w:rsid w:val="0015551E"/>
    <w:rsid w:val="0015592C"/>
    <w:rsid w:val="00155B89"/>
    <w:rsid w:val="001608F4"/>
    <w:rsid w:val="0016266C"/>
    <w:rsid w:val="00162E14"/>
    <w:rsid w:val="00164B42"/>
    <w:rsid w:val="00164C6B"/>
    <w:rsid w:val="001663CF"/>
    <w:rsid w:val="001665DD"/>
    <w:rsid w:val="00170801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EDD"/>
    <w:rsid w:val="00200B32"/>
    <w:rsid w:val="002027AF"/>
    <w:rsid w:val="00203134"/>
    <w:rsid w:val="002043DB"/>
    <w:rsid w:val="00205C1E"/>
    <w:rsid w:val="0020639A"/>
    <w:rsid w:val="00210E44"/>
    <w:rsid w:val="00212025"/>
    <w:rsid w:val="0021306B"/>
    <w:rsid w:val="0021364F"/>
    <w:rsid w:val="002171EB"/>
    <w:rsid w:val="00221C75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07EA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09E0"/>
    <w:rsid w:val="00281011"/>
    <w:rsid w:val="00281E8A"/>
    <w:rsid w:val="00282F68"/>
    <w:rsid w:val="00283977"/>
    <w:rsid w:val="002849D1"/>
    <w:rsid w:val="00286469"/>
    <w:rsid w:val="0029114F"/>
    <w:rsid w:val="002915A2"/>
    <w:rsid w:val="00294063"/>
    <w:rsid w:val="0029410D"/>
    <w:rsid w:val="00294367"/>
    <w:rsid w:val="0029700C"/>
    <w:rsid w:val="00297244"/>
    <w:rsid w:val="002979F1"/>
    <w:rsid w:val="002A096C"/>
    <w:rsid w:val="002A16EB"/>
    <w:rsid w:val="002A227F"/>
    <w:rsid w:val="002A46BA"/>
    <w:rsid w:val="002A6487"/>
    <w:rsid w:val="002A7CB6"/>
    <w:rsid w:val="002B1905"/>
    <w:rsid w:val="002B24A9"/>
    <w:rsid w:val="002B3D70"/>
    <w:rsid w:val="002B4F76"/>
    <w:rsid w:val="002B7CF9"/>
    <w:rsid w:val="002B7F1D"/>
    <w:rsid w:val="002C0037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3F4F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3410"/>
    <w:rsid w:val="0032382E"/>
    <w:rsid w:val="00326D8C"/>
    <w:rsid w:val="003309B4"/>
    <w:rsid w:val="0033350D"/>
    <w:rsid w:val="00333737"/>
    <w:rsid w:val="003352D4"/>
    <w:rsid w:val="003353AA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1E3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1F54"/>
    <w:rsid w:val="00373332"/>
    <w:rsid w:val="003737CD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A7996"/>
    <w:rsid w:val="003B4687"/>
    <w:rsid w:val="003B6C47"/>
    <w:rsid w:val="003C1714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1930"/>
    <w:rsid w:val="003E1A05"/>
    <w:rsid w:val="003E36E3"/>
    <w:rsid w:val="003E42F6"/>
    <w:rsid w:val="003E5748"/>
    <w:rsid w:val="003E745F"/>
    <w:rsid w:val="003F02D7"/>
    <w:rsid w:val="003F1B23"/>
    <w:rsid w:val="003F21DA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64CA"/>
    <w:rsid w:val="0041773E"/>
    <w:rsid w:val="004208C4"/>
    <w:rsid w:val="00421107"/>
    <w:rsid w:val="00421F53"/>
    <w:rsid w:val="0042214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6A04"/>
    <w:rsid w:val="00437C04"/>
    <w:rsid w:val="004412D9"/>
    <w:rsid w:val="00443182"/>
    <w:rsid w:val="0044545F"/>
    <w:rsid w:val="004477F4"/>
    <w:rsid w:val="00453031"/>
    <w:rsid w:val="00454E19"/>
    <w:rsid w:val="00457BB2"/>
    <w:rsid w:val="00457FF3"/>
    <w:rsid w:val="00460952"/>
    <w:rsid w:val="00461A70"/>
    <w:rsid w:val="0046268C"/>
    <w:rsid w:val="0046446B"/>
    <w:rsid w:val="004645B8"/>
    <w:rsid w:val="00464F3F"/>
    <w:rsid w:val="00467D17"/>
    <w:rsid w:val="00467FF3"/>
    <w:rsid w:val="004706C4"/>
    <w:rsid w:val="004727CF"/>
    <w:rsid w:val="00473AB2"/>
    <w:rsid w:val="00473DBB"/>
    <w:rsid w:val="00474A28"/>
    <w:rsid w:val="004751A0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865"/>
    <w:rsid w:val="00490A06"/>
    <w:rsid w:val="0049221B"/>
    <w:rsid w:val="0049485B"/>
    <w:rsid w:val="00497E35"/>
    <w:rsid w:val="004A1091"/>
    <w:rsid w:val="004A19ED"/>
    <w:rsid w:val="004A4BC4"/>
    <w:rsid w:val="004A54FF"/>
    <w:rsid w:val="004A614D"/>
    <w:rsid w:val="004A62E4"/>
    <w:rsid w:val="004A7293"/>
    <w:rsid w:val="004B0C51"/>
    <w:rsid w:val="004B3171"/>
    <w:rsid w:val="004B55B6"/>
    <w:rsid w:val="004B6F89"/>
    <w:rsid w:val="004B7338"/>
    <w:rsid w:val="004C07F8"/>
    <w:rsid w:val="004C1820"/>
    <w:rsid w:val="004C1B2A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E0F9E"/>
    <w:rsid w:val="004E1B41"/>
    <w:rsid w:val="004E202E"/>
    <w:rsid w:val="004E4242"/>
    <w:rsid w:val="004E78C9"/>
    <w:rsid w:val="004F158A"/>
    <w:rsid w:val="004F1BDB"/>
    <w:rsid w:val="004F2EFC"/>
    <w:rsid w:val="004F407F"/>
    <w:rsid w:val="0050091A"/>
    <w:rsid w:val="005038E6"/>
    <w:rsid w:val="00503972"/>
    <w:rsid w:val="00504103"/>
    <w:rsid w:val="005048A0"/>
    <w:rsid w:val="00504D62"/>
    <w:rsid w:val="00505064"/>
    <w:rsid w:val="00506458"/>
    <w:rsid w:val="00506F16"/>
    <w:rsid w:val="005077CF"/>
    <w:rsid w:val="00507A3B"/>
    <w:rsid w:val="00507E40"/>
    <w:rsid w:val="0051051E"/>
    <w:rsid w:val="00512A7E"/>
    <w:rsid w:val="0051661B"/>
    <w:rsid w:val="00517314"/>
    <w:rsid w:val="005174AF"/>
    <w:rsid w:val="005206CF"/>
    <w:rsid w:val="00521C50"/>
    <w:rsid w:val="0052640F"/>
    <w:rsid w:val="00526F5F"/>
    <w:rsid w:val="00532F5F"/>
    <w:rsid w:val="0053351C"/>
    <w:rsid w:val="0053460D"/>
    <w:rsid w:val="0053651B"/>
    <w:rsid w:val="00537316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7B70"/>
    <w:rsid w:val="00570BD3"/>
    <w:rsid w:val="00571E48"/>
    <w:rsid w:val="00572BC9"/>
    <w:rsid w:val="0057449E"/>
    <w:rsid w:val="00575B15"/>
    <w:rsid w:val="00576DE0"/>
    <w:rsid w:val="0057708F"/>
    <w:rsid w:val="00581A16"/>
    <w:rsid w:val="005820CE"/>
    <w:rsid w:val="00583FA0"/>
    <w:rsid w:val="00584C4B"/>
    <w:rsid w:val="005858F2"/>
    <w:rsid w:val="00585BD7"/>
    <w:rsid w:val="00585EF5"/>
    <w:rsid w:val="00587A37"/>
    <w:rsid w:val="00590B90"/>
    <w:rsid w:val="00591B88"/>
    <w:rsid w:val="005A061F"/>
    <w:rsid w:val="005A0978"/>
    <w:rsid w:val="005A2A04"/>
    <w:rsid w:val="005A3B29"/>
    <w:rsid w:val="005A6AF8"/>
    <w:rsid w:val="005A71C2"/>
    <w:rsid w:val="005A73F3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1986"/>
    <w:rsid w:val="005F548A"/>
    <w:rsid w:val="005F571F"/>
    <w:rsid w:val="00602628"/>
    <w:rsid w:val="00603F7B"/>
    <w:rsid w:val="00604DA3"/>
    <w:rsid w:val="006127BC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28E"/>
    <w:rsid w:val="00631891"/>
    <w:rsid w:val="00633C24"/>
    <w:rsid w:val="00634084"/>
    <w:rsid w:val="006342C4"/>
    <w:rsid w:val="006345D8"/>
    <w:rsid w:val="00634701"/>
    <w:rsid w:val="00637747"/>
    <w:rsid w:val="0063784C"/>
    <w:rsid w:val="00637DC1"/>
    <w:rsid w:val="006409CE"/>
    <w:rsid w:val="0064573A"/>
    <w:rsid w:val="00645761"/>
    <w:rsid w:val="00651925"/>
    <w:rsid w:val="00653B58"/>
    <w:rsid w:val="00653C1C"/>
    <w:rsid w:val="00654998"/>
    <w:rsid w:val="00655ACE"/>
    <w:rsid w:val="00655BA4"/>
    <w:rsid w:val="00655EBB"/>
    <w:rsid w:val="00656C23"/>
    <w:rsid w:val="00656CBE"/>
    <w:rsid w:val="00657962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7712"/>
    <w:rsid w:val="00680B20"/>
    <w:rsid w:val="00680E5A"/>
    <w:rsid w:val="0068171E"/>
    <w:rsid w:val="00681AA8"/>
    <w:rsid w:val="00683A17"/>
    <w:rsid w:val="00683E47"/>
    <w:rsid w:val="00684DF8"/>
    <w:rsid w:val="0069043D"/>
    <w:rsid w:val="00691CB0"/>
    <w:rsid w:val="0069612C"/>
    <w:rsid w:val="00696562"/>
    <w:rsid w:val="0069686F"/>
    <w:rsid w:val="006A073E"/>
    <w:rsid w:val="006A1F3F"/>
    <w:rsid w:val="006A29A5"/>
    <w:rsid w:val="006A3082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4629"/>
    <w:rsid w:val="006B574E"/>
    <w:rsid w:val="006B581B"/>
    <w:rsid w:val="006B6730"/>
    <w:rsid w:val="006B7B67"/>
    <w:rsid w:val="006B7EA9"/>
    <w:rsid w:val="006C0110"/>
    <w:rsid w:val="006C0A3A"/>
    <w:rsid w:val="006C0ADE"/>
    <w:rsid w:val="006C172A"/>
    <w:rsid w:val="006C21FF"/>
    <w:rsid w:val="006C34C4"/>
    <w:rsid w:val="006C6551"/>
    <w:rsid w:val="006C668A"/>
    <w:rsid w:val="006D02E2"/>
    <w:rsid w:val="006D1AD8"/>
    <w:rsid w:val="006D2E74"/>
    <w:rsid w:val="006D42DC"/>
    <w:rsid w:val="006D4AD9"/>
    <w:rsid w:val="006D5174"/>
    <w:rsid w:val="006D5E50"/>
    <w:rsid w:val="006E0585"/>
    <w:rsid w:val="006E3915"/>
    <w:rsid w:val="006E4A20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4FE2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80D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C1935"/>
    <w:rsid w:val="007C274E"/>
    <w:rsid w:val="007C3E31"/>
    <w:rsid w:val="007C4B74"/>
    <w:rsid w:val="007C77C6"/>
    <w:rsid w:val="007D0664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7D05"/>
    <w:rsid w:val="00801836"/>
    <w:rsid w:val="00801D1A"/>
    <w:rsid w:val="00805453"/>
    <w:rsid w:val="00807460"/>
    <w:rsid w:val="00810D6E"/>
    <w:rsid w:val="00810FD8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459B"/>
    <w:rsid w:val="0084563D"/>
    <w:rsid w:val="00846711"/>
    <w:rsid w:val="00846D58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0116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33A9"/>
    <w:rsid w:val="008A4B6E"/>
    <w:rsid w:val="008A54A5"/>
    <w:rsid w:val="008B07A1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36E0"/>
    <w:rsid w:val="009125DB"/>
    <w:rsid w:val="0091356D"/>
    <w:rsid w:val="00913D2B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084E"/>
    <w:rsid w:val="00951A15"/>
    <w:rsid w:val="00952E78"/>
    <w:rsid w:val="00953D50"/>
    <w:rsid w:val="00957F30"/>
    <w:rsid w:val="0096030D"/>
    <w:rsid w:val="0096154A"/>
    <w:rsid w:val="00961F3C"/>
    <w:rsid w:val="00962D0E"/>
    <w:rsid w:val="00962D51"/>
    <w:rsid w:val="00965105"/>
    <w:rsid w:val="00965989"/>
    <w:rsid w:val="00965F99"/>
    <w:rsid w:val="00967B46"/>
    <w:rsid w:val="00970789"/>
    <w:rsid w:val="0097195C"/>
    <w:rsid w:val="00975D4C"/>
    <w:rsid w:val="009816F5"/>
    <w:rsid w:val="00982973"/>
    <w:rsid w:val="0098399E"/>
    <w:rsid w:val="00983B1F"/>
    <w:rsid w:val="00985B95"/>
    <w:rsid w:val="0099066A"/>
    <w:rsid w:val="0099390A"/>
    <w:rsid w:val="00996A3D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61C1"/>
    <w:rsid w:val="009C6B02"/>
    <w:rsid w:val="009C7611"/>
    <w:rsid w:val="009C7745"/>
    <w:rsid w:val="009D0D27"/>
    <w:rsid w:val="009D1C72"/>
    <w:rsid w:val="009D2A06"/>
    <w:rsid w:val="009D379B"/>
    <w:rsid w:val="009D3A54"/>
    <w:rsid w:val="009D6967"/>
    <w:rsid w:val="009E04D3"/>
    <w:rsid w:val="009E1934"/>
    <w:rsid w:val="009E2709"/>
    <w:rsid w:val="009E4C1C"/>
    <w:rsid w:val="009E76E9"/>
    <w:rsid w:val="009F3D1F"/>
    <w:rsid w:val="009F4C7E"/>
    <w:rsid w:val="009F5B68"/>
    <w:rsid w:val="00A0091D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2EF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223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1735"/>
    <w:rsid w:val="00AF66A5"/>
    <w:rsid w:val="00AF7992"/>
    <w:rsid w:val="00B00ADB"/>
    <w:rsid w:val="00B01566"/>
    <w:rsid w:val="00B02802"/>
    <w:rsid w:val="00B02ED1"/>
    <w:rsid w:val="00B03835"/>
    <w:rsid w:val="00B04412"/>
    <w:rsid w:val="00B05949"/>
    <w:rsid w:val="00B07312"/>
    <w:rsid w:val="00B14407"/>
    <w:rsid w:val="00B158D4"/>
    <w:rsid w:val="00B226E6"/>
    <w:rsid w:val="00B2516E"/>
    <w:rsid w:val="00B25C20"/>
    <w:rsid w:val="00B26C16"/>
    <w:rsid w:val="00B26E52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EA8"/>
    <w:rsid w:val="00B6023B"/>
    <w:rsid w:val="00B61C51"/>
    <w:rsid w:val="00B61E57"/>
    <w:rsid w:val="00B63B5F"/>
    <w:rsid w:val="00B64C44"/>
    <w:rsid w:val="00B64EEF"/>
    <w:rsid w:val="00B65FEE"/>
    <w:rsid w:val="00B66D04"/>
    <w:rsid w:val="00B67002"/>
    <w:rsid w:val="00B71D8C"/>
    <w:rsid w:val="00B736F5"/>
    <w:rsid w:val="00B75F5C"/>
    <w:rsid w:val="00B77BE8"/>
    <w:rsid w:val="00B829FB"/>
    <w:rsid w:val="00B82F71"/>
    <w:rsid w:val="00B83230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513C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3ED7"/>
    <w:rsid w:val="00BE4408"/>
    <w:rsid w:val="00BE594B"/>
    <w:rsid w:val="00BE7DED"/>
    <w:rsid w:val="00BE7E71"/>
    <w:rsid w:val="00BF0AB8"/>
    <w:rsid w:val="00BF407A"/>
    <w:rsid w:val="00BF49C9"/>
    <w:rsid w:val="00BF50BA"/>
    <w:rsid w:val="00C018B4"/>
    <w:rsid w:val="00C01D97"/>
    <w:rsid w:val="00C0292C"/>
    <w:rsid w:val="00C03D98"/>
    <w:rsid w:val="00C05396"/>
    <w:rsid w:val="00C07314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15931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508F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0DED"/>
    <w:rsid w:val="00C71547"/>
    <w:rsid w:val="00C715FC"/>
    <w:rsid w:val="00C7191B"/>
    <w:rsid w:val="00C7250C"/>
    <w:rsid w:val="00C727B6"/>
    <w:rsid w:val="00C73837"/>
    <w:rsid w:val="00C76CD0"/>
    <w:rsid w:val="00C8651E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867"/>
    <w:rsid w:val="00CC5A4B"/>
    <w:rsid w:val="00CC6D1C"/>
    <w:rsid w:val="00CC709B"/>
    <w:rsid w:val="00CD02E8"/>
    <w:rsid w:val="00CD3C3D"/>
    <w:rsid w:val="00CD4E19"/>
    <w:rsid w:val="00CD5AA6"/>
    <w:rsid w:val="00CD5C37"/>
    <w:rsid w:val="00CE01BE"/>
    <w:rsid w:val="00CE1C82"/>
    <w:rsid w:val="00CE2A89"/>
    <w:rsid w:val="00CE3027"/>
    <w:rsid w:val="00CE3EF3"/>
    <w:rsid w:val="00CE4DA8"/>
    <w:rsid w:val="00CE6072"/>
    <w:rsid w:val="00CE6F05"/>
    <w:rsid w:val="00CF2337"/>
    <w:rsid w:val="00CF32C2"/>
    <w:rsid w:val="00D005C1"/>
    <w:rsid w:val="00D0116A"/>
    <w:rsid w:val="00D016CE"/>
    <w:rsid w:val="00D026C2"/>
    <w:rsid w:val="00D03D95"/>
    <w:rsid w:val="00D042D0"/>
    <w:rsid w:val="00D062E2"/>
    <w:rsid w:val="00D069FC"/>
    <w:rsid w:val="00D073A2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325"/>
    <w:rsid w:val="00D31E5B"/>
    <w:rsid w:val="00D32FFA"/>
    <w:rsid w:val="00D34862"/>
    <w:rsid w:val="00D37002"/>
    <w:rsid w:val="00D45515"/>
    <w:rsid w:val="00D50196"/>
    <w:rsid w:val="00D509B4"/>
    <w:rsid w:val="00D52BB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A209D"/>
    <w:rsid w:val="00DB0154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5642"/>
    <w:rsid w:val="00DD60C1"/>
    <w:rsid w:val="00DD7EA0"/>
    <w:rsid w:val="00DE0C6C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1CE6"/>
    <w:rsid w:val="00E1289A"/>
    <w:rsid w:val="00E14CDF"/>
    <w:rsid w:val="00E2125C"/>
    <w:rsid w:val="00E212B0"/>
    <w:rsid w:val="00E2273F"/>
    <w:rsid w:val="00E22EFF"/>
    <w:rsid w:val="00E312B1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432F"/>
    <w:rsid w:val="00E56B01"/>
    <w:rsid w:val="00E57F7B"/>
    <w:rsid w:val="00E61540"/>
    <w:rsid w:val="00E61761"/>
    <w:rsid w:val="00E61AD5"/>
    <w:rsid w:val="00E63114"/>
    <w:rsid w:val="00E664C7"/>
    <w:rsid w:val="00E666F4"/>
    <w:rsid w:val="00E677AB"/>
    <w:rsid w:val="00E73750"/>
    <w:rsid w:val="00E738B3"/>
    <w:rsid w:val="00E77B06"/>
    <w:rsid w:val="00E800E6"/>
    <w:rsid w:val="00E81221"/>
    <w:rsid w:val="00E82751"/>
    <w:rsid w:val="00E850A5"/>
    <w:rsid w:val="00E85136"/>
    <w:rsid w:val="00E8584F"/>
    <w:rsid w:val="00E900CF"/>
    <w:rsid w:val="00E90845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F22FA"/>
    <w:rsid w:val="00EF3C41"/>
    <w:rsid w:val="00EF74B6"/>
    <w:rsid w:val="00EF7A30"/>
    <w:rsid w:val="00F01AFC"/>
    <w:rsid w:val="00F040F5"/>
    <w:rsid w:val="00F0454C"/>
    <w:rsid w:val="00F10386"/>
    <w:rsid w:val="00F10CA9"/>
    <w:rsid w:val="00F13546"/>
    <w:rsid w:val="00F15953"/>
    <w:rsid w:val="00F15B4A"/>
    <w:rsid w:val="00F17899"/>
    <w:rsid w:val="00F20442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E2D"/>
    <w:rsid w:val="00F67FA1"/>
    <w:rsid w:val="00F72140"/>
    <w:rsid w:val="00F72274"/>
    <w:rsid w:val="00F758A4"/>
    <w:rsid w:val="00F776DA"/>
    <w:rsid w:val="00F80754"/>
    <w:rsid w:val="00F80D92"/>
    <w:rsid w:val="00F81EFA"/>
    <w:rsid w:val="00F83BA3"/>
    <w:rsid w:val="00F8738D"/>
    <w:rsid w:val="00F902F6"/>
    <w:rsid w:val="00F9180B"/>
    <w:rsid w:val="00F924E2"/>
    <w:rsid w:val="00F9508D"/>
    <w:rsid w:val="00F9556A"/>
    <w:rsid w:val="00F959A2"/>
    <w:rsid w:val="00F95C7C"/>
    <w:rsid w:val="00F97126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DFB"/>
    <w:rsid w:val="00FB12AC"/>
    <w:rsid w:val="00FB20CF"/>
    <w:rsid w:val="00FB3C56"/>
    <w:rsid w:val="00FB47B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5323"/>
    <w:rsid w:val="00FD61A0"/>
    <w:rsid w:val="00FE13C3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720537"/>
  <w15:docId w15:val="{256EE91F-A1D3-4298-B911-CE4F036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05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68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06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485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2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77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0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</dc:title>
  <dc:subject>MK noteikumu projekta anotācija</dc:subject>
  <dc:creator>Olita Vecuma-Veco</dc:creator>
  <dc:description>Vecuma-Veco 67027551_x000d_
Olita.Vecuma-Veco@zm.gov.lv</dc:description>
  <cp:lastModifiedBy>Sanita Žagare</cp:lastModifiedBy>
  <cp:revision>3</cp:revision>
  <cp:lastPrinted>2010-10-15T13:18:00Z</cp:lastPrinted>
  <dcterms:created xsi:type="dcterms:W3CDTF">2017-11-09T10:45:00Z</dcterms:created>
  <dcterms:modified xsi:type="dcterms:W3CDTF">2017-11-09T10:55:00Z</dcterms:modified>
</cp:coreProperties>
</file>