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06" w:rsidRPr="005F2F4F" w:rsidRDefault="00134406" w:rsidP="00134406">
      <w:pPr>
        <w:jc w:val="center"/>
        <w:rPr>
          <w:b/>
          <w:bCs/>
          <w:sz w:val="28"/>
          <w:szCs w:val="28"/>
        </w:rPr>
      </w:pPr>
      <w:r w:rsidRPr="005F2F4F">
        <w:rPr>
          <w:b/>
          <w:sz w:val="28"/>
          <w:szCs w:val="28"/>
        </w:rPr>
        <w:t>Ministru kabineta rīkojuma projekta „Par finanšu līdzekļu piešķiršanu no valsts pamatbudžeta programmas „Līdzekļi neparedzētiem gadījumiem””</w:t>
      </w:r>
    </w:p>
    <w:p w:rsidR="00134406" w:rsidRPr="005F2F4F" w:rsidRDefault="00134406" w:rsidP="00134406">
      <w:pPr>
        <w:jc w:val="center"/>
        <w:rPr>
          <w:b/>
          <w:bCs/>
          <w:sz w:val="28"/>
          <w:szCs w:val="28"/>
        </w:rPr>
      </w:pPr>
      <w:r w:rsidRPr="005F2F4F">
        <w:rPr>
          <w:b/>
          <w:bCs/>
          <w:sz w:val="28"/>
          <w:szCs w:val="28"/>
        </w:rPr>
        <w:t>sākotnējās ietekmes novērtējuma ziņojums (anotācija)</w:t>
      </w:r>
    </w:p>
    <w:p w:rsidR="00134406" w:rsidRPr="00D65792" w:rsidRDefault="00134406" w:rsidP="00134406"/>
    <w:tbl>
      <w:tblPr>
        <w:tblStyle w:val="Reatabula"/>
        <w:tblW w:w="9351" w:type="dxa"/>
        <w:tblLook w:val="04A0" w:firstRow="1" w:lastRow="0" w:firstColumn="1" w:lastColumn="0" w:noHBand="0" w:noVBand="1"/>
      </w:tblPr>
      <w:tblGrid>
        <w:gridCol w:w="802"/>
        <w:gridCol w:w="2238"/>
        <w:gridCol w:w="6311"/>
      </w:tblGrid>
      <w:tr w:rsidR="00134406" w:rsidRPr="00D65792" w:rsidTr="006E6431">
        <w:tc>
          <w:tcPr>
            <w:tcW w:w="9351" w:type="dxa"/>
            <w:gridSpan w:val="3"/>
          </w:tcPr>
          <w:p w:rsidR="00134406" w:rsidRPr="00D65792" w:rsidRDefault="00134406" w:rsidP="006E6431">
            <w:pPr>
              <w:jc w:val="center"/>
              <w:rPr>
                <w:b/>
              </w:rPr>
            </w:pPr>
            <w:r w:rsidRPr="00D65792">
              <w:rPr>
                <w:b/>
              </w:rPr>
              <w:t>I. Tiesību akta projekta izstrādes nepieciešamība</w:t>
            </w:r>
          </w:p>
        </w:tc>
      </w:tr>
      <w:tr w:rsidR="00134406" w:rsidRPr="00D65792" w:rsidTr="006E6431">
        <w:tc>
          <w:tcPr>
            <w:tcW w:w="802" w:type="dxa"/>
          </w:tcPr>
          <w:p w:rsidR="00134406" w:rsidRPr="00D65792" w:rsidRDefault="00134406" w:rsidP="006E6431">
            <w:r w:rsidRPr="00D65792">
              <w:t>1.</w:t>
            </w:r>
          </w:p>
        </w:tc>
        <w:tc>
          <w:tcPr>
            <w:tcW w:w="2238" w:type="dxa"/>
          </w:tcPr>
          <w:p w:rsidR="00134406" w:rsidRPr="00D65792" w:rsidRDefault="00134406" w:rsidP="006E6431">
            <w:r w:rsidRPr="00D65792">
              <w:t>Pamatojums</w:t>
            </w:r>
          </w:p>
        </w:tc>
        <w:tc>
          <w:tcPr>
            <w:tcW w:w="6311" w:type="dxa"/>
          </w:tcPr>
          <w:p w:rsidR="00134406" w:rsidRPr="00D65792" w:rsidRDefault="00134406" w:rsidP="006E6431">
            <w:pPr>
              <w:jc w:val="both"/>
            </w:pPr>
            <w:r w:rsidRPr="00D65792">
              <w:t>Veterinārmedicīnas likuma 35.</w:t>
            </w:r>
            <w:r>
              <w:t xml:space="preserve"> </w:t>
            </w:r>
            <w:r w:rsidRPr="00D65792">
              <w:t>panta pirmā daļa.</w:t>
            </w:r>
          </w:p>
          <w:p w:rsidR="00134406" w:rsidRPr="00D65792" w:rsidRDefault="00134406" w:rsidP="006E6431">
            <w:pPr>
              <w:jc w:val="both"/>
            </w:pPr>
            <w:r w:rsidRPr="00D65792">
              <w:t>Ministru kabineta 2009.</w:t>
            </w:r>
            <w:r>
              <w:t xml:space="preserve"> </w:t>
            </w:r>
            <w:r w:rsidRPr="00D65792">
              <w:t>gada 22.</w:t>
            </w:r>
            <w:r>
              <w:t xml:space="preserve"> </w:t>
            </w:r>
            <w:r w:rsidRPr="00D65792">
              <w:t>decembra noteikumu Nr.1644 „Kārtība, kādā pieprasa un izlieto budžeta programmas „Līdzekļi neparedzētiem gadījumiem” līdzekļus” (turpmāk – noteikumi Nr.1644) 2.punkts un Ministru kabineta 2005.</w:t>
            </w:r>
            <w:r>
              <w:t xml:space="preserve"> </w:t>
            </w:r>
            <w:r w:rsidRPr="00D65792">
              <w:t>gada 15.</w:t>
            </w:r>
            <w:r>
              <w:t xml:space="preserve"> </w:t>
            </w:r>
            <w:r w:rsidRPr="00D65792">
              <w:t xml:space="preserve">marta noteikumi Nr.177 „Kārtība, kādā piešķir un dzīvnieku īpašnieks saņem kompensāciju par zaudējumiem, kas radušies valsts uzraudzībā esošās dzīvnieku infekcijas slimības vai epizootijas uzliesmojuma laikā” (turpmāk – noteikumi Nr.177). </w:t>
            </w:r>
          </w:p>
        </w:tc>
      </w:tr>
      <w:tr w:rsidR="00134406" w:rsidRPr="00D65792" w:rsidTr="006E6431">
        <w:tc>
          <w:tcPr>
            <w:tcW w:w="802" w:type="dxa"/>
          </w:tcPr>
          <w:p w:rsidR="00134406" w:rsidRPr="00D65792" w:rsidRDefault="00134406" w:rsidP="006E6431">
            <w:r w:rsidRPr="00D65792">
              <w:t>2.</w:t>
            </w:r>
          </w:p>
        </w:tc>
        <w:tc>
          <w:tcPr>
            <w:tcW w:w="2238" w:type="dxa"/>
          </w:tcPr>
          <w:p w:rsidR="00134406" w:rsidRPr="00D65792" w:rsidRDefault="00134406" w:rsidP="006E6431">
            <w:pPr>
              <w:jc w:val="both"/>
            </w:pPr>
            <w:r w:rsidRPr="00D65792">
              <w:t>Pašreizējā situācija un problēmas, kuru risināšanai tiesību akta projekts izstrādāts, tiesiskā regulējuma mērķis un būtība</w:t>
            </w:r>
          </w:p>
        </w:tc>
        <w:tc>
          <w:tcPr>
            <w:tcW w:w="6311" w:type="dxa"/>
          </w:tcPr>
          <w:p w:rsidR="00134406" w:rsidRPr="00D65792" w:rsidRDefault="00134406" w:rsidP="006E6431">
            <w:pPr>
              <w:pStyle w:val="Bezatstarpm"/>
              <w:jc w:val="both"/>
            </w:pPr>
            <w:r w:rsidRPr="00D65792">
              <w:t xml:space="preserve">Veterinārmedicīnas likuma </w:t>
            </w:r>
            <w:r w:rsidRPr="00D65792">
              <w:rPr>
                <w:bCs/>
              </w:rPr>
              <w:t>35.</w:t>
            </w:r>
            <w:r>
              <w:rPr>
                <w:bCs/>
              </w:rPr>
              <w:t xml:space="preserve"> </w:t>
            </w:r>
            <w:r w:rsidRPr="00D65792">
              <w:rPr>
                <w:bCs/>
              </w:rPr>
              <w:t>panta pirmās daļas 1.punktā ir noteikts, ka d</w:t>
            </w:r>
            <w:r w:rsidRPr="00D65792">
              <w:t xml:space="preserve">zīvnieku īpašniekam ir tiesības saņemt zaudējumu kompensāciju par epizootijas uzliesmojuma apkarošanas laikā slimības apkarošanas dēļ nokautajiem vai nogalinātajiem dzīvniekiem. </w:t>
            </w:r>
          </w:p>
          <w:p w:rsidR="00134406" w:rsidRDefault="00134406" w:rsidP="006E6431">
            <w:pPr>
              <w:pStyle w:val="Bezatstarpm"/>
              <w:jc w:val="both"/>
            </w:pPr>
            <w:r w:rsidRPr="00D65792">
              <w:t xml:space="preserve">Noteikumi Nr.177 nosaka kārtību, kādā piešķir un dzīvnieku īpašnieks saņem kompensāciju par zaudējumiem, kas radušies valsts uzraudzībā esošo dzīvnieku infekcijas slimību un epizootijas uzliesmojuma laikā. </w:t>
            </w:r>
          </w:p>
          <w:p w:rsidR="000356DE" w:rsidRDefault="000356DE" w:rsidP="006E6431">
            <w:pPr>
              <w:pStyle w:val="Bezatstarpm"/>
              <w:jc w:val="both"/>
            </w:pPr>
            <w:r>
              <w:rPr>
                <w:bCs/>
              </w:rPr>
              <w:t xml:space="preserve">2017. gada 14. jūlijā valsts galvenais pārtikas un veterinārais inspektors izdeva rīkojumu Nr.100 “Par karantīnas noteikšanu un ierobežojumiem Daugavpils novada Višķu pagastā”, </w:t>
            </w:r>
            <w:proofErr w:type="gramStart"/>
            <w:r>
              <w:rPr>
                <w:bCs/>
              </w:rPr>
              <w:t>pamatojoties uz Pārtikas drošības, dzīvnieku veselības</w:t>
            </w:r>
            <w:proofErr w:type="gramEnd"/>
            <w:r>
              <w:rPr>
                <w:bCs/>
              </w:rPr>
              <w:t xml:space="preserve"> un vides zinātniskā institūta “BIOR” testēšanas pārskatu Nr. DZ-2017-V-46548.01, kurā ietverti Daugavpils novada Višķu pagasta Vīgantos AS „Latgales bekonā” noņemto paraugu laboratoriskās izmeklēšanas rezultāti – konstatēts Āfrikas cūku mēris. </w:t>
            </w:r>
            <w:r w:rsidR="00134406" w:rsidRPr="00D65792">
              <w:t xml:space="preserve">Dzīvnieku </w:t>
            </w:r>
            <w:r w:rsidR="00134406">
              <w:t xml:space="preserve">īpašniekiem </w:t>
            </w:r>
            <w:r>
              <w:t>AS</w:t>
            </w:r>
            <w:r w:rsidR="00613921">
              <w:t xml:space="preserve"> “</w:t>
            </w:r>
            <w:r>
              <w:t>Latgales bekons</w:t>
            </w:r>
            <w:r w:rsidR="00613921">
              <w:t>”</w:t>
            </w:r>
            <w:r w:rsidR="00134406" w:rsidRPr="00D65792">
              <w:t xml:space="preserve"> radās materiāli zaudējumi, savā ganāmpulkā apkarojot Āfrikas cūku mēri, jo </w:t>
            </w:r>
            <w:r w:rsidR="00CD0446">
              <w:t>slimības</w:t>
            </w:r>
            <w:r w:rsidR="00134406" w:rsidRPr="00D65792">
              <w:t xml:space="preserve"> dēļ </w:t>
            </w:r>
            <w:r w:rsidR="00567038">
              <w:t xml:space="preserve">piespiedu kārtā </w:t>
            </w:r>
            <w:r w:rsidR="00134406" w:rsidRPr="00D65792">
              <w:t xml:space="preserve">tika nokauti </w:t>
            </w:r>
            <w:r>
              <w:t>5818</w:t>
            </w:r>
            <w:r w:rsidR="00134406">
              <w:t xml:space="preserve"> </w:t>
            </w:r>
            <w:r w:rsidR="00134406" w:rsidRPr="00D65792">
              <w:t xml:space="preserve">cūku </w:t>
            </w:r>
            <w:r w:rsidR="00134406">
              <w:t>dzimtas</w:t>
            </w:r>
            <w:r w:rsidR="00134406" w:rsidRPr="00D65792">
              <w:t xml:space="preserve"> dzīvnieki</w:t>
            </w:r>
            <w:r>
              <w:t xml:space="preserve"> un atsaukti un iznīcināti </w:t>
            </w:r>
            <w:r w:rsidRPr="00567038">
              <w:t>13 169,</w:t>
            </w:r>
            <w:r w:rsidR="003C28B8">
              <w:t>106</w:t>
            </w:r>
            <w:r w:rsidR="00B12270">
              <w:t> </w:t>
            </w:r>
            <w:r w:rsidRPr="00567038">
              <w:t>kg cūkgaļas</w:t>
            </w:r>
            <w:r w:rsidR="00134406" w:rsidRPr="00567038">
              <w:t>.</w:t>
            </w:r>
            <w:r w:rsidR="00134406" w:rsidRPr="00D65792">
              <w:t xml:space="preserve"> </w:t>
            </w:r>
          </w:p>
          <w:p w:rsidR="000356DE" w:rsidRDefault="000356DE" w:rsidP="006E6431">
            <w:pPr>
              <w:pStyle w:val="Bezatstarpm"/>
              <w:jc w:val="both"/>
            </w:pPr>
            <w:r>
              <w:t xml:space="preserve">AS “Latgales bekons” turpinās Āfrikas cūku mēra apkarošanas pasākumi, bet, </w:t>
            </w:r>
            <w:r w:rsidR="00B12270">
              <w:t>tā kā</w:t>
            </w:r>
            <w:r>
              <w:t xml:space="preserve"> dzīvnieku īpašnieka AS “Latgales bekons” zaudējumu apmērs ir ļoti liels, tika nolemts atsevišķi pieprasīt finansējumu kompensācijas izmaksai par piespiedu kārtā nokautajiem un iznīcināta</w:t>
            </w:r>
            <w:r w:rsidR="000A5ECC">
              <w:t>jiem dzīvniekiem un atsaukto un iznīcināto cūkgaļu.</w:t>
            </w:r>
          </w:p>
          <w:p w:rsidR="00134406" w:rsidRDefault="00134406" w:rsidP="006E6431">
            <w:pPr>
              <w:pStyle w:val="Bezatstarpm"/>
              <w:jc w:val="both"/>
            </w:pPr>
            <w:r w:rsidRPr="00D65792">
              <w:t>Lai izpildītu Veterinārmedicīnas likum</w:t>
            </w:r>
            <w:r w:rsidR="00CD0446">
              <w:t>a</w:t>
            </w:r>
            <w:r w:rsidRPr="00D65792">
              <w:t xml:space="preserve"> un noteikum</w:t>
            </w:r>
            <w:r w:rsidR="00CD0446">
              <w:t>u</w:t>
            </w:r>
            <w:r w:rsidRPr="00D65792">
              <w:t xml:space="preserve"> Nr.177 </w:t>
            </w:r>
            <w:r w:rsidR="00CD0446">
              <w:t>prasības</w:t>
            </w:r>
            <w:r w:rsidRPr="00D65792">
              <w:t xml:space="preserve">, </w:t>
            </w:r>
            <w:r w:rsidR="00CD0446">
              <w:t xml:space="preserve">ir </w:t>
            </w:r>
            <w:r w:rsidRPr="00D65792">
              <w:t>jāizdod Ministru kabineta rīkojums (turpmāk – rīkojuma projekts), kas nosaka kompensācijas izmaksu dzīvnieku īpašniekiem, lai segtu zaudējumus, kas dzīvnieku īpašniekiem radušies Āfrikas cūku mēra uzliesmojuma apkarošanas laikā.</w:t>
            </w:r>
          </w:p>
          <w:p w:rsidR="00134406" w:rsidRPr="00B05C09" w:rsidRDefault="00134406" w:rsidP="006E6431">
            <w:pPr>
              <w:pStyle w:val="Bezatstarpm"/>
              <w:jc w:val="both"/>
            </w:pPr>
            <w:r w:rsidRPr="00D65792">
              <w:t xml:space="preserve">Tāpat rīkojuma projekts paredz Zemkopības ministrijai nodrošināt, lai valsts budžetā daļēji tiktu atgūti līdzekļi par dzīvnieku īpašniekam izmaksāto kompensāciju saistībā ar </w:t>
            </w:r>
            <w:r w:rsidRPr="00D65792">
              <w:lastRenderedPageBreak/>
              <w:t>Āfrikas cūku mēra programmu. Naudas līdzekļu atgūšana paredzēta no Eiropas Savienības budžeta saskaņā ar Eiropas Parlamenta un Padomes 2014.</w:t>
            </w:r>
            <w:r>
              <w:t xml:space="preserve"> </w:t>
            </w:r>
            <w:r w:rsidRPr="00D65792">
              <w:t>gada 15.</w:t>
            </w:r>
            <w:r>
              <w:t xml:space="preserve"> </w:t>
            </w:r>
            <w:r w:rsidRPr="00D65792">
              <w:t>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00B05C09">
              <w:t xml:space="preserve"> </w:t>
            </w:r>
            <w:r w:rsidR="00B05C09" w:rsidRPr="00E271B9">
              <w:t>(turpmāk – Regula Nr.652/2014)</w:t>
            </w:r>
            <w:r w:rsidRPr="00E271B9">
              <w:t>.</w:t>
            </w:r>
            <w:r w:rsidRPr="00D65792">
              <w:t xml:space="preserve"> </w:t>
            </w:r>
            <w:r w:rsidR="00AE2209" w:rsidRPr="00B05C09">
              <w:t>Ja netiks ievērots noteikumu Nr.</w:t>
            </w:r>
            <w:r w:rsidR="006A78FD" w:rsidRPr="00B05C09">
              <w:t> </w:t>
            </w:r>
            <w:r w:rsidR="00AE2209" w:rsidRPr="00B05C09">
              <w:t>177 9.4.</w:t>
            </w:r>
            <w:r w:rsidR="006A78FD" w:rsidRPr="00B05C09">
              <w:t> </w:t>
            </w:r>
            <w:r w:rsidR="00AE2209" w:rsidRPr="00B05C09">
              <w:t>apakšpunktā noteiktais termiņš, valsts var neatgūt ES līdzfinansējumu par dzīvnieku īpašniekam izmaksāt</w:t>
            </w:r>
            <w:r w:rsidR="00B12270">
              <w:t>o</w:t>
            </w:r>
            <w:r w:rsidR="00AE2209" w:rsidRPr="00B05C09">
              <w:t xml:space="preserve"> kompensācij</w:t>
            </w:r>
            <w:r w:rsidR="00B12270">
              <w:t>u</w:t>
            </w:r>
            <w:r w:rsidR="00AE2209" w:rsidRPr="00B05C09">
              <w:t>.</w:t>
            </w:r>
          </w:p>
          <w:p w:rsidR="00134406" w:rsidRPr="00D65792" w:rsidRDefault="00134406" w:rsidP="006E6431">
            <w:pPr>
              <w:pStyle w:val="Bezatstarpm"/>
              <w:jc w:val="both"/>
            </w:pPr>
            <w:r w:rsidRPr="00D65792">
              <w:t>Rīkojuma projekta pieņemšana problēmu atrisinās pilnībā.</w:t>
            </w:r>
          </w:p>
        </w:tc>
      </w:tr>
      <w:tr w:rsidR="00134406" w:rsidRPr="00D65792" w:rsidTr="006E6431">
        <w:tc>
          <w:tcPr>
            <w:tcW w:w="802" w:type="dxa"/>
          </w:tcPr>
          <w:p w:rsidR="00134406" w:rsidRPr="00D65792" w:rsidRDefault="00134406" w:rsidP="006E6431">
            <w:r w:rsidRPr="00D65792">
              <w:lastRenderedPageBreak/>
              <w:t>3.</w:t>
            </w:r>
          </w:p>
        </w:tc>
        <w:tc>
          <w:tcPr>
            <w:tcW w:w="2238" w:type="dxa"/>
          </w:tcPr>
          <w:p w:rsidR="00134406" w:rsidRPr="00D65792" w:rsidRDefault="00134406" w:rsidP="006E6431">
            <w:pPr>
              <w:jc w:val="both"/>
            </w:pPr>
            <w:r w:rsidRPr="00D65792">
              <w:t>Projekta izstrādē iesaistītās institūcijas</w:t>
            </w:r>
          </w:p>
        </w:tc>
        <w:tc>
          <w:tcPr>
            <w:tcW w:w="6311" w:type="dxa"/>
          </w:tcPr>
          <w:p w:rsidR="00134406" w:rsidRPr="00D65792" w:rsidRDefault="00134406" w:rsidP="006E6431">
            <w:pPr>
              <w:pStyle w:val="Bezatstarpm"/>
              <w:jc w:val="both"/>
            </w:pPr>
            <w:r w:rsidRPr="00D65792">
              <w:t>Lauku atbalsta dienests</w:t>
            </w:r>
          </w:p>
        </w:tc>
      </w:tr>
      <w:tr w:rsidR="00134406" w:rsidRPr="00D65792" w:rsidTr="006E6431">
        <w:tc>
          <w:tcPr>
            <w:tcW w:w="802" w:type="dxa"/>
          </w:tcPr>
          <w:p w:rsidR="00134406" w:rsidRPr="00D65792" w:rsidRDefault="00134406" w:rsidP="006E6431">
            <w:r w:rsidRPr="00D65792">
              <w:t>4.</w:t>
            </w:r>
          </w:p>
        </w:tc>
        <w:tc>
          <w:tcPr>
            <w:tcW w:w="2238" w:type="dxa"/>
          </w:tcPr>
          <w:p w:rsidR="00134406" w:rsidRPr="00D65792" w:rsidRDefault="00134406" w:rsidP="006E6431">
            <w:pPr>
              <w:jc w:val="both"/>
            </w:pPr>
            <w:r w:rsidRPr="00D65792">
              <w:t>Cita informācija</w:t>
            </w:r>
          </w:p>
        </w:tc>
        <w:tc>
          <w:tcPr>
            <w:tcW w:w="6311" w:type="dxa"/>
          </w:tcPr>
          <w:p w:rsidR="00134406" w:rsidRPr="00D65792" w:rsidRDefault="00134406" w:rsidP="006E6431">
            <w:pPr>
              <w:pStyle w:val="Bezatstarpm"/>
              <w:jc w:val="both"/>
            </w:pPr>
            <w:r w:rsidRPr="00D65792">
              <w:t xml:space="preserve">Nav </w:t>
            </w:r>
          </w:p>
        </w:tc>
      </w:tr>
    </w:tbl>
    <w:p w:rsidR="00134406" w:rsidRPr="00D65792" w:rsidRDefault="00134406" w:rsidP="00134406"/>
    <w:tbl>
      <w:tblPr>
        <w:tblStyle w:val="Reatabula"/>
        <w:tblW w:w="9351" w:type="dxa"/>
        <w:tblLook w:val="04A0" w:firstRow="1" w:lastRow="0" w:firstColumn="1" w:lastColumn="0" w:noHBand="0" w:noVBand="1"/>
      </w:tblPr>
      <w:tblGrid>
        <w:gridCol w:w="802"/>
        <w:gridCol w:w="2248"/>
        <w:gridCol w:w="6301"/>
      </w:tblGrid>
      <w:tr w:rsidR="00134406" w:rsidRPr="00D65792" w:rsidTr="006E6431">
        <w:tc>
          <w:tcPr>
            <w:tcW w:w="9351" w:type="dxa"/>
            <w:gridSpan w:val="3"/>
          </w:tcPr>
          <w:p w:rsidR="00134406" w:rsidRPr="00D65792" w:rsidRDefault="00134406" w:rsidP="006E6431">
            <w:pPr>
              <w:jc w:val="center"/>
              <w:rPr>
                <w:b/>
              </w:rPr>
            </w:pPr>
            <w:r w:rsidRPr="00D65792">
              <w:rPr>
                <w:b/>
              </w:rPr>
              <w:t>II. Tiesību akta projekta ietekme uz sabiedrību, tautsaimniecības attīstību un administratīvo slogu</w:t>
            </w:r>
          </w:p>
        </w:tc>
      </w:tr>
      <w:tr w:rsidR="00134406" w:rsidRPr="00D65792" w:rsidTr="006E6431">
        <w:tc>
          <w:tcPr>
            <w:tcW w:w="802" w:type="dxa"/>
          </w:tcPr>
          <w:p w:rsidR="00134406" w:rsidRPr="00D65792" w:rsidRDefault="00134406" w:rsidP="006E6431">
            <w:r w:rsidRPr="00D65792">
              <w:t>1.</w:t>
            </w:r>
          </w:p>
        </w:tc>
        <w:tc>
          <w:tcPr>
            <w:tcW w:w="2248" w:type="dxa"/>
          </w:tcPr>
          <w:p w:rsidR="00134406" w:rsidRPr="00D65792" w:rsidRDefault="00134406" w:rsidP="006E6431">
            <w:pPr>
              <w:jc w:val="both"/>
            </w:pPr>
            <w:r w:rsidRPr="00D65792">
              <w:t>Sabiedrības mērķgrupas, kuras tiesiskais regulējums ietekmē vai varētu ietekmēt</w:t>
            </w:r>
          </w:p>
        </w:tc>
        <w:tc>
          <w:tcPr>
            <w:tcW w:w="6301" w:type="dxa"/>
          </w:tcPr>
          <w:p w:rsidR="00134406" w:rsidRPr="00D65792" w:rsidRDefault="00134406" w:rsidP="002F2971">
            <w:pPr>
              <w:jc w:val="both"/>
            </w:pPr>
            <w:r w:rsidRPr="00D65792">
              <w:t>Sabiedrības mērķgrupa ir lauksaimniecības dzīvnieku īpašniek</w:t>
            </w:r>
            <w:r w:rsidR="002F2971">
              <w:t>s A</w:t>
            </w:r>
            <w:r w:rsidR="00AE2209">
              <w:t>S “</w:t>
            </w:r>
            <w:r w:rsidR="002F2971">
              <w:t>Latgales bekons</w:t>
            </w:r>
            <w:r w:rsidR="00AE2209">
              <w:t>”</w:t>
            </w:r>
            <w:r w:rsidRPr="00D65792">
              <w:t xml:space="preserve">. </w:t>
            </w:r>
          </w:p>
        </w:tc>
      </w:tr>
      <w:tr w:rsidR="00134406" w:rsidRPr="00D65792" w:rsidTr="006E6431">
        <w:tc>
          <w:tcPr>
            <w:tcW w:w="802" w:type="dxa"/>
          </w:tcPr>
          <w:p w:rsidR="00134406" w:rsidRPr="00D65792" w:rsidRDefault="00134406" w:rsidP="006E6431">
            <w:r w:rsidRPr="00D65792">
              <w:t>2.</w:t>
            </w:r>
          </w:p>
        </w:tc>
        <w:tc>
          <w:tcPr>
            <w:tcW w:w="2248" w:type="dxa"/>
          </w:tcPr>
          <w:p w:rsidR="00134406" w:rsidRPr="00D65792" w:rsidRDefault="00134406" w:rsidP="006E6431">
            <w:pPr>
              <w:jc w:val="both"/>
            </w:pPr>
            <w:r w:rsidRPr="00D65792">
              <w:t>Tiesiskā regulējuma ietekme uz tautsaimniecību un administratīvo slogu</w:t>
            </w:r>
          </w:p>
        </w:tc>
        <w:tc>
          <w:tcPr>
            <w:tcW w:w="6301" w:type="dxa"/>
          </w:tcPr>
          <w:p w:rsidR="002F2971" w:rsidRPr="002F2971" w:rsidRDefault="00134406" w:rsidP="002F2971">
            <w:pPr>
              <w:jc w:val="both"/>
              <w:rPr>
                <w:i/>
              </w:rPr>
            </w:pPr>
            <w:r w:rsidRPr="00D65792">
              <w:t>Rīkojuma projekts paredz izmaksāt lauksaimniecības dzīvnieku īpašniek</w:t>
            </w:r>
            <w:r w:rsidR="00613921">
              <w:t>a</w:t>
            </w:r>
            <w:r w:rsidRPr="00D65792">
              <w:t>m</w:t>
            </w:r>
            <w:r w:rsidR="002F2971">
              <w:t xml:space="preserve"> AS “Latgales bekons” </w:t>
            </w:r>
            <w:r w:rsidR="00567038" w:rsidRPr="00567038">
              <w:rPr>
                <w:b/>
              </w:rPr>
              <w:t>617 986,</w:t>
            </w:r>
            <w:r w:rsidR="00D72CE5">
              <w:rPr>
                <w:b/>
              </w:rPr>
              <w:t>12</w:t>
            </w:r>
            <w:r w:rsidR="00B12270">
              <w:rPr>
                <w:b/>
              </w:rPr>
              <w:t> </w:t>
            </w:r>
            <w:proofErr w:type="spellStart"/>
            <w:r w:rsidR="002F2971" w:rsidRPr="00567038">
              <w:rPr>
                <w:i/>
              </w:rPr>
              <w:t>euro</w:t>
            </w:r>
            <w:proofErr w:type="spellEnd"/>
            <w:r w:rsidR="002F2971" w:rsidRPr="00567038">
              <w:rPr>
                <w:i/>
              </w:rPr>
              <w:t>.</w:t>
            </w:r>
          </w:p>
          <w:p w:rsidR="007D6BA8" w:rsidRPr="007D6BA8" w:rsidRDefault="007D6BA8" w:rsidP="007D6BA8">
            <w:pPr>
              <w:jc w:val="both"/>
            </w:pPr>
          </w:p>
        </w:tc>
      </w:tr>
      <w:tr w:rsidR="00134406" w:rsidRPr="00D65792" w:rsidTr="006E6431">
        <w:tc>
          <w:tcPr>
            <w:tcW w:w="802" w:type="dxa"/>
          </w:tcPr>
          <w:p w:rsidR="00134406" w:rsidRPr="00D65792" w:rsidRDefault="00134406" w:rsidP="006E6431">
            <w:r w:rsidRPr="00D65792">
              <w:t>3.</w:t>
            </w:r>
          </w:p>
        </w:tc>
        <w:tc>
          <w:tcPr>
            <w:tcW w:w="2248" w:type="dxa"/>
          </w:tcPr>
          <w:p w:rsidR="00134406" w:rsidRPr="00D65792" w:rsidRDefault="00134406" w:rsidP="006E6431">
            <w:pPr>
              <w:jc w:val="both"/>
            </w:pPr>
            <w:r w:rsidRPr="00D65792">
              <w:t>Administratīvo izmaksu monetārs novērtējums</w:t>
            </w:r>
          </w:p>
        </w:tc>
        <w:tc>
          <w:tcPr>
            <w:tcW w:w="6301" w:type="dxa"/>
          </w:tcPr>
          <w:p w:rsidR="00134406" w:rsidRPr="00D65792" w:rsidRDefault="00134406" w:rsidP="006E6431">
            <w:r w:rsidRPr="00D65792">
              <w:t>Projekts šo jomu neskar.</w:t>
            </w:r>
          </w:p>
        </w:tc>
      </w:tr>
      <w:tr w:rsidR="00134406" w:rsidRPr="00D65792" w:rsidTr="006E6431">
        <w:tc>
          <w:tcPr>
            <w:tcW w:w="802" w:type="dxa"/>
          </w:tcPr>
          <w:p w:rsidR="00134406" w:rsidRPr="00D65792" w:rsidRDefault="00134406" w:rsidP="006E6431">
            <w:r w:rsidRPr="00D65792">
              <w:t>4.</w:t>
            </w:r>
          </w:p>
        </w:tc>
        <w:tc>
          <w:tcPr>
            <w:tcW w:w="2248" w:type="dxa"/>
          </w:tcPr>
          <w:p w:rsidR="00134406" w:rsidRPr="00D65792" w:rsidRDefault="00134406" w:rsidP="006E6431">
            <w:pPr>
              <w:jc w:val="both"/>
            </w:pPr>
            <w:r w:rsidRPr="00D65792">
              <w:t>Cita informācija</w:t>
            </w:r>
          </w:p>
        </w:tc>
        <w:tc>
          <w:tcPr>
            <w:tcW w:w="6301" w:type="dxa"/>
          </w:tcPr>
          <w:p w:rsidR="00134406" w:rsidRPr="00D65792" w:rsidRDefault="00134406" w:rsidP="006E6431">
            <w:r w:rsidRPr="00D65792">
              <w:t xml:space="preserve">Nav </w:t>
            </w:r>
          </w:p>
        </w:tc>
      </w:tr>
    </w:tbl>
    <w:p w:rsidR="00134406" w:rsidRPr="00D65792" w:rsidRDefault="00134406" w:rsidP="00134406"/>
    <w:tbl>
      <w:tblPr>
        <w:tblStyle w:val="Reatabula"/>
        <w:tblW w:w="9322" w:type="dxa"/>
        <w:tblLook w:val="04A0" w:firstRow="1" w:lastRow="0" w:firstColumn="1" w:lastColumn="0" w:noHBand="0" w:noVBand="1"/>
      </w:tblPr>
      <w:tblGrid>
        <w:gridCol w:w="2518"/>
        <w:gridCol w:w="1418"/>
        <w:gridCol w:w="1559"/>
        <w:gridCol w:w="1276"/>
        <w:gridCol w:w="1275"/>
        <w:gridCol w:w="1276"/>
      </w:tblGrid>
      <w:tr w:rsidR="00134406" w:rsidRPr="00D65792" w:rsidTr="006E6431">
        <w:tc>
          <w:tcPr>
            <w:tcW w:w="9322" w:type="dxa"/>
            <w:gridSpan w:val="6"/>
          </w:tcPr>
          <w:p w:rsidR="00134406" w:rsidRPr="00D65792" w:rsidRDefault="00134406" w:rsidP="006E6431">
            <w:pPr>
              <w:jc w:val="center"/>
              <w:rPr>
                <w:b/>
              </w:rPr>
            </w:pPr>
            <w:r w:rsidRPr="00D65792">
              <w:rPr>
                <w:b/>
              </w:rPr>
              <w:t>III. Tiesību akta projekta ietekme uz valsts budžetu un pašvaldību budžetiem</w:t>
            </w:r>
          </w:p>
        </w:tc>
      </w:tr>
      <w:tr w:rsidR="00134406" w:rsidRPr="00D65792" w:rsidTr="006E6431">
        <w:tc>
          <w:tcPr>
            <w:tcW w:w="2518" w:type="dxa"/>
            <w:vMerge w:val="restart"/>
          </w:tcPr>
          <w:p w:rsidR="00134406" w:rsidRPr="00D65792" w:rsidRDefault="00134406" w:rsidP="006E6431">
            <w:r w:rsidRPr="00D65792">
              <w:t>Rādītāji</w:t>
            </w:r>
          </w:p>
        </w:tc>
        <w:tc>
          <w:tcPr>
            <w:tcW w:w="2977" w:type="dxa"/>
            <w:gridSpan w:val="2"/>
            <w:vMerge w:val="restart"/>
          </w:tcPr>
          <w:p w:rsidR="00134406" w:rsidRPr="00D65792" w:rsidRDefault="00134406" w:rsidP="005A5C3A">
            <w:proofErr w:type="gramStart"/>
            <w:r w:rsidRPr="00D65792">
              <w:t>201</w:t>
            </w:r>
            <w:r w:rsidR="005A5C3A">
              <w:t>7</w:t>
            </w:r>
            <w:r w:rsidRPr="00D65792">
              <w:t>.gads</w:t>
            </w:r>
            <w:proofErr w:type="gramEnd"/>
          </w:p>
        </w:tc>
        <w:tc>
          <w:tcPr>
            <w:tcW w:w="3827" w:type="dxa"/>
            <w:gridSpan w:val="3"/>
          </w:tcPr>
          <w:p w:rsidR="00134406" w:rsidRPr="00D65792" w:rsidRDefault="00134406" w:rsidP="006E6431">
            <w:r w:rsidRPr="00D65792">
              <w:t xml:space="preserve">Turpmākie trīs gadi </w:t>
            </w:r>
            <w:r w:rsidRPr="00D65792">
              <w:rPr>
                <w:i/>
              </w:rPr>
              <w:t>(</w:t>
            </w:r>
            <w:proofErr w:type="spellStart"/>
            <w:r w:rsidRPr="00D65792">
              <w:rPr>
                <w:i/>
              </w:rPr>
              <w:t>euro</w:t>
            </w:r>
            <w:proofErr w:type="spellEnd"/>
            <w:r w:rsidRPr="00D65792">
              <w:rPr>
                <w:i/>
              </w:rPr>
              <w:t>)</w:t>
            </w:r>
          </w:p>
        </w:tc>
      </w:tr>
      <w:tr w:rsidR="00134406" w:rsidRPr="00D65792" w:rsidTr="006E6431">
        <w:tc>
          <w:tcPr>
            <w:tcW w:w="2518" w:type="dxa"/>
            <w:vMerge/>
          </w:tcPr>
          <w:p w:rsidR="00134406" w:rsidRPr="00D65792" w:rsidRDefault="00134406" w:rsidP="006E6431"/>
        </w:tc>
        <w:tc>
          <w:tcPr>
            <w:tcW w:w="2977" w:type="dxa"/>
            <w:gridSpan w:val="2"/>
            <w:vMerge/>
          </w:tcPr>
          <w:p w:rsidR="00134406" w:rsidRPr="00D65792" w:rsidRDefault="00134406" w:rsidP="006E6431"/>
        </w:tc>
        <w:tc>
          <w:tcPr>
            <w:tcW w:w="1276" w:type="dxa"/>
          </w:tcPr>
          <w:p w:rsidR="00134406" w:rsidRPr="00D65792" w:rsidRDefault="00134406" w:rsidP="005A5C3A">
            <w:proofErr w:type="gramStart"/>
            <w:r w:rsidRPr="00D65792">
              <w:t>201</w:t>
            </w:r>
            <w:r w:rsidR="005A5C3A">
              <w:t>8</w:t>
            </w:r>
            <w:r w:rsidRPr="00D65792">
              <w:t>.gads</w:t>
            </w:r>
            <w:proofErr w:type="gramEnd"/>
          </w:p>
        </w:tc>
        <w:tc>
          <w:tcPr>
            <w:tcW w:w="1275" w:type="dxa"/>
          </w:tcPr>
          <w:p w:rsidR="00134406" w:rsidRPr="00D65792" w:rsidRDefault="00134406" w:rsidP="005A5C3A">
            <w:proofErr w:type="gramStart"/>
            <w:r w:rsidRPr="00D65792">
              <w:t>201</w:t>
            </w:r>
            <w:r w:rsidR="005A5C3A">
              <w:t>9</w:t>
            </w:r>
            <w:r w:rsidRPr="00D65792">
              <w:t>.gads</w:t>
            </w:r>
            <w:proofErr w:type="gramEnd"/>
          </w:p>
        </w:tc>
        <w:tc>
          <w:tcPr>
            <w:tcW w:w="1276" w:type="dxa"/>
          </w:tcPr>
          <w:p w:rsidR="00134406" w:rsidRPr="00D65792" w:rsidRDefault="00134406" w:rsidP="005A5C3A">
            <w:proofErr w:type="gramStart"/>
            <w:r w:rsidRPr="00D65792">
              <w:t>20</w:t>
            </w:r>
            <w:r w:rsidR="005A5C3A">
              <w:t>20</w:t>
            </w:r>
            <w:r w:rsidRPr="00D65792">
              <w:t>.gads</w:t>
            </w:r>
            <w:proofErr w:type="gramEnd"/>
          </w:p>
        </w:tc>
      </w:tr>
      <w:tr w:rsidR="00134406" w:rsidRPr="00D65792" w:rsidTr="006E6431">
        <w:tc>
          <w:tcPr>
            <w:tcW w:w="2518" w:type="dxa"/>
            <w:vMerge/>
          </w:tcPr>
          <w:p w:rsidR="00134406" w:rsidRPr="00D65792" w:rsidRDefault="00134406" w:rsidP="006E6431"/>
        </w:tc>
        <w:tc>
          <w:tcPr>
            <w:tcW w:w="1418" w:type="dxa"/>
            <w:vAlign w:val="center"/>
          </w:tcPr>
          <w:p w:rsidR="00134406" w:rsidRPr="00D65792" w:rsidRDefault="00134406" w:rsidP="006E6431">
            <w:pPr>
              <w:jc w:val="center"/>
            </w:pPr>
            <w:r w:rsidRPr="00D65792">
              <w:t>Saskaņā ar valsts budžetu kārtējam gadam</w:t>
            </w:r>
          </w:p>
        </w:tc>
        <w:tc>
          <w:tcPr>
            <w:tcW w:w="1559" w:type="dxa"/>
            <w:vAlign w:val="center"/>
          </w:tcPr>
          <w:p w:rsidR="00134406" w:rsidRPr="00D65792" w:rsidRDefault="00134406" w:rsidP="006E6431">
            <w:pPr>
              <w:jc w:val="center"/>
            </w:pPr>
            <w:r w:rsidRPr="00D65792">
              <w:t>Izmaiņas kārtējā gadā, salīdzinot ar valsts budžetu kārtējam gadam</w:t>
            </w:r>
          </w:p>
        </w:tc>
        <w:tc>
          <w:tcPr>
            <w:tcW w:w="1276" w:type="dxa"/>
            <w:vAlign w:val="center"/>
          </w:tcPr>
          <w:p w:rsidR="00134406" w:rsidRPr="00D65792" w:rsidRDefault="00134406" w:rsidP="00713840">
            <w:pPr>
              <w:jc w:val="center"/>
            </w:pPr>
            <w:r w:rsidRPr="00D65792">
              <w:t>Izmaiņas, salīdzinot ar kārtējo (</w:t>
            </w:r>
            <w:r w:rsidR="00713840">
              <w:t>2017.</w:t>
            </w:r>
            <w:r w:rsidRPr="00D65792">
              <w:t>) gadu</w:t>
            </w:r>
          </w:p>
        </w:tc>
        <w:tc>
          <w:tcPr>
            <w:tcW w:w="1275" w:type="dxa"/>
            <w:vAlign w:val="center"/>
          </w:tcPr>
          <w:p w:rsidR="00134406" w:rsidRPr="00D65792" w:rsidRDefault="00134406" w:rsidP="00713840">
            <w:pPr>
              <w:jc w:val="center"/>
            </w:pPr>
            <w:r w:rsidRPr="00D65792">
              <w:t>Izmaiņas, salīdzinot ar kārtējo (</w:t>
            </w:r>
            <w:r w:rsidR="00713840">
              <w:t>2017.</w:t>
            </w:r>
            <w:r w:rsidRPr="00D65792">
              <w:t>) gadu</w:t>
            </w:r>
          </w:p>
        </w:tc>
        <w:tc>
          <w:tcPr>
            <w:tcW w:w="1276" w:type="dxa"/>
            <w:vAlign w:val="center"/>
          </w:tcPr>
          <w:p w:rsidR="00134406" w:rsidRPr="00D65792" w:rsidRDefault="00134406" w:rsidP="00713840">
            <w:pPr>
              <w:jc w:val="center"/>
            </w:pPr>
            <w:r w:rsidRPr="00D65792">
              <w:t>Izmaiņas, salīdzinot ar kārtējo (</w:t>
            </w:r>
            <w:r w:rsidR="00713840">
              <w:t>2017.</w:t>
            </w:r>
            <w:r w:rsidRPr="00D65792">
              <w:t>) gadu</w:t>
            </w:r>
          </w:p>
        </w:tc>
      </w:tr>
      <w:tr w:rsidR="00134406" w:rsidRPr="00D65792" w:rsidTr="006E6431">
        <w:tc>
          <w:tcPr>
            <w:tcW w:w="2518" w:type="dxa"/>
          </w:tcPr>
          <w:p w:rsidR="00134406" w:rsidRPr="00D65792" w:rsidRDefault="00134406" w:rsidP="006E6431">
            <w:pPr>
              <w:jc w:val="center"/>
            </w:pPr>
            <w:r w:rsidRPr="00D65792">
              <w:t>1</w:t>
            </w:r>
          </w:p>
        </w:tc>
        <w:tc>
          <w:tcPr>
            <w:tcW w:w="1418" w:type="dxa"/>
          </w:tcPr>
          <w:p w:rsidR="00134406" w:rsidRPr="00D65792" w:rsidRDefault="00134406" w:rsidP="006E6431">
            <w:pPr>
              <w:jc w:val="center"/>
            </w:pPr>
            <w:r w:rsidRPr="00D65792">
              <w:t>2</w:t>
            </w:r>
          </w:p>
        </w:tc>
        <w:tc>
          <w:tcPr>
            <w:tcW w:w="1559" w:type="dxa"/>
          </w:tcPr>
          <w:p w:rsidR="00134406" w:rsidRPr="00D65792" w:rsidRDefault="00134406" w:rsidP="006E6431">
            <w:pPr>
              <w:jc w:val="center"/>
            </w:pPr>
            <w:r w:rsidRPr="00D65792">
              <w:t>3</w:t>
            </w:r>
          </w:p>
        </w:tc>
        <w:tc>
          <w:tcPr>
            <w:tcW w:w="1276" w:type="dxa"/>
          </w:tcPr>
          <w:p w:rsidR="00134406" w:rsidRPr="00D65792" w:rsidRDefault="00134406" w:rsidP="006E6431">
            <w:pPr>
              <w:jc w:val="center"/>
            </w:pPr>
            <w:r w:rsidRPr="00D65792">
              <w:t>4</w:t>
            </w:r>
          </w:p>
        </w:tc>
        <w:tc>
          <w:tcPr>
            <w:tcW w:w="1275" w:type="dxa"/>
          </w:tcPr>
          <w:p w:rsidR="00134406" w:rsidRPr="00D65792" w:rsidRDefault="00134406" w:rsidP="006E6431">
            <w:pPr>
              <w:jc w:val="center"/>
            </w:pPr>
            <w:r w:rsidRPr="00D65792">
              <w:t>5</w:t>
            </w:r>
          </w:p>
        </w:tc>
        <w:tc>
          <w:tcPr>
            <w:tcW w:w="1276" w:type="dxa"/>
          </w:tcPr>
          <w:p w:rsidR="00134406" w:rsidRPr="00D65792" w:rsidRDefault="00134406" w:rsidP="006E6431">
            <w:pPr>
              <w:jc w:val="center"/>
            </w:pPr>
            <w:r w:rsidRPr="00D65792">
              <w:t>6</w:t>
            </w:r>
          </w:p>
        </w:tc>
      </w:tr>
      <w:tr w:rsidR="00134406" w:rsidRPr="00D65792" w:rsidTr="006E6431">
        <w:tc>
          <w:tcPr>
            <w:tcW w:w="2518" w:type="dxa"/>
          </w:tcPr>
          <w:p w:rsidR="00134406" w:rsidRPr="00D65792" w:rsidRDefault="00134406" w:rsidP="006E6431">
            <w:pPr>
              <w:jc w:val="both"/>
            </w:pPr>
            <w:r w:rsidRPr="00D65792">
              <w:t>1.Budžeta ieņēmumi:</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386739" w:rsidRDefault="001D38E0" w:rsidP="00713840">
            <w:pPr>
              <w:jc w:val="center"/>
              <w:rPr>
                <w:b/>
              </w:rPr>
            </w:pPr>
            <w:r>
              <w:rPr>
                <w:b/>
              </w:rPr>
              <w:t>363 6</w:t>
            </w:r>
            <w:r w:rsidR="00713840">
              <w:rPr>
                <w:b/>
              </w:rPr>
              <w:t>69</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 xml:space="preserve">1.1. valsts pamatbudžets, tai skaitā </w:t>
            </w:r>
            <w:r w:rsidRPr="00D65792">
              <w:lastRenderedPageBreak/>
              <w:t>ieņēmumi no maksas pakalpojumiem un citi pašu ieņēmumi</w:t>
            </w:r>
          </w:p>
        </w:tc>
        <w:tc>
          <w:tcPr>
            <w:tcW w:w="1418" w:type="dxa"/>
          </w:tcPr>
          <w:p w:rsidR="00134406" w:rsidRPr="00D65792" w:rsidRDefault="00134406" w:rsidP="006E6431">
            <w:pPr>
              <w:jc w:val="center"/>
            </w:pPr>
            <w:r w:rsidRPr="00D65792">
              <w:lastRenderedPageBreak/>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1.2. valsts speciālais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1.3. pašvaldību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11645F" w:rsidTr="006E6431">
        <w:tc>
          <w:tcPr>
            <w:tcW w:w="2518" w:type="dxa"/>
          </w:tcPr>
          <w:p w:rsidR="00134406" w:rsidRPr="0011645F" w:rsidRDefault="00134406" w:rsidP="006E6431">
            <w:pPr>
              <w:jc w:val="both"/>
            </w:pPr>
            <w:r w:rsidRPr="0011645F">
              <w:t>2. Budžeta izdevumi:</w:t>
            </w:r>
          </w:p>
        </w:tc>
        <w:tc>
          <w:tcPr>
            <w:tcW w:w="1418" w:type="dxa"/>
          </w:tcPr>
          <w:p w:rsidR="00134406" w:rsidRPr="0011645F" w:rsidRDefault="00134406" w:rsidP="006E6431">
            <w:pPr>
              <w:jc w:val="center"/>
            </w:pPr>
            <w:r w:rsidRPr="0011645F">
              <w:t>0</w:t>
            </w:r>
          </w:p>
        </w:tc>
        <w:tc>
          <w:tcPr>
            <w:tcW w:w="1559" w:type="dxa"/>
          </w:tcPr>
          <w:p w:rsidR="00134406" w:rsidRPr="0011645F" w:rsidRDefault="00C4591E" w:rsidP="0011645F">
            <w:pPr>
              <w:jc w:val="center"/>
              <w:rPr>
                <w:b/>
              </w:rPr>
            </w:pPr>
            <w:r w:rsidRPr="0011645F">
              <w:rPr>
                <w:b/>
              </w:rPr>
              <w:t>617 98</w:t>
            </w:r>
            <w:r w:rsidR="0011645F" w:rsidRPr="0011645F">
              <w:rPr>
                <w:b/>
              </w:rPr>
              <w:t>6</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2.1. valsts pamatbudžets</w:t>
            </w:r>
          </w:p>
        </w:tc>
        <w:tc>
          <w:tcPr>
            <w:tcW w:w="1418" w:type="dxa"/>
          </w:tcPr>
          <w:p w:rsidR="00134406" w:rsidRPr="0011645F" w:rsidRDefault="00134406" w:rsidP="006E6431">
            <w:pPr>
              <w:jc w:val="center"/>
            </w:pPr>
            <w:r w:rsidRPr="0011645F">
              <w:t>0</w:t>
            </w:r>
          </w:p>
        </w:tc>
        <w:tc>
          <w:tcPr>
            <w:tcW w:w="1559" w:type="dxa"/>
          </w:tcPr>
          <w:p w:rsidR="00134406" w:rsidRPr="0011645F" w:rsidRDefault="00C4591E" w:rsidP="0011645F">
            <w:pPr>
              <w:jc w:val="center"/>
              <w:rPr>
                <w:b/>
              </w:rPr>
            </w:pPr>
            <w:r w:rsidRPr="0011645F">
              <w:rPr>
                <w:b/>
              </w:rPr>
              <w:t>617 98</w:t>
            </w:r>
            <w:r w:rsidR="0011645F" w:rsidRPr="0011645F">
              <w:rPr>
                <w:b/>
              </w:rPr>
              <w:t>6</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2.2. valsts speciālais budžets</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2.3. pašvaldību budžets</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3. Finansiālā ietekme:</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11645F">
            <w:pPr>
              <w:jc w:val="center"/>
              <w:rPr>
                <w:b/>
              </w:rPr>
            </w:pPr>
            <w:r w:rsidRPr="0011645F">
              <w:rPr>
                <w:b/>
              </w:rPr>
              <w:t>–</w:t>
            </w:r>
            <w:r w:rsidR="001F188F" w:rsidRPr="0011645F">
              <w:rPr>
                <w:b/>
              </w:rPr>
              <w:t xml:space="preserve"> </w:t>
            </w:r>
            <w:r w:rsidR="00C4591E" w:rsidRPr="0011645F">
              <w:rPr>
                <w:b/>
              </w:rPr>
              <w:t>617 98</w:t>
            </w:r>
            <w:r w:rsidR="0011645F" w:rsidRPr="0011645F">
              <w:rPr>
                <w:b/>
              </w:rPr>
              <w:t>6</w:t>
            </w:r>
          </w:p>
        </w:tc>
        <w:tc>
          <w:tcPr>
            <w:tcW w:w="1276" w:type="dxa"/>
          </w:tcPr>
          <w:p w:rsidR="00134406" w:rsidRPr="0011645F" w:rsidRDefault="001D38E0" w:rsidP="00713840">
            <w:pPr>
              <w:jc w:val="center"/>
              <w:rPr>
                <w:b/>
              </w:rPr>
            </w:pPr>
            <w:r w:rsidRPr="0011645F">
              <w:rPr>
                <w:b/>
              </w:rPr>
              <w:t>363 6</w:t>
            </w:r>
            <w:r w:rsidR="00713840">
              <w:rPr>
                <w:b/>
              </w:rPr>
              <w:t>69</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3.1. valsts pamatbudžets</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11645F">
            <w:pPr>
              <w:jc w:val="center"/>
              <w:rPr>
                <w:b/>
              </w:rPr>
            </w:pPr>
            <w:r w:rsidRPr="0011645F">
              <w:rPr>
                <w:b/>
              </w:rPr>
              <w:t>–</w:t>
            </w:r>
            <w:r w:rsidR="001F188F" w:rsidRPr="0011645F">
              <w:rPr>
                <w:b/>
              </w:rPr>
              <w:t xml:space="preserve"> </w:t>
            </w:r>
            <w:r w:rsidR="00C4591E" w:rsidRPr="0011645F">
              <w:rPr>
                <w:b/>
              </w:rPr>
              <w:t>617 98</w:t>
            </w:r>
            <w:r w:rsidR="0011645F" w:rsidRPr="0011645F">
              <w:rPr>
                <w:b/>
              </w:rPr>
              <w:t>6</w:t>
            </w:r>
          </w:p>
        </w:tc>
        <w:tc>
          <w:tcPr>
            <w:tcW w:w="1276" w:type="dxa"/>
          </w:tcPr>
          <w:p w:rsidR="00134406" w:rsidRPr="0011645F" w:rsidRDefault="001D38E0" w:rsidP="00713840">
            <w:pPr>
              <w:jc w:val="center"/>
              <w:rPr>
                <w:b/>
              </w:rPr>
            </w:pPr>
            <w:r w:rsidRPr="0011645F">
              <w:rPr>
                <w:b/>
              </w:rPr>
              <w:t>363 6</w:t>
            </w:r>
            <w:r w:rsidR="00713840">
              <w:rPr>
                <w:b/>
              </w:rPr>
              <w:t>69</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3.2. speciālais budžets</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tcPr>
          <w:p w:rsidR="00134406" w:rsidRPr="0011645F" w:rsidRDefault="00134406" w:rsidP="006E6431">
            <w:pPr>
              <w:jc w:val="both"/>
            </w:pPr>
            <w:r w:rsidRPr="0011645F">
              <w:t>3.3. pašvaldību budžets</w:t>
            </w:r>
          </w:p>
        </w:tc>
        <w:tc>
          <w:tcPr>
            <w:tcW w:w="1418" w:type="dxa"/>
          </w:tcPr>
          <w:p w:rsidR="00134406" w:rsidRPr="0011645F" w:rsidRDefault="00134406" w:rsidP="006E6431">
            <w:pPr>
              <w:jc w:val="center"/>
            </w:pPr>
            <w:r w:rsidRPr="0011645F">
              <w:t>0</w:t>
            </w: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134406" w:rsidRPr="0011645F" w:rsidTr="006E6431">
        <w:tc>
          <w:tcPr>
            <w:tcW w:w="2518" w:type="dxa"/>
            <w:vMerge w:val="restart"/>
          </w:tcPr>
          <w:p w:rsidR="00134406" w:rsidRPr="0011645F" w:rsidRDefault="00134406" w:rsidP="006E6431">
            <w:pPr>
              <w:jc w:val="both"/>
            </w:pPr>
            <w:r w:rsidRPr="0011645F">
              <w:t>4. Finanšu līdzekļi papildu izde</w:t>
            </w:r>
            <w:r w:rsidRPr="0011645F">
              <w:softHyphen/>
              <w:t>vumu finansēšanai (kompensējošu izdevumu samazinājumu norāda ar "+" zīmi)</w:t>
            </w:r>
          </w:p>
        </w:tc>
        <w:tc>
          <w:tcPr>
            <w:tcW w:w="1418" w:type="dxa"/>
            <w:vMerge w:val="restart"/>
          </w:tcPr>
          <w:p w:rsidR="00134406" w:rsidRPr="0011645F" w:rsidRDefault="00134406" w:rsidP="006E6431">
            <w:pPr>
              <w:jc w:val="center"/>
            </w:pPr>
            <w:r w:rsidRPr="0011645F">
              <w:t>X</w:t>
            </w: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11645F" w:rsidTr="006E6431">
        <w:tc>
          <w:tcPr>
            <w:tcW w:w="2518" w:type="dxa"/>
            <w:vMerge/>
          </w:tcPr>
          <w:p w:rsidR="00134406" w:rsidRPr="0011645F" w:rsidRDefault="00134406" w:rsidP="006E6431">
            <w:pPr>
              <w:jc w:val="both"/>
            </w:pPr>
          </w:p>
        </w:tc>
        <w:tc>
          <w:tcPr>
            <w:tcW w:w="1418" w:type="dxa"/>
            <w:vMerge/>
          </w:tcPr>
          <w:p w:rsidR="00134406" w:rsidRPr="0011645F" w:rsidRDefault="00134406" w:rsidP="006E6431">
            <w:pPr>
              <w:jc w:val="both"/>
            </w:pPr>
          </w:p>
        </w:tc>
        <w:tc>
          <w:tcPr>
            <w:tcW w:w="1559"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11645F" w:rsidRDefault="00134406" w:rsidP="006E6431">
            <w:pPr>
              <w:jc w:val="center"/>
            </w:pPr>
            <w:r w:rsidRPr="0011645F">
              <w:t>0</w:t>
            </w:r>
          </w:p>
        </w:tc>
      </w:tr>
      <w:tr w:rsidR="00134406" w:rsidRPr="00D65792" w:rsidTr="006E6431">
        <w:tc>
          <w:tcPr>
            <w:tcW w:w="2518" w:type="dxa"/>
            <w:vMerge/>
          </w:tcPr>
          <w:p w:rsidR="00134406" w:rsidRPr="0011645F" w:rsidRDefault="00134406" w:rsidP="006E6431">
            <w:pPr>
              <w:jc w:val="both"/>
            </w:pPr>
          </w:p>
        </w:tc>
        <w:tc>
          <w:tcPr>
            <w:tcW w:w="1418" w:type="dxa"/>
            <w:vMerge/>
          </w:tcPr>
          <w:p w:rsidR="00134406" w:rsidRPr="0011645F" w:rsidRDefault="00134406" w:rsidP="006E6431">
            <w:pPr>
              <w:jc w:val="both"/>
            </w:pPr>
          </w:p>
        </w:tc>
        <w:tc>
          <w:tcPr>
            <w:tcW w:w="1559" w:type="dxa"/>
          </w:tcPr>
          <w:p w:rsidR="00134406" w:rsidRPr="0011645F" w:rsidRDefault="00134406" w:rsidP="0011645F">
            <w:pPr>
              <w:jc w:val="center"/>
              <w:rPr>
                <w:b/>
              </w:rPr>
            </w:pPr>
            <w:r w:rsidRPr="0011645F">
              <w:rPr>
                <w:b/>
              </w:rPr>
              <w:t xml:space="preserve">+ </w:t>
            </w:r>
            <w:r w:rsidR="00C4591E" w:rsidRPr="0011645F">
              <w:rPr>
                <w:b/>
              </w:rPr>
              <w:t>617 98</w:t>
            </w:r>
            <w:r w:rsidR="0011645F" w:rsidRPr="0011645F">
              <w:rPr>
                <w:b/>
              </w:rPr>
              <w:t>6</w:t>
            </w:r>
          </w:p>
        </w:tc>
        <w:tc>
          <w:tcPr>
            <w:tcW w:w="1276" w:type="dxa"/>
          </w:tcPr>
          <w:p w:rsidR="00134406" w:rsidRPr="0011645F" w:rsidRDefault="00134406" w:rsidP="006E6431">
            <w:pPr>
              <w:jc w:val="center"/>
            </w:pPr>
            <w:r w:rsidRPr="0011645F">
              <w:t>0</w:t>
            </w:r>
          </w:p>
        </w:tc>
        <w:tc>
          <w:tcPr>
            <w:tcW w:w="1275" w:type="dxa"/>
          </w:tcPr>
          <w:p w:rsidR="00134406" w:rsidRPr="0011645F" w:rsidRDefault="00134406" w:rsidP="006E6431">
            <w:pPr>
              <w:jc w:val="center"/>
            </w:pPr>
            <w:r w:rsidRPr="0011645F">
              <w:t>0</w:t>
            </w:r>
          </w:p>
        </w:tc>
        <w:tc>
          <w:tcPr>
            <w:tcW w:w="1276" w:type="dxa"/>
          </w:tcPr>
          <w:p w:rsidR="00134406" w:rsidRPr="00D65792" w:rsidRDefault="00134406" w:rsidP="006E6431">
            <w:pPr>
              <w:jc w:val="center"/>
            </w:pPr>
            <w:r w:rsidRPr="0011645F">
              <w:t>0</w:t>
            </w:r>
          </w:p>
        </w:tc>
      </w:tr>
      <w:tr w:rsidR="00134406" w:rsidRPr="00D65792" w:rsidTr="006E6431">
        <w:tc>
          <w:tcPr>
            <w:tcW w:w="2518" w:type="dxa"/>
          </w:tcPr>
          <w:p w:rsidR="00134406" w:rsidRPr="00D65792" w:rsidRDefault="00134406" w:rsidP="006E6431">
            <w:pPr>
              <w:jc w:val="both"/>
            </w:pPr>
            <w:r w:rsidRPr="00D65792">
              <w:t>5. Precizēta finansiālā ietekme:</w:t>
            </w:r>
          </w:p>
        </w:tc>
        <w:tc>
          <w:tcPr>
            <w:tcW w:w="1418" w:type="dxa"/>
            <w:vMerge w:val="restart"/>
          </w:tcPr>
          <w:p w:rsidR="00134406" w:rsidRPr="00D65792" w:rsidRDefault="00134406" w:rsidP="006E6431">
            <w:pPr>
              <w:jc w:val="center"/>
            </w:pPr>
            <w:r w:rsidRPr="00D65792">
              <w:t>X</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5.1. valsts pamatbudžets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5.2. speciālais 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 5.3. pašvaldību 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4D272B" w:rsidRPr="00D65792" w:rsidTr="006E6431">
        <w:tc>
          <w:tcPr>
            <w:tcW w:w="2518" w:type="dxa"/>
          </w:tcPr>
          <w:p w:rsidR="004D272B" w:rsidRPr="00D65792" w:rsidRDefault="004D272B" w:rsidP="004D272B">
            <w:pPr>
              <w:jc w:val="both"/>
            </w:pPr>
            <w:r w:rsidRPr="00D65792">
              <w:t>6. Detalizēts ieņēmumu un izdevu</w:t>
            </w:r>
            <w:r w:rsidRPr="00D65792">
              <w:softHyphen/>
              <w:t>mu aprēķins (ja nepieciešams, detalizētu ieņēmumu un izdevumu aprēķinu var pievienot anotācijas pielikumā):</w:t>
            </w:r>
          </w:p>
        </w:tc>
        <w:tc>
          <w:tcPr>
            <w:tcW w:w="6804" w:type="dxa"/>
            <w:gridSpan w:val="5"/>
          </w:tcPr>
          <w:p w:rsidR="002F2971" w:rsidRDefault="004D272B">
            <w:pPr>
              <w:jc w:val="both"/>
            </w:pPr>
            <w:r w:rsidRPr="00D65792">
              <w:t xml:space="preserve">Ar rīkojuma projektu paredzēta kompensācijas izmaksa dzīvnieku īpašniekam </w:t>
            </w:r>
            <w:r>
              <w:rPr>
                <w:b/>
              </w:rPr>
              <w:t>A</w:t>
            </w:r>
            <w:r w:rsidR="001E323A">
              <w:rPr>
                <w:b/>
              </w:rPr>
              <w:t>S</w:t>
            </w:r>
            <w:r w:rsidRPr="00DA52B1">
              <w:rPr>
                <w:b/>
              </w:rPr>
              <w:t xml:space="preserve"> “</w:t>
            </w:r>
            <w:r w:rsidR="001E323A">
              <w:rPr>
                <w:b/>
              </w:rPr>
              <w:t>Latgales bekons</w:t>
            </w:r>
            <w:r w:rsidRPr="00DA52B1">
              <w:rPr>
                <w:b/>
              </w:rPr>
              <w:t>”</w:t>
            </w:r>
            <w:r w:rsidRPr="00D65792">
              <w:t xml:space="preserve"> </w:t>
            </w:r>
            <w:r w:rsidR="00C4591E" w:rsidRPr="0011645F">
              <w:t>617 986,</w:t>
            </w:r>
            <w:r w:rsidR="00130387" w:rsidRPr="0011645F">
              <w:t>12</w:t>
            </w:r>
            <w:r w:rsidR="00B12270">
              <w:t xml:space="preserve"> </w:t>
            </w:r>
            <w:proofErr w:type="spellStart"/>
            <w:r w:rsidRPr="0011645F">
              <w:rPr>
                <w:i/>
              </w:rPr>
              <w:t>euro</w:t>
            </w:r>
            <w:proofErr w:type="spellEnd"/>
            <w:r w:rsidRPr="00D65792">
              <w:rPr>
                <w:i/>
              </w:rPr>
              <w:t xml:space="preserve"> </w:t>
            </w:r>
            <w:r w:rsidRPr="00D65792">
              <w:t>apmērā</w:t>
            </w:r>
            <w:r w:rsidR="00C96FD9">
              <w:t>, t.sk.:</w:t>
            </w:r>
            <w:r w:rsidRPr="00D65792">
              <w:t xml:space="preserve"> </w:t>
            </w:r>
          </w:p>
          <w:p w:rsidR="003A4B2E" w:rsidRDefault="002F2971">
            <w:pPr>
              <w:jc w:val="both"/>
              <w:rPr>
                <w:i/>
              </w:rPr>
            </w:pPr>
            <w:r>
              <w:t xml:space="preserve">1) </w:t>
            </w:r>
            <w:r w:rsidR="00B011B6" w:rsidRPr="00B011B6">
              <w:rPr>
                <w:b/>
              </w:rPr>
              <w:t>597 082,85</w:t>
            </w:r>
            <w:r w:rsidR="00B12270">
              <w:rPr>
                <w:b/>
              </w:rPr>
              <w:t xml:space="preserve"> </w:t>
            </w:r>
            <w:proofErr w:type="spellStart"/>
            <w:r w:rsidR="00B011B6" w:rsidRPr="00B011B6">
              <w:rPr>
                <w:i/>
              </w:rPr>
              <w:t>euro</w:t>
            </w:r>
            <w:proofErr w:type="spellEnd"/>
            <w:r w:rsidR="00B011B6">
              <w:t xml:space="preserve"> </w:t>
            </w:r>
            <w:r w:rsidR="00C96FD9">
              <w:t>par</w:t>
            </w:r>
            <w:r w:rsidR="00B011B6">
              <w:t xml:space="preserve"> piespiedu kārtā nokautajiem un iznīcinātajiem 5818 cūku sugas dzīvniekiem. </w:t>
            </w:r>
            <w:r w:rsidR="004D272B" w:rsidRPr="00D65792">
              <w:t>Atbilstoši</w:t>
            </w:r>
            <w:r w:rsidR="003A4B2E">
              <w:t xml:space="preserve"> </w:t>
            </w:r>
            <w:r w:rsidR="004D272B" w:rsidRPr="00D65792">
              <w:t>PVD inspektora aktā Nr.</w:t>
            </w:r>
            <w:r w:rsidR="001E323A">
              <w:t>2</w:t>
            </w:r>
            <w:r w:rsidR="004D272B" w:rsidRPr="00D65792">
              <w:t xml:space="preserve"> norādītajai informācijai saimniecībā nokaut</w:t>
            </w:r>
            <w:r w:rsidR="004D272B">
              <w:t xml:space="preserve">i </w:t>
            </w:r>
            <w:r w:rsidR="001E323A">
              <w:t>1968</w:t>
            </w:r>
            <w:r w:rsidR="004D272B">
              <w:t xml:space="preserve"> sivēni svarā līdz 30 kilogramiem, </w:t>
            </w:r>
            <w:r w:rsidR="001E323A">
              <w:t>1765 nobarojamās</w:t>
            </w:r>
            <w:r w:rsidR="004D272B">
              <w:t xml:space="preserve"> cūka</w:t>
            </w:r>
            <w:r w:rsidR="001E323A">
              <w:t>s</w:t>
            </w:r>
            <w:r w:rsidR="004D272B">
              <w:t xml:space="preserve"> svarā no 31 līdz 80</w:t>
            </w:r>
            <w:r w:rsidR="00B12270">
              <w:t> </w:t>
            </w:r>
            <w:r w:rsidR="004D272B">
              <w:t xml:space="preserve">kilogramiem, </w:t>
            </w:r>
            <w:r w:rsidR="001E323A">
              <w:t>1481</w:t>
            </w:r>
            <w:r w:rsidR="00B12270">
              <w:t> </w:t>
            </w:r>
            <w:r w:rsidR="004D272B">
              <w:t xml:space="preserve">cūka svarā virs 81 kilograma, </w:t>
            </w:r>
            <w:r w:rsidR="001E323A">
              <w:t>6 pārraudzībā esoši</w:t>
            </w:r>
            <w:r w:rsidR="004D272B">
              <w:t xml:space="preserve"> kuiļi un </w:t>
            </w:r>
            <w:r w:rsidR="001E323A">
              <w:t>598 pārraudzībā esošas</w:t>
            </w:r>
            <w:r w:rsidR="004D272B">
              <w:t xml:space="preserve"> sivēnmātes. No SIA “Cūku ciltsdarba centrs” ir saņemta izziņa, ka minētais ganāmpulks bija pārraudzībā.</w:t>
            </w:r>
            <w:r w:rsidR="00CD0446">
              <w:t xml:space="preserve"> Tādējādi</w:t>
            </w:r>
            <w:r w:rsidR="004D272B">
              <w:t xml:space="preserve"> par piespiedu kārtā nogalinātiem kuiļiem un sivēnmātēm jāpiemēro kompensācijas apmērs kā par pārraudzībā esoš</w:t>
            </w:r>
            <w:r w:rsidR="00CD0446">
              <w:t>iem</w:t>
            </w:r>
            <w:r w:rsidR="004D272B">
              <w:t xml:space="preserve"> (noteikumu Nr.177 2. pielikuma 11.1.</w:t>
            </w:r>
            <w:r w:rsidR="00C865E1">
              <w:t> </w:t>
            </w:r>
            <w:r w:rsidR="004D272B">
              <w:t>un 11.2.</w:t>
            </w:r>
            <w:r w:rsidR="00C865E1">
              <w:t> </w:t>
            </w:r>
            <w:r w:rsidR="004D272B">
              <w:t xml:space="preserve">apakšpunkts). </w:t>
            </w:r>
            <w:r w:rsidR="004D272B" w:rsidRPr="00D65792">
              <w:t xml:space="preserve">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w:t>
            </w:r>
            <w:r w:rsidR="004D272B" w:rsidRPr="00D65792">
              <w:lastRenderedPageBreak/>
              <w:t xml:space="preserve">īpašniekam </w:t>
            </w:r>
            <w:r w:rsidR="004D272B">
              <w:t>A</w:t>
            </w:r>
            <w:r w:rsidR="001E323A">
              <w:t>S </w:t>
            </w:r>
            <w:r w:rsidR="004D272B">
              <w:t>“</w:t>
            </w:r>
            <w:r w:rsidR="001E323A">
              <w:t>Latgales bekons</w:t>
            </w:r>
            <w:r w:rsidR="004D272B">
              <w:t>”</w:t>
            </w:r>
            <w:r w:rsidR="004D272B" w:rsidRPr="00D65792">
              <w:t xml:space="preserve"> pienākas kompensācija pilnā apmērā – </w:t>
            </w:r>
            <w:r w:rsidR="008B61C5" w:rsidRPr="00B011B6">
              <w:rPr>
                <w:b/>
              </w:rPr>
              <w:t>597 082,85</w:t>
            </w:r>
            <w:r w:rsidR="00C865E1">
              <w:rPr>
                <w:b/>
              </w:rPr>
              <w:t> </w:t>
            </w:r>
            <w:proofErr w:type="spellStart"/>
            <w:r w:rsidR="008B61C5" w:rsidRPr="00B011B6">
              <w:rPr>
                <w:i/>
              </w:rPr>
              <w:t>euro</w:t>
            </w:r>
            <w:proofErr w:type="spellEnd"/>
            <w:r w:rsidR="004D272B" w:rsidRPr="00D65792">
              <w:rPr>
                <w:i/>
              </w:rPr>
              <w:t xml:space="preserve">. </w:t>
            </w:r>
          </w:p>
          <w:p w:rsidR="002F2971" w:rsidRPr="00B05C09" w:rsidRDefault="008B61C5" w:rsidP="00130387">
            <w:pPr>
              <w:jc w:val="both"/>
            </w:pPr>
            <w:r>
              <w:t xml:space="preserve">2) </w:t>
            </w:r>
            <w:r w:rsidR="00C4591E" w:rsidRPr="00130387">
              <w:rPr>
                <w:b/>
              </w:rPr>
              <w:t>20 903,</w:t>
            </w:r>
            <w:r w:rsidR="00130387" w:rsidRPr="00130387">
              <w:rPr>
                <w:b/>
              </w:rPr>
              <w:t>27</w:t>
            </w:r>
            <w:r w:rsidR="00C865E1">
              <w:rPr>
                <w:b/>
              </w:rPr>
              <w:t xml:space="preserve"> </w:t>
            </w:r>
            <w:proofErr w:type="spellStart"/>
            <w:r w:rsidR="00C4591E" w:rsidRPr="00130387">
              <w:rPr>
                <w:i/>
              </w:rPr>
              <w:t>euro</w:t>
            </w:r>
            <w:proofErr w:type="spellEnd"/>
            <w:r w:rsidR="00C4591E">
              <w:t xml:space="preserve"> par atsaukto un iznīcināto </w:t>
            </w:r>
            <w:r w:rsidR="00C4591E" w:rsidRPr="00567038">
              <w:t>13 169,</w:t>
            </w:r>
            <w:r w:rsidR="003C28B8">
              <w:t>106</w:t>
            </w:r>
            <w:r w:rsidR="00C865E1">
              <w:t xml:space="preserve"> </w:t>
            </w:r>
            <w:r w:rsidR="00C4591E" w:rsidRPr="00567038">
              <w:t>kg cūkgaļ</w:t>
            </w:r>
            <w:r w:rsidR="00C4591E">
              <w:t xml:space="preserve">u un cūkgaļas produkciju. </w:t>
            </w:r>
            <w:r w:rsidR="00B31410">
              <w:t>Noteikumu Nr.177 5. pielikuma 1.punkt</w:t>
            </w:r>
            <w:r w:rsidR="00C865E1">
              <w:t>ā</w:t>
            </w:r>
            <w:r w:rsidR="00B31410">
              <w:t xml:space="preserve"> no</w:t>
            </w:r>
            <w:r w:rsidR="00C865E1">
              <w:t>teikts</w:t>
            </w:r>
            <w:r w:rsidR="00B31410">
              <w:t xml:space="preserve">, ka kompensācijas apmēru par produktiem, kas tiek izņemti no aprites pārstrādes uzņēmumā vai noliktavā un iznīcināti, aprēķina, ņemot vērā produktu iegūšanas pašizmaksas vidējo vērtību. </w:t>
            </w:r>
            <w:r w:rsidR="00C865E1">
              <w:t>Ievērojot minēto,</w:t>
            </w:r>
            <w:r w:rsidR="00B31410">
              <w:t xml:space="preserve"> dzīvnieku īpašnie</w:t>
            </w:r>
            <w:r w:rsidR="00C865E1">
              <w:t>ks</w:t>
            </w:r>
            <w:r w:rsidR="00B31410">
              <w:t xml:space="preserve"> LAD iesniedza aktu Nr.1, kurā norādīja vis</w:t>
            </w:r>
            <w:r w:rsidR="00C865E1">
              <w:t>u</w:t>
            </w:r>
            <w:r w:rsidR="00B31410">
              <w:t xml:space="preserve"> izņemt</w:t>
            </w:r>
            <w:r w:rsidR="00C865E1">
              <w:t>o</w:t>
            </w:r>
            <w:r w:rsidR="00B31410">
              <w:t xml:space="preserve"> produkt</w:t>
            </w:r>
            <w:r w:rsidR="00C865E1">
              <w:t>u</w:t>
            </w:r>
            <w:r w:rsidR="00886639">
              <w:t xml:space="preserve"> iegūšanas pašizmaksas vērtību. </w:t>
            </w:r>
          </w:p>
        </w:tc>
      </w:tr>
      <w:tr w:rsidR="004D272B" w:rsidRPr="00D65792" w:rsidTr="006E6431">
        <w:tc>
          <w:tcPr>
            <w:tcW w:w="2518" w:type="dxa"/>
          </w:tcPr>
          <w:p w:rsidR="004D272B" w:rsidRPr="00D65792" w:rsidRDefault="004D272B" w:rsidP="004D272B">
            <w:pPr>
              <w:jc w:val="both"/>
            </w:pPr>
            <w:r w:rsidRPr="00D65792">
              <w:lastRenderedPageBreak/>
              <w:t>6.1. detalizēts ieņēmumu aprēķins</w:t>
            </w:r>
          </w:p>
        </w:tc>
        <w:tc>
          <w:tcPr>
            <w:tcW w:w="6804" w:type="dxa"/>
            <w:gridSpan w:val="5"/>
          </w:tcPr>
          <w:p w:rsidR="004D272B" w:rsidRPr="00D65792" w:rsidRDefault="00CD0446" w:rsidP="004D272B">
            <w:pPr>
              <w:jc w:val="both"/>
            </w:pPr>
            <w:r>
              <w:t>–</w:t>
            </w:r>
          </w:p>
        </w:tc>
      </w:tr>
      <w:tr w:rsidR="004D272B" w:rsidRPr="00D65792" w:rsidTr="006E6431">
        <w:tc>
          <w:tcPr>
            <w:tcW w:w="2518" w:type="dxa"/>
          </w:tcPr>
          <w:p w:rsidR="004D272B" w:rsidRPr="00D65792" w:rsidRDefault="004D272B" w:rsidP="004D272B">
            <w:pPr>
              <w:jc w:val="both"/>
            </w:pPr>
            <w:r w:rsidRPr="00D65792">
              <w:t>6.2. detalizēts izdevumu aprēķins</w:t>
            </w:r>
          </w:p>
        </w:tc>
        <w:tc>
          <w:tcPr>
            <w:tcW w:w="6804" w:type="dxa"/>
            <w:gridSpan w:val="5"/>
          </w:tcPr>
          <w:p w:rsidR="004D272B" w:rsidRPr="00D65792" w:rsidRDefault="00CD0446" w:rsidP="004D272B">
            <w:pPr>
              <w:jc w:val="both"/>
            </w:pPr>
            <w:r>
              <w:t>–</w:t>
            </w:r>
          </w:p>
        </w:tc>
      </w:tr>
      <w:tr w:rsidR="004D272B" w:rsidRPr="00D65792" w:rsidTr="006E6431">
        <w:tc>
          <w:tcPr>
            <w:tcW w:w="2518" w:type="dxa"/>
          </w:tcPr>
          <w:p w:rsidR="004D272B" w:rsidRPr="00D65792" w:rsidRDefault="004D272B" w:rsidP="004D272B">
            <w:pPr>
              <w:jc w:val="both"/>
            </w:pPr>
            <w:r w:rsidRPr="00D65792">
              <w:t>7. Cita informācija</w:t>
            </w:r>
          </w:p>
        </w:tc>
        <w:tc>
          <w:tcPr>
            <w:tcW w:w="6804" w:type="dxa"/>
            <w:gridSpan w:val="5"/>
          </w:tcPr>
          <w:p w:rsidR="004D272B" w:rsidRPr="00D65792" w:rsidRDefault="004D272B" w:rsidP="004D272B">
            <w:pPr>
              <w:jc w:val="both"/>
            </w:pPr>
            <w:r w:rsidRPr="00D65792">
              <w:t>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w:t>
            </w:r>
            <w:r w:rsidR="00C865E1">
              <w:t>a</w:t>
            </w:r>
            <w:r w:rsidRPr="00D65792">
              <w:t>m dzīvnieku īpašniek</w:t>
            </w:r>
            <w:r w:rsidR="00C865E1">
              <w:t>a</w:t>
            </w:r>
            <w:r w:rsidRPr="00D65792">
              <w:t>m nav konstatēti normatīvo aktu pārkāpumi, tika pieņemts lēmums par kompensācij</w:t>
            </w:r>
            <w:r w:rsidR="00C865E1">
              <w:t>as</w:t>
            </w:r>
            <w:r w:rsidRPr="00D65792">
              <w:t xml:space="preserve"> nesamazināšanu. </w:t>
            </w:r>
            <w:r>
              <w:t>T</w:t>
            </w:r>
            <w:r w:rsidRPr="00D65792">
              <w:t xml:space="preserve">urklāt kaušanas brīdī cūku sugas dzīvniekiem nebija konstatētas </w:t>
            </w:r>
            <w:r>
              <w:t>slimību izraisītas pārmaiņas.</w:t>
            </w:r>
          </w:p>
          <w:p w:rsidR="00D2164E" w:rsidRDefault="004D272B" w:rsidP="004D272B">
            <w:pPr>
              <w:jc w:val="both"/>
            </w:pPr>
            <w:r w:rsidRPr="00D65792">
              <w:t xml:space="preserve">Katru gadu no Eiropas Savienības budžeta līdzekļiem valstij tiek pārskaitīti </w:t>
            </w:r>
            <w:r w:rsidRPr="00E271B9">
              <w:t>līdz 75</w:t>
            </w:r>
            <w:r w:rsidR="006A78FD" w:rsidRPr="00E271B9">
              <w:t> </w:t>
            </w:r>
            <w:r w:rsidRPr="00E271B9">
              <w:t>%</w:t>
            </w:r>
            <w:r w:rsidRPr="00DA0FFE">
              <w:rPr>
                <w:b/>
              </w:rPr>
              <w:t xml:space="preserve"> </w:t>
            </w:r>
            <w:r w:rsidRPr="00D65792">
              <w:t xml:space="preserve">no iztērētajiem līdzekļiem kompensāciju izmaksai dzīvnieku īpašniekiem par slimībām, kuru uzraudzībai un apkarošanai ir sagatavota un ar Eiropas Komisiju saskaņota uzraudzības un apkarošanas programma. Šāda uzraudzības programma ir saskaņota Āfrikas cūku mēra </w:t>
            </w:r>
            <w:r w:rsidR="00C865E1">
              <w:t xml:space="preserve">(turpmāk – ĀCM) </w:t>
            </w:r>
            <w:r w:rsidRPr="00D65792">
              <w:t>uzraudzībai un apkarošanai.</w:t>
            </w:r>
            <w:r w:rsidR="00D2164E">
              <w:t xml:space="preserve"> </w:t>
            </w:r>
            <w:r w:rsidR="00D2164E" w:rsidRPr="00B05C09">
              <w:t xml:space="preserve">Eiropas Komisijas apstiprinātajā ĀCM uzraudzības programmā ir noteikts ES līdzfinansējuma limits par vienu dzīvnieku īpašniekam kompensējamu cūku sugas dzīvnieku – </w:t>
            </w:r>
            <w:r w:rsidR="00D2164E" w:rsidRPr="00D440A2">
              <w:t>120</w:t>
            </w:r>
            <w:r w:rsidR="00C865E1">
              <w:t> </w:t>
            </w:r>
            <w:proofErr w:type="spellStart"/>
            <w:r w:rsidR="00D2164E" w:rsidRPr="00B05C09">
              <w:rPr>
                <w:i/>
              </w:rPr>
              <w:t>euro</w:t>
            </w:r>
            <w:proofErr w:type="spellEnd"/>
            <w:r w:rsidR="00D2164E" w:rsidRPr="00B05C09">
              <w:t xml:space="preserve">. </w:t>
            </w:r>
            <w:r w:rsidR="0038281C">
              <w:t>Tā kā l</w:t>
            </w:r>
            <w:r w:rsidR="00D2164E" w:rsidRPr="00B05C09">
              <w:t>īdzfinansē</w:t>
            </w:r>
            <w:r w:rsidR="0038281C">
              <w:t>jums ir</w:t>
            </w:r>
            <w:r w:rsidR="00D2164E" w:rsidRPr="00B05C09">
              <w:t xml:space="preserve"> līdz 75%, par vienu dzīvnieku maksim</w:t>
            </w:r>
            <w:r w:rsidR="0038281C">
              <w:t>ālais</w:t>
            </w:r>
            <w:r w:rsidR="00D2164E" w:rsidRPr="00B05C09">
              <w:t xml:space="preserve"> </w:t>
            </w:r>
            <w:r w:rsidR="0038281C">
              <w:t>līdzfinansējums</w:t>
            </w:r>
            <w:r w:rsidR="0038281C" w:rsidRPr="00B05C09">
              <w:t xml:space="preserve"> </w:t>
            </w:r>
            <w:r w:rsidR="00D2164E" w:rsidRPr="00B05C09">
              <w:t xml:space="preserve">ir </w:t>
            </w:r>
            <w:r w:rsidR="00D2164E" w:rsidRPr="00D440A2">
              <w:t>90</w:t>
            </w:r>
            <w:r w:rsidR="00C865E1">
              <w:t xml:space="preserve"> </w:t>
            </w:r>
            <w:proofErr w:type="spellStart"/>
            <w:r w:rsidR="00D2164E" w:rsidRPr="00B05C09">
              <w:rPr>
                <w:i/>
              </w:rPr>
              <w:t>euro</w:t>
            </w:r>
            <w:proofErr w:type="spellEnd"/>
            <w:r w:rsidR="00D2164E" w:rsidRPr="00B05C09">
              <w:t xml:space="preserve">. Plānotā ES līdzfinansējuma summa, ko Latvija varētu atgūt 2018. gadā, ir aprēķināta, ņemot vērā ES līdzfinansējuma maksimumu par vienu dzīvnieku un par tiem dzīvniekiem, </w:t>
            </w:r>
            <w:r w:rsidR="0038281C">
              <w:t xml:space="preserve">par </w:t>
            </w:r>
            <w:r w:rsidR="00D2164E" w:rsidRPr="00B05C09">
              <w:t>k</w:t>
            </w:r>
            <w:r w:rsidR="0038281C">
              <w:t>urie</w:t>
            </w:r>
            <w:r w:rsidR="00D2164E" w:rsidRPr="00B05C09">
              <w:t xml:space="preserve">m Latvija </w:t>
            </w:r>
            <w:r w:rsidR="00886639">
              <w:t xml:space="preserve">kompensācijā </w:t>
            </w:r>
            <w:r w:rsidR="00D2164E" w:rsidRPr="00B05C09">
              <w:t xml:space="preserve">ir izmaksājusi mazāk </w:t>
            </w:r>
            <w:r w:rsidR="0038281C">
              <w:t>ne</w:t>
            </w:r>
            <w:r w:rsidR="00D2164E" w:rsidRPr="00B05C09">
              <w:t>kā 90</w:t>
            </w:r>
            <w:r w:rsidR="00C865E1">
              <w:t xml:space="preserve"> </w:t>
            </w:r>
            <w:proofErr w:type="spellStart"/>
            <w:r w:rsidR="00D2164E" w:rsidRPr="00D440A2">
              <w:rPr>
                <w:i/>
              </w:rPr>
              <w:t>euro</w:t>
            </w:r>
            <w:proofErr w:type="spellEnd"/>
            <w:r w:rsidR="0038281C">
              <w:t>,</w:t>
            </w:r>
            <w:r w:rsidR="00D2164E" w:rsidRPr="00B05C09">
              <w:t xml:space="preserve"> par </w:t>
            </w:r>
            <w:r w:rsidR="00C865E1">
              <w:t>katru</w:t>
            </w:r>
            <w:r w:rsidR="00D2164E" w:rsidRPr="00B05C09">
              <w:t xml:space="preserve"> ir aprēķināti 75% no izmaksātās kompensācijas apmēra (piemēram, kompensācijas apmērs ir 42,69</w:t>
            </w:r>
            <w:r w:rsidR="00C865E1">
              <w:t> </w:t>
            </w:r>
            <w:proofErr w:type="spellStart"/>
            <w:r w:rsidR="00D2164E" w:rsidRPr="00D440A2">
              <w:rPr>
                <w:i/>
              </w:rPr>
              <w:t>euro</w:t>
            </w:r>
            <w:proofErr w:type="spellEnd"/>
            <w:r w:rsidR="0038281C">
              <w:t>,</w:t>
            </w:r>
            <w:r w:rsidR="00D2164E" w:rsidRPr="00B05C09">
              <w:t xml:space="preserve"> un no tā 75% ir 32,02</w:t>
            </w:r>
            <w:r w:rsidR="00C865E1">
              <w:t> </w:t>
            </w:r>
            <w:proofErr w:type="spellStart"/>
            <w:r w:rsidR="00D2164E" w:rsidRPr="00D440A2">
              <w:rPr>
                <w:i/>
              </w:rPr>
              <w:t>euro</w:t>
            </w:r>
            <w:proofErr w:type="spellEnd"/>
            <w:r w:rsidR="00D2164E" w:rsidRPr="00B05C09">
              <w:t>, bet, ja kompensācijas apmērs ir 85,37</w:t>
            </w:r>
            <w:r w:rsidR="00C865E1">
              <w:t> </w:t>
            </w:r>
            <w:proofErr w:type="spellStart"/>
            <w:r w:rsidR="00D2164E" w:rsidRPr="00D440A2">
              <w:rPr>
                <w:i/>
              </w:rPr>
              <w:t>euro</w:t>
            </w:r>
            <w:proofErr w:type="spellEnd"/>
            <w:r w:rsidR="00D2164E" w:rsidRPr="00B05C09">
              <w:t>, tad attiecīgi 75% no tā ir 64,03</w:t>
            </w:r>
            <w:r w:rsidR="00C865E1">
              <w:t> </w:t>
            </w:r>
            <w:proofErr w:type="spellStart"/>
            <w:r w:rsidR="00D2164E" w:rsidRPr="00D440A2">
              <w:rPr>
                <w:i/>
              </w:rPr>
              <w:t>euro</w:t>
            </w:r>
            <w:proofErr w:type="spellEnd"/>
            <w:r w:rsidR="00D2164E" w:rsidRPr="00B05C09">
              <w:t>).</w:t>
            </w:r>
          </w:p>
          <w:p w:rsidR="00B05C09" w:rsidRPr="00E271B9" w:rsidRDefault="00B05C09" w:rsidP="00B05C09">
            <w:pPr>
              <w:jc w:val="both"/>
              <w:rPr>
                <w:szCs w:val="22"/>
              </w:rPr>
            </w:pPr>
            <w:r w:rsidRPr="00E271B9">
              <w:t>Regulas Nr.652/2014 14. panta otrā daļa nosaka ES dalībvalstij pienākumu par katru EK saskaņoto dzīvnieku infekcijas slimības uzraudzības programmu</w:t>
            </w:r>
            <w:proofErr w:type="gramStart"/>
            <w:r w:rsidRPr="00E271B9">
              <w:t xml:space="preserve"> līdz katra gada 31. augustam EK iesniegt finanšu starpziņojumu</w:t>
            </w:r>
            <w:proofErr w:type="gramEnd"/>
            <w:r w:rsidRPr="00E271B9">
              <w:t xml:space="preserve">. Šajā starpziņojumā dalībvalsts iekļauj informāciju par programmas izpildi un līdz gada beigām programmas ieviešanas pabeigšanai plānotajiem izdevumiem. Pamatojoties uz dalībvalstu starpziņojumiem, EK </w:t>
            </w:r>
            <w:r w:rsidR="0038281C">
              <w:t>izdara</w:t>
            </w:r>
            <w:r w:rsidRPr="00E271B9">
              <w:t xml:space="preserve"> grozījumus lēmumā, ar ko ir apstiprinātas dzīvnieku infekcijas slimību uzraudzības programmas</w:t>
            </w:r>
            <w:r w:rsidR="00C865E1">
              <w:t>,</w:t>
            </w:r>
            <w:r w:rsidRPr="00E271B9">
              <w:t xml:space="preserve"> un atbilstoši precizē programmas ieviešanai paredzēto līdzfinansējuma ap</w:t>
            </w:r>
            <w:r w:rsidR="0038281C">
              <w:t>mēru</w:t>
            </w:r>
            <w:r w:rsidRPr="00E271B9">
              <w:t xml:space="preserve">. </w:t>
            </w:r>
          </w:p>
          <w:p w:rsidR="004D272B" w:rsidRPr="00D65792" w:rsidRDefault="004D272B" w:rsidP="00B05C09">
            <w:pPr>
              <w:jc w:val="both"/>
            </w:pPr>
            <w:r w:rsidRPr="00D65792">
              <w:lastRenderedPageBreak/>
              <w:t>Izdevum</w:t>
            </w:r>
            <w:r w:rsidR="00CD0446">
              <w:t>i tiek</w:t>
            </w:r>
            <w:r w:rsidRPr="00D65792">
              <w:t xml:space="preserve"> se</w:t>
            </w:r>
            <w:r w:rsidR="00CD0446">
              <w:t xml:space="preserve">gti </w:t>
            </w:r>
            <w:r w:rsidRPr="00D65792">
              <w:t>no valsts budžeta programmas 02.00.00 „Līdzekļi neparedzētiem gadījumiem”.</w:t>
            </w:r>
          </w:p>
        </w:tc>
      </w:tr>
    </w:tbl>
    <w:p w:rsidR="00134406" w:rsidRPr="00D65792" w:rsidRDefault="00134406" w:rsidP="00134406"/>
    <w:tbl>
      <w:tblPr>
        <w:tblStyle w:val="Reatabula"/>
        <w:tblW w:w="9351" w:type="dxa"/>
        <w:tblLook w:val="04A0" w:firstRow="1" w:lastRow="0" w:firstColumn="1" w:lastColumn="0" w:noHBand="0" w:noVBand="1"/>
      </w:tblPr>
      <w:tblGrid>
        <w:gridCol w:w="9351"/>
      </w:tblGrid>
      <w:tr w:rsidR="00FB4827" w:rsidRPr="00A93792" w:rsidTr="001E5ABC">
        <w:tc>
          <w:tcPr>
            <w:tcW w:w="9351" w:type="dxa"/>
          </w:tcPr>
          <w:p w:rsidR="00FB4827" w:rsidRPr="007755EE" w:rsidRDefault="00FB4827" w:rsidP="001E5ABC">
            <w:pPr>
              <w:pStyle w:val="Bezatstarpm"/>
              <w:jc w:val="center"/>
              <w:rPr>
                <w:b/>
              </w:rPr>
            </w:pPr>
            <w:r>
              <w:rPr>
                <w:b/>
              </w:rPr>
              <w:t>I</w:t>
            </w:r>
            <w:r w:rsidRPr="007755EE">
              <w:rPr>
                <w:b/>
              </w:rPr>
              <w:t xml:space="preserve">V. Tiesību akta projekta ietekme uz </w:t>
            </w:r>
            <w:r>
              <w:rPr>
                <w:b/>
              </w:rPr>
              <w:t>spēkā esošo tiesību normu sistēmu</w:t>
            </w:r>
          </w:p>
        </w:tc>
      </w:tr>
      <w:tr w:rsidR="00FB4827" w:rsidRPr="00AE36EF" w:rsidTr="001E5ABC">
        <w:tc>
          <w:tcPr>
            <w:tcW w:w="9351" w:type="dxa"/>
          </w:tcPr>
          <w:p w:rsidR="00FB4827" w:rsidRPr="00AE36EF" w:rsidRDefault="00FB4827" w:rsidP="001E5ABC">
            <w:pPr>
              <w:pStyle w:val="Bezatstarpm"/>
              <w:jc w:val="center"/>
            </w:pPr>
            <w:r>
              <w:t>Projekts šo jomu neskar</w:t>
            </w:r>
            <w:r w:rsidR="00C865E1">
              <w:t>.</w:t>
            </w:r>
          </w:p>
        </w:tc>
      </w:tr>
    </w:tbl>
    <w:p w:rsidR="00FB4827" w:rsidRDefault="00FB4827" w:rsidP="00FB4827">
      <w:pPr>
        <w:pStyle w:val="Bezatstarpm"/>
        <w:jc w:val="both"/>
        <w:rPr>
          <w:i/>
        </w:rPr>
      </w:pPr>
    </w:p>
    <w:tbl>
      <w:tblPr>
        <w:tblStyle w:val="Reatabula"/>
        <w:tblW w:w="9351" w:type="dxa"/>
        <w:tblLook w:val="04A0" w:firstRow="1" w:lastRow="0" w:firstColumn="1" w:lastColumn="0" w:noHBand="0" w:noVBand="1"/>
      </w:tblPr>
      <w:tblGrid>
        <w:gridCol w:w="9351"/>
      </w:tblGrid>
      <w:tr w:rsidR="00FB4827" w:rsidRPr="00AE36EF" w:rsidTr="001E5ABC">
        <w:tc>
          <w:tcPr>
            <w:tcW w:w="9351" w:type="dxa"/>
          </w:tcPr>
          <w:p w:rsidR="00FB4827" w:rsidRPr="007755EE" w:rsidRDefault="00FB4827" w:rsidP="001E5ABC">
            <w:pPr>
              <w:pStyle w:val="Bezatstarpm"/>
              <w:jc w:val="center"/>
              <w:rPr>
                <w:b/>
              </w:rPr>
            </w:pPr>
            <w:r w:rsidRPr="007755EE">
              <w:rPr>
                <w:b/>
              </w:rPr>
              <w:t xml:space="preserve">V. Tiesību akta projekta </w:t>
            </w:r>
            <w:r>
              <w:rPr>
                <w:b/>
              </w:rPr>
              <w:t>atbilstība Latvijas Republikas starptautiskajām saistībām</w:t>
            </w:r>
          </w:p>
        </w:tc>
      </w:tr>
      <w:tr w:rsidR="00FB4827" w:rsidRPr="00AE36EF" w:rsidTr="001E5ABC">
        <w:tc>
          <w:tcPr>
            <w:tcW w:w="9351" w:type="dxa"/>
          </w:tcPr>
          <w:p w:rsidR="00FB4827" w:rsidRPr="00AE36EF" w:rsidRDefault="00FB4827" w:rsidP="001E5ABC">
            <w:pPr>
              <w:pStyle w:val="Bezatstarpm"/>
              <w:jc w:val="center"/>
            </w:pPr>
            <w:r>
              <w:t>Projekts šo jomu neskar</w:t>
            </w:r>
            <w:r w:rsidR="00C865E1">
              <w:t>.</w:t>
            </w:r>
          </w:p>
        </w:tc>
      </w:tr>
    </w:tbl>
    <w:p w:rsidR="00FB4827" w:rsidRDefault="00FB4827" w:rsidP="00FB4827">
      <w:pPr>
        <w:pStyle w:val="Bezatstarpm"/>
        <w:jc w:val="both"/>
        <w:rPr>
          <w:i/>
        </w:rPr>
      </w:pPr>
    </w:p>
    <w:tbl>
      <w:tblPr>
        <w:tblStyle w:val="Reatabula"/>
        <w:tblW w:w="9351" w:type="dxa"/>
        <w:tblLook w:val="04A0" w:firstRow="1" w:lastRow="0" w:firstColumn="1" w:lastColumn="0" w:noHBand="0" w:noVBand="1"/>
      </w:tblPr>
      <w:tblGrid>
        <w:gridCol w:w="9351"/>
      </w:tblGrid>
      <w:tr w:rsidR="00FB4827" w:rsidRPr="00A93792" w:rsidTr="001E5ABC">
        <w:tc>
          <w:tcPr>
            <w:tcW w:w="9351" w:type="dxa"/>
          </w:tcPr>
          <w:p w:rsidR="00FB4827" w:rsidRPr="007755EE" w:rsidRDefault="00FB4827" w:rsidP="001E5ABC">
            <w:pPr>
              <w:pStyle w:val="Bezatstarpm"/>
              <w:jc w:val="center"/>
              <w:rPr>
                <w:b/>
              </w:rPr>
            </w:pPr>
            <w:r w:rsidRPr="007755EE">
              <w:rPr>
                <w:b/>
              </w:rPr>
              <w:t xml:space="preserve">VI. </w:t>
            </w:r>
            <w:r>
              <w:rPr>
                <w:b/>
              </w:rPr>
              <w:t>Sabiedrības līdzdalība un komunikācijas aktivitātes</w:t>
            </w:r>
          </w:p>
        </w:tc>
      </w:tr>
      <w:tr w:rsidR="00FB4827" w:rsidRPr="00AE36EF" w:rsidTr="001E5ABC">
        <w:tc>
          <w:tcPr>
            <w:tcW w:w="9351" w:type="dxa"/>
          </w:tcPr>
          <w:p w:rsidR="00FB4827" w:rsidRPr="00AE36EF" w:rsidRDefault="00FB4827" w:rsidP="001E5ABC">
            <w:pPr>
              <w:pStyle w:val="Bezatstarpm"/>
              <w:jc w:val="center"/>
            </w:pPr>
            <w:r>
              <w:t>Projekts šo jomu neskar</w:t>
            </w:r>
            <w:r w:rsidR="00C865E1">
              <w:t>.</w:t>
            </w:r>
          </w:p>
        </w:tc>
      </w:tr>
    </w:tbl>
    <w:p w:rsidR="00FB4827" w:rsidRDefault="00FB4827" w:rsidP="00134406">
      <w:pPr>
        <w:jc w:val="both"/>
      </w:pPr>
    </w:p>
    <w:tbl>
      <w:tblPr>
        <w:tblStyle w:val="Reatabula"/>
        <w:tblW w:w="9351" w:type="dxa"/>
        <w:tblLook w:val="04A0" w:firstRow="1" w:lastRow="0" w:firstColumn="1" w:lastColumn="0" w:noHBand="0" w:noVBand="1"/>
      </w:tblPr>
      <w:tblGrid>
        <w:gridCol w:w="800"/>
        <w:gridCol w:w="3200"/>
        <w:gridCol w:w="5351"/>
      </w:tblGrid>
      <w:tr w:rsidR="00134406" w:rsidRPr="00D65792" w:rsidTr="006E6431">
        <w:tc>
          <w:tcPr>
            <w:tcW w:w="9351" w:type="dxa"/>
            <w:gridSpan w:val="3"/>
          </w:tcPr>
          <w:p w:rsidR="00134406" w:rsidRPr="00D65792" w:rsidRDefault="00134406" w:rsidP="006E6431">
            <w:pPr>
              <w:jc w:val="center"/>
              <w:rPr>
                <w:b/>
              </w:rPr>
            </w:pPr>
            <w:r w:rsidRPr="00D65792">
              <w:rPr>
                <w:b/>
              </w:rPr>
              <w:t>VII. Tiesību akta projekta izpildes nodrošināšana un tās ietekme uz institūcijām</w:t>
            </w:r>
          </w:p>
        </w:tc>
      </w:tr>
      <w:tr w:rsidR="00134406" w:rsidRPr="00D65792" w:rsidTr="006E6431">
        <w:tc>
          <w:tcPr>
            <w:tcW w:w="800" w:type="dxa"/>
          </w:tcPr>
          <w:p w:rsidR="00134406" w:rsidRPr="00D65792" w:rsidRDefault="00134406" w:rsidP="006E6431">
            <w:r w:rsidRPr="00D65792">
              <w:t>1.</w:t>
            </w:r>
          </w:p>
        </w:tc>
        <w:tc>
          <w:tcPr>
            <w:tcW w:w="3200" w:type="dxa"/>
          </w:tcPr>
          <w:p w:rsidR="00134406" w:rsidRPr="00D65792" w:rsidRDefault="00134406" w:rsidP="006E6431">
            <w:r w:rsidRPr="00D65792">
              <w:t>Projekta izpildē iesaistītās institūcijas</w:t>
            </w:r>
          </w:p>
        </w:tc>
        <w:tc>
          <w:tcPr>
            <w:tcW w:w="5351" w:type="dxa"/>
          </w:tcPr>
          <w:p w:rsidR="00134406" w:rsidRPr="00D65792" w:rsidRDefault="00134406" w:rsidP="008C20DD">
            <w:pPr>
              <w:jc w:val="both"/>
            </w:pPr>
            <w:r w:rsidRPr="00D65792">
              <w:t>Finanšu ministrija, Zemkopības ministrija un Lauku atbalsta dienests</w:t>
            </w:r>
          </w:p>
        </w:tc>
      </w:tr>
      <w:tr w:rsidR="00134406" w:rsidRPr="00D65792" w:rsidTr="006E6431">
        <w:tc>
          <w:tcPr>
            <w:tcW w:w="800" w:type="dxa"/>
          </w:tcPr>
          <w:p w:rsidR="00134406" w:rsidRPr="00D65792" w:rsidRDefault="00134406" w:rsidP="006E6431">
            <w:r w:rsidRPr="00D65792">
              <w:t>2.</w:t>
            </w:r>
          </w:p>
        </w:tc>
        <w:tc>
          <w:tcPr>
            <w:tcW w:w="3200" w:type="dxa"/>
          </w:tcPr>
          <w:p w:rsidR="00134406" w:rsidRPr="00D65792" w:rsidRDefault="00134406" w:rsidP="006E6431">
            <w:pPr>
              <w:jc w:val="both"/>
            </w:pPr>
            <w:r w:rsidRPr="00D65792">
              <w:t>Projekta izpildes ietekme uz pārvaldes funkcijām un institucionālo struktūru. Jaunu institūciju izveide, esošo institūciju likvidācija vai reorganizācija, to ietekme uz institūcijas cilvēkresursiem</w:t>
            </w:r>
          </w:p>
        </w:tc>
        <w:tc>
          <w:tcPr>
            <w:tcW w:w="5351" w:type="dxa"/>
          </w:tcPr>
          <w:p w:rsidR="00134406" w:rsidRPr="00D65792" w:rsidRDefault="00134406" w:rsidP="006E6431">
            <w:r w:rsidRPr="00D65792">
              <w:t>Projekts šo jomu neskar.</w:t>
            </w:r>
          </w:p>
        </w:tc>
      </w:tr>
      <w:tr w:rsidR="00134406" w:rsidRPr="00D65792" w:rsidTr="006E6431">
        <w:tc>
          <w:tcPr>
            <w:tcW w:w="800" w:type="dxa"/>
          </w:tcPr>
          <w:p w:rsidR="00134406" w:rsidRPr="00D65792" w:rsidRDefault="00134406" w:rsidP="006E6431">
            <w:r w:rsidRPr="00D65792">
              <w:t>3.</w:t>
            </w:r>
          </w:p>
        </w:tc>
        <w:tc>
          <w:tcPr>
            <w:tcW w:w="3200" w:type="dxa"/>
          </w:tcPr>
          <w:p w:rsidR="00134406" w:rsidRPr="00D65792" w:rsidRDefault="00134406" w:rsidP="006E6431">
            <w:r w:rsidRPr="00D65792">
              <w:t>Cita informācija</w:t>
            </w:r>
          </w:p>
        </w:tc>
        <w:tc>
          <w:tcPr>
            <w:tcW w:w="5351" w:type="dxa"/>
          </w:tcPr>
          <w:p w:rsidR="00134406" w:rsidRPr="00D65792" w:rsidRDefault="00134406" w:rsidP="006E6431">
            <w:r w:rsidRPr="00D65792">
              <w:t xml:space="preserve">Nav </w:t>
            </w:r>
          </w:p>
        </w:tc>
      </w:tr>
    </w:tbl>
    <w:p w:rsidR="00134406" w:rsidRPr="00D65792" w:rsidRDefault="00134406" w:rsidP="00134406"/>
    <w:p w:rsidR="006B7D1D" w:rsidRDefault="006B7D1D" w:rsidP="00134406"/>
    <w:p w:rsidR="006B7D1D" w:rsidRPr="00D65792" w:rsidRDefault="006B7D1D" w:rsidP="00134406"/>
    <w:p w:rsidR="00134406" w:rsidRPr="005F2F4F" w:rsidRDefault="006B7D1D" w:rsidP="006B7D1D">
      <w:pPr>
        <w:ind w:firstLine="720"/>
        <w:jc w:val="both"/>
        <w:rPr>
          <w:color w:val="000000"/>
          <w:sz w:val="28"/>
          <w:szCs w:val="28"/>
        </w:rPr>
      </w:pPr>
      <w:r>
        <w:rPr>
          <w:color w:val="000000"/>
          <w:sz w:val="28"/>
          <w:szCs w:val="28"/>
        </w:rPr>
        <w:t>Zemkopības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406" w:rsidRPr="005F2F4F">
        <w:rPr>
          <w:color w:val="000000"/>
          <w:sz w:val="28"/>
          <w:szCs w:val="28"/>
        </w:rPr>
        <w:tab/>
      </w:r>
      <w:r w:rsidR="005F2F4F">
        <w:rPr>
          <w:color w:val="000000"/>
          <w:sz w:val="28"/>
          <w:szCs w:val="28"/>
        </w:rPr>
        <w:t xml:space="preserve">Jānis </w:t>
      </w:r>
      <w:r w:rsidR="00134406" w:rsidRPr="005F2F4F">
        <w:rPr>
          <w:color w:val="000000"/>
          <w:sz w:val="28"/>
          <w:szCs w:val="28"/>
        </w:rPr>
        <w:t>Dūklavs</w:t>
      </w:r>
    </w:p>
    <w:p w:rsidR="00134406" w:rsidRDefault="00134406" w:rsidP="006B7D1D">
      <w:pPr>
        <w:ind w:firstLine="720"/>
      </w:pPr>
    </w:p>
    <w:p w:rsidR="006B7D1D" w:rsidRDefault="006B7D1D" w:rsidP="006B7D1D">
      <w:pPr>
        <w:ind w:firstLine="720"/>
      </w:pPr>
    </w:p>
    <w:p w:rsidR="006B7D1D" w:rsidRPr="00D65792" w:rsidRDefault="006B7D1D" w:rsidP="006B7D1D">
      <w:pPr>
        <w:ind w:firstLine="720"/>
      </w:pPr>
      <w:r w:rsidRPr="006B7D1D">
        <w:rPr>
          <w:sz w:val="28"/>
        </w:rPr>
        <w:t xml:space="preserve">Zemkopības ministrijas valsts sekretāra </w:t>
      </w:r>
      <w:proofErr w:type="spellStart"/>
      <w:r w:rsidRPr="006B7D1D">
        <w:rPr>
          <w:sz w:val="28"/>
        </w:rPr>
        <w:t>p.i</w:t>
      </w:r>
      <w:proofErr w:type="spellEnd"/>
      <w:r w:rsidRPr="006B7D1D">
        <w:rPr>
          <w:sz w:val="28"/>
        </w:rPr>
        <w:t>.</w:t>
      </w:r>
      <w:r w:rsidRPr="006B7D1D">
        <w:rPr>
          <w:sz w:val="28"/>
        </w:rPr>
        <w:tab/>
      </w:r>
      <w:r w:rsidRPr="006B7D1D">
        <w:rPr>
          <w:sz w:val="28"/>
        </w:rPr>
        <w:tab/>
      </w:r>
      <w:r w:rsidRPr="006B7D1D">
        <w:rPr>
          <w:sz w:val="28"/>
        </w:rPr>
        <w:tab/>
        <w:t>Jānis Šnore</w:t>
      </w:r>
    </w:p>
    <w:p w:rsidR="00134406" w:rsidRPr="00D65792" w:rsidRDefault="00134406" w:rsidP="00134406"/>
    <w:p w:rsidR="00134406" w:rsidRPr="00D65792" w:rsidRDefault="00134406" w:rsidP="00134406"/>
    <w:p w:rsidR="00134406" w:rsidRDefault="00134406" w:rsidP="00134406"/>
    <w:p w:rsidR="006B7D1D" w:rsidRDefault="006B7D1D" w:rsidP="00134406"/>
    <w:p w:rsidR="006B7D1D" w:rsidRDefault="006B7D1D" w:rsidP="00134406"/>
    <w:p w:rsidR="006B7D1D" w:rsidRDefault="006B7D1D" w:rsidP="00134406"/>
    <w:p w:rsidR="006B7D1D" w:rsidRDefault="006B7D1D" w:rsidP="00134406">
      <w:bookmarkStart w:id="0" w:name="_GoBack"/>
      <w:bookmarkEnd w:id="0"/>
    </w:p>
    <w:p w:rsidR="006B7D1D" w:rsidRPr="00D65792" w:rsidRDefault="006B7D1D" w:rsidP="00134406"/>
    <w:p w:rsidR="00134406" w:rsidRPr="00D65792" w:rsidRDefault="00134406" w:rsidP="00134406"/>
    <w:p w:rsidR="007C4C51" w:rsidRPr="006B7D1D" w:rsidRDefault="00134406" w:rsidP="00134406">
      <w:pPr>
        <w:jc w:val="both"/>
        <w:rPr>
          <w:szCs w:val="20"/>
        </w:rPr>
      </w:pPr>
      <w:r w:rsidRPr="006B7D1D">
        <w:rPr>
          <w:szCs w:val="20"/>
        </w:rPr>
        <w:t>Vanaga</w:t>
      </w:r>
      <w:r w:rsidR="007C4C51" w:rsidRPr="006B7D1D">
        <w:rPr>
          <w:szCs w:val="20"/>
        </w:rPr>
        <w:t xml:space="preserve"> </w:t>
      </w:r>
      <w:r w:rsidR="005F2F4F" w:rsidRPr="006B7D1D">
        <w:rPr>
          <w:szCs w:val="20"/>
        </w:rPr>
        <w:t>67027363</w:t>
      </w:r>
      <w:r w:rsidRPr="006B7D1D">
        <w:rPr>
          <w:szCs w:val="20"/>
        </w:rPr>
        <w:t xml:space="preserve"> </w:t>
      </w:r>
    </w:p>
    <w:p w:rsidR="00134406" w:rsidRPr="006B7D1D" w:rsidRDefault="005F2F4F" w:rsidP="00134406">
      <w:pPr>
        <w:jc w:val="both"/>
        <w:rPr>
          <w:sz w:val="32"/>
        </w:rPr>
      </w:pPr>
      <w:r w:rsidRPr="006B7D1D">
        <w:rPr>
          <w:szCs w:val="20"/>
        </w:rPr>
        <w:t>sanita.v</w:t>
      </w:r>
      <w:r w:rsidR="00134406" w:rsidRPr="006B7D1D">
        <w:rPr>
          <w:szCs w:val="20"/>
        </w:rPr>
        <w:t>anaga@zm.gov.lv</w:t>
      </w:r>
    </w:p>
    <w:p w:rsidR="00134406" w:rsidRPr="00D65792" w:rsidRDefault="00134406" w:rsidP="00134406">
      <w:pPr>
        <w:tabs>
          <w:tab w:val="left" w:pos="5865"/>
        </w:tabs>
      </w:pPr>
    </w:p>
    <w:p w:rsidR="00134406" w:rsidRPr="00D65792" w:rsidRDefault="00134406" w:rsidP="00134406"/>
    <w:p w:rsidR="00D942C8" w:rsidRDefault="00D942C8"/>
    <w:sectPr w:rsidR="00D942C8" w:rsidSect="006B7D1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F3" w:rsidRDefault="002E0BF3" w:rsidP="007C4C51">
      <w:r>
        <w:separator/>
      </w:r>
    </w:p>
  </w:endnote>
  <w:endnote w:type="continuationSeparator" w:id="0">
    <w:p w:rsidR="002E0BF3" w:rsidRDefault="002E0BF3" w:rsidP="007C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B7D1D" w:rsidRDefault="006B7D1D" w:rsidP="006B7D1D">
    <w:pPr>
      <w:pStyle w:val="Kjene"/>
    </w:pPr>
    <w:r w:rsidRPr="006B7D1D">
      <w:rPr>
        <w:sz w:val="20"/>
        <w:szCs w:val="20"/>
      </w:rPr>
      <w:t>ZManot_201017_kompizm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B7D1D" w:rsidRDefault="006B7D1D" w:rsidP="006B7D1D">
    <w:pPr>
      <w:pStyle w:val="Kjene"/>
    </w:pPr>
    <w:r w:rsidRPr="006B7D1D">
      <w:rPr>
        <w:sz w:val="20"/>
        <w:szCs w:val="20"/>
      </w:rPr>
      <w:t>ZManot_201017_kompizm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F3" w:rsidRDefault="002E0BF3" w:rsidP="007C4C51">
      <w:r>
        <w:separator/>
      </w:r>
    </w:p>
  </w:footnote>
  <w:footnote w:type="continuationSeparator" w:id="0">
    <w:p w:rsidR="002E0BF3" w:rsidRDefault="002E0BF3" w:rsidP="007C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8C20DD">
        <w:pPr>
          <w:pStyle w:val="Galvene"/>
          <w:jc w:val="center"/>
        </w:pPr>
        <w:r>
          <w:fldChar w:fldCharType="begin"/>
        </w:r>
        <w:r>
          <w:instrText>PAGE   \* MERGEFORMAT</w:instrText>
        </w:r>
        <w:r>
          <w:fldChar w:fldCharType="separate"/>
        </w:r>
        <w:r w:rsidR="006B7D1D">
          <w:rPr>
            <w:noProof/>
          </w:rPr>
          <w:t>4</w:t>
        </w:r>
        <w:r>
          <w:fldChar w:fldCharType="end"/>
        </w:r>
      </w:p>
    </w:sdtContent>
  </w:sdt>
  <w:p w:rsidR="006D68E8" w:rsidRDefault="006B7D1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06"/>
    <w:rsid w:val="00013064"/>
    <w:rsid w:val="000356DE"/>
    <w:rsid w:val="0009789C"/>
    <w:rsid w:val="000A5ECC"/>
    <w:rsid w:val="0011645F"/>
    <w:rsid w:val="00130387"/>
    <w:rsid w:val="00134406"/>
    <w:rsid w:val="001619B1"/>
    <w:rsid w:val="001D38E0"/>
    <w:rsid w:val="001E323A"/>
    <w:rsid w:val="001F188F"/>
    <w:rsid w:val="00204158"/>
    <w:rsid w:val="00253307"/>
    <w:rsid w:val="002A1196"/>
    <w:rsid w:val="002B480B"/>
    <w:rsid w:val="002E0BF3"/>
    <w:rsid w:val="002F2971"/>
    <w:rsid w:val="0038281C"/>
    <w:rsid w:val="003A4B2E"/>
    <w:rsid w:val="003B0F76"/>
    <w:rsid w:val="003C28B8"/>
    <w:rsid w:val="003F6838"/>
    <w:rsid w:val="0040201B"/>
    <w:rsid w:val="004215A9"/>
    <w:rsid w:val="00433013"/>
    <w:rsid w:val="0048040B"/>
    <w:rsid w:val="00492BA0"/>
    <w:rsid w:val="004D272B"/>
    <w:rsid w:val="004F1485"/>
    <w:rsid w:val="00567038"/>
    <w:rsid w:val="00595F09"/>
    <w:rsid w:val="005A5C3A"/>
    <w:rsid w:val="005F2F4F"/>
    <w:rsid w:val="00613921"/>
    <w:rsid w:val="006A78FD"/>
    <w:rsid w:val="006B3EBE"/>
    <w:rsid w:val="006B7D1D"/>
    <w:rsid w:val="00713840"/>
    <w:rsid w:val="0076139E"/>
    <w:rsid w:val="007B26BE"/>
    <w:rsid w:val="007C4C51"/>
    <w:rsid w:val="007D6BA8"/>
    <w:rsid w:val="007E1AB7"/>
    <w:rsid w:val="00825B35"/>
    <w:rsid w:val="00886639"/>
    <w:rsid w:val="008A0D16"/>
    <w:rsid w:val="008B61C5"/>
    <w:rsid w:val="008C01B6"/>
    <w:rsid w:val="008C20DD"/>
    <w:rsid w:val="00951C56"/>
    <w:rsid w:val="00A02101"/>
    <w:rsid w:val="00AE2209"/>
    <w:rsid w:val="00B011B6"/>
    <w:rsid w:val="00B05C09"/>
    <w:rsid w:val="00B12270"/>
    <w:rsid w:val="00B31410"/>
    <w:rsid w:val="00B70938"/>
    <w:rsid w:val="00B92CED"/>
    <w:rsid w:val="00C108F4"/>
    <w:rsid w:val="00C14CF8"/>
    <w:rsid w:val="00C4591E"/>
    <w:rsid w:val="00C865E1"/>
    <w:rsid w:val="00C96CBC"/>
    <w:rsid w:val="00C96FD9"/>
    <w:rsid w:val="00CC2F8C"/>
    <w:rsid w:val="00CD0446"/>
    <w:rsid w:val="00D14A14"/>
    <w:rsid w:val="00D169E0"/>
    <w:rsid w:val="00D2164E"/>
    <w:rsid w:val="00D27469"/>
    <w:rsid w:val="00D440A2"/>
    <w:rsid w:val="00D72CE5"/>
    <w:rsid w:val="00D942C8"/>
    <w:rsid w:val="00DA5AEE"/>
    <w:rsid w:val="00E271B9"/>
    <w:rsid w:val="00EF4823"/>
    <w:rsid w:val="00FB4827"/>
    <w:rsid w:val="00FC2F1E"/>
    <w:rsid w:val="00FD7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D4EFE-D1A0-4300-82A4-A958899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44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3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4406"/>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34406"/>
    <w:pPr>
      <w:tabs>
        <w:tab w:val="center" w:pos="4513"/>
        <w:tab w:val="right" w:pos="9026"/>
      </w:tabs>
    </w:pPr>
  </w:style>
  <w:style w:type="character" w:customStyle="1" w:styleId="GalveneRakstz">
    <w:name w:val="Galvene Rakstz."/>
    <w:basedOn w:val="Noklusjumarindkopasfonts"/>
    <w:link w:val="Galvene"/>
    <w:uiPriority w:val="99"/>
    <w:rsid w:val="00134406"/>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134406"/>
    <w:pPr>
      <w:tabs>
        <w:tab w:val="center" w:pos="4513"/>
        <w:tab w:val="right" w:pos="9026"/>
      </w:tabs>
    </w:pPr>
  </w:style>
  <w:style w:type="character" w:customStyle="1" w:styleId="KjeneRakstz">
    <w:name w:val="Kājene Rakstz."/>
    <w:basedOn w:val="Noklusjumarindkopasfonts"/>
    <w:link w:val="Kjene"/>
    <w:rsid w:val="00134406"/>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F188F"/>
    <w:pPr>
      <w:ind w:left="720"/>
      <w:contextualSpacing/>
    </w:pPr>
  </w:style>
  <w:style w:type="paragraph" w:styleId="Balonteksts">
    <w:name w:val="Balloon Text"/>
    <w:basedOn w:val="Parasts"/>
    <w:link w:val="BalontekstsRakstz"/>
    <w:uiPriority w:val="99"/>
    <w:semiHidden/>
    <w:unhideWhenUsed/>
    <w:rsid w:val="004330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0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7057</Words>
  <Characters>4023</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finanšu līdzkļu piešķiršanu no valsts budžeta programmas "Līdzekļi neparedzētiem gadījumiem"</vt:lpstr>
      <vt:lpstr>Par finanšu līdzkļu piešķiršanu no valsts budžeta programmas "Līdzekļi neparedzētiem gadījumiem"</vt:lpstr>
    </vt:vector>
  </TitlesOfParts>
  <Manager>Veterinārais un pārtikas departaments</Manager>
  <Company>Zemkopibas Ministrija</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Sanita Žagare</cp:lastModifiedBy>
  <cp:revision>3</cp:revision>
  <dcterms:created xsi:type="dcterms:W3CDTF">2017-10-20T06:20:00Z</dcterms:created>
  <dcterms:modified xsi:type="dcterms:W3CDTF">2017-10-23T12:16:00Z</dcterms:modified>
</cp:coreProperties>
</file>