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F1F01" w14:textId="77777777" w:rsidR="00235BD8" w:rsidRPr="00EE53B9" w:rsidRDefault="00235BD8" w:rsidP="00740D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3B9">
        <w:rPr>
          <w:rFonts w:ascii="Times New Roman" w:hAnsi="Times New Roman" w:cs="Times New Roman"/>
          <w:b/>
          <w:sz w:val="28"/>
          <w:szCs w:val="28"/>
        </w:rPr>
        <w:t>Ministru kabineta rīkojuma projekta „Par finanšu līdzekļu piešķiršanu no valsts budžeta programmas „Līdzekļi neparedzētiem gadījumiem”</w:t>
      </w:r>
      <w:bookmarkStart w:id="0" w:name="_GoBack"/>
      <w:r w:rsidRPr="00EE53B9">
        <w:rPr>
          <w:rFonts w:ascii="Times New Roman" w:hAnsi="Times New Roman" w:cs="Times New Roman"/>
          <w:b/>
          <w:sz w:val="28"/>
          <w:szCs w:val="28"/>
        </w:rPr>
        <w:t>”</w:t>
      </w:r>
      <w:bookmarkEnd w:id="0"/>
    </w:p>
    <w:p w14:paraId="77256451" w14:textId="77777777" w:rsidR="00235BD8" w:rsidRPr="00EE53B9" w:rsidRDefault="00235BD8" w:rsidP="00235B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3B9">
        <w:rPr>
          <w:rFonts w:ascii="Times New Roman" w:hAnsi="Times New Roman" w:cs="Times New Roman"/>
          <w:b/>
          <w:bCs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EE53B9">
          <w:rPr>
            <w:rFonts w:ascii="Times New Roman" w:hAnsi="Times New Roman" w:cs="Times New Roman"/>
            <w:b/>
            <w:bCs/>
            <w:sz w:val="28"/>
            <w:szCs w:val="28"/>
          </w:rPr>
          <w:t>ziņojums</w:t>
        </w:r>
      </w:smartTag>
      <w:r w:rsidRPr="00EE53B9">
        <w:rPr>
          <w:rFonts w:ascii="Times New Roman" w:hAnsi="Times New Roman" w:cs="Times New Roman"/>
          <w:b/>
          <w:bCs/>
          <w:sz w:val="28"/>
          <w:szCs w:val="28"/>
        </w:rPr>
        <w:t xml:space="preserve"> (anotācija)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2"/>
        <w:gridCol w:w="2800"/>
        <w:gridCol w:w="5763"/>
      </w:tblGrid>
      <w:tr w:rsidR="00EE53B9" w:rsidRPr="00EE53B9" w14:paraId="72156851" w14:textId="77777777" w:rsidTr="00235BD8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67A79" w14:textId="77777777" w:rsidR="00235BD8" w:rsidRPr="00EE53B9" w:rsidRDefault="00235BD8" w:rsidP="00235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E53B9" w:rsidRPr="00EE53B9" w14:paraId="1BD23220" w14:textId="77777777" w:rsidTr="00235BD8">
        <w:trPr>
          <w:trHeight w:val="40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FEF13" w14:textId="77777777" w:rsidR="00235BD8" w:rsidRPr="00EE53B9" w:rsidRDefault="00235BD8" w:rsidP="00235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38B4A" w14:textId="77777777" w:rsidR="00235BD8" w:rsidRPr="00EE53B9" w:rsidRDefault="00235BD8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47750" w14:textId="357DDF1F" w:rsidR="00235BD8" w:rsidRPr="00EE53B9" w:rsidRDefault="00235BD8" w:rsidP="00C14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rīkojuma projekts „Par finanšu līdzekļu piešķiršanu no valsts budžeta programmas „Līdzekļi neparedzētiem gadījumiem”” (turpmāk – rīkojuma projekts) </w:t>
            </w:r>
            <w:r w:rsidR="00C77A4B" w:rsidRPr="00EE53B9">
              <w:rPr>
                <w:rFonts w:ascii="Times New Roman" w:hAnsi="Times New Roman" w:cs="Times New Roman"/>
                <w:sz w:val="24"/>
                <w:szCs w:val="24"/>
              </w:rPr>
              <w:t>sagatavo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>ts saskaņā ar Ministru kabineta 2009.</w:t>
            </w:r>
            <w:r w:rsidR="00522A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>gada 22.</w:t>
            </w:r>
            <w:r w:rsidR="00FF257C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>decembra noteikumu Nr.</w:t>
            </w:r>
            <w:r w:rsidR="00DA3E9A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>1644 „Kārtība, kādā pieprasa un izlieto budžeta programmas "Līdzekļi neparedzētiem gadījumiem" līdzekļus” 3.punktu</w:t>
            </w:r>
            <w:r w:rsidR="00FF257C"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E53B9" w:rsidRPr="00EE53B9" w14:paraId="77D13B2B" w14:textId="77777777" w:rsidTr="00235BD8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9A50D" w14:textId="77777777" w:rsidR="00235BD8" w:rsidRPr="00EE53B9" w:rsidRDefault="00235BD8" w:rsidP="00235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DE319" w14:textId="77777777" w:rsidR="00235BD8" w:rsidRPr="00EE53B9" w:rsidRDefault="00235BD8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E2E32" w14:textId="77777777" w:rsidR="00235BD8" w:rsidRPr="00EE53B9" w:rsidRDefault="00235BD8" w:rsidP="00235BD8">
            <w:pPr>
              <w:pStyle w:val="naisf"/>
              <w:ind w:firstLine="0"/>
            </w:pPr>
            <w:r w:rsidRPr="00EE53B9">
              <w:t>Augu aizsardzības likuma 12.</w:t>
            </w:r>
            <w:r w:rsidR="00C54800" w:rsidRPr="00EE53B9">
              <w:t xml:space="preserve"> </w:t>
            </w:r>
            <w:r w:rsidRPr="00EE53B9">
              <w:t>panta sestā daļa paredz, ka persona var saņemt kompensāciju par tai uzdoto fitosanitāro pasākumu izpildi normatīvajos aktos noteiktajā kārtībā. Kompensācija tiek maksāta no valsts budžeta.</w:t>
            </w:r>
          </w:p>
          <w:p w14:paraId="59DEEE28" w14:textId="38E58493" w:rsidR="00235BD8" w:rsidRPr="00EE53B9" w:rsidRDefault="00740DB0" w:rsidP="0023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Ministru </w:t>
            </w:r>
            <w:r w:rsidR="00C77A4B" w:rsidRPr="00EE53B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>abineta 2009.</w:t>
            </w:r>
            <w:r w:rsidR="00C54800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>gada 24.</w:t>
            </w:r>
            <w:r w:rsidR="00C54800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februāra noteikumu Nr. 178 „Kārtība, kādā piešķir kompensāciju par fitosanitāro pasākumu izpildi” (turpmāk </w:t>
            </w:r>
            <w:r w:rsidR="00C77A4B" w:rsidRPr="00EE53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noteikumi </w:t>
            </w:r>
            <w:r w:rsidR="00C77A4B" w:rsidRPr="00EE53B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C77A4B" w:rsidRPr="00EE53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>178) 2.</w:t>
            </w:r>
            <w:r w:rsidR="00522A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>punkt</w:t>
            </w:r>
            <w:r w:rsidR="00C77A4B" w:rsidRPr="00EE53B9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C77A4B" w:rsidRPr="00EE53B9">
              <w:rPr>
                <w:rFonts w:ascii="Times New Roman" w:hAnsi="Times New Roman" w:cs="Times New Roman"/>
                <w:sz w:val="24"/>
                <w:szCs w:val="24"/>
              </w:rPr>
              <w:t>teiktas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personas tiesības saņemt kompensāciju un 1.</w:t>
            </w:r>
            <w:r w:rsidR="00522A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>pielikum</w:t>
            </w:r>
            <w:r w:rsidR="00C77A4B" w:rsidRPr="00EE53B9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A4B" w:rsidRPr="00EE53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kompensācijas apmēr</w:t>
            </w:r>
            <w:r w:rsidR="00C77A4B" w:rsidRPr="00EE53B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5BD8" w:rsidRPr="00EE53B9">
              <w:rPr>
                <w:rFonts w:ascii="Times New Roman" w:hAnsi="Times New Roman" w:cs="Times New Roman"/>
                <w:sz w:val="24"/>
                <w:szCs w:val="24"/>
              </w:rPr>
              <w:t>Noteikum</w:t>
            </w:r>
            <w:r w:rsidR="00C77A4B" w:rsidRPr="00EE53B9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235BD8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A4B" w:rsidRPr="00EE53B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35BD8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r.178 </w:t>
            </w:r>
            <w:r w:rsidR="00C77A4B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arī </w:t>
            </w:r>
            <w:r w:rsidR="00235BD8" w:rsidRPr="00EE53B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C77A4B" w:rsidRPr="00EE53B9">
              <w:rPr>
                <w:rFonts w:ascii="Times New Roman" w:hAnsi="Times New Roman" w:cs="Times New Roman"/>
                <w:sz w:val="24"/>
                <w:szCs w:val="24"/>
              </w:rPr>
              <w:t>teikta</w:t>
            </w:r>
            <w:r w:rsidR="00235BD8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kārtīb</w:t>
            </w:r>
            <w:r w:rsidR="00C77A4B" w:rsidRPr="00EE53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35BD8" w:rsidRPr="00EE53B9">
              <w:rPr>
                <w:rFonts w:ascii="Times New Roman" w:hAnsi="Times New Roman" w:cs="Times New Roman"/>
                <w:sz w:val="24"/>
                <w:szCs w:val="24"/>
              </w:rPr>
              <w:t>, kādā persona var saņemt kompensācij</w:t>
            </w:r>
            <w:r w:rsidR="00C77A4B" w:rsidRPr="00EE53B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35BD8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par izpildītajiem fitosanitārajiem pasākumiem.</w:t>
            </w:r>
          </w:p>
          <w:p w14:paraId="586364FF" w14:textId="08764327" w:rsidR="00235BD8" w:rsidRPr="00EE53B9" w:rsidRDefault="00235BD8" w:rsidP="00235BD8">
            <w:pPr>
              <w:pStyle w:val="Virsraksts4"/>
              <w:jc w:val="both"/>
              <w:rPr>
                <w:bCs/>
                <w:sz w:val="24"/>
                <w:szCs w:val="24"/>
              </w:rPr>
            </w:pPr>
            <w:r w:rsidRPr="00EE53B9">
              <w:rPr>
                <w:bCs/>
                <w:sz w:val="24"/>
                <w:szCs w:val="24"/>
              </w:rPr>
              <w:t xml:space="preserve">Augu karantīnas organisms bakteriālā iedega </w:t>
            </w:r>
            <w:proofErr w:type="spellStart"/>
            <w:r w:rsidRPr="00EE53B9">
              <w:rPr>
                <w:i/>
                <w:sz w:val="24"/>
                <w:szCs w:val="24"/>
              </w:rPr>
              <w:t>Erwinia</w:t>
            </w:r>
            <w:proofErr w:type="spellEnd"/>
            <w:r w:rsidRPr="00EE53B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E53B9">
              <w:rPr>
                <w:i/>
                <w:sz w:val="24"/>
                <w:szCs w:val="24"/>
              </w:rPr>
              <w:t>amylovora</w:t>
            </w:r>
            <w:proofErr w:type="spellEnd"/>
            <w:r w:rsidRPr="00EE53B9">
              <w:rPr>
                <w:i/>
                <w:sz w:val="24"/>
                <w:szCs w:val="24"/>
              </w:rPr>
              <w:t xml:space="preserve"> </w:t>
            </w:r>
            <w:r w:rsidRPr="00EE53B9">
              <w:rPr>
                <w:sz w:val="24"/>
                <w:szCs w:val="24"/>
              </w:rPr>
              <w:t xml:space="preserve">(turpmāk – bakteriālā iedega) </w:t>
            </w:r>
            <w:r w:rsidRPr="00EE53B9">
              <w:rPr>
                <w:bCs/>
                <w:sz w:val="24"/>
                <w:szCs w:val="24"/>
              </w:rPr>
              <w:t>ir ļoti bīstama augļkoku slimība. Šī slimība var izraisīt postījumus līdz pat 80 % ap</w:t>
            </w:r>
            <w:r w:rsidR="00C77A4B" w:rsidRPr="00EE53B9">
              <w:rPr>
                <w:bCs/>
                <w:sz w:val="24"/>
                <w:szCs w:val="24"/>
              </w:rPr>
              <w:t>jomā</w:t>
            </w:r>
            <w:r w:rsidRPr="00EE53B9">
              <w:rPr>
                <w:bCs/>
                <w:sz w:val="24"/>
                <w:szCs w:val="24"/>
              </w:rPr>
              <w:t xml:space="preserve"> no augļu dārza stādījumiem. Inficētais augs agr</w:t>
            </w:r>
            <w:r w:rsidR="00C77A4B" w:rsidRPr="00EE53B9">
              <w:rPr>
                <w:bCs/>
                <w:sz w:val="24"/>
                <w:szCs w:val="24"/>
              </w:rPr>
              <w:t>āk</w:t>
            </w:r>
            <w:r w:rsidRPr="00EE53B9">
              <w:rPr>
                <w:bCs/>
                <w:sz w:val="24"/>
                <w:szCs w:val="24"/>
              </w:rPr>
              <w:t xml:space="preserve"> vai vēl</w:t>
            </w:r>
            <w:r w:rsidR="00C77A4B" w:rsidRPr="00EE53B9">
              <w:rPr>
                <w:bCs/>
                <w:sz w:val="24"/>
                <w:szCs w:val="24"/>
              </w:rPr>
              <w:t>āk</w:t>
            </w:r>
            <w:r w:rsidRPr="00EE53B9">
              <w:rPr>
                <w:bCs/>
                <w:sz w:val="24"/>
                <w:szCs w:val="24"/>
              </w:rPr>
              <w:t xml:space="preserve"> aiziet bojā. Baktērija piemērotos apstākļos ātri izplatās un ir grūti ierobežojama.</w:t>
            </w:r>
          </w:p>
          <w:p w14:paraId="78267D20" w14:textId="77777777" w:rsidR="00235BD8" w:rsidRPr="00EE53B9" w:rsidRDefault="00235BD8" w:rsidP="0023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>Bakteriālā iedega kā augu karantīnas organisms saskaņā ar Augu aizsardzības likuma 12.</w:t>
            </w:r>
            <w:r w:rsidR="00C54800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>panta otro daļu un 18.</w:t>
            </w:r>
            <w:r w:rsidR="00C54800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>panta otrās daļas 3.</w:t>
            </w:r>
            <w:r w:rsidR="00C54800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>punktu ir jāiznīcina, kā arī jāiznīcina ar šo slimību iespējami inficētie augi.</w:t>
            </w:r>
          </w:p>
          <w:p w14:paraId="779B2371" w14:textId="3BFAD682" w:rsidR="00235BD8" w:rsidRPr="00EE53B9" w:rsidRDefault="00235BD8" w:rsidP="0023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>Latvijai ir piešķirts aizsargājamās zonas statuss attiecībā uz bakteriāl</w:t>
            </w:r>
            <w:r w:rsidR="00740DB0" w:rsidRPr="00EE53B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iedeg</w:t>
            </w:r>
            <w:r w:rsidR="00740DB0" w:rsidRPr="00EE53B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. Augus no aizsargājamās zonas var bez ierobežojumiem izplatīt Eiropas Savienībā, bet augu ievešanai aizsargājamā zonā ir noteiktas stingrākas prasības, kā arī </w:t>
            </w:r>
            <w:r w:rsidR="00C77A4B" w:rsidRPr="00EE53B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tiek regulāras pārbaudes un </w:t>
            </w:r>
            <w:r w:rsidR="00C77A4B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tiek īstenoti 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>pasākumi, lai šis organisms neieviestos šajā teritorijā.</w:t>
            </w:r>
          </w:p>
          <w:p w14:paraId="15AB98C5" w14:textId="30B04F23" w:rsidR="00235BD8" w:rsidRPr="00EE53B9" w:rsidRDefault="00235BD8" w:rsidP="00235BD8">
            <w:pPr>
              <w:pStyle w:val="Virsraksts4"/>
              <w:jc w:val="both"/>
              <w:rPr>
                <w:sz w:val="24"/>
                <w:szCs w:val="24"/>
              </w:rPr>
            </w:pPr>
            <w:r w:rsidRPr="00EE53B9">
              <w:rPr>
                <w:bCs/>
                <w:sz w:val="24"/>
                <w:szCs w:val="24"/>
              </w:rPr>
              <w:t>Inficēties ar bakteriāl</w:t>
            </w:r>
            <w:r w:rsidR="00C77A4B" w:rsidRPr="00EE53B9">
              <w:rPr>
                <w:bCs/>
                <w:sz w:val="24"/>
                <w:szCs w:val="24"/>
              </w:rPr>
              <w:t>o</w:t>
            </w:r>
            <w:r w:rsidRPr="00EE53B9">
              <w:rPr>
                <w:bCs/>
                <w:sz w:val="24"/>
                <w:szCs w:val="24"/>
              </w:rPr>
              <w:t xml:space="preserve"> iedeg</w:t>
            </w:r>
            <w:r w:rsidR="00C77A4B" w:rsidRPr="00EE53B9">
              <w:rPr>
                <w:bCs/>
                <w:sz w:val="24"/>
                <w:szCs w:val="24"/>
              </w:rPr>
              <w:t>u</w:t>
            </w:r>
            <w:r w:rsidRPr="00EE53B9">
              <w:rPr>
                <w:bCs/>
                <w:sz w:val="24"/>
                <w:szCs w:val="24"/>
              </w:rPr>
              <w:t xml:space="preserve"> var </w:t>
            </w:r>
            <w:r w:rsidRPr="00EE53B9">
              <w:rPr>
                <w:sz w:val="24"/>
                <w:szCs w:val="24"/>
              </w:rPr>
              <w:t>ābeles (</w:t>
            </w:r>
            <w:proofErr w:type="spellStart"/>
            <w:r w:rsidRPr="00EE53B9">
              <w:rPr>
                <w:i/>
                <w:sz w:val="24"/>
                <w:szCs w:val="24"/>
              </w:rPr>
              <w:t>Malus</w:t>
            </w:r>
            <w:proofErr w:type="spellEnd"/>
            <w:r w:rsidRPr="00EE53B9">
              <w:rPr>
                <w:sz w:val="24"/>
                <w:szCs w:val="24"/>
              </w:rPr>
              <w:t>), bumbieres (</w:t>
            </w:r>
            <w:proofErr w:type="spellStart"/>
            <w:r w:rsidRPr="00EE53B9">
              <w:rPr>
                <w:i/>
                <w:sz w:val="24"/>
                <w:szCs w:val="24"/>
              </w:rPr>
              <w:t>Pyrus</w:t>
            </w:r>
            <w:proofErr w:type="spellEnd"/>
            <w:r w:rsidRPr="00EE53B9">
              <w:rPr>
                <w:sz w:val="24"/>
                <w:szCs w:val="24"/>
              </w:rPr>
              <w:t>), vilkābeles (</w:t>
            </w:r>
            <w:proofErr w:type="spellStart"/>
            <w:r w:rsidRPr="00EE53B9">
              <w:rPr>
                <w:i/>
                <w:sz w:val="24"/>
                <w:szCs w:val="24"/>
              </w:rPr>
              <w:t>Crataegus</w:t>
            </w:r>
            <w:proofErr w:type="spellEnd"/>
            <w:r w:rsidRPr="00EE53B9">
              <w:rPr>
                <w:sz w:val="24"/>
                <w:szCs w:val="24"/>
              </w:rPr>
              <w:t>), pīlādži (</w:t>
            </w:r>
            <w:r w:rsidRPr="00EE53B9">
              <w:rPr>
                <w:i/>
                <w:sz w:val="24"/>
                <w:szCs w:val="24"/>
              </w:rPr>
              <w:t>Sorbus</w:t>
            </w:r>
            <w:r w:rsidRPr="00EE53B9">
              <w:rPr>
                <w:sz w:val="24"/>
                <w:szCs w:val="24"/>
              </w:rPr>
              <w:t>), klintenes (</w:t>
            </w:r>
            <w:proofErr w:type="spellStart"/>
            <w:r w:rsidRPr="00EE53B9">
              <w:rPr>
                <w:i/>
                <w:sz w:val="24"/>
                <w:szCs w:val="24"/>
              </w:rPr>
              <w:t>Cotoneaster</w:t>
            </w:r>
            <w:proofErr w:type="spellEnd"/>
            <w:r w:rsidRPr="00EE53B9">
              <w:rPr>
                <w:sz w:val="24"/>
                <w:szCs w:val="24"/>
              </w:rPr>
              <w:t>), cidonijas (</w:t>
            </w:r>
            <w:proofErr w:type="spellStart"/>
            <w:r w:rsidRPr="00EE53B9">
              <w:rPr>
                <w:i/>
                <w:sz w:val="24"/>
                <w:szCs w:val="24"/>
              </w:rPr>
              <w:t>Cydonia</w:t>
            </w:r>
            <w:proofErr w:type="spellEnd"/>
            <w:r w:rsidRPr="00EE53B9">
              <w:rPr>
                <w:sz w:val="24"/>
                <w:szCs w:val="24"/>
              </w:rPr>
              <w:t>), krūmcidonijas (</w:t>
            </w:r>
            <w:proofErr w:type="spellStart"/>
            <w:r w:rsidRPr="00EE53B9">
              <w:rPr>
                <w:i/>
                <w:sz w:val="24"/>
                <w:szCs w:val="24"/>
              </w:rPr>
              <w:t>Chaenomeles</w:t>
            </w:r>
            <w:proofErr w:type="spellEnd"/>
            <w:r w:rsidRPr="00EE53B9">
              <w:rPr>
                <w:sz w:val="24"/>
                <w:szCs w:val="24"/>
              </w:rPr>
              <w:t>), korintes (</w:t>
            </w:r>
            <w:proofErr w:type="spellStart"/>
            <w:r w:rsidRPr="00EE53B9">
              <w:rPr>
                <w:i/>
                <w:sz w:val="24"/>
                <w:szCs w:val="24"/>
              </w:rPr>
              <w:t>Amelanchier</w:t>
            </w:r>
            <w:proofErr w:type="spellEnd"/>
            <w:r w:rsidRPr="00EE53B9">
              <w:rPr>
                <w:sz w:val="24"/>
                <w:szCs w:val="24"/>
              </w:rPr>
              <w:t xml:space="preserve">), </w:t>
            </w:r>
            <w:proofErr w:type="spellStart"/>
            <w:r w:rsidRPr="00EE53B9">
              <w:rPr>
                <w:sz w:val="24"/>
                <w:szCs w:val="24"/>
              </w:rPr>
              <w:lastRenderedPageBreak/>
              <w:t>eriobotrijas</w:t>
            </w:r>
            <w:proofErr w:type="spellEnd"/>
            <w:r w:rsidRPr="00EE53B9">
              <w:rPr>
                <w:sz w:val="24"/>
                <w:szCs w:val="24"/>
              </w:rPr>
              <w:t xml:space="preserve"> (</w:t>
            </w:r>
            <w:proofErr w:type="spellStart"/>
            <w:r w:rsidRPr="00EE53B9">
              <w:rPr>
                <w:i/>
                <w:sz w:val="24"/>
                <w:szCs w:val="24"/>
              </w:rPr>
              <w:t>Eriobotrya</w:t>
            </w:r>
            <w:proofErr w:type="spellEnd"/>
            <w:r w:rsidRPr="00EE53B9">
              <w:rPr>
                <w:sz w:val="24"/>
                <w:szCs w:val="24"/>
              </w:rPr>
              <w:t xml:space="preserve">) un </w:t>
            </w:r>
            <w:proofErr w:type="spellStart"/>
            <w:r w:rsidRPr="00EE53B9">
              <w:rPr>
                <w:sz w:val="24"/>
                <w:szCs w:val="24"/>
              </w:rPr>
              <w:t>ugunsērkšķi</w:t>
            </w:r>
            <w:proofErr w:type="spellEnd"/>
            <w:r w:rsidRPr="00EE53B9">
              <w:rPr>
                <w:sz w:val="24"/>
                <w:szCs w:val="24"/>
              </w:rPr>
              <w:t xml:space="preserve"> (</w:t>
            </w:r>
            <w:proofErr w:type="spellStart"/>
            <w:r w:rsidRPr="00EE53B9">
              <w:rPr>
                <w:i/>
                <w:sz w:val="24"/>
                <w:szCs w:val="24"/>
              </w:rPr>
              <w:t>Pyracantha</w:t>
            </w:r>
            <w:proofErr w:type="spellEnd"/>
            <w:r w:rsidRPr="00EE53B9">
              <w:rPr>
                <w:sz w:val="24"/>
                <w:szCs w:val="24"/>
              </w:rPr>
              <w:t>) (turpmāk – saimniekaugs)</w:t>
            </w:r>
            <w:r w:rsidRPr="00EE53B9">
              <w:rPr>
                <w:bCs/>
                <w:sz w:val="24"/>
                <w:szCs w:val="24"/>
              </w:rPr>
              <w:t xml:space="preserve">. Pārsvarā tās ir Latvijas augļkopībai nozīmīgas augu sugas. </w:t>
            </w:r>
          </w:p>
          <w:p w14:paraId="731074A3" w14:textId="581BCCD9" w:rsidR="00235BD8" w:rsidRPr="00EE53B9" w:rsidRDefault="00235BD8" w:rsidP="0023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>Bakteriālā iedega Latvijā pirmo reizi tika konstatēta 2007.</w:t>
            </w:r>
            <w:r w:rsidR="00522A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>gada jūlijā</w:t>
            </w:r>
            <w:r w:rsidRPr="00EE53B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Bakteriāl</w:t>
            </w:r>
            <w:r w:rsidR="00740DB0" w:rsidRPr="00EE53B9">
              <w:rPr>
                <w:rFonts w:ascii="Times New Roman" w:hAnsi="Times New Roman" w:cs="Times New Roman"/>
                <w:sz w:val="24"/>
                <w:szCs w:val="24"/>
              </w:rPr>
              <w:t>ās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iedeg</w:t>
            </w:r>
            <w:r w:rsidR="00740DB0" w:rsidRPr="00EE53B9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plašākas izplatīšanās vai ieviešanās novēršanai ir svarīgi laikus konstatēt perēkļus un iznīcināt inficētos un iespējami inficētos saimniekaugus. </w:t>
            </w:r>
          </w:p>
          <w:p w14:paraId="59577E76" w14:textId="3D8E8BAE" w:rsidR="00235BD8" w:rsidRPr="00EE53B9" w:rsidRDefault="00235BD8" w:rsidP="00D1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Valsts augu aizsardzības dienests (turpmāk – dienests) veic monitoringu dažādās bakteriālās iedegas saimniekaugu audzēšanas un augšanas vietās – augļu koku un dekoratīvo augu stādaudzētavās, </w:t>
            </w:r>
            <w:proofErr w:type="spellStart"/>
            <w:r w:rsidRPr="00EE53B9">
              <w:rPr>
                <w:rFonts w:ascii="Times New Roman" w:hAnsi="Times New Roman" w:cs="Times New Roman"/>
                <w:sz w:val="24"/>
                <w:szCs w:val="24"/>
              </w:rPr>
              <w:t>komercdārzos</w:t>
            </w:r>
            <w:proofErr w:type="spellEnd"/>
            <w:r w:rsidRPr="00EE53B9">
              <w:rPr>
                <w:rFonts w:ascii="Times New Roman" w:hAnsi="Times New Roman" w:cs="Times New Roman"/>
                <w:sz w:val="24"/>
                <w:szCs w:val="24"/>
              </w:rPr>
              <w:t>, piemājas dārzos, pamestos dārzos, apstādījumos, savvaļā augošiem augiem. Tāpat dienests veic uzraudzību bakteriālo iedegu perēkļos un karantīnas zonā, kā arī buferzonā trīs kilometru rādiusā ap karantīnas zonu un perēkļiem.</w:t>
            </w:r>
          </w:p>
          <w:p w14:paraId="0C9B486A" w14:textId="20916CCD" w:rsidR="00235BD8" w:rsidRPr="00EE53B9" w:rsidRDefault="00235BD8" w:rsidP="0023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E1BA8" w:rsidRPr="00EE53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4800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gadā </w:t>
            </w:r>
            <w:r w:rsidR="00C54800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laikā līdz 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54800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>septembrim</w:t>
            </w:r>
            <w:r w:rsidR="00C54800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dienests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veica </w:t>
            </w:r>
            <w:r w:rsidR="00B850C6" w:rsidRPr="00EE53B9"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  <w:r w:rsidR="00522A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>pārbaudes dažādās bakteriālās iedegas saimniekaugu audzēšanas un augšanas vietās</w:t>
            </w:r>
            <w:r w:rsidR="00290FC2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7A4B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un to </w:t>
            </w:r>
            <w:r w:rsidR="00290FC2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laikā tika noņemti </w:t>
            </w:r>
            <w:r w:rsidR="00034C58" w:rsidRPr="00EE53B9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 w:rsidR="00205496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FC2" w:rsidRPr="00EE53B9">
              <w:rPr>
                <w:rFonts w:ascii="Times New Roman" w:hAnsi="Times New Roman" w:cs="Times New Roman"/>
                <w:sz w:val="24"/>
                <w:szCs w:val="24"/>
              </w:rPr>
              <w:t>paraugi, kas tika testēti Nacionālajā fitosanitārajā laboratorijā. No paraugiem, kas testēti uz bakteriālo iedegu</w:t>
            </w:r>
            <w:r w:rsidR="00C77A4B" w:rsidRPr="00EE53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pozitīvus rezultātus </w:t>
            </w:r>
            <w:r w:rsidR="00C77A4B" w:rsidRPr="00EE53B9">
              <w:rPr>
                <w:rFonts w:ascii="Times New Roman" w:hAnsi="Times New Roman" w:cs="Times New Roman"/>
                <w:sz w:val="24"/>
                <w:szCs w:val="24"/>
              </w:rPr>
              <w:t>deva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A4B" w:rsidRPr="00EE53B9">
              <w:rPr>
                <w:rFonts w:ascii="Times New Roman" w:hAnsi="Times New Roman" w:cs="Times New Roman"/>
                <w:sz w:val="24"/>
                <w:szCs w:val="24"/>
              </w:rPr>
              <w:t>viens</w:t>
            </w:r>
            <w:r w:rsidR="00C0590D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paraugs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1CA1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9E175C" w14:textId="6130E5D8" w:rsidR="00DD4618" w:rsidRPr="00EE53B9" w:rsidRDefault="00FD4339" w:rsidP="00616E7A">
            <w:pPr>
              <w:spacing w:after="0" w:line="240" w:lineRule="auto"/>
              <w:ind w:firstLine="6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>Paraugs, kurā konstatēja bakteriālo iedegu</w:t>
            </w:r>
            <w:r w:rsidR="00C77A4B" w:rsidRPr="00EE53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tika noņemts </w:t>
            </w:r>
            <w:r w:rsidR="00DD4618" w:rsidRPr="00EE53B9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  <w:r w:rsidR="00E8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618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r w:rsidR="007370F3" w:rsidRPr="00EE53B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E8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0F3" w:rsidRPr="00EE53B9">
              <w:rPr>
                <w:rFonts w:ascii="Times New Roman" w:hAnsi="Times New Roman" w:cs="Times New Roman"/>
                <w:sz w:val="24"/>
                <w:szCs w:val="24"/>
              </w:rPr>
              <w:t>jūlijā</w:t>
            </w:r>
            <w:r w:rsidR="00DD4618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522A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D4618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436" w:rsidRPr="00EE53B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DD4618" w:rsidRPr="00EE53B9">
              <w:rPr>
                <w:rFonts w:ascii="Times New Roman" w:hAnsi="Times New Roman" w:cs="Times New Roman"/>
                <w:sz w:val="24"/>
                <w:szCs w:val="24"/>
              </w:rPr>
              <w:t>Klīves</w:t>
            </w:r>
            <w:proofErr w:type="spellEnd"/>
            <w:r w:rsidR="004F6436" w:rsidRPr="00EE53B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D4618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6DB" w:rsidRPr="00EE53B9">
              <w:rPr>
                <w:rFonts w:ascii="Times New Roman" w:hAnsi="Times New Roman" w:cs="Times New Roman"/>
                <w:sz w:val="24"/>
                <w:szCs w:val="24"/>
              </w:rPr>
              <w:t>komercdārzā</w:t>
            </w:r>
            <w:proofErr w:type="spellEnd"/>
            <w:r w:rsidR="003C06DB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Jelgavas novadā, Elejas pagastā.</w:t>
            </w:r>
            <w:r w:rsidR="00C141FD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E7A" w:rsidRPr="00EE53B9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  <w:r w:rsidR="00E8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E7A" w:rsidRPr="00EE53B9">
              <w:rPr>
                <w:rFonts w:ascii="Times New Roman" w:hAnsi="Times New Roman" w:cs="Times New Roman"/>
                <w:sz w:val="24"/>
                <w:szCs w:val="24"/>
              </w:rPr>
              <w:t>gada 1.</w:t>
            </w:r>
            <w:r w:rsidR="00E8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E7A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augustā tika pieņemts lēmums Nr. 30-7.3.4.1/10 par fitosanitāro pasākumu piemērošanu </w:t>
            </w:r>
            <w:r w:rsidR="00522A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16E7A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88 augļu koku iznīcināšanu. Par fitosanitāro pasākumu ievērošanu dienesta inspektors pārliecinājās 2017.</w:t>
            </w:r>
            <w:r w:rsidR="00E8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E7A" w:rsidRPr="00EE53B9">
              <w:rPr>
                <w:rFonts w:ascii="Times New Roman" w:hAnsi="Times New Roman" w:cs="Times New Roman"/>
                <w:sz w:val="24"/>
                <w:szCs w:val="24"/>
              </w:rPr>
              <w:t>gada 18.</w:t>
            </w:r>
            <w:r w:rsidR="00E8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E7A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augustā, </w:t>
            </w:r>
            <w:r w:rsidR="00522A45">
              <w:rPr>
                <w:rFonts w:ascii="Times New Roman" w:hAnsi="Times New Roman" w:cs="Times New Roman"/>
                <w:sz w:val="24"/>
                <w:szCs w:val="24"/>
              </w:rPr>
              <w:t>un t</w:t>
            </w:r>
            <w:r w:rsidR="00616E7A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as tika norādīts pārbaudes aktā Nr.115-AKA-155-17. </w:t>
            </w:r>
            <w:r w:rsidR="00C141FD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Šajā </w:t>
            </w:r>
            <w:proofErr w:type="spellStart"/>
            <w:r w:rsidR="00F95C01" w:rsidRPr="00EE53B9">
              <w:rPr>
                <w:rFonts w:ascii="Times New Roman" w:hAnsi="Times New Roman" w:cs="Times New Roman"/>
                <w:sz w:val="24"/>
                <w:szCs w:val="24"/>
              </w:rPr>
              <w:t>komercdārzā</w:t>
            </w:r>
            <w:proofErr w:type="spellEnd"/>
            <w:r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2017. gad</w:t>
            </w:r>
            <w:r w:rsidR="00DD4618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16E7A" w:rsidRPr="00EE53B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E8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E7A" w:rsidRPr="00EE53B9">
              <w:rPr>
                <w:rFonts w:ascii="Times New Roman" w:hAnsi="Times New Roman" w:cs="Times New Roman"/>
                <w:sz w:val="24"/>
                <w:szCs w:val="24"/>
              </w:rPr>
              <w:t>augustā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A4B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notika 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>atkārtot</w:t>
            </w:r>
            <w:r w:rsidR="00C77A4B" w:rsidRPr="00EE53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pārbaude, kuras laikā tika konstatēti augļu</w:t>
            </w:r>
            <w:r w:rsidR="00522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>koki ar bakteriālās iedegas vizuālajām pazīmēm</w:t>
            </w:r>
            <w:r w:rsidR="00C77A4B" w:rsidRPr="00EE53B9">
              <w:rPr>
                <w:rFonts w:ascii="Times New Roman" w:hAnsi="Times New Roman" w:cs="Times New Roman"/>
                <w:sz w:val="24"/>
                <w:szCs w:val="24"/>
              </w:rPr>
              <w:t>, tāpēc</w:t>
            </w:r>
            <w:r w:rsidR="00F95C01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saskaņā ar Ministru kabineta 2008. gada 21. jūlija noteikumu Nr. 575 ,,Bakteriālās iedegas apkarošanas</w:t>
            </w:r>
            <w:r w:rsidR="00876345">
              <w:rPr>
                <w:rFonts w:ascii="Times New Roman" w:hAnsi="Times New Roman" w:cs="Times New Roman"/>
                <w:sz w:val="24"/>
                <w:szCs w:val="24"/>
              </w:rPr>
              <w:t xml:space="preserve"> un izplatības ierobežošanas kārtība</w:t>
            </w:r>
            <w:r w:rsidR="00F95C01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” 13. punktu </w:t>
            </w:r>
            <w:r w:rsidR="00C141FD" w:rsidRPr="00EE53B9">
              <w:rPr>
                <w:rFonts w:ascii="Times New Roman" w:hAnsi="Times New Roman" w:cs="Times New Roman"/>
                <w:sz w:val="24"/>
                <w:szCs w:val="24"/>
              </w:rPr>
              <w:t>dienests piemēroj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141FD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fitosanitāros pasākumus</w:t>
            </w:r>
            <w:r w:rsidR="00F80451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bez paraugu ņemšanas</w:t>
            </w:r>
            <w:r w:rsidR="00DD4618" w:rsidRPr="00EE5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C0F0B3" w14:textId="76EB6F1B" w:rsidR="00DD4618" w:rsidRPr="00EE53B9" w:rsidRDefault="00DD4618" w:rsidP="00616E7A">
            <w:pPr>
              <w:spacing w:after="0" w:line="240" w:lineRule="auto"/>
              <w:ind w:firstLine="6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Pamatojoties uz </w:t>
            </w:r>
            <w:r w:rsidR="00616E7A" w:rsidRPr="00EE53B9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  <w:r w:rsidR="0087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E7A" w:rsidRPr="00EE53B9">
              <w:rPr>
                <w:rFonts w:ascii="Times New Roman" w:hAnsi="Times New Roman" w:cs="Times New Roman"/>
                <w:sz w:val="24"/>
                <w:szCs w:val="24"/>
              </w:rPr>
              <w:t>gada 5.</w:t>
            </w:r>
            <w:r w:rsidR="0087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E7A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septembra 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>lēmumu Nr. 30-7.3.4.1/11 par fitosanitāro pasākumu piemērošanu</w:t>
            </w:r>
            <w:r w:rsidR="00522A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tika iznīcināti 35 augļu koki, </w:t>
            </w:r>
            <w:r w:rsidR="00522A45">
              <w:rPr>
                <w:rFonts w:ascii="Times New Roman" w:hAnsi="Times New Roman" w:cs="Times New Roman"/>
                <w:sz w:val="24"/>
                <w:szCs w:val="24"/>
              </w:rPr>
              <w:t>un dienesta inspektors</w:t>
            </w:r>
            <w:r w:rsidR="00522A45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par </w:t>
            </w:r>
            <w:r w:rsidR="00522A4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>o pārliecinājās un norādīja 2017.</w:t>
            </w:r>
            <w:r w:rsidR="00034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>gada 20.</w:t>
            </w:r>
            <w:r w:rsidR="00034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septembra pārbaudes aktā Nr.115-AKA-207-17. </w:t>
            </w:r>
          </w:p>
          <w:p w14:paraId="3C35D24A" w14:textId="32BECD69" w:rsidR="00235BD8" w:rsidRPr="00EE53B9" w:rsidRDefault="00235BD8">
            <w:pPr>
              <w:ind w:firstLine="6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Lauku atbalsta dienests saņēma </w:t>
            </w:r>
            <w:r w:rsidR="00FE1908" w:rsidRPr="00EE53B9">
              <w:rPr>
                <w:rFonts w:ascii="Times New Roman" w:hAnsi="Times New Roman" w:cs="Times New Roman"/>
                <w:sz w:val="24"/>
                <w:szCs w:val="24"/>
              </w:rPr>
              <w:t>divus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iesniegumus kompensācij</w:t>
            </w:r>
            <w:r w:rsidR="00522A45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saņemšanai par 201</w:t>
            </w:r>
            <w:r w:rsidR="003C06DB" w:rsidRPr="00EE53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54800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6DB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gadā </w:t>
            </w:r>
            <w:r w:rsidR="00DD4618" w:rsidRPr="00EE53B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22A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D4618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A4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DD4618" w:rsidRPr="00EE53B9">
              <w:rPr>
                <w:rFonts w:ascii="Times New Roman" w:hAnsi="Times New Roman" w:cs="Times New Roman"/>
                <w:sz w:val="24"/>
                <w:szCs w:val="24"/>
              </w:rPr>
              <w:t>Klīves</w:t>
            </w:r>
            <w:proofErr w:type="spellEnd"/>
            <w:r w:rsidR="00522A4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noteiktajiem un izpildītaj</w:t>
            </w:r>
            <w:r w:rsidR="00616E7A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iem fitosanitārajiem pasākumiem </w:t>
            </w:r>
            <w:r w:rsidR="00EE53B9" w:rsidRPr="00EE53B9">
              <w:rPr>
                <w:rFonts w:ascii="Times New Roman" w:hAnsi="Times New Roman" w:cs="Times New Roman"/>
                <w:sz w:val="24"/>
                <w:szCs w:val="24"/>
              </w:rPr>
              <w:t>(88</w:t>
            </w:r>
            <w:r w:rsidR="00616E7A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un 35 augļu koku iznīcināšanu)</w:t>
            </w:r>
          </w:p>
        </w:tc>
      </w:tr>
      <w:tr w:rsidR="00EE53B9" w:rsidRPr="00EE53B9" w14:paraId="542ABAF2" w14:textId="77777777" w:rsidTr="00235BD8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7DC1B" w14:textId="77777777" w:rsidR="00235BD8" w:rsidRPr="00EE53B9" w:rsidRDefault="00235BD8" w:rsidP="00235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3B878" w14:textId="77777777" w:rsidR="00235BD8" w:rsidRPr="00EE53B9" w:rsidRDefault="00235BD8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8CA6E" w14:textId="4412F379" w:rsidR="00235BD8" w:rsidRPr="00EE53B9" w:rsidRDefault="00FE1908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>Valsts augu aizsardzības dienests</w:t>
            </w:r>
          </w:p>
        </w:tc>
      </w:tr>
      <w:tr w:rsidR="00EE53B9" w:rsidRPr="00EE53B9" w14:paraId="35AB2D8F" w14:textId="77777777" w:rsidTr="00235BD8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2BFB7" w14:textId="77777777" w:rsidR="00235BD8" w:rsidRPr="00EE53B9" w:rsidRDefault="00235BD8" w:rsidP="00235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1953D" w14:textId="77777777" w:rsidR="00235BD8" w:rsidRPr="00EE53B9" w:rsidRDefault="00235BD8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7231E" w14:textId="41FB8EB5" w:rsidR="00235BD8" w:rsidRPr="00EE53B9" w:rsidRDefault="00235BD8" w:rsidP="00235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FA593A" w:rsidRPr="00EE5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2FFA3F0" w14:textId="77777777" w:rsidR="00235BD8" w:rsidRPr="00EE53B9" w:rsidRDefault="00235BD8" w:rsidP="00235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E53B9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2"/>
        <w:gridCol w:w="2800"/>
        <w:gridCol w:w="5763"/>
      </w:tblGrid>
      <w:tr w:rsidR="00EE53B9" w:rsidRPr="00EE53B9" w14:paraId="6A824CE2" w14:textId="77777777" w:rsidTr="00D14D77">
        <w:trPr>
          <w:trHeight w:val="1697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0F1A0" w14:textId="77777777" w:rsidR="00235BD8" w:rsidRPr="00EE53B9" w:rsidRDefault="00235BD8" w:rsidP="00235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E53B9" w:rsidRPr="00EE53B9" w14:paraId="504B90C8" w14:textId="77777777" w:rsidTr="00235BD8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C6F11" w14:textId="77777777" w:rsidR="00235BD8" w:rsidRPr="00EE53B9" w:rsidRDefault="00235BD8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DA767" w14:textId="77777777" w:rsidR="00235BD8" w:rsidRPr="00EE53B9" w:rsidRDefault="00235BD8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C1E85" w14:textId="26133097" w:rsidR="00235BD8" w:rsidRPr="00EE53B9" w:rsidRDefault="00510680" w:rsidP="00ED2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>Viena</w:t>
            </w:r>
            <w:r w:rsidR="00DE57B0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persona</w:t>
            </w:r>
            <w:r w:rsidR="00235BD8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57B0" w:rsidRPr="00EE53B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77A4B" w:rsidRPr="00EE53B9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DE57B0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izpildījusi</w:t>
            </w:r>
            <w:r w:rsidR="00235BD8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fitosanitāros pasākumus bakteriālās iedegas </w:t>
            </w:r>
            <w:proofErr w:type="spellStart"/>
            <w:r w:rsidR="00235BD8" w:rsidRPr="00EE5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Erwinia</w:t>
            </w:r>
            <w:proofErr w:type="spellEnd"/>
            <w:r w:rsidR="00235BD8" w:rsidRPr="00EE5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35BD8" w:rsidRPr="00EE5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amylovora</w:t>
            </w:r>
            <w:proofErr w:type="spellEnd"/>
            <w:r w:rsidR="00235BD8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35BD8" w:rsidRPr="00EE53B9">
              <w:rPr>
                <w:rFonts w:ascii="Times New Roman" w:hAnsi="Times New Roman" w:cs="Times New Roman"/>
                <w:sz w:val="24"/>
                <w:szCs w:val="24"/>
              </w:rPr>
              <w:t>Burr</w:t>
            </w:r>
            <w:proofErr w:type="spellEnd"/>
            <w:r w:rsidR="00235BD8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="00235BD8" w:rsidRPr="00EE53B9">
              <w:rPr>
                <w:rFonts w:ascii="Times New Roman" w:hAnsi="Times New Roman" w:cs="Times New Roman"/>
                <w:sz w:val="24"/>
                <w:szCs w:val="24"/>
              </w:rPr>
              <w:t>Winsl</w:t>
            </w:r>
            <w:proofErr w:type="spellEnd"/>
            <w:r w:rsidR="00235BD8" w:rsidRPr="00EE5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7A4B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D8" w:rsidRPr="00EE53B9">
              <w:rPr>
                <w:rFonts w:ascii="Times New Roman" w:hAnsi="Times New Roman" w:cs="Times New Roman"/>
                <w:sz w:val="24"/>
                <w:szCs w:val="24"/>
              </w:rPr>
              <w:t>et.al</w:t>
            </w:r>
            <w:proofErr w:type="spellEnd"/>
            <w:r w:rsidR="00235BD8" w:rsidRPr="00EE53B9">
              <w:rPr>
                <w:rFonts w:ascii="Times New Roman" w:hAnsi="Times New Roman" w:cs="Times New Roman"/>
                <w:sz w:val="24"/>
                <w:szCs w:val="24"/>
              </w:rPr>
              <w:t>. apkarošanai un izplatības ierobežošanai un iesniegu</w:t>
            </w:r>
            <w:r w:rsidR="00060D1E" w:rsidRPr="00EE53B9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235BD8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divus </w:t>
            </w:r>
            <w:r w:rsidR="00235BD8" w:rsidRPr="00EE53B9">
              <w:rPr>
                <w:rFonts w:ascii="Times New Roman" w:hAnsi="Times New Roman" w:cs="Times New Roman"/>
                <w:sz w:val="24"/>
                <w:szCs w:val="24"/>
              </w:rPr>
              <w:t>iesniegumu</w:t>
            </w: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35BD8" w:rsidRPr="00EE53B9">
              <w:rPr>
                <w:rFonts w:ascii="Times New Roman" w:hAnsi="Times New Roman" w:cs="Times New Roman"/>
                <w:sz w:val="24"/>
                <w:szCs w:val="24"/>
              </w:rPr>
              <w:t xml:space="preserve"> kompensācijas saņemšanai Lauku atbalsta dienestā.</w:t>
            </w:r>
          </w:p>
        </w:tc>
      </w:tr>
      <w:tr w:rsidR="00EE53B9" w:rsidRPr="00EE53B9" w14:paraId="6031869A" w14:textId="77777777" w:rsidTr="00235BD8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E38E5" w14:textId="77777777" w:rsidR="00235BD8" w:rsidRPr="00EE53B9" w:rsidRDefault="00235BD8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9AD25" w14:textId="77777777" w:rsidR="00235BD8" w:rsidRPr="00EE53B9" w:rsidRDefault="00235BD8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412F8" w14:textId="1B68120F" w:rsidR="00235BD8" w:rsidRPr="00EE53B9" w:rsidRDefault="00C141FD" w:rsidP="0012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>Projekts šo jomu neskar</w:t>
            </w:r>
            <w:r w:rsidR="00060D1E" w:rsidRPr="00EE5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E8AC95" w14:textId="77777777" w:rsidR="00BD6E74" w:rsidRPr="00EE53B9" w:rsidRDefault="00BD6E74" w:rsidP="0012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E53B9" w:rsidRPr="00EE53B9" w14:paraId="66B5C400" w14:textId="77777777" w:rsidTr="00235BD8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59DCE" w14:textId="77777777" w:rsidR="00235BD8" w:rsidRPr="00EE53B9" w:rsidRDefault="00235BD8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3DC33" w14:textId="77777777" w:rsidR="00235BD8" w:rsidRPr="00EE53B9" w:rsidRDefault="00235BD8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36DBD" w14:textId="6295AD0F" w:rsidR="00235BD8" w:rsidRPr="00EE53B9" w:rsidRDefault="00060D1E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>Projekts šo jomu neskar</w:t>
            </w:r>
            <w:r w:rsidR="00235BD8" w:rsidRPr="00EE5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53B9" w:rsidRPr="00EE53B9" w14:paraId="08A038D2" w14:textId="77777777" w:rsidTr="00235BD8">
        <w:trPr>
          <w:trHeight w:val="34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D13C2" w14:textId="77777777" w:rsidR="00235BD8" w:rsidRPr="00EE53B9" w:rsidRDefault="00235BD8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BD88F" w14:textId="77777777" w:rsidR="00235BD8" w:rsidRPr="00EE53B9" w:rsidRDefault="00235BD8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FD30B" w14:textId="028979A2" w:rsidR="00235BD8" w:rsidRPr="00EE53B9" w:rsidRDefault="00235BD8" w:rsidP="00235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060D1E"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05B09261" w14:textId="77777777" w:rsidR="00235BD8" w:rsidRPr="00EE53B9" w:rsidRDefault="00235BD8" w:rsidP="00235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E53B9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6"/>
        <w:gridCol w:w="1033"/>
        <w:gridCol w:w="1167"/>
        <w:gridCol w:w="1385"/>
        <w:gridCol w:w="1385"/>
        <w:gridCol w:w="1499"/>
      </w:tblGrid>
      <w:tr w:rsidR="00EE53B9" w:rsidRPr="00EE53B9" w14:paraId="41925E72" w14:textId="77777777" w:rsidTr="00235BD8">
        <w:trPr>
          <w:trHeight w:val="360"/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C4EA8" w14:textId="77777777" w:rsidR="00235BD8" w:rsidRPr="00EE53B9" w:rsidRDefault="00235BD8" w:rsidP="00235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EE53B9" w:rsidRPr="00EE53B9" w14:paraId="0AC18482" w14:textId="77777777" w:rsidTr="00932FE2">
        <w:trPr>
          <w:tblCellSpacing w:w="15" w:type="dxa"/>
          <w:jc w:val="center"/>
        </w:trPr>
        <w:tc>
          <w:tcPr>
            <w:tcW w:w="14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E05F8" w14:textId="77777777" w:rsidR="00235BD8" w:rsidRPr="00EE53B9" w:rsidRDefault="00235BD8" w:rsidP="00235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19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7CAAC" w14:textId="1228E531" w:rsidR="00235BD8" w:rsidRPr="00EE53B9" w:rsidRDefault="00747ACD" w:rsidP="00235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2017.</w:t>
            </w:r>
            <w:r w:rsidR="00235BD8" w:rsidRPr="00EE5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gads</w:t>
            </w:r>
          </w:p>
        </w:tc>
        <w:tc>
          <w:tcPr>
            <w:tcW w:w="2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6D837" w14:textId="77777777" w:rsidR="00235BD8" w:rsidRPr="00EE53B9" w:rsidRDefault="00235BD8" w:rsidP="00235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EE53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EE53B9" w:rsidRPr="00EE53B9" w14:paraId="74715C81" w14:textId="77777777" w:rsidTr="00932F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5307D" w14:textId="77777777" w:rsidR="00235BD8" w:rsidRPr="00EE53B9" w:rsidRDefault="00235BD8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20D45" w14:textId="77777777" w:rsidR="00235BD8" w:rsidRPr="00EE53B9" w:rsidRDefault="00235BD8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3CC16" w14:textId="0AC7BB74" w:rsidR="00235BD8" w:rsidRPr="00EE53B9" w:rsidRDefault="00747ACD" w:rsidP="00235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E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92E6C" w14:textId="09439D58" w:rsidR="00235BD8" w:rsidRPr="00EE53B9" w:rsidRDefault="00747ACD" w:rsidP="00235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2019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6DB8C" w14:textId="68DE3F0E" w:rsidR="00235BD8" w:rsidRPr="00EE53B9" w:rsidRDefault="00747ACD" w:rsidP="00235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2020</w:t>
            </w:r>
          </w:p>
        </w:tc>
      </w:tr>
      <w:tr w:rsidR="00EE53B9" w:rsidRPr="00EE53B9" w14:paraId="6FD7F8E4" w14:textId="77777777" w:rsidTr="00932FE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6A81D" w14:textId="77777777" w:rsidR="00235BD8" w:rsidRPr="00EE53B9" w:rsidRDefault="00235BD8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C4611" w14:textId="77777777" w:rsidR="00235BD8" w:rsidRPr="00EE53B9" w:rsidRDefault="00235BD8" w:rsidP="00235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8B260" w14:textId="77777777" w:rsidR="00235BD8" w:rsidRPr="00EE53B9" w:rsidRDefault="00235BD8" w:rsidP="00235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FC931" w14:textId="367B3871" w:rsidR="00235BD8" w:rsidRPr="00EE53B9" w:rsidRDefault="00235BD8" w:rsidP="00235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izmaiņas, salīdzinot ar </w:t>
            </w:r>
            <w:r w:rsidR="00C85448"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2017.gadu</w:t>
            </w:r>
          </w:p>
          <w:p w14:paraId="06764A9B" w14:textId="60DC1936" w:rsidR="00235BD8" w:rsidRPr="00EE53B9" w:rsidRDefault="00235BD8" w:rsidP="001255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BE464" w14:textId="77777777" w:rsidR="00C85448" w:rsidRPr="00EE53B9" w:rsidRDefault="00C85448" w:rsidP="00C85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2017.gadu</w:t>
            </w:r>
          </w:p>
          <w:p w14:paraId="6CC242D7" w14:textId="740702C1" w:rsidR="00235BD8" w:rsidRPr="00EE53B9" w:rsidRDefault="00235BD8" w:rsidP="001255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FAAF0" w14:textId="77777777" w:rsidR="00C85448" w:rsidRPr="00EE53B9" w:rsidRDefault="00C85448" w:rsidP="00C85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2017.gadu</w:t>
            </w:r>
          </w:p>
          <w:p w14:paraId="3C60FD08" w14:textId="5A798C66" w:rsidR="00235BD8" w:rsidRPr="00EE53B9" w:rsidRDefault="00235BD8" w:rsidP="001255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E53B9" w:rsidRPr="00EE53B9" w14:paraId="728FA5D7" w14:textId="77777777" w:rsidTr="00932FE2">
        <w:trPr>
          <w:tblCellSpacing w:w="15" w:type="dxa"/>
          <w:jc w:val="center"/>
        </w:trPr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42CA0" w14:textId="77777777" w:rsidR="00235BD8" w:rsidRPr="00EE53B9" w:rsidRDefault="00235BD8" w:rsidP="00235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0E23F" w14:textId="77777777" w:rsidR="00235BD8" w:rsidRPr="00EE53B9" w:rsidRDefault="00235BD8" w:rsidP="00235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468D9" w14:textId="77777777" w:rsidR="00235BD8" w:rsidRPr="00EE53B9" w:rsidRDefault="00235BD8" w:rsidP="00235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71E21" w14:textId="77777777" w:rsidR="00235BD8" w:rsidRPr="00EE53B9" w:rsidRDefault="00235BD8" w:rsidP="00235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BB4E6" w14:textId="77777777" w:rsidR="00235BD8" w:rsidRPr="00EE53B9" w:rsidRDefault="00235BD8" w:rsidP="00235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7BE63" w14:textId="77777777" w:rsidR="00235BD8" w:rsidRPr="00EE53B9" w:rsidRDefault="00235BD8" w:rsidP="00235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EE53B9" w:rsidRPr="00EE53B9" w14:paraId="52300B97" w14:textId="77777777" w:rsidTr="00932FE2">
        <w:trPr>
          <w:tblCellSpacing w:w="15" w:type="dxa"/>
          <w:jc w:val="center"/>
        </w:trPr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A2D0F" w14:textId="77777777" w:rsidR="00235BD8" w:rsidRPr="00EE53B9" w:rsidRDefault="00235BD8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Budžeta ieņēmumi: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F46FB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2DD4F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0D62C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531D9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61FD5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E53B9" w:rsidRPr="00EE53B9" w14:paraId="21BE41A3" w14:textId="77777777" w:rsidTr="00932FE2">
        <w:trPr>
          <w:tblCellSpacing w:w="15" w:type="dxa"/>
          <w:jc w:val="center"/>
        </w:trPr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97833" w14:textId="77777777" w:rsidR="00235BD8" w:rsidRPr="00EE53B9" w:rsidRDefault="00235BD8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4F5EB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B3DD1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F6819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95396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8666D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E53B9" w:rsidRPr="00EE53B9" w14:paraId="66EE9B49" w14:textId="77777777" w:rsidTr="00932FE2">
        <w:trPr>
          <w:tblCellSpacing w:w="15" w:type="dxa"/>
          <w:jc w:val="center"/>
        </w:trPr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8BC1F" w14:textId="77777777" w:rsidR="00235BD8" w:rsidRPr="00EE53B9" w:rsidRDefault="00235BD8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1.2. valsts speciālais budžets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5A3B0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57A25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BA3CD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7B874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C10D6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E53B9" w:rsidRPr="00EE53B9" w14:paraId="4CC61882" w14:textId="77777777" w:rsidTr="00932FE2">
        <w:trPr>
          <w:tblCellSpacing w:w="15" w:type="dxa"/>
          <w:jc w:val="center"/>
        </w:trPr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82C8A" w14:textId="77777777" w:rsidR="00235BD8" w:rsidRPr="00EE53B9" w:rsidRDefault="00235BD8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18EFD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74644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F8E0C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9390D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E87A2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E53B9" w:rsidRPr="00EE53B9" w14:paraId="6F80759C" w14:textId="77777777" w:rsidTr="00932FE2">
        <w:trPr>
          <w:tblCellSpacing w:w="15" w:type="dxa"/>
          <w:jc w:val="center"/>
        </w:trPr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71814" w14:textId="77777777" w:rsidR="00235BD8" w:rsidRPr="00EE53B9" w:rsidRDefault="00235BD8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Budžeta izdevumi: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3A3D6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12A27" w14:textId="77777777" w:rsidR="00235BD8" w:rsidRPr="00EE53B9" w:rsidRDefault="00EA46AB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BB1605" w:rsidRPr="00EE53B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E53B9">
              <w:rPr>
                <w:rFonts w:ascii="Times New Roman" w:hAnsi="Times New Roman" w:cs="Times New Roman"/>
                <w:b/>
                <w:sz w:val="24"/>
              </w:rPr>
              <w:t>40</w:t>
            </w:r>
            <w:r w:rsidR="00DA3AEF" w:rsidRPr="00EE53B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AD2BD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37BD2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1F4FD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E53B9" w:rsidRPr="00EE53B9" w14:paraId="463729E9" w14:textId="77777777" w:rsidTr="00932FE2">
        <w:trPr>
          <w:tblCellSpacing w:w="15" w:type="dxa"/>
          <w:jc w:val="center"/>
        </w:trPr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CCA7F" w14:textId="77777777" w:rsidR="00235BD8" w:rsidRPr="00EE53B9" w:rsidRDefault="00235BD8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1487A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617BC" w14:textId="77777777" w:rsidR="00235BD8" w:rsidRPr="00EE53B9" w:rsidRDefault="00EA46AB" w:rsidP="0029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B9"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BB1605" w:rsidRPr="00EE53B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E53B9">
              <w:rPr>
                <w:rFonts w:ascii="Times New Roman" w:hAnsi="Times New Roman" w:cs="Times New Roman"/>
                <w:b/>
                <w:sz w:val="24"/>
              </w:rPr>
              <w:t>40</w:t>
            </w:r>
            <w:r w:rsidR="00DA3AEF" w:rsidRPr="00EE53B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94F9A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FABA5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8DDF0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E53B9" w:rsidRPr="00EE53B9" w14:paraId="68F8ACAD" w14:textId="77777777" w:rsidTr="00932FE2">
        <w:trPr>
          <w:tblCellSpacing w:w="15" w:type="dxa"/>
          <w:jc w:val="center"/>
        </w:trPr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FB4CC" w14:textId="77777777" w:rsidR="00235BD8" w:rsidRPr="00EE53B9" w:rsidRDefault="00235BD8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7D832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DA0B9" w14:textId="77777777" w:rsidR="00235BD8" w:rsidRPr="00EE53B9" w:rsidRDefault="00235BD8" w:rsidP="0029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BB9A5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D99A7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C63AC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E53B9" w:rsidRPr="00EE53B9" w14:paraId="31FAB74D" w14:textId="77777777" w:rsidTr="00932FE2">
        <w:trPr>
          <w:tblCellSpacing w:w="15" w:type="dxa"/>
          <w:jc w:val="center"/>
        </w:trPr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557F8" w14:textId="77777777" w:rsidR="00235BD8" w:rsidRPr="00EE53B9" w:rsidRDefault="00235BD8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C86E2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F5202" w14:textId="77777777" w:rsidR="00235BD8" w:rsidRPr="00EE53B9" w:rsidRDefault="00235BD8" w:rsidP="0029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A02A0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37D2F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62B5F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E53B9" w:rsidRPr="00EE53B9" w14:paraId="11FC8B5D" w14:textId="77777777" w:rsidTr="00932FE2">
        <w:trPr>
          <w:tblCellSpacing w:w="15" w:type="dxa"/>
          <w:jc w:val="center"/>
        </w:trPr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6CC00" w14:textId="77777777" w:rsidR="00235BD8" w:rsidRPr="00EE53B9" w:rsidRDefault="00235BD8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Finansiālā ietekme: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D23B1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F3BB5" w14:textId="493BDD35" w:rsidR="00235BD8" w:rsidRPr="00EE53B9" w:rsidRDefault="00C77A4B" w:rsidP="0029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B9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="00EA46AB" w:rsidRPr="00EE53B9"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BB1605" w:rsidRPr="00EE53B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A46AB" w:rsidRPr="00EE53B9">
              <w:rPr>
                <w:rFonts w:ascii="Times New Roman" w:hAnsi="Times New Roman" w:cs="Times New Roman"/>
                <w:b/>
                <w:sz w:val="24"/>
              </w:rPr>
              <w:t>40</w:t>
            </w:r>
            <w:r w:rsidR="00DA3AEF" w:rsidRPr="00EE53B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252B7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C06A8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81C25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E53B9" w:rsidRPr="00EE53B9" w14:paraId="46A9D342" w14:textId="77777777" w:rsidTr="00932FE2">
        <w:trPr>
          <w:tblCellSpacing w:w="15" w:type="dxa"/>
          <w:jc w:val="center"/>
        </w:trPr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B330C" w14:textId="77777777" w:rsidR="00235BD8" w:rsidRPr="00EE53B9" w:rsidRDefault="00235BD8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2190B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791FE" w14:textId="18A2179E" w:rsidR="00235BD8" w:rsidRPr="00EE53B9" w:rsidRDefault="00C77A4B" w:rsidP="00EA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B9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="00EA46AB" w:rsidRPr="00EE53B9"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BB1605" w:rsidRPr="00EE53B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A46AB" w:rsidRPr="00EE53B9">
              <w:rPr>
                <w:rFonts w:ascii="Times New Roman" w:hAnsi="Times New Roman" w:cs="Times New Roman"/>
                <w:b/>
                <w:sz w:val="24"/>
              </w:rPr>
              <w:t>40</w:t>
            </w:r>
            <w:r w:rsidR="00DA3AEF" w:rsidRPr="00EE53B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86C53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0AF0E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86C27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E53B9" w:rsidRPr="00EE53B9" w14:paraId="15BA3FAC" w14:textId="77777777" w:rsidTr="00932FE2">
        <w:trPr>
          <w:tblCellSpacing w:w="15" w:type="dxa"/>
          <w:jc w:val="center"/>
        </w:trPr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A6291" w14:textId="77777777" w:rsidR="00235BD8" w:rsidRPr="00EE53B9" w:rsidRDefault="00235BD8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4527C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D11A0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9F1E8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20F66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585C9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E53B9" w:rsidRPr="00EE53B9" w14:paraId="68AF42E9" w14:textId="77777777" w:rsidTr="00932FE2">
        <w:trPr>
          <w:tblCellSpacing w:w="15" w:type="dxa"/>
          <w:jc w:val="center"/>
        </w:trPr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9602F" w14:textId="77777777" w:rsidR="00235BD8" w:rsidRPr="00EE53B9" w:rsidRDefault="00235BD8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BB57A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DF152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FB520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45A66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CE9B9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E53B9" w:rsidRPr="00EE53B9" w14:paraId="4AAFADE3" w14:textId="77777777" w:rsidTr="00932FE2">
        <w:trPr>
          <w:tblCellSpacing w:w="15" w:type="dxa"/>
          <w:jc w:val="center"/>
        </w:trPr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6C348" w14:textId="77777777" w:rsidR="00BB1605" w:rsidRPr="00EE53B9" w:rsidRDefault="00BB1605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4.Finanšu līdzekļi papildu izdevumu finansēšanai (kompensējošo izdevumu samazinājumu norāda ar “+” zīmi)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9E6471" w14:textId="77777777" w:rsidR="00BB1605" w:rsidRPr="00EE53B9" w:rsidRDefault="00BB1605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80213C" w14:textId="77777777" w:rsidR="00BB1605" w:rsidRPr="00EE53B9" w:rsidRDefault="00BB1605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7F87E0FF" w14:textId="77777777" w:rsidR="00BB1605" w:rsidRPr="00EE53B9" w:rsidRDefault="00BB1605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1ACF8D8D" w14:textId="77777777" w:rsidR="00BB1605" w:rsidRPr="00EE53B9" w:rsidRDefault="00BB1605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+8</w:t>
            </w:r>
            <w:r w:rsidR="00B3219E" w:rsidRPr="00EE5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 </w:t>
            </w:r>
            <w:r w:rsidRPr="00EE5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401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7617E4" w14:textId="77777777" w:rsidR="00BB1605" w:rsidRPr="00EE53B9" w:rsidRDefault="00BB1605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87F4C1C" w14:textId="77777777" w:rsidR="00B3219E" w:rsidRPr="00EE53B9" w:rsidRDefault="00B3219E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697B68C" w14:textId="77777777" w:rsidR="00B3219E" w:rsidRPr="00EE53B9" w:rsidRDefault="00B3219E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42F3BF" w14:textId="77777777" w:rsidR="00BB1605" w:rsidRPr="00EE53B9" w:rsidRDefault="00BB1605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48DCCE4" w14:textId="77777777" w:rsidR="00B3219E" w:rsidRPr="00EE53B9" w:rsidRDefault="00B3219E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EFA0CE3" w14:textId="77777777" w:rsidR="00B3219E" w:rsidRPr="00EE53B9" w:rsidRDefault="00B3219E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D33F0" w14:textId="77777777" w:rsidR="00BB1605" w:rsidRPr="00EE53B9" w:rsidRDefault="00BB1605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04E3EFF" w14:textId="77777777" w:rsidR="00B3219E" w:rsidRPr="00EE53B9" w:rsidRDefault="00B3219E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4D3C16A" w14:textId="77777777" w:rsidR="00B3219E" w:rsidRPr="00EE53B9" w:rsidRDefault="00B3219E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E53B9" w:rsidRPr="00EE53B9" w14:paraId="1C6BB162" w14:textId="77777777" w:rsidTr="00932FE2">
        <w:trPr>
          <w:tblCellSpacing w:w="15" w:type="dxa"/>
          <w:jc w:val="center"/>
        </w:trPr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EC803" w14:textId="77777777" w:rsidR="00235BD8" w:rsidRPr="00EE53B9" w:rsidRDefault="00235BD8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Precizēta finansiālā ietekme:</w:t>
            </w:r>
          </w:p>
        </w:tc>
        <w:tc>
          <w:tcPr>
            <w:tcW w:w="5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C002B" w14:textId="77777777" w:rsidR="00235BD8" w:rsidRPr="00EE53B9" w:rsidRDefault="00235BD8" w:rsidP="0029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F4CBD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F9D58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3F2A9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1385A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E53B9" w:rsidRPr="00EE53B9" w14:paraId="437570B9" w14:textId="77777777" w:rsidTr="00932FE2">
        <w:trPr>
          <w:tblCellSpacing w:w="15" w:type="dxa"/>
          <w:jc w:val="center"/>
        </w:trPr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0CA86" w14:textId="77777777" w:rsidR="00235BD8" w:rsidRPr="00EE53B9" w:rsidRDefault="00235BD8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67348" w14:textId="77777777" w:rsidR="00235BD8" w:rsidRPr="00EE53B9" w:rsidRDefault="00235BD8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193FB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6E392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51447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7E97F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E53B9" w:rsidRPr="00EE53B9" w14:paraId="190BC7C1" w14:textId="77777777" w:rsidTr="00932FE2">
        <w:trPr>
          <w:tblCellSpacing w:w="15" w:type="dxa"/>
          <w:jc w:val="center"/>
        </w:trPr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23CE8" w14:textId="77777777" w:rsidR="00235BD8" w:rsidRPr="00EE53B9" w:rsidRDefault="00235BD8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73FA3" w14:textId="77777777" w:rsidR="00235BD8" w:rsidRPr="00EE53B9" w:rsidRDefault="00235BD8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12244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C3A36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1E33C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768C9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E53B9" w:rsidRPr="00EE53B9" w14:paraId="244099D8" w14:textId="77777777" w:rsidTr="00932FE2">
        <w:trPr>
          <w:tblCellSpacing w:w="15" w:type="dxa"/>
          <w:jc w:val="center"/>
        </w:trPr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AFDB1" w14:textId="77777777" w:rsidR="00235BD8" w:rsidRPr="00EE53B9" w:rsidRDefault="00235BD8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3738C" w14:textId="77777777" w:rsidR="00235BD8" w:rsidRPr="00EE53B9" w:rsidRDefault="00235BD8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4B2A0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58C33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065E9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245E7" w14:textId="77777777" w:rsidR="00235BD8" w:rsidRPr="00EE53B9" w:rsidRDefault="00290FC2" w:rsidP="002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E53B9" w:rsidRPr="00EE53B9" w14:paraId="3624E59F" w14:textId="77777777" w:rsidTr="00932FE2">
        <w:trPr>
          <w:tblCellSpacing w:w="15" w:type="dxa"/>
          <w:jc w:val="center"/>
        </w:trPr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AAEA9" w14:textId="77777777" w:rsidR="00235BD8" w:rsidRPr="00EE53B9" w:rsidRDefault="00235BD8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 Detalizēts ieņēmumu un izdevumu aprēķins (ja nepieciešams, detalizētu ieņēmumu un izdevumu aprēķinu var pievienot anotācijas pielikumā):</w:t>
            </w:r>
          </w:p>
        </w:tc>
        <w:tc>
          <w:tcPr>
            <w:tcW w:w="3526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B7643" w14:textId="5CDB094A" w:rsidR="00C85448" w:rsidRPr="00EE53B9" w:rsidRDefault="00C85448" w:rsidP="00C85448">
            <w:pPr>
              <w:pStyle w:val="Paraststmeklis"/>
              <w:spacing w:before="0" w:beforeAutospacing="0" w:after="0" w:afterAutospacing="0"/>
              <w:ind w:firstLine="306"/>
              <w:jc w:val="both"/>
            </w:pPr>
            <w:r w:rsidRPr="00EE53B9">
              <w:t>Kompensācijas apmērs noteikts noteikumu Nr.</w:t>
            </w:r>
            <w:r w:rsidR="00522A45">
              <w:t> </w:t>
            </w:r>
            <w:r w:rsidRPr="00EE53B9">
              <w:t>178 1.pielikumā. Kompensācijai nepieciešamās summas detalizēts aprēķins ir dots šīs anotācijas pielikumā.</w:t>
            </w:r>
          </w:p>
        </w:tc>
      </w:tr>
      <w:tr w:rsidR="00EE53B9" w:rsidRPr="00EE53B9" w14:paraId="68832668" w14:textId="77777777" w:rsidTr="00932FE2">
        <w:trPr>
          <w:tblCellSpacing w:w="15" w:type="dxa"/>
          <w:jc w:val="center"/>
        </w:trPr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9D336" w14:textId="77777777" w:rsidR="00235BD8" w:rsidRPr="00EE53B9" w:rsidRDefault="00235BD8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 detalizēts ieņēmumu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89F47" w14:textId="77777777" w:rsidR="00235BD8" w:rsidRPr="00EE53B9" w:rsidRDefault="00235BD8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E53B9" w:rsidRPr="00EE53B9" w14:paraId="49DEE018" w14:textId="77777777" w:rsidTr="00932FE2">
        <w:trPr>
          <w:tblCellSpacing w:w="15" w:type="dxa"/>
          <w:jc w:val="center"/>
        </w:trPr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545CB" w14:textId="77777777" w:rsidR="00235BD8" w:rsidRPr="00EE53B9" w:rsidRDefault="00235BD8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33756" w14:textId="77777777" w:rsidR="00235BD8" w:rsidRPr="00EE53B9" w:rsidRDefault="00235BD8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E53B9" w:rsidRPr="00EE53B9" w14:paraId="63DA49E2" w14:textId="77777777" w:rsidTr="00932FE2">
        <w:trPr>
          <w:trHeight w:val="555"/>
          <w:tblCellSpacing w:w="15" w:type="dxa"/>
          <w:jc w:val="center"/>
        </w:trPr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7CA3F" w14:textId="77777777" w:rsidR="00235BD8" w:rsidRPr="00EE53B9" w:rsidRDefault="00235BD8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Cita informācija</w:t>
            </w:r>
          </w:p>
        </w:tc>
        <w:tc>
          <w:tcPr>
            <w:tcW w:w="352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58849" w14:textId="415B3688" w:rsidR="00235BD8" w:rsidRPr="00EE53B9" w:rsidRDefault="00C85448" w:rsidP="00235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53B9">
              <w:rPr>
                <w:rFonts w:ascii="Times New Roman" w:hAnsi="Times New Roman" w:cs="Times New Roman"/>
                <w:sz w:val="24"/>
                <w:szCs w:val="24"/>
              </w:rPr>
              <w:t>Izdevumi tiek segti no valsts budžeta programmas 02.00.00 “Līdzekļi neparedzētiem gadījumiem”.</w:t>
            </w:r>
          </w:p>
        </w:tc>
      </w:tr>
    </w:tbl>
    <w:p w14:paraId="48515C7C" w14:textId="3D646C52" w:rsidR="00FE2A9C" w:rsidRPr="00EE53B9" w:rsidRDefault="00235BD8" w:rsidP="00290FC2">
      <w:pPr>
        <w:jc w:val="both"/>
        <w:rPr>
          <w:rFonts w:ascii="Times New Roman" w:hAnsi="Times New Roman" w:cs="Times New Roman"/>
          <w:i/>
        </w:rPr>
      </w:pPr>
      <w:r w:rsidRPr="00EE53B9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EE53B9" w:rsidRPr="00EE53B9" w14:paraId="1E367711" w14:textId="77777777" w:rsidTr="00C141FD">
        <w:trPr>
          <w:trHeight w:val="212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E4C6" w14:textId="77777777" w:rsidR="00FE2A9C" w:rsidRPr="00EE53B9" w:rsidRDefault="00FE2A9C">
            <w:pPr>
              <w:pStyle w:val="Paraststmeklis"/>
              <w:jc w:val="center"/>
              <w:rPr>
                <w:b/>
                <w:bCs/>
              </w:rPr>
            </w:pPr>
            <w:r w:rsidRPr="00EE53B9">
              <w:rPr>
                <w:b/>
                <w:bCs/>
              </w:rPr>
              <w:t>IV.</w:t>
            </w:r>
            <w:r w:rsidR="00751EA4" w:rsidRPr="00EE53B9">
              <w:rPr>
                <w:b/>
                <w:bCs/>
              </w:rPr>
              <w:t xml:space="preserve"> Tiesību akta projekta ietekme uz spēkā esošo tiesību normu sistēmu</w:t>
            </w:r>
          </w:p>
        </w:tc>
      </w:tr>
      <w:tr w:rsidR="00FE2A9C" w:rsidRPr="00EE53B9" w14:paraId="6F53F48A" w14:textId="77777777" w:rsidTr="00C141FD">
        <w:trPr>
          <w:trHeight w:val="212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99D3" w14:textId="77777777" w:rsidR="00FE2A9C" w:rsidRPr="00EE53B9" w:rsidRDefault="00FE2A9C">
            <w:pPr>
              <w:pStyle w:val="Paraststmeklis"/>
              <w:jc w:val="center"/>
              <w:rPr>
                <w:bCs/>
              </w:rPr>
            </w:pPr>
            <w:r w:rsidRPr="00EE53B9">
              <w:rPr>
                <w:bCs/>
              </w:rPr>
              <w:t>Projekts šo jomu neskar.</w:t>
            </w:r>
          </w:p>
        </w:tc>
      </w:tr>
    </w:tbl>
    <w:p w14:paraId="02D93784" w14:textId="77777777" w:rsidR="00FE2A9C" w:rsidRPr="00EE53B9" w:rsidRDefault="00FE2A9C" w:rsidP="00C141FD">
      <w:pPr>
        <w:pStyle w:val="Paraststmeklis"/>
      </w:pPr>
    </w:p>
    <w:tbl>
      <w:tblPr>
        <w:tblW w:w="5093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3"/>
      </w:tblGrid>
      <w:tr w:rsidR="00EE53B9" w:rsidRPr="00EE53B9" w14:paraId="69F47B69" w14:textId="77777777" w:rsidTr="00FE2A9C">
        <w:trPr>
          <w:trHeight w:val="197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336D49" w14:textId="77777777" w:rsidR="00FE2A9C" w:rsidRPr="00EE53B9" w:rsidRDefault="007C5031">
            <w:pPr>
              <w:pStyle w:val="Paraststmeklis"/>
              <w:jc w:val="center"/>
              <w:rPr>
                <w:b/>
                <w:bCs/>
              </w:rPr>
            </w:pPr>
            <w:r w:rsidRPr="00EE53B9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FE2A9C" w:rsidRPr="00EE53B9" w14:paraId="2B72BB4F" w14:textId="77777777" w:rsidTr="00FE2A9C">
        <w:trPr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2F5F95" w14:textId="77777777" w:rsidR="00FE2A9C" w:rsidRPr="00EE53B9" w:rsidRDefault="00FE2A9C">
            <w:pPr>
              <w:pStyle w:val="Paraststmeklis"/>
              <w:jc w:val="center"/>
            </w:pPr>
            <w:r w:rsidRPr="00EE53B9">
              <w:t>Projekts šo jomu neskar.</w:t>
            </w:r>
          </w:p>
        </w:tc>
      </w:tr>
    </w:tbl>
    <w:p w14:paraId="6B8899EB" w14:textId="77777777" w:rsidR="00FE2A9C" w:rsidRPr="00EE53B9" w:rsidRDefault="00FE2A9C" w:rsidP="00C141FD">
      <w:pPr>
        <w:pStyle w:val="Paraststmeklis"/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78"/>
      </w:tblGrid>
      <w:tr w:rsidR="00EE53B9" w:rsidRPr="00EE53B9" w14:paraId="0D37AC81" w14:textId="77777777" w:rsidTr="00FE2A9C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85AC80" w14:textId="77777777" w:rsidR="00FE2A9C" w:rsidRPr="00EE53B9" w:rsidRDefault="0002618C">
            <w:pPr>
              <w:pStyle w:val="Paraststmeklis"/>
              <w:jc w:val="center"/>
              <w:rPr>
                <w:b/>
                <w:bCs/>
              </w:rPr>
            </w:pPr>
            <w:r w:rsidRPr="00EE53B9">
              <w:rPr>
                <w:b/>
                <w:bCs/>
              </w:rPr>
              <w:t>VI. Sabiedrības līdzdalība un komunikācijas aktivitātes</w:t>
            </w:r>
          </w:p>
        </w:tc>
      </w:tr>
      <w:tr w:rsidR="00EE53B9" w:rsidRPr="00EE53B9" w14:paraId="06794574" w14:textId="77777777" w:rsidTr="00FE2A9C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E18A09" w14:textId="77777777" w:rsidR="00FE2A9C" w:rsidRPr="00EE53B9" w:rsidRDefault="00FE2A9C">
            <w:pPr>
              <w:pStyle w:val="Paraststmeklis"/>
              <w:jc w:val="center"/>
              <w:rPr>
                <w:b/>
                <w:bCs/>
              </w:rPr>
            </w:pPr>
            <w:r w:rsidRPr="00EE53B9">
              <w:rPr>
                <w:bCs/>
              </w:rPr>
              <w:t>Projekts šo jomu neskar.</w:t>
            </w:r>
          </w:p>
        </w:tc>
      </w:tr>
    </w:tbl>
    <w:p w14:paraId="756A1FDF" w14:textId="77777777" w:rsidR="00290FC2" w:rsidRPr="00EE53B9" w:rsidRDefault="00290FC2" w:rsidP="00290FC2">
      <w:pPr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5"/>
        <w:gridCol w:w="206"/>
      </w:tblGrid>
      <w:tr w:rsidR="008D7048" w:rsidRPr="00EE53B9" w14:paraId="1262A08D" w14:textId="77777777" w:rsidTr="008D7048">
        <w:trPr>
          <w:tblCellSpacing w:w="0" w:type="dxa"/>
        </w:trPr>
        <w:tc>
          <w:tcPr>
            <w:tcW w:w="9300" w:type="dxa"/>
            <w:hideMark/>
          </w:tcPr>
          <w:tbl>
            <w:tblPr>
              <w:tblStyle w:val="TableGridLight1"/>
              <w:tblW w:w="8497" w:type="dxa"/>
              <w:tblLook w:val="04A0" w:firstRow="1" w:lastRow="0" w:firstColumn="1" w:lastColumn="0" w:noHBand="0" w:noVBand="1"/>
            </w:tblPr>
            <w:tblGrid>
              <w:gridCol w:w="397"/>
              <w:gridCol w:w="2989"/>
              <w:gridCol w:w="4887"/>
              <w:gridCol w:w="224"/>
            </w:tblGrid>
            <w:tr w:rsidR="00EE53B9" w:rsidRPr="00EE53B9" w14:paraId="22D13A70" w14:textId="77777777" w:rsidTr="00D14D77">
              <w:trPr>
                <w:trHeight w:val="375"/>
              </w:trPr>
              <w:tc>
                <w:tcPr>
                  <w:tcW w:w="4868" w:type="pct"/>
                  <w:gridSpan w:val="3"/>
                  <w:tcBorders>
                    <w:right w:val="single" w:sz="4" w:space="0" w:color="auto"/>
                  </w:tcBorders>
                  <w:hideMark/>
                </w:tcPr>
                <w:p w14:paraId="035598B7" w14:textId="77777777" w:rsidR="00D14D77" w:rsidRPr="00EE53B9" w:rsidRDefault="00D14D77" w:rsidP="008D70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EE53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VII. Tiesību akta projekta izpildes nodrošināšana un tās ietekme uz institūcijām</w:t>
                  </w:r>
                </w:p>
              </w:tc>
              <w:tc>
                <w:tcPr>
                  <w:tcW w:w="132" w:type="pct"/>
                  <w:tcBorders>
                    <w:left w:val="single" w:sz="4" w:space="0" w:color="auto"/>
                  </w:tcBorders>
                </w:tcPr>
                <w:p w14:paraId="05D04AC6" w14:textId="77777777" w:rsidR="00D14D77" w:rsidRPr="00EE53B9" w:rsidRDefault="00D14D77" w:rsidP="00D14D7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E53B9" w:rsidRPr="00EE53B9" w14:paraId="2A2B8714" w14:textId="77777777" w:rsidTr="00D14D77">
              <w:trPr>
                <w:trHeight w:val="420"/>
              </w:trPr>
              <w:tc>
                <w:tcPr>
                  <w:tcW w:w="233" w:type="pct"/>
                  <w:hideMark/>
                </w:tcPr>
                <w:p w14:paraId="4FBBB07B" w14:textId="77777777" w:rsidR="00D14D77" w:rsidRPr="00EE53B9" w:rsidRDefault="00D14D77" w:rsidP="008D70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EE53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1759" w:type="pct"/>
                  <w:hideMark/>
                </w:tcPr>
                <w:p w14:paraId="6E6E37B2" w14:textId="77777777" w:rsidR="00D14D77" w:rsidRPr="00EE53B9" w:rsidRDefault="00D14D77" w:rsidP="008D70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EE53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Projekta izpildē iesaistītās institūcijas</w:t>
                  </w:r>
                </w:p>
              </w:tc>
              <w:tc>
                <w:tcPr>
                  <w:tcW w:w="2875" w:type="pct"/>
                  <w:tcBorders>
                    <w:right w:val="single" w:sz="4" w:space="0" w:color="auto"/>
                  </w:tcBorders>
                  <w:hideMark/>
                </w:tcPr>
                <w:p w14:paraId="155B9FC7" w14:textId="77777777" w:rsidR="00D14D77" w:rsidRPr="00EE53B9" w:rsidRDefault="00D14D77" w:rsidP="008D70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EE53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Valsts augu aizsardzības dienests un Lauku atbalsta dienests</w:t>
                  </w:r>
                </w:p>
              </w:tc>
              <w:tc>
                <w:tcPr>
                  <w:tcW w:w="132" w:type="pct"/>
                  <w:tcBorders>
                    <w:left w:val="single" w:sz="4" w:space="0" w:color="auto"/>
                  </w:tcBorders>
                </w:tcPr>
                <w:p w14:paraId="770D4F5C" w14:textId="77777777" w:rsidR="00D14D77" w:rsidRPr="00EE53B9" w:rsidRDefault="00D14D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14:paraId="54AA73DB" w14:textId="77777777" w:rsidR="00D14D77" w:rsidRPr="00EE53B9" w:rsidRDefault="00D14D77" w:rsidP="00D14D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E53B9" w:rsidRPr="00EE53B9" w14:paraId="00613ED7" w14:textId="77777777" w:rsidTr="00D14D77">
              <w:trPr>
                <w:trHeight w:val="450"/>
              </w:trPr>
              <w:tc>
                <w:tcPr>
                  <w:tcW w:w="233" w:type="pct"/>
                  <w:hideMark/>
                </w:tcPr>
                <w:p w14:paraId="62E9E108" w14:textId="77777777" w:rsidR="00D14D77" w:rsidRPr="00EE53B9" w:rsidRDefault="00D14D77" w:rsidP="008D70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EE53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1759" w:type="pct"/>
                  <w:hideMark/>
                </w:tcPr>
                <w:p w14:paraId="416AD6C8" w14:textId="77777777" w:rsidR="00D14D77" w:rsidRPr="00EE53B9" w:rsidRDefault="00D14D77" w:rsidP="008D70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EE53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Projekta izpildes ietekme uz pārvaldes funkcijām un institucionālo struktūru. </w:t>
                  </w:r>
                </w:p>
                <w:p w14:paraId="3ABE9F8E" w14:textId="77777777" w:rsidR="00D14D77" w:rsidRPr="00EE53B9" w:rsidRDefault="00D14D77" w:rsidP="008D704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EE53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Jaunu institūciju izveide, esošu institūciju likvidācija vai reorganizācija, to ietekme uz institūcijas cilvēkresursiem</w:t>
                  </w:r>
                </w:p>
              </w:tc>
              <w:tc>
                <w:tcPr>
                  <w:tcW w:w="2875" w:type="pct"/>
                  <w:tcBorders>
                    <w:right w:val="single" w:sz="4" w:space="0" w:color="auto"/>
                  </w:tcBorders>
                  <w:hideMark/>
                </w:tcPr>
                <w:p w14:paraId="72A83F70" w14:textId="7DEAB061" w:rsidR="00623708" w:rsidRPr="00EE53B9" w:rsidRDefault="00623708" w:rsidP="00623708">
                  <w:pPr>
                    <w:pStyle w:val="Bezatstarpm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53B9">
                    <w:rPr>
                      <w:rFonts w:ascii="Times New Roman" w:hAnsi="Times New Roman"/>
                      <w:sz w:val="24"/>
                      <w:szCs w:val="24"/>
                    </w:rPr>
                    <w:t>Saistībā ar rīkojuma projekta izpildi nav nepieciešams veidot jaunas, ne arī likvidēt vai reorganizēt esošas institūcijas.</w:t>
                  </w:r>
                </w:p>
                <w:p w14:paraId="3DFBEFD1" w14:textId="231D0566" w:rsidR="00D14D77" w:rsidRPr="00EE53B9" w:rsidRDefault="00623708" w:rsidP="0051068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EE53B9">
                    <w:rPr>
                      <w:rFonts w:ascii="Times New Roman" w:hAnsi="Times New Roman"/>
                      <w:sz w:val="24"/>
                      <w:szCs w:val="24"/>
                    </w:rPr>
                    <w:t>Rīkojuma projekta izpilde neietekmēs institūcijām pieejamos cilvēkresursus.</w:t>
                  </w:r>
                </w:p>
              </w:tc>
              <w:tc>
                <w:tcPr>
                  <w:tcW w:w="132" w:type="pct"/>
                  <w:tcBorders>
                    <w:left w:val="single" w:sz="4" w:space="0" w:color="auto"/>
                  </w:tcBorders>
                </w:tcPr>
                <w:p w14:paraId="052BE79E" w14:textId="77777777" w:rsidR="00D14D77" w:rsidRPr="00EE53B9" w:rsidRDefault="00D14D77" w:rsidP="00D14D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E53B9" w:rsidRPr="00EE53B9" w14:paraId="1CBB6469" w14:textId="77777777" w:rsidTr="00D14D77">
              <w:trPr>
                <w:trHeight w:val="390"/>
              </w:trPr>
              <w:tc>
                <w:tcPr>
                  <w:tcW w:w="233" w:type="pct"/>
                  <w:hideMark/>
                </w:tcPr>
                <w:p w14:paraId="2DB4788D" w14:textId="77777777" w:rsidR="00D14D77" w:rsidRPr="00EE53B9" w:rsidRDefault="00D14D77" w:rsidP="008D70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EE53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3.</w:t>
                  </w:r>
                </w:p>
              </w:tc>
              <w:tc>
                <w:tcPr>
                  <w:tcW w:w="1759" w:type="pct"/>
                  <w:hideMark/>
                </w:tcPr>
                <w:p w14:paraId="7F8186C5" w14:textId="77777777" w:rsidR="00D14D77" w:rsidRPr="00EE53B9" w:rsidRDefault="00D14D77" w:rsidP="008D70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EE53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Cita informācija</w:t>
                  </w:r>
                </w:p>
              </w:tc>
              <w:tc>
                <w:tcPr>
                  <w:tcW w:w="2875" w:type="pct"/>
                  <w:tcBorders>
                    <w:right w:val="single" w:sz="4" w:space="0" w:color="auto"/>
                  </w:tcBorders>
                  <w:hideMark/>
                </w:tcPr>
                <w:p w14:paraId="271C4215" w14:textId="5FAE699C" w:rsidR="00D14D77" w:rsidRPr="00EE53B9" w:rsidRDefault="00D14D77" w:rsidP="008D704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EE53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Nav</w:t>
                  </w:r>
                  <w:r w:rsidR="00623708" w:rsidRPr="00EE53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  <w:tc>
                <w:tcPr>
                  <w:tcW w:w="132" w:type="pct"/>
                  <w:tcBorders>
                    <w:left w:val="single" w:sz="4" w:space="0" w:color="auto"/>
                  </w:tcBorders>
                </w:tcPr>
                <w:p w14:paraId="021FE5B1" w14:textId="77777777" w:rsidR="00D14D77" w:rsidRPr="00EE53B9" w:rsidRDefault="00D14D77" w:rsidP="00D14D7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5C07D0F5" w14:textId="77777777" w:rsidR="008D7048" w:rsidRPr="00EE53B9" w:rsidRDefault="008D7048" w:rsidP="008D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0" w:type="dxa"/>
            <w:vAlign w:val="center"/>
            <w:hideMark/>
          </w:tcPr>
          <w:p w14:paraId="32E83C6B" w14:textId="77777777" w:rsidR="008D7048" w:rsidRPr="00EE53B9" w:rsidRDefault="008D7048" w:rsidP="008D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2E768A2" w14:textId="77777777" w:rsidR="00C45C31" w:rsidRPr="00EE53B9" w:rsidRDefault="00C45C31" w:rsidP="00510680">
      <w:pPr>
        <w:jc w:val="both"/>
        <w:rPr>
          <w:sz w:val="28"/>
          <w:szCs w:val="28"/>
        </w:rPr>
      </w:pPr>
    </w:p>
    <w:p w14:paraId="3A3D336A" w14:textId="77777777" w:rsidR="00C45C31" w:rsidRPr="00EE53B9" w:rsidRDefault="00C45C31" w:rsidP="00510680">
      <w:pPr>
        <w:jc w:val="both"/>
        <w:rPr>
          <w:sz w:val="28"/>
          <w:szCs w:val="28"/>
        </w:rPr>
      </w:pPr>
    </w:p>
    <w:p w14:paraId="34312A8B" w14:textId="5D47B38C" w:rsidR="00BD6E74" w:rsidRPr="00EE53B9" w:rsidRDefault="000346ED" w:rsidP="00C45C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Zemkopības ministra </w:t>
      </w:r>
      <w:proofErr w:type="spellStart"/>
      <w:r>
        <w:rPr>
          <w:rFonts w:ascii="Times New Roman" w:hAnsi="Times New Roman" w:cs="Times New Roman"/>
          <w:sz w:val="28"/>
          <w:szCs w:val="28"/>
        </w:rPr>
        <w:t>p.i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90FC2" w:rsidRPr="00EE53B9">
        <w:rPr>
          <w:rFonts w:ascii="Times New Roman" w:hAnsi="Times New Roman" w:cs="Times New Roman"/>
          <w:sz w:val="28"/>
          <w:szCs w:val="28"/>
        </w:rPr>
        <w:tab/>
      </w:r>
      <w:r w:rsidR="00290FC2" w:rsidRPr="00EE53B9">
        <w:rPr>
          <w:rFonts w:ascii="Times New Roman" w:hAnsi="Times New Roman" w:cs="Times New Roman"/>
          <w:sz w:val="28"/>
          <w:szCs w:val="28"/>
        </w:rPr>
        <w:tab/>
      </w:r>
      <w:r w:rsidR="00290FC2" w:rsidRPr="00EE53B9">
        <w:rPr>
          <w:rFonts w:ascii="Times New Roman" w:hAnsi="Times New Roman" w:cs="Times New Roman"/>
          <w:sz w:val="28"/>
          <w:szCs w:val="28"/>
        </w:rPr>
        <w:tab/>
      </w:r>
      <w:r w:rsidR="00290FC2" w:rsidRPr="00EE53B9">
        <w:rPr>
          <w:rFonts w:ascii="Times New Roman" w:hAnsi="Times New Roman" w:cs="Times New Roman"/>
          <w:sz w:val="28"/>
          <w:szCs w:val="28"/>
        </w:rPr>
        <w:tab/>
      </w:r>
      <w:r w:rsidR="00290FC2" w:rsidRPr="00EE53B9">
        <w:rPr>
          <w:rFonts w:ascii="Times New Roman" w:hAnsi="Times New Roman" w:cs="Times New Roman"/>
          <w:sz w:val="28"/>
          <w:szCs w:val="28"/>
        </w:rPr>
        <w:tab/>
      </w:r>
      <w:r w:rsidR="00C45C31" w:rsidRPr="00EE53B9">
        <w:rPr>
          <w:rFonts w:ascii="Times New Roman" w:hAnsi="Times New Roman" w:cs="Times New Roman"/>
          <w:sz w:val="28"/>
          <w:szCs w:val="28"/>
        </w:rPr>
        <w:tab/>
      </w:r>
      <w:r w:rsidR="00290FC2" w:rsidRPr="00EE53B9">
        <w:rPr>
          <w:rFonts w:ascii="Times New Roman" w:hAnsi="Times New Roman" w:cs="Times New Roman"/>
          <w:sz w:val="28"/>
          <w:szCs w:val="28"/>
        </w:rPr>
        <w:t>J</w:t>
      </w:r>
      <w:r w:rsidR="00BD6E74" w:rsidRPr="00EE53B9">
        <w:rPr>
          <w:rFonts w:ascii="Times New Roman" w:hAnsi="Times New Roman" w:cs="Times New Roman"/>
          <w:sz w:val="28"/>
          <w:szCs w:val="28"/>
        </w:rPr>
        <w:t xml:space="preserve">ānis </w:t>
      </w:r>
      <w:r>
        <w:rPr>
          <w:rFonts w:ascii="Times New Roman" w:hAnsi="Times New Roman" w:cs="Times New Roman"/>
          <w:sz w:val="28"/>
          <w:szCs w:val="28"/>
        </w:rPr>
        <w:t>Reirs</w:t>
      </w:r>
    </w:p>
    <w:p w14:paraId="52A01A63" w14:textId="77777777" w:rsidR="00510680" w:rsidRPr="00EE53B9" w:rsidRDefault="00510680" w:rsidP="00C45C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B3F661D" w14:textId="77777777" w:rsidR="00C45C31" w:rsidRPr="00EE53B9" w:rsidRDefault="00C45C31" w:rsidP="00C45C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D39F62E" w14:textId="3ABD2A3A" w:rsidR="00BD6E74" w:rsidRPr="00784CD9" w:rsidRDefault="00BD6E74" w:rsidP="00C45C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3B9">
        <w:rPr>
          <w:rFonts w:ascii="Times New Roman" w:hAnsi="Times New Roman" w:cs="Times New Roman"/>
          <w:sz w:val="28"/>
          <w:szCs w:val="28"/>
        </w:rPr>
        <w:t xml:space="preserve">Zemkopības ministrijas valsts </w:t>
      </w:r>
      <w:r w:rsidR="00784CD9">
        <w:rPr>
          <w:rFonts w:ascii="Times New Roman" w:hAnsi="Times New Roman" w:cs="Times New Roman"/>
          <w:sz w:val="28"/>
          <w:szCs w:val="28"/>
        </w:rPr>
        <w:t xml:space="preserve">sekretāra </w:t>
      </w:r>
      <w:proofErr w:type="spellStart"/>
      <w:r w:rsidR="00784CD9">
        <w:rPr>
          <w:rFonts w:ascii="Times New Roman" w:hAnsi="Times New Roman" w:cs="Times New Roman"/>
          <w:sz w:val="28"/>
          <w:szCs w:val="28"/>
        </w:rPr>
        <w:t>p.i</w:t>
      </w:r>
      <w:proofErr w:type="spellEnd"/>
      <w:r w:rsidR="00784CD9">
        <w:rPr>
          <w:rFonts w:ascii="Times New Roman" w:hAnsi="Times New Roman" w:cs="Times New Roman"/>
          <w:sz w:val="28"/>
          <w:szCs w:val="28"/>
        </w:rPr>
        <w:t>.</w:t>
      </w:r>
      <w:r w:rsidRPr="00EE53B9">
        <w:rPr>
          <w:rFonts w:ascii="Times New Roman" w:hAnsi="Times New Roman" w:cs="Times New Roman"/>
          <w:sz w:val="28"/>
          <w:szCs w:val="28"/>
        </w:rPr>
        <w:tab/>
      </w:r>
      <w:r w:rsidRPr="00EE53B9">
        <w:rPr>
          <w:rFonts w:ascii="Times New Roman" w:hAnsi="Times New Roman" w:cs="Times New Roman"/>
          <w:sz w:val="28"/>
          <w:szCs w:val="28"/>
        </w:rPr>
        <w:tab/>
      </w:r>
      <w:r w:rsidR="00C45C31" w:rsidRPr="00EE53B9">
        <w:rPr>
          <w:rFonts w:ascii="Times New Roman" w:hAnsi="Times New Roman" w:cs="Times New Roman"/>
          <w:sz w:val="28"/>
          <w:szCs w:val="28"/>
        </w:rPr>
        <w:tab/>
      </w:r>
      <w:r w:rsidR="00784CD9">
        <w:rPr>
          <w:rFonts w:ascii="Times New Roman" w:hAnsi="Times New Roman" w:cs="Times New Roman"/>
          <w:sz w:val="28"/>
          <w:szCs w:val="28"/>
        </w:rPr>
        <w:t>Jānis Šnore</w:t>
      </w:r>
    </w:p>
    <w:p w14:paraId="3B42EC13" w14:textId="77777777" w:rsidR="00510680" w:rsidRPr="00EE53B9" w:rsidRDefault="00510680" w:rsidP="00510680">
      <w:pPr>
        <w:pStyle w:val="Bezatstarpm"/>
        <w:rPr>
          <w:rFonts w:ascii="Times New Roman" w:hAnsi="Times New Roman"/>
          <w:sz w:val="20"/>
          <w:szCs w:val="20"/>
        </w:rPr>
      </w:pPr>
    </w:p>
    <w:p w14:paraId="32F025F8" w14:textId="77777777" w:rsidR="00C45C31" w:rsidRPr="00EE53B9" w:rsidRDefault="00C45C31" w:rsidP="00510680">
      <w:pPr>
        <w:pStyle w:val="Bezatstarpm"/>
        <w:rPr>
          <w:rFonts w:ascii="Times New Roman" w:hAnsi="Times New Roman"/>
          <w:sz w:val="20"/>
          <w:szCs w:val="20"/>
        </w:rPr>
      </w:pPr>
    </w:p>
    <w:p w14:paraId="41ED5DDB" w14:textId="77777777" w:rsidR="00C45C31" w:rsidRPr="00EE53B9" w:rsidRDefault="00C45C31" w:rsidP="00510680">
      <w:pPr>
        <w:pStyle w:val="Bezatstarpm"/>
        <w:rPr>
          <w:rFonts w:ascii="Times New Roman" w:hAnsi="Times New Roman"/>
          <w:sz w:val="20"/>
          <w:szCs w:val="20"/>
        </w:rPr>
      </w:pPr>
    </w:p>
    <w:p w14:paraId="4A366E54" w14:textId="77777777" w:rsidR="00C45C31" w:rsidRPr="00EE53B9" w:rsidRDefault="00C45C31" w:rsidP="00510680">
      <w:pPr>
        <w:pStyle w:val="Bezatstarpm"/>
        <w:rPr>
          <w:rFonts w:ascii="Times New Roman" w:hAnsi="Times New Roman"/>
          <w:sz w:val="20"/>
          <w:szCs w:val="20"/>
        </w:rPr>
      </w:pPr>
    </w:p>
    <w:p w14:paraId="25336934" w14:textId="77777777" w:rsidR="00C45C31" w:rsidRPr="00EE53B9" w:rsidRDefault="00C45C31" w:rsidP="00510680">
      <w:pPr>
        <w:pStyle w:val="Bezatstarpm"/>
        <w:rPr>
          <w:rFonts w:ascii="Times New Roman" w:hAnsi="Times New Roman"/>
          <w:sz w:val="20"/>
          <w:szCs w:val="20"/>
        </w:rPr>
      </w:pPr>
    </w:p>
    <w:p w14:paraId="4057BDD1" w14:textId="77777777" w:rsidR="00C45C31" w:rsidRPr="00EE53B9" w:rsidRDefault="00C45C31" w:rsidP="00510680">
      <w:pPr>
        <w:pStyle w:val="Bezatstarpm"/>
        <w:rPr>
          <w:rFonts w:ascii="Times New Roman" w:hAnsi="Times New Roman"/>
          <w:sz w:val="20"/>
          <w:szCs w:val="20"/>
        </w:rPr>
      </w:pPr>
    </w:p>
    <w:p w14:paraId="0119D12C" w14:textId="77777777" w:rsidR="00C45C31" w:rsidRPr="00EE53B9" w:rsidRDefault="00C45C31" w:rsidP="00510680">
      <w:pPr>
        <w:pStyle w:val="Bezatstarpm"/>
        <w:rPr>
          <w:rFonts w:ascii="Times New Roman" w:hAnsi="Times New Roman"/>
          <w:sz w:val="20"/>
          <w:szCs w:val="20"/>
        </w:rPr>
      </w:pPr>
    </w:p>
    <w:p w14:paraId="567A3B15" w14:textId="77777777" w:rsidR="00C45C31" w:rsidRPr="00EE53B9" w:rsidRDefault="00C45C31" w:rsidP="00510680">
      <w:pPr>
        <w:pStyle w:val="Bezatstarpm"/>
        <w:rPr>
          <w:rFonts w:ascii="Times New Roman" w:hAnsi="Times New Roman"/>
          <w:sz w:val="20"/>
          <w:szCs w:val="20"/>
        </w:rPr>
      </w:pPr>
    </w:p>
    <w:p w14:paraId="2A397404" w14:textId="77777777" w:rsidR="00C45C31" w:rsidRPr="00EE53B9" w:rsidRDefault="00C45C31" w:rsidP="00510680">
      <w:pPr>
        <w:pStyle w:val="Bezatstarpm"/>
        <w:rPr>
          <w:rFonts w:ascii="Times New Roman" w:hAnsi="Times New Roman"/>
          <w:sz w:val="20"/>
          <w:szCs w:val="20"/>
        </w:rPr>
      </w:pPr>
    </w:p>
    <w:p w14:paraId="79248528" w14:textId="77777777" w:rsidR="00C45C31" w:rsidRPr="00EE53B9" w:rsidRDefault="00C45C31" w:rsidP="00510680">
      <w:pPr>
        <w:pStyle w:val="Bezatstarpm"/>
        <w:rPr>
          <w:rFonts w:ascii="Times New Roman" w:hAnsi="Times New Roman"/>
          <w:sz w:val="20"/>
          <w:szCs w:val="20"/>
        </w:rPr>
      </w:pPr>
    </w:p>
    <w:p w14:paraId="09154938" w14:textId="77777777" w:rsidR="00C45C31" w:rsidRPr="00EE53B9" w:rsidRDefault="00C45C31" w:rsidP="00510680">
      <w:pPr>
        <w:pStyle w:val="Bezatstarpm"/>
        <w:rPr>
          <w:rFonts w:ascii="Times New Roman" w:hAnsi="Times New Roman"/>
          <w:sz w:val="20"/>
          <w:szCs w:val="20"/>
        </w:rPr>
      </w:pPr>
    </w:p>
    <w:p w14:paraId="52A5DA14" w14:textId="77777777" w:rsidR="00C45C31" w:rsidRPr="00EE53B9" w:rsidRDefault="00C45C31" w:rsidP="00510680">
      <w:pPr>
        <w:pStyle w:val="Bezatstarpm"/>
        <w:rPr>
          <w:rFonts w:ascii="Times New Roman" w:hAnsi="Times New Roman"/>
          <w:sz w:val="20"/>
          <w:szCs w:val="20"/>
        </w:rPr>
      </w:pPr>
    </w:p>
    <w:p w14:paraId="10A69C39" w14:textId="77777777" w:rsidR="00C45C31" w:rsidRPr="00EE53B9" w:rsidRDefault="00C45C31" w:rsidP="00510680">
      <w:pPr>
        <w:pStyle w:val="Bezatstarpm"/>
        <w:rPr>
          <w:rFonts w:ascii="Times New Roman" w:hAnsi="Times New Roman"/>
          <w:sz w:val="20"/>
          <w:szCs w:val="20"/>
        </w:rPr>
      </w:pPr>
    </w:p>
    <w:p w14:paraId="62C3F6FE" w14:textId="77777777" w:rsidR="00C45C31" w:rsidRPr="00EE53B9" w:rsidRDefault="00C45C31" w:rsidP="00510680">
      <w:pPr>
        <w:pStyle w:val="Bezatstarpm"/>
        <w:rPr>
          <w:rFonts w:ascii="Times New Roman" w:hAnsi="Times New Roman"/>
          <w:sz w:val="20"/>
          <w:szCs w:val="20"/>
        </w:rPr>
      </w:pPr>
    </w:p>
    <w:p w14:paraId="3A89EECB" w14:textId="5BA70ED0" w:rsidR="00BD6E74" w:rsidRPr="00EE53B9" w:rsidRDefault="00ED2DAC" w:rsidP="00510680">
      <w:pPr>
        <w:pStyle w:val="Bezatstarpm"/>
        <w:rPr>
          <w:rFonts w:ascii="Times New Roman" w:hAnsi="Times New Roman"/>
          <w:sz w:val="24"/>
          <w:szCs w:val="20"/>
        </w:rPr>
      </w:pPr>
      <w:r w:rsidRPr="00EE53B9">
        <w:rPr>
          <w:rFonts w:ascii="Times New Roman" w:hAnsi="Times New Roman"/>
          <w:sz w:val="24"/>
          <w:szCs w:val="20"/>
        </w:rPr>
        <w:t>Blūma</w:t>
      </w:r>
      <w:r w:rsidR="00BD6E74" w:rsidRPr="00EE53B9">
        <w:rPr>
          <w:rFonts w:ascii="Times New Roman" w:hAnsi="Times New Roman"/>
          <w:sz w:val="24"/>
          <w:szCs w:val="20"/>
        </w:rPr>
        <w:t xml:space="preserve"> </w:t>
      </w:r>
      <w:r w:rsidR="00CC729C" w:rsidRPr="00EE53B9">
        <w:rPr>
          <w:rFonts w:ascii="Times New Roman" w:hAnsi="Times New Roman"/>
          <w:sz w:val="24"/>
          <w:szCs w:val="20"/>
        </w:rPr>
        <w:t>67027</w:t>
      </w:r>
      <w:r w:rsidRPr="00EE53B9">
        <w:rPr>
          <w:rFonts w:ascii="Times New Roman" w:hAnsi="Times New Roman"/>
          <w:sz w:val="24"/>
          <w:szCs w:val="20"/>
        </w:rPr>
        <w:t>314</w:t>
      </w:r>
    </w:p>
    <w:p w14:paraId="415ACF57" w14:textId="012911CD" w:rsidR="002E543C" w:rsidRPr="00EE53B9" w:rsidRDefault="00E80A3B" w:rsidP="00ED2DAC">
      <w:pPr>
        <w:pStyle w:val="Bezatstarpm"/>
        <w:rPr>
          <w:sz w:val="28"/>
        </w:rPr>
      </w:pPr>
      <w:r>
        <w:rPr>
          <w:rFonts w:ascii="Times New Roman" w:hAnsi="Times New Roman"/>
          <w:sz w:val="24"/>
          <w:szCs w:val="20"/>
        </w:rPr>
        <w:t>i</w:t>
      </w:r>
      <w:r w:rsidR="00ED2DAC" w:rsidRPr="00EE53B9">
        <w:rPr>
          <w:rFonts w:ascii="Times New Roman" w:hAnsi="Times New Roman"/>
          <w:sz w:val="24"/>
          <w:szCs w:val="20"/>
        </w:rPr>
        <w:t>veta.bluma</w:t>
      </w:r>
      <w:r w:rsidR="00CC729C" w:rsidRPr="00EE53B9">
        <w:rPr>
          <w:rFonts w:ascii="Times New Roman" w:hAnsi="Times New Roman"/>
          <w:sz w:val="24"/>
          <w:szCs w:val="20"/>
        </w:rPr>
        <w:t>@vaad.gov.lv</w:t>
      </w:r>
    </w:p>
    <w:sectPr w:rsidR="002E543C" w:rsidRPr="00EE53B9" w:rsidSect="00C45C31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01149" w14:textId="77777777" w:rsidR="00F845CF" w:rsidRDefault="00F845CF" w:rsidP="00F71CA1">
      <w:pPr>
        <w:spacing w:after="0" w:line="240" w:lineRule="auto"/>
      </w:pPr>
      <w:r>
        <w:separator/>
      </w:r>
    </w:p>
  </w:endnote>
  <w:endnote w:type="continuationSeparator" w:id="0">
    <w:p w14:paraId="348E52E1" w14:textId="77777777" w:rsidR="00F845CF" w:rsidRDefault="00F845CF" w:rsidP="00F7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88D11" w14:textId="6EA7F48F" w:rsidR="00616E7A" w:rsidRPr="00C45C31" w:rsidRDefault="00616E7A" w:rsidP="00C45C31">
    <w:pPr>
      <w:pStyle w:val="Kjene"/>
      <w:rPr>
        <w:rFonts w:ascii="Times New Roman" w:hAnsi="Times New Roman" w:cs="Times New Roman"/>
        <w:sz w:val="20"/>
      </w:rPr>
    </w:pPr>
    <w:r w:rsidRPr="00C45C31">
      <w:rPr>
        <w:rFonts w:ascii="Times New Roman" w:hAnsi="Times New Roman" w:cs="Times New Roman"/>
        <w:sz w:val="20"/>
      </w:rPr>
      <w:t>ZManot_</w:t>
    </w:r>
    <w:r w:rsidR="00EE53B9">
      <w:rPr>
        <w:rFonts w:ascii="Times New Roman" w:hAnsi="Times New Roman" w:cs="Times New Roman"/>
        <w:sz w:val="20"/>
      </w:rPr>
      <w:t>24</w:t>
    </w:r>
    <w:r w:rsidRPr="00C45C31">
      <w:rPr>
        <w:rFonts w:ascii="Times New Roman" w:hAnsi="Times New Roman" w:cs="Times New Roman"/>
        <w:sz w:val="20"/>
      </w:rPr>
      <w:t>1017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49085" w14:textId="06CA614D" w:rsidR="00616E7A" w:rsidRPr="00646354" w:rsidRDefault="00646354" w:rsidP="00646354">
    <w:pPr>
      <w:pStyle w:val="Kjene"/>
    </w:pPr>
    <w:r w:rsidRPr="00646354">
      <w:rPr>
        <w:rFonts w:ascii="Times New Roman" w:hAnsi="Times New Roman" w:cs="Times New Roman"/>
        <w:sz w:val="20"/>
      </w:rPr>
      <w:t>ZManot_241017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35C04" w14:textId="77777777" w:rsidR="00F845CF" w:rsidRDefault="00F845CF" w:rsidP="00F71CA1">
      <w:pPr>
        <w:spacing w:after="0" w:line="240" w:lineRule="auto"/>
      </w:pPr>
      <w:r>
        <w:separator/>
      </w:r>
    </w:p>
  </w:footnote>
  <w:footnote w:type="continuationSeparator" w:id="0">
    <w:p w14:paraId="474D5124" w14:textId="77777777" w:rsidR="00F845CF" w:rsidRDefault="00F845CF" w:rsidP="00F7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14667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B009520" w14:textId="4CD6B125" w:rsidR="00616E7A" w:rsidRPr="00C45C31" w:rsidRDefault="00616E7A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C45C31">
          <w:rPr>
            <w:rFonts w:ascii="Times New Roman" w:hAnsi="Times New Roman" w:cs="Times New Roman"/>
            <w:sz w:val="24"/>
          </w:rPr>
          <w:fldChar w:fldCharType="begin"/>
        </w:r>
        <w:r w:rsidRPr="00C45C31">
          <w:rPr>
            <w:rFonts w:ascii="Times New Roman" w:hAnsi="Times New Roman" w:cs="Times New Roman"/>
            <w:sz w:val="24"/>
          </w:rPr>
          <w:instrText>PAGE   \* MERGEFORMAT</w:instrText>
        </w:r>
        <w:r w:rsidRPr="00C45C31">
          <w:rPr>
            <w:rFonts w:ascii="Times New Roman" w:hAnsi="Times New Roman" w:cs="Times New Roman"/>
            <w:sz w:val="24"/>
          </w:rPr>
          <w:fldChar w:fldCharType="separate"/>
        </w:r>
        <w:r w:rsidR="00646354">
          <w:rPr>
            <w:rFonts w:ascii="Times New Roman" w:hAnsi="Times New Roman" w:cs="Times New Roman"/>
            <w:noProof/>
            <w:sz w:val="24"/>
          </w:rPr>
          <w:t>4</w:t>
        </w:r>
        <w:r w:rsidRPr="00C45C3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2FCD462" w14:textId="77777777" w:rsidR="00616E7A" w:rsidRDefault="00616E7A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C5800"/>
    <w:multiLevelType w:val="hybridMultilevel"/>
    <w:tmpl w:val="A6FCBEE4"/>
    <w:lvl w:ilvl="0" w:tplc="A4CC94A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D8"/>
    <w:rsid w:val="00007802"/>
    <w:rsid w:val="0001551C"/>
    <w:rsid w:val="0002618C"/>
    <w:rsid w:val="000346ED"/>
    <w:rsid w:val="00034C58"/>
    <w:rsid w:val="00060D1E"/>
    <w:rsid w:val="000613DD"/>
    <w:rsid w:val="000676DE"/>
    <w:rsid w:val="000913D3"/>
    <w:rsid w:val="000C57C5"/>
    <w:rsid w:val="001255A7"/>
    <w:rsid w:val="00145198"/>
    <w:rsid w:val="00157FA4"/>
    <w:rsid w:val="00166F0E"/>
    <w:rsid w:val="00182FA5"/>
    <w:rsid w:val="00184CC3"/>
    <w:rsid w:val="00192BB6"/>
    <w:rsid w:val="001F33C8"/>
    <w:rsid w:val="00202164"/>
    <w:rsid w:val="00205496"/>
    <w:rsid w:val="00210725"/>
    <w:rsid w:val="00220B58"/>
    <w:rsid w:val="00235BD8"/>
    <w:rsid w:val="002508BD"/>
    <w:rsid w:val="00253EFF"/>
    <w:rsid w:val="00290FC2"/>
    <w:rsid w:val="002E543C"/>
    <w:rsid w:val="0032697D"/>
    <w:rsid w:val="00362064"/>
    <w:rsid w:val="003C06DB"/>
    <w:rsid w:val="00411162"/>
    <w:rsid w:val="00481F1A"/>
    <w:rsid w:val="00490E23"/>
    <w:rsid w:val="004F6436"/>
    <w:rsid w:val="00510680"/>
    <w:rsid w:val="00522A45"/>
    <w:rsid w:val="00564E54"/>
    <w:rsid w:val="00616E7A"/>
    <w:rsid w:val="00623708"/>
    <w:rsid w:val="00627978"/>
    <w:rsid w:val="00632196"/>
    <w:rsid w:val="00646354"/>
    <w:rsid w:val="00654F22"/>
    <w:rsid w:val="0068657C"/>
    <w:rsid w:val="006C3FB6"/>
    <w:rsid w:val="007370F3"/>
    <w:rsid w:val="00740DB0"/>
    <w:rsid w:val="00747ACD"/>
    <w:rsid w:val="00751EA4"/>
    <w:rsid w:val="00784CD9"/>
    <w:rsid w:val="007C5031"/>
    <w:rsid w:val="007E5AA9"/>
    <w:rsid w:val="0087407B"/>
    <w:rsid w:val="00876345"/>
    <w:rsid w:val="008A4BE5"/>
    <w:rsid w:val="008D7048"/>
    <w:rsid w:val="00932FE2"/>
    <w:rsid w:val="00995ED6"/>
    <w:rsid w:val="009D4A05"/>
    <w:rsid w:val="009E0A89"/>
    <w:rsid w:val="009E5707"/>
    <w:rsid w:val="00A94FE0"/>
    <w:rsid w:val="00AB7591"/>
    <w:rsid w:val="00AC69ED"/>
    <w:rsid w:val="00AD117F"/>
    <w:rsid w:val="00AE15A0"/>
    <w:rsid w:val="00B3219E"/>
    <w:rsid w:val="00B850C6"/>
    <w:rsid w:val="00B85110"/>
    <w:rsid w:val="00BB1605"/>
    <w:rsid w:val="00BD6E74"/>
    <w:rsid w:val="00C0590D"/>
    <w:rsid w:val="00C141FD"/>
    <w:rsid w:val="00C45C31"/>
    <w:rsid w:val="00C54800"/>
    <w:rsid w:val="00C77A4B"/>
    <w:rsid w:val="00C85448"/>
    <w:rsid w:val="00CC729C"/>
    <w:rsid w:val="00CE1BA8"/>
    <w:rsid w:val="00CF0BA3"/>
    <w:rsid w:val="00D14D77"/>
    <w:rsid w:val="00D30306"/>
    <w:rsid w:val="00D33AC0"/>
    <w:rsid w:val="00DA3AEF"/>
    <w:rsid w:val="00DA3E9A"/>
    <w:rsid w:val="00DB71CC"/>
    <w:rsid w:val="00DC1B47"/>
    <w:rsid w:val="00DC59E7"/>
    <w:rsid w:val="00DD4618"/>
    <w:rsid w:val="00DE57B0"/>
    <w:rsid w:val="00E1605A"/>
    <w:rsid w:val="00E4033D"/>
    <w:rsid w:val="00E4165E"/>
    <w:rsid w:val="00E55B96"/>
    <w:rsid w:val="00E75155"/>
    <w:rsid w:val="00E80A3B"/>
    <w:rsid w:val="00E81010"/>
    <w:rsid w:val="00E81EA0"/>
    <w:rsid w:val="00EA46AB"/>
    <w:rsid w:val="00ED2DAC"/>
    <w:rsid w:val="00EE53B9"/>
    <w:rsid w:val="00F71CA1"/>
    <w:rsid w:val="00F80451"/>
    <w:rsid w:val="00F845CF"/>
    <w:rsid w:val="00F95C01"/>
    <w:rsid w:val="00FA593A"/>
    <w:rsid w:val="00FD0A54"/>
    <w:rsid w:val="00FD4339"/>
    <w:rsid w:val="00FE1908"/>
    <w:rsid w:val="00FE2A9C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,"/>
  <w:listSeparator w:val=";"/>
  <w14:docId w14:val="50D58BF7"/>
  <w15:docId w15:val="{F5A6F17A-F989-491C-8379-BF13B851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4">
    <w:name w:val="heading 4"/>
    <w:basedOn w:val="Parasts"/>
    <w:next w:val="Parasts"/>
    <w:link w:val="Virsraksts4Rakstz"/>
    <w:qFormat/>
    <w:rsid w:val="00235BD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23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235BD8"/>
    <w:rPr>
      <w:color w:val="0000FF"/>
      <w:u w:val="single"/>
    </w:rPr>
  </w:style>
  <w:style w:type="paragraph" w:customStyle="1" w:styleId="tvhtml">
    <w:name w:val="tv_html"/>
    <w:basedOn w:val="Parasts"/>
    <w:rsid w:val="0023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4Rakstz">
    <w:name w:val="Virsraksts 4 Rakstz."/>
    <w:basedOn w:val="Noklusjumarindkopasfonts"/>
    <w:link w:val="Virsraksts4"/>
    <w:rsid w:val="00235BD8"/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Parasts"/>
    <w:rsid w:val="00235BD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rsid w:val="00235BD8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235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rsid w:val="00235BD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35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35BD8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rsid w:val="0023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F71C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71CA1"/>
  </w:style>
  <w:style w:type="paragraph" w:styleId="Kjene">
    <w:name w:val="footer"/>
    <w:basedOn w:val="Parasts"/>
    <w:link w:val="KjeneRakstz"/>
    <w:unhideWhenUsed/>
    <w:rsid w:val="00F71C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F71CA1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508B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508B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customStyle="1" w:styleId="TableGridLight1">
    <w:name w:val="Table Grid Light1"/>
    <w:basedOn w:val="Parastatabula"/>
    <w:uiPriority w:val="40"/>
    <w:rsid w:val="00D14D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arakstarindkopa">
    <w:name w:val="List Paragraph"/>
    <w:basedOn w:val="Parasts"/>
    <w:uiPriority w:val="34"/>
    <w:qFormat/>
    <w:rsid w:val="00EA46AB"/>
    <w:pPr>
      <w:ind w:left="720"/>
      <w:contextualSpacing/>
    </w:pPr>
  </w:style>
  <w:style w:type="paragraph" w:styleId="Bezatstarpm">
    <w:name w:val="No Spacing"/>
    <w:uiPriority w:val="1"/>
    <w:qFormat/>
    <w:rsid w:val="006237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C266F-84EE-41F3-913C-ED16B1DF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5255</Words>
  <Characters>2996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„Par finanšu līdzekļu piešķiršanu no valsts budžeta programmas „Līdzekļi neparedzētiem gadījumiem””</vt:lpstr>
      <vt:lpstr/>
    </vt:vector>
  </TitlesOfParts>
  <Company>Zemkopības Ministrija</Company>
  <LinksUpToDate>false</LinksUpToDate>
  <CharactersWithSpaces>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finanšu līdzekļu piešķiršanu no valsts budžeta programmas „Līdzekļi neparedzētiem gadījumiem””</dc:title>
  <dc:subject>Anotācija</dc:subject>
  <dc:creator>Iveta Blūma</dc:creator>
  <dc:description>Blūma 67027314_x000d_
iveta.bluma@vaad.gov.lv</dc:description>
  <cp:lastModifiedBy>Sanita Žagare</cp:lastModifiedBy>
  <cp:revision>3</cp:revision>
  <cp:lastPrinted>2017-10-18T12:34:00Z</cp:lastPrinted>
  <dcterms:created xsi:type="dcterms:W3CDTF">2017-10-26T06:09:00Z</dcterms:created>
  <dcterms:modified xsi:type="dcterms:W3CDTF">2017-10-26T06:39:00Z</dcterms:modified>
</cp:coreProperties>
</file>