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02803" w14:textId="7F7C9EBD" w:rsidR="00D42F6E" w:rsidRPr="00735BE2" w:rsidRDefault="00D42F6E" w:rsidP="0006354F">
      <w:pPr>
        <w:pStyle w:val="naislab"/>
        <w:jc w:val="center"/>
        <w:outlineLvl w:val="0"/>
        <w:rPr>
          <w:b/>
          <w:sz w:val="28"/>
          <w:szCs w:val="28"/>
        </w:rPr>
      </w:pPr>
      <w:r w:rsidRPr="00735BE2">
        <w:rPr>
          <w:b/>
          <w:sz w:val="28"/>
          <w:szCs w:val="28"/>
        </w:rPr>
        <w:t>Ministru kabineta noteikumu projekta „</w:t>
      </w:r>
      <w:r w:rsidR="005E705C" w:rsidRPr="00735BE2">
        <w:rPr>
          <w:b/>
          <w:bCs/>
          <w:sz w:val="28"/>
          <w:szCs w:val="28"/>
        </w:rPr>
        <w:t xml:space="preserve">Grozījumi Ministru kabineta </w:t>
      </w:r>
      <w:r w:rsidR="00CB1AA4" w:rsidRPr="00735BE2">
        <w:rPr>
          <w:b/>
          <w:bCs/>
          <w:sz w:val="28"/>
          <w:szCs w:val="28"/>
        </w:rPr>
        <w:t>2008.</w:t>
      </w:r>
      <w:r w:rsidR="008E13BE">
        <w:rPr>
          <w:b/>
          <w:bCs/>
          <w:sz w:val="28"/>
          <w:szCs w:val="28"/>
        </w:rPr>
        <w:t> </w:t>
      </w:r>
      <w:r w:rsidR="00CB1AA4" w:rsidRPr="00735BE2">
        <w:rPr>
          <w:b/>
          <w:bCs/>
          <w:sz w:val="28"/>
          <w:szCs w:val="28"/>
        </w:rPr>
        <w:t>gada 21.</w:t>
      </w:r>
      <w:r w:rsidR="001A3D56" w:rsidRPr="00735BE2">
        <w:rPr>
          <w:b/>
          <w:bCs/>
          <w:sz w:val="28"/>
          <w:szCs w:val="28"/>
        </w:rPr>
        <w:t> </w:t>
      </w:r>
      <w:r w:rsidR="00CB1AA4" w:rsidRPr="00735BE2">
        <w:rPr>
          <w:b/>
          <w:bCs/>
          <w:sz w:val="28"/>
          <w:szCs w:val="28"/>
        </w:rPr>
        <w:t>jūlija noteikumos Nr.</w:t>
      </w:r>
      <w:r w:rsidR="008E13BE">
        <w:rPr>
          <w:b/>
          <w:bCs/>
          <w:sz w:val="28"/>
          <w:szCs w:val="28"/>
        </w:rPr>
        <w:t> </w:t>
      </w:r>
      <w:r w:rsidR="00CB1AA4" w:rsidRPr="00735BE2">
        <w:rPr>
          <w:b/>
          <w:bCs/>
          <w:sz w:val="28"/>
          <w:szCs w:val="28"/>
        </w:rPr>
        <w:t>575 „Bakteriālās iedegas apkarošanas un izplatības ierobežošanas kārtība”</w:t>
      </w:r>
      <w:r w:rsidR="00DE0D6F">
        <w:rPr>
          <w:b/>
          <w:bCs/>
          <w:sz w:val="28"/>
          <w:szCs w:val="28"/>
        </w:rPr>
        <w:t>”</w:t>
      </w:r>
      <w:r w:rsidRPr="00735BE2">
        <w:rPr>
          <w:b/>
          <w:sz w:val="28"/>
          <w:szCs w:val="28"/>
        </w:rPr>
        <w:t xml:space="preserve"> sākotnējās ietekmes novērtējuma ziņojums (anotācija)</w:t>
      </w:r>
    </w:p>
    <w:tbl>
      <w:tblPr>
        <w:tblpPr w:leftFromText="180" w:rightFromText="180" w:vertAnchor="text" w:horzAnchor="margin" w:tblpXSpec="center" w:tblpY="149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551"/>
        <w:gridCol w:w="6743"/>
      </w:tblGrid>
      <w:tr w:rsidR="00D42F6E" w:rsidRPr="00323155" w14:paraId="5B12A37F" w14:textId="77777777" w:rsidTr="00CB108D">
        <w:tc>
          <w:tcPr>
            <w:tcW w:w="9725" w:type="dxa"/>
            <w:gridSpan w:val="3"/>
            <w:vAlign w:val="center"/>
          </w:tcPr>
          <w:p w14:paraId="1C2BE591" w14:textId="77777777" w:rsidR="00D42F6E" w:rsidRPr="00323155" w:rsidRDefault="00D42F6E" w:rsidP="00CB108D">
            <w:pPr>
              <w:pStyle w:val="naisnod"/>
              <w:spacing w:before="0" w:after="0"/>
            </w:pPr>
            <w:r w:rsidRPr="00323155">
              <w:t>I. Tiesību akta projekta izstrādes nepieciešamība</w:t>
            </w:r>
          </w:p>
        </w:tc>
      </w:tr>
      <w:tr w:rsidR="00D42F6E" w:rsidRPr="00323155" w14:paraId="436D8293" w14:textId="77777777" w:rsidTr="00CB108D">
        <w:trPr>
          <w:trHeight w:val="630"/>
        </w:trPr>
        <w:tc>
          <w:tcPr>
            <w:tcW w:w="431" w:type="dxa"/>
          </w:tcPr>
          <w:p w14:paraId="75172556" w14:textId="77777777" w:rsidR="00D42F6E" w:rsidRPr="00DA6B28" w:rsidRDefault="00D42F6E" w:rsidP="00CB108D">
            <w:pPr>
              <w:pStyle w:val="naiskr"/>
              <w:spacing w:before="0" w:after="0"/>
              <w:jc w:val="center"/>
              <w:rPr>
                <w:sz w:val="22"/>
                <w:szCs w:val="22"/>
              </w:rPr>
            </w:pPr>
            <w:r w:rsidRPr="00DA6B28"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</w:tcPr>
          <w:p w14:paraId="14004B28" w14:textId="77777777" w:rsidR="00D42F6E" w:rsidRPr="00DA6B28" w:rsidRDefault="00D42F6E" w:rsidP="00CB108D">
            <w:pPr>
              <w:pStyle w:val="naiskr"/>
              <w:spacing w:before="0" w:after="0"/>
              <w:ind w:left="164"/>
            </w:pPr>
            <w:r w:rsidRPr="00DA6B28">
              <w:t>Pamatojums</w:t>
            </w:r>
          </w:p>
        </w:tc>
        <w:tc>
          <w:tcPr>
            <w:tcW w:w="6743" w:type="dxa"/>
          </w:tcPr>
          <w:p w14:paraId="196499D0" w14:textId="0670785F" w:rsidR="00CB108D" w:rsidRPr="00DA6B28" w:rsidRDefault="00D7054C" w:rsidP="00735BE2">
            <w:pPr>
              <w:pStyle w:val="naiskr"/>
              <w:spacing w:before="0" w:after="0"/>
              <w:ind w:left="141" w:right="81"/>
              <w:jc w:val="both"/>
            </w:pPr>
            <w:r w:rsidRPr="008B526A">
              <w:t>Augu aizsardzības likuma 5.</w:t>
            </w:r>
            <w:r w:rsidR="00563990">
              <w:t xml:space="preserve"> </w:t>
            </w:r>
            <w:r w:rsidRPr="008B526A">
              <w:t>panta 13.</w:t>
            </w:r>
            <w:r w:rsidR="00563990">
              <w:t xml:space="preserve"> </w:t>
            </w:r>
            <w:r w:rsidRPr="008B526A">
              <w:t>punkts</w:t>
            </w:r>
          </w:p>
        </w:tc>
      </w:tr>
      <w:tr w:rsidR="00D42F6E" w:rsidRPr="008D27A6" w14:paraId="2039005C" w14:textId="77777777" w:rsidTr="00CB108D">
        <w:trPr>
          <w:trHeight w:val="472"/>
        </w:trPr>
        <w:tc>
          <w:tcPr>
            <w:tcW w:w="431" w:type="dxa"/>
          </w:tcPr>
          <w:p w14:paraId="5B371C37" w14:textId="77777777" w:rsidR="00D42F6E" w:rsidRPr="00DA6B28" w:rsidRDefault="00D42F6E" w:rsidP="00CB108D">
            <w:pPr>
              <w:pStyle w:val="naiskr"/>
              <w:spacing w:before="0" w:after="0"/>
              <w:jc w:val="center"/>
              <w:rPr>
                <w:sz w:val="22"/>
                <w:szCs w:val="22"/>
              </w:rPr>
            </w:pPr>
            <w:r w:rsidRPr="00DA6B28"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</w:tcPr>
          <w:p w14:paraId="6C424983" w14:textId="77777777" w:rsidR="00D42F6E" w:rsidRDefault="00D42F6E" w:rsidP="00CB108D">
            <w:pPr>
              <w:tabs>
                <w:tab w:val="left" w:pos="-168"/>
              </w:tabs>
              <w:ind w:left="164" w:right="57"/>
              <w:rPr>
                <w:rFonts w:eastAsia="Calibri"/>
              </w:rPr>
            </w:pPr>
            <w:r w:rsidRPr="00DA6B28">
              <w:rPr>
                <w:rFonts w:eastAsia="Calibri"/>
              </w:rPr>
              <w:t>Pašreizējā situācija un problēmas, kuru risināšanai tiesību akta projekts izstrādāts, tiesiskā regulējuma mērķis un būtība</w:t>
            </w:r>
          </w:p>
          <w:p w14:paraId="460B1722" w14:textId="77777777" w:rsidR="00D42F6E" w:rsidRPr="00DA6B28" w:rsidRDefault="00D42F6E" w:rsidP="00CB108D">
            <w:pPr>
              <w:tabs>
                <w:tab w:val="left" w:pos="-168"/>
              </w:tabs>
              <w:ind w:left="164" w:right="57"/>
              <w:rPr>
                <w:rFonts w:eastAsia="Calibri"/>
              </w:rPr>
            </w:pPr>
          </w:p>
          <w:p w14:paraId="32834699" w14:textId="77777777" w:rsidR="00D42F6E" w:rsidRPr="00DA6B28" w:rsidRDefault="00D42F6E" w:rsidP="00CB108D">
            <w:pPr>
              <w:pStyle w:val="naiskr"/>
              <w:tabs>
                <w:tab w:val="left" w:pos="170"/>
              </w:tabs>
              <w:spacing w:before="0" w:after="0"/>
              <w:ind w:left="164"/>
              <w:jc w:val="center"/>
            </w:pPr>
          </w:p>
        </w:tc>
        <w:tc>
          <w:tcPr>
            <w:tcW w:w="6743" w:type="dxa"/>
          </w:tcPr>
          <w:p w14:paraId="71382DDA" w14:textId="3B6E0684" w:rsidR="00CB108D" w:rsidRDefault="00CB108D" w:rsidP="00CB1AA4">
            <w:pPr>
              <w:ind w:left="141" w:right="81"/>
              <w:jc w:val="both"/>
              <w:rPr>
                <w:bCs/>
              </w:rPr>
            </w:pPr>
            <w:r w:rsidRPr="0078139A">
              <w:rPr>
                <w:iCs/>
              </w:rPr>
              <w:t xml:space="preserve">Patlaban ir spēkā Ministru kabineta </w:t>
            </w:r>
            <w:r w:rsidR="00CB1AA4" w:rsidRPr="00CB1AA4">
              <w:rPr>
                <w:bCs/>
                <w:iCs/>
              </w:rPr>
              <w:t>2008.</w:t>
            </w:r>
            <w:r w:rsidR="00563990">
              <w:rPr>
                <w:bCs/>
                <w:iCs/>
              </w:rPr>
              <w:t xml:space="preserve"> </w:t>
            </w:r>
            <w:r w:rsidR="00CB1AA4" w:rsidRPr="00CB1AA4">
              <w:rPr>
                <w:bCs/>
                <w:iCs/>
              </w:rPr>
              <w:t>gada 21.</w:t>
            </w:r>
            <w:r w:rsidR="00563990">
              <w:rPr>
                <w:bCs/>
                <w:iCs/>
              </w:rPr>
              <w:t xml:space="preserve"> </w:t>
            </w:r>
            <w:r w:rsidR="00CB1AA4" w:rsidRPr="00CB1AA4">
              <w:rPr>
                <w:bCs/>
                <w:iCs/>
              </w:rPr>
              <w:t>jūlija noteikumi Nr.</w:t>
            </w:r>
            <w:r w:rsidR="00E951E9">
              <w:rPr>
                <w:bCs/>
                <w:iCs/>
              </w:rPr>
              <w:t xml:space="preserve"> </w:t>
            </w:r>
            <w:r w:rsidR="00CB1AA4" w:rsidRPr="00CB1AA4">
              <w:rPr>
                <w:bCs/>
                <w:iCs/>
              </w:rPr>
              <w:t>575 „Bakteriālās iedegas apkarošanas un izplatības ierobežošanas kārtība”</w:t>
            </w:r>
            <w:r>
              <w:rPr>
                <w:bCs/>
              </w:rPr>
              <w:t xml:space="preserve"> (turpmāk – noteikumi Nr.</w:t>
            </w:r>
            <w:r w:rsidR="00332B44">
              <w:rPr>
                <w:bCs/>
              </w:rPr>
              <w:t xml:space="preserve"> </w:t>
            </w:r>
            <w:r w:rsidR="00CB1AA4">
              <w:rPr>
                <w:bCs/>
              </w:rPr>
              <w:t>575</w:t>
            </w:r>
            <w:r>
              <w:rPr>
                <w:bCs/>
              </w:rPr>
              <w:t>).</w:t>
            </w:r>
          </w:p>
          <w:p w14:paraId="1343EEF9" w14:textId="77777777" w:rsidR="00D42F6E" w:rsidRDefault="00D42F6E" w:rsidP="00CB108D">
            <w:pPr>
              <w:ind w:left="142" w:right="81"/>
              <w:jc w:val="both"/>
            </w:pPr>
          </w:p>
          <w:p w14:paraId="303373CA" w14:textId="03FDFABA" w:rsidR="00551AD6" w:rsidRDefault="00551AD6" w:rsidP="00CB108D">
            <w:pPr>
              <w:ind w:left="142" w:right="81"/>
              <w:jc w:val="both"/>
              <w:rPr>
                <w:bCs/>
              </w:rPr>
            </w:pPr>
            <w:r w:rsidRPr="00551AD6">
              <w:rPr>
                <w:bCs/>
              </w:rPr>
              <w:t xml:space="preserve">Augu </w:t>
            </w:r>
            <w:r>
              <w:rPr>
                <w:bCs/>
              </w:rPr>
              <w:t>karantīnas organisms bakteriālā iedega</w:t>
            </w:r>
            <w:r w:rsidRPr="00551AD6">
              <w:rPr>
                <w:bCs/>
              </w:rPr>
              <w:t xml:space="preserve"> </w:t>
            </w:r>
            <w:proofErr w:type="spellStart"/>
            <w:r w:rsidRPr="00551AD6">
              <w:rPr>
                <w:i/>
              </w:rPr>
              <w:t>Erwinia</w:t>
            </w:r>
            <w:proofErr w:type="spellEnd"/>
            <w:r w:rsidRPr="00551AD6">
              <w:rPr>
                <w:i/>
              </w:rPr>
              <w:t xml:space="preserve"> </w:t>
            </w:r>
            <w:proofErr w:type="spellStart"/>
            <w:r w:rsidRPr="00551AD6">
              <w:rPr>
                <w:i/>
              </w:rPr>
              <w:t>amylovora</w:t>
            </w:r>
            <w:proofErr w:type="spellEnd"/>
            <w:r w:rsidRPr="00551AD6">
              <w:rPr>
                <w:i/>
              </w:rPr>
              <w:t xml:space="preserve"> </w:t>
            </w:r>
            <w:r>
              <w:t>(turpmāk – bakteriālā iedega</w:t>
            </w:r>
            <w:r w:rsidRPr="00551AD6">
              <w:t xml:space="preserve">) </w:t>
            </w:r>
            <w:r w:rsidRPr="00551AD6">
              <w:rPr>
                <w:bCs/>
              </w:rPr>
              <w:t>ir ļoti bīstama augļkoku slimība</w:t>
            </w:r>
            <w:r>
              <w:rPr>
                <w:bCs/>
              </w:rPr>
              <w:t>, kas</w:t>
            </w:r>
            <w:r w:rsidRPr="00551AD6">
              <w:rPr>
                <w:bCs/>
              </w:rPr>
              <w:t xml:space="preserve"> var izraisīt postījumus līdz pat 80</w:t>
            </w:r>
            <w:r w:rsidR="001A3D56">
              <w:rPr>
                <w:bCs/>
              </w:rPr>
              <w:t> </w:t>
            </w:r>
            <w:r w:rsidRPr="00551AD6">
              <w:rPr>
                <w:bCs/>
              </w:rPr>
              <w:t>% apjomā no augļu dārza stādījumiem.</w:t>
            </w:r>
          </w:p>
          <w:p w14:paraId="40EDE21A" w14:textId="208DC4B2" w:rsidR="00551AD6" w:rsidRPr="004156E4" w:rsidRDefault="00551AD6" w:rsidP="00CB108D">
            <w:pPr>
              <w:ind w:left="142" w:right="81"/>
              <w:jc w:val="both"/>
              <w:rPr>
                <w:bCs/>
              </w:rPr>
            </w:pPr>
            <w:r>
              <w:t>Latvijai</w:t>
            </w:r>
            <w:r w:rsidRPr="006271B7">
              <w:t xml:space="preserve"> </w:t>
            </w:r>
            <w:r>
              <w:t xml:space="preserve">Eiropas Savienībā </w:t>
            </w:r>
            <w:r w:rsidRPr="006271B7">
              <w:t>attiecībā uz bakteriāl</w:t>
            </w:r>
            <w:r>
              <w:t>o</w:t>
            </w:r>
            <w:r w:rsidRPr="006271B7">
              <w:t xml:space="preserve"> iedeg</w:t>
            </w:r>
            <w:r>
              <w:t xml:space="preserve">u </w:t>
            </w:r>
            <w:r w:rsidRPr="006271B7">
              <w:t>ir piešķirts aizsargājamās zonas statuss. Augus no aizsargājamās zonas bez ierobežojumiem var izplatīt Eiropas Savienībā</w:t>
            </w:r>
            <w:r>
              <w:t xml:space="preserve">, </w:t>
            </w:r>
            <w:r w:rsidRPr="005E28DF">
              <w:t>tādējādi veicinot Latvijas uzņēmējdarbības (</w:t>
            </w:r>
            <w:proofErr w:type="spellStart"/>
            <w:r w:rsidRPr="005E28DF">
              <w:t>stādaudzēšanas</w:t>
            </w:r>
            <w:proofErr w:type="spellEnd"/>
            <w:r w:rsidRPr="005E28DF">
              <w:t xml:space="preserve">, augļkoku </w:t>
            </w:r>
            <w:proofErr w:type="spellStart"/>
            <w:r w:rsidRPr="005E28DF">
              <w:t>komercdārzu</w:t>
            </w:r>
            <w:proofErr w:type="spellEnd"/>
            <w:r w:rsidRPr="005E28DF">
              <w:t xml:space="preserve"> ierīkošan</w:t>
            </w:r>
            <w:r w:rsidR="00332B44">
              <w:t>as</w:t>
            </w:r>
            <w:r w:rsidRPr="005E28DF">
              <w:t>) attīstību,</w:t>
            </w:r>
            <w:r w:rsidRPr="006271B7">
              <w:t xml:space="preserve"> bet augu ievešanai aizsargājamā zonā ir noteiktas stingrākas prasības, </w:t>
            </w:r>
            <w:r w:rsidR="001A3D56">
              <w:t>turklāt</w:t>
            </w:r>
            <w:r w:rsidRPr="006271B7">
              <w:t xml:space="preserve"> </w:t>
            </w:r>
            <w:r w:rsidR="001A3D56">
              <w:t>no</w:t>
            </w:r>
            <w:r w:rsidRPr="006271B7">
              <w:t xml:space="preserve">tiek regulāras pārbaudes un pasākumi, lai </w:t>
            </w:r>
            <w:r w:rsidR="001A3D56">
              <w:t>minētais</w:t>
            </w:r>
            <w:r w:rsidRPr="006271B7">
              <w:t xml:space="preserve"> organisms </w:t>
            </w:r>
            <w:r w:rsidRPr="004156E4">
              <w:t>neieviestos šajā teritorijā. Laikus nekonstatē</w:t>
            </w:r>
            <w:r w:rsidR="001A3D56">
              <w:t>ta</w:t>
            </w:r>
            <w:r w:rsidRPr="004156E4">
              <w:t xml:space="preserve"> bakteriāl</w:t>
            </w:r>
            <w:r w:rsidR="001A3D56">
              <w:t>ā</w:t>
            </w:r>
            <w:r w:rsidRPr="004156E4">
              <w:t xml:space="preserve"> iedeg</w:t>
            </w:r>
            <w:r w:rsidR="001A3D56">
              <w:t>a</w:t>
            </w:r>
            <w:r w:rsidRPr="004156E4">
              <w:t xml:space="preserve"> var izplatīties, </w:t>
            </w:r>
            <w:r w:rsidR="001A3D56">
              <w:t>t</w:t>
            </w:r>
            <w:r w:rsidRPr="004156E4">
              <w:t>ā rad</w:t>
            </w:r>
            <w:r w:rsidR="001A3D56">
              <w:t>o</w:t>
            </w:r>
            <w:r w:rsidRPr="004156E4">
              <w:t xml:space="preserve">t zaudējumus </w:t>
            </w:r>
            <w:r w:rsidR="001A3D56">
              <w:t xml:space="preserve">tautsaimniecībai </w:t>
            </w:r>
            <w:r w:rsidRPr="004156E4">
              <w:t>kopumā, jo vienīgais fitosanitārais pasākums ir inficēto koku un to tuvumā augošo saimniekaugu iznīcināšana</w:t>
            </w:r>
            <w:r w:rsidR="001A3D56">
              <w:t>, tos</w:t>
            </w:r>
            <w:r w:rsidRPr="004156E4">
              <w:t xml:space="preserve"> sadedzinot.</w:t>
            </w:r>
          </w:p>
          <w:p w14:paraId="0107D17F" w14:textId="7FD8E051" w:rsidR="00551AD6" w:rsidRDefault="00551AD6" w:rsidP="00551AD6">
            <w:pPr>
              <w:ind w:left="142" w:right="81"/>
              <w:jc w:val="both"/>
            </w:pPr>
            <w:r w:rsidRPr="004156E4">
              <w:t>Bakteriālā iedega Latvijā pirmo reizi tika konstatēta 2007.</w:t>
            </w:r>
            <w:r w:rsidR="00332B44">
              <w:t xml:space="preserve"> </w:t>
            </w:r>
            <w:r w:rsidRPr="004156E4">
              <w:t>gada jūlijā, kad tika atklāti 26 šīs slimības perēkļi</w:t>
            </w:r>
            <w:r w:rsidRPr="00BD767D">
              <w:t xml:space="preserve"> Zemgales, Rīgas, Latgales un Dienvidkurzemes reģion</w:t>
            </w:r>
            <w:r>
              <w:t>ā</w:t>
            </w:r>
            <w:r w:rsidRPr="00BD767D">
              <w:t>.</w:t>
            </w:r>
            <w:r>
              <w:t xml:space="preserve"> Ā</w:t>
            </w:r>
            <w:r w:rsidRPr="00BD767D">
              <w:t>tr</w:t>
            </w:r>
            <w:r>
              <w:t>ā</w:t>
            </w:r>
            <w:r w:rsidRPr="00BD767D">
              <w:t xml:space="preserve"> rīcība slimības konstatēšanas gadā</w:t>
            </w:r>
            <w:r>
              <w:t xml:space="preserve"> (2007</w:t>
            </w:r>
            <w:r w:rsidR="001A3D56">
              <w:t>.</w:t>
            </w:r>
            <w:r>
              <w:t>)</w:t>
            </w:r>
            <w:r w:rsidRPr="00BD767D">
              <w:t>, intensīv</w:t>
            </w:r>
            <w:r>
              <w:t>ās</w:t>
            </w:r>
            <w:r w:rsidRPr="00BD767D">
              <w:t xml:space="preserve"> pārbaud</w:t>
            </w:r>
            <w:r>
              <w:t>es</w:t>
            </w:r>
            <w:r w:rsidRPr="00BD767D">
              <w:t xml:space="preserve"> un stingr</w:t>
            </w:r>
            <w:r>
              <w:t>ie</w:t>
            </w:r>
            <w:r w:rsidRPr="00BD767D">
              <w:t xml:space="preserve"> piemērot</w:t>
            </w:r>
            <w:r>
              <w:t>ie</w:t>
            </w:r>
            <w:r w:rsidRPr="00BD767D">
              <w:t xml:space="preserve"> fitosanitār</w:t>
            </w:r>
            <w:r>
              <w:t>ie</w:t>
            </w:r>
            <w:r w:rsidRPr="00BD767D">
              <w:t xml:space="preserve"> pasākumi </w:t>
            </w:r>
            <w:r>
              <w:t>turpmāk</w:t>
            </w:r>
            <w:r w:rsidRPr="00BD767D">
              <w:t>ajos gados</w:t>
            </w:r>
            <w:r>
              <w:t xml:space="preserve"> ir ļāvuši ierobežot slimības </w:t>
            </w:r>
            <w:r w:rsidR="00001CED">
              <w:t xml:space="preserve">plašu </w:t>
            </w:r>
            <w:r>
              <w:t xml:space="preserve">izplatību tālāk Latvijas teritorijā. </w:t>
            </w:r>
          </w:p>
          <w:p w14:paraId="23FCA4A5" w14:textId="45EB38DA" w:rsidR="00F41A9C" w:rsidRDefault="00332B44" w:rsidP="00551AD6">
            <w:pPr>
              <w:ind w:left="142" w:right="81"/>
              <w:jc w:val="both"/>
              <w:rPr>
                <w:bCs/>
              </w:rPr>
            </w:pPr>
            <w:r>
              <w:t>Valsts augu aizsardzības d</w:t>
            </w:r>
            <w:r w:rsidR="00551AD6" w:rsidRPr="00BD767D">
              <w:t>ienests veic ikgadēj</w:t>
            </w:r>
            <w:r w:rsidR="00F41A9C">
              <w:t>u</w:t>
            </w:r>
            <w:r w:rsidR="00551AD6" w:rsidRPr="00BD767D">
              <w:t xml:space="preserve"> monitoringu dažādās bakteriālās iedegas saimniekaugu audzēšanas un augšanas vietās</w:t>
            </w:r>
            <w:r w:rsidR="00551AD6">
              <w:t>,</w:t>
            </w:r>
            <w:r w:rsidR="00551AD6" w:rsidRPr="00BD767D">
              <w:t xml:space="preserve"> </w:t>
            </w:r>
            <w:r w:rsidR="00551AD6" w:rsidRPr="00BD767D">
              <w:rPr>
                <w:bCs/>
              </w:rPr>
              <w:t>ņem paraugus un</w:t>
            </w:r>
            <w:r w:rsidR="00551AD6">
              <w:rPr>
                <w:bCs/>
              </w:rPr>
              <w:t>, atklājot</w:t>
            </w:r>
            <w:r w:rsidR="00551AD6" w:rsidRPr="00BD767D">
              <w:rPr>
                <w:bCs/>
              </w:rPr>
              <w:t xml:space="preserve"> </w:t>
            </w:r>
            <w:r w:rsidR="001A3D56">
              <w:rPr>
                <w:bCs/>
              </w:rPr>
              <w:t>slimību</w:t>
            </w:r>
            <w:r w:rsidR="00551AD6">
              <w:rPr>
                <w:bCs/>
              </w:rPr>
              <w:t xml:space="preserve">, </w:t>
            </w:r>
            <w:r w:rsidR="00551AD6" w:rsidRPr="00BD767D">
              <w:rPr>
                <w:bCs/>
              </w:rPr>
              <w:t>piemēro atbilstošus fitosanitāros pasākumus</w:t>
            </w:r>
            <w:r w:rsidR="00001CED">
              <w:rPr>
                <w:bCs/>
              </w:rPr>
              <w:t xml:space="preserve">, ko nosaka </w:t>
            </w:r>
            <w:r w:rsidR="00E01135">
              <w:rPr>
                <w:bCs/>
              </w:rPr>
              <w:t>n</w:t>
            </w:r>
            <w:r w:rsidR="00F41A9C">
              <w:rPr>
                <w:bCs/>
              </w:rPr>
              <w:t>oteikumi Nr.</w:t>
            </w:r>
            <w:r w:rsidR="00E951E9">
              <w:rPr>
                <w:bCs/>
              </w:rPr>
              <w:t xml:space="preserve"> </w:t>
            </w:r>
            <w:r w:rsidR="00F41A9C">
              <w:rPr>
                <w:bCs/>
              </w:rPr>
              <w:t>575</w:t>
            </w:r>
            <w:r w:rsidR="003A466F">
              <w:rPr>
                <w:bCs/>
              </w:rPr>
              <w:t>.</w:t>
            </w:r>
          </w:p>
          <w:p w14:paraId="2E450790" w14:textId="77777777" w:rsidR="00F41A9C" w:rsidRDefault="00F41A9C" w:rsidP="00551AD6">
            <w:pPr>
              <w:ind w:left="142" w:right="81"/>
              <w:jc w:val="both"/>
            </w:pPr>
          </w:p>
          <w:p w14:paraId="293FF871" w14:textId="5CC9CAA2" w:rsidR="00551AD6" w:rsidRPr="003867A0" w:rsidRDefault="00551AD6" w:rsidP="00551AD6">
            <w:pPr>
              <w:ind w:left="142" w:right="81"/>
              <w:jc w:val="both"/>
            </w:pPr>
            <w:r>
              <w:t>Tomēr ir atsevišķi gadījumi</w:t>
            </w:r>
            <w:r w:rsidR="003A466F">
              <w:t>, kad</w:t>
            </w:r>
            <w:r w:rsidR="001A3D56">
              <w:rPr>
                <w:bCs/>
              </w:rPr>
              <w:t xml:space="preserve"> slimība vairākus gadus pēc kārtas tiek atkārtoti atrasta vienā un tai pašā perēklī</w:t>
            </w:r>
            <w:r w:rsidR="003A466F">
              <w:t>, lai gan</w:t>
            </w:r>
            <w:r w:rsidR="001A3D56">
              <w:rPr>
                <w:bCs/>
              </w:rPr>
              <w:t>, konstatējot</w:t>
            </w:r>
            <w:proofErr w:type="gramStart"/>
            <w:r w:rsidR="001A3D56">
              <w:t xml:space="preserve"> </w:t>
            </w:r>
            <w:r w:rsidR="001A3D56">
              <w:rPr>
                <w:bCs/>
              </w:rPr>
              <w:t xml:space="preserve"> </w:t>
            </w:r>
            <w:proofErr w:type="gramEnd"/>
            <w:r w:rsidR="001A3D56">
              <w:rPr>
                <w:bCs/>
              </w:rPr>
              <w:t xml:space="preserve">bakteriālo iedegu, ir piemēroti </w:t>
            </w:r>
            <w:r w:rsidR="003A466F">
              <w:t>fitosanitārie pasākumi</w:t>
            </w:r>
            <w:r w:rsidR="003A466F">
              <w:rPr>
                <w:bCs/>
              </w:rPr>
              <w:t>. Tas nozīmē, ka šād</w:t>
            </w:r>
            <w:r w:rsidR="001A3D56">
              <w:rPr>
                <w:bCs/>
              </w:rPr>
              <w:t>ā</w:t>
            </w:r>
            <w:r w:rsidR="003A466F">
              <w:rPr>
                <w:bCs/>
              </w:rPr>
              <w:t xml:space="preserve">s </w:t>
            </w:r>
            <w:r w:rsidR="001A3D56">
              <w:rPr>
                <w:bCs/>
              </w:rPr>
              <w:t>situācijās</w:t>
            </w:r>
            <w:r w:rsidR="003A466F">
              <w:rPr>
                <w:bCs/>
              </w:rPr>
              <w:t xml:space="preserve"> nepieciešami papildu fitosanitārie pas</w:t>
            </w:r>
            <w:r w:rsidR="00481E8B">
              <w:rPr>
                <w:bCs/>
              </w:rPr>
              <w:t>ākumi, jo</w:t>
            </w:r>
            <w:r w:rsidR="00481E8B">
              <w:t xml:space="preserve"> esošie pasākumi nav bijuši pietiekami efektīvi</w:t>
            </w:r>
            <w:r w:rsidR="00E01135">
              <w:rPr>
                <w:bCs/>
              </w:rPr>
              <w:t xml:space="preserve"> vai arī nav </w:t>
            </w:r>
            <w:r w:rsidR="001A3D56">
              <w:rPr>
                <w:bCs/>
              </w:rPr>
              <w:t>īsteno</w:t>
            </w:r>
            <w:r w:rsidR="00E01135">
              <w:rPr>
                <w:bCs/>
              </w:rPr>
              <w:t>ti atbilstoši noteikumiem Nr.</w:t>
            </w:r>
            <w:r w:rsidR="00E951E9">
              <w:rPr>
                <w:bCs/>
              </w:rPr>
              <w:t xml:space="preserve"> </w:t>
            </w:r>
            <w:r w:rsidR="00E01135">
              <w:rPr>
                <w:bCs/>
              </w:rPr>
              <w:t>575</w:t>
            </w:r>
            <w:r w:rsidR="00177347">
              <w:rPr>
                <w:bCs/>
              </w:rPr>
              <w:t>.</w:t>
            </w:r>
          </w:p>
          <w:p w14:paraId="162AD012" w14:textId="77777777" w:rsidR="00F41A9C" w:rsidRDefault="00F41A9C" w:rsidP="00CB108D">
            <w:pPr>
              <w:ind w:left="142" w:right="81"/>
              <w:jc w:val="both"/>
            </w:pPr>
          </w:p>
          <w:p w14:paraId="037D098A" w14:textId="3CD9316B" w:rsidR="00551AD6" w:rsidRDefault="004156E4" w:rsidP="00CB108D">
            <w:pPr>
              <w:ind w:left="142" w:right="81"/>
              <w:jc w:val="both"/>
            </w:pPr>
            <w:r>
              <w:t>T</w:t>
            </w:r>
            <w:r w:rsidR="00481E8B">
              <w:t>rīs gadus pēc kārtas (2013</w:t>
            </w:r>
            <w:r w:rsidR="001A3D56">
              <w:t>.–</w:t>
            </w:r>
            <w:r w:rsidR="00481E8B">
              <w:t>2015</w:t>
            </w:r>
            <w:r w:rsidR="001A3D56">
              <w:t>.</w:t>
            </w:r>
            <w:r w:rsidR="00481E8B">
              <w:t>) bakteriālā iedega</w:t>
            </w:r>
            <w:proofErr w:type="gramStart"/>
            <w:r w:rsidR="00551AD6">
              <w:t xml:space="preserve"> </w:t>
            </w:r>
            <w:r w:rsidR="00332B44">
              <w:t>ti</w:t>
            </w:r>
            <w:r w:rsidR="001A3D56">
              <w:t>k</w:t>
            </w:r>
            <w:r w:rsidR="00332B44">
              <w:t>a</w:t>
            </w:r>
            <w:proofErr w:type="gramEnd"/>
            <w:r w:rsidR="00481E8B">
              <w:t xml:space="preserve"> konstatēta</w:t>
            </w:r>
            <w:r w:rsidR="00551AD6">
              <w:t xml:space="preserve"> Jelgavas novada Vilces paga</w:t>
            </w:r>
            <w:r>
              <w:t xml:space="preserve">sta </w:t>
            </w:r>
            <w:r w:rsidR="00332B44">
              <w:t>zemnieku saimniecības</w:t>
            </w:r>
            <w:r>
              <w:t xml:space="preserve"> „Akmentiņi” </w:t>
            </w:r>
            <w:proofErr w:type="spellStart"/>
            <w:r>
              <w:t>komercdārzā</w:t>
            </w:r>
            <w:proofErr w:type="spellEnd"/>
            <w:r>
              <w:t>.</w:t>
            </w:r>
          </w:p>
          <w:p w14:paraId="6EE3976F" w14:textId="0ECA9FE0" w:rsidR="005E28DF" w:rsidRDefault="005E28DF" w:rsidP="005E28DF">
            <w:pPr>
              <w:ind w:left="142" w:right="81"/>
              <w:jc w:val="both"/>
            </w:pPr>
            <w:r>
              <w:lastRenderedPageBreak/>
              <w:t>Vairākus gadus pēc kārtas atkārtota bakteriālās iedegas konstatēšana perēklī var apdraudēt aizsargājamās zonas statusa saglabāšanu Latvijas teritorijā.</w:t>
            </w:r>
          </w:p>
          <w:p w14:paraId="2C356A89" w14:textId="57FE90D5" w:rsidR="005E28DF" w:rsidRDefault="000A671A" w:rsidP="005E28DF">
            <w:pPr>
              <w:ind w:left="142" w:right="81"/>
              <w:jc w:val="both"/>
            </w:pPr>
            <w:r>
              <w:t xml:space="preserve">Ar grozījumiem paredzēts nodrošināt piemērotus fitosanitāros pasākumus, </w:t>
            </w:r>
            <w:proofErr w:type="gramStart"/>
            <w:r>
              <w:t>lai izskaustu augu karantīnas organismu</w:t>
            </w:r>
            <w:r>
              <w:rPr>
                <w:bCs/>
              </w:rPr>
              <w:t xml:space="preserve"> bakteriālo</w:t>
            </w:r>
            <w:proofErr w:type="gramEnd"/>
            <w:r>
              <w:rPr>
                <w:bCs/>
              </w:rPr>
              <w:t xml:space="preserve"> iedegu</w:t>
            </w:r>
            <w:r w:rsidRPr="00551AD6">
              <w:rPr>
                <w:bCs/>
              </w:rPr>
              <w:t xml:space="preserve"> </w:t>
            </w:r>
            <w:proofErr w:type="spellStart"/>
            <w:r w:rsidRPr="00551AD6">
              <w:rPr>
                <w:i/>
              </w:rPr>
              <w:t>Erwinia</w:t>
            </w:r>
            <w:proofErr w:type="spellEnd"/>
            <w:r w:rsidRPr="00551AD6">
              <w:rPr>
                <w:i/>
              </w:rPr>
              <w:t xml:space="preserve"> </w:t>
            </w:r>
            <w:proofErr w:type="spellStart"/>
            <w:r w:rsidRPr="00551AD6">
              <w:rPr>
                <w:i/>
              </w:rPr>
              <w:t>amylovora</w:t>
            </w:r>
            <w:proofErr w:type="spellEnd"/>
            <w:r w:rsidRPr="00551AD6">
              <w:rPr>
                <w:i/>
              </w:rPr>
              <w:t xml:space="preserve"> </w:t>
            </w:r>
            <w:r>
              <w:t>un nodrošinātu aizsargājamās zonas statusa saglabāšanu Latvijas teritorijā</w:t>
            </w:r>
            <w:r w:rsidR="00177347">
              <w:t>.</w:t>
            </w:r>
          </w:p>
          <w:p w14:paraId="1844C68A" w14:textId="515B34BA" w:rsidR="00481E8B" w:rsidRDefault="00481E8B" w:rsidP="00481E8B">
            <w:pPr>
              <w:tabs>
                <w:tab w:val="left" w:pos="1345"/>
              </w:tabs>
              <w:ind w:left="142" w:right="81"/>
              <w:jc w:val="both"/>
            </w:pPr>
            <w:r>
              <w:t>Direktīvas 2000/29/EK</w:t>
            </w:r>
            <w:r w:rsidR="00CE78DB">
              <w:t xml:space="preserve"> (2000. gada 8. maijs)</w:t>
            </w:r>
            <w:r>
              <w:t xml:space="preserve"> </w:t>
            </w:r>
            <w:r w:rsidR="00A52C04" w:rsidRPr="00A52C04">
              <w:rPr>
                <w:bCs/>
              </w:rPr>
              <w:t>par aizsardzības pasākumiem pret tādu organismu ievešanu, kas kaitīgi augiem vai augu produktiem, un pret to izplatību Kopienā</w:t>
            </w:r>
            <w:r w:rsidR="00A52C04" w:rsidRPr="00A52C04">
              <w:t xml:space="preserve"> </w:t>
            </w:r>
            <w:proofErr w:type="gramStart"/>
            <w:r>
              <w:t>2.panta</w:t>
            </w:r>
            <w:proofErr w:type="gramEnd"/>
            <w:r>
              <w:t xml:space="preserve"> 1.punkta </w:t>
            </w:r>
            <w:r w:rsidR="001A3D56">
              <w:t>“</w:t>
            </w:r>
            <w:r>
              <w:t>h</w:t>
            </w:r>
            <w:r w:rsidR="001A3D56">
              <w:t>”</w:t>
            </w:r>
            <w:r>
              <w:t xml:space="preserve"> apakšpunkta otr</w:t>
            </w:r>
            <w:r w:rsidR="001A3D56">
              <w:t>aj</w:t>
            </w:r>
            <w:r>
              <w:t>ā rindkop</w:t>
            </w:r>
            <w:r w:rsidR="001A3D56">
              <w:t>ā</w:t>
            </w:r>
            <w:r>
              <w:t xml:space="preserve"> no</w:t>
            </w:r>
            <w:r w:rsidR="001A3D56">
              <w:t>teikts</w:t>
            </w:r>
            <w:r>
              <w:t xml:space="preserve">, ka kaitīgais organisms </w:t>
            </w:r>
            <w:r w:rsidR="005E28DF">
              <w:t>uzskat</w:t>
            </w:r>
            <w:r w:rsidR="00E01135">
              <w:t>āms</w:t>
            </w:r>
            <w:r w:rsidR="005E28DF">
              <w:t xml:space="preserve"> par izplatītu</w:t>
            </w:r>
            <w:r>
              <w:t xml:space="preserve"> kādā teritorijā, ja </w:t>
            </w:r>
            <w:r w:rsidR="00E01135">
              <w:t>ir zināms, ka tas tur sastopams</w:t>
            </w:r>
            <w:r>
              <w:t xml:space="preserve"> un vismaz divus gadus pēc kārtas </w:t>
            </w:r>
            <w:r w:rsidR="00414A3E">
              <w:t>apkarošanas</w:t>
            </w:r>
            <w:r>
              <w:t xml:space="preserve"> pasākumi izrādījušies neefektīvi.</w:t>
            </w:r>
            <w:r w:rsidR="00E01135">
              <w:t xml:space="preserve"> Ja organisms ir izplatīts kādā teritorijā, tad šī teritorija vairs neatbilst aizsargājamās zonas nosacījumiem.</w:t>
            </w:r>
            <w:r w:rsidR="005706C6">
              <w:t xml:space="preserve"> </w:t>
            </w:r>
          </w:p>
          <w:p w14:paraId="21815B86" w14:textId="77777777" w:rsidR="00481E8B" w:rsidRDefault="00481E8B" w:rsidP="00481E8B">
            <w:pPr>
              <w:tabs>
                <w:tab w:val="left" w:pos="1345"/>
              </w:tabs>
              <w:ind w:left="142"/>
            </w:pPr>
          </w:p>
          <w:p w14:paraId="7AA0F0C7" w14:textId="77777777" w:rsidR="00481E8B" w:rsidRDefault="00481E8B" w:rsidP="00481E8B">
            <w:pPr>
              <w:tabs>
                <w:tab w:val="left" w:pos="1345"/>
              </w:tabs>
              <w:ind w:left="142"/>
              <w:jc w:val="both"/>
            </w:pPr>
            <w:r>
              <w:t xml:space="preserve">Tādējādi Eiropas Komisija uzskata, ka Latvijai </w:t>
            </w:r>
            <w:r w:rsidR="004156E4">
              <w:t>būtu</w:t>
            </w:r>
            <w:r>
              <w:t xml:space="preserve"> jāmaina aizsargājamās zonas robežas, no tās izslēdzot teritorijas, kurās ir konstatēta bakteriālā iedega un divu gadu laikā piemērotie pasākumi nav</w:t>
            </w:r>
            <w:proofErr w:type="gramStart"/>
            <w:r>
              <w:t xml:space="preserve"> bijuši p</w:t>
            </w:r>
            <w:r w:rsidR="005E28DF">
              <w:t>ietiekami efektīvi</w:t>
            </w:r>
            <w:proofErr w:type="gramEnd"/>
            <w:r w:rsidR="005E28DF">
              <w:t xml:space="preserve"> bakteriālās iedegas</w:t>
            </w:r>
            <w:r>
              <w:t xml:space="preserve"> izskaušanai.</w:t>
            </w:r>
            <w:r w:rsidR="003A2802">
              <w:t xml:space="preserve"> </w:t>
            </w:r>
          </w:p>
          <w:p w14:paraId="0B41FEFA" w14:textId="77777777" w:rsidR="00481E8B" w:rsidRDefault="00481E8B" w:rsidP="00481E8B">
            <w:pPr>
              <w:tabs>
                <w:tab w:val="left" w:pos="1345"/>
              </w:tabs>
              <w:ind w:left="142"/>
            </w:pPr>
          </w:p>
          <w:p w14:paraId="332D71D9" w14:textId="2D7E531F" w:rsidR="002C2C89" w:rsidRDefault="00481E8B" w:rsidP="00735BE2">
            <w:pPr>
              <w:tabs>
                <w:tab w:val="left" w:pos="1345"/>
              </w:tabs>
              <w:ind w:left="142"/>
              <w:jc w:val="both"/>
            </w:pPr>
            <w:r>
              <w:t xml:space="preserve">Tomēr </w:t>
            </w:r>
            <w:r w:rsidRPr="004156E4">
              <w:t xml:space="preserve">Latvija uzskata, ka </w:t>
            </w:r>
            <w:r w:rsidR="001A3D56">
              <w:t>ir</w:t>
            </w:r>
            <w:r w:rsidR="001A3D56" w:rsidRPr="004156E4">
              <w:t xml:space="preserve"> svarīgi </w:t>
            </w:r>
            <w:r w:rsidRPr="004156E4">
              <w:t>saglabāt aizsargājamās zonas statusu visā teritorijā, jo tas palīdzētu pasargāt tuvējās teritorijas no bakteriālo iedegu tālākas izplatības tieši piemērojamo stingro fitosanitāro pasākumu dēļ.</w:t>
            </w:r>
            <w:r w:rsidR="005E28DF" w:rsidRPr="004156E4">
              <w:t xml:space="preserve"> Aizsargājamās zonas statusa saglabāšanu atbalsta </w:t>
            </w:r>
            <w:proofErr w:type="spellStart"/>
            <w:r w:rsidR="005E28DF" w:rsidRPr="004156E4">
              <w:t>stādaudzētāju</w:t>
            </w:r>
            <w:proofErr w:type="spellEnd"/>
            <w:r w:rsidR="005E28DF" w:rsidRPr="004156E4">
              <w:t xml:space="preserve"> un </w:t>
            </w:r>
            <w:proofErr w:type="spellStart"/>
            <w:r w:rsidR="005E28DF" w:rsidRPr="004156E4">
              <w:t>augļaudzētāju</w:t>
            </w:r>
            <w:proofErr w:type="spellEnd"/>
            <w:r w:rsidR="005E28DF" w:rsidRPr="004156E4">
              <w:t xml:space="preserve"> biedrības</w:t>
            </w:r>
            <w:r w:rsidR="008B526A">
              <w:t>.</w:t>
            </w:r>
            <w:r w:rsidR="002C2C89">
              <w:t xml:space="preserve"> </w:t>
            </w:r>
          </w:p>
          <w:p w14:paraId="1A4050F6" w14:textId="77777777" w:rsidR="002C2C89" w:rsidRDefault="002C2C89" w:rsidP="00481E8B">
            <w:pPr>
              <w:tabs>
                <w:tab w:val="left" w:pos="1345"/>
              </w:tabs>
              <w:ind w:left="142"/>
            </w:pPr>
          </w:p>
          <w:p w14:paraId="7DDF79E2" w14:textId="32C028A1" w:rsidR="00481E8B" w:rsidRPr="004156E4" w:rsidRDefault="002C2C89" w:rsidP="00735BE2">
            <w:pPr>
              <w:tabs>
                <w:tab w:val="left" w:pos="1345"/>
              </w:tabs>
              <w:ind w:left="142"/>
              <w:jc w:val="both"/>
            </w:pPr>
            <w:r>
              <w:t xml:space="preserve">Lai </w:t>
            </w:r>
            <w:r w:rsidR="001A3D56">
              <w:t>pan</w:t>
            </w:r>
            <w:r>
              <w:t>ā</w:t>
            </w:r>
            <w:r w:rsidR="001A3D56">
              <w:t>k</w:t>
            </w:r>
            <w:r>
              <w:t xml:space="preserve">tu apkarošanas pasākumu </w:t>
            </w:r>
            <w:r w:rsidR="001A3D56">
              <w:t xml:space="preserve">lielāku </w:t>
            </w:r>
            <w:r>
              <w:t>efektivitāt</w:t>
            </w:r>
            <w:r w:rsidR="001A3D56">
              <w:t>i</w:t>
            </w:r>
            <w:r>
              <w:t xml:space="preserve"> un vienlaikus saglabātu aizsargājamās zonas statusu, noteikumos </w:t>
            </w:r>
            <w:r w:rsidR="001A3D56">
              <w:t>jā</w:t>
            </w:r>
            <w:r>
              <w:t>paredz</w:t>
            </w:r>
            <w:r w:rsidR="001A3D56">
              <w:t xml:space="preserve"> </w:t>
            </w:r>
            <w:r>
              <w:t>stingrāk</w:t>
            </w:r>
            <w:r w:rsidR="001A3D56">
              <w:t>i</w:t>
            </w:r>
            <w:r>
              <w:t xml:space="preserve"> fitosanitār</w:t>
            </w:r>
            <w:r w:rsidR="001A3D56">
              <w:t>ie</w:t>
            </w:r>
            <w:r>
              <w:t xml:space="preserve"> pasākum</w:t>
            </w:r>
            <w:r w:rsidR="001A3D56">
              <w:t>i</w:t>
            </w:r>
            <w:r>
              <w:t>.</w:t>
            </w:r>
          </w:p>
          <w:p w14:paraId="0153D4BB" w14:textId="77777777" w:rsidR="00551AD6" w:rsidRPr="004156E4" w:rsidRDefault="00551AD6" w:rsidP="002471FB">
            <w:pPr>
              <w:ind w:left="132" w:right="81"/>
              <w:jc w:val="both"/>
            </w:pPr>
          </w:p>
          <w:p w14:paraId="0814C6B4" w14:textId="41CADAD2" w:rsidR="004133D5" w:rsidRPr="004156E4" w:rsidRDefault="00F76008" w:rsidP="00CB1AA4">
            <w:pPr>
              <w:ind w:left="142"/>
              <w:jc w:val="both"/>
              <w:rPr>
                <w:bCs/>
              </w:rPr>
            </w:pPr>
            <w:r>
              <w:rPr>
                <w:bCs/>
              </w:rPr>
              <w:t>Ministru kabineta n</w:t>
            </w:r>
            <w:r w:rsidR="00E156F9" w:rsidRPr="004156E4">
              <w:rPr>
                <w:bCs/>
              </w:rPr>
              <w:t xml:space="preserve">oteikumu projekts </w:t>
            </w:r>
            <w:r w:rsidR="00414A3E" w:rsidRPr="004156E4">
              <w:rPr>
                <w:bCs/>
              </w:rPr>
              <w:t>„Grozījumi Ministru kabineta 2008.</w:t>
            </w:r>
            <w:r w:rsidR="00125D85">
              <w:rPr>
                <w:bCs/>
              </w:rPr>
              <w:t xml:space="preserve"> </w:t>
            </w:r>
            <w:r w:rsidR="00414A3E" w:rsidRPr="004156E4">
              <w:rPr>
                <w:bCs/>
              </w:rPr>
              <w:t>gada 21.</w:t>
            </w:r>
            <w:r w:rsidR="00125D85">
              <w:rPr>
                <w:bCs/>
              </w:rPr>
              <w:t xml:space="preserve"> </w:t>
            </w:r>
            <w:r w:rsidR="00414A3E" w:rsidRPr="004156E4">
              <w:rPr>
                <w:bCs/>
              </w:rPr>
              <w:t>jūlija noteikumos Nr.</w:t>
            </w:r>
            <w:r w:rsidR="00E951E9">
              <w:rPr>
                <w:bCs/>
              </w:rPr>
              <w:t xml:space="preserve"> </w:t>
            </w:r>
            <w:r w:rsidR="00414A3E" w:rsidRPr="004156E4">
              <w:rPr>
                <w:bCs/>
              </w:rPr>
              <w:t>575 „Bakteriālās iedegas apkarošanas un izplatības ierobežošanas kārtība”</w:t>
            </w:r>
            <w:r w:rsidR="001A3D56">
              <w:rPr>
                <w:bCs/>
              </w:rPr>
              <w:t>”</w:t>
            </w:r>
            <w:r w:rsidR="00414A3E" w:rsidRPr="004156E4">
              <w:rPr>
                <w:b/>
                <w:bCs/>
              </w:rPr>
              <w:t xml:space="preserve"> </w:t>
            </w:r>
            <w:r w:rsidR="00E156F9" w:rsidRPr="004156E4">
              <w:rPr>
                <w:bCs/>
              </w:rPr>
              <w:t>(turpmāk – noteikumu projekts) sagatavots, lai</w:t>
            </w:r>
            <w:r w:rsidR="00414A3E" w:rsidRPr="004156E4">
              <w:rPr>
                <w:bCs/>
              </w:rPr>
              <w:t xml:space="preserve"> noteiktu stingrākus fitosanitāros pasākumus tajos gadījumos, </w:t>
            </w:r>
            <w:proofErr w:type="gramStart"/>
            <w:r w:rsidR="00414A3E" w:rsidRPr="004156E4">
              <w:rPr>
                <w:bCs/>
              </w:rPr>
              <w:t>kad bakteriālā iedega</w:t>
            </w:r>
            <w:proofErr w:type="gramEnd"/>
            <w:r w:rsidR="00414A3E" w:rsidRPr="004156E4">
              <w:rPr>
                <w:bCs/>
              </w:rPr>
              <w:t xml:space="preserve"> tiek atkārtoti konstatēta</w:t>
            </w:r>
            <w:r w:rsidR="00CE35BF" w:rsidRPr="004156E4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="00CE35BF" w:rsidRPr="00735BE2">
              <w:rPr>
                <w:bCs/>
              </w:rPr>
              <w:t>(</w:t>
            </w:r>
            <w:r w:rsidR="00CE35BF" w:rsidRPr="004156E4">
              <w:rPr>
                <w:bCs/>
              </w:rPr>
              <w:t>kādā no nākamajiem diviem gadiem pēc</w:t>
            </w:r>
            <w:r w:rsidR="005E6CD8">
              <w:rPr>
                <w:bCs/>
              </w:rPr>
              <w:t xml:space="preserve"> Valsts augu aizsardzības dienesta</w:t>
            </w:r>
            <w:r w:rsidR="00CE35BF" w:rsidRPr="004156E4">
              <w:rPr>
                <w:bCs/>
              </w:rPr>
              <w:t xml:space="preserve"> lēmuma pieņemšanas par fitosanitāro pasākumu piemērošanu) </w:t>
            </w:r>
            <w:proofErr w:type="spellStart"/>
            <w:r w:rsidR="00414A3E" w:rsidRPr="004156E4">
              <w:rPr>
                <w:bCs/>
              </w:rPr>
              <w:t>komercdārzā</w:t>
            </w:r>
            <w:proofErr w:type="spellEnd"/>
            <w:r w:rsidR="00414A3E" w:rsidRPr="004156E4">
              <w:rPr>
                <w:bCs/>
              </w:rPr>
              <w:t xml:space="preserve"> vai ražojošā dārzā</w:t>
            </w:r>
            <w:r w:rsidR="004133D5" w:rsidRPr="004156E4">
              <w:rPr>
                <w:bCs/>
              </w:rPr>
              <w:t xml:space="preserve">, </w:t>
            </w:r>
            <w:r w:rsidR="001A3D56">
              <w:rPr>
                <w:bCs/>
              </w:rPr>
              <w:t>tā</w:t>
            </w:r>
            <w:r w:rsidR="001A3D56" w:rsidRPr="004156E4">
              <w:rPr>
                <w:bCs/>
              </w:rPr>
              <w:t xml:space="preserve"> </w:t>
            </w:r>
            <w:r w:rsidR="004133D5" w:rsidRPr="004156E4">
              <w:rPr>
                <w:bCs/>
              </w:rPr>
              <w:t>veicin</w:t>
            </w:r>
            <w:r w:rsidR="001A3D56">
              <w:rPr>
                <w:bCs/>
              </w:rPr>
              <w:t>ot</w:t>
            </w:r>
            <w:r w:rsidR="004133D5" w:rsidRPr="004156E4">
              <w:rPr>
                <w:bCs/>
              </w:rPr>
              <w:t xml:space="preserve"> bakteriālās iedegas izskaušanu</w:t>
            </w:r>
            <w:r w:rsidR="005E28DF" w:rsidRPr="004156E4">
              <w:rPr>
                <w:bCs/>
              </w:rPr>
              <w:t xml:space="preserve">. </w:t>
            </w:r>
          </w:p>
          <w:p w14:paraId="2017A6C9" w14:textId="5DB02DC2" w:rsidR="00CE35BF" w:rsidRDefault="00CE35BF" w:rsidP="00CB1AA4">
            <w:pPr>
              <w:ind w:left="142"/>
              <w:jc w:val="both"/>
              <w:rPr>
                <w:bCs/>
              </w:rPr>
            </w:pPr>
            <w:r w:rsidRPr="004156E4">
              <w:rPr>
                <w:bCs/>
              </w:rPr>
              <w:t xml:space="preserve">Noteikumu projekts uzliek lielāku atbildību </w:t>
            </w:r>
            <w:r w:rsidR="004133D5" w:rsidRPr="004156E4">
              <w:rPr>
                <w:bCs/>
              </w:rPr>
              <w:t>pašai</w:t>
            </w:r>
            <w:r w:rsidRPr="004156E4">
              <w:rPr>
                <w:bCs/>
              </w:rPr>
              <w:t xml:space="preserve"> personai, kuras </w:t>
            </w:r>
            <w:proofErr w:type="spellStart"/>
            <w:r w:rsidRPr="004156E4">
              <w:rPr>
                <w:bCs/>
              </w:rPr>
              <w:t>komercdārzā</w:t>
            </w:r>
            <w:proofErr w:type="spellEnd"/>
            <w:r w:rsidRPr="004156E4">
              <w:rPr>
                <w:bCs/>
              </w:rPr>
              <w:t xml:space="preserve"> vai ražojošā dārzā </w:t>
            </w:r>
            <w:r w:rsidR="001A3D56">
              <w:rPr>
                <w:bCs/>
              </w:rPr>
              <w:t>ir</w:t>
            </w:r>
            <w:proofErr w:type="gramStart"/>
            <w:r w:rsidR="001A3D56">
              <w:rPr>
                <w:bCs/>
              </w:rPr>
              <w:t xml:space="preserve"> </w:t>
            </w:r>
            <w:r w:rsidR="000A671A" w:rsidRPr="004156E4">
              <w:rPr>
                <w:bCs/>
              </w:rPr>
              <w:t>atkārtoti</w:t>
            </w:r>
            <w:r w:rsidR="000A671A">
              <w:rPr>
                <w:bCs/>
              </w:rPr>
              <w:t xml:space="preserve"> </w:t>
            </w:r>
            <w:r>
              <w:rPr>
                <w:bCs/>
              </w:rPr>
              <w:t>konstatēta</w:t>
            </w:r>
            <w:proofErr w:type="gramEnd"/>
            <w:r>
              <w:rPr>
                <w:bCs/>
              </w:rPr>
              <w:t xml:space="preserve"> bakteriālā iedega.</w:t>
            </w:r>
          </w:p>
          <w:p w14:paraId="56CA0BF1" w14:textId="552454F2" w:rsidR="00E156F9" w:rsidRPr="00DA6B28" w:rsidRDefault="007671B8" w:rsidP="00381172">
            <w:pPr>
              <w:ind w:left="142"/>
              <w:jc w:val="both"/>
            </w:pPr>
            <w:r>
              <w:rPr>
                <w:bCs/>
              </w:rPr>
              <w:t>Noteikumu projekts no</w:t>
            </w:r>
            <w:r w:rsidR="001A3D56">
              <w:rPr>
                <w:bCs/>
              </w:rPr>
              <w:t>teic, ka</w:t>
            </w:r>
            <w:r>
              <w:rPr>
                <w:bCs/>
              </w:rPr>
              <w:t xml:space="preserve"> atkārtotas bakteriālās iedegas konstatēšanas gadījumā</w:t>
            </w:r>
            <w:proofErr w:type="gramStart"/>
            <w:r>
              <w:rPr>
                <w:bCs/>
              </w:rPr>
              <w:t xml:space="preserve"> kādā no nākamajiem diviem gadiem pēc sākotnējā uzliesmojuma konstatēšana</w:t>
            </w:r>
            <w:r w:rsidR="000A671A">
              <w:rPr>
                <w:bCs/>
              </w:rPr>
              <w:t>s</w:t>
            </w:r>
            <w:r>
              <w:rPr>
                <w:bCs/>
              </w:rPr>
              <w:t xml:space="preserve"> personai (īpašniekam vai </w:t>
            </w:r>
            <w:r w:rsidRPr="004A643F">
              <w:rPr>
                <w:bCs/>
              </w:rPr>
              <w:t xml:space="preserve">valdītājam) </w:t>
            </w:r>
            <w:r w:rsidR="002471FB" w:rsidRPr="004A643F">
              <w:rPr>
                <w:bCs/>
              </w:rPr>
              <w:t xml:space="preserve">divu nedēļu laikā </w:t>
            </w:r>
            <w:r w:rsidR="001A3D56">
              <w:rPr>
                <w:bCs/>
              </w:rPr>
              <w:t>ir jā</w:t>
            </w:r>
            <w:r w:rsidR="002471FB" w:rsidRPr="004A643F">
              <w:rPr>
                <w:bCs/>
              </w:rPr>
              <w:t xml:space="preserve">izstrādā un </w:t>
            </w:r>
            <w:r w:rsidR="001A3D56" w:rsidRPr="004A643F">
              <w:rPr>
                <w:bCs/>
              </w:rPr>
              <w:t xml:space="preserve">apstiprināšanai </w:t>
            </w:r>
            <w:r w:rsidR="001A3D56">
              <w:rPr>
                <w:bCs/>
              </w:rPr>
              <w:t>jā</w:t>
            </w:r>
            <w:r w:rsidR="002471FB" w:rsidRPr="004A643F">
              <w:rPr>
                <w:bCs/>
              </w:rPr>
              <w:t>iesnie</w:t>
            </w:r>
            <w:r w:rsidR="001A3D56">
              <w:rPr>
                <w:bCs/>
              </w:rPr>
              <w:t>dz</w:t>
            </w:r>
            <w:r w:rsidR="002471FB" w:rsidRPr="004A643F">
              <w:rPr>
                <w:bCs/>
              </w:rPr>
              <w:t xml:space="preserve"> </w:t>
            </w:r>
            <w:r w:rsidRPr="004A643F">
              <w:rPr>
                <w:bCs/>
              </w:rPr>
              <w:t>rīcības plān</w:t>
            </w:r>
            <w:r w:rsidR="001A3D56">
              <w:rPr>
                <w:bCs/>
              </w:rPr>
              <w:t>s ar</w:t>
            </w:r>
            <w:r w:rsidR="002471FB" w:rsidRPr="004A643F">
              <w:rPr>
                <w:bCs/>
              </w:rPr>
              <w:t xml:space="preserve"> informācij</w:t>
            </w:r>
            <w:r w:rsidR="001A3D56">
              <w:rPr>
                <w:bCs/>
              </w:rPr>
              <w:t>u</w:t>
            </w:r>
            <w:r w:rsidR="002471FB" w:rsidRPr="004A643F">
              <w:rPr>
                <w:bCs/>
              </w:rPr>
              <w:t xml:space="preserve"> par regulār</w:t>
            </w:r>
            <w:r w:rsidR="001A3D56">
              <w:rPr>
                <w:bCs/>
              </w:rPr>
              <w:t>ām</w:t>
            </w:r>
            <w:r w:rsidR="002471FB" w:rsidRPr="004A643F">
              <w:rPr>
                <w:bCs/>
              </w:rPr>
              <w:t xml:space="preserve"> vizuāl</w:t>
            </w:r>
            <w:r w:rsidR="001A3D56">
              <w:rPr>
                <w:bCs/>
              </w:rPr>
              <w:t>ajām</w:t>
            </w:r>
            <w:r w:rsidR="002471FB" w:rsidRPr="004A643F">
              <w:rPr>
                <w:bCs/>
              </w:rPr>
              <w:t xml:space="preserve"> pārbau</w:t>
            </w:r>
            <w:r w:rsidR="001A3D56">
              <w:rPr>
                <w:bCs/>
              </w:rPr>
              <w:t>dēm</w:t>
            </w:r>
            <w:proofErr w:type="gramEnd"/>
            <w:r w:rsidR="002471FB">
              <w:rPr>
                <w:bCs/>
              </w:rPr>
              <w:t xml:space="preserve"> bakteriālās iedegas saimniekaugiem perēkļa teritorijā, </w:t>
            </w:r>
            <w:r w:rsidR="004A643F">
              <w:rPr>
                <w:bCs/>
              </w:rPr>
              <w:t xml:space="preserve">paredzētajiem </w:t>
            </w:r>
            <w:r w:rsidR="002471FB">
              <w:rPr>
                <w:bCs/>
              </w:rPr>
              <w:t xml:space="preserve">stādījumu kopšanas darbiem un darbarīku dezinfekciju, plānoto bakteriālās iedegas saimniekaugu stādu iegādi </w:t>
            </w:r>
            <w:r w:rsidR="002471FB">
              <w:rPr>
                <w:bCs/>
              </w:rPr>
              <w:lastRenderedPageBreak/>
              <w:t>un stādīšanas shēmu.</w:t>
            </w:r>
            <w:r w:rsidR="004C3C10">
              <w:rPr>
                <w:bCs/>
              </w:rPr>
              <w:t xml:space="preserve"> Personai jāiekārto žurnāls, kurā jānorāda</w:t>
            </w:r>
            <w:r w:rsidR="003A2802">
              <w:rPr>
                <w:bCs/>
              </w:rPr>
              <w:t xml:space="preserve"> detalizēta informācija par veiktajiem vizuālajiem apsekojumiem, </w:t>
            </w:r>
            <w:r w:rsidR="001A3D56">
              <w:rPr>
                <w:bCs/>
              </w:rPr>
              <w:t>īsteno</w:t>
            </w:r>
            <w:r w:rsidR="004A643F">
              <w:rPr>
                <w:bCs/>
              </w:rPr>
              <w:t>tajiem stādījumu kopšanas darbiem un</w:t>
            </w:r>
            <w:r w:rsidR="003A2802">
              <w:rPr>
                <w:bCs/>
              </w:rPr>
              <w:t xml:space="preserve"> darbarīku dezinfekciju. </w:t>
            </w:r>
            <w:r w:rsidR="004C3C10">
              <w:rPr>
                <w:bCs/>
              </w:rPr>
              <w:t>Papildu drošībai</w:t>
            </w:r>
            <w:r w:rsidR="003A2802">
              <w:rPr>
                <w:bCs/>
              </w:rPr>
              <w:t xml:space="preserve"> vienu reizi veģe</w:t>
            </w:r>
            <w:r w:rsidR="004A643F">
              <w:rPr>
                <w:bCs/>
              </w:rPr>
              <w:t>tācijas periodā (jūlijā</w:t>
            </w:r>
            <w:r w:rsidR="001A3D56">
              <w:rPr>
                <w:bCs/>
              </w:rPr>
              <w:t>–</w:t>
            </w:r>
            <w:r w:rsidR="004A643F">
              <w:rPr>
                <w:bCs/>
              </w:rPr>
              <w:t>augustā</w:t>
            </w:r>
            <w:r w:rsidR="003A2802">
              <w:rPr>
                <w:bCs/>
              </w:rPr>
              <w:t>) būtu nepieciešams ņemt paraugus no bakteriālās iedegas saimniekaugiem laboratoriskām analīzēm bakteriālās iedegas slēptās</w:t>
            </w:r>
            <w:r w:rsidR="001A3D56">
              <w:rPr>
                <w:bCs/>
              </w:rPr>
              <w:t xml:space="preserve"> (</w:t>
            </w:r>
            <w:r w:rsidR="003A2802">
              <w:rPr>
                <w:bCs/>
              </w:rPr>
              <w:t>latentās</w:t>
            </w:r>
            <w:r w:rsidR="001A3D56">
              <w:rPr>
                <w:bCs/>
              </w:rPr>
              <w:t>)</w:t>
            </w:r>
            <w:r w:rsidR="003A2802">
              <w:rPr>
                <w:bCs/>
              </w:rPr>
              <w:t xml:space="preserve"> formas noteikšanai.</w:t>
            </w:r>
            <w:r w:rsidR="002B2DD9">
              <w:rPr>
                <w:bCs/>
              </w:rPr>
              <w:t xml:space="preserve"> Ja paraugā konstatēts organisms, </w:t>
            </w:r>
            <w:r w:rsidR="00187093">
              <w:rPr>
                <w:bCs/>
              </w:rPr>
              <w:t xml:space="preserve">sadedzinot </w:t>
            </w:r>
            <w:r w:rsidR="002B2DD9">
              <w:rPr>
                <w:bCs/>
              </w:rPr>
              <w:t xml:space="preserve">iznīcināmi visi augi </w:t>
            </w:r>
            <w:proofErr w:type="spellStart"/>
            <w:r w:rsidR="00187093">
              <w:rPr>
                <w:bCs/>
              </w:rPr>
              <w:t>komercdārza</w:t>
            </w:r>
            <w:proofErr w:type="spellEnd"/>
            <w:r w:rsidR="00187093">
              <w:rPr>
                <w:bCs/>
              </w:rPr>
              <w:t xml:space="preserve"> vai ražojošā dārza </w:t>
            </w:r>
            <w:r w:rsidR="002B2DD9">
              <w:rPr>
                <w:bCs/>
              </w:rPr>
              <w:t xml:space="preserve">platībā, </w:t>
            </w:r>
            <w:r w:rsidR="00187093">
              <w:rPr>
                <w:bCs/>
              </w:rPr>
              <w:t>kas</w:t>
            </w:r>
            <w:r w:rsidR="002B2DD9">
              <w:rPr>
                <w:bCs/>
              </w:rPr>
              <w:t xml:space="preserve"> iepriekš nav </w:t>
            </w:r>
            <w:r w:rsidR="00187093">
              <w:rPr>
                <w:bCs/>
              </w:rPr>
              <w:t>nosakāma</w:t>
            </w:r>
            <w:r w:rsidR="003A716D">
              <w:rPr>
                <w:bCs/>
              </w:rPr>
              <w:t xml:space="preserve"> un ir tieši atkarīga no organisma izplatības</w:t>
            </w:r>
            <w:r w:rsidR="00187093">
              <w:rPr>
                <w:bCs/>
              </w:rPr>
              <w:t>.</w:t>
            </w:r>
          </w:p>
        </w:tc>
      </w:tr>
      <w:tr w:rsidR="00D42F6E" w:rsidRPr="008D27A6" w14:paraId="2A07966B" w14:textId="77777777" w:rsidTr="00CB108D">
        <w:trPr>
          <w:trHeight w:val="1071"/>
        </w:trPr>
        <w:tc>
          <w:tcPr>
            <w:tcW w:w="431" w:type="dxa"/>
          </w:tcPr>
          <w:p w14:paraId="45CF7ACD" w14:textId="77777777" w:rsidR="00D42F6E" w:rsidRPr="00DA6B28" w:rsidRDefault="00D42F6E" w:rsidP="00CB108D">
            <w:pPr>
              <w:pStyle w:val="naiskr"/>
              <w:spacing w:before="0" w:after="0"/>
              <w:jc w:val="center"/>
              <w:rPr>
                <w:sz w:val="22"/>
                <w:szCs w:val="22"/>
              </w:rPr>
            </w:pPr>
            <w:r w:rsidRPr="00DA6B28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551" w:type="dxa"/>
          </w:tcPr>
          <w:p w14:paraId="43A6D8D9" w14:textId="77777777" w:rsidR="00D42F6E" w:rsidRPr="00DA6B28" w:rsidRDefault="00D42F6E" w:rsidP="00CB108D">
            <w:pPr>
              <w:pStyle w:val="naiskr"/>
              <w:spacing w:before="0" w:after="0"/>
              <w:ind w:left="164"/>
              <w:rPr>
                <w:sz w:val="22"/>
                <w:szCs w:val="22"/>
              </w:rPr>
            </w:pPr>
            <w:r w:rsidRPr="00DA6B28">
              <w:t>Projekta izstrādē iesaistītās institūcijas</w:t>
            </w:r>
          </w:p>
        </w:tc>
        <w:tc>
          <w:tcPr>
            <w:tcW w:w="6743" w:type="dxa"/>
          </w:tcPr>
          <w:p w14:paraId="72D9D685" w14:textId="3068D195" w:rsidR="00D42F6E" w:rsidRPr="00DA6B28" w:rsidRDefault="005E6CD8" w:rsidP="00760D6A">
            <w:pPr>
              <w:pStyle w:val="naiskr"/>
              <w:spacing w:before="0" w:after="0"/>
              <w:ind w:left="141" w:right="81"/>
              <w:jc w:val="both"/>
            </w:pPr>
            <w:r>
              <w:t xml:space="preserve">Zemkopības ministrija un Valsts augu aizsardzības dienests. </w:t>
            </w:r>
            <w:r w:rsidR="005E28DF">
              <w:t>I</w:t>
            </w:r>
            <w:r w:rsidR="001A3D56">
              <w:t>erosinājums izstrādāt</w:t>
            </w:r>
            <w:r w:rsidR="005E28DF">
              <w:t xml:space="preserve"> noteikumu projekt</w:t>
            </w:r>
            <w:r w:rsidR="001A3D56">
              <w:t>u</w:t>
            </w:r>
            <w:r w:rsidR="005E28DF">
              <w:t xml:space="preserve"> tika izteikt</w:t>
            </w:r>
            <w:r w:rsidR="00735BE2">
              <w:t>s</w:t>
            </w:r>
            <w:r w:rsidR="005E28DF">
              <w:t xml:space="preserve"> </w:t>
            </w:r>
            <w:r w:rsidR="00760D6A">
              <w:t xml:space="preserve">Valsts augu aizsardzības dienesta </w:t>
            </w:r>
            <w:r w:rsidR="005E28DF">
              <w:t xml:space="preserve">kopējā sanāksmē ar </w:t>
            </w:r>
            <w:proofErr w:type="spellStart"/>
            <w:r w:rsidR="005E28DF">
              <w:t>stādaudzētāju</w:t>
            </w:r>
            <w:proofErr w:type="spellEnd"/>
            <w:r w:rsidR="005E28DF">
              <w:t xml:space="preserve"> un </w:t>
            </w:r>
            <w:proofErr w:type="spellStart"/>
            <w:r w:rsidR="005E28DF">
              <w:t>augļaudzētāju</w:t>
            </w:r>
            <w:proofErr w:type="spellEnd"/>
            <w:r w:rsidR="005E28DF">
              <w:t xml:space="preserve"> biedrību pārstāvjiem par tālāko </w:t>
            </w:r>
            <w:r w:rsidR="002471FB">
              <w:t xml:space="preserve">rīcību </w:t>
            </w:r>
            <w:r w:rsidR="005E28DF">
              <w:t>saistībā ar bakteriālās iedegas aizsargājamās zonas saglabāšanu Latvijas teritorijā.</w:t>
            </w:r>
          </w:p>
        </w:tc>
      </w:tr>
      <w:tr w:rsidR="00D42F6E" w:rsidRPr="008D27A6" w14:paraId="2EC98AD0" w14:textId="77777777" w:rsidTr="00CB108D">
        <w:trPr>
          <w:trHeight w:val="384"/>
        </w:trPr>
        <w:tc>
          <w:tcPr>
            <w:tcW w:w="431" w:type="dxa"/>
          </w:tcPr>
          <w:p w14:paraId="00224225" w14:textId="77777777" w:rsidR="00D42F6E" w:rsidRPr="00710416" w:rsidRDefault="00D42F6E" w:rsidP="00CB108D">
            <w:pPr>
              <w:pStyle w:val="naiskr"/>
              <w:spacing w:before="0" w:after="0"/>
              <w:jc w:val="center"/>
              <w:rPr>
                <w:sz w:val="22"/>
                <w:szCs w:val="22"/>
              </w:rPr>
            </w:pPr>
            <w:r w:rsidRPr="00710416">
              <w:rPr>
                <w:sz w:val="22"/>
                <w:szCs w:val="22"/>
              </w:rPr>
              <w:t>4.</w:t>
            </w:r>
          </w:p>
        </w:tc>
        <w:tc>
          <w:tcPr>
            <w:tcW w:w="2551" w:type="dxa"/>
          </w:tcPr>
          <w:p w14:paraId="3D502C8E" w14:textId="77777777" w:rsidR="00D42F6E" w:rsidRPr="000A1623" w:rsidRDefault="00D42F6E" w:rsidP="00CB108D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0A1623">
              <w:rPr>
                <w:sz w:val="22"/>
                <w:szCs w:val="22"/>
              </w:rPr>
              <w:t>Cita informācija</w:t>
            </w:r>
          </w:p>
        </w:tc>
        <w:tc>
          <w:tcPr>
            <w:tcW w:w="6743" w:type="dxa"/>
          </w:tcPr>
          <w:p w14:paraId="47CA1662" w14:textId="21873CD1" w:rsidR="00D42F6E" w:rsidRPr="00343B9A" w:rsidRDefault="00D42F6E" w:rsidP="00CB108D">
            <w:pPr>
              <w:jc w:val="both"/>
            </w:pPr>
            <w:r>
              <w:t>Nav</w:t>
            </w:r>
            <w:r w:rsidR="001A3D56">
              <w:t>.</w:t>
            </w:r>
          </w:p>
        </w:tc>
      </w:tr>
    </w:tbl>
    <w:p w14:paraId="04DF25E8" w14:textId="77777777" w:rsidR="00D42F6E" w:rsidRPr="00197CAF" w:rsidRDefault="00D42F6E" w:rsidP="00D42F6E">
      <w:pPr>
        <w:pStyle w:val="naisf"/>
        <w:spacing w:before="0" w:after="0"/>
        <w:ind w:firstLine="0"/>
        <w:rPr>
          <w:color w:val="0070C0"/>
          <w:sz w:val="16"/>
          <w:szCs w:val="16"/>
        </w:rPr>
      </w:pPr>
    </w:p>
    <w:tbl>
      <w:tblPr>
        <w:tblpPr w:leftFromText="180" w:rightFromText="180" w:vertAnchor="text" w:horzAnchor="margin" w:tblpXSpec="center" w:tblpY="14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414"/>
        <w:gridCol w:w="6799"/>
      </w:tblGrid>
      <w:tr w:rsidR="00D42F6E" w:rsidRPr="008D27A6" w14:paraId="514034A1" w14:textId="77777777" w:rsidTr="00CB108D">
        <w:tc>
          <w:tcPr>
            <w:tcW w:w="9781" w:type="dxa"/>
            <w:gridSpan w:val="3"/>
            <w:vAlign w:val="center"/>
          </w:tcPr>
          <w:p w14:paraId="7FBDEEAC" w14:textId="77777777" w:rsidR="00D42F6E" w:rsidRPr="00F668AA" w:rsidRDefault="00D42F6E" w:rsidP="00CB108D">
            <w:pPr>
              <w:ind w:right="57"/>
              <w:jc w:val="center"/>
              <w:rPr>
                <w:rFonts w:eastAsia="Calibri"/>
                <w:b/>
              </w:rPr>
            </w:pPr>
            <w:r w:rsidRPr="00F668AA">
              <w:rPr>
                <w:b/>
                <w:bCs/>
              </w:rPr>
              <w:t>II. Tiesību akta projekta ietekme uz sabiedrību</w:t>
            </w:r>
            <w:r w:rsidRPr="00F668AA">
              <w:rPr>
                <w:rFonts w:eastAsia="Calibri"/>
                <w:b/>
              </w:rPr>
              <w:t>, tautsaimniecības attīstību</w:t>
            </w:r>
          </w:p>
          <w:p w14:paraId="347A41EF" w14:textId="77777777" w:rsidR="00D42F6E" w:rsidRPr="008D27A6" w:rsidRDefault="00D42F6E" w:rsidP="00CB108D">
            <w:pPr>
              <w:pStyle w:val="naisnod"/>
              <w:spacing w:before="0" w:after="0"/>
              <w:rPr>
                <w:color w:val="0070C0"/>
              </w:rPr>
            </w:pPr>
            <w:r w:rsidRPr="00F668AA">
              <w:rPr>
                <w:rFonts w:eastAsia="Calibri"/>
                <w:bCs w:val="0"/>
                <w:lang w:eastAsia="en-US"/>
              </w:rPr>
              <w:t>un administratīvo slogu</w:t>
            </w:r>
          </w:p>
        </w:tc>
      </w:tr>
      <w:tr w:rsidR="00D42F6E" w:rsidRPr="008D27A6" w14:paraId="794E86E9" w14:textId="77777777" w:rsidTr="00CB108D">
        <w:trPr>
          <w:trHeight w:val="1118"/>
        </w:trPr>
        <w:tc>
          <w:tcPr>
            <w:tcW w:w="568" w:type="dxa"/>
          </w:tcPr>
          <w:p w14:paraId="272FF748" w14:textId="77777777" w:rsidR="00D42F6E" w:rsidRPr="00710416" w:rsidRDefault="00D42F6E" w:rsidP="00CB108D">
            <w:pPr>
              <w:pStyle w:val="naiskr"/>
              <w:spacing w:before="0" w:after="0"/>
              <w:jc w:val="center"/>
              <w:rPr>
                <w:sz w:val="22"/>
                <w:szCs w:val="22"/>
              </w:rPr>
            </w:pPr>
            <w:r w:rsidRPr="00710416">
              <w:rPr>
                <w:sz w:val="22"/>
                <w:szCs w:val="22"/>
              </w:rPr>
              <w:t>1.</w:t>
            </w:r>
          </w:p>
        </w:tc>
        <w:tc>
          <w:tcPr>
            <w:tcW w:w="2414" w:type="dxa"/>
          </w:tcPr>
          <w:p w14:paraId="762E431E" w14:textId="77777777" w:rsidR="00D42F6E" w:rsidRPr="008D27A6" w:rsidRDefault="00D42F6E" w:rsidP="0049495F">
            <w:pPr>
              <w:pStyle w:val="naiskr"/>
              <w:spacing w:before="0" w:after="0"/>
              <w:ind w:left="60"/>
              <w:rPr>
                <w:color w:val="0070C0"/>
                <w:sz w:val="22"/>
                <w:szCs w:val="22"/>
              </w:rPr>
            </w:pPr>
            <w:r w:rsidRPr="00BC331E">
              <w:t>Sabiedrības mērķgrupa, kuras tiesiskais regulējums ietekmē vai varētu ietekmēt</w:t>
            </w:r>
          </w:p>
        </w:tc>
        <w:tc>
          <w:tcPr>
            <w:tcW w:w="6799" w:type="dxa"/>
          </w:tcPr>
          <w:p w14:paraId="67D1DE6A" w14:textId="29745FDA" w:rsidR="00D42F6E" w:rsidRPr="00515E55" w:rsidRDefault="00B52502" w:rsidP="00B52502">
            <w:pPr>
              <w:pStyle w:val="naiskr"/>
              <w:ind w:left="141"/>
              <w:jc w:val="both"/>
              <w:rPr>
                <w:iCs/>
              </w:rPr>
            </w:pPr>
            <w:r>
              <w:rPr>
                <w:iCs/>
              </w:rPr>
              <w:t>No</w:t>
            </w:r>
            <w:r w:rsidR="00125D85">
              <w:rPr>
                <w:iCs/>
              </w:rPr>
              <w:t xml:space="preserve">teikumu </w:t>
            </w:r>
            <w:r>
              <w:rPr>
                <w:iCs/>
              </w:rPr>
              <w:t>projekts</w:t>
            </w:r>
            <w:r w:rsidR="00D42F6E" w:rsidRPr="00515E55">
              <w:rPr>
                <w:iCs/>
              </w:rPr>
              <w:t xml:space="preserve"> attieksies </w:t>
            </w:r>
            <w:r>
              <w:rPr>
                <w:iCs/>
              </w:rPr>
              <w:t xml:space="preserve">tikai </w:t>
            </w:r>
            <w:r w:rsidR="00D42F6E" w:rsidRPr="00515E55">
              <w:rPr>
                <w:iCs/>
              </w:rPr>
              <w:t xml:space="preserve">uz </w:t>
            </w:r>
            <w:r>
              <w:rPr>
                <w:iCs/>
              </w:rPr>
              <w:t xml:space="preserve">tām personām, kuru </w:t>
            </w:r>
            <w:proofErr w:type="spellStart"/>
            <w:r>
              <w:rPr>
                <w:iCs/>
              </w:rPr>
              <w:t>komercdāzā</w:t>
            </w:r>
            <w:proofErr w:type="spellEnd"/>
            <w:proofErr w:type="gramStart"/>
            <w:r>
              <w:rPr>
                <w:iCs/>
              </w:rPr>
              <w:t xml:space="preserve"> vai ražojošā dārzā kādā no nākam</w:t>
            </w:r>
            <w:r w:rsidR="001A3D56">
              <w:rPr>
                <w:iCs/>
              </w:rPr>
              <w:t>aj</w:t>
            </w:r>
            <w:r>
              <w:rPr>
                <w:iCs/>
              </w:rPr>
              <w:t xml:space="preserve">iem diviem gadiem </w:t>
            </w:r>
            <w:r w:rsidR="000A671A">
              <w:rPr>
                <w:iCs/>
              </w:rPr>
              <w:t>pēc fitosanitāro pasākumu noteikšanas atkārtoti tiks konstatēta bakteriālā</w:t>
            </w:r>
            <w:proofErr w:type="gramEnd"/>
            <w:r w:rsidR="000A671A">
              <w:rPr>
                <w:iCs/>
              </w:rPr>
              <w:t xml:space="preserve"> iedega.</w:t>
            </w:r>
          </w:p>
        </w:tc>
      </w:tr>
      <w:tr w:rsidR="00D42F6E" w:rsidRPr="008D27A6" w14:paraId="01ABC837" w14:textId="77777777" w:rsidTr="00CB108D">
        <w:trPr>
          <w:trHeight w:val="523"/>
        </w:trPr>
        <w:tc>
          <w:tcPr>
            <w:tcW w:w="568" w:type="dxa"/>
          </w:tcPr>
          <w:p w14:paraId="549A82E4" w14:textId="77777777" w:rsidR="00D42F6E" w:rsidRPr="00710416" w:rsidRDefault="00D42F6E" w:rsidP="00CB108D">
            <w:pPr>
              <w:pStyle w:val="naiskr"/>
              <w:spacing w:before="0" w:after="0"/>
              <w:jc w:val="center"/>
              <w:rPr>
                <w:sz w:val="22"/>
                <w:szCs w:val="22"/>
              </w:rPr>
            </w:pPr>
            <w:r w:rsidRPr="00710416">
              <w:rPr>
                <w:sz w:val="22"/>
                <w:szCs w:val="22"/>
              </w:rPr>
              <w:t>2.</w:t>
            </w:r>
          </w:p>
        </w:tc>
        <w:tc>
          <w:tcPr>
            <w:tcW w:w="2414" w:type="dxa"/>
          </w:tcPr>
          <w:p w14:paraId="469C548C" w14:textId="77777777" w:rsidR="00D42F6E" w:rsidRPr="008D27A6" w:rsidRDefault="00D42F6E" w:rsidP="0049495F">
            <w:pPr>
              <w:pStyle w:val="naiskr"/>
              <w:spacing w:before="0" w:after="0"/>
              <w:ind w:left="60"/>
              <w:rPr>
                <w:color w:val="0070C0"/>
                <w:sz w:val="22"/>
                <w:szCs w:val="22"/>
              </w:rPr>
            </w:pPr>
            <w:r w:rsidRPr="00BC331E">
              <w:t>Tiesiskā regulējuma ietekme uz tautsaimniecību un administratīvo slogu</w:t>
            </w:r>
          </w:p>
        </w:tc>
        <w:tc>
          <w:tcPr>
            <w:tcW w:w="6799" w:type="dxa"/>
          </w:tcPr>
          <w:p w14:paraId="76645207" w14:textId="4FC70A36" w:rsidR="00B57EEA" w:rsidRPr="00515E55" w:rsidRDefault="0049495F" w:rsidP="00B57EEA">
            <w:pPr>
              <w:pStyle w:val="naiskr"/>
              <w:spacing w:before="0" w:after="0"/>
              <w:ind w:left="141"/>
              <w:jc w:val="both"/>
              <w:rPr>
                <w:iCs/>
              </w:rPr>
            </w:pPr>
            <w:r>
              <w:rPr>
                <w:iCs/>
              </w:rPr>
              <w:t xml:space="preserve">Noteikumu projekts </w:t>
            </w:r>
            <w:r w:rsidRPr="0085258C">
              <w:rPr>
                <w:iCs/>
              </w:rPr>
              <w:t>uzliek</w:t>
            </w:r>
            <w:r>
              <w:rPr>
                <w:iCs/>
              </w:rPr>
              <w:t xml:space="preserve"> </w:t>
            </w:r>
            <w:r w:rsidRPr="0085258C">
              <w:rPr>
                <w:iCs/>
              </w:rPr>
              <w:t xml:space="preserve">papildu </w:t>
            </w:r>
            <w:r w:rsidRPr="0085258C">
              <w:t>administratīvo slogu</w:t>
            </w:r>
            <w:r>
              <w:t xml:space="preserve"> </w:t>
            </w:r>
            <w:r>
              <w:rPr>
                <w:iCs/>
              </w:rPr>
              <w:t xml:space="preserve">tām personām, kuru </w:t>
            </w:r>
            <w:proofErr w:type="spellStart"/>
            <w:r>
              <w:rPr>
                <w:iCs/>
              </w:rPr>
              <w:t>komercdārzā</w:t>
            </w:r>
            <w:proofErr w:type="spellEnd"/>
            <w:r>
              <w:rPr>
                <w:iCs/>
              </w:rPr>
              <w:t xml:space="preserve"> vai ražojošā dārzā atkārtoti konstatēta bakteriālā iedega</w:t>
            </w:r>
            <w:r w:rsidR="001A3D56">
              <w:rPr>
                <w:iCs/>
              </w:rPr>
              <w:t>,</w:t>
            </w:r>
            <w:r>
              <w:t xml:space="preserve"> un</w:t>
            </w:r>
            <w:r>
              <w:rPr>
                <w:iCs/>
              </w:rPr>
              <w:t xml:space="preserve"> </w:t>
            </w:r>
            <w:r>
              <w:t>Valsts augu aizsardzības dienestam</w:t>
            </w:r>
            <w:r w:rsidRPr="0085258C">
              <w:t>.</w:t>
            </w:r>
          </w:p>
        </w:tc>
      </w:tr>
      <w:tr w:rsidR="00D42F6E" w:rsidRPr="008D27A6" w14:paraId="778B27C8" w14:textId="77777777" w:rsidTr="00CB108D">
        <w:trPr>
          <w:trHeight w:val="517"/>
        </w:trPr>
        <w:tc>
          <w:tcPr>
            <w:tcW w:w="568" w:type="dxa"/>
          </w:tcPr>
          <w:p w14:paraId="362C8839" w14:textId="77777777" w:rsidR="00D42F6E" w:rsidRPr="00710416" w:rsidRDefault="00D42F6E" w:rsidP="00CB108D">
            <w:pPr>
              <w:pStyle w:val="naiskr"/>
              <w:spacing w:before="0" w:after="0"/>
              <w:jc w:val="center"/>
              <w:rPr>
                <w:sz w:val="22"/>
                <w:szCs w:val="22"/>
              </w:rPr>
            </w:pPr>
            <w:r w:rsidRPr="00710416">
              <w:rPr>
                <w:sz w:val="22"/>
                <w:szCs w:val="22"/>
              </w:rPr>
              <w:t>3.</w:t>
            </w:r>
          </w:p>
        </w:tc>
        <w:tc>
          <w:tcPr>
            <w:tcW w:w="2414" w:type="dxa"/>
          </w:tcPr>
          <w:p w14:paraId="6572CCEC" w14:textId="77777777" w:rsidR="00D42F6E" w:rsidRPr="008D27A6" w:rsidRDefault="00D42F6E" w:rsidP="00CB108D">
            <w:pPr>
              <w:pStyle w:val="naiskr"/>
              <w:spacing w:before="0" w:after="0"/>
              <w:rPr>
                <w:color w:val="0070C0"/>
                <w:sz w:val="22"/>
                <w:szCs w:val="22"/>
              </w:rPr>
            </w:pPr>
            <w:r w:rsidRPr="00BC331E">
              <w:t>Administratīvo izmaksu monetārs novērtējums</w:t>
            </w:r>
          </w:p>
        </w:tc>
        <w:tc>
          <w:tcPr>
            <w:tcW w:w="6799" w:type="dxa"/>
          </w:tcPr>
          <w:p w14:paraId="4254314D" w14:textId="5E4D3092" w:rsidR="0049495F" w:rsidRPr="00B57EEA" w:rsidRDefault="0049495F" w:rsidP="00735BE2">
            <w:pPr>
              <w:pStyle w:val="naiskr"/>
              <w:spacing w:before="0" w:after="0"/>
              <w:ind w:left="142"/>
              <w:jc w:val="both"/>
              <w:rPr>
                <w:iCs/>
              </w:rPr>
            </w:pPr>
            <w:r w:rsidRPr="00B57EEA">
              <w:rPr>
                <w:iCs/>
              </w:rPr>
              <w:t xml:space="preserve">Personām, kuru </w:t>
            </w:r>
            <w:proofErr w:type="spellStart"/>
            <w:r w:rsidRPr="00B57EEA">
              <w:rPr>
                <w:iCs/>
              </w:rPr>
              <w:t>komercdārzā</w:t>
            </w:r>
            <w:proofErr w:type="spellEnd"/>
            <w:r w:rsidRPr="00B57EEA">
              <w:rPr>
                <w:iCs/>
              </w:rPr>
              <w:t xml:space="preserve"> vai ražojošā dārzā atkārtoti konstatēta bakteriālā iedega, administratīvās izmaksas </w:t>
            </w:r>
            <w:r w:rsidR="001A3D56">
              <w:rPr>
                <w:iCs/>
              </w:rPr>
              <w:t>būs saistītas ar</w:t>
            </w:r>
            <w:r w:rsidRPr="00B57EEA">
              <w:rPr>
                <w:iCs/>
              </w:rPr>
              <w:t xml:space="preserve"> </w:t>
            </w:r>
            <w:r w:rsidR="008E13BE">
              <w:rPr>
                <w:iCs/>
              </w:rPr>
              <w:t xml:space="preserve">sagatavojamo un Valsts augu aizsardzības </w:t>
            </w:r>
            <w:r w:rsidR="008E13BE" w:rsidRPr="00B57EEA">
              <w:rPr>
                <w:iCs/>
              </w:rPr>
              <w:t xml:space="preserve">dienestam </w:t>
            </w:r>
            <w:r w:rsidR="008E13BE">
              <w:rPr>
                <w:iCs/>
              </w:rPr>
              <w:t xml:space="preserve">iesniedzamo </w:t>
            </w:r>
            <w:r w:rsidRPr="00B57EEA">
              <w:rPr>
                <w:iCs/>
              </w:rPr>
              <w:t>rīcī</w:t>
            </w:r>
            <w:r>
              <w:rPr>
                <w:iCs/>
              </w:rPr>
              <w:t>bas plānu organisma apkarošanai.</w:t>
            </w:r>
          </w:p>
          <w:p w14:paraId="32F439CE" w14:textId="77777777" w:rsidR="0049495F" w:rsidRPr="00B57EEA" w:rsidRDefault="0049495F" w:rsidP="00735BE2">
            <w:pPr>
              <w:pStyle w:val="naiskr"/>
              <w:spacing w:before="0" w:after="0"/>
              <w:ind w:left="142"/>
              <w:jc w:val="both"/>
              <w:rPr>
                <w:iCs/>
              </w:rPr>
            </w:pPr>
            <w:r w:rsidRPr="00B57EEA">
              <w:rPr>
                <w:iCs/>
              </w:rPr>
              <w:t>Projekta radīto administratīvo izmaksu novērtējums iegūts, izmantojot šādu formulu:</w:t>
            </w:r>
          </w:p>
          <w:p w14:paraId="5E5A5DB7" w14:textId="77777777" w:rsidR="0049495F" w:rsidRPr="00B57EEA" w:rsidRDefault="0049495F" w:rsidP="00735BE2">
            <w:pPr>
              <w:pStyle w:val="naiskr"/>
              <w:spacing w:before="0" w:after="0"/>
              <w:ind w:left="142"/>
              <w:jc w:val="both"/>
              <w:rPr>
                <w:iCs/>
              </w:rPr>
            </w:pPr>
            <w:r w:rsidRPr="00B57EEA">
              <w:rPr>
                <w:iCs/>
              </w:rPr>
              <w:t>C = (f x l) x (n x b), kur</w:t>
            </w:r>
          </w:p>
          <w:p w14:paraId="4BCA1311" w14:textId="77777777" w:rsidR="0049495F" w:rsidRPr="00B57EEA" w:rsidRDefault="0049495F" w:rsidP="00735BE2">
            <w:pPr>
              <w:pStyle w:val="naiskr"/>
              <w:spacing w:before="0" w:after="0"/>
              <w:ind w:left="142"/>
              <w:jc w:val="both"/>
              <w:rPr>
                <w:iCs/>
              </w:rPr>
            </w:pPr>
            <w:r w:rsidRPr="00B57EEA">
              <w:rPr>
                <w:iCs/>
              </w:rPr>
              <w:t>C – informācijas sniegšanas pienākuma radītās izmaksas jeb administratīvās izmaksas;</w:t>
            </w:r>
          </w:p>
          <w:p w14:paraId="224A47FF" w14:textId="1BA1C8B5" w:rsidR="0049495F" w:rsidRPr="00B57EEA" w:rsidRDefault="0049495F" w:rsidP="00735BE2">
            <w:pPr>
              <w:pStyle w:val="naiskr"/>
              <w:spacing w:before="0" w:after="0"/>
              <w:ind w:left="142"/>
              <w:jc w:val="both"/>
              <w:rPr>
                <w:iCs/>
              </w:rPr>
            </w:pPr>
            <w:r w:rsidRPr="00B57EEA">
              <w:rPr>
                <w:iCs/>
              </w:rPr>
              <w:t xml:space="preserve">f – mēneša vidējā bruto darba samaksa </w:t>
            </w:r>
            <w:r w:rsidR="008E13BE">
              <w:rPr>
                <w:iCs/>
              </w:rPr>
              <w:t>pēc</w:t>
            </w:r>
            <w:r w:rsidRPr="00B57EEA">
              <w:rPr>
                <w:iCs/>
              </w:rPr>
              <w:t xml:space="preserve"> Centrālās statistikas pārvaldes datiem par 2016. gadu 847 </w:t>
            </w:r>
            <w:proofErr w:type="spellStart"/>
            <w:r w:rsidRPr="005E6CD8">
              <w:rPr>
                <w:i/>
                <w:iCs/>
              </w:rPr>
              <w:t>euro</w:t>
            </w:r>
            <w:proofErr w:type="spellEnd"/>
            <w:r w:rsidRPr="00B57EEA">
              <w:rPr>
                <w:iCs/>
              </w:rPr>
              <w:t xml:space="preserve">, bruto stundas likme 5,04 </w:t>
            </w:r>
            <w:proofErr w:type="spellStart"/>
            <w:r w:rsidRPr="005E6CD8">
              <w:rPr>
                <w:i/>
                <w:iCs/>
              </w:rPr>
              <w:t>euro</w:t>
            </w:r>
            <w:proofErr w:type="spellEnd"/>
            <w:r w:rsidRPr="00B57EEA">
              <w:rPr>
                <w:iCs/>
              </w:rPr>
              <w:t xml:space="preserve">, stundas likme kopā ar darba devēja valsts sociālās apdrošināšanas obligātajām iemaksām 6,23 </w:t>
            </w:r>
            <w:proofErr w:type="spellStart"/>
            <w:r w:rsidRPr="005E6CD8">
              <w:rPr>
                <w:i/>
                <w:iCs/>
              </w:rPr>
              <w:t>euro</w:t>
            </w:r>
            <w:proofErr w:type="spellEnd"/>
            <w:r w:rsidRPr="00B57EEA">
              <w:rPr>
                <w:iCs/>
              </w:rPr>
              <w:t>;</w:t>
            </w:r>
          </w:p>
          <w:p w14:paraId="16B8CCCB" w14:textId="77777777" w:rsidR="0049495F" w:rsidRPr="00B57EEA" w:rsidRDefault="0049495F" w:rsidP="00735BE2">
            <w:pPr>
              <w:pStyle w:val="naiskr"/>
              <w:spacing w:before="0" w:after="0"/>
              <w:ind w:left="142"/>
              <w:jc w:val="both"/>
              <w:rPr>
                <w:iCs/>
              </w:rPr>
            </w:pPr>
            <w:r w:rsidRPr="00B57EEA">
              <w:rPr>
                <w:iCs/>
              </w:rPr>
              <w:t>l – nepieciešamais laiks informācijas sagatavošanai: 4</w:t>
            </w:r>
            <w:proofErr w:type="gramStart"/>
            <w:r w:rsidRPr="00B57EEA">
              <w:rPr>
                <w:iCs/>
              </w:rPr>
              <w:t xml:space="preserve">  </w:t>
            </w:r>
            <w:proofErr w:type="gramEnd"/>
            <w:r w:rsidRPr="00B57EEA">
              <w:rPr>
                <w:iCs/>
              </w:rPr>
              <w:t>stundas gadā;</w:t>
            </w:r>
          </w:p>
          <w:p w14:paraId="4A954257" w14:textId="77777777" w:rsidR="0049495F" w:rsidRPr="00B57EEA" w:rsidRDefault="0049495F" w:rsidP="00735BE2">
            <w:pPr>
              <w:pStyle w:val="naiskr"/>
              <w:spacing w:before="0" w:after="0"/>
              <w:ind w:left="142"/>
              <w:jc w:val="both"/>
              <w:rPr>
                <w:iCs/>
              </w:rPr>
            </w:pPr>
            <w:r w:rsidRPr="00B57EEA">
              <w:rPr>
                <w:iCs/>
              </w:rPr>
              <w:t>n – subjektu skaits: 1 persona;</w:t>
            </w:r>
          </w:p>
          <w:p w14:paraId="5B1EDF17" w14:textId="3C8B53CB" w:rsidR="0049495F" w:rsidRPr="00B57EEA" w:rsidRDefault="0049495F" w:rsidP="00735BE2">
            <w:pPr>
              <w:pStyle w:val="naiskr"/>
              <w:spacing w:before="0" w:after="0"/>
              <w:ind w:left="142"/>
              <w:jc w:val="both"/>
              <w:rPr>
                <w:iCs/>
              </w:rPr>
            </w:pPr>
            <w:r w:rsidRPr="00B57EEA">
              <w:rPr>
                <w:iCs/>
              </w:rPr>
              <w:t>b – informācijas sniegšanas biežums</w:t>
            </w:r>
            <w:r w:rsidR="008E13BE">
              <w:rPr>
                <w:iCs/>
              </w:rPr>
              <w:t>:</w:t>
            </w:r>
            <w:r w:rsidRPr="00B57EEA">
              <w:rPr>
                <w:iCs/>
              </w:rPr>
              <w:t xml:space="preserve"> vidēji 1 reizi gadā;</w:t>
            </w:r>
          </w:p>
          <w:p w14:paraId="4A616D3E" w14:textId="77777777" w:rsidR="0049495F" w:rsidRPr="00B57EEA" w:rsidRDefault="0049495F" w:rsidP="00735BE2">
            <w:pPr>
              <w:pStyle w:val="naiskr"/>
              <w:spacing w:before="0" w:after="0"/>
              <w:ind w:left="142"/>
              <w:jc w:val="both"/>
              <w:rPr>
                <w:iCs/>
              </w:rPr>
            </w:pPr>
            <w:r w:rsidRPr="00B57EEA">
              <w:rPr>
                <w:iCs/>
              </w:rPr>
              <w:t xml:space="preserve">C = (6,23 x 4) x (1 x 1) = </w:t>
            </w:r>
            <w:r w:rsidRPr="00181D85">
              <w:rPr>
                <w:b/>
                <w:iCs/>
              </w:rPr>
              <w:t xml:space="preserve">24,92 </w:t>
            </w:r>
            <w:proofErr w:type="spellStart"/>
            <w:r w:rsidRPr="005E6CD8">
              <w:rPr>
                <w:b/>
                <w:i/>
                <w:iCs/>
              </w:rPr>
              <w:t>euro</w:t>
            </w:r>
            <w:proofErr w:type="spellEnd"/>
            <w:r w:rsidRPr="00B57EEA">
              <w:rPr>
                <w:iCs/>
              </w:rPr>
              <w:t>.</w:t>
            </w:r>
          </w:p>
          <w:p w14:paraId="16A8AEFB" w14:textId="77777777" w:rsidR="0049495F" w:rsidRPr="00B57EEA" w:rsidRDefault="0049495F" w:rsidP="00735BE2">
            <w:pPr>
              <w:pStyle w:val="naiskr"/>
              <w:spacing w:before="0" w:after="0"/>
              <w:ind w:left="142"/>
              <w:jc w:val="both"/>
              <w:rPr>
                <w:iCs/>
              </w:rPr>
            </w:pPr>
          </w:p>
          <w:p w14:paraId="604D8349" w14:textId="77777777" w:rsidR="0049495F" w:rsidRPr="00B57EEA" w:rsidRDefault="0049495F" w:rsidP="00735BE2">
            <w:pPr>
              <w:pStyle w:val="naiskr"/>
              <w:spacing w:before="0" w:after="0"/>
              <w:ind w:left="142"/>
              <w:jc w:val="both"/>
              <w:rPr>
                <w:iCs/>
              </w:rPr>
            </w:pPr>
            <w:r w:rsidRPr="00B57EEA">
              <w:rPr>
                <w:iCs/>
              </w:rPr>
              <w:t xml:space="preserve">Administratīvo izmaksu novērtējums Valsts augu aizsardzības dienestam saistībā ar informācijas pieņemšanas, apstrādes vai uzglabāšanas pienākumiem prognozējams šādā apmērā: </w:t>
            </w:r>
          </w:p>
          <w:p w14:paraId="18B278E4" w14:textId="77777777" w:rsidR="0049495F" w:rsidRPr="00B57EEA" w:rsidRDefault="0049495F" w:rsidP="00735BE2">
            <w:pPr>
              <w:pStyle w:val="naiskr"/>
              <w:spacing w:before="0" w:after="0"/>
              <w:ind w:left="142"/>
              <w:jc w:val="both"/>
              <w:rPr>
                <w:iCs/>
              </w:rPr>
            </w:pPr>
            <w:r w:rsidRPr="00B57EEA">
              <w:rPr>
                <w:iCs/>
              </w:rPr>
              <w:t>C = (f x l) x (n x b), kur</w:t>
            </w:r>
          </w:p>
          <w:p w14:paraId="11D46F7D" w14:textId="77777777" w:rsidR="0049495F" w:rsidRPr="00B57EEA" w:rsidRDefault="0049495F" w:rsidP="00735BE2">
            <w:pPr>
              <w:pStyle w:val="naiskr"/>
              <w:spacing w:before="0" w:after="0"/>
              <w:ind w:left="141"/>
              <w:jc w:val="both"/>
              <w:rPr>
                <w:iCs/>
              </w:rPr>
            </w:pPr>
            <w:r w:rsidRPr="00B57EEA">
              <w:rPr>
                <w:iCs/>
              </w:rPr>
              <w:lastRenderedPageBreak/>
              <w:t>C – informācijas sniegšanas pienākuma radītās izmaksas jeb administratīvās izmaksas;</w:t>
            </w:r>
          </w:p>
          <w:p w14:paraId="1DC5CBC7" w14:textId="527623FD" w:rsidR="0049495F" w:rsidRPr="00B57EEA" w:rsidRDefault="0049495F" w:rsidP="00735BE2">
            <w:pPr>
              <w:pStyle w:val="naiskr"/>
              <w:spacing w:before="0" w:after="0"/>
              <w:ind w:left="141"/>
              <w:jc w:val="both"/>
              <w:rPr>
                <w:iCs/>
              </w:rPr>
            </w:pPr>
            <w:r w:rsidRPr="00B57EEA">
              <w:rPr>
                <w:iCs/>
              </w:rPr>
              <w:t>f –</w:t>
            </w:r>
            <w:r>
              <w:rPr>
                <w:iCs/>
              </w:rPr>
              <w:t xml:space="preserve"> Valsts augu aizsardzības d</w:t>
            </w:r>
            <w:r w:rsidRPr="00B57EEA">
              <w:rPr>
                <w:iCs/>
              </w:rPr>
              <w:t xml:space="preserve">ienesta vecākā inspektora mēneša vidējā bruto darba samaksa 850 </w:t>
            </w:r>
            <w:proofErr w:type="spellStart"/>
            <w:r w:rsidRPr="005E6CD8">
              <w:rPr>
                <w:i/>
                <w:iCs/>
              </w:rPr>
              <w:t>euro</w:t>
            </w:r>
            <w:proofErr w:type="spellEnd"/>
            <w:r w:rsidRPr="00B57EEA">
              <w:rPr>
                <w:iCs/>
              </w:rPr>
              <w:t xml:space="preserve">, bruto stundas likme 5,05 </w:t>
            </w:r>
            <w:proofErr w:type="spellStart"/>
            <w:r w:rsidRPr="005E6CD8">
              <w:rPr>
                <w:i/>
                <w:iCs/>
              </w:rPr>
              <w:t>euro</w:t>
            </w:r>
            <w:proofErr w:type="spellEnd"/>
            <w:r w:rsidRPr="00B57EEA">
              <w:rPr>
                <w:iCs/>
              </w:rPr>
              <w:t xml:space="preserve">, stundas likme kopā ar darba devēja valsts sociālās apdrošināšanas obligātajām iemaksām 6,24 </w:t>
            </w:r>
            <w:proofErr w:type="spellStart"/>
            <w:r w:rsidRPr="005E6CD8">
              <w:rPr>
                <w:i/>
                <w:iCs/>
              </w:rPr>
              <w:t>euro</w:t>
            </w:r>
            <w:proofErr w:type="spellEnd"/>
            <w:r w:rsidRPr="00B57EEA">
              <w:rPr>
                <w:iCs/>
              </w:rPr>
              <w:t>;</w:t>
            </w:r>
          </w:p>
          <w:p w14:paraId="48276211" w14:textId="77777777" w:rsidR="0049495F" w:rsidRPr="00B57EEA" w:rsidRDefault="0049495F" w:rsidP="00735BE2">
            <w:pPr>
              <w:pStyle w:val="naiskr"/>
              <w:spacing w:before="0" w:after="0"/>
              <w:ind w:left="141"/>
              <w:jc w:val="both"/>
              <w:rPr>
                <w:iCs/>
              </w:rPr>
            </w:pPr>
            <w:r w:rsidRPr="00B57EEA">
              <w:rPr>
                <w:iCs/>
              </w:rPr>
              <w:t>l – nepieciešamais laiks informācijas pieņemšanai, apstrādei, uzglabāšanai: 4</w:t>
            </w:r>
            <w:proofErr w:type="gramStart"/>
            <w:r w:rsidRPr="00B57EEA">
              <w:rPr>
                <w:iCs/>
              </w:rPr>
              <w:t xml:space="preserve">  </w:t>
            </w:r>
            <w:proofErr w:type="gramEnd"/>
            <w:r w:rsidRPr="00B57EEA">
              <w:rPr>
                <w:iCs/>
              </w:rPr>
              <w:t>stundas;</w:t>
            </w:r>
          </w:p>
          <w:p w14:paraId="29E9F8AC" w14:textId="77777777" w:rsidR="0049495F" w:rsidRPr="00B57EEA" w:rsidRDefault="0049495F" w:rsidP="00735BE2">
            <w:pPr>
              <w:pStyle w:val="naiskr"/>
              <w:spacing w:before="0" w:after="0"/>
              <w:ind w:left="141"/>
              <w:jc w:val="both"/>
              <w:rPr>
                <w:iCs/>
              </w:rPr>
            </w:pPr>
            <w:r w:rsidRPr="00B57EEA">
              <w:rPr>
                <w:iCs/>
              </w:rPr>
              <w:t>n – subjektu skaits: 1 persona;</w:t>
            </w:r>
          </w:p>
          <w:p w14:paraId="0FF5B7CD" w14:textId="6A130723" w:rsidR="0049495F" w:rsidRPr="00B57EEA" w:rsidRDefault="0049495F" w:rsidP="00735BE2">
            <w:pPr>
              <w:pStyle w:val="naiskr"/>
              <w:spacing w:before="0" w:after="0"/>
              <w:ind w:left="141"/>
              <w:jc w:val="both"/>
              <w:rPr>
                <w:iCs/>
              </w:rPr>
            </w:pPr>
            <w:r w:rsidRPr="00B57EEA">
              <w:rPr>
                <w:iCs/>
              </w:rPr>
              <w:t>b – informācijas sniegšanas biežums</w:t>
            </w:r>
            <w:r w:rsidR="008E13BE">
              <w:rPr>
                <w:iCs/>
              </w:rPr>
              <w:t>:</w:t>
            </w:r>
            <w:r w:rsidRPr="00B57EEA">
              <w:rPr>
                <w:iCs/>
              </w:rPr>
              <w:t xml:space="preserve"> vidēji 1 reizi gadā;</w:t>
            </w:r>
          </w:p>
          <w:p w14:paraId="41410C8C" w14:textId="7B3D9691" w:rsidR="00D42F6E" w:rsidRPr="008D27A6" w:rsidRDefault="0049495F" w:rsidP="00735BE2">
            <w:pPr>
              <w:pStyle w:val="naiskr"/>
              <w:spacing w:before="0" w:after="0"/>
              <w:jc w:val="both"/>
              <w:rPr>
                <w:color w:val="0070C0"/>
                <w:sz w:val="22"/>
                <w:szCs w:val="22"/>
              </w:rPr>
            </w:pPr>
            <w:r w:rsidRPr="00B57EEA">
              <w:rPr>
                <w:iCs/>
              </w:rPr>
              <w:t xml:space="preserve">C = (6,24 x 4) x (1 x 1) = </w:t>
            </w:r>
            <w:r w:rsidRPr="00181D85">
              <w:rPr>
                <w:b/>
                <w:iCs/>
              </w:rPr>
              <w:t xml:space="preserve">24,96 </w:t>
            </w:r>
            <w:proofErr w:type="spellStart"/>
            <w:r w:rsidRPr="005E6CD8">
              <w:rPr>
                <w:b/>
                <w:i/>
                <w:iCs/>
              </w:rPr>
              <w:t>euro</w:t>
            </w:r>
            <w:proofErr w:type="spellEnd"/>
            <w:r w:rsidRPr="00181D85">
              <w:rPr>
                <w:b/>
                <w:iCs/>
              </w:rPr>
              <w:t>.</w:t>
            </w:r>
          </w:p>
        </w:tc>
      </w:tr>
      <w:tr w:rsidR="00D42F6E" w:rsidRPr="008D27A6" w14:paraId="442D89BF" w14:textId="77777777" w:rsidTr="00CB108D">
        <w:tc>
          <w:tcPr>
            <w:tcW w:w="568" w:type="dxa"/>
          </w:tcPr>
          <w:p w14:paraId="3082127A" w14:textId="77777777" w:rsidR="00D42F6E" w:rsidRPr="00710416" w:rsidRDefault="00D42F6E" w:rsidP="00CB108D">
            <w:pPr>
              <w:pStyle w:val="naiskr"/>
              <w:spacing w:before="0" w:after="0"/>
              <w:jc w:val="center"/>
              <w:rPr>
                <w:sz w:val="22"/>
                <w:szCs w:val="22"/>
              </w:rPr>
            </w:pPr>
            <w:r w:rsidRPr="00710416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414" w:type="dxa"/>
          </w:tcPr>
          <w:p w14:paraId="090B9EAD" w14:textId="77777777" w:rsidR="00D42F6E" w:rsidRPr="0036557F" w:rsidRDefault="00D42F6E" w:rsidP="00CB108D">
            <w:pPr>
              <w:pStyle w:val="naiskr"/>
              <w:spacing w:before="0" w:after="0"/>
            </w:pPr>
            <w:r w:rsidRPr="0036557F">
              <w:t>Cita informācija</w:t>
            </w:r>
          </w:p>
        </w:tc>
        <w:tc>
          <w:tcPr>
            <w:tcW w:w="6799" w:type="dxa"/>
          </w:tcPr>
          <w:p w14:paraId="1DD309D9" w14:textId="6D83BE09" w:rsidR="00D42F6E" w:rsidRPr="0036557F" w:rsidRDefault="00D42F6E" w:rsidP="00CB108D">
            <w:pPr>
              <w:pStyle w:val="naiskr"/>
              <w:spacing w:before="0" w:after="0"/>
              <w:jc w:val="both"/>
            </w:pPr>
            <w:r w:rsidRPr="0036557F">
              <w:t>Nav</w:t>
            </w:r>
            <w:r w:rsidR="008E13BE">
              <w:t>.</w:t>
            </w:r>
            <w:r w:rsidRPr="0036557F">
              <w:t xml:space="preserve"> </w:t>
            </w:r>
          </w:p>
        </w:tc>
      </w:tr>
    </w:tbl>
    <w:p w14:paraId="548F67CD" w14:textId="77777777" w:rsidR="00D42F6E" w:rsidRDefault="00D42F6E" w:rsidP="00D42F6E">
      <w:pPr>
        <w:pStyle w:val="naisf"/>
        <w:spacing w:before="0" w:after="0"/>
        <w:ind w:firstLine="0"/>
        <w:rPr>
          <w:color w:val="0070C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F50039" w14:paraId="2DA0DC4E" w14:textId="77777777" w:rsidTr="00CA767C">
        <w:trPr>
          <w:trHeight w:val="212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462D" w14:textId="09BCF31D" w:rsidR="00F50039" w:rsidRDefault="00F50039" w:rsidP="00CA767C">
            <w:pPr>
              <w:pStyle w:val="Paraststmekli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III. </w:t>
            </w:r>
            <w:r w:rsidRPr="00490E23">
              <w:rPr>
                <w:b/>
                <w:bCs/>
              </w:rPr>
              <w:t>Tiesību akta projekta ietekme uz valsts budžetu un pašvaldību budžetiem</w:t>
            </w:r>
          </w:p>
        </w:tc>
      </w:tr>
      <w:tr w:rsidR="00F50039" w14:paraId="4CE29FAE" w14:textId="77777777" w:rsidTr="00CA767C">
        <w:trPr>
          <w:trHeight w:val="212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5968" w14:textId="77777777" w:rsidR="00F50039" w:rsidRDefault="00F50039" w:rsidP="00CA767C">
            <w:pPr>
              <w:pStyle w:val="Paraststmeklis"/>
              <w:jc w:val="center"/>
              <w:rPr>
                <w:bCs/>
              </w:rPr>
            </w:pPr>
            <w:r>
              <w:rPr>
                <w:bCs/>
              </w:rPr>
              <w:t>Projekts šo jomu neskar.</w:t>
            </w:r>
          </w:p>
        </w:tc>
      </w:tr>
    </w:tbl>
    <w:p w14:paraId="2D14B931" w14:textId="77777777" w:rsidR="00F50039" w:rsidRDefault="00F50039" w:rsidP="00F50039">
      <w:pPr>
        <w:pStyle w:val="Paraststmeklis"/>
      </w:pPr>
    </w:p>
    <w:tbl>
      <w:tblPr>
        <w:tblW w:w="5093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3"/>
      </w:tblGrid>
      <w:tr w:rsidR="00F50039" w14:paraId="294DD6BE" w14:textId="77777777" w:rsidTr="00CA767C">
        <w:trPr>
          <w:trHeight w:val="197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11649F" w14:textId="055203DB" w:rsidR="00F50039" w:rsidRDefault="00F50039" w:rsidP="00CA767C">
            <w:pPr>
              <w:pStyle w:val="Paraststmekli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F50039" w14:paraId="29D3E755" w14:textId="77777777" w:rsidTr="00CA767C">
        <w:trPr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340C98" w14:textId="77777777" w:rsidR="00F50039" w:rsidRDefault="00F50039" w:rsidP="00CA767C">
            <w:pPr>
              <w:pStyle w:val="Paraststmeklis"/>
              <w:jc w:val="center"/>
            </w:pPr>
            <w:r>
              <w:t>Projekts šo jomu neskar.</w:t>
            </w:r>
          </w:p>
        </w:tc>
      </w:tr>
    </w:tbl>
    <w:p w14:paraId="415E5FA0" w14:textId="77777777" w:rsidR="00F50039" w:rsidRDefault="00F50039" w:rsidP="00F50039">
      <w:pPr>
        <w:pStyle w:val="Paraststmeklis"/>
      </w:pPr>
    </w:p>
    <w:tbl>
      <w:tblPr>
        <w:tblW w:w="5123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78"/>
      </w:tblGrid>
      <w:tr w:rsidR="00F50039" w14:paraId="4FEF0A17" w14:textId="77777777" w:rsidTr="00CA767C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875C5C" w14:textId="28FBAD36" w:rsidR="00F50039" w:rsidRDefault="00F50039" w:rsidP="00CA767C">
            <w:pPr>
              <w:pStyle w:val="Paraststmekli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F50039" w14:paraId="0FCE7507" w14:textId="77777777" w:rsidTr="00CA767C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62F7F0" w14:textId="77777777" w:rsidR="00F50039" w:rsidRDefault="00F50039" w:rsidP="00CA767C">
            <w:pPr>
              <w:pStyle w:val="Paraststmeklis"/>
              <w:jc w:val="center"/>
              <w:rPr>
                <w:b/>
                <w:bCs/>
              </w:rPr>
            </w:pPr>
            <w:r>
              <w:rPr>
                <w:bCs/>
              </w:rPr>
              <w:t>Projekts šo jomu neskar.</w:t>
            </w:r>
          </w:p>
        </w:tc>
      </w:tr>
    </w:tbl>
    <w:p w14:paraId="7C2A568B" w14:textId="5641A737" w:rsidR="00D42F6E" w:rsidRPr="00735BE2" w:rsidRDefault="00D42F6E" w:rsidP="00FF75E9">
      <w:pPr>
        <w:pStyle w:val="naisc"/>
        <w:spacing w:before="0" w:after="0"/>
        <w:ind w:firstLine="720"/>
        <w:jc w:val="both"/>
        <w:rPr>
          <w:bCs/>
          <w:i/>
          <w:sz w:val="28"/>
          <w:szCs w:val="28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"/>
        <w:gridCol w:w="3235"/>
        <w:gridCol w:w="6618"/>
      </w:tblGrid>
      <w:tr w:rsidR="00D42F6E" w:rsidRPr="005F50A1" w14:paraId="1CD95CC0" w14:textId="77777777" w:rsidTr="00CB108D">
        <w:trPr>
          <w:jc w:val="center"/>
        </w:trPr>
        <w:tc>
          <w:tcPr>
            <w:tcW w:w="10163" w:type="dxa"/>
            <w:gridSpan w:val="3"/>
          </w:tcPr>
          <w:p w14:paraId="615534D9" w14:textId="77777777" w:rsidR="00D42F6E" w:rsidRPr="005F50A1" w:rsidRDefault="00D42F6E" w:rsidP="00CB108D">
            <w:pPr>
              <w:pStyle w:val="naisnod"/>
              <w:spacing w:before="0" w:after="0"/>
              <w:ind w:left="57" w:right="57"/>
            </w:pPr>
            <w:r w:rsidRPr="005F50A1">
              <w:t>VI. Sabiedrības līdzdalība un komunikācijas aktivitātes</w:t>
            </w:r>
          </w:p>
        </w:tc>
      </w:tr>
      <w:tr w:rsidR="00D42F6E" w:rsidRPr="008D27A6" w14:paraId="65ABB587" w14:textId="77777777" w:rsidTr="00CB108D">
        <w:trPr>
          <w:trHeight w:val="553"/>
          <w:jc w:val="center"/>
        </w:trPr>
        <w:tc>
          <w:tcPr>
            <w:tcW w:w="310" w:type="dxa"/>
          </w:tcPr>
          <w:p w14:paraId="59C7E526" w14:textId="77777777" w:rsidR="00D42F6E" w:rsidRPr="00564641" w:rsidRDefault="00D42F6E" w:rsidP="00CB108D">
            <w:pPr>
              <w:pStyle w:val="naiskr"/>
              <w:spacing w:before="0" w:after="0"/>
              <w:ind w:left="57" w:right="57"/>
              <w:rPr>
                <w:bCs/>
                <w:sz w:val="22"/>
                <w:szCs w:val="22"/>
              </w:rPr>
            </w:pPr>
            <w:r w:rsidRPr="0056464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235" w:type="dxa"/>
          </w:tcPr>
          <w:p w14:paraId="64AED3DF" w14:textId="77777777" w:rsidR="00D42F6E" w:rsidRPr="0032131B" w:rsidRDefault="00D42F6E" w:rsidP="00CB108D">
            <w:r w:rsidRPr="0032131B">
              <w:t>Plānotās sabiedrības līdzdalības un komunikācijas aktivitātes saistībā ar projektu</w:t>
            </w:r>
          </w:p>
        </w:tc>
        <w:tc>
          <w:tcPr>
            <w:tcW w:w="6618" w:type="dxa"/>
          </w:tcPr>
          <w:p w14:paraId="48BA36F8" w14:textId="194F92E1" w:rsidR="00D42F6E" w:rsidRDefault="00D42F6E" w:rsidP="00735BE2">
            <w:pPr>
              <w:jc w:val="both"/>
            </w:pPr>
            <w:r w:rsidRPr="004156E4">
              <w:t xml:space="preserve">Noteikumu </w:t>
            </w:r>
            <w:r w:rsidRPr="004A643F">
              <w:t xml:space="preserve">projekts </w:t>
            </w:r>
            <w:r w:rsidR="005073F4" w:rsidRPr="004A643F">
              <w:t>tik</w:t>
            </w:r>
            <w:r w:rsidR="004311A8">
              <w:t>a</w:t>
            </w:r>
            <w:r w:rsidR="005073F4" w:rsidRPr="004A643F">
              <w:t xml:space="preserve"> nosūtīts elektroniski Lauksaimnieku organizāciju sadarbības padomei un Zemnieku saeimai. Minētajās</w:t>
            </w:r>
            <w:r w:rsidR="005073F4" w:rsidRPr="004156E4">
              <w:t xml:space="preserve"> organizācijās ietilpst lielākā daļa lauksaimniecības nozares pārstāvošo nelielo lauksaimnieku apvienību, tostarp </w:t>
            </w:r>
            <w:r w:rsidR="00267204" w:rsidRPr="004156E4">
              <w:t>augļaugu audzētāj</w:t>
            </w:r>
            <w:r w:rsidR="00760D6A">
              <w:t>i</w:t>
            </w:r>
            <w:r w:rsidR="00267204" w:rsidRPr="004156E4">
              <w:t xml:space="preserve"> un </w:t>
            </w:r>
            <w:proofErr w:type="spellStart"/>
            <w:r w:rsidR="00267204" w:rsidRPr="004156E4">
              <w:t>stādaudzētāj</w:t>
            </w:r>
            <w:r w:rsidR="00760D6A">
              <w:t>i</w:t>
            </w:r>
            <w:proofErr w:type="spellEnd"/>
            <w:r w:rsidR="009261DC">
              <w:t>.</w:t>
            </w:r>
          </w:p>
          <w:p w14:paraId="2202EF86" w14:textId="62D52504" w:rsidR="009261DC" w:rsidRPr="004156E4" w:rsidRDefault="009261DC" w:rsidP="00735BE2">
            <w:pPr>
              <w:jc w:val="both"/>
            </w:pPr>
            <w:r w:rsidRPr="009261DC">
              <w:t>Informācija par noteikumu projektu no 2017. gada 11. maij</w:t>
            </w:r>
            <w:r w:rsidR="008E13BE">
              <w:t>ā</w:t>
            </w:r>
            <w:r w:rsidRPr="009261DC">
              <w:t xml:space="preserve"> ievietota tīmekļvietnē </w:t>
            </w:r>
            <w:proofErr w:type="spellStart"/>
            <w:r w:rsidRPr="009261DC">
              <w:t>www.zm.gov.lv</w:t>
            </w:r>
            <w:proofErr w:type="spellEnd"/>
            <w:r w:rsidRPr="009261DC">
              <w:t xml:space="preserve"> sabiedriskajai apspriešanai</w:t>
            </w:r>
            <w:r>
              <w:t>.</w:t>
            </w:r>
          </w:p>
        </w:tc>
      </w:tr>
      <w:tr w:rsidR="00D42F6E" w:rsidRPr="008D27A6" w14:paraId="2CF7F81B" w14:textId="77777777" w:rsidTr="00CB108D">
        <w:trPr>
          <w:trHeight w:val="339"/>
          <w:jc w:val="center"/>
        </w:trPr>
        <w:tc>
          <w:tcPr>
            <w:tcW w:w="310" w:type="dxa"/>
          </w:tcPr>
          <w:p w14:paraId="075FF1AF" w14:textId="77777777" w:rsidR="00D42F6E" w:rsidRPr="00564641" w:rsidRDefault="00D42F6E" w:rsidP="00CB108D">
            <w:pPr>
              <w:pStyle w:val="naiskr"/>
              <w:spacing w:before="0" w:after="0"/>
              <w:ind w:left="57" w:right="57"/>
              <w:rPr>
                <w:bCs/>
                <w:sz w:val="22"/>
                <w:szCs w:val="22"/>
              </w:rPr>
            </w:pPr>
            <w:r w:rsidRPr="0056464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235" w:type="dxa"/>
          </w:tcPr>
          <w:p w14:paraId="06C780CC" w14:textId="77777777" w:rsidR="00D42F6E" w:rsidRPr="008D27A6" w:rsidRDefault="00D42F6E" w:rsidP="00CB108D">
            <w:pPr>
              <w:pStyle w:val="naiskr"/>
              <w:spacing w:before="0" w:after="0"/>
              <w:ind w:left="57" w:right="57"/>
              <w:rPr>
                <w:color w:val="0070C0"/>
                <w:sz w:val="22"/>
                <w:szCs w:val="22"/>
              </w:rPr>
            </w:pPr>
            <w:r w:rsidRPr="00BC331E">
              <w:t>Sabiedrības līdzdalība projekta izstrādē</w:t>
            </w:r>
          </w:p>
        </w:tc>
        <w:tc>
          <w:tcPr>
            <w:tcW w:w="6618" w:type="dxa"/>
          </w:tcPr>
          <w:p w14:paraId="0303343F" w14:textId="03F4436E" w:rsidR="00D42F6E" w:rsidRPr="007F7B52" w:rsidRDefault="000D724F">
            <w:pPr>
              <w:pStyle w:val="naiskr"/>
              <w:ind w:left="57" w:right="57"/>
              <w:jc w:val="both"/>
            </w:pPr>
            <w:r w:rsidRPr="004156E4">
              <w:t>Iespējamie tālākie risinājumi saistībā ar bakteriālās iedegas aizsargājamas zonas statusu Latvijā un papildu fitosanitāro</w:t>
            </w:r>
            <w:proofErr w:type="gramStart"/>
            <w:r w:rsidRPr="004156E4">
              <w:t xml:space="preserve">  </w:t>
            </w:r>
            <w:proofErr w:type="gramEnd"/>
            <w:r w:rsidRPr="004156E4">
              <w:t>pasākumu noteikšana atkārtotu perēkļu konstatēš</w:t>
            </w:r>
            <w:r w:rsidR="00D6670A" w:rsidRPr="004156E4">
              <w:t xml:space="preserve">anas gadījumā tika apspriesti </w:t>
            </w:r>
            <w:r w:rsidRPr="004156E4">
              <w:t xml:space="preserve">sanāksmē, kas tika organizēta kopā ar </w:t>
            </w:r>
            <w:r w:rsidR="00D6670A" w:rsidRPr="004156E4">
              <w:t xml:space="preserve">Stādu audzētāju biedrības un </w:t>
            </w:r>
            <w:r w:rsidR="00F3375D" w:rsidRPr="004156E4">
              <w:t>Augļkopju</w:t>
            </w:r>
            <w:r w:rsidR="00D6670A" w:rsidRPr="004156E4">
              <w:t xml:space="preserve">  asociācijas</w:t>
            </w:r>
            <w:r w:rsidRPr="004156E4">
              <w:t xml:space="preserve"> pārstāvjiem</w:t>
            </w:r>
            <w:r w:rsidR="00D6670A" w:rsidRPr="004156E4">
              <w:t>.</w:t>
            </w:r>
          </w:p>
        </w:tc>
      </w:tr>
      <w:tr w:rsidR="00D42F6E" w:rsidRPr="008D27A6" w14:paraId="346AFAFC" w14:textId="77777777" w:rsidTr="00CB108D">
        <w:trPr>
          <w:trHeight w:val="375"/>
          <w:jc w:val="center"/>
        </w:trPr>
        <w:tc>
          <w:tcPr>
            <w:tcW w:w="310" w:type="dxa"/>
          </w:tcPr>
          <w:p w14:paraId="3FF5E586" w14:textId="77777777" w:rsidR="00D42F6E" w:rsidRPr="005F50A1" w:rsidRDefault="00D42F6E" w:rsidP="00CB108D">
            <w:pPr>
              <w:pStyle w:val="naiskr"/>
              <w:spacing w:before="0" w:after="0"/>
              <w:ind w:left="57" w:right="57"/>
              <w:rPr>
                <w:bCs/>
                <w:sz w:val="22"/>
                <w:szCs w:val="22"/>
              </w:rPr>
            </w:pPr>
            <w:r w:rsidRPr="005F50A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235" w:type="dxa"/>
          </w:tcPr>
          <w:p w14:paraId="57731B9F" w14:textId="77777777" w:rsidR="00D42F6E" w:rsidRPr="0036557F" w:rsidRDefault="00D42F6E" w:rsidP="00CB108D">
            <w:pPr>
              <w:pStyle w:val="naiskr"/>
              <w:spacing w:before="0" w:after="0"/>
              <w:ind w:left="57" w:right="57"/>
            </w:pPr>
            <w:r w:rsidRPr="0036557F">
              <w:t>Sabiedrības līdzdalības rezultāti</w:t>
            </w:r>
          </w:p>
        </w:tc>
        <w:tc>
          <w:tcPr>
            <w:tcW w:w="6618" w:type="dxa"/>
          </w:tcPr>
          <w:p w14:paraId="37120AB9" w14:textId="27EC7AEC" w:rsidR="00D42F6E" w:rsidRDefault="000D724F" w:rsidP="000D724F">
            <w:pPr>
              <w:pStyle w:val="naiskr"/>
              <w:spacing w:before="0" w:after="0"/>
              <w:ind w:left="57" w:right="57"/>
              <w:jc w:val="both"/>
            </w:pPr>
            <w:r w:rsidRPr="0036557F">
              <w:t>Sanāksmes dalībnieki kopumā atbalstīja priekšlikumu</w:t>
            </w:r>
            <w:r w:rsidR="008E13BE">
              <w:t xml:space="preserve"> pēc</w:t>
            </w:r>
            <w:r w:rsidRPr="0036557F">
              <w:t xml:space="preserve"> </w:t>
            </w:r>
            <w:r w:rsidR="008E13BE" w:rsidRPr="0036557F">
              <w:t xml:space="preserve">bakteriālo iedegu </w:t>
            </w:r>
            <w:r w:rsidRPr="0036557F">
              <w:t>atkārtot</w:t>
            </w:r>
            <w:r w:rsidR="008E13BE">
              <w:t>as</w:t>
            </w:r>
            <w:r w:rsidRPr="0036557F">
              <w:t xml:space="preserve"> </w:t>
            </w:r>
            <w:r w:rsidR="008E13BE">
              <w:t>konstatēšanas</w:t>
            </w:r>
            <w:r w:rsidR="008E13BE" w:rsidRPr="0036557F">
              <w:t xml:space="preserve"> </w:t>
            </w:r>
            <w:r w:rsidRPr="0036557F">
              <w:t>perēklī uzdot personai</w:t>
            </w:r>
            <w:r w:rsidR="00760D6A" w:rsidRPr="0036557F">
              <w:t xml:space="preserve"> izstrādāt</w:t>
            </w:r>
            <w:r w:rsidRPr="0036557F">
              <w:t xml:space="preserve"> rīcības plānu, lai piemērotie fitosanitārie pasākumi būtu efektīvi</w:t>
            </w:r>
            <w:r w:rsidR="0036557F" w:rsidRPr="0036557F">
              <w:t>.</w:t>
            </w:r>
          </w:p>
          <w:p w14:paraId="75F789B6" w14:textId="16F9A6C6" w:rsidR="009261DC" w:rsidRPr="0036557F" w:rsidRDefault="009261DC" w:rsidP="000D724F">
            <w:pPr>
              <w:pStyle w:val="naiskr"/>
              <w:spacing w:before="0" w:after="0"/>
              <w:ind w:left="57" w:right="57"/>
              <w:jc w:val="both"/>
            </w:pPr>
            <w:r w:rsidRPr="009261DC">
              <w:t xml:space="preserve">Par tīmekļvietnē </w:t>
            </w:r>
            <w:proofErr w:type="spellStart"/>
            <w:r w:rsidRPr="009261DC">
              <w:t>www.zm.gov.lv</w:t>
            </w:r>
            <w:proofErr w:type="spellEnd"/>
            <w:r w:rsidRPr="009261DC">
              <w:t xml:space="preserve"> ievietoto noteikumu projektu iebildumi un priekšlikumi no sabiedrības netika saņemti.</w:t>
            </w:r>
          </w:p>
        </w:tc>
      </w:tr>
      <w:tr w:rsidR="00D42F6E" w:rsidRPr="008D27A6" w14:paraId="1EDB7468" w14:textId="77777777" w:rsidTr="00CB108D">
        <w:trPr>
          <w:trHeight w:val="476"/>
          <w:jc w:val="center"/>
        </w:trPr>
        <w:tc>
          <w:tcPr>
            <w:tcW w:w="310" w:type="dxa"/>
          </w:tcPr>
          <w:p w14:paraId="072B76BC" w14:textId="77777777" w:rsidR="00D42F6E" w:rsidRPr="005F50A1" w:rsidRDefault="00D42F6E" w:rsidP="00CB108D">
            <w:pPr>
              <w:pStyle w:val="naiskr"/>
              <w:spacing w:before="0" w:after="0"/>
              <w:ind w:left="57" w:right="57"/>
              <w:rPr>
                <w:bCs/>
                <w:sz w:val="22"/>
                <w:szCs w:val="22"/>
              </w:rPr>
            </w:pPr>
            <w:r w:rsidRPr="005F50A1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235" w:type="dxa"/>
          </w:tcPr>
          <w:p w14:paraId="2976ADF7" w14:textId="77777777" w:rsidR="00D42F6E" w:rsidRPr="0036557F" w:rsidRDefault="00D42F6E" w:rsidP="00CB108D">
            <w:pPr>
              <w:pStyle w:val="naiskr"/>
              <w:spacing w:before="0" w:after="0"/>
              <w:ind w:left="57" w:right="57"/>
            </w:pPr>
            <w:r w:rsidRPr="0036557F">
              <w:t>Cita informācija</w:t>
            </w:r>
          </w:p>
        </w:tc>
        <w:tc>
          <w:tcPr>
            <w:tcW w:w="6618" w:type="dxa"/>
          </w:tcPr>
          <w:p w14:paraId="48FCA1E4" w14:textId="77777777" w:rsidR="00D42F6E" w:rsidRPr="0036557F" w:rsidRDefault="00D42F6E" w:rsidP="00CB108D">
            <w:pPr>
              <w:pStyle w:val="naiskr"/>
              <w:spacing w:before="0" w:after="0"/>
              <w:ind w:left="57" w:right="57"/>
              <w:jc w:val="both"/>
            </w:pPr>
            <w:r w:rsidRPr="0036557F">
              <w:t>Nav.</w:t>
            </w:r>
          </w:p>
        </w:tc>
      </w:tr>
    </w:tbl>
    <w:p w14:paraId="75CE647C" w14:textId="77777777" w:rsidR="00D42F6E" w:rsidRDefault="00D42F6E" w:rsidP="00D42F6E">
      <w:pPr>
        <w:pStyle w:val="naisf"/>
        <w:spacing w:before="0" w:after="0"/>
        <w:rPr>
          <w:color w:val="0070C0"/>
          <w:sz w:val="28"/>
          <w:szCs w:val="28"/>
        </w:rPr>
      </w:pPr>
    </w:p>
    <w:tbl>
      <w:tblPr>
        <w:tblW w:w="10264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3312"/>
        <w:gridCol w:w="6578"/>
      </w:tblGrid>
      <w:tr w:rsidR="00D42F6E" w:rsidRPr="008D27A6" w14:paraId="20601011" w14:textId="77777777" w:rsidTr="00CB108D">
        <w:tc>
          <w:tcPr>
            <w:tcW w:w="10264" w:type="dxa"/>
            <w:gridSpan w:val="3"/>
            <w:tcBorders>
              <w:top w:val="single" w:sz="4" w:space="0" w:color="auto"/>
            </w:tcBorders>
          </w:tcPr>
          <w:p w14:paraId="09F1E80E" w14:textId="77777777" w:rsidR="00D42F6E" w:rsidRPr="005F50A1" w:rsidRDefault="00D42F6E" w:rsidP="00CB108D">
            <w:pPr>
              <w:pStyle w:val="naisnod"/>
              <w:spacing w:before="0" w:after="0"/>
              <w:ind w:left="57" w:right="57"/>
            </w:pPr>
            <w:r w:rsidRPr="005F50A1">
              <w:lastRenderedPageBreak/>
              <w:t>VII. Tiesību akta projekta izpildes nodrošināšana un tās ietekme uz institūcijām</w:t>
            </w:r>
          </w:p>
        </w:tc>
      </w:tr>
      <w:tr w:rsidR="00D42F6E" w:rsidRPr="008D27A6" w14:paraId="03588E20" w14:textId="77777777" w:rsidTr="00CB108D">
        <w:trPr>
          <w:trHeight w:val="427"/>
        </w:trPr>
        <w:tc>
          <w:tcPr>
            <w:tcW w:w="374" w:type="dxa"/>
          </w:tcPr>
          <w:p w14:paraId="205531BF" w14:textId="77777777" w:rsidR="00D42F6E" w:rsidRPr="0006354F" w:rsidRDefault="00D42F6E" w:rsidP="00CB108D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06354F">
              <w:rPr>
                <w:b w:val="0"/>
              </w:rPr>
              <w:t>1.</w:t>
            </w:r>
          </w:p>
        </w:tc>
        <w:tc>
          <w:tcPr>
            <w:tcW w:w="3312" w:type="dxa"/>
          </w:tcPr>
          <w:p w14:paraId="7F62307E" w14:textId="77777777" w:rsidR="00D42F6E" w:rsidRPr="0006354F" w:rsidRDefault="00D42F6E" w:rsidP="00CB108D">
            <w:pPr>
              <w:pStyle w:val="naisf"/>
              <w:spacing w:before="0" w:after="0"/>
              <w:ind w:left="57" w:right="57" w:firstLine="0"/>
              <w:jc w:val="left"/>
            </w:pPr>
            <w:r w:rsidRPr="0006354F">
              <w:t xml:space="preserve">Projekta izpildē iesaistītās institūcijas </w:t>
            </w:r>
          </w:p>
        </w:tc>
        <w:tc>
          <w:tcPr>
            <w:tcW w:w="6578" w:type="dxa"/>
          </w:tcPr>
          <w:p w14:paraId="74EB563E" w14:textId="77777777" w:rsidR="00D42F6E" w:rsidRPr="0006354F" w:rsidRDefault="00D42F6E" w:rsidP="00C357B8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06354F">
              <w:rPr>
                <w:b w:val="0"/>
              </w:rPr>
              <w:t>Noteikumu projekta izpildi nodrošinās Valsts augu aizsardzības dienests</w:t>
            </w:r>
            <w:r w:rsidR="00C357B8" w:rsidRPr="0006354F">
              <w:rPr>
                <w:b w:val="0"/>
              </w:rPr>
              <w:t>.</w:t>
            </w:r>
            <w:r w:rsidRPr="0006354F">
              <w:rPr>
                <w:b w:val="0"/>
              </w:rPr>
              <w:t xml:space="preserve"> </w:t>
            </w:r>
          </w:p>
        </w:tc>
      </w:tr>
      <w:tr w:rsidR="00D42F6E" w:rsidRPr="008D27A6" w14:paraId="075D5CF4" w14:textId="77777777" w:rsidTr="00CB108D">
        <w:trPr>
          <w:trHeight w:val="463"/>
        </w:trPr>
        <w:tc>
          <w:tcPr>
            <w:tcW w:w="374" w:type="dxa"/>
          </w:tcPr>
          <w:p w14:paraId="77511001" w14:textId="77777777" w:rsidR="00D42F6E" w:rsidRPr="0006354F" w:rsidRDefault="00D42F6E" w:rsidP="00CB108D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06354F">
              <w:rPr>
                <w:b w:val="0"/>
              </w:rPr>
              <w:t>2.</w:t>
            </w:r>
          </w:p>
        </w:tc>
        <w:tc>
          <w:tcPr>
            <w:tcW w:w="3312" w:type="dxa"/>
          </w:tcPr>
          <w:p w14:paraId="7BDFE0E8" w14:textId="77777777" w:rsidR="00D42F6E" w:rsidRPr="0006354F" w:rsidRDefault="00D42F6E" w:rsidP="00CB108D">
            <w:pPr>
              <w:rPr>
                <w:rFonts w:eastAsia="Calibri"/>
                <w:lang w:eastAsia="en-US"/>
              </w:rPr>
            </w:pPr>
            <w:r w:rsidRPr="0006354F">
              <w:rPr>
                <w:rFonts w:eastAsia="Calibri"/>
                <w:lang w:eastAsia="en-US"/>
              </w:rPr>
              <w:t xml:space="preserve">Projekta izpildes ietekme uz pārvaldes funkcijām un institucionālo struktūru. </w:t>
            </w:r>
          </w:p>
          <w:p w14:paraId="56C42FDF" w14:textId="77777777" w:rsidR="00D42F6E" w:rsidRPr="0006354F" w:rsidRDefault="00D42F6E" w:rsidP="00CB108D">
            <w:pPr>
              <w:pStyle w:val="naisf"/>
              <w:spacing w:before="0" w:after="0"/>
              <w:ind w:left="57" w:right="57" w:firstLine="0"/>
              <w:jc w:val="left"/>
              <w:rPr>
                <w:color w:val="0070C0"/>
              </w:rPr>
            </w:pPr>
            <w:r w:rsidRPr="0006354F">
              <w:rPr>
                <w:rFonts w:eastAsia="Calibri"/>
                <w:lang w:eastAsia="en-US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6578" w:type="dxa"/>
          </w:tcPr>
          <w:p w14:paraId="3F6D6723" w14:textId="05B1E64F" w:rsidR="00D42F6E" w:rsidRPr="0006354F" w:rsidRDefault="00D42F6E" w:rsidP="00CB108D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54F">
              <w:rPr>
                <w:rFonts w:ascii="Times New Roman" w:hAnsi="Times New Roman"/>
                <w:sz w:val="24"/>
                <w:szCs w:val="24"/>
              </w:rPr>
              <w:t>Noteikumu projekta izpilde tiks nodrošināta, pamatojoties uz esošo institūciju funkcijām.</w:t>
            </w:r>
          </w:p>
          <w:p w14:paraId="631A7D7C" w14:textId="7037EFD9" w:rsidR="00D42F6E" w:rsidRPr="0006354F" w:rsidRDefault="00D42F6E" w:rsidP="00CB108D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54F">
              <w:rPr>
                <w:rFonts w:ascii="Times New Roman" w:hAnsi="Times New Roman"/>
                <w:sz w:val="24"/>
                <w:szCs w:val="24"/>
              </w:rPr>
              <w:t xml:space="preserve">Saistībā ar </w:t>
            </w:r>
            <w:r w:rsidR="005D6AC9">
              <w:rPr>
                <w:rFonts w:ascii="Times New Roman" w:hAnsi="Times New Roman"/>
                <w:sz w:val="24"/>
                <w:szCs w:val="24"/>
              </w:rPr>
              <w:t xml:space="preserve">noteikumu </w:t>
            </w:r>
            <w:r w:rsidRPr="0006354F">
              <w:rPr>
                <w:rFonts w:ascii="Times New Roman" w:hAnsi="Times New Roman"/>
                <w:sz w:val="24"/>
                <w:szCs w:val="24"/>
              </w:rPr>
              <w:t>projekta izpildi nav nepieciešams veidot jaunas, ne ar</w:t>
            </w:r>
            <w:r w:rsidR="00B33114" w:rsidRPr="0006354F">
              <w:rPr>
                <w:rFonts w:ascii="Times New Roman" w:hAnsi="Times New Roman"/>
                <w:sz w:val="24"/>
                <w:szCs w:val="24"/>
              </w:rPr>
              <w:t>ī likvidēt vai reorganizēt esošā</w:t>
            </w:r>
            <w:r w:rsidRPr="0006354F">
              <w:rPr>
                <w:rFonts w:ascii="Times New Roman" w:hAnsi="Times New Roman"/>
                <w:sz w:val="24"/>
                <w:szCs w:val="24"/>
              </w:rPr>
              <w:t>s institūcijas.</w:t>
            </w:r>
          </w:p>
          <w:p w14:paraId="41702C39" w14:textId="4B1F0D96" w:rsidR="00D42F6E" w:rsidRPr="0006354F" w:rsidRDefault="005D6AC9" w:rsidP="00CB108D">
            <w:pPr>
              <w:pStyle w:val="Bezatstarpm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Noteikumu p</w:t>
            </w:r>
            <w:r w:rsidR="00D42F6E" w:rsidRPr="0006354F">
              <w:rPr>
                <w:rFonts w:ascii="Times New Roman" w:hAnsi="Times New Roman"/>
                <w:sz w:val="24"/>
                <w:szCs w:val="24"/>
              </w:rPr>
              <w:t xml:space="preserve">rojekta izpilde </w:t>
            </w:r>
            <w:r w:rsidR="001466FB" w:rsidRPr="0006354F">
              <w:rPr>
                <w:rFonts w:ascii="Times New Roman" w:hAnsi="Times New Roman"/>
                <w:sz w:val="24"/>
                <w:szCs w:val="24"/>
              </w:rPr>
              <w:t>ne</w:t>
            </w:r>
            <w:r w:rsidR="00D42F6E" w:rsidRPr="0006354F">
              <w:rPr>
                <w:rFonts w:ascii="Times New Roman" w:hAnsi="Times New Roman"/>
                <w:sz w:val="24"/>
                <w:szCs w:val="24"/>
              </w:rPr>
              <w:t>ietekmēs Valsts augu aizsardzības dienestam paredzamo darbu apjomu.</w:t>
            </w:r>
          </w:p>
        </w:tc>
      </w:tr>
      <w:tr w:rsidR="00D42F6E" w:rsidRPr="008D27A6" w14:paraId="6EC01348" w14:textId="77777777" w:rsidTr="00CB108D">
        <w:trPr>
          <w:trHeight w:val="211"/>
        </w:trPr>
        <w:tc>
          <w:tcPr>
            <w:tcW w:w="374" w:type="dxa"/>
          </w:tcPr>
          <w:p w14:paraId="23C3B2BE" w14:textId="77777777" w:rsidR="00D42F6E" w:rsidRPr="0006354F" w:rsidRDefault="00D42F6E" w:rsidP="00CB108D">
            <w:pPr>
              <w:pStyle w:val="naiskr"/>
              <w:spacing w:before="0" w:after="0"/>
              <w:ind w:left="57" w:right="57"/>
            </w:pPr>
            <w:r w:rsidRPr="0006354F">
              <w:t>3.</w:t>
            </w:r>
          </w:p>
        </w:tc>
        <w:tc>
          <w:tcPr>
            <w:tcW w:w="3312" w:type="dxa"/>
          </w:tcPr>
          <w:p w14:paraId="25ACDC0C" w14:textId="77777777" w:rsidR="00D42F6E" w:rsidRPr="0006354F" w:rsidRDefault="00D42F6E" w:rsidP="00CB108D">
            <w:pPr>
              <w:pStyle w:val="naiskr"/>
              <w:spacing w:before="0" w:after="0"/>
              <w:ind w:left="57" w:right="57"/>
            </w:pPr>
            <w:r w:rsidRPr="0006354F">
              <w:t>Cita informācija</w:t>
            </w:r>
          </w:p>
        </w:tc>
        <w:tc>
          <w:tcPr>
            <w:tcW w:w="6578" w:type="dxa"/>
          </w:tcPr>
          <w:p w14:paraId="73827499" w14:textId="0714C715" w:rsidR="00D42F6E" w:rsidRPr="0006354F" w:rsidRDefault="00CA7ABA" w:rsidP="00CA7ABA">
            <w:pPr>
              <w:pStyle w:val="naiskr"/>
              <w:spacing w:before="0" w:after="0"/>
              <w:ind w:left="57" w:right="57"/>
              <w:jc w:val="both"/>
            </w:pPr>
            <w:r w:rsidRPr="004A643F">
              <w:t>Izdevumus, kas radīsies, Valsts augu aizsardzības dienestam veicot paraugu laboratoriskās analīzes latentās infekcijas formas noteikšanai, segs persona</w:t>
            </w:r>
            <w:r w:rsidRPr="00B57EEA">
              <w:rPr>
                <w:iCs/>
              </w:rPr>
              <w:t>, kur</w:t>
            </w:r>
            <w:r>
              <w:rPr>
                <w:iCs/>
              </w:rPr>
              <w:t>as</w:t>
            </w:r>
            <w:r w:rsidRPr="00B57EEA">
              <w:rPr>
                <w:iCs/>
              </w:rPr>
              <w:t xml:space="preserve"> </w:t>
            </w:r>
            <w:proofErr w:type="spellStart"/>
            <w:r w:rsidRPr="00B57EEA">
              <w:rPr>
                <w:iCs/>
              </w:rPr>
              <w:t>komercdārzā</w:t>
            </w:r>
            <w:proofErr w:type="spellEnd"/>
            <w:r w:rsidRPr="00B57EEA">
              <w:rPr>
                <w:iCs/>
              </w:rPr>
              <w:t xml:space="preserve"> vai ražojošā dārzā atkārtoti konstatēta bakteriālā iedega</w:t>
            </w:r>
            <w:r w:rsidRPr="004A643F">
              <w:t>.</w:t>
            </w:r>
            <w:r>
              <w:t xml:space="preserve"> Valsts augu aizsardzības dienests notei</w:t>
            </w:r>
            <w:r w:rsidR="00171736">
              <w:t>kumu</w:t>
            </w:r>
            <w:r>
              <w:t xml:space="preserve"> projektu </w:t>
            </w:r>
            <w:r w:rsidR="00171736">
              <w:t xml:space="preserve">īstenošanu nodrošinās </w:t>
            </w:r>
            <w:r w:rsidR="003F565B">
              <w:t xml:space="preserve">no </w:t>
            </w:r>
            <w:r w:rsidR="00171736">
              <w:t>esošā budž</w:t>
            </w:r>
            <w:r>
              <w:t>eta līdzekļ</w:t>
            </w:r>
            <w:r w:rsidR="003F565B">
              <w:t>iem</w:t>
            </w:r>
            <w:r>
              <w:t>.</w:t>
            </w:r>
          </w:p>
        </w:tc>
      </w:tr>
    </w:tbl>
    <w:p w14:paraId="673E0E72" w14:textId="77777777" w:rsidR="00D42F6E" w:rsidRDefault="00D42F6E" w:rsidP="00005486">
      <w:pPr>
        <w:rPr>
          <w:color w:val="0070C0"/>
          <w:sz w:val="28"/>
          <w:szCs w:val="28"/>
        </w:rPr>
      </w:pPr>
    </w:p>
    <w:p w14:paraId="1E89C26A" w14:textId="02D4071F" w:rsidR="00CA7ABA" w:rsidRDefault="00CA7ABA" w:rsidP="00005486">
      <w:pPr>
        <w:rPr>
          <w:bCs/>
          <w:i/>
          <w:sz w:val="28"/>
          <w:szCs w:val="28"/>
        </w:rPr>
      </w:pPr>
    </w:p>
    <w:p w14:paraId="1B21F460" w14:textId="77777777" w:rsidR="00CA7ABA" w:rsidRPr="008D27A6" w:rsidRDefault="00CA7ABA" w:rsidP="00005486">
      <w:pPr>
        <w:rPr>
          <w:color w:val="0070C0"/>
          <w:sz w:val="28"/>
          <w:szCs w:val="28"/>
        </w:rPr>
      </w:pPr>
    </w:p>
    <w:p w14:paraId="579B81B9" w14:textId="1303F214" w:rsidR="0006354F" w:rsidRDefault="0006354F" w:rsidP="004D7F93">
      <w:pPr>
        <w:ind w:firstLine="720"/>
        <w:rPr>
          <w:bCs/>
          <w:sz w:val="28"/>
          <w:szCs w:val="28"/>
        </w:rPr>
      </w:pPr>
      <w:r w:rsidRPr="00885B6E">
        <w:rPr>
          <w:bCs/>
          <w:sz w:val="28"/>
          <w:szCs w:val="28"/>
        </w:rPr>
        <w:t>Zemkopības ministr</w:t>
      </w:r>
      <w:r w:rsidR="00F50039">
        <w:rPr>
          <w:bCs/>
          <w:sz w:val="28"/>
          <w:szCs w:val="28"/>
        </w:rPr>
        <w:t xml:space="preserve">a </w:t>
      </w:r>
      <w:proofErr w:type="spellStart"/>
      <w:r w:rsidR="00F50039">
        <w:rPr>
          <w:bCs/>
          <w:sz w:val="28"/>
          <w:szCs w:val="28"/>
        </w:rPr>
        <w:t>p.i</w:t>
      </w:r>
      <w:proofErr w:type="spellEnd"/>
      <w:r w:rsidR="00F50039">
        <w:rPr>
          <w:bCs/>
          <w:sz w:val="28"/>
          <w:szCs w:val="28"/>
        </w:rPr>
        <w:t>.</w:t>
      </w:r>
      <w:r w:rsidRPr="00885B6E">
        <w:rPr>
          <w:bCs/>
          <w:sz w:val="28"/>
          <w:szCs w:val="28"/>
        </w:rPr>
        <w:tab/>
      </w:r>
      <w:r w:rsidRPr="00885B6E">
        <w:rPr>
          <w:bCs/>
          <w:sz w:val="28"/>
          <w:szCs w:val="28"/>
        </w:rPr>
        <w:tab/>
      </w:r>
      <w:r w:rsidRPr="00885B6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885B6E">
        <w:rPr>
          <w:bCs/>
          <w:sz w:val="28"/>
          <w:szCs w:val="28"/>
        </w:rPr>
        <w:tab/>
      </w:r>
      <w:r w:rsidRPr="00885B6E">
        <w:rPr>
          <w:bCs/>
          <w:sz w:val="28"/>
          <w:szCs w:val="28"/>
        </w:rPr>
        <w:tab/>
      </w:r>
      <w:r w:rsidR="00F50039">
        <w:rPr>
          <w:bCs/>
          <w:sz w:val="28"/>
          <w:szCs w:val="28"/>
        </w:rPr>
        <w:t>Jānis Reirs</w:t>
      </w:r>
    </w:p>
    <w:p w14:paraId="0592E361" w14:textId="77777777" w:rsidR="004D7F93" w:rsidRDefault="004D7F93" w:rsidP="00005486">
      <w:pPr>
        <w:rPr>
          <w:bCs/>
          <w:sz w:val="28"/>
          <w:szCs w:val="28"/>
        </w:rPr>
      </w:pPr>
    </w:p>
    <w:p w14:paraId="4DF3835D" w14:textId="77777777" w:rsidR="00005486" w:rsidRDefault="00005486" w:rsidP="00005486">
      <w:pPr>
        <w:rPr>
          <w:bCs/>
          <w:sz w:val="28"/>
          <w:szCs w:val="28"/>
        </w:rPr>
      </w:pPr>
    </w:p>
    <w:p w14:paraId="6F29B104" w14:textId="62939041" w:rsidR="004D7F93" w:rsidRDefault="004D7F93" w:rsidP="004D7F93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Zemkopības ministrijas valsts sekretār</w:t>
      </w:r>
      <w:r w:rsidR="00381172">
        <w:rPr>
          <w:bCs/>
          <w:sz w:val="28"/>
          <w:szCs w:val="28"/>
        </w:rPr>
        <w:t>a</w:t>
      </w:r>
      <w:r w:rsidR="00F50039">
        <w:rPr>
          <w:bCs/>
          <w:sz w:val="28"/>
          <w:szCs w:val="28"/>
        </w:rPr>
        <w:t xml:space="preserve"> </w:t>
      </w:r>
      <w:proofErr w:type="spellStart"/>
      <w:r w:rsidR="00F50039">
        <w:rPr>
          <w:bCs/>
          <w:sz w:val="28"/>
          <w:szCs w:val="28"/>
        </w:rPr>
        <w:t>p.i</w:t>
      </w:r>
      <w:proofErr w:type="spellEnd"/>
      <w:r w:rsidR="00F5003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F50039">
        <w:rPr>
          <w:bCs/>
          <w:sz w:val="28"/>
          <w:szCs w:val="28"/>
        </w:rPr>
        <w:t>Jānis Š</w:t>
      </w:r>
      <w:r w:rsidR="00180AD8">
        <w:rPr>
          <w:bCs/>
          <w:sz w:val="28"/>
          <w:szCs w:val="28"/>
        </w:rPr>
        <w:t>n</w:t>
      </w:r>
      <w:r w:rsidR="00F50039">
        <w:rPr>
          <w:bCs/>
          <w:sz w:val="28"/>
          <w:szCs w:val="28"/>
        </w:rPr>
        <w:t>ore</w:t>
      </w:r>
    </w:p>
    <w:p w14:paraId="124AAEE5" w14:textId="77777777" w:rsidR="008E13BE" w:rsidRDefault="008E13BE" w:rsidP="0006354F">
      <w:pPr>
        <w:rPr>
          <w:bCs/>
        </w:rPr>
      </w:pPr>
    </w:p>
    <w:p w14:paraId="528D118B" w14:textId="57483BB7" w:rsidR="00005486" w:rsidRDefault="00005486" w:rsidP="0006354F">
      <w:pPr>
        <w:rPr>
          <w:bCs/>
        </w:rPr>
      </w:pPr>
    </w:p>
    <w:p w14:paraId="0927B506" w14:textId="47689286" w:rsidR="00F50039" w:rsidRDefault="00F50039" w:rsidP="0006354F">
      <w:pPr>
        <w:rPr>
          <w:bCs/>
        </w:rPr>
      </w:pPr>
    </w:p>
    <w:p w14:paraId="650CA707" w14:textId="77777777" w:rsidR="00670CDD" w:rsidRDefault="00670CDD" w:rsidP="0006354F">
      <w:pPr>
        <w:rPr>
          <w:bCs/>
        </w:rPr>
      </w:pPr>
    </w:p>
    <w:p w14:paraId="3170B739" w14:textId="77777777" w:rsidR="00670CDD" w:rsidRDefault="00670CDD" w:rsidP="0006354F">
      <w:pPr>
        <w:rPr>
          <w:bCs/>
        </w:rPr>
      </w:pPr>
    </w:p>
    <w:p w14:paraId="4C31CCF7" w14:textId="77777777" w:rsidR="00670CDD" w:rsidRDefault="00670CDD" w:rsidP="0006354F">
      <w:pPr>
        <w:rPr>
          <w:bCs/>
        </w:rPr>
      </w:pPr>
    </w:p>
    <w:p w14:paraId="2D90EF9B" w14:textId="77777777" w:rsidR="00670CDD" w:rsidRDefault="00670CDD" w:rsidP="0006354F">
      <w:pPr>
        <w:rPr>
          <w:bCs/>
        </w:rPr>
      </w:pPr>
    </w:p>
    <w:p w14:paraId="2C44D8EA" w14:textId="77777777" w:rsidR="00670CDD" w:rsidRDefault="00670CDD" w:rsidP="0006354F">
      <w:pPr>
        <w:rPr>
          <w:bCs/>
        </w:rPr>
      </w:pPr>
    </w:p>
    <w:p w14:paraId="6842470C" w14:textId="77777777" w:rsidR="00670CDD" w:rsidRDefault="00670CDD" w:rsidP="0006354F">
      <w:pPr>
        <w:rPr>
          <w:bCs/>
        </w:rPr>
      </w:pPr>
      <w:bookmarkStart w:id="0" w:name="_GoBack"/>
      <w:bookmarkEnd w:id="0"/>
    </w:p>
    <w:p w14:paraId="11C9EACF" w14:textId="77777777" w:rsidR="00F50039" w:rsidRPr="00735BE2" w:rsidRDefault="00F50039" w:rsidP="0006354F">
      <w:pPr>
        <w:rPr>
          <w:bCs/>
        </w:rPr>
      </w:pPr>
    </w:p>
    <w:p w14:paraId="26032A8E" w14:textId="77777777" w:rsidR="00E951E9" w:rsidRPr="00057209" w:rsidRDefault="00E951E9" w:rsidP="00E951E9">
      <w:pPr>
        <w:jc w:val="both"/>
      </w:pPr>
      <w:r>
        <w:t>Blūma</w:t>
      </w:r>
      <w:r w:rsidRPr="00057209">
        <w:t xml:space="preserve"> </w:t>
      </w:r>
      <w:r>
        <w:t>67027314</w:t>
      </w:r>
    </w:p>
    <w:p w14:paraId="6284630C" w14:textId="07FB88B6" w:rsidR="00E951E9" w:rsidRPr="00057209" w:rsidRDefault="00E951E9" w:rsidP="00E951E9">
      <w:pPr>
        <w:jc w:val="both"/>
      </w:pPr>
      <w:r>
        <w:t>iveta.bluma</w:t>
      </w:r>
      <w:r w:rsidRPr="00057209">
        <w:t>@vaad.gov.lv</w:t>
      </w:r>
    </w:p>
    <w:p w14:paraId="20A916E8" w14:textId="304A1B39" w:rsidR="00836E43" w:rsidRPr="008E13BE" w:rsidRDefault="00836E43" w:rsidP="00E951E9">
      <w:pPr>
        <w:pStyle w:val="Standard"/>
        <w:tabs>
          <w:tab w:val="left" w:pos="6660"/>
        </w:tabs>
        <w:jc w:val="both"/>
      </w:pPr>
    </w:p>
    <w:sectPr w:rsidR="00836E43" w:rsidRPr="008E13BE" w:rsidSect="004D7F93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38867" w14:textId="77777777" w:rsidR="00585455" w:rsidRDefault="00585455">
      <w:r>
        <w:separator/>
      </w:r>
    </w:p>
  </w:endnote>
  <w:endnote w:type="continuationSeparator" w:id="0">
    <w:p w14:paraId="667D1F9E" w14:textId="77777777" w:rsidR="00585455" w:rsidRDefault="0058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6C87B" w14:textId="63B9AC1C" w:rsidR="00F41A9C" w:rsidRPr="00670CDD" w:rsidRDefault="00670CDD" w:rsidP="00670CDD">
    <w:pPr>
      <w:pStyle w:val="Kjene"/>
    </w:pPr>
    <w:r w:rsidRPr="00670CDD">
      <w:rPr>
        <w:sz w:val="20"/>
        <w:szCs w:val="20"/>
      </w:rPr>
      <w:t>ZManot_251017_Erwinia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68318" w14:textId="5ADF7B95" w:rsidR="00F41A9C" w:rsidRPr="00670CDD" w:rsidRDefault="00670CDD" w:rsidP="00670CDD">
    <w:pPr>
      <w:pStyle w:val="Kjene"/>
    </w:pPr>
    <w:r w:rsidRPr="00670CDD">
      <w:rPr>
        <w:sz w:val="20"/>
        <w:szCs w:val="20"/>
      </w:rPr>
      <w:t>ZManot_251017_Erwinia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0B14D" w14:textId="77777777" w:rsidR="00585455" w:rsidRDefault="00585455">
      <w:r>
        <w:separator/>
      </w:r>
    </w:p>
  </w:footnote>
  <w:footnote w:type="continuationSeparator" w:id="0">
    <w:p w14:paraId="239635F1" w14:textId="77777777" w:rsidR="00585455" w:rsidRDefault="00585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E1853" w14:textId="77777777" w:rsidR="00F41A9C" w:rsidRDefault="00F41A9C" w:rsidP="00CB108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D681F5E" w14:textId="77777777" w:rsidR="00F41A9C" w:rsidRDefault="00F41A9C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AC873" w14:textId="7790D2A8" w:rsidR="00F41A9C" w:rsidRDefault="00F41A9C" w:rsidP="00CB108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70CDD">
      <w:rPr>
        <w:rStyle w:val="Lappusesnumurs"/>
        <w:noProof/>
      </w:rPr>
      <w:t>4</w:t>
    </w:r>
    <w:r>
      <w:rPr>
        <w:rStyle w:val="Lappusesnumurs"/>
      </w:rPr>
      <w:fldChar w:fldCharType="end"/>
    </w:r>
  </w:p>
  <w:p w14:paraId="43F8850C" w14:textId="77777777" w:rsidR="00F41A9C" w:rsidRDefault="00F41A9C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15F8"/>
    <w:multiLevelType w:val="hybridMultilevel"/>
    <w:tmpl w:val="FC340E3E"/>
    <w:lvl w:ilvl="0" w:tplc="0426000F">
      <w:start w:val="1"/>
      <w:numFmt w:val="decimal"/>
      <w:lvlText w:val="%1.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7EA5A6B"/>
    <w:multiLevelType w:val="hybridMultilevel"/>
    <w:tmpl w:val="F762236C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E741BF3"/>
    <w:multiLevelType w:val="hybridMultilevel"/>
    <w:tmpl w:val="7A5A3AD4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D5E3E"/>
    <w:multiLevelType w:val="hybridMultilevel"/>
    <w:tmpl w:val="C5C2576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94F31"/>
    <w:multiLevelType w:val="hybridMultilevel"/>
    <w:tmpl w:val="888E4DA6"/>
    <w:lvl w:ilvl="0" w:tplc="43964E7E">
      <w:start w:val="1"/>
      <w:numFmt w:val="decimal"/>
      <w:lvlText w:val="%1)"/>
      <w:lvlJc w:val="left"/>
      <w:pPr>
        <w:ind w:left="576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2D06F37"/>
    <w:multiLevelType w:val="hybridMultilevel"/>
    <w:tmpl w:val="9562761E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BA3180"/>
    <w:multiLevelType w:val="hybridMultilevel"/>
    <w:tmpl w:val="717C16A8"/>
    <w:lvl w:ilvl="0" w:tplc="1D4435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AE17ABF"/>
    <w:multiLevelType w:val="hybridMultilevel"/>
    <w:tmpl w:val="A61649DC"/>
    <w:lvl w:ilvl="0" w:tplc="A3486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752B0B"/>
    <w:multiLevelType w:val="hybridMultilevel"/>
    <w:tmpl w:val="C9E6F7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F5546"/>
    <w:multiLevelType w:val="hybridMultilevel"/>
    <w:tmpl w:val="8B8E5882"/>
    <w:lvl w:ilvl="0" w:tplc="5A026378">
      <w:start w:val="1"/>
      <w:numFmt w:val="decimal"/>
      <w:lvlText w:val="%1)"/>
      <w:lvlJc w:val="left"/>
      <w:pPr>
        <w:ind w:left="1035" w:hanging="10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C9058EF"/>
    <w:multiLevelType w:val="hybridMultilevel"/>
    <w:tmpl w:val="3AE03766"/>
    <w:lvl w:ilvl="0" w:tplc="EC7CE90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5E693095"/>
    <w:multiLevelType w:val="multilevel"/>
    <w:tmpl w:val="CC28D60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BFC7A8A"/>
    <w:multiLevelType w:val="hybridMultilevel"/>
    <w:tmpl w:val="B9BC1632"/>
    <w:lvl w:ilvl="0" w:tplc="5C52088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79DB0E07"/>
    <w:multiLevelType w:val="hybridMultilevel"/>
    <w:tmpl w:val="B2A62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D2144"/>
    <w:multiLevelType w:val="hybridMultilevel"/>
    <w:tmpl w:val="777C3EE8"/>
    <w:lvl w:ilvl="0" w:tplc="0426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2"/>
  </w:num>
  <w:num w:numId="13">
    <w:abstractNumId w:val="7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6E"/>
    <w:rsid w:val="00001CED"/>
    <w:rsid w:val="00005486"/>
    <w:rsid w:val="00006E60"/>
    <w:rsid w:val="00015A1D"/>
    <w:rsid w:val="00016B3A"/>
    <w:rsid w:val="00023CB4"/>
    <w:rsid w:val="0006354F"/>
    <w:rsid w:val="00097F8B"/>
    <w:rsid w:val="000A671A"/>
    <w:rsid w:val="000D724F"/>
    <w:rsid w:val="00107B89"/>
    <w:rsid w:val="00107BA0"/>
    <w:rsid w:val="001117D9"/>
    <w:rsid w:val="00125D85"/>
    <w:rsid w:val="001466FB"/>
    <w:rsid w:val="00171736"/>
    <w:rsid w:val="00177347"/>
    <w:rsid w:val="00180AD8"/>
    <w:rsid w:val="00181D85"/>
    <w:rsid w:val="00187093"/>
    <w:rsid w:val="001A3D56"/>
    <w:rsid w:val="002329AA"/>
    <w:rsid w:val="002471FB"/>
    <w:rsid w:val="0025226F"/>
    <w:rsid w:val="002555AD"/>
    <w:rsid w:val="00260DED"/>
    <w:rsid w:val="00267204"/>
    <w:rsid w:val="0028528E"/>
    <w:rsid w:val="00285A0F"/>
    <w:rsid w:val="002B26BC"/>
    <w:rsid w:val="002B2A1F"/>
    <w:rsid w:val="002B2DD9"/>
    <w:rsid w:val="002B40FD"/>
    <w:rsid w:val="002B5662"/>
    <w:rsid w:val="002C2C89"/>
    <w:rsid w:val="002D66ED"/>
    <w:rsid w:val="00331C8D"/>
    <w:rsid w:val="00332B44"/>
    <w:rsid w:val="0036557F"/>
    <w:rsid w:val="003738E4"/>
    <w:rsid w:val="00381172"/>
    <w:rsid w:val="003A2802"/>
    <w:rsid w:val="003A466F"/>
    <w:rsid w:val="003A716D"/>
    <w:rsid w:val="003C15EC"/>
    <w:rsid w:val="003F565B"/>
    <w:rsid w:val="004133D5"/>
    <w:rsid w:val="00414A3E"/>
    <w:rsid w:val="004156E4"/>
    <w:rsid w:val="004311A8"/>
    <w:rsid w:val="00450CBB"/>
    <w:rsid w:val="00465B45"/>
    <w:rsid w:val="00481E8B"/>
    <w:rsid w:val="0048596F"/>
    <w:rsid w:val="0049495F"/>
    <w:rsid w:val="004A643F"/>
    <w:rsid w:val="004B0BF0"/>
    <w:rsid w:val="004C3C10"/>
    <w:rsid w:val="004D7F93"/>
    <w:rsid w:val="004F3124"/>
    <w:rsid w:val="005073F4"/>
    <w:rsid w:val="00522382"/>
    <w:rsid w:val="00532ECB"/>
    <w:rsid w:val="005514DE"/>
    <w:rsid w:val="00551AD6"/>
    <w:rsid w:val="00563990"/>
    <w:rsid w:val="005706C6"/>
    <w:rsid w:val="00580918"/>
    <w:rsid w:val="00585455"/>
    <w:rsid w:val="005C491A"/>
    <w:rsid w:val="005D4976"/>
    <w:rsid w:val="005D6AC9"/>
    <w:rsid w:val="005E28DF"/>
    <w:rsid w:val="005E6CD8"/>
    <w:rsid w:val="005E705C"/>
    <w:rsid w:val="00610D3D"/>
    <w:rsid w:val="006304A3"/>
    <w:rsid w:val="0063369E"/>
    <w:rsid w:val="00645AC3"/>
    <w:rsid w:val="00670CDD"/>
    <w:rsid w:val="0069495B"/>
    <w:rsid w:val="006A49C0"/>
    <w:rsid w:val="0071319F"/>
    <w:rsid w:val="0072301E"/>
    <w:rsid w:val="00735BE2"/>
    <w:rsid w:val="00760D6A"/>
    <w:rsid w:val="007671B8"/>
    <w:rsid w:val="00794D2C"/>
    <w:rsid w:val="007D2099"/>
    <w:rsid w:val="007E0578"/>
    <w:rsid w:val="00803131"/>
    <w:rsid w:val="00836E43"/>
    <w:rsid w:val="00847229"/>
    <w:rsid w:val="008B4964"/>
    <w:rsid w:val="008B526A"/>
    <w:rsid w:val="008E13BE"/>
    <w:rsid w:val="00910A0C"/>
    <w:rsid w:val="009261DC"/>
    <w:rsid w:val="00943E9F"/>
    <w:rsid w:val="00987130"/>
    <w:rsid w:val="00994F1D"/>
    <w:rsid w:val="009D4BC4"/>
    <w:rsid w:val="009E4000"/>
    <w:rsid w:val="009F0E74"/>
    <w:rsid w:val="00A240CC"/>
    <w:rsid w:val="00A26326"/>
    <w:rsid w:val="00A52C04"/>
    <w:rsid w:val="00A5336A"/>
    <w:rsid w:val="00A86E9D"/>
    <w:rsid w:val="00AE7AA0"/>
    <w:rsid w:val="00B01769"/>
    <w:rsid w:val="00B031F9"/>
    <w:rsid w:val="00B33114"/>
    <w:rsid w:val="00B33C19"/>
    <w:rsid w:val="00B52502"/>
    <w:rsid w:val="00B57EEA"/>
    <w:rsid w:val="00B92F18"/>
    <w:rsid w:val="00BD33FC"/>
    <w:rsid w:val="00BE6005"/>
    <w:rsid w:val="00C357B8"/>
    <w:rsid w:val="00C3648A"/>
    <w:rsid w:val="00C52585"/>
    <w:rsid w:val="00C628B6"/>
    <w:rsid w:val="00C65C0F"/>
    <w:rsid w:val="00C71869"/>
    <w:rsid w:val="00C738F4"/>
    <w:rsid w:val="00CA7ABA"/>
    <w:rsid w:val="00CB108D"/>
    <w:rsid w:val="00CB1AA4"/>
    <w:rsid w:val="00CC72CE"/>
    <w:rsid w:val="00CE35BF"/>
    <w:rsid w:val="00CE751E"/>
    <w:rsid w:val="00CE78DB"/>
    <w:rsid w:val="00D1259E"/>
    <w:rsid w:val="00D42F6E"/>
    <w:rsid w:val="00D6670A"/>
    <w:rsid w:val="00D7054C"/>
    <w:rsid w:val="00D804B3"/>
    <w:rsid w:val="00DA2513"/>
    <w:rsid w:val="00DC542A"/>
    <w:rsid w:val="00DC78DD"/>
    <w:rsid w:val="00DE0D6F"/>
    <w:rsid w:val="00DF6219"/>
    <w:rsid w:val="00E01135"/>
    <w:rsid w:val="00E156F9"/>
    <w:rsid w:val="00E60BBA"/>
    <w:rsid w:val="00E746E1"/>
    <w:rsid w:val="00E87B62"/>
    <w:rsid w:val="00E924BC"/>
    <w:rsid w:val="00E951E9"/>
    <w:rsid w:val="00EB5BE0"/>
    <w:rsid w:val="00EC35DB"/>
    <w:rsid w:val="00F312D9"/>
    <w:rsid w:val="00F3375D"/>
    <w:rsid w:val="00F41A9C"/>
    <w:rsid w:val="00F50039"/>
    <w:rsid w:val="00F76008"/>
    <w:rsid w:val="00FB7D1F"/>
    <w:rsid w:val="00FE16A3"/>
    <w:rsid w:val="00FE4F69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B4E532"/>
  <w15:docId w15:val="{40B4BB1D-1A4C-46ED-8171-A8F8C53D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42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D42F6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D42F6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D42F6E"/>
  </w:style>
  <w:style w:type="paragraph" w:customStyle="1" w:styleId="naisf">
    <w:name w:val="naisf"/>
    <w:basedOn w:val="Parasts"/>
    <w:rsid w:val="00D42F6E"/>
    <w:pPr>
      <w:spacing w:before="75" w:after="75"/>
      <w:ind w:firstLine="375"/>
      <w:jc w:val="both"/>
    </w:pPr>
  </w:style>
  <w:style w:type="paragraph" w:customStyle="1" w:styleId="naisnod">
    <w:name w:val="naisnod"/>
    <w:basedOn w:val="Parasts"/>
    <w:rsid w:val="00D42F6E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s"/>
    <w:rsid w:val="00D42F6E"/>
    <w:pPr>
      <w:spacing w:before="75" w:after="75"/>
      <w:jc w:val="right"/>
    </w:pPr>
  </w:style>
  <w:style w:type="paragraph" w:customStyle="1" w:styleId="naiskr">
    <w:name w:val="naiskr"/>
    <w:basedOn w:val="Parasts"/>
    <w:rsid w:val="00D42F6E"/>
    <w:pPr>
      <w:spacing w:before="75" w:after="75"/>
    </w:pPr>
  </w:style>
  <w:style w:type="table" w:styleId="Reatabula">
    <w:name w:val="Table Grid"/>
    <w:basedOn w:val="Parastatabula"/>
    <w:rsid w:val="00D42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semiHidden/>
    <w:rsid w:val="00D42F6E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semiHidden/>
    <w:rsid w:val="00D42F6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jene">
    <w:name w:val="footer"/>
    <w:basedOn w:val="Parasts"/>
    <w:link w:val="KjeneRakstz"/>
    <w:rsid w:val="00D42F6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42F6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rsid w:val="00D42F6E"/>
    <w:pPr>
      <w:spacing w:before="75" w:after="75"/>
    </w:pPr>
  </w:style>
  <w:style w:type="paragraph" w:customStyle="1" w:styleId="naispant">
    <w:name w:val="naispant"/>
    <w:basedOn w:val="Parasts"/>
    <w:rsid w:val="00D42F6E"/>
    <w:pPr>
      <w:spacing w:before="75" w:after="75"/>
      <w:ind w:left="375" w:firstLine="375"/>
      <w:jc w:val="both"/>
    </w:pPr>
    <w:rPr>
      <w:b/>
      <w:bCs/>
    </w:rPr>
  </w:style>
  <w:style w:type="paragraph" w:customStyle="1" w:styleId="naisc">
    <w:name w:val="naisc"/>
    <w:basedOn w:val="Parasts"/>
    <w:rsid w:val="00D42F6E"/>
    <w:pPr>
      <w:spacing w:before="75" w:after="75"/>
      <w:jc w:val="center"/>
    </w:pPr>
  </w:style>
  <w:style w:type="paragraph" w:customStyle="1" w:styleId="CharChar">
    <w:name w:val="Char Char"/>
    <w:basedOn w:val="Parasts"/>
    <w:rsid w:val="00D42F6E"/>
    <w:pPr>
      <w:spacing w:before="40"/>
    </w:pPr>
    <w:rPr>
      <w:lang w:val="pl-PL" w:eastAsia="pl-PL"/>
    </w:rPr>
  </w:style>
  <w:style w:type="character" w:styleId="Komentraatsauce">
    <w:name w:val="annotation reference"/>
    <w:rsid w:val="00D42F6E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42F6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42F6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rsid w:val="00D42F6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42F6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rsid w:val="00D42F6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42F6E"/>
    <w:rPr>
      <w:rFonts w:ascii="Tahoma" w:eastAsia="Times New Roman" w:hAnsi="Tahoma" w:cs="Tahoma"/>
      <w:sz w:val="16"/>
      <w:szCs w:val="16"/>
      <w:lang w:eastAsia="lv-LV"/>
    </w:rPr>
  </w:style>
  <w:style w:type="paragraph" w:styleId="Pamattekstsaratkpi">
    <w:name w:val="Body Text Indent"/>
    <w:basedOn w:val="Parasts"/>
    <w:link w:val="PamattekstsaratkpiRakstz"/>
    <w:rsid w:val="00D42F6E"/>
    <w:pPr>
      <w:ind w:firstLine="720"/>
      <w:jc w:val="both"/>
    </w:pPr>
    <w:rPr>
      <w:sz w:val="28"/>
      <w:szCs w:val="20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D42F6E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ezatstarpm">
    <w:name w:val="No Spacing"/>
    <w:uiPriority w:val="99"/>
    <w:qFormat/>
    <w:rsid w:val="00D42F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vhtml">
    <w:name w:val="tv_html"/>
    <w:rsid w:val="00D42F6E"/>
  </w:style>
  <w:style w:type="character" w:styleId="Hipersaite">
    <w:name w:val="Hyperlink"/>
    <w:rsid w:val="00D42F6E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C71869"/>
    <w:pPr>
      <w:ind w:left="720"/>
      <w:contextualSpacing/>
    </w:pPr>
  </w:style>
  <w:style w:type="paragraph" w:customStyle="1" w:styleId="Standard">
    <w:name w:val="Standard"/>
    <w:rsid w:val="0006354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37F1B-E113-48C6-89B9-3FACBB6E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7392</Words>
  <Characters>4214</Characters>
  <Application>Microsoft Office Word</Application>
  <DocSecurity>0</DocSecurity>
  <Lines>35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2008.gada 21.jūlija noteikumos Nr.575 „Bakteriālās iedegas apkarošanas un izplatības ierobežošanas kārtība”</vt:lpstr>
      <vt:lpstr>Grozījumi Ministru kabineta 2008.gada 21.jūlija noteikumos Nr.575 „Bakteriālās iedegas apkarošanas un izplatības ierobežošanas kārtība”</vt:lpstr>
    </vt:vector>
  </TitlesOfParts>
  <Company>Zemkopības Ministrija</Company>
  <LinksUpToDate>false</LinksUpToDate>
  <CharactersWithSpaces>11583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2008.gada 21.jūlija noteikumos Nr.575 „Bakteriālās iedegas apkarošanas un izplatības ierobežošanas kārtība”</dc:title>
  <dc:subject>anotācija</dc:subject>
  <dc:creator>Iveta Blūma</dc:creator>
  <dc:description>Blūma 67027314_x000d_
iveta.bluma@vaad.gov.lv</dc:description>
  <cp:lastModifiedBy>Sanita Žagare</cp:lastModifiedBy>
  <cp:revision>3</cp:revision>
  <cp:lastPrinted>2016-02-24T09:20:00Z</cp:lastPrinted>
  <dcterms:created xsi:type="dcterms:W3CDTF">2017-10-26T07:26:00Z</dcterms:created>
  <dcterms:modified xsi:type="dcterms:W3CDTF">2017-10-26T07:50:00Z</dcterms:modified>
</cp:coreProperties>
</file>