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358D5" w14:textId="11718EBD" w:rsidR="00540344" w:rsidRPr="00EC247F" w:rsidRDefault="00540344" w:rsidP="00540344">
      <w:pPr>
        <w:spacing w:after="0" w:line="240" w:lineRule="auto"/>
        <w:ind w:firstLine="709"/>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Pr="00EC247F">
        <w:rPr>
          <w:rFonts w:ascii="Times New Roman" w:eastAsia="Times New Roman" w:hAnsi="Times New Roman" w:cs="Times New Roman"/>
          <w:sz w:val="28"/>
          <w:szCs w:val="28"/>
          <w:lang w:eastAsia="lv-LV"/>
        </w:rPr>
        <w:t>. pielikums</w:t>
      </w:r>
    </w:p>
    <w:p w14:paraId="4983C430" w14:textId="77777777" w:rsidR="00540344" w:rsidRPr="00EC247F" w:rsidRDefault="00540344" w:rsidP="00540344">
      <w:pPr>
        <w:spacing w:after="0" w:line="240" w:lineRule="auto"/>
        <w:ind w:firstLine="709"/>
        <w:jc w:val="right"/>
        <w:rPr>
          <w:rFonts w:ascii="Times New Roman" w:eastAsia="Times New Roman" w:hAnsi="Times New Roman" w:cs="Times New Roman"/>
          <w:sz w:val="28"/>
          <w:szCs w:val="28"/>
          <w:lang w:eastAsia="lv-LV"/>
        </w:rPr>
      </w:pPr>
      <w:r w:rsidRPr="00EC247F">
        <w:rPr>
          <w:rFonts w:ascii="Times New Roman" w:eastAsia="Times New Roman" w:hAnsi="Times New Roman" w:cs="Times New Roman"/>
          <w:sz w:val="28"/>
          <w:szCs w:val="28"/>
          <w:lang w:eastAsia="lv-LV"/>
        </w:rPr>
        <w:t>Ministru kabineta</w:t>
      </w:r>
    </w:p>
    <w:p w14:paraId="5F0A32FD" w14:textId="0CA7111A" w:rsidR="00540344" w:rsidRPr="00EC247F" w:rsidRDefault="00540344" w:rsidP="00540344">
      <w:pPr>
        <w:spacing w:after="0" w:line="240" w:lineRule="auto"/>
        <w:jc w:val="right"/>
        <w:rPr>
          <w:rFonts w:ascii="Times New Roman" w:hAnsi="Times New Roman" w:cs="Times New Roman"/>
          <w:sz w:val="28"/>
          <w:szCs w:val="28"/>
        </w:rPr>
      </w:pPr>
      <w:r w:rsidRPr="00EC247F">
        <w:rPr>
          <w:rFonts w:ascii="Times New Roman" w:hAnsi="Times New Roman" w:cs="Times New Roman"/>
          <w:sz w:val="28"/>
          <w:szCs w:val="28"/>
        </w:rPr>
        <w:t xml:space="preserve">2017. gada </w:t>
      </w:r>
      <w:r w:rsidR="00B64AB7">
        <w:rPr>
          <w:rFonts w:ascii="Times New Roman" w:eastAsia="Times New Roman" w:hAnsi="Times New Roman" w:cs="Times New Roman"/>
          <w:sz w:val="28"/>
          <w:szCs w:val="28"/>
          <w:lang w:eastAsia="lv-LV"/>
        </w:rPr>
        <w:t>14. novembr</w:t>
      </w:r>
      <w:r w:rsidR="00B64AB7">
        <w:rPr>
          <w:rFonts w:ascii="Times New Roman" w:eastAsia="Times New Roman" w:hAnsi="Times New Roman" w:cs="Times New Roman"/>
          <w:sz w:val="28"/>
          <w:szCs w:val="28"/>
          <w:lang w:eastAsia="lv-LV"/>
        </w:rPr>
        <w:t>a</w:t>
      </w:r>
    </w:p>
    <w:p w14:paraId="2552EDAD" w14:textId="103FFA29" w:rsidR="00540344" w:rsidRPr="00EC247F" w:rsidRDefault="00540344" w:rsidP="00540344">
      <w:pPr>
        <w:spacing w:after="0" w:line="240" w:lineRule="auto"/>
        <w:jc w:val="right"/>
        <w:rPr>
          <w:rFonts w:ascii="Times New Roman" w:hAnsi="Times New Roman" w:cs="Times New Roman"/>
          <w:sz w:val="28"/>
          <w:szCs w:val="28"/>
        </w:rPr>
      </w:pPr>
      <w:r w:rsidRPr="00EC247F">
        <w:rPr>
          <w:rFonts w:ascii="Times New Roman" w:hAnsi="Times New Roman" w:cs="Times New Roman"/>
          <w:sz w:val="28"/>
          <w:szCs w:val="28"/>
        </w:rPr>
        <w:t>noteikumiem Nr. </w:t>
      </w:r>
      <w:r w:rsidR="00B64AB7">
        <w:rPr>
          <w:rFonts w:ascii="Times New Roman" w:hAnsi="Times New Roman" w:cs="Times New Roman"/>
          <w:sz w:val="28"/>
          <w:szCs w:val="28"/>
        </w:rPr>
        <w:t>671</w:t>
      </w:r>
      <w:bookmarkStart w:id="0" w:name="_GoBack"/>
      <w:bookmarkEnd w:id="0"/>
    </w:p>
    <w:p w14:paraId="6B3E9447" w14:textId="77777777" w:rsidR="00EC4C87" w:rsidRPr="00EC4C87" w:rsidRDefault="00EC4C87" w:rsidP="00AB4C06">
      <w:pPr>
        <w:spacing w:after="0" w:line="240" w:lineRule="auto"/>
        <w:ind w:left="283"/>
        <w:jc w:val="right"/>
        <w:rPr>
          <w:rFonts w:ascii="Times New Roman" w:eastAsia="Times New Roman" w:hAnsi="Times New Roman" w:cs="Times New Roman"/>
          <w:noProof/>
          <w:sz w:val="28"/>
          <w:szCs w:val="28"/>
        </w:rPr>
      </w:pPr>
    </w:p>
    <w:p w14:paraId="6B3E9448" w14:textId="407591AC" w:rsidR="00EC4C87" w:rsidRPr="00AB4C06" w:rsidRDefault="0056760D" w:rsidP="00AB4C06">
      <w:pPr>
        <w:spacing w:after="0" w:line="240" w:lineRule="auto"/>
        <w:ind w:left="283"/>
        <w:jc w:val="center"/>
        <w:rPr>
          <w:rFonts w:ascii="Times New Roman" w:eastAsia="Times New Roman" w:hAnsi="Times New Roman" w:cs="Times New Roman"/>
          <w:b/>
          <w:bCs/>
          <w:noProof/>
          <w:sz w:val="28"/>
          <w:szCs w:val="28"/>
        </w:rPr>
      </w:pPr>
      <w:bookmarkStart w:id="1" w:name="277235"/>
      <w:bookmarkStart w:id="2" w:name="566090"/>
      <w:bookmarkEnd w:id="1"/>
      <w:bookmarkEnd w:id="2"/>
      <w:r w:rsidRPr="00AB4C06">
        <w:rPr>
          <w:rFonts w:ascii="Times New Roman" w:eastAsia="Times New Roman" w:hAnsi="Times New Roman" w:cs="Times New Roman"/>
          <w:b/>
          <w:bCs/>
          <w:noProof/>
          <w:sz w:val="28"/>
          <w:szCs w:val="28"/>
        </w:rPr>
        <w:t>Radioaktīvo vielu rādītāju monitorings</w:t>
      </w:r>
    </w:p>
    <w:p w14:paraId="796255F0" w14:textId="77777777" w:rsidR="00AB4C06" w:rsidRDefault="00AB4C06" w:rsidP="00AB4C06">
      <w:pPr>
        <w:spacing w:after="0" w:line="240" w:lineRule="auto"/>
        <w:ind w:left="283"/>
        <w:jc w:val="center"/>
        <w:rPr>
          <w:rFonts w:ascii="Times New Roman" w:eastAsia="Times New Roman" w:hAnsi="Times New Roman" w:cs="Times New Roman"/>
          <w:b/>
          <w:bCs/>
          <w:noProof/>
          <w:sz w:val="24"/>
          <w:szCs w:val="24"/>
        </w:rPr>
      </w:pPr>
    </w:p>
    <w:p w14:paraId="6B3E9449" w14:textId="03B20F67" w:rsidR="0056760D" w:rsidRPr="00EB2036" w:rsidRDefault="00D75BF5" w:rsidP="00EB2036">
      <w:pPr>
        <w:spacing w:after="0" w:line="240" w:lineRule="auto"/>
        <w:ind w:firstLine="709"/>
        <w:rPr>
          <w:rFonts w:ascii="Times New Roman" w:eastAsia="Times New Roman" w:hAnsi="Times New Roman" w:cs="Times New Roman"/>
          <w:bCs/>
          <w:noProof/>
          <w:sz w:val="28"/>
          <w:szCs w:val="28"/>
        </w:rPr>
      </w:pPr>
      <w:r w:rsidRPr="00EB2036">
        <w:rPr>
          <w:rFonts w:ascii="Times New Roman" w:eastAsia="Times New Roman" w:hAnsi="Times New Roman" w:cs="Times New Roman"/>
          <w:bCs/>
          <w:noProof/>
          <w:sz w:val="28"/>
          <w:szCs w:val="28"/>
        </w:rPr>
        <w:t>1. </w:t>
      </w:r>
      <w:r w:rsidR="0056760D" w:rsidRPr="00EB2036">
        <w:rPr>
          <w:rFonts w:ascii="Times New Roman" w:eastAsia="Times New Roman" w:hAnsi="Times New Roman" w:cs="Times New Roman"/>
          <w:bCs/>
          <w:noProof/>
          <w:sz w:val="28"/>
          <w:szCs w:val="28"/>
        </w:rPr>
        <w:t>Nosakāmie radioaktīvo vielu rādītāji dzeramajā ūdenī</w:t>
      </w:r>
    </w:p>
    <w:p w14:paraId="6B3E944A" w14:textId="77777777" w:rsidR="0056760D" w:rsidRDefault="0056760D" w:rsidP="00AB4C06">
      <w:pPr>
        <w:pStyle w:val="ListParagraph"/>
        <w:spacing w:after="0" w:line="240" w:lineRule="auto"/>
        <w:ind w:left="643"/>
        <w:contextualSpacing w:val="0"/>
        <w:rPr>
          <w:rFonts w:ascii="Times New Roman" w:eastAsia="Times New Roman" w:hAnsi="Times New Roman" w:cs="Times New Roman"/>
          <w:bCs/>
          <w:noProof/>
          <w:sz w:val="24"/>
          <w:szCs w:val="24"/>
        </w:rPr>
      </w:pPr>
    </w:p>
    <w:tbl>
      <w:tblPr>
        <w:tblStyle w:val="TableGrid"/>
        <w:tblW w:w="9214" w:type="dxa"/>
        <w:tblInd w:w="108" w:type="dxa"/>
        <w:tblLook w:val="04A0" w:firstRow="1" w:lastRow="0" w:firstColumn="1" w:lastColumn="0" w:noHBand="0" w:noVBand="1"/>
      </w:tblPr>
      <w:tblGrid>
        <w:gridCol w:w="890"/>
        <w:gridCol w:w="1378"/>
        <w:gridCol w:w="1843"/>
        <w:gridCol w:w="5103"/>
      </w:tblGrid>
      <w:tr w:rsidR="0056760D" w14:paraId="6B3E944F" w14:textId="77777777" w:rsidTr="00EB2036">
        <w:tc>
          <w:tcPr>
            <w:tcW w:w="890" w:type="dxa"/>
            <w:vAlign w:val="center"/>
          </w:tcPr>
          <w:p w14:paraId="71CA0DA5" w14:textId="77777777" w:rsidR="00D75BF5" w:rsidRDefault="0056760D" w:rsidP="00D75BF5">
            <w:pPr>
              <w:jc w:val="center"/>
              <w:rPr>
                <w:rFonts w:ascii="Times New Roman" w:eastAsia="Times New Roman" w:hAnsi="Times New Roman" w:cs="Times New Roman"/>
                <w:bCs/>
                <w:noProof/>
                <w:sz w:val="24"/>
                <w:szCs w:val="24"/>
              </w:rPr>
            </w:pPr>
            <w:r w:rsidRPr="0056760D">
              <w:rPr>
                <w:rFonts w:ascii="Times New Roman" w:eastAsia="Times New Roman" w:hAnsi="Times New Roman" w:cs="Times New Roman"/>
                <w:bCs/>
                <w:noProof/>
                <w:sz w:val="24"/>
                <w:szCs w:val="24"/>
              </w:rPr>
              <w:t>Nr.</w:t>
            </w:r>
          </w:p>
          <w:p w14:paraId="6B3E944B" w14:textId="74E0CE13" w:rsidR="0056760D" w:rsidRPr="0056760D" w:rsidRDefault="0056760D" w:rsidP="00D75BF5">
            <w:pPr>
              <w:jc w:val="center"/>
              <w:rPr>
                <w:rFonts w:ascii="Times New Roman" w:eastAsia="Times New Roman" w:hAnsi="Times New Roman" w:cs="Times New Roman"/>
                <w:bCs/>
                <w:noProof/>
                <w:sz w:val="24"/>
                <w:szCs w:val="24"/>
              </w:rPr>
            </w:pPr>
            <w:r w:rsidRPr="0056760D">
              <w:rPr>
                <w:rFonts w:ascii="Times New Roman" w:eastAsia="Times New Roman" w:hAnsi="Times New Roman" w:cs="Times New Roman"/>
                <w:bCs/>
                <w:noProof/>
                <w:sz w:val="24"/>
                <w:szCs w:val="24"/>
              </w:rPr>
              <w:t>p.</w:t>
            </w:r>
            <w:r w:rsidR="00D75BF5">
              <w:rPr>
                <w:rFonts w:ascii="Times New Roman" w:eastAsia="Times New Roman" w:hAnsi="Times New Roman" w:cs="Times New Roman"/>
                <w:bCs/>
                <w:noProof/>
                <w:sz w:val="24"/>
                <w:szCs w:val="24"/>
              </w:rPr>
              <w:t xml:space="preserve"> </w:t>
            </w:r>
            <w:r w:rsidRPr="0056760D">
              <w:rPr>
                <w:rFonts w:ascii="Times New Roman" w:eastAsia="Times New Roman" w:hAnsi="Times New Roman" w:cs="Times New Roman"/>
                <w:bCs/>
                <w:noProof/>
                <w:sz w:val="24"/>
                <w:szCs w:val="24"/>
              </w:rPr>
              <w:t>k.</w:t>
            </w:r>
          </w:p>
        </w:tc>
        <w:tc>
          <w:tcPr>
            <w:tcW w:w="1378" w:type="dxa"/>
            <w:vAlign w:val="center"/>
          </w:tcPr>
          <w:p w14:paraId="6B3E944C" w14:textId="77777777" w:rsidR="0056760D" w:rsidRPr="0056760D" w:rsidRDefault="0056760D" w:rsidP="00D75BF5">
            <w:pPr>
              <w:pStyle w:val="ListParagraph"/>
              <w:ind w:left="-146"/>
              <w:contextualSpacing w:val="0"/>
              <w:jc w:val="center"/>
              <w:rPr>
                <w:rFonts w:ascii="Times New Roman" w:eastAsia="Times New Roman" w:hAnsi="Times New Roman" w:cs="Times New Roman"/>
                <w:bCs/>
                <w:noProof/>
                <w:sz w:val="24"/>
                <w:szCs w:val="24"/>
              </w:rPr>
            </w:pPr>
            <w:r w:rsidRPr="0056760D">
              <w:rPr>
                <w:rFonts w:ascii="Times New Roman" w:eastAsia="Times New Roman" w:hAnsi="Times New Roman" w:cs="Times New Roman"/>
                <w:bCs/>
                <w:noProof/>
                <w:sz w:val="24"/>
                <w:szCs w:val="24"/>
              </w:rPr>
              <w:t>Rādītājs</w:t>
            </w:r>
          </w:p>
        </w:tc>
        <w:tc>
          <w:tcPr>
            <w:tcW w:w="1843" w:type="dxa"/>
            <w:vAlign w:val="center"/>
          </w:tcPr>
          <w:p w14:paraId="6B3E944D" w14:textId="74349066" w:rsidR="0056760D" w:rsidRPr="0056760D" w:rsidRDefault="0056760D" w:rsidP="00D75BF5">
            <w:pPr>
              <w:pStyle w:val="ListParagraph"/>
              <w:ind w:left="-149"/>
              <w:contextualSpacing w:val="0"/>
              <w:jc w:val="center"/>
              <w:rPr>
                <w:rFonts w:ascii="Times New Roman" w:eastAsia="Times New Roman" w:hAnsi="Times New Roman" w:cs="Times New Roman"/>
                <w:bCs/>
                <w:noProof/>
                <w:sz w:val="24"/>
                <w:szCs w:val="24"/>
              </w:rPr>
            </w:pPr>
            <w:r w:rsidRPr="0056760D">
              <w:rPr>
                <w:rFonts w:ascii="Times New Roman" w:eastAsia="Times New Roman" w:hAnsi="Times New Roman" w:cs="Times New Roman"/>
                <w:bCs/>
                <w:noProof/>
                <w:sz w:val="24"/>
                <w:szCs w:val="24"/>
              </w:rPr>
              <w:t xml:space="preserve">Rādītāja </w:t>
            </w:r>
            <w:r w:rsidR="00AB4C06">
              <w:rPr>
                <w:rFonts w:ascii="Times New Roman" w:eastAsia="Times New Roman" w:hAnsi="Times New Roman" w:cs="Times New Roman"/>
                <w:bCs/>
                <w:noProof/>
                <w:sz w:val="24"/>
                <w:szCs w:val="24"/>
              </w:rPr>
              <w:t>v</w:t>
            </w:r>
            <w:r w:rsidRPr="0056760D">
              <w:rPr>
                <w:rFonts w:ascii="Times New Roman" w:eastAsia="Times New Roman" w:hAnsi="Times New Roman" w:cs="Times New Roman"/>
                <w:bCs/>
                <w:noProof/>
                <w:sz w:val="24"/>
                <w:szCs w:val="24"/>
              </w:rPr>
              <w:t>ērtība</w:t>
            </w:r>
            <w:r w:rsidRPr="0056760D">
              <w:rPr>
                <w:rFonts w:ascii="Times New Roman" w:eastAsia="Times New Roman" w:hAnsi="Times New Roman" w:cs="Times New Roman"/>
                <w:bCs/>
                <w:noProof/>
                <w:sz w:val="24"/>
                <w:szCs w:val="24"/>
                <w:vertAlign w:val="superscript"/>
              </w:rPr>
              <w:t>1</w:t>
            </w:r>
          </w:p>
        </w:tc>
        <w:tc>
          <w:tcPr>
            <w:tcW w:w="5103" w:type="dxa"/>
            <w:vAlign w:val="center"/>
          </w:tcPr>
          <w:p w14:paraId="6B3E944E" w14:textId="77777777" w:rsidR="0056760D" w:rsidRPr="0056760D" w:rsidRDefault="0056760D" w:rsidP="00D75BF5">
            <w:pPr>
              <w:pStyle w:val="ListParagraph"/>
              <w:ind w:left="-91"/>
              <w:contextualSpacing w:val="0"/>
              <w:jc w:val="center"/>
              <w:rPr>
                <w:rFonts w:ascii="Times New Roman" w:eastAsia="Times New Roman" w:hAnsi="Times New Roman" w:cs="Times New Roman"/>
                <w:bCs/>
                <w:noProof/>
                <w:sz w:val="24"/>
                <w:szCs w:val="24"/>
              </w:rPr>
            </w:pPr>
            <w:r w:rsidRPr="0056760D">
              <w:rPr>
                <w:rFonts w:ascii="Times New Roman" w:eastAsia="Times New Roman" w:hAnsi="Times New Roman" w:cs="Times New Roman"/>
                <w:bCs/>
                <w:noProof/>
                <w:sz w:val="24"/>
                <w:szCs w:val="24"/>
              </w:rPr>
              <w:t>Piezīmes</w:t>
            </w:r>
          </w:p>
        </w:tc>
      </w:tr>
      <w:tr w:rsidR="0056760D" w14:paraId="6B3E9454" w14:textId="77777777" w:rsidTr="00EB2036">
        <w:tc>
          <w:tcPr>
            <w:tcW w:w="890" w:type="dxa"/>
          </w:tcPr>
          <w:p w14:paraId="6B3E9450" w14:textId="77777777" w:rsidR="0056760D" w:rsidRPr="0056760D" w:rsidRDefault="0056760D" w:rsidP="00AB4C06">
            <w:pPr>
              <w:pStyle w:val="ListParagraph"/>
              <w:ind w:left="0"/>
              <w:contextualSpacing w:val="0"/>
              <w:jc w:val="center"/>
              <w:rPr>
                <w:rFonts w:ascii="Times New Roman" w:eastAsia="Times New Roman" w:hAnsi="Times New Roman" w:cs="Times New Roman"/>
                <w:bCs/>
                <w:noProof/>
                <w:sz w:val="24"/>
                <w:szCs w:val="24"/>
              </w:rPr>
            </w:pPr>
            <w:r w:rsidRPr="0056760D">
              <w:rPr>
                <w:rFonts w:ascii="Times New Roman" w:eastAsia="Times New Roman" w:hAnsi="Times New Roman" w:cs="Times New Roman"/>
                <w:bCs/>
                <w:noProof/>
                <w:sz w:val="24"/>
                <w:szCs w:val="24"/>
              </w:rPr>
              <w:t>1.1.</w:t>
            </w:r>
          </w:p>
        </w:tc>
        <w:tc>
          <w:tcPr>
            <w:tcW w:w="1378" w:type="dxa"/>
          </w:tcPr>
          <w:p w14:paraId="6B3E9451" w14:textId="77777777" w:rsidR="0056760D" w:rsidRPr="0056760D" w:rsidRDefault="0056760D" w:rsidP="00AB4C06">
            <w:pPr>
              <w:rPr>
                <w:rFonts w:ascii="Times New Roman" w:eastAsia="Times New Roman" w:hAnsi="Times New Roman" w:cs="Times New Roman"/>
                <w:bCs/>
                <w:noProof/>
                <w:sz w:val="24"/>
                <w:szCs w:val="24"/>
              </w:rPr>
            </w:pPr>
            <w:r w:rsidRPr="0056760D">
              <w:rPr>
                <w:rFonts w:ascii="Times New Roman" w:eastAsia="Times New Roman" w:hAnsi="Times New Roman" w:cs="Times New Roman"/>
                <w:bCs/>
                <w:noProof/>
                <w:sz w:val="24"/>
                <w:szCs w:val="24"/>
              </w:rPr>
              <w:t>radons</w:t>
            </w:r>
          </w:p>
        </w:tc>
        <w:tc>
          <w:tcPr>
            <w:tcW w:w="1843" w:type="dxa"/>
          </w:tcPr>
          <w:p w14:paraId="6B3E9452" w14:textId="77777777" w:rsidR="0056760D" w:rsidRPr="0056760D" w:rsidRDefault="0056760D" w:rsidP="00AB4C06">
            <w:pPr>
              <w:rPr>
                <w:rFonts w:ascii="Times New Roman" w:eastAsia="Times New Roman" w:hAnsi="Times New Roman" w:cs="Times New Roman"/>
                <w:bCs/>
                <w:noProof/>
                <w:sz w:val="24"/>
                <w:szCs w:val="24"/>
              </w:rPr>
            </w:pPr>
            <w:r w:rsidRPr="0056760D">
              <w:rPr>
                <w:rFonts w:ascii="Times New Roman" w:eastAsia="Times New Roman" w:hAnsi="Times New Roman" w:cs="Times New Roman"/>
                <w:bCs/>
                <w:noProof/>
                <w:sz w:val="24"/>
                <w:szCs w:val="24"/>
              </w:rPr>
              <w:t>100 Bq/l</w:t>
            </w:r>
          </w:p>
        </w:tc>
        <w:tc>
          <w:tcPr>
            <w:tcW w:w="5103" w:type="dxa"/>
          </w:tcPr>
          <w:p w14:paraId="6B3E9453" w14:textId="77777777" w:rsidR="0056760D" w:rsidRPr="0056760D" w:rsidRDefault="0056760D" w:rsidP="00AB4C06">
            <w:pPr>
              <w:pStyle w:val="ListParagraph"/>
              <w:ind w:left="643"/>
              <w:contextualSpacing w:val="0"/>
              <w:rPr>
                <w:rFonts w:ascii="Times New Roman" w:eastAsia="Times New Roman" w:hAnsi="Times New Roman" w:cs="Times New Roman"/>
                <w:bCs/>
                <w:noProof/>
                <w:sz w:val="24"/>
                <w:szCs w:val="24"/>
              </w:rPr>
            </w:pPr>
            <w:r w:rsidRPr="0056760D">
              <w:rPr>
                <w:rFonts w:ascii="Times New Roman" w:eastAsia="Times New Roman" w:hAnsi="Times New Roman" w:cs="Times New Roman"/>
                <w:bCs/>
                <w:noProof/>
                <w:sz w:val="24"/>
                <w:szCs w:val="24"/>
              </w:rPr>
              <w:t> </w:t>
            </w:r>
          </w:p>
        </w:tc>
      </w:tr>
      <w:tr w:rsidR="0056760D" w14:paraId="6B3E9459" w14:textId="77777777" w:rsidTr="00EB2036">
        <w:tc>
          <w:tcPr>
            <w:tcW w:w="890" w:type="dxa"/>
          </w:tcPr>
          <w:p w14:paraId="6B3E9455" w14:textId="77777777" w:rsidR="0056760D" w:rsidRPr="0056760D" w:rsidRDefault="0056760D" w:rsidP="00AB4C06">
            <w:pPr>
              <w:pStyle w:val="ListParagraph"/>
              <w:ind w:left="0"/>
              <w:contextualSpacing w:val="0"/>
              <w:jc w:val="center"/>
              <w:rPr>
                <w:rFonts w:ascii="Times New Roman" w:eastAsia="Times New Roman" w:hAnsi="Times New Roman" w:cs="Times New Roman"/>
                <w:bCs/>
                <w:noProof/>
                <w:sz w:val="24"/>
                <w:szCs w:val="24"/>
              </w:rPr>
            </w:pPr>
            <w:r w:rsidRPr="0056760D">
              <w:rPr>
                <w:rFonts w:ascii="Times New Roman" w:eastAsia="Times New Roman" w:hAnsi="Times New Roman" w:cs="Times New Roman"/>
                <w:bCs/>
                <w:noProof/>
                <w:sz w:val="24"/>
                <w:szCs w:val="24"/>
              </w:rPr>
              <w:t>1.2.</w:t>
            </w:r>
          </w:p>
        </w:tc>
        <w:tc>
          <w:tcPr>
            <w:tcW w:w="1378" w:type="dxa"/>
          </w:tcPr>
          <w:p w14:paraId="6B3E9456" w14:textId="77777777" w:rsidR="0056760D" w:rsidRPr="0056760D" w:rsidRDefault="0056760D" w:rsidP="00AB4C06">
            <w:pPr>
              <w:rPr>
                <w:rFonts w:ascii="Times New Roman" w:eastAsia="Times New Roman" w:hAnsi="Times New Roman" w:cs="Times New Roman"/>
                <w:bCs/>
                <w:noProof/>
                <w:sz w:val="24"/>
                <w:szCs w:val="24"/>
              </w:rPr>
            </w:pPr>
            <w:r w:rsidRPr="0056760D">
              <w:rPr>
                <w:rFonts w:ascii="Times New Roman" w:eastAsia="Times New Roman" w:hAnsi="Times New Roman" w:cs="Times New Roman"/>
                <w:bCs/>
                <w:noProof/>
                <w:sz w:val="24"/>
                <w:szCs w:val="24"/>
              </w:rPr>
              <w:t>tritijs</w:t>
            </w:r>
          </w:p>
        </w:tc>
        <w:tc>
          <w:tcPr>
            <w:tcW w:w="1843" w:type="dxa"/>
          </w:tcPr>
          <w:p w14:paraId="6B3E9457" w14:textId="77777777" w:rsidR="0056760D" w:rsidRPr="0056760D" w:rsidRDefault="0056760D" w:rsidP="00AB4C06">
            <w:pPr>
              <w:rPr>
                <w:rFonts w:ascii="Times New Roman" w:eastAsia="Times New Roman" w:hAnsi="Times New Roman" w:cs="Times New Roman"/>
                <w:bCs/>
                <w:noProof/>
                <w:sz w:val="24"/>
                <w:szCs w:val="24"/>
              </w:rPr>
            </w:pPr>
            <w:r w:rsidRPr="0056760D">
              <w:rPr>
                <w:rFonts w:ascii="Times New Roman" w:eastAsia="Times New Roman" w:hAnsi="Times New Roman" w:cs="Times New Roman"/>
                <w:bCs/>
                <w:noProof/>
                <w:sz w:val="24"/>
                <w:szCs w:val="24"/>
              </w:rPr>
              <w:t>100 Bq/l</w:t>
            </w:r>
          </w:p>
        </w:tc>
        <w:tc>
          <w:tcPr>
            <w:tcW w:w="5103" w:type="dxa"/>
          </w:tcPr>
          <w:p w14:paraId="6B3E9458" w14:textId="2CBA53C6" w:rsidR="0056760D" w:rsidRPr="0056760D" w:rsidRDefault="0056760D" w:rsidP="00AB4C06">
            <w:pPr>
              <w:jc w:val="both"/>
              <w:rPr>
                <w:rFonts w:ascii="Times New Roman" w:eastAsia="Times New Roman" w:hAnsi="Times New Roman" w:cs="Times New Roman"/>
                <w:bCs/>
                <w:noProof/>
                <w:sz w:val="24"/>
                <w:szCs w:val="24"/>
              </w:rPr>
            </w:pPr>
            <w:r w:rsidRPr="0056760D">
              <w:rPr>
                <w:rFonts w:ascii="Times New Roman" w:eastAsia="Times New Roman" w:hAnsi="Times New Roman" w:cs="Times New Roman"/>
                <w:bCs/>
                <w:noProof/>
                <w:sz w:val="24"/>
                <w:szCs w:val="24"/>
              </w:rPr>
              <w:t>Ja tritija koncentrācija pārsniedz noteikto rādītāja vērtību, veic citu mākslīgo radionuklīdu analīzi</w:t>
            </w:r>
          </w:p>
        </w:tc>
      </w:tr>
      <w:tr w:rsidR="0056760D" w14:paraId="6B3E9461" w14:textId="77777777" w:rsidTr="00EB2036">
        <w:tc>
          <w:tcPr>
            <w:tcW w:w="890" w:type="dxa"/>
          </w:tcPr>
          <w:p w14:paraId="6B3E945A" w14:textId="77777777" w:rsidR="0056760D" w:rsidRPr="0056760D" w:rsidRDefault="0056760D" w:rsidP="00AB4C06">
            <w:pPr>
              <w:pStyle w:val="ListParagraph"/>
              <w:ind w:left="0"/>
              <w:contextualSpacing w:val="0"/>
              <w:jc w:val="center"/>
              <w:rPr>
                <w:rFonts w:ascii="Times New Roman" w:eastAsia="Times New Roman" w:hAnsi="Times New Roman" w:cs="Times New Roman"/>
                <w:bCs/>
                <w:noProof/>
                <w:sz w:val="24"/>
                <w:szCs w:val="24"/>
              </w:rPr>
            </w:pPr>
            <w:r w:rsidRPr="0056760D">
              <w:rPr>
                <w:rFonts w:ascii="Times New Roman" w:eastAsia="Times New Roman" w:hAnsi="Times New Roman" w:cs="Times New Roman"/>
                <w:bCs/>
                <w:noProof/>
                <w:sz w:val="24"/>
                <w:szCs w:val="24"/>
              </w:rPr>
              <w:t>1.3.</w:t>
            </w:r>
          </w:p>
        </w:tc>
        <w:tc>
          <w:tcPr>
            <w:tcW w:w="1378" w:type="dxa"/>
          </w:tcPr>
          <w:p w14:paraId="6B3E945B" w14:textId="77777777" w:rsidR="0056760D" w:rsidRPr="0056760D" w:rsidRDefault="0056760D" w:rsidP="00AB4C06">
            <w:pPr>
              <w:rPr>
                <w:rFonts w:ascii="Times New Roman" w:eastAsia="Times New Roman" w:hAnsi="Times New Roman" w:cs="Times New Roman"/>
                <w:bCs/>
                <w:noProof/>
                <w:sz w:val="24"/>
                <w:szCs w:val="24"/>
              </w:rPr>
            </w:pPr>
            <w:r w:rsidRPr="0056760D">
              <w:rPr>
                <w:rFonts w:ascii="Times New Roman" w:eastAsia="Times New Roman" w:hAnsi="Times New Roman" w:cs="Times New Roman"/>
                <w:bCs/>
                <w:noProof/>
                <w:sz w:val="24"/>
                <w:szCs w:val="24"/>
              </w:rPr>
              <w:t>indikatīvā doza (ID)</w:t>
            </w:r>
            <w:r w:rsidRPr="0056760D">
              <w:rPr>
                <w:rFonts w:ascii="Times New Roman" w:eastAsia="Times New Roman" w:hAnsi="Times New Roman" w:cs="Times New Roman"/>
                <w:bCs/>
                <w:noProof/>
                <w:sz w:val="24"/>
                <w:szCs w:val="24"/>
                <w:vertAlign w:val="superscript"/>
              </w:rPr>
              <w:t>2</w:t>
            </w:r>
          </w:p>
        </w:tc>
        <w:tc>
          <w:tcPr>
            <w:tcW w:w="1843" w:type="dxa"/>
          </w:tcPr>
          <w:p w14:paraId="6B3E945C" w14:textId="77777777" w:rsidR="0056760D" w:rsidRPr="0056760D" w:rsidRDefault="0056760D" w:rsidP="00AB4C06">
            <w:pPr>
              <w:rPr>
                <w:rFonts w:ascii="Times New Roman" w:eastAsia="Times New Roman" w:hAnsi="Times New Roman" w:cs="Times New Roman"/>
                <w:bCs/>
                <w:noProof/>
                <w:sz w:val="24"/>
                <w:szCs w:val="24"/>
              </w:rPr>
            </w:pPr>
            <w:r w:rsidRPr="0056760D">
              <w:rPr>
                <w:rFonts w:ascii="Times New Roman" w:eastAsia="Times New Roman" w:hAnsi="Times New Roman" w:cs="Times New Roman"/>
                <w:bCs/>
                <w:noProof/>
                <w:sz w:val="24"/>
                <w:szCs w:val="24"/>
              </w:rPr>
              <w:t>0,10 mSv/gadā</w:t>
            </w:r>
          </w:p>
        </w:tc>
        <w:tc>
          <w:tcPr>
            <w:tcW w:w="5103" w:type="dxa"/>
          </w:tcPr>
          <w:p w14:paraId="6B3E945D" w14:textId="7D58101F" w:rsidR="0056760D" w:rsidRPr="0056760D" w:rsidRDefault="0056760D" w:rsidP="00AB4C06">
            <w:pPr>
              <w:jc w:val="both"/>
              <w:rPr>
                <w:rFonts w:ascii="Times New Roman" w:eastAsia="Times New Roman" w:hAnsi="Times New Roman" w:cs="Times New Roman"/>
                <w:bCs/>
                <w:noProof/>
                <w:sz w:val="24"/>
                <w:szCs w:val="24"/>
              </w:rPr>
            </w:pPr>
            <w:r w:rsidRPr="0056760D">
              <w:rPr>
                <w:rFonts w:ascii="Times New Roman" w:eastAsia="Times New Roman" w:hAnsi="Times New Roman" w:cs="Times New Roman"/>
                <w:bCs/>
                <w:noProof/>
                <w:sz w:val="24"/>
                <w:szCs w:val="24"/>
              </w:rPr>
              <w:t>Indikatīvā doza (ID) nepārsniedz 0,10</w:t>
            </w:r>
            <w:r w:rsidR="00EB2036">
              <w:rPr>
                <w:rFonts w:ascii="Times New Roman" w:eastAsia="Times New Roman" w:hAnsi="Times New Roman" w:cs="Times New Roman"/>
                <w:bCs/>
                <w:noProof/>
                <w:sz w:val="24"/>
                <w:szCs w:val="24"/>
              </w:rPr>
              <w:t> </w:t>
            </w:r>
            <w:r w:rsidRPr="0056760D">
              <w:rPr>
                <w:rFonts w:ascii="Times New Roman" w:eastAsia="Times New Roman" w:hAnsi="Times New Roman" w:cs="Times New Roman"/>
                <w:bCs/>
                <w:noProof/>
                <w:sz w:val="24"/>
                <w:szCs w:val="24"/>
              </w:rPr>
              <w:t xml:space="preserve">mSv gadā, ja: </w:t>
            </w:r>
          </w:p>
          <w:p w14:paraId="6B3E945F" w14:textId="4D59907E" w:rsidR="0056760D" w:rsidRPr="0056760D" w:rsidRDefault="0056760D" w:rsidP="00AB4C06">
            <w:pPr>
              <w:jc w:val="both"/>
              <w:rPr>
                <w:rFonts w:ascii="Times New Roman" w:eastAsia="Times New Roman" w:hAnsi="Times New Roman" w:cs="Times New Roman"/>
                <w:bCs/>
                <w:noProof/>
                <w:sz w:val="24"/>
                <w:szCs w:val="24"/>
              </w:rPr>
            </w:pPr>
            <w:r w:rsidRPr="0056760D">
              <w:rPr>
                <w:rFonts w:ascii="Times New Roman" w:eastAsia="Times New Roman" w:hAnsi="Times New Roman" w:cs="Times New Roman"/>
                <w:bCs/>
                <w:noProof/>
                <w:sz w:val="24"/>
                <w:szCs w:val="24"/>
              </w:rPr>
              <w:t>1)</w:t>
            </w:r>
            <w:r w:rsidR="00EB2036">
              <w:rPr>
                <w:rFonts w:ascii="Times New Roman" w:eastAsia="Times New Roman" w:hAnsi="Times New Roman" w:cs="Times New Roman"/>
                <w:bCs/>
                <w:noProof/>
                <w:sz w:val="24"/>
                <w:szCs w:val="24"/>
              </w:rPr>
              <w:t> </w:t>
            </w:r>
            <w:r w:rsidRPr="0056760D">
              <w:rPr>
                <w:rFonts w:ascii="Times New Roman" w:eastAsia="Times New Roman" w:hAnsi="Times New Roman" w:cs="Times New Roman"/>
                <w:bCs/>
                <w:noProof/>
                <w:sz w:val="24"/>
                <w:szCs w:val="24"/>
              </w:rPr>
              <w:t>kopējā alfa starojuma avotu īpatnējā radioaktivitāte (kopējā alfa radioaktivitāte) nepārsniedz 0,1 Bq/l;</w:t>
            </w:r>
          </w:p>
          <w:p w14:paraId="6B3E9460" w14:textId="6F798B17" w:rsidR="0056760D" w:rsidRPr="0056760D" w:rsidRDefault="0056760D" w:rsidP="00AB4C06">
            <w:pPr>
              <w:jc w:val="both"/>
              <w:rPr>
                <w:rFonts w:ascii="Times New Roman" w:eastAsia="Times New Roman" w:hAnsi="Times New Roman" w:cs="Times New Roman"/>
                <w:bCs/>
                <w:noProof/>
                <w:sz w:val="24"/>
                <w:szCs w:val="24"/>
              </w:rPr>
            </w:pPr>
            <w:r w:rsidRPr="0056760D">
              <w:rPr>
                <w:rFonts w:ascii="Times New Roman" w:eastAsia="Times New Roman" w:hAnsi="Times New Roman" w:cs="Times New Roman"/>
                <w:bCs/>
                <w:noProof/>
                <w:sz w:val="24"/>
                <w:szCs w:val="24"/>
              </w:rPr>
              <w:t>2)</w:t>
            </w:r>
            <w:r w:rsidR="00EB2036">
              <w:rPr>
                <w:rFonts w:ascii="Times New Roman" w:eastAsia="Times New Roman" w:hAnsi="Times New Roman" w:cs="Times New Roman"/>
                <w:bCs/>
                <w:noProof/>
                <w:sz w:val="24"/>
                <w:szCs w:val="24"/>
              </w:rPr>
              <w:t> </w:t>
            </w:r>
            <w:r w:rsidRPr="0056760D">
              <w:rPr>
                <w:rFonts w:ascii="Times New Roman" w:eastAsia="Times New Roman" w:hAnsi="Times New Roman" w:cs="Times New Roman"/>
                <w:bCs/>
                <w:noProof/>
                <w:sz w:val="24"/>
                <w:szCs w:val="24"/>
              </w:rPr>
              <w:t xml:space="preserve">kopējā </w:t>
            </w:r>
            <w:r w:rsidR="00173BB7">
              <w:rPr>
                <w:rFonts w:ascii="Times New Roman" w:eastAsia="Times New Roman" w:hAnsi="Times New Roman" w:cs="Times New Roman"/>
                <w:bCs/>
                <w:noProof/>
                <w:sz w:val="24"/>
                <w:szCs w:val="24"/>
              </w:rPr>
              <w:t>beta</w:t>
            </w:r>
            <w:r w:rsidRPr="0056760D">
              <w:rPr>
                <w:rFonts w:ascii="Times New Roman" w:eastAsia="Times New Roman" w:hAnsi="Times New Roman" w:cs="Times New Roman"/>
                <w:bCs/>
                <w:noProof/>
                <w:sz w:val="24"/>
                <w:szCs w:val="24"/>
              </w:rPr>
              <w:t xml:space="preserve"> starojuma avotu īpatnējā radioaktivitāte (kopējā </w:t>
            </w:r>
            <w:r w:rsidR="00173BB7">
              <w:rPr>
                <w:rFonts w:ascii="Times New Roman" w:eastAsia="Times New Roman" w:hAnsi="Times New Roman" w:cs="Times New Roman"/>
                <w:bCs/>
                <w:noProof/>
                <w:sz w:val="24"/>
                <w:szCs w:val="24"/>
              </w:rPr>
              <w:t>beta</w:t>
            </w:r>
            <w:r w:rsidRPr="0056760D">
              <w:rPr>
                <w:rFonts w:ascii="Times New Roman" w:eastAsia="Times New Roman" w:hAnsi="Times New Roman" w:cs="Times New Roman"/>
                <w:bCs/>
                <w:noProof/>
                <w:sz w:val="24"/>
                <w:szCs w:val="24"/>
              </w:rPr>
              <w:t xml:space="preserve"> radioaktivitāte) nepārsniedz 1 Bq/l</w:t>
            </w:r>
          </w:p>
        </w:tc>
      </w:tr>
    </w:tbl>
    <w:p w14:paraId="6B3E9462" w14:textId="77777777" w:rsidR="0056760D" w:rsidRPr="0056760D" w:rsidRDefault="0056760D" w:rsidP="00EB2036">
      <w:pPr>
        <w:pStyle w:val="ListParagraph"/>
        <w:spacing w:after="0" w:line="240" w:lineRule="auto"/>
        <w:ind w:left="0" w:firstLine="709"/>
        <w:contextualSpacing w:val="0"/>
        <w:rPr>
          <w:rFonts w:ascii="Times New Roman" w:eastAsia="Times New Roman" w:hAnsi="Times New Roman" w:cs="Times New Roman"/>
          <w:bCs/>
          <w:noProof/>
          <w:sz w:val="24"/>
          <w:szCs w:val="24"/>
        </w:rPr>
      </w:pPr>
    </w:p>
    <w:p w14:paraId="6B3E9463" w14:textId="77777777" w:rsidR="0056760D" w:rsidRPr="0056760D" w:rsidRDefault="0056760D" w:rsidP="00EB2036">
      <w:pPr>
        <w:spacing w:after="0" w:line="240" w:lineRule="auto"/>
        <w:ind w:firstLine="709"/>
        <w:jc w:val="both"/>
        <w:rPr>
          <w:rFonts w:ascii="Times New Roman" w:eastAsia="Times New Roman" w:hAnsi="Times New Roman" w:cs="Times New Roman"/>
          <w:bCs/>
          <w:noProof/>
          <w:sz w:val="24"/>
          <w:szCs w:val="24"/>
        </w:rPr>
      </w:pPr>
      <w:r w:rsidRPr="0056760D">
        <w:rPr>
          <w:rFonts w:ascii="Times New Roman" w:eastAsia="Times New Roman" w:hAnsi="Times New Roman" w:cs="Times New Roman"/>
          <w:bCs/>
          <w:noProof/>
          <w:sz w:val="24"/>
          <w:szCs w:val="24"/>
        </w:rPr>
        <w:t>Piezīmes.</w:t>
      </w:r>
    </w:p>
    <w:p w14:paraId="6B3E9464" w14:textId="77777777" w:rsidR="0056760D" w:rsidRPr="0056760D" w:rsidRDefault="0056760D" w:rsidP="00EB2036">
      <w:pPr>
        <w:spacing w:after="0" w:line="240" w:lineRule="auto"/>
        <w:ind w:firstLine="709"/>
        <w:jc w:val="both"/>
        <w:rPr>
          <w:rFonts w:ascii="Times New Roman" w:eastAsia="Times New Roman" w:hAnsi="Times New Roman" w:cs="Times New Roman"/>
          <w:bCs/>
          <w:noProof/>
          <w:sz w:val="24"/>
          <w:szCs w:val="24"/>
        </w:rPr>
      </w:pPr>
      <w:r w:rsidRPr="0056760D">
        <w:rPr>
          <w:rFonts w:ascii="Times New Roman" w:eastAsia="Times New Roman" w:hAnsi="Times New Roman" w:cs="Times New Roman"/>
          <w:bCs/>
          <w:noProof/>
          <w:sz w:val="24"/>
          <w:szCs w:val="24"/>
          <w:vertAlign w:val="superscript"/>
        </w:rPr>
        <w:t>1</w:t>
      </w:r>
      <w:r w:rsidRPr="0056760D">
        <w:rPr>
          <w:rFonts w:ascii="Times New Roman" w:eastAsia="Times New Roman" w:hAnsi="Times New Roman" w:cs="Times New Roman"/>
          <w:bCs/>
          <w:noProof/>
          <w:sz w:val="24"/>
          <w:szCs w:val="24"/>
        </w:rPr>
        <w:t xml:space="preserve"> Rādītāja vērtība ir radioaktīvo vielu vērtība dzeramajā ūdenī.</w:t>
      </w:r>
    </w:p>
    <w:p w14:paraId="6B3E9465" w14:textId="77777777" w:rsidR="0056760D" w:rsidRPr="0056760D" w:rsidRDefault="0056760D" w:rsidP="00EB2036">
      <w:pPr>
        <w:spacing w:after="0" w:line="240" w:lineRule="auto"/>
        <w:ind w:firstLine="709"/>
        <w:jc w:val="both"/>
        <w:rPr>
          <w:rFonts w:ascii="Times New Roman" w:eastAsia="Times New Roman" w:hAnsi="Times New Roman" w:cs="Times New Roman"/>
          <w:bCs/>
          <w:noProof/>
          <w:sz w:val="24"/>
          <w:szCs w:val="24"/>
        </w:rPr>
      </w:pPr>
      <w:r w:rsidRPr="0056760D">
        <w:rPr>
          <w:rFonts w:ascii="Times New Roman" w:eastAsia="Times New Roman" w:hAnsi="Times New Roman" w:cs="Times New Roman"/>
          <w:bCs/>
          <w:noProof/>
          <w:sz w:val="24"/>
          <w:szCs w:val="24"/>
          <w:vertAlign w:val="superscript"/>
        </w:rPr>
        <w:t>2</w:t>
      </w:r>
      <w:r w:rsidRPr="0056760D">
        <w:rPr>
          <w:rFonts w:ascii="Times New Roman" w:eastAsia="Times New Roman" w:hAnsi="Times New Roman" w:cs="Times New Roman"/>
          <w:bCs/>
          <w:noProof/>
          <w:sz w:val="24"/>
          <w:szCs w:val="24"/>
        </w:rPr>
        <w:t xml:space="preserve"> Indikatīvā doza (ID) ir paredzamā efektīvā doza viena gada laikā visu to dabiskās un mākslīgās izcelsmes radionuklīdu uzņemšanas </w:t>
      </w:r>
      <w:r w:rsidR="008D3961">
        <w:rPr>
          <w:rFonts w:ascii="Times New Roman" w:eastAsia="Times New Roman" w:hAnsi="Times New Roman" w:cs="Times New Roman"/>
          <w:bCs/>
          <w:noProof/>
          <w:sz w:val="24"/>
          <w:szCs w:val="24"/>
        </w:rPr>
        <w:t>dēļ</w:t>
      </w:r>
      <w:r w:rsidRPr="0056760D">
        <w:rPr>
          <w:rFonts w:ascii="Times New Roman" w:eastAsia="Times New Roman" w:hAnsi="Times New Roman" w:cs="Times New Roman"/>
          <w:bCs/>
          <w:noProof/>
          <w:sz w:val="24"/>
          <w:szCs w:val="24"/>
        </w:rPr>
        <w:t>, kuru klātbūtne konstatēta piegādātajā dzeramajā ūdenī, izņemot tritiju, kāliju-40, radonu un radona sabrukšanas produktus ar īsu pussabrukšanas periodu.</w:t>
      </w:r>
    </w:p>
    <w:p w14:paraId="31B4F940" w14:textId="77777777" w:rsidR="00AB4C06" w:rsidRDefault="00AB4C06" w:rsidP="00EB2036">
      <w:pPr>
        <w:spacing w:after="0" w:line="240" w:lineRule="auto"/>
        <w:ind w:firstLine="709"/>
        <w:rPr>
          <w:rFonts w:ascii="Times New Roman" w:eastAsia="Times New Roman" w:hAnsi="Times New Roman" w:cs="Times New Roman"/>
          <w:b/>
          <w:bCs/>
          <w:noProof/>
          <w:sz w:val="24"/>
          <w:szCs w:val="24"/>
        </w:rPr>
      </w:pPr>
    </w:p>
    <w:p w14:paraId="6B3E9466" w14:textId="4B30FF0A" w:rsidR="0056760D" w:rsidRPr="00EB2036" w:rsidRDefault="0056760D" w:rsidP="00EB2036">
      <w:pPr>
        <w:spacing w:after="0" w:line="240" w:lineRule="auto"/>
        <w:ind w:firstLine="709"/>
        <w:rPr>
          <w:rFonts w:ascii="Times New Roman" w:eastAsia="Times New Roman" w:hAnsi="Times New Roman" w:cs="Times New Roman"/>
          <w:bCs/>
          <w:noProof/>
          <w:sz w:val="28"/>
          <w:szCs w:val="28"/>
        </w:rPr>
      </w:pPr>
      <w:r w:rsidRPr="00EB2036">
        <w:rPr>
          <w:rFonts w:ascii="Times New Roman" w:eastAsia="Times New Roman" w:hAnsi="Times New Roman" w:cs="Times New Roman"/>
          <w:bCs/>
          <w:noProof/>
          <w:sz w:val="28"/>
          <w:szCs w:val="28"/>
        </w:rPr>
        <w:t>2. Minimālais ūdens paraugu ņemšanas un analīžu biežums radioaktīvo vielu noteikšanai</w:t>
      </w:r>
    </w:p>
    <w:tbl>
      <w:tblPr>
        <w:tblStyle w:val="TableGrid"/>
        <w:tblW w:w="4928" w:type="pct"/>
        <w:tblInd w:w="108" w:type="dxa"/>
        <w:tblLook w:val="04A0" w:firstRow="1" w:lastRow="0" w:firstColumn="1" w:lastColumn="0" w:noHBand="0" w:noVBand="1"/>
      </w:tblPr>
      <w:tblGrid>
        <w:gridCol w:w="852"/>
        <w:gridCol w:w="4393"/>
        <w:gridCol w:w="3908"/>
      </w:tblGrid>
      <w:tr w:rsidR="0056760D" w:rsidRPr="0056760D" w14:paraId="6B3E946A" w14:textId="77777777" w:rsidTr="00EB2036">
        <w:tc>
          <w:tcPr>
            <w:tcW w:w="465" w:type="pct"/>
            <w:noWrap/>
            <w:hideMark/>
          </w:tcPr>
          <w:p w14:paraId="6B3E9467" w14:textId="77777777" w:rsidR="0056760D" w:rsidRPr="00EB2036" w:rsidRDefault="0056760D" w:rsidP="00AB4C06">
            <w:pPr>
              <w:jc w:val="center"/>
              <w:rPr>
                <w:rFonts w:ascii="Times New Roman" w:eastAsia="Times New Roman" w:hAnsi="Times New Roman" w:cs="Times New Roman"/>
                <w:sz w:val="24"/>
                <w:szCs w:val="24"/>
                <w:lang w:eastAsia="lv-LV"/>
              </w:rPr>
            </w:pPr>
            <w:r w:rsidRPr="00EB2036">
              <w:rPr>
                <w:rFonts w:ascii="Times New Roman" w:eastAsia="Times New Roman" w:hAnsi="Times New Roman" w:cs="Times New Roman"/>
                <w:sz w:val="24"/>
                <w:szCs w:val="24"/>
                <w:lang w:eastAsia="lv-LV"/>
              </w:rPr>
              <w:t>Nr.</w:t>
            </w:r>
            <w:r w:rsidRPr="00EB2036">
              <w:rPr>
                <w:rFonts w:ascii="Times New Roman" w:eastAsia="Times New Roman" w:hAnsi="Times New Roman" w:cs="Times New Roman"/>
                <w:sz w:val="24"/>
                <w:szCs w:val="24"/>
                <w:lang w:eastAsia="lv-LV"/>
              </w:rPr>
              <w:br/>
              <w:t>p. k.</w:t>
            </w:r>
          </w:p>
        </w:tc>
        <w:tc>
          <w:tcPr>
            <w:tcW w:w="2400" w:type="pct"/>
            <w:hideMark/>
          </w:tcPr>
          <w:p w14:paraId="6B3E9468" w14:textId="77777777" w:rsidR="0056760D" w:rsidRPr="00EB2036" w:rsidRDefault="0056760D" w:rsidP="00EB2036">
            <w:pPr>
              <w:ind w:left="-111" w:right="-103"/>
              <w:jc w:val="center"/>
              <w:rPr>
                <w:rFonts w:ascii="Times New Roman" w:eastAsia="Times New Roman" w:hAnsi="Times New Roman" w:cs="Times New Roman"/>
                <w:sz w:val="24"/>
                <w:szCs w:val="24"/>
                <w:lang w:eastAsia="lv-LV"/>
              </w:rPr>
            </w:pPr>
            <w:r w:rsidRPr="00EB2036">
              <w:rPr>
                <w:rFonts w:ascii="Times New Roman" w:eastAsia="Times New Roman" w:hAnsi="Times New Roman" w:cs="Times New Roman"/>
                <w:sz w:val="24"/>
                <w:szCs w:val="24"/>
                <w:lang w:eastAsia="lv-LV"/>
              </w:rPr>
              <w:t xml:space="preserve">Gada vidējais diennaktī piegādātā vai pildītā ūdens daudzums piegādes </w:t>
            </w:r>
            <w:proofErr w:type="spellStart"/>
            <w:r w:rsidRPr="00EB2036">
              <w:rPr>
                <w:rFonts w:ascii="Times New Roman" w:eastAsia="Times New Roman" w:hAnsi="Times New Roman" w:cs="Times New Roman"/>
                <w:sz w:val="24"/>
                <w:szCs w:val="24"/>
                <w:lang w:eastAsia="lv-LV"/>
              </w:rPr>
              <w:t>zonā</w:t>
            </w:r>
            <w:r w:rsidRPr="00EB2036">
              <w:rPr>
                <w:rFonts w:ascii="Times New Roman" w:eastAsia="Times New Roman" w:hAnsi="Times New Roman" w:cs="Times New Roman"/>
                <w:sz w:val="24"/>
                <w:szCs w:val="24"/>
                <w:vertAlign w:val="superscript"/>
                <w:lang w:eastAsia="lv-LV"/>
              </w:rPr>
              <w:t>a</w:t>
            </w:r>
            <w:proofErr w:type="spellEnd"/>
            <w:r w:rsidRPr="00EB2036">
              <w:rPr>
                <w:rFonts w:ascii="Times New Roman" w:eastAsia="Times New Roman" w:hAnsi="Times New Roman" w:cs="Times New Roman"/>
                <w:sz w:val="24"/>
                <w:szCs w:val="24"/>
                <w:vertAlign w:val="superscript"/>
                <w:lang w:eastAsia="lv-LV"/>
              </w:rPr>
              <w:t>, b</w:t>
            </w:r>
            <w:r w:rsidRPr="00EB2036">
              <w:rPr>
                <w:rFonts w:ascii="Times New Roman" w:eastAsia="Times New Roman" w:hAnsi="Times New Roman" w:cs="Times New Roman"/>
                <w:sz w:val="24"/>
                <w:szCs w:val="24"/>
                <w:lang w:eastAsia="lv-LV"/>
              </w:rPr>
              <w:t xml:space="preserve"> (m</w:t>
            </w:r>
            <w:r w:rsidRPr="00EB2036">
              <w:rPr>
                <w:rFonts w:ascii="Times New Roman" w:eastAsia="Times New Roman" w:hAnsi="Times New Roman" w:cs="Times New Roman"/>
                <w:sz w:val="24"/>
                <w:szCs w:val="24"/>
                <w:vertAlign w:val="superscript"/>
                <w:lang w:eastAsia="lv-LV"/>
              </w:rPr>
              <w:t>3</w:t>
            </w:r>
            <w:r w:rsidRPr="00EB2036">
              <w:rPr>
                <w:rFonts w:ascii="Times New Roman" w:eastAsia="Times New Roman" w:hAnsi="Times New Roman" w:cs="Times New Roman"/>
                <w:sz w:val="24"/>
                <w:szCs w:val="24"/>
                <w:lang w:eastAsia="lv-LV"/>
              </w:rPr>
              <w:t>)</w:t>
            </w:r>
          </w:p>
        </w:tc>
        <w:tc>
          <w:tcPr>
            <w:tcW w:w="2135" w:type="pct"/>
            <w:hideMark/>
          </w:tcPr>
          <w:p w14:paraId="6B3E9469" w14:textId="77777777" w:rsidR="0056760D" w:rsidRPr="00EB2036" w:rsidRDefault="0056760D" w:rsidP="00AB4C06">
            <w:pPr>
              <w:jc w:val="center"/>
              <w:rPr>
                <w:rFonts w:ascii="Times New Roman" w:eastAsia="Times New Roman" w:hAnsi="Times New Roman" w:cs="Times New Roman"/>
                <w:sz w:val="24"/>
                <w:szCs w:val="24"/>
                <w:lang w:eastAsia="lv-LV"/>
              </w:rPr>
            </w:pPr>
            <w:r w:rsidRPr="00EB2036">
              <w:rPr>
                <w:rFonts w:ascii="Times New Roman" w:eastAsia="Times New Roman" w:hAnsi="Times New Roman" w:cs="Times New Roman"/>
                <w:sz w:val="24"/>
                <w:szCs w:val="24"/>
                <w:lang w:eastAsia="lv-LV"/>
              </w:rPr>
              <w:t xml:space="preserve">Paraugu </w:t>
            </w:r>
            <w:proofErr w:type="spellStart"/>
            <w:r w:rsidRPr="00EB2036">
              <w:rPr>
                <w:rFonts w:ascii="Times New Roman" w:eastAsia="Times New Roman" w:hAnsi="Times New Roman" w:cs="Times New Roman"/>
                <w:sz w:val="24"/>
                <w:szCs w:val="24"/>
                <w:lang w:eastAsia="lv-LV"/>
              </w:rPr>
              <w:t>skaits</w:t>
            </w:r>
            <w:r w:rsidRPr="00EB2036">
              <w:rPr>
                <w:rFonts w:ascii="Times New Roman" w:eastAsia="Times New Roman" w:hAnsi="Times New Roman" w:cs="Times New Roman"/>
                <w:sz w:val="24"/>
                <w:szCs w:val="24"/>
                <w:vertAlign w:val="superscript"/>
                <w:lang w:eastAsia="lv-LV"/>
              </w:rPr>
              <w:t>c</w:t>
            </w:r>
            <w:proofErr w:type="spellEnd"/>
            <w:r w:rsidRPr="00EB2036">
              <w:rPr>
                <w:rFonts w:ascii="Times New Roman" w:eastAsia="Times New Roman" w:hAnsi="Times New Roman" w:cs="Times New Roman"/>
                <w:sz w:val="24"/>
                <w:szCs w:val="24"/>
                <w:vertAlign w:val="superscript"/>
                <w:lang w:eastAsia="lv-LV"/>
              </w:rPr>
              <w:t>, d, e</w:t>
            </w:r>
            <w:r w:rsidRPr="00EB2036">
              <w:rPr>
                <w:rFonts w:ascii="Times New Roman" w:eastAsia="Times New Roman" w:hAnsi="Times New Roman" w:cs="Times New Roman"/>
                <w:sz w:val="24"/>
                <w:szCs w:val="24"/>
                <w:vertAlign w:val="superscript"/>
                <w:lang w:eastAsia="lv-LV"/>
              </w:rPr>
              <w:br/>
            </w:r>
            <w:r w:rsidRPr="00EB2036">
              <w:rPr>
                <w:rFonts w:ascii="Times New Roman" w:eastAsia="Times New Roman" w:hAnsi="Times New Roman" w:cs="Times New Roman"/>
                <w:sz w:val="24"/>
                <w:szCs w:val="24"/>
                <w:lang w:eastAsia="lv-LV"/>
              </w:rPr>
              <w:t>gadā</w:t>
            </w:r>
          </w:p>
        </w:tc>
      </w:tr>
      <w:tr w:rsidR="006F51F0" w14:paraId="6B3E946D" w14:textId="77777777" w:rsidTr="00EB2036">
        <w:tc>
          <w:tcPr>
            <w:tcW w:w="465" w:type="pct"/>
          </w:tcPr>
          <w:p w14:paraId="6B3E946B" w14:textId="77777777" w:rsidR="006F51F0" w:rsidRPr="00EB2036" w:rsidRDefault="006F51F0" w:rsidP="00AB4C06">
            <w:pPr>
              <w:rPr>
                <w:rFonts w:ascii="Times New Roman" w:eastAsia="Times New Roman" w:hAnsi="Times New Roman" w:cs="Times New Roman"/>
                <w:bCs/>
                <w:noProof/>
                <w:sz w:val="24"/>
                <w:szCs w:val="24"/>
              </w:rPr>
            </w:pPr>
            <w:r w:rsidRPr="00EB2036">
              <w:rPr>
                <w:rFonts w:ascii="Times New Roman" w:eastAsia="Times New Roman" w:hAnsi="Times New Roman" w:cs="Times New Roman"/>
                <w:bCs/>
                <w:noProof/>
                <w:sz w:val="24"/>
                <w:szCs w:val="24"/>
              </w:rPr>
              <w:t>2.1.</w:t>
            </w:r>
          </w:p>
        </w:tc>
        <w:tc>
          <w:tcPr>
            <w:tcW w:w="4535" w:type="pct"/>
            <w:gridSpan w:val="2"/>
          </w:tcPr>
          <w:p w14:paraId="6B3E946C" w14:textId="77777777" w:rsidR="006F51F0" w:rsidRPr="00EB2036" w:rsidRDefault="006F51F0" w:rsidP="00AB4C06">
            <w:pPr>
              <w:rPr>
                <w:rFonts w:ascii="Times New Roman" w:eastAsia="Times New Roman" w:hAnsi="Times New Roman" w:cs="Times New Roman"/>
                <w:bCs/>
                <w:noProof/>
                <w:sz w:val="24"/>
                <w:szCs w:val="24"/>
              </w:rPr>
            </w:pPr>
            <w:r w:rsidRPr="00EB2036">
              <w:rPr>
                <w:rFonts w:ascii="Times New Roman" w:eastAsia="Times New Roman" w:hAnsi="Times New Roman" w:cs="Times New Roman"/>
                <w:bCs/>
                <w:noProof/>
                <w:sz w:val="24"/>
                <w:szCs w:val="24"/>
              </w:rPr>
              <w:t>ūdenim, kas nonāk dzeramā ūdens ūdensvadā un ko pilda cisternās vai piegādā pārtikas uzņēmumiem</w:t>
            </w:r>
          </w:p>
        </w:tc>
      </w:tr>
      <w:tr w:rsidR="006F51F0" w14:paraId="6B3E9471" w14:textId="77777777" w:rsidTr="00EB2036">
        <w:tc>
          <w:tcPr>
            <w:tcW w:w="465" w:type="pct"/>
          </w:tcPr>
          <w:p w14:paraId="6B3E946E" w14:textId="77777777" w:rsidR="006F51F0" w:rsidRPr="00EB2036" w:rsidRDefault="006F51F0" w:rsidP="00AB4C06">
            <w:pPr>
              <w:rPr>
                <w:rFonts w:ascii="Times New Roman" w:hAnsi="Times New Roman" w:cs="Times New Roman"/>
                <w:sz w:val="24"/>
                <w:szCs w:val="24"/>
              </w:rPr>
            </w:pPr>
            <w:r w:rsidRPr="00EB2036">
              <w:rPr>
                <w:rFonts w:ascii="Times New Roman" w:hAnsi="Times New Roman" w:cs="Times New Roman"/>
                <w:sz w:val="24"/>
                <w:szCs w:val="24"/>
              </w:rPr>
              <w:t>2.1.1.</w:t>
            </w:r>
          </w:p>
        </w:tc>
        <w:tc>
          <w:tcPr>
            <w:tcW w:w="2400" w:type="pct"/>
          </w:tcPr>
          <w:p w14:paraId="6B3E946F" w14:textId="77777777" w:rsidR="006F51F0" w:rsidRPr="00EB2036" w:rsidRDefault="006F51F0" w:rsidP="00AB4C06">
            <w:pPr>
              <w:rPr>
                <w:rFonts w:ascii="Times New Roman" w:hAnsi="Times New Roman" w:cs="Times New Roman"/>
                <w:sz w:val="24"/>
                <w:szCs w:val="24"/>
              </w:rPr>
            </w:pPr>
            <w:r w:rsidRPr="00EB2036">
              <w:rPr>
                <w:rFonts w:ascii="Times New Roman" w:hAnsi="Times New Roman" w:cs="Times New Roman"/>
                <w:sz w:val="24"/>
                <w:szCs w:val="24"/>
              </w:rPr>
              <w:t>līdz 100</w:t>
            </w:r>
          </w:p>
        </w:tc>
        <w:tc>
          <w:tcPr>
            <w:tcW w:w="2135" w:type="pct"/>
          </w:tcPr>
          <w:p w14:paraId="6B3E9470" w14:textId="77777777" w:rsidR="006F51F0" w:rsidRPr="00EB2036" w:rsidRDefault="006F51F0" w:rsidP="00AB4C06">
            <w:pPr>
              <w:rPr>
                <w:rFonts w:ascii="Times New Roman" w:hAnsi="Times New Roman" w:cs="Times New Roman"/>
                <w:sz w:val="24"/>
                <w:szCs w:val="24"/>
              </w:rPr>
            </w:pPr>
            <w:r w:rsidRPr="00EB2036">
              <w:rPr>
                <w:rFonts w:ascii="Times New Roman" w:hAnsi="Times New Roman" w:cs="Times New Roman"/>
                <w:sz w:val="24"/>
                <w:szCs w:val="24"/>
              </w:rPr>
              <w:t>1</w:t>
            </w:r>
          </w:p>
        </w:tc>
      </w:tr>
      <w:tr w:rsidR="006F51F0" w14:paraId="6B3E9475" w14:textId="77777777" w:rsidTr="00EB2036">
        <w:tc>
          <w:tcPr>
            <w:tcW w:w="465" w:type="pct"/>
          </w:tcPr>
          <w:p w14:paraId="6B3E9472" w14:textId="77777777" w:rsidR="006F51F0" w:rsidRPr="00EB2036" w:rsidRDefault="006F51F0" w:rsidP="00AB4C06">
            <w:pPr>
              <w:rPr>
                <w:rFonts w:ascii="Times New Roman" w:hAnsi="Times New Roman" w:cs="Times New Roman"/>
                <w:sz w:val="24"/>
                <w:szCs w:val="24"/>
              </w:rPr>
            </w:pPr>
            <w:r w:rsidRPr="00EB2036">
              <w:rPr>
                <w:rFonts w:ascii="Times New Roman" w:hAnsi="Times New Roman" w:cs="Times New Roman"/>
                <w:sz w:val="24"/>
                <w:szCs w:val="24"/>
              </w:rPr>
              <w:t>2.1.2.</w:t>
            </w:r>
          </w:p>
        </w:tc>
        <w:tc>
          <w:tcPr>
            <w:tcW w:w="2400" w:type="pct"/>
          </w:tcPr>
          <w:p w14:paraId="6B3E9473" w14:textId="77777777" w:rsidR="006F51F0" w:rsidRPr="00EB2036" w:rsidRDefault="006F51F0" w:rsidP="00AB4C06">
            <w:pPr>
              <w:rPr>
                <w:rFonts w:ascii="Times New Roman" w:hAnsi="Times New Roman" w:cs="Times New Roman"/>
                <w:sz w:val="24"/>
                <w:szCs w:val="24"/>
              </w:rPr>
            </w:pPr>
            <w:r w:rsidRPr="00EB2036">
              <w:rPr>
                <w:rFonts w:ascii="Times New Roman" w:hAnsi="Times New Roman" w:cs="Times New Roman"/>
                <w:sz w:val="24"/>
                <w:szCs w:val="24"/>
              </w:rPr>
              <w:t>101–1000</w:t>
            </w:r>
          </w:p>
        </w:tc>
        <w:tc>
          <w:tcPr>
            <w:tcW w:w="2135" w:type="pct"/>
          </w:tcPr>
          <w:p w14:paraId="6B3E9474" w14:textId="77777777" w:rsidR="006F51F0" w:rsidRPr="00EB2036" w:rsidRDefault="006F51F0" w:rsidP="00AB4C06">
            <w:pPr>
              <w:rPr>
                <w:rFonts w:ascii="Times New Roman" w:hAnsi="Times New Roman" w:cs="Times New Roman"/>
                <w:sz w:val="24"/>
                <w:szCs w:val="24"/>
              </w:rPr>
            </w:pPr>
            <w:r w:rsidRPr="00EB2036">
              <w:rPr>
                <w:rFonts w:ascii="Times New Roman" w:hAnsi="Times New Roman" w:cs="Times New Roman"/>
                <w:sz w:val="24"/>
                <w:szCs w:val="24"/>
              </w:rPr>
              <w:t>1</w:t>
            </w:r>
          </w:p>
        </w:tc>
      </w:tr>
      <w:tr w:rsidR="006F51F0" w14:paraId="6B3E947B" w14:textId="77777777" w:rsidTr="00EB2036">
        <w:tc>
          <w:tcPr>
            <w:tcW w:w="465" w:type="pct"/>
          </w:tcPr>
          <w:p w14:paraId="6B3E9476" w14:textId="77777777" w:rsidR="006F51F0" w:rsidRPr="00EB2036" w:rsidRDefault="006F51F0" w:rsidP="00AB4C06">
            <w:pPr>
              <w:rPr>
                <w:rFonts w:ascii="Times New Roman" w:hAnsi="Times New Roman" w:cs="Times New Roman"/>
                <w:sz w:val="24"/>
                <w:szCs w:val="24"/>
              </w:rPr>
            </w:pPr>
            <w:r w:rsidRPr="00EB2036">
              <w:rPr>
                <w:rFonts w:ascii="Times New Roman" w:hAnsi="Times New Roman" w:cs="Times New Roman"/>
                <w:sz w:val="24"/>
                <w:szCs w:val="24"/>
              </w:rPr>
              <w:t>2.1.3.</w:t>
            </w:r>
          </w:p>
        </w:tc>
        <w:tc>
          <w:tcPr>
            <w:tcW w:w="2400" w:type="pct"/>
          </w:tcPr>
          <w:p w14:paraId="6B3E9477" w14:textId="77777777" w:rsidR="006F51F0" w:rsidRPr="00EB2036" w:rsidRDefault="006F51F0" w:rsidP="00AB4C06">
            <w:pPr>
              <w:rPr>
                <w:rFonts w:ascii="Times New Roman" w:hAnsi="Times New Roman" w:cs="Times New Roman"/>
                <w:sz w:val="24"/>
                <w:szCs w:val="24"/>
              </w:rPr>
            </w:pPr>
            <w:r w:rsidRPr="00EB2036">
              <w:rPr>
                <w:rFonts w:ascii="Times New Roman" w:hAnsi="Times New Roman" w:cs="Times New Roman"/>
                <w:sz w:val="24"/>
                <w:szCs w:val="24"/>
              </w:rPr>
              <w:t>1001–10 000</w:t>
            </w:r>
          </w:p>
        </w:tc>
        <w:tc>
          <w:tcPr>
            <w:tcW w:w="2135" w:type="pct"/>
          </w:tcPr>
          <w:p w14:paraId="6B3E9478" w14:textId="77777777" w:rsidR="006F51F0" w:rsidRPr="00EB2036" w:rsidRDefault="006F51F0" w:rsidP="00EB2036">
            <w:pPr>
              <w:rPr>
                <w:rFonts w:ascii="Times New Roman" w:hAnsi="Times New Roman" w:cs="Times New Roman"/>
                <w:sz w:val="24"/>
                <w:szCs w:val="24"/>
              </w:rPr>
            </w:pPr>
            <w:r w:rsidRPr="00EB2036">
              <w:rPr>
                <w:rFonts w:ascii="Times New Roman" w:hAnsi="Times New Roman" w:cs="Times New Roman"/>
                <w:sz w:val="24"/>
                <w:szCs w:val="24"/>
              </w:rPr>
              <w:t xml:space="preserve">1 </w:t>
            </w:r>
          </w:p>
          <w:p w14:paraId="6B3E947A" w14:textId="154FC46F" w:rsidR="006F51F0" w:rsidRPr="00EB2036" w:rsidRDefault="006F51F0" w:rsidP="00EB2036">
            <w:pPr>
              <w:rPr>
                <w:rFonts w:ascii="Times New Roman" w:hAnsi="Times New Roman" w:cs="Times New Roman"/>
                <w:sz w:val="24"/>
                <w:szCs w:val="24"/>
              </w:rPr>
            </w:pPr>
            <w:r w:rsidRPr="00EB2036">
              <w:rPr>
                <w:rFonts w:ascii="Times New Roman" w:hAnsi="Times New Roman" w:cs="Times New Roman"/>
                <w:sz w:val="24"/>
                <w:szCs w:val="24"/>
              </w:rPr>
              <w:t>+ 1 no katriem 3300 m</w:t>
            </w:r>
            <w:r w:rsidRPr="00EB2036">
              <w:rPr>
                <w:rFonts w:ascii="Times New Roman" w:hAnsi="Times New Roman" w:cs="Times New Roman"/>
                <w:sz w:val="24"/>
                <w:szCs w:val="24"/>
                <w:vertAlign w:val="superscript"/>
              </w:rPr>
              <w:t>3</w:t>
            </w:r>
            <w:r w:rsidRPr="00EB2036">
              <w:rPr>
                <w:rFonts w:ascii="Times New Roman" w:hAnsi="Times New Roman" w:cs="Times New Roman"/>
                <w:sz w:val="24"/>
                <w:szCs w:val="24"/>
              </w:rPr>
              <w:t>/d proporcionāli to daļai kopējā tilpumā</w:t>
            </w:r>
          </w:p>
        </w:tc>
      </w:tr>
      <w:tr w:rsidR="006F51F0" w14:paraId="6B3E9481" w14:textId="77777777" w:rsidTr="00EB2036">
        <w:tc>
          <w:tcPr>
            <w:tcW w:w="465" w:type="pct"/>
          </w:tcPr>
          <w:p w14:paraId="6B3E947C" w14:textId="77777777" w:rsidR="006F51F0" w:rsidRPr="00EB2036" w:rsidRDefault="006F51F0" w:rsidP="00AB4C06">
            <w:pPr>
              <w:rPr>
                <w:rFonts w:ascii="Times New Roman" w:hAnsi="Times New Roman" w:cs="Times New Roman"/>
                <w:sz w:val="24"/>
                <w:szCs w:val="24"/>
              </w:rPr>
            </w:pPr>
            <w:r w:rsidRPr="00EB2036">
              <w:rPr>
                <w:rFonts w:ascii="Times New Roman" w:hAnsi="Times New Roman" w:cs="Times New Roman"/>
                <w:sz w:val="24"/>
                <w:szCs w:val="24"/>
              </w:rPr>
              <w:t>2.1.4.</w:t>
            </w:r>
          </w:p>
        </w:tc>
        <w:tc>
          <w:tcPr>
            <w:tcW w:w="2400" w:type="pct"/>
          </w:tcPr>
          <w:p w14:paraId="6B3E947D" w14:textId="77777777" w:rsidR="006F51F0" w:rsidRPr="00EB2036" w:rsidRDefault="006F51F0" w:rsidP="00AB4C06">
            <w:pPr>
              <w:rPr>
                <w:rFonts w:ascii="Times New Roman" w:hAnsi="Times New Roman" w:cs="Times New Roman"/>
                <w:sz w:val="24"/>
                <w:szCs w:val="24"/>
              </w:rPr>
            </w:pPr>
            <w:r w:rsidRPr="00EB2036">
              <w:rPr>
                <w:rFonts w:ascii="Times New Roman" w:hAnsi="Times New Roman" w:cs="Times New Roman"/>
                <w:sz w:val="24"/>
                <w:szCs w:val="24"/>
              </w:rPr>
              <w:t>10 001–100 000</w:t>
            </w:r>
          </w:p>
        </w:tc>
        <w:tc>
          <w:tcPr>
            <w:tcW w:w="2135" w:type="pct"/>
          </w:tcPr>
          <w:p w14:paraId="6B3E947E" w14:textId="77777777" w:rsidR="006F51F0" w:rsidRPr="00EB2036" w:rsidRDefault="006F51F0" w:rsidP="00EB2036">
            <w:pPr>
              <w:rPr>
                <w:rFonts w:ascii="Times New Roman" w:hAnsi="Times New Roman" w:cs="Times New Roman"/>
                <w:sz w:val="24"/>
                <w:szCs w:val="24"/>
              </w:rPr>
            </w:pPr>
            <w:r w:rsidRPr="00EB2036">
              <w:rPr>
                <w:rFonts w:ascii="Times New Roman" w:hAnsi="Times New Roman" w:cs="Times New Roman"/>
                <w:sz w:val="24"/>
                <w:szCs w:val="24"/>
              </w:rPr>
              <w:t xml:space="preserve">3 </w:t>
            </w:r>
          </w:p>
          <w:p w14:paraId="6B3E9480" w14:textId="42FC7CFF" w:rsidR="006F51F0" w:rsidRPr="00EB2036" w:rsidRDefault="006F51F0" w:rsidP="00EB2036">
            <w:pPr>
              <w:rPr>
                <w:rFonts w:ascii="Times New Roman" w:hAnsi="Times New Roman" w:cs="Times New Roman"/>
                <w:sz w:val="24"/>
                <w:szCs w:val="24"/>
              </w:rPr>
            </w:pPr>
            <w:r w:rsidRPr="00EB2036">
              <w:rPr>
                <w:rFonts w:ascii="Times New Roman" w:hAnsi="Times New Roman" w:cs="Times New Roman"/>
                <w:sz w:val="24"/>
                <w:szCs w:val="24"/>
              </w:rPr>
              <w:t>+ 1 no katriem 10 000 m</w:t>
            </w:r>
            <w:r w:rsidRPr="00EB2036">
              <w:rPr>
                <w:rFonts w:ascii="Times New Roman" w:hAnsi="Times New Roman" w:cs="Times New Roman"/>
                <w:sz w:val="24"/>
                <w:szCs w:val="24"/>
                <w:vertAlign w:val="superscript"/>
              </w:rPr>
              <w:t>3</w:t>
            </w:r>
            <w:r w:rsidRPr="00EB2036">
              <w:rPr>
                <w:rFonts w:ascii="Times New Roman" w:hAnsi="Times New Roman" w:cs="Times New Roman"/>
                <w:sz w:val="24"/>
                <w:szCs w:val="24"/>
              </w:rPr>
              <w:t>/d proporcionāli to daļai kopējā tilpumā</w:t>
            </w:r>
          </w:p>
        </w:tc>
      </w:tr>
      <w:tr w:rsidR="006F51F0" w14:paraId="6B3E9487" w14:textId="77777777" w:rsidTr="00EB2036">
        <w:tc>
          <w:tcPr>
            <w:tcW w:w="465" w:type="pct"/>
          </w:tcPr>
          <w:p w14:paraId="6B3E9482" w14:textId="77777777" w:rsidR="006F51F0" w:rsidRPr="00EB2036" w:rsidRDefault="006F51F0" w:rsidP="00AB4C06">
            <w:pPr>
              <w:rPr>
                <w:rFonts w:ascii="Times New Roman" w:hAnsi="Times New Roman" w:cs="Times New Roman"/>
                <w:sz w:val="24"/>
                <w:szCs w:val="24"/>
              </w:rPr>
            </w:pPr>
            <w:r w:rsidRPr="00EB2036">
              <w:rPr>
                <w:rFonts w:ascii="Times New Roman" w:hAnsi="Times New Roman" w:cs="Times New Roman"/>
                <w:sz w:val="24"/>
                <w:szCs w:val="24"/>
              </w:rPr>
              <w:t>2.1.5.</w:t>
            </w:r>
          </w:p>
        </w:tc>
        <w:tc>
          <w:tcPr>
            <w:tcW w:w="2400" w:type="pct"/>
          </w:tcPr>
          <w:p w14:paraId="6B3E9483" w14:textId="77777777" w:rsidR="006F51F0" w:rsidRPr="00EB2036" w:rsidRDefault="006F51F0" w:rsidP="00AB4C06">
            <w:pPr>
              <w:rPr>
                <w:rFonts w:ascii="Times New Roman" w:hAnsi="Times New Roman" w:cs="Times New Roman"/>
                <w:sz w:val="24"/>
                <w:szCs w:val="24"/>
              </w:rPr>
            </w:pPr>
            <w:r w:rsidRPr="00EB2036">
              <w:rPr>
                <w:rFonts w:ascii="Times New Roman" w:hAnsi="Times New Roman" w:cs="Times New Roman"/>
                <w:sz w:val="24"/>
                <w:szCs w:val="24"/>
              </w:rPr>
              <w:t>vairāk par 100 000</w:t>
            </w:r>
          </w:p>
        </w:tc>
        <w:tc>
          <w:tcPr>
            <w:tcW w:w="2135" w:type="pct"/>
          </w:tcPr>
          <w:p w14:paraId="6B3E9484" w14:textId="77777777" w:rsidR="006F51F0" w:rsidRPr="00EB2036" w:rsidRDefault="006F51F0" w:rsidP="00EB2036">
            <w:pPr>
              <w:rPr>
                <w:rFonts w:ascii="Times New Roman" w:hAnsi="Times New Roman" w:cs="Times New Roman"/>
                <w:sz w:val="24"/>
                <w:szCs w:val="24"/>
              </w:rPr>
            </w:pPr>
            <w:r w:rsidRPr="00EB2036">
              <w:rPr>
                <w:rFonts w:ascii="Times New Roman" w:hAnsi="Times New Roman" w:cs="Times New Roman"/>
                <w:sz w:val="24"/>
                <w:szCs w:val="24"/>
              </w:rPr>
              <w:t xml:space="preserve">10 </w:t>
            </w:r>
          </w:p>
          <w:p w14:paraId="6B3E9486" w14:textId="48FF79D2" w:rsidR="006F51F0" w:rsidRPr="00EB2036" w:rsidRDefault="006F51F0" w:rsidP="00EB2036">
            <w:pPr>
              <w:rPr>
                <w:rFonts w:ascii="Times New Roman" w:hAnsi="Times New Roman" w:cs="Times New Roman"/>
                <w:sz w:val="24"/>
                <w:szCs w:val="24"/>
              </w:rPr>
            </w:pPr>
            <w:r w:rsidRPr="00EB2036">
              <w:rPr>
                <w:rFonts w:ascii="Times New Roman" w:hAnsi="Times New Roman" w:cs="Times New Roman"/>
                <w:sz w:val="24"/>
                <w:szCs w:val="24"/>
              </w:rPr>
              <w:t>+ 1 no katriem 25 000 m</w:t>
            </w:r>
            <w:r w:rsidRPr="00EB2036">
              <w:rPr>
                <w:rFonts w:ascii="Times New Roman" w:hAnsi="Times New Roman" w:cs="Times New Roman"/>
                <w:sz w:val="24"/>
                <w:szCs w:val="24"/>
                <w:vertAlign w:val="superscript"/>
              </w:rPr>
              <w:t>3</w:t>
            </w:r>
            <w:r w:rsidRPr="00EB2036">
              <w:rPr>
                <w:rFonts w:ascii="Times New Roman" w:hAnsi="Times New Roman" w:cs="Times New Roman"/>
                <w:sz w:val="24"/>
                <w:szCs w:val="24"/>
              </w:rPr>
              <w:t>/d proporcionāli to daļai kopējā tilpumā</w:t>
            </w:r>
          </w:p>
        </w:tc>
      </w:tr>
      <w:tr w:rsidR="006F51F0" w14:paraId="6B3E948B" w14:textId="77777777" w:rsidTr="00EB2036">
        <w:tc>
          <w:tcPr>
            <w:tcW w:w="465" w:type="pct"/>
          </w:tcPr>
          <w:p w14:paraId="6B3E9488" w14:textId="77777777" w:rsidR="006F51F0" w:rsidRPr="00EB2036" w:rsidRDefault="006F51F0" w:rsidP="00AB4C06">
            <w:pPr>
              <w:rPr>
                <w:rFonts w:ascii="Times New Roman" w:hAnsi="Times New Roman" w:cs="Times New Roman"/>
                <w:sz w:val="24"/>
                <w:szCs w:val="24"/>
              </w:rPr>
            </w:pPr>
            <w:r w:rsidRPr="00EB2036">
              <w:rPr>
                <w:rFonts w:ascii="Times New Roman" w:hAnsi="Times New Roman" w:cs="Times New Roman"/>
                <w:sz w:val="24"/>
                <w:szCs w:val="24"/>
              </w:rPr>
              <w:t>2.2.</w:t>
            </w:r>
          </w:p>
        </w:tc>
        <w:tc>
          <w:tcPr>
            <w:tcW w:w="2400" w:type="pct"/>
          </w:tcPr>
          <w:p w14:paraId="6B3E9489" w14:textId="77777777" w:rsidR="006F51F0" w:rsidRPr="00EB2036" w:rsidRDefault="006F51F0" w:rsidP="00AB4C06">
            <w:pPr>
              <w:rPr>
                <w:rFonts w:ascii="Times New Roman" w:hAnsi="Times New Roman" w:cs="Times New Roman"/>
                <w:sz w:val="24"/>
                <w:szCs w:val="24"/>
              </w:rPr>
            </w:pPr>
            <w:r w:rsidRPr="00EB2036">
              <w:rPr>
                <w:rFonts w:ascii="Times New Roman" w:hAnsi="Times New Roman" w:cs="Times New Roman"/>
                <w:sz w:val="24"/>
                <w:szCs w:val="24"/>
              </w:rPr>
              <w:t xml:space="preserve">pudelēs vai citos traukos pildītam dzeramajam ūdenim, kas paredzēts </w:t>
            </w:r>
            <w:r w:rsidRPr="00EB2036">
              <w:rPr>
                <w:rFonts w:ascii="Times New Roman" w:hAnsi="Times New Roman" w:cs="Times New Roman"/>
                <w:sz w:val="24"/>
                <w:szCs w:val="24"/>
              </w:rPr>
              <w:lastRenderedPageBreak/>
              <w:t>tirdzniecībai</w:t>
            </w:r>
          </w:p>
        </w:tc>
        <w:tc>
          <w:tcPr>
            <w:tcW w:w="2135" w:type="pct"/>
          </w:tcPr>
          <w:p w14:paraId="6B3E948A" w14:textId="77777777" w:rsidR="006F51F0" w:rsidRPr="00EB2036" w:rsidRDefault="006F51F0" w:rsidP="00AB4C06">
            <w:pPr>
              <w:rPr>
                <w:rFonts w:ascii="Times New Roman" w:hAnsi="Times New Roman" w:cs="Times New Roman"/>
                <w:sz w:val="24"/>
                <w:szCs w:val="24"/>
              </w:rPr>
            </w:pPr>
            <w:r w:rsidRPr="00EB2036">
              <w:rPr>
                <w:rFonts w:ascii="Times New Roman" w:hAnsi="Times New Roman" w:cs="Times New Roman"/>
                <w:sz w:val="24"/>
                <w:szCs w:val="24"/>
              </w:rPr>
              <w:lastRenderedPageBreak/>
              <w:t>1</w:t>
            </w:r>
          </w:p>
        </w:tc>
      </w:tr>
    </w:tbl>
    <w:p w14:paraId="28CD0092" w14:textId="77777777" w:rsidR="00EB2036" w:rsidRDefault="00EB2036" w:rsidP="00EB2036">
      <w:pPr>
        <w:spacing w:after="0" w:line="240" w:lineRule="auto"/>
        <w:ind w:firstLine="709"/>
        <w:jc w:val="both"/>
        <w:rPr>
          <w:rFonts w:ascii="Times New Roman" w:eastAsia="Times New Roman" w:hAnsi="Times New Roman" w:cs="Times New Roman"/>
          <w:bCs/>
          <w:noProof/>
          <w:sz w:val="24"/>
          <w:szCs w:val="24"/>
        </w:rPr>
      </w:pPr>
    </w:p>
    <w:p w14:paraId="6B3E948C" w14:textId="0186BB53" w:rsidR="006F51F0" w:rsidRPr="006F51F0" w:rsidRDefault="006F51F0" w:rsidP="00EB2036">
      <w:pPr>
        <w:spacing w:after="0" w:line="240" w:lineRule="auto"/>
        <w:ind w:firstLine="709"/>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Piezīmes.</w:t>
      </w:r>
    </w:p>
    <w:p w14:paraId="6B3E948D" w14:textId="10181818" w:rsidR="006F51F0" w:rsidRPr="006F51F0" w:rsidRDefault="006F51F0" w:rsidP="00EB2036">
      <w:pPr>
        <w:spacing w:after="0" w:line="240" w:lineRule="auto"/>
        <w:ind w:firstLine="709"/>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vertAlign w:val="superscript"/>
        </w:rPr>
        <w:t>a</w:t>
      </w:r>
      <w:r w:rsidRPr="006F51F0">
        <w:rPr>
          <w:rFonts w:ascii="Times New Roman" w:eastAsia="Times New Roman" w:hAnsi="Times New Roman" w:cs="Times New Roman"/>
          <w:bCs/>
          <w:noProof/>
          <w:sz w:val="24"/>
          <w:szCs w:val="24"/>
        </w:rPr>
        <w:t xml:space="preserve"> Piegādes zona ir ģeogrāfiski noteikts apgabals, kurā dzeramo ūdeni piegādā no viena vai vairākiem resursiem un kurā dzeramā ūdens kvalitāte tiek uzskatīta par līdzīgu.</w:t>
      </w:r>
    </w:p>
    <w:p w14:paraId="6B3E948E" w14:textId="77777777" w:rsidR="006F51F0" w:rsidRPr="006F51F0" w:rsidRDefault="006F51F0" w:rsidP="00EB2036">
      <w:pPr>
        <w:spacing w:after="0" w:line="240" w:lineRule="auto"/>
        <w:ind w:firstLine="709"/>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vertAlign w:val="superscript"/>
        </w:rPr>
        <w:t>b</w:t>
      </w:r>
      <w:r w:rsidRPr="006F51F0">
        <w:rPr>
          <w:rFonts w:ascii="Times New Roman" w:eastAsia="Times New Roman" w:hAnsi="Times New Roman" w:cs="Times New Roman"/>
          <w:bCs/>
          <w:noProof/>
          <w:sz w:val="24"/>
          <w:szCs w:val="24"/>
        </w:rPr>
        <w:t xml:space="preserve"> Daudzumu aprēķina kā vidējos lielumus kalendāra gada laikā.</w:t>
      </w:r>
    </w:p>
    <w:p w14:paraId="6B3E948F" w14:textId="77777777" w:rsidR="006F51F0" w:rsidRPr="006F51F0" w:rsidRDefault="006F51F0" w:rsidP="00EB2036">
      <w:pPr>
        <w:spacing w:after="0" w:line="240" w:lineRule="auto"/>
        <w:ind w:firstLine="709"/>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vertAlign w:val="superscript"/>
        </w:rPr>
        <w:t>c</w:t>
      </w:r>
      <w:r w:rsidRPr="006F51F0">
        <w:rPr>
          <w:rFonts w:ascii="Times New Roman" w:eastAsia="Times New Roman" w:hAnsi="Times New Roman" w:cs="Times New Roman"/>
          <w:bCs/>
          <w:noProof/>
          <w:sz w:val="24"/>
          <w:szCs w:val="24"/>
        </w:rPr>
        <w:t xml:space="preserve"> Ciktāl iespējams, paraugu skaits jāsadala vienādi attiecībā uz laiku un vietu.</w:t>
      </w:r>
    </w:p>
    <w:p w14:paraId="6B3E9490" w14:textId="77777777" w:rsidR="006F51F0" w:rsidRPr="006F51F0" w:rsidRDefault="006F51F0" w:rsidP="00EB2036">
      <w:pPr>
        <w:spacing w:after="0" w:line="240" w:lineRule="auto"/>
        <w:ind w:firstLine="709"/>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vertAlign w:val="superscript"/>
        </w:rPr>
        <w:t>d</w:t>
      </w:r>
      <w:r w:rsidRPr="006F51F0">
        <w:rPr>
          <w:rFonts w:ascii="Times New Roman" w:eastAsia="Times New Roman" w:hAnsi="Times New Roman" w:cs="Times New Roman"/>
          <w:bCs/>
          <w:noProof/>
          <w:sz w:val="24"/>
          <w:szCs w:val="24"/>
        </w:rPr>
        <w:t xml:space="preserve"> Norādītais paraugu skaits gadā attiecas uz radona rādītāja kontroli.</w:t>
      </w:r>
    </w:p>
    <w:p w14:paraId="6B3E9491" w14:textId="77777777" w:rsidR="006F51F0" w:rsidRPr="006F51F0" w:rsidRDefault="006F51F0" w:rsidP="00EB2036">
      <w:pPr>
        <w:spacing w:after="0" w:line="240" w:lineRule="auto"/>
        <w:ind w:firstLine="709"/>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vertAlign w:val="superscript"/>
        </w:rPr>
        <w:t>e</w:t>
      </w:r>
      <w:r w:rsidRPr="006F51F0">
        <w:rPr>
          <w:rFonts w:ascii="Times New Roman" w:eastAsia="Times New Roman" w:hAnsi="Times New Roman" w:cs="Times New Roman"/>
          <w:bCs/>
          <w:noProof/>
          <w:sz w:val="24"/>
          <w:szCs w:val="24"/>
        </w:rPr>
        <w:t xml:space="preserve"> Paraugus ņem regulāri, lai analīžu rezultāti raksturotu gada vidējās dzeramajam ūdenim noteiktās radioaktīvo vielu rādītāju vērtības.</w:t>
      </w:r>
    </w:p>
    <w:p w14:paraId="329B9C32" w14:textId="77777777" w:rsidR="00AB4C06" w:rsidRDefault="00AB4C06" w:rsidP="00EB2036">
      <w:pPr>
        <w:spacing w:after="0" w:line="240" w:lineRule="auto"/>
        <w:ind w:firstLine="709"/>
        <w:jc w:val="both"/>
        <w:rPr>
          <w:rFonts w:ascii="Times New Roman" w:eastAsia="Times New Roman" w:hAnsi="Times New Roman" w:cs="Times New Roman"/>
          <w:b/>
          <w:bCs/>
          <w:noProof/>
          <w:sz w:val="24"/>
          <w:szCs w:val="24"/>
        </w:rPr>
      </w:pPr>
    </w:p>
    <w:p w14:paraId="6B3E9492" w14:textId="6173CD66" w:rsidR="006F51F0" w:rsidRPr="00E74A6D" w:rsidRDefault="006F51F0" w:rsidP="00E74A6D">
      <w:pPr>
        <w:spacing w:after="0" w:line="240" w:lineRule="auto"/>
        <w:ind w:firstLine="709"/>
        <w:jc w:val="both"/>
        <w:rPr>
          <w:rFonts w:ascii="Times New Roman" w:eastAsia="Times New Roman" w:hAnsi="Times New Roman" w:cs="Times New Roman"/>
          <w:bCs/>
          <w:noProof/>
          <w:sz w:val="28"/>
          <w:szCs w:val="28"/>
        </w:rPr>
      </w:pPr>
      <w:r w:rsidRPr="00E74A6D">
        <w:rPr>
          <w:rFonts w:ascii="Times New Roman" w:eastAsia="Times New Roman" w:hAnsi="Times New Roman" w:cs="Times New Roman"/>
          <w:bCs/>
          <w:noProof/>
          <w:sz w:val="28"/>
          <w:szCs w:val="28"/>
        </w:rPr>
        <w:t>3. Radioaktīvo vielu rādītāju novērtēšanas metodes:</w:t>
      </w:r>
    </w:p>
    <w:p w14:paraId="6B3E9493" w14:textId="77777777" w:rsidR="006F51F0" w:rsidRPr="00E74A6D" w:rsidRDefault="006F51F0" w:rsidP="00E74A6D">
      <w:pPr>
        <w:spacing w:after="0" w:line="240" w:lineRule="auto"/>
        <w:ind w:firstLine="709"/>
        <w:jc w:val="both"/>
        <w:rPr>
          <w:rFonts w:ascii="Times New Roman" w:eastAsia="Times New Roman" w:hAnsi="Times New Roman" w:cs="Times New Roman"/>
          <w:bCs/>
          <w:noProof/>
          <w:sz w:val="28"/>
          <w:szCs w:val="28"/>
        </w:rPr>
      </w:pPr>
      <w:r w:rsidRPr="00E74A6D">
        <w:rPr>
          <w:rFonts w:ascii="Times New Roman" w:eastAsia="Times New Roman" w:hAnsi="Times New Roman" w:cs="Times New Roman"/>
          <w:bCs/>
          <w:noProof/>
          <w:sz w:val="28"/>
          <w:szCs w:val="28"/>
        </w:rPr>
        <w:t>3.1. indikatīvās dozas (ID) rādītāju vērtības novērtēšana:</w:t>
      </w:r>
    </w:p>
    <w:p w14:paraId="6B3E9494" w14:textId="5B202957" w:rsidR="006F51F0" w:rsidRPr="00E74A6D" w:rsidRDefault="006F51F0" w:rsidP="00E74A6D">
      <w:pPr>
        <w:spacing w:after="0" w:line="240" w:lineRule="auto"/>
        <w:ind w:firstLine="709"/>
        <w:jc w:val="both"/>
        <w:rPr>
          <w:rFonts w:ascii="Times New Roman" w:eastAsia="Times New Roman" w:hAnsi="Times New Roman" w:cs="Times New Roman"/>
          <w:bCs/>
          <w:noProof/>
          <w:sz w:val="28"/>
          <w:szCs w:val="28"/>
        </w:rPr>
      </w:pPr>
      <w:r w:rsidRPr="00E74A6D">
        <w:rPr>
          <w:rFonts w:ascii="Times New Roman" w:eastAsia="Times New Roman" w:hAnsi="Times New Roman" w:cs="Times New Roman"/>
          <w:bCs/>
          <w:noProof/>
          <w:sz w:val="28"/>
          <w:szCs w:val="28"/>
        </w:rPr>
        <w:t>3.1.1.</w:t>
      </w:r>
      <w:r w:rsidR="00530029">
        <w:rPr>
          <w:rFonts w:ascii="Times New Roman" w:eastAsia="Times New Roman" w:hAnsi="Times New Roman" w:cs="Times New Roman"/>
          <w:bCs/>
          <w:noProof/>
          <w:sz w:val="28"/>
          <w:szCs w:val="28"/>
        </w:rPr>
        <w:t> </w:t>
      </w:r>
      <w:r w:rsidRPr="00E74A6D">
        <w:rPr>
          <w:rFonts w:ascii="Times New Roman" w:eastAsia="Times New Roman" w:hAnsi="Times New Roman" w:cs="Times New Roman"/>
          <w:bCs/>
          <w:noProof/>
          <w:sz w:val="28"/>
          <w:szCs w:val="28"/>
        </w:rPr>
        <w:t xml:space="preserve">indikatīvās dozas (ID) novērtēšanai izmanto kopējās alfa radioaktivitātes un kopējās </w:t>
      </w:r>
      <w:r w:rsidR="00173BB7">
        <w:rPr>
          <w:rFonts w:ascii="Times New Roman" w:eastAsia="Times New Roman" w:hAnsi="Times New Roman" w:cs="Times New Roman"/>
          <w:bCs/>
          <w:noProof/>
          <w:sz w:val="28"/>
          <w:szCs w:val="28"/>
        </w:rPr>
        <w:t>beta</w:t>
      </w:r>
      <w:r w:rsidRPr="00E74A6D">
        <w:rPr>
          <w:rFonts w:ascii="Times New Roman" w:eastAsia="Times New Roman" w:hAnsi="Times New Roman" w:cs="Times New Roman"/>
          <w:bCs/>
          <w:noProof/>
          <w:sz w:val="28"/>
          <w:szCs w:val="28"/>
        </w:rPr>
        <w:t xml:space="preserve"> radioaktivitātes vērtību noteikšanu. Kopējo </w:t>
      </w:r>
      <w:r w:rsidR="00173BB7">
        <w:rPr>
          <w:rFonts w:ascii="Times New Roman" w:eastAsia="Times New Roman" w:hAnsi="Times New Roman" w:cs="Times New Roman"/>
          <w:bCs/>
          <w:noProof/>
          <w:sz w:val="28"/>
          <w:szCs w:val="28"/>
        </w:rPr>
        <w:t>beta</w:t>
      </w:r>
      <w:r w:rsidRPr="00E74A6D">
        <w:rPr>
          <w:rFonts w:ascii="Times New Roman" w:eastAsia="Times New Roman" w:hAnsi="Times New Roman" w:cs="Times New Roman"/>
          <w:bCs/>
          <w:noProof/>
          <w:sz w:val="28"/>
          <w:szCs w:val="28"/>
        </w:rPr>
        <w:t xml:space="preserve"> radioaktivitātes vērtību var aizstāt ar atlikušo </w:t>
      </w:r>
      <w:r w:rsidR="00173BB7">
        <w:rPr>
          <w:rFonts w:ascii="Times New Roman" w:eastAsia="Times New Roman" w:hAnsi="Times New Roman" w:cs="Times New Roman"/>
          <w:bCs/>
          <w:noProof/>
          <w:sz w:val="28"/>
          <w:szCs w:val="28"/>
        </w:rPr>
        <w:t>beta</w:t>
      </w:r>
      <w:r w:rsidRPr="00E74A6D">
        <w:rPr>
          <w:rFonts w:ascii="Times New Roman" w:eastAsia="Times New Roman" w:hAnsi="Times New Roman" w:cs="Times New Roman"/>
          <w:bCs/>
          <w:noProof/>
          <w:sz w:val="28"/>
          <w:szCs w:val="28"/>
        </w:rPr>
        <w:t xml:space="preserve"> radioaktivitātes vērtību pēc tam, kad tiek atņemta K-40 radioaktivitātes vērtība;</w:t>
      </w:r>
    </w:p>
    <w:p w14:paraId="6B3E9495" w14:textId="3190D8D0" w:rsidR="006F51F0" w:rsidRPr="00E74A6D" w:rsidRDefault="006F51F0" w:rsidP="00E74A6D">
      <w:pPr>
        <w:spacing w:after="0" w:line="240" w:lineRule="auto"/>
        <w:ind w:firstLine="709"/>
        <w:jc w:val="both"/>
        <w:rPr>
          <w:rFonts w:ascii="Times New Roman" w:eastAsia="Times New Roman" w:hAnsi="Times New Roman" w:cs="Times New Roman"/>
          <w:bCs/>
          <w:noProof/>
          <w:sz w:val="28"/>
          <w:szCs w:val="28"/>
        </w:rPr>
      </w:pPr>
      <w:r w:rsidRPr="00E74A6D">
        <w:rPr>
          <w:rFonts w:ascii="Times New Roman" w:eastAsia="Times New Roman" w:hAnsi="Times New Roman" w:cs="Times New Roman"/>
          <w:bCs/>
          <w:noProof/>
          <w:sz w:val="28"/>
          <w:szCs w:val="28"/>
        </w:rPr>
        <w:t xml:space="preserve">3.1.2. ja kopējā alfa starojuma avotu īpatnējā radioaktivitāte nepārsniedz 0,1 Bq/l un kopējā </w:t>
      </w:r>
      <w:r w:rsidR="00173BB7">
        <w:rPr>
          <w:rFonts w:ascii="Times New Roman" w:eastAsia="Times New Roman" w:hAnsi="Times New Roman" w:cs="Times New Roman"/>
          <w:bCs/>
          <w:noProof/>
          <w:sz w:val="28"/>
          <w:szCs w:val="28"/>
        </w:rPr>
        <w:t>beta</w:t>
      </w:r>
      <w:r w:rsidRPr="00E74A6D">
        <w:rPr>
          <w:rFonts w:ascii="Times New Roman" w:eastAsia="Times New Roman" w:hAnsi="Times New Roman" w:cs="Times New Roman"/>
          <w:bCs/>
          <w:noProof/>
          <w:sz w:val="28"/>
          <w:szCs w:val="28"/>
        </w:rPr>
        <w:t xml:space="preserve"> starojuma avotu īpatnējā radioaktivitāte nepārsniedz 1</w:t>
      </w:r>
      <w:r w:rsidR="00FF5693">
        <w:rPr>
          <w:rFonts w:ascii="Times New Roman" w:eastAsia="Times New Roman" w:hAnsi="Times New Roman" w:cs="Times New Roman"/>
          <w:bCs/>
          <w:noProof/>
          <w:sz w:val="28"/>
          <w:szCs w:val="28"/>
        </w:rPr>
        <w:t> </w:t>
      </w:r>
      <w:r w:rsidRPr="00E74A6D">
        <w:rPr>
          <w:rFonts w:ascii="Times New Roman" w:eastAsia="Times New Roman" w:hAnsi="Times New Roman" w:cs="Times New Roman"/>
          <w:bCs/>
          <w:noProof/>
          <w:sz w:val="28"/>
          <w:szCs w:val="28"/>
        </w:rPr>
        <w:t>Bq/l, tad indikatīvā doza (ID) ir mazāka par rādītāja vērtību 0,1 mSv gadā. Šādā gadījumā nav nepieciešami plašāki radioloģiskie izmeklējumi, ja vien nav zināms, ka ūdens apgādē atrodas radionuklīdi, kuru dēļ ir iespējams pārsniegt indikatīvo dozu (ID) 0,1 mSv gadā;</w:t>
      </w:r>
    </w:p>
    <w:p w14:paraId="6B3E9496" w14:textId="6675293B" w:rsidR="006F51F0" w:rsidRPr="00E74A6D" w:rsidRDefault="006F51F0" w:rsidP="00E74A6D">
      <w:pPr>
        <w:spacing w:after="0" w:line="240" w:lineRule="auto"/>
        <w:ind w:firstLine="709"/>
        <w:jc w:val="both"/>
        <w:rPr>
          <w:rFonts w:ascii="Times New Roman" w:eastAsia="Times New Roman" w:hAnsi="Times New Roman" w:cs="Times New Roman"/>
          <w:bCs/>
          <w:noProof/>
          <w:sz w:val="28"/>
          <w:szCs w:val="28"/>
        </w:rPr>
      </w:pPr>
      <w:r w:rsidRPr="00E74A6D">
        <w:rPr>
          <w:rFonts w:ascii="Times New Roman" w:eastAsia="Times New Roman" w:hAnsi="Times New Roman" w:cs="Times New Roman"/>
          <w:bCs/>
          <w:noProof/>
          <w:sz w:val="28"/>
          <w:szCs w:val="28"/>
        </w:rPr>
        <w:t>3.1.3. ja kopējā alfa starojuma avotu īpatnējā radioaktivitāte pārsniedz 0,1</w:t>
      </w:r>
      <w:r w:rsidR="00FF5693">
        <w:rPr>
          <w:rFonts w:ascii="Times New Roman" w:eastAsia="Times New Roman" w:hAnsi="Times New Roman" w:cs="Times New Roman"/>
          <w:bCs/>
          <w:noProof/>
          <w:sz w:val="28"/>
          <w:szCs w:val="28"/>
        </w:rPr>
        <w:t> </w:t>
      </w:r>
      <w:r w:rsidRPr="00E74A6D">
        <w:rPr>
          <w:rFonts w:ascii="Times New Roman" w:eastAsia="Times New Roman" w:hAnsi="Times New Roman" w:cs="Times New Roman"/>
          <w:bCs/>
          <w:noProof/>
          <w:sz w:val="28"/>
          <w:szCs w:val="28"/>
        </w:rPr>
        <w:t xml:space="preserve">Bq/l vai kopējā </w:t>
      </w:r>
      <w:r w:rsidR="00173BB7">
        <w:rPr>
          <w:rFonts w:ascii="Times New Roman" w:eastAsia="Times New Roman" w:hAnsi="Times New Roman" w:cs="Times New Roman"/>
          <w:bCs/>
          <w:noProof/>
          <w:sz w:val="28"/>
          <w:szCs w:val="28"/>
        </w:rPr>
        <w:t>beta</w:t>
      </w:r>
      <w:r w:rsidRPr="00E74A6D">
        <w:rPr>
          <w:rFonts w:ascii="Times New Roman" w:eastAsia="Times New Roman" w:hAnsi="Times New Roman" w:cs="Times New Roman"/>
          <w:bCs/>
          <w:noProof/>
          <w:sz w:val="28"/>
          <w:szCs w:val="28"/>
        </w:rPr>
        <w:t xml:space="preserve"> starojuma avotu īpatnējā radioaktivitāte pārsniedz 1</w:t>
      </w:r>
      <w:r w:rsidR="00FF5693">
        <w:rPr>
          <w:rFonts w:ascii="Times New Roman" w:eastAsia="Times New Roman" w:hAnsi="Times New Roman" w:cs="Times New Roman"/>
          <w:bCs/>
          <w:noProof/>
          <w:sz w:val="28"/>
          <w:szCs w:val="28"/>
        </w:rPr>
        <w:t> </w:t>
      </w:r>
      <w:r w:rsidRPr="00E74A6D">
        <w:rPr>
          <w:rFonts w:ascii="Times New Roman" w:eastAsia="Times New Roman" w:hAnsi="Times New Roman" w:cs="Times New Roman"/>
          <w:bCs/>
          <w:noProof/>
          <w:sz w:val="28"/>
          <w:szCs w:val="28"/>
        </w:rPr>
        <w:t>Bq/l, veic konkrētu radionuklīdu analīzi. Mērāmos radionuklīdus nosaka Veselības inspekcija sadarbībā ar Valsts vides dienesta Radiācijas drošības centru, ņemot vērā būtisko informāciju par iespējamiem radioaktivitātes avotiem;</w:t>
      </w:r>
    </w:p>
    <w:p w14:paraId="6B3E9497" w14:textId="6FDDF8AD" w:rsidR="006F51F0" w:rsidRPr="00E74A6D" w:rsidRDefault="006F51F0" w:rsidP="00E74A6D">
      <w:pPr>
        <w:spacing w:after="0" w:line="240" w:lineRule="auto"/>
        <w:ind w:firstLine="709"/>
        <w:jc w:val="both"/>
        <w:rPr>
          <w:rFonts w:ascii="Times New Roman" w:eastAsia="Times New Roman" w:hAnsi="Times New Roman" w:cs="Times New Roman"/>
          <w:bCs/>
          <w:noProof/>
          <w:sz w:val="28"/>
          <w:szCs w:val="28"/>
        </w:rPr>
      </w:pPr>
      <w:r w:rsidRPr="00E74A6D">
        <w:rPr>
          <w:rFonts w:ascii="Times New Roman" w:eastAsia="Times New Roman" w:hAnsi="Times New Roman" w:cs="Times New Roman"/>
          <w:bCs/>
          <w:noProof/>
          <w:sz w:val="28"/>
          <w:szCs w:val="28"/>
        </w:rPr>
        <w:t xml:space="preserve">3.1.4. tritijam kopējo alfa starojuma avotu īpatnējo radioaktivitāti un kopējo </w:t>
      </w:r>
      <w:r w:rsidR="00173BB7">
        <w:rPr>
          <w:rFonts w:ascii="Times New Roman" w:eastAsia="Times New Roman" w:hAnsi="Times New Roman" w:cs="Times New Roman"/>
          <w:bCs/>
          <w:noProof/>
          <w:sz w:val="28"/>
          <w:szCs w:val="28"/>
        </w:rPr>
        <w:t>beta</w:t>
      </w:r>
      <w:r w:rsidRPr="00E74A6D">
        <w:rPr>
          <w:rFonts w:ascii="Times New Roman" w:eastAsia="Times New Roman" w:hAnsi="Times New Roman" w:cs="Times New Roman"/>
          <w:bCs/>
          <w:noProof/>
          <w:sz w:val="28"/>
          <w:szCs w:val="28"/>
        </w:rPr>
        <w:t xml:space="preserve"> starojuma avotu īpatnējo radioaktivitāti mēra vienā un tajā pašā paraugā;</w:t>
      </w:r>
    </w:p>
    <w:p w14:paraId="6B3E9498" w14:textId="77777777" w:rsidR="006F51F0" w:rsidRPr="00E74A6D" w:rsidRDefault="006F51F0" w:rsidP="00E74A6D">
      <w:pPr>
        <w:spacing w:after="0" w:line="240" w:lineRule="auto"/>
        <w:ind w:firstLine="709"/>
        <w:jc w:val="both"/>
        <w:rPr>
          <w:rFonts w:ascii="Times New Roman" w:eastAsia="Times New Roman" w:hAnsi="Times New Roman" w:cs="Times New Roman"/>
          <w:bCs/>
          <w:noProof/>
          <w:sz w:val="28"/>
          <w:szCs w:val="28"/>
        </w:rPr>
      </w:pPr>
      <w:r w:rsidRPr="00E74A6D">
        <w:rPr>
          <w:rFonts w:ascii="Times New Roman" w:eastAsia="Times New Roman" w:hAnsi="Times New Roman" w:cs="Times New Roman"/>
          <w:bCs/>
          <w:noProof/>
          <w:sz w:val="28"/>
          <w:szCs w:val="28"/>
        </w:rPr>
        <w:t>3.2. indikatīvās dozas (ID) aprēķināšana:</w:t>
      </w:r>
    </w:p>
    <w:p w14:paraId="6B3E9499" w14:textId="77777777" w:rsidR="006F51F0" w:rsidRPr="00E74A6D" w:rsidRDefault="006F51F0" w:rsidP="00E74A6D">
      <w:pPr>
        <w:spacing w:after="0" w:line="240" w:lineRule="auto"/>
        <w:ind w:firstLine="709"/>
        <w:jc w:val="both"/>
        <w:rPr>
          <w:rFonts w:ascii="Times New Roman" w:eastAsia="Times New Roman" w:hAnsi="Times New Roman" w:cs="Times New Roman"/>
          <w:bCs/>
          <w:noProof/>
          <w:sz w:val="28"/>
          <w:szCs w:val="28"/>
        </w:rPr>
      </w:pPr>
      <w:r w:rsidRPr="00E74A6D">
        <w:rPr>
          <w:rFonts w:ascii="Times New Roman" w:eastAsia="Times New Roman" w:hAnsi="Times New Roman" w:cs="Times New Roman"/>
          <w:bCs/>
          <w:noProof/>
          <w:sz w:val="28"/>
          <w:szCs w:val="28"/>
        </w:rPr>
        <w:t>3.2.1. indikatīvo dozu (ID) aprēķina pēc izmērītās radionuklīdu koncentrācijas un normatīvajos aktos par aizsardzību pret jonizējošo starojumu noteiktās paredzamās efektīvās dozas (Sv/Bq) iedzīvotājiem, ja radionuklīdi tiek uzņemti ar pārtiku vai ūdeni, pieņemot, ka ūdens patēriņš gadā pieaugušam cilvēkam ir 730 litri. Indikatīvā doza (ID) ir mazāka par rādītāja vērtību 0,1</w:t>
      </w:r>
      <w:r w:rsidR="008D3961" w:rsidRPr="00E74A6D">
        <w:rPr>
          <w:rFonts w:ascii="Times New Roman" w:eastAsia="Times New Roman" w:hAnsi="Times New Roman" w:cs="Times New Roman"/>
          <w:bCs/>
          <w:noProof/>
          <w:sz w:val="28"/>
          <w:szCs w:val="28"/>
        </w:rPr>
        <w:t> </w:t>
      </w:r>
      <w:r w:rsidRPr="00E74A6D">
        <w:rPr>
          <w:rFonts w:ascii="Times New Roman" w:eastAsia="Times New Roman" w:hAnsi="Times New Roman" w:cs="Times New Roman"/>
          <w:bCs/>
          <w:noProof/>
          <w:sz w:val="28"/>
          <w:szCs w:val="28"/>
        </w:rPr>
        <w:t>mSv</w:t>
      </w:r>
      <w:r w:rsidR="008D3961" w:rsidRPr="00E74A6D">
        <w:rPr>
          <w:rFonts w:ascii="Times New Roman" w:eastAsia="Times New Roman" w:hAnsi="Times New Roman" w:cs="Times New Roman"/>
          <w:bCs/>
          <w:noProof/>
          <w:sz w:val="28"/>
          <w:szCs w:val="28"/>
        </w:rPr>
        <w:t>,</w:t>
      </w:r>
      <w:r w:rsidRPr="00E74A6D">
        <w:rPr>
          <w:rFonts w:ascii="Times New Roman" w:eastAsia="Times New Roman" w:hAnsi="Times New Roman" w:cs="Times New Roman"/>
          <w:bCs/>
          <w:noProof/>
          <w:sz w:val="28"/>
          <w:szCs w:val="28"/>
        </w:rPr>
        <w:t xml:space="preserve"> un papildu izmeklēšana nav nepieciešama, ja ir spēkā šāda sakarība:</w:t>
      </w:r>
    </w:p>
    <w:p w14:paraId="6B3E949A" w14:textId="0CB11542" w:rsidR="006F51F0" w:rsidRDefault="006F51F0" w:rsidP="00E74A6D">
      <w:pPr>
        <w:spacing w:after="0" w:line="240" w:lineRule="auto"/>
        <w:ind w:left="283"/>
        <w:jc w:val="center"/>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lang w:eastAsia="lv-LV"/>
        </w:rPr>
        <w:drawing>
          <wp:inline distT="0" distB="0" distL="0" distR="0" wp14:anchorId="6B3E9554" wp14:editId="5535E8FE">
            <wp:extent cx="1587578" cy="706707"/>
            <wp:effectExtent l="0" t="0" r="0" b="0"/>
            <wp:docPr id="1" name="Attēls 1" descr="http://www.likumi.lv/wwwraksti/2015/207/BILDES/N_596/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kumi.lv/wwwraksti/2015/207/BILDES/N_596/IMAGE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6551" cy="786377"/>
                    </a:xfrm>
                    <a:prstGeom prst="rect">
                      <a:avLst/>
                    </a:prstGeom>
                    <a:noFill/>
                    <a:ln>
                      <a:noFill/>
                    </a:ln>
                  </pic:spPr>
                </pic:pic>
              </a:graphicData>
            </a:graphic>
          </wp:inline>
        </w:drawing>
      </w:r>
    </w:p>
    <w:p w14:paraId="6B3E949B" w14:textId="77777777" w:rsidR="006F51F0" w:rsidRPr="00E74A6D" w:rsidRDefault="006F51F0" w:rsidP="00E74A6D">
      <w:pPr>
        <w:spacing w:after="0" w:line="240" w:lineRule="auto"/>
        <w:jc w:val="both"/>
        <w:rPr>
          <w:rFonts w:ascii="Times New Roman" w:eastAsia="Times New Roman" w:hAnsi="Times New Roman" w:cs="Times New Roman"/>
          <w:bCs/>
          <w:noProof/>
          <w:sz w:val="28"/>
          <w:szCs w:val="28"/>
        </w:rPr>
      </w:pPr>
      <w:r w:rsidRPr="00E74A6D">
        <w:rPr>
          <w:rFonts w:ascii="Times New Roman" w:eastAsia="Times New Roman" w:hAnsi="Times New Roman" w:cs="Times New Roman"/>
          <w:bCs/>
          <w:noProof/>
          <w:sz w:val="28"/>
          <w:szCs w:val="28"/>
        </w:rPr>
        <w:t>kur:</w:t>
      </w:r>
    </w:p>
    <w:p w14:paraId="6B3E949C" w14:textId="77777777" w:rsidR="006F51F0" w:rsidRPr="00E74A6D" w:rsidRDefault="006F51F0" w:rsidP="00E74A6D">
      <w:pPr>
        <w:spacing w:after="0" w:line="240" w:lineRule="auto"/>
        <w:jc w:val="both"/>
        <w:rPr>
          <w:rFonts w:ascii="Times New Roman" w:eastAsia="Times New Roman" w:hAnsi="Times New Roman" w:cs="Times New Roman"/>
          <w:bCs/>
          <w:noProof/>
          <w:sz w:val="28"/>
          <w:szCs w:val="28"/>
        </w:rPr>
      </w:pPr>
      <w:r w:rsidRPr="00E74A6D">
        <w:rPr>
          <w:rFonts w:ascii="Times New Roman" w:eastAsia="Times New Roman" w:hAnsi="Times New Roman" w:cs="Times New Roman"/>
          <w:bCs/>
          <w:noProof/>
          <w:sz w:val="28"/>
          <w:szCs w:val="28"/>
        </w:rPr>
        <w:t>C</w:t>
      </w:r>
      <w:r w:rsidRPr="00E74A6D">
        <w:rPr>
          <w:rFonts w:ascii="Times New Roman" w:eastAsia="Times New Roman" w:hAnsi="Times New Roman" w:cs="Times New Roman"/>
          <w:bCs/>
          <w:noProof/>
          <w:sz w:val="28"/>
          <w:szCs w:val="28"/>
          <w:vertAlign w:val="subscript"/>
        </w:rPr>
        <w:t>i(nov)</w:t>
      </w:r>
      <w:r w:rsidRPr="00E74A6D">
        <w:rPr>
          <w:rFonts w:ascii="Times New Roman" w:eastAsia="Times New Roman" w:hAnsi="Times New Roman" w:cs="Times New Roman"/>
          <w:bCs/>
          <w:noProof/>
          <w:sz w:val="28"/>
          <w:szCs w:val="28"/>
        </w:rPr>
        <w:t>– radionuklīda i novērotā koncentrācija;</w:t>
      </w:r>
    </w:p>
    <w:p w14:paraId="6B3E949D" w14:textId="77777777" w:rsidR="006F51F0" w:rsidRPr="00E74A6D" w:rsidRDefault="006F51F0" w:rsidP="00E74A6D">
      <w:pPr>
        <w:spacing w:after="0" w:line="240" w:lineRule="auto"/>
        <w:jc w:val="both"/>
        <w:rPr>
          <w:rFonts w:ascii="Times New Roman" w:eastAsia="Times New Roman" w:hAnsi="Times New Roman" w:cs="Times New Roman"/>
          <w:bCs/>
          <w:noProof/>
          <w:sz w:val="28"/>
          <w:szCs w:val="28"/>
        </w:rPr>
      </w:pPr>
      <w:r w:rsidRPr="00E74A6D">
        <w:rPr>
          <w:rFonts w:ascii="Times New Roman" w:eastAsia="Times New Roman" w:hAnsi="Times New Roman" w:cs="Times New Roman"/>
          <w:bCs/>
          <w:noProof/>
          <w:sz w:val="28"/>
          <w:szCs w:val="28"/>
        </w:rPr>
        <w:lastRenderedPageBreak/>
        <w:t>C</w:t>
      </w:r>
      <w:r w:rsidRPr="00E74A6D">
        <w:rPr>
          <w:rFonts w:ascii="Times New Roman" w:eastAsia="Times New Roman" w:hAnsi="Times New Roman" w:cs="Times New Roman"/>
          <w:bCs/>
          <w:noProof/>
          <w:sz w:val="28"/>
          <w:szCs w:val="28"/>
          <w:vertAlign w:val="subscript"/>
        </w:rPr>
        <w:t>i(atv)</w:t>
      </w:r>
      <w:r w:rsidRPr="00E74A6D">
        <w:rPr>
          <w:rFonts w:ascii="Times New Roman" w:eastAsia="Times New Roman" w:hAnsi="Times New Roman" w:cs="Times New Roman"/>
          <w:bCs/>
          <w:noProof/>
          <w:sz w:val="28"/>
          <w:szCs w:val="28"/>
        </w:rPr>
        <w:t xml:space="preserve"> – radionuklīda i atvasinātā koncentrācija, kas noteikta šo noteikumu 2.</w:t>
      </w:r>
      <w:r w:rsidR="00F64B42" w:rsidRPr="00E74A6D">
        <w:rPr>
          <w:rFonts w:ascii="Times New Roman" w:eastAsia="Times New Roman" w:hAnsi="Times New Roman" w:cs="Times New Roman"/>
          <w:bCs/>
          <w:noProof/>
          <w:sz w:val="28"/>
          <w:szCs w:val="28"/>
        </w:rPr>
        <w:t> </w:t>
      </w:r>
      <w:r w:rsidRPr="00E74A6D">
        <w:rPr>
          <w:rFonts w:ascii="Times New Roman" w:eastAsia="Times New Roman" w:hAnsi="Times New Roman" w:cs="Times New Roman"/>
          <w:bCs/>
          <w:noProof/>
          <w:sz w:val="28"/>
          <w:szCs w:val="28"/>
        </w:rPr>
        <w:t>pielikuma 3.2.2.</w:t>
      </w:r>
      <w:r w:rsidR="00F64B42" w:rsidRPr="00E74A6D">
        <w:rPr>
          <w:rFonts w:ascii="Times New Roman" w:eastAsia="Times New Roman" w:hAnsi="Times New Roman" w:cs="Times New Roman"/>
          <w:bCs/>
          <w:noProof/>
          <w:sz w:val="28"/>
          <w:szCs w:val="28"/>
        </w:rPr>
        <w:t> </w:t>
      </w:r>
      <w:r w:rsidRPr="00E74A6D">
        <w:rPr>
          <w:rFonts w:ascii="Times New Roman" w:eastAsia="Times New Roman" w:hAnsi="Times New Roman" w:cs="Times New Roman"/>
          <w:bCs/>
          <w:noProof/>
          <w:sz w:val="28"/>
          <w:szCs w:val="28"/>
        </w:rPr>
        <w:t>apakšpunktā;</w:t>
      </w:r>
    </w:p>
    <w:p w14:paraId="6B3E949E" w14:textId="77777777" w:rsidR="006F51F0" w:rsidRPr="00E74A6D" w:rsidRDefault="006F51F0" w:rsidP="00E74A6D">
      <w:pPr>
        <w:spacing w:after="0" w:line="240" w:lineRule="auto"/>
        <w:jc w:val="both"/>
        <w:rPr>
          <w:rFonts w:ascii="Times New Roman" w:eastAsia="Times New Roman" w:hAnsi="Times New Roman" w:cs="Times New Roman"/>
          <w:bCs/>
          <w:noProof/>
          <w:sz w:val="28"/>
          <w:szCs w:val="28"/>
        </w:rPr>
      </w:pPr>
      <w:r w:rsidRPr="00E74A6D">
        <w:rPr>
          <w:rFonts w:ascii="Times New Roman" w:eastAsia="Times New Roman" w:hAnsi="Times New Roman" w:cs="Times New Roman"/>
          <w:bCs/>
          <w:noProof/>
          <w:sz w:val="28"/>
          <w:szCs w:val="28"/>
        </w:rPr>
        <w:t>n – konstatēto radionuklīdu skaits;</w:t>
      </w:r>
    </w:p>
    <w:p w14:paraId="6B3E949F" w14:textId="77777777" w:rsidR="006F51F0" w:rsidRPr="00E74A6D" w:rsidRDefault="006F51F0" w:rsidP="00E74A6D">
      <w:pPr>
        <w:spacing w:after="0" w:line="240" w:lineRule="auto"/>
        <w:ind w:firstLine="709"/>
        <w:jc w:val="both"/>
        <w:rPr>
          <w:rFonts w:ascii="Times New Roman" w:eastAsia="Times New Roman" w:hAnsi="Times New Roman" w:cs="Times New Roman"/>
          <w:bCs/>
          <w:noProof/>
          <w:sz w:val="28"/>
          <w:szCs w:val="28"/>
        </w:rPr>
      </w:pPr>
      <w:r w:rsidRPr="00E74A6D">
        <w:rPr>
          <w:rFonts w:ascii="Times New Roman" w:eastAsia="Times New Roman" w:hAnsi="Times New Roman" w:cs="Times New Roman"/>
          <w:bCs/>
          <w:noProof/>
          <w:sz w:val="28"/>
          <w:szCs w:val="28"/>
        </w:rPr>
        <w:t>3.2.2. radioaktivitātes atvasinātā koncentrācija dzeramajā ūdenī</w:t>
      </w:r>
    </w:p>
    <w:tbl>
      <w:tblPr>
        <w:tblStyle w:val="TableGrid"/>
        <w:tblW w:w="0" w:type="auto"/>
        <w:tblInd w:w="108" w:type="dxa"/>
        <w:tblLook w:val="04A0" w:firstRow="1" w:lastRow="0" w:firstColumn="1" w:lastColumn="0" w:noHBand="0" w:noVBand="1"/>
      </w:tblPr>
      <w:tblGrid>
        <w:gridCol w:w="1701"/>
        <w:gridCol w:w="2127"/>
        <w:gridCol w:w="2268"/>
        <w:gridCol w:w="2976"/>
      </w:tblGrid>
      <w:tr w:rsidR="006F51F0" w14:paraId="6B3E94A4" w14:textId="77777777" w:rsidTr="00E74A6D">
        <w:tc>
          <w:tcPr>
            <w:tcW w:w="1701" w:type="dxa"/>
            <w:vAlign w:val="center"/>
          </w:tcPr>
          <w:p w14:paraId="6B3E94A0"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Nr.</w:t>
            </w:r>
            <w:r w:rsidRPr="006F51F0">
              <w:rPr>
                <w:rFonts w:ascii="Times New Roman" w:eastAsia="Times New Roman" w:hAnsi="Times New Roman" w:cs="Times New Roman"/>
                <w:bCs/>
                <w:noProof/>
                <w:sz w:val="24"/>
                <w:szCs w:val="24"/>
              </w:rPr>
              <w:br/>
              <w:t>p. k.</w:t>
            </w:r>
          </w:p>
        </w:tc>
        <w:tc>
          <w:tcPr>
            <w:tcW w:w="2127" w:type="dxa"/>
            <w:vAlign w:val="center"/>
          </w:tcPr>
          <w:p w14:paraId="6B3E94A1"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Radionuklīda izcelsme</w:t>
            </w:r>
          </w:p>
        </w:tc>
        <w:tc>
          <w:tcPr>
            <w:tcW w:w="2268" w:type="dxa"/>
            <w:vAlign w:val="center"/>
          </w:tcPr>
          <w:p w14:paraId="6B3E94A2"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Radionuklīds</w:t>
            </w:r>
            <w:r w:rsidRPr="006F51F0">
              <w:rPr>
                <w:rFonts w:ascii="Times New Roman" w:eastAsia="Times New Roman" w:hAnsi="Times New Roman" w:cs="Times New Roman"/>
                <w:bCs/>
                <w:noProof/>
                <w:sz w:val="24"/>
                <w:szCs w:val="24"/>
                <w:vertAlign w:val="superscript"/>
              </w:rPr>
              <w:t>1</w:t>
            </w:r>
          </w:p>
        </w:tc>
        <w:tc>
          <w:tcPr>
            <w:tcW w:w="2976" w:type="dxa"/>
            <w:vAlign w:val="center"/>
          </w:tcPr>
          <w:p w14:paraId="6B3E94A3"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Atvasinātā koncentrācija</w:t>
            </w:r>
          </w:p>
        </w:tc>
      </w:tr>
      <w:tr w:rsidR="006F51F0" w14:paraId="6B3E94A9" w14:textId="77777777" w:rsidTr="00E74A6D">
        <w:tc>
          <w:tcPr>
            <w:tcW w:w="1701" w:type="dxa"/>
          </w:tcPr>
          <w:p w14:paraId="6B3E94A5"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3.2.2.1.</w:t>
            </w:r>
          </w:p>
        </w:tc>
        <w:tc>
          <w:tcPr>
            <w:tcW w:w="2127" w:type="dxa"/>
          </w:tcPr>
          <w:p w14:paraId="6B3E94A6"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dabiska</w:t>
            </w:r>
          </w:p>
        </w:tc>
        <w:tc>
          <w:tcPr>
            <w:tcW w:w="2268" w:type="dxa"/>
          </w:tcPr>
          <w:p w14:paraId="6B3E94A7"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U-238</w:t>
            </w:r>
            <w:r w:rsidRPr="006F51F0">
              <w:rPr>
                <w:rFonts w:ascii="Times New Roman" w:eastAsia="Times New Roman" w:hAnsi="Times New Roman" w:cs="Times New Roman"/>
                <w:bCs/>
                <w:noProof/>
                <w:sz w:val="24"/>
                <w:szCs w:val="24"/>
                <w:vertAlign w:val="superscript"/>
              </w:rPr>
              <w:t>2</w:t>
            </w:r>
          </w:p>
        </w:tc>
        <w:tc>
          <w:tcPr>
            <w:tcW w:w="2976" w:type="dxa"/>
          </w:tcPr>
          <w:p w14:paraId="6B3E94A8"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3,0 Bq/l</w:t>
            </w:r>
          </w:p>
        </w:tc>
      </w:tr>
      <w:tr w:rsidR="006F51F0" w14:paraId="6B3E94AE" w14:textId="77777777" w:rsidTr="00E74A6D">
        <w:tc>
          <w:tcPr>
            <w:tcW w:w="1701" w:type="dxa"/>
          </w:tcPr>
          <w:p w14:paraId="6B3E94AA"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3.2.2.2.</w:t>
            </w:r>
          </w:p>
        </w:tc>
        <w:tc>
          <w:tcPr>
            <w:tcW w:w="2127" w:type="dxa"/>
          </w:tcPr>
          <w:p w14:paraId="6B3E94AB"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dabiska</w:t>
            </w:r>
          </w:p>
        </w:tc>
        <w:tc>
          <w:tcPr>
            <w:tcW w:w="2268" w:type="dxa"/>
          </w:tcPr>
          <w:p w14:paraId="6B3E94AC"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U-234</w:t>
            </w:r>
            <w:r w:rsidRPr="006F51F0">
              <w:rPr>
                <w:rFonts w:ascii="Times New Roman" w:eastAsia="Times New Roman" w:hAnsi="Times New Roman" w:cs="Times New Roman"/>
                <w:bCs/>
                <w:noProof/>
                <w:sz w:val="24"/>
                <w:szCs w:val="24"/>
                <w:vertAlign w:val="superscript"/>
              </w:rPr>
              <w:t>2</w:t>
            </w:r>
          </w:p>
        </w:tc>
        <w:tc>
          <w:tcPr>
            <w:tcW w:w="2976" w:type="dxa"/>
          </w:tcPr>
          <w:p w14:paraId="6B3E94AD"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2,8 Bq/l</w:t>
            </w:r>
          </w:p>
        </w:tc>
      </w:tr>
      <w:tr w:rsidR="006F51F0" w14:paraId="6B3E94B3" w14:textId="77777777" w:rsidTr="00E74A6D">
        <w:tc>
          <w:tcPr>
            <w:tcW w:w="1701" w:type="dxa"/>
          </w:tcPr>
          <w:p w14:paraId="6B3E94AF"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3.2.2.3.</w:t>
            </w:r>
          </w:p>
        </w:tc>
        <w:tc>
          <w:tcPr>
            <w:tcW w:w="2127" w:type="dxa"/>
          </w:tcPr>
          <w:p w14:paraId="6B3E94B0"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dabiska</w:t>
            </w:r>
          </w:p>
        </w:tc>
        <w:tc>
          <w:tcPr>
            <w:tcW w:w="2268" w:type="dxa"/>
          </w:tcPr>
          <w:p w14:paraId="6B3E94B1"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Ra-226</w:t>
            </w:r>
          </w:p>
        </w:tc>
        <w:tc>
          <w:tcPr>
            <w:tcW w:w="2976" w:type="dxa"/>
          </w:tcPr>
          <w:p w14:paraId="6B3E94B2"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0,5 Bq/l</w:t>
            </w:r>
          </w:p>
        </w:tc>
      </w:tr>
      <w:tr w:rsidR="006F51F0" w14:paraId="6B3E94B8" w14:textId="77777777" w:rsidTr="00E74A6D">
        <w:tc>
          <w:tcPr>
            <w:tcW w:w="1701" w:type="dxa"/>
          </w:tcPr>
          <w:p w14:paraId="6B3E94B4"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3.2.2.4.</w:t>
            </w:r>
          </w:p>
        </w:tc>
        <w:tc>
          <w:tcPr>
            <w:tcW w:w="2127" w:type="dxa"/>
          </w:tcPr>
          <w:p w14:paraId="6B3E94B5"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dabiska</w:t>
            </w:r>
          </w:p>
        </w:tc>
        <w:tc>
          <w:tcPr>
            <w:tcW w:w="2268" w:type="dxa"/>
          </w:tcPr>
          <w:p w14:paraId="6B3E94B6"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Ra-228</w:t>
            </w:r>
          </w:p>
        </w:tc>
        <w:tc>
          <w:tcPr>
            <w:tcW w:w="2976" w:type="dxa"/>
          </w:tcPr>
          <w:p w14:paraId="6B3E94B7"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0,2 Bq/l</w:t>
            </w:r>
          </w:p>
        </w:tc>
      </w:tr>
      <w:tr w:rsidR="006F51F0" w14:paraId="6B3E94BD" w14:textId="77777777" w:rsidTr="00E74A6D">
        <w:tc>
          <w:tcPr>
            <w:tcW w:w="1701" w:type="dxa"/>
          </w:tcPr>
          <w:p w14:paraId="6B3E94B9"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3.2.2.5.</w:t>
            </w:r>
          </w:p>
        </w:tc>
        <w:tc>
          <w:tcPr>
            <w:tcW w:w="2127" w:type="dxa"/>
          </w:tcPr>
          <w:p w14:paraId="6B3E94BA"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dabiska</w:t>
            </w:r>
          </w:p>
        </w:tc>
        <w:tc>
          <w:tcPr>
            <w:tcW w:w="2268" w:type="dxa"/>
          </w:tcPr>
          <w:p w14:paraId="6B3E94BB"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Pb-210</w:t>
            </w:r>
          </w:p>
        </w:tc>
        <w:tc>
          <w:tcPr>
            <w:tcW w:w="2976" w:type="dxa"/>
          </w:tcPr>
          <w:p w14:paraId="6B3E94BC"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0,2 Bq/l</w:t>
            </w:r>
          </w:p>
        </w:tc>
      </w:tr>
      <w:tr w:rsidR="006F51F0" w14:paraId="6B3E94C2" w14:textId="77777777" w:rsidTr="00E74A6D">
        <w:tc>
          <w:tcPr>
            <w:tcW w:w="1701" w:type="dxa"/>
          </w:tcPr>
          <w:p w14:paraId="6B3E94BE"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3.2.2.6.</w:t>
            </w:r>
          </w:p>
        </w:tc>
        <w:tc>
          <w:tcPr>
            <w:tcW w:w="2127" w:type="dxa"/>
          </w:tcPr>
          <w:p w14:paraId="6B3E94BF"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dabiska</w:t>
            </w:r>
          </w:p>
        </w:tc>
        <w:tc>
          <w:tcPr>
            <w:tcW w:w="2268" w:type="dxa"/>
          </w:tcPr>
          <w:p w14:paraId="6B3E94C0"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Po-210</w:t>
            </w:r>
          </w:p>
        </w:tc>
        <w:tc>
          <w:tcPr>
            <w:tcW w:w="2976" w:type="dxa"/>
          </w:tcPr>
          <w:p w14:paraId="6B3E94C1"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0,1 Bq/l</w:t>
            </w:r>
          </w:p>
        </w:tc>
      </w:tr>
      <w:tr w:rsidR="006F51F0" w14:paraId="6B3E94C7" w14:textId="77777777" w:rsidTr="00E74A6D">
        <w:tc>
          <w:tcPr>
            <w:tcW w:w="1701" w:type="dxa"/>
          </w:tcPr>
          <w:p w14:paraId="6B3E94C3"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3.2.2.7.</w:t>
            </w:r>
          </w:p>
        </w:tc>
        <w:tc>
          <w:tcPr>
            <w:tcW w:w="2127" w:type="dxa"/>
          </w:tcPr>
          <w:p w14:paraId="6B3E94C4"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mākslīga</w:t>
            </w:r>
          </w:p>
        </w:tc>
        <w:tc>
          <w:tcPr>
            <w:tcW w:w="2268" w:type="dxa"/>
          </w:tcPr>
          <w:p w14:paraId="6B3E94C5"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C-14</w:t>
            </w:r>
          </w:p>
        </w:tc>
        <w:tc>
          <w:tcPr>
            <w:tcW w:w="2976" w:type="dxa"/>
          </w:tcPr>
          <w:p w14:paraId="6B3E94C6"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240 Bq/l</w:t>
            </w:r>
          </w:p>
        </w:tc>
      </w:tr>
      <w:tr w:rsidR="006F51F0" w14:paraId="6B3E94CC" w14:textId="77777777" w:rsidTr="00E74A6D">
        <w:tc>
          <w:tcPr>
            <w:tcW w:w="1701" w:type="dxa"/>
          </w:tcPr>
          <w:p w14:paraId="6B3E94C8"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3.2.2.8.</w:t>
            </w:r>
          </w:p>
        </w:tc>
        <w:tc>
          <w:tcPr>
            <w:tcW w:w="2127" w:type="dxa"/>
          </w:tcPr>
          <w:p w14:paraId="6B3E94C9"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mākslīga</w:t>
            </w:r>
          </w:p>
        </w:tc>
        <w:tc>
          <w:tcPr>
            <w:tcW w:w="2268" w:type="dxa"/>
          </w:tcPr>
          <w:p w14:paraId="6B3E94CA"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Sr-90</w:t>
            </w:r>
          </w:p>
        </w:tc>
        <w:tc>
          <w:tcPr>
            <w:tcW w:w="2976" w:type="dxa"/>
          </w:tcPr>
          <w:p w14:paraId="6B3E94CB"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4,9 Bq/l</w:t>
            </w:r>
          </w:p>
        </w:tc>
      </w:tr>
      <w:tr w:rsidR="006F51F0" w14:paraId="6B3E94D1" w14:textId="77777777" w:rsidTr="00E74A6D">
        <w:tc>
          <w:tcPr>
            <w:tcW w:w="1701" w:type="dxa"/>
          </w:tcPr>
          <w:p w14:paraId="6B3E94CD"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3.2.2.9.</w:t>
            </w:r>
          </w:p>
        </w:tc>
        <w:tc>
          <w:tcPr>
            <w:tcW w:w="2127" w:type="dxa"/>
          </w:tcPr>
          <w:p w14:paraId="6B3E94CE"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mākslīga</w:t>
            </w:r>
          </w:p>
        </w:tc>
        <w:tc>
          <w:tcPr>
            <w:tcW w:w="2268" w:type="dxa"/>
          </w:tcPr>
          <w:p w14:paraId="6B3E94CF"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Pu-239/Pu-240</w:t>
            </w:r>
          </w:p>
        </w:tc>
        <w:tc>
          <w:tcPr>
            <w:tcW w:w="2976" w:type="dxa"/>
          </w:tcPr>
          <w:p w14:paraId="6B3E94D0"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0,6 Bq/l</w:t>
            </w:r>
          </w:p>
        </w:tc>
      </w:tr>
      <w:tr w:rsidR="006F51F0" w14:paraId="6B3E94D6" w14:textId="77777777" w:rsidTr="00E74A6D">
        <w:tc>
          <w:tcPr>
            <w:tcW w:w="1701" w:type="dxa"/>
          </w:tcPr>
          <w:p w14:paraId="6B3E94D2"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3.2.2.10.</w:t>
            </w:r>
          </w:p>
        </w:tc>
        <w:tc>
          <w:tcPr>
            <w:tcW w:w="2127" w:type="dxa"/>
          </w:tcPr>
          <w:p w14:paraId="6B3E94D3"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mākslīga</w:t>
            </w:r>
          </w:p>
        </w:tc>
        <w:tc>
          <w:tcPr>
            <w:tcW w:w="2268" w:type="dxa"/>
          </w:tcPr>
          <w:p w14:paraId="6B3E94D4"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Am-241</w:t>
            </w:r>
          </w:p>
        </w:tc>
        <w:tc>
          <w:tcPr>
            <w:tcW w:w="2976" w:type="dxa"/>
          </w:tcPr>
          <w:p w14:paraId="6B3E94D5"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0,7 Bq/l</w:t>
            </w:r>
          </w:p>
        </w:tc>
      </w:tr>
      <w:tr w:rsidR="006F51F0" w14:paraId="6B3E94DB" w14:textId="77777777" w:rsidTr="00E74A6D">
        <w:tc>
          <w:tcPr>
            <w:tcW w:w="1701" w:type="dxa"/>
          </w:tcPr>
          <w:p w14:paraId="6B3E94D7"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3.2.2.11.</w:t>
            </w:r>
          </w:p>
        </w:tc>
        <w:tc>
          <w:tcPr>
            <w:tcW w:w="2127" w:type="dxa"/>
          </w:tcPr>
          <w:p w14:paraId="6B3E94D8"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mākslīga</w:t>
            </w:r>
          </w:p>
        </w:tc>
        <w:tc>
          <w:tcPr>
            <w:tcW w:w="2268" w:type="dxa"/>
          </w:tcPr>
          <w:p w14:paraId="6B3E94D9"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Co-60</w:t>
            </w:r>
          </w:p>
        </w:tc>
        <w:tc>
          <w:tcPr>
            <w:tcW w:w="2976" w:type="dxa"/>
          </w:tcPr>
          <w:p w14:paraId="6B3E94DA"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40 Bq/l</w:t>
            </w:r>
          </w:p>
        </w:tc>
      </w:tr>
      <w:tr w:rsidR="006F51F0" w14:paraId="6B3E94E0" w14:textId="77777777" w:rsidTr="00E74A6D">
        <w:tc>
          <w:tcPr>
            <w:tcW w:w="1701" w:type="dxa"/>
          </w:tcPr>
          <w:p w14:paraId="6B3E94DC"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3.2.2.12.</w:t>
            </w:r>
          </w:p>
        </w:tc>
        <w:tc>
          <w:tcPr>
            <w:tcW w:w="2127" w:type="dxa"/>
          </w:tcPr>
          <w:p w14:paraId="6B3E94DD"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mākslīga</w:t>
            </w:r>
          </w:p>
        </w:tc>
        <w:tc>
          <w:tcPr>
            <w:tcW w:w="2268" w:type="dxa"/>
          </w:tcPr>
          <w:p w14:paraId="6B3E94DE"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Cs-134</w:t>
            </w:r>
          </w:p>
        </w:tc>
        <w:tc>
          <w:tcPr>
            <w:tcW w:w="2976" w:type="dxa"/>
          </w:tcPr>
          <w:p w14:paraId="6B3E94DF"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7,2 Bq/l</w:t>
            </w:r>
          </w:p>
        </w:tc>
      </w:tr>
      <w:tr w:rsidR="006F51F0" w14:paraId="6B3E94E5" w14:textId="77777777" w:rsidTr="00E74A6D">
        <w:tc>
          <w:tcPr>
            <w:tcW w:w="1701" w:type="dxa"/>
          </w:tcPr>
          <w:p w14:paraId="6B3E94E1"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3.2.2.13.</w:t>
            </w:r>
          </w:p>
        </w:tc>
        <w:tc>
          <w:tcPr>
            <w:tcW w:w="2127" w:type="dxa"/>
          </w:tcPr>
          <w:p w14:paraId="6B3E94E2"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mākslīga</w:t>
            </w:r>
          </w:p>
        </w:tc>
        <w:tc>
          <w:tcPr>
            <w:tcW w:w="2268" w:type="dxa"/>
          </w:tcPr>
          <w:p w14:paraId="6B3E94E3"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Cs-137</w:t>
            </w:r>
          </w:p>
        </w:tc>
        <w:tc>
          <w:tcPr>
            <w:tcW w:w="2976" w:type="dxa"/>
          </w:tcPr>
          <w:p w14:paraId="6B3E94E4"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11 Bq/l</w:t>
            </w:r>
          </w:p>
        </w:tc>
      </w:tr>
      <w:tr w:rsidR="006F51F0" w14:paraId="6B3E94EA" w14:textId="77777777" w:rsidTr="00E74A6D">
        <w:tc>
          <w:tcPr>
            <w:tcW w:w="1701" w:type="dxa"/>
          </w:tcPr>
          <w:p w14:paraId="6B3E94E6"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3.2.2.14.</w:t>
            </w:r>
          </w:p>
        </w:tc>
        <w:tc>
          <w:tcPr>
            <w:tcW w:w="2127" w:type="dxa"/>
          </w:tcPr>
          <w:p w14:paraId="6B3E94E7"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mākslīga</w:t>
            </w:r>
          </w:p>
        </w:tc>
        <w:tc>
          <w:tcPr>
            <w:tcW w:w="2268" w:type="dxa"/>
          </w:tcPr>
          <w:p w14:paraId="6B3E94E8"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I-131</w:t>
            </w:r>
          </w:p>
        </w:tc>
        <w:tc>
          <w:tcPr>
            <w:tcW w:w="2976" w:type="dxa"/>
          </w:tcPr>
          <w:p w14:paraId="6B3E94E9" w14:textId="77777777" w:rsidR="006F51F0" w:rsidRPr="006F51F0" w:rsidRDefault="006F51F0" w:rsidP="00AB4C06">
            <w:pPr>
              <w:ind w:left="283"/>
              <w:jc w:val="both"/>
              <w:rPr>
                <w:rFonts w:ascii="Times New Roman" w:eastAsia="Times New Roman" w:hAnsi="Times New Roman" w:cs="Times New Roman"/>
                <w:bCs/>
                <w:noProof/>
                <w:sz w:val="24"/>
                <w:szCs w:val="24"/>
              </w:rPr>
            </w:pPr>
            <w:r w:rsidRPr="006F51F0">
              <w:rPr>
                <w:rFonts w:ascii="Times New Roman" w:eastAsia="Times New Roman" w:hAnsi="Times New Roman" w:cs="Times New Roman"/>
                <w:bCs/>
                <w:noProof/>
                <w:sz w:val="24"/>
                <w:szCs w:val="24"/>
              </w:rPr>
              <w:t>6,2 Bq/l</w:t>
            </w:r>
          </w:p>
        </w:tc>
      </w:tr>
    </w:tbl>
    <w:p w14:paraId="625BCB00" w14:textId="77777777" w:rsidR="00E74A6D" w:rsidRDefault="00E74A6D" w:rsidP="00AB4C06">
      <w:pPr>
        <w:spacing w:after="0" w:line="240" w:lineRule="auto"/>
        <w:ind w:left="283"/>
        <w:jc w:val="both"/>
        <w:rPr>
          <w:rFonts w:ascii="Times New Roman" w:eastAsia="Times New Roman" w:hAnsi="Times New Roman" w:cs="Times New Roman"/>
          <w:bCs/>
          <w:noProof/>
          <w:sz w:val="24"/>
          <w:szCs w:val="24"/>
        </w:rPr>
      </w:pPr>
    </w:p>
    <w:p w14:paraId="6B3E94EB" w14:textId="7A1A69DA" w:rsidR="006F51F0" w:rsidRPr="00E74A6D" w:rsidRDefault="006F51F0" w:rsidP="00E74A6D">
      <w:pPr>
        <w:spacing w:after="0" w:line="240" w:lineRule="auto"/>
        <w:ind w:firstLine="709"/>
        <w:jc w:val="both"/>
        <w:rPr>
          <w:rFonts w:ascii="Times New Roman" w:eastAsia="Times New Roman" w:hAnsi="Times New Roman" w:cs="Times New Roman"/>
          <w:bCs/>
          <w:noProof/>
          <w:sz w:val="28"/>
          <w:szCs w:val="28"/>
        </w:rPr>
      </w:pPr>
      <w:r w:rsidRPr="00E74A6D">
        <w:rPr>
          <w:rFonts w:ascii="Times New Roman" w:eastAsia="Times New Roman" w:hAnsi="Times New Roman" w:cs="Times New Roman"/>
          <w:bCs/>
          <w:noProof/>
          <w:sz w:val="28"/>
          <w:szCs w:val="28"/>
        </w:rPr>
        <w:t>3.3. veiktspējas raksturlielumi un analīzes metodes</w:t>
      </w:r>
    </w:p>
    <w:tbl>
      <w:tblPr>
        <w:tblStyle w:val="TableGrid"/>
        <w:tblW w:w="0" w:type="auto"/>
        <w:tblInd w:w="108" w:type="dxa"/>
        <w:tblLook w:val="04A0" w:firstRow="1" w:lastRow="0" w:firstColumn="1" w:lastColumn="0" w:noHBand="0" w:noVBand="1"/>
      </w:tblPr>
      <w:tblGrid>
        <w:gridCol w:w="1159"/>
        <w:gridCol w:w="1818"/>
        <w:gridCol w:w="1870"/>
        <w:gridCol w:w="4225"/>
      </w:tblGrid>
      <w:tr w:rsidR="00F65E2E" w14:paraId="6B3E94F0" w14:textId="77777777" w:rsidTr="00E74A6D">
        <w:tc>
          <w:tcPr>
            <w:tcW w:w="1159" w:type="dxa"/>
            <w:vAlign w:val="center"/>
          </w:tcPr>
          <w:p w14:paraId="6B3E94EC" w14:textId="490415D5" w:rsidR="00F65E2E" w:rsidRPr="00F65E2E" w:rsidRDefault="00F65E2E" w:rsidP="00E74A6D">
            <w:pPr>
              <w:ind w:left="-106" w:right="-83"/>
              <w:jc w:val="center"/>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Nr.</w:t>
            </w:r>
            <w:r w:rsidRPr="00F65E2E">
              <w:rPr>
                <w:rFonts w:ascii="Times New Roman" w:eastAsia="Times New Roman" w:hAnsi="Times New Roman" w:cs="Times New Roman"/>
                <w:bCs/>
                <w:noProof/>
                <w:sz w:val="24"/>
                <w:szCs w:val="24"/>
              </w:rPr>
              <w:br/>
              <w:t>p. k.</w:t>
            </w:r>
          </w:p>
        </w:tc>
        <w:tc>
          <w:tcPr>
            <w:tcW w:w="1818" w:type="dxa"/>
            <w:vAlign w:val="center"/>
          </w:tcPr>
          <w:p w14:paraId="6B3E94ED" w14:textId="77777777" w:rsidR="00F65E2E" w:rsidRPr="00F65E2E" w:rsidRDefault="001C31A3" w:rsidP="00E74A6D">
            <w:pPr>
              <w:ind w:left="-128" w:right="-36"/>
              <w:jc w:val="center"/>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Rādītāj</w:t>
            </w:r>
            <w:r w:rsidR="00F65E2E" w:rsidRPr="00F65E2E">
              <w:rPr>
                <w:rFonts w:ascii="Times New Roman" w:eastAsia="Times New Roman" w:hAnsi="Times New Roman" w:cs="Times New Roman"/>
                <w:bCs/>
                <w:noProof/>
                <w:sz w:val="24"/>
                <w:szCs w:val="24"/>
              </w:rPr>
              <w:t>i un radionuklīdi</w:t>
            </w:r>
          </w:p>
        </w:tc>
        <w:tc>
          <w:tcPr>
            <w:tcW w:w="1870" w:type="dxa"/>
            <w:vAlign w:val="center"/>
          </w:tcPr>
          <w:p w14:paraId="6B3E94EE" w14:textId="77777777" w:rsidR="00F65E2E" w:rsidRPr="00F65E2E" w:rsidRDefault="00F65E2E" w:rsidP="00E74A6D">
            <w:pPr>
              <w:ind w:left="-34" w:right="-85"/>
              <w:jc w:val="center"/>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Jutības robeža</w:t>
            </w:r>
            <w:r w:rsidRPr="00F65E2E">
              <w:rPr>
                <w:rFonts w:ascii="Times New Roman" w:eastAsia="Times New Roman" w:hAnsi="Times New Roman" w:cs="Times New Roman"/>
                <w:bCs/>
                <w:noProof/>
                <w:sz w:val="24"/>
                <w:szCs w:val="24"/>
                <w:vertAlign w:val="superscript"/>
              </w:rPr>
              <w:t>3, 4</w:t>
            </w:r>
          </w:p>
        </w:tc>
        <w:tc>
          <w:tcPr>
            <w:tcW w:w="4225" w:type="dxa"/>
            <w:vAlign w:val="center"/>
          </w:tcPr>
          <w:p w14:paraId="6B3E94EF" w14:textId="77777777" w:rsidR="00F65E2E" w:rsidRPr="00F65E2E" w:rsidRDefault="00F65E2E" w:rsidP="00E74A6D">
            <w:pPr>
              <w:ind w:left="-135"/>
              <w:jc w:val="center"/>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Piezīmes</w:t>
            </w:r>
          </w:p>
        </w:tc>
      </w:tr>
      <w:tr w:rsidR="00F65E2E" w14:paraId="6B3E94F5" w14:textId="77777777" w:rsidTr="00E74A6D">
        <w:tc>
          <w:tcPr>
            <w:tcW w:w="1159" w:type="dxa"/>
          </w:tcPr>
          <w:p w14:paraId="6B3E94F1"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3.3.1.</w:t>
            </w:r>
          </w:p>
        </w:tc>
        <w:tc>
          <w:tcPr>
            <w:tcW w:w="1818" w:type="dxa"/>
          </w:tcPr>
          <w:p w14:paraId="6B3E94F2" w14:textId="77777777" w:rsidR="00F65E2E" w:rsidRPr="00F65E2E" w:rsidRDefault="00F65E2E" w:rsidP="00AB4C06">
            <w:pPr>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tritijs</w:t>
            </w:r>
          </w:p>
        </w:tc>
        <w:tc>
          <w:tcPr>
            <w:tcW w:w="1870" w:type="dxa"/>
          </w:tcPr>
          <w:p w14:paraId="6B3E94F3"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10 Bq/l</w:t>
            </w:r>
          </w:p>
        </w:tc>
        <w:tc>
          <w:tcPr>
            <w:tcW w:w="4225" w:type="dxa"/>
          </w:tcPr>
          <w:p w14:paraId="6B3E94F4" w14:textId="169B85E9" w:rsidR="00F65E2E" w:rsidRPr="00F65E2E" w:rsidRDefault="00F65E2E" w:rsidP="00AB4C06">
            <w:pPr>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Tritija noteikšanas robeža ir 10 % no tā</w:t>
            </w:r>
            <w:r w:rsidR="001C31A3">
              <w:rPr>
                <w:rFonts w:ascii="Times New Roman" w:eastAsia="Times New Roman" w:hAnsi="Times New Roman" w:cs="Times New Roman"/>
                <w:bCs/>
                <w:noProof/>
                <w:sz w:val="24"/>
                <w:szCs w:val="24"/>
              </w:rPr>
              <w:t>s</w:t>
            </w:r>
            <w:r w:rsidRPr="00F65E2E">
              <w:rPr>
                <w:rFonts w:ascii="Times New Roman" w:eastAsia="Times New Roman" w:hAnsi="Times New Roman" w:cs="Times New Roman"/>
                <w:bCs/>
                <w:noProof/>
                <w:sz w:val="24"/>
                <w:szCs w:val="24"/>
              </w:rPr>
              <w:t xml:space="preserve"> </w:t>
            </w:r>
            <w:r w:rsidR="001C31A3">
              <w:rPr>
                <w:rFonts w:ascii="Times New Roman" w:eastAsia="Times New Roman" w:hAnsi="Times New Roman" w:cs="Times New Roman"/>
                <w:bCs/>
                <w:noProof/>
                <w:sz w:val="24"/>
                <w:szCs w:val="24"/>
              </w:rPr>
              <w:t>rādītāj</w:t>
            </w:r>
            <w:r w:rsidRPr="00F65E2E">
              <w:rPr>
                <w:rFonts w:ascii="Times New Roman" w:eastAsia="Times New Roman" w:hAnsi="Times New Roman" w:cs="Times New Roman"/>
                <w:bCs/>
                <w:noProof/>
                <w:sz w:val="24"/>
                <w:szCs w:val="24"/>
              </w:rPr>
              <w:t>a vērtības 100 Bq/l</w:t>
            </w:r>
          </w:p>
        </w:tc>
      </w:tr>
      <w:tr w:rsidR="00F65E2E" w14:paraId="6B3E94FA" w14:textId="77777777" w:rsidTr="00E74A6D">
        <w:tc>
          <w:tcPr>
            <w:tcW w:w="1159" w:type="dxa"/>
          </w:tcPr>
          <w:p w14:paraId="6B3E94F6"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3.3.2.</w:t>
            </w:r>
          </w:p>
        </w:tc>
        <w:tc>
          <w:tcPr>
            <w:tcW w:w="1818" w:type="dxa"/>
          </w:tcPr>
          <w:p w14:paraId="6B3E94F7" w14:textId="77777777" w:rsidR="00F65E2E" w:rsidRPr="00F65E2E" w:rsidRDefault="00F65E2E" w:rsidP="00AB4C06">
            <w:pPr>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radons</w:t>
            </w:r>
          </w:p>
        </w:tc>
        <w:tc>
          <w:tcPr>
            <w:tcW w:w="1870" w:type="dxa"/>
          </w:tcPr>
          <w:p w14:paraId="6B3E94F8"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10 Bq/l</w:t>
            </w:r>
          </w:p>
        </w:tc>
        <w:tc>
          <w:tcPr>
            <w:tcW w:w="4225" w:type="dxa"/>
          </w:tcPr>
          <w:p w14:paraId="6B3E94F9" w14:textId="2716CCC6" w:rsidR="00F65E2E" w:rsidRPr="00F65E2E" w:rsidRDefault="00F65E2E" w:rsidP="00AB4C06">
            <w:pPr>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 xml:space="preserve">Radona noteikšanas robeža ir 10 % no tās </w:t>
            </w:r>
            <w:r w:rsidR="001C31A3" w:rsidRPr="001C31A3">
              <w:rPr>
                <w:rFonts w:ascii="Times New Roman" w:eastAsia="Times New Roman" w:hAnsi="Times New Roman" w:cs="Times New Roman"/>
                <w:bCs/>
                <w:noProof/>
                <w:sz w:val="24"/>
                <w:szCs w:val="24"/>
              </w:rPr>
              <w:t>rādītāja</w:t>
            </w:r>
            <w:r w:rsidRPr="00F65E2E">
              <w:rPr>
                <w:rFonts w:ascii="Times New Roman" w:eastAsia="Times New Roman" w:hAnsi="Times New Roman" w:cs="Times New Roman"/>
                <w:bCs/>
                <w:noProof/>
                <w:sz w:val="24"/>
                <w:szCs w:val="24"/>
              </w:rPr>
              <w:t xml:space="preserve"> vērtības 100 Bq/l</w:t>
            </w:r>
          </w:p>
        </w:tc>
      </w:tr>
      <w:tr w:rsidR="00F65E2E" w14:paraId="6B3E94FF" w14:textId="77777777" w:rsidTr="00E74A6D">
        <w:tc>
          <w:tcPr>
            <w:tcW w:w="1159" w:type="dxa"/>
          </w:tcPr>
          <w:p w14:paraId="6B3E94FB"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3.3.3.</w:t>
            </w:r>
          </w:p>
        </w:tc>
        <w:tc>
          <w:tcPr>
            <w:tcW w:w="1818" w:type="dxa"/>
          </w:tcPr>
          <w:p w14:paraId="6B3E94FC" w14:textId="77777777" w:rsidR="00F65E2E" w:rsidRPr="00F65E2E" w:rsidRDefault="00F65E2E" w:rsidP="00FF5693">
            <w:pPr>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kopējā alfa starojuma avotu īpatnējā radioaktivitāte</w:t>
            </w:r>
          </w:p>
        </w:tc>
        <w:tc>
          <w:tcPr>
            <w:tcW w:w="1870" w:type="dxa"/>
          </w:tcPr>
          <w:p w14:paraId="6B3E94FD"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0,04 Bq/l</w:t>
            </w:r>
          </w:p>
        </w:tc>
        <w:tc>
          <w:tcPr>
            <w:tcW w:w="4225" w:type="dxa"/>
          </w:tcPr>
          <w:p w14:paraId="6B3E94FE" w14:textId="76DA2997" w:rsidR="00F65E2E" w:rsidRPr="00F65E2E" w:rsidRDefault="00F65E2E" w:rsidP="00AB4C06">
            <w:pPr>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 xml:space="preserve">Kopējās alfa starojuma avotu īpatnējās radioaktivitātes jutības robeža ir 40 % no tās </w:t>
            </w:r>
            <w:r w:rsidR="001C31A3" w:rsidRPr="001C31A3">
              <w:rPr>
                <w:rFonts w:ascii="Times New Roman" w:eastAsia="Times New Roman" w:hAnsi="Times New Roman" w:cs="Times New Roman"/>
                <w:bCs/>
                <w:noProof/>
                <w:sz w:val="24"/>
                <w:szCs w:val="24"/>
              </w:rPr>
              <w:t>rādītāja</w:t>
            </w:r>
            <w:r w:rsidRPr="00F65E2E">
              <w:rPr>
                <w:rFonts w:ascii="Times New Roman" w:eastAsia="Times New Roman" w:hAnsi="Times New Roman" w:cs="Times New Roman"/>
                <w:bCs/>
                <w:noProof/>
                <w:sz w:val="24"/>
                <w:szCs w:val="24"/>
              </w:rPr>
              <w:t xml:space="preserve"> vērtības 0,1 Bq/l</w:t>
            </w:r>
          </w:p>
        </w:tc>
      </w:tr>
      <w:tr w:rsidR="00F65E2E" w14:paraId="6B3E9504" w14:textId="77777777" w:rsidTr="00E74A6D">
        <w:tc>
          <w:tcPr>
            <w:tcW w:w="1159" w:type="dxa"/>
          </w:tcPr>
          <w:p w14:paraId="6B3E9500"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3.3.4.</w:t>
            </w:r>
          </w:p>
        </w:tc>
        <w:tc>
          <w:tcPr>
            <w:tcW w:w="1818" w:type="dxa"/>
          </w:tcPr>
          <w:p w14:paraId="6B3E9501" w14:textId="1ADF4707" w:rsidR="00F65E2E" w:rsidRPr="00F65E2E" w:rsidRDefault="00F65E2E" w:rsidP="00FF5693">
            <w:pPr>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 xml:space="preserve">kopējā </w:t>
            </w:r>
            <w:r w:rsidR="00173BB7">
              <w:rPr>
                <w:rFonts w:ascii="Times New Roman" w:eastAsia="Times New Roman" w:hAnsi="Times New Roman" w:cs="Times New Roman"/>
                <w:bCs/>
                <w:noProof/>
                <w:sz w:val="24"/>
                <w:szCs w:val="24"/>
              </w:rPr>
              <w:t>beta</w:t>
            </w:r>
            <w:r w:rsidRPr="00F65E2E">
              <w:rPr>
                <w:rFonts w:ascii="Times New Roman" w:eastAsia="Times New Roman" w:hAnsi="Times New Roman" w:cs="Times New Roman"/>
                <w:bCs/>
                <w:noProof/>
                <w:sz w:val="24"/>
                <w:szCs w:val="24"/>
              </w:rPr>
              <w:t xml:space="preserve"> starojuma avotu īpatnējā radioaktivitāte</w:t>
            </w:r>
          </w:p>
        </w:tc>
        <w:tc>
          <w:tcPr>
            <w:tcW w:w="1870" w:type="dxa"/>
          </w:tcPr>
          <w:p w14:paraId="6B3E9502"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0,4 Bq/l</w:t>
            </w:r>
          </w:p>
        </w:tc>
        <w:tc>
          <w:tcPr>
            <w:tcW w:w="4225" w:type="dxa"/>
          </w:tcPr>
          <w:p w14:paraId="6B3E9503" w14:textId="1259ABD5" w:rsidR="00F65E2E" w:rsidRPr="00F65E2E" w:rsidRDefault="00F65E2E" w:rsidP="00AB4C06">
            <w:pPr>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 xml:space="preserve">Kopējās </w:t>
            </w:r>
            <w:r w:rsidR="00173BB7">
              <w:rPr>
                <w:rFonts w:ascii="Times New Roman" w:eastAsia="Times New Roman" w:hAnsi="Times New Roman" w:cs="Times New Roman"/>
                <w:bCs/>
                <w:noProof/>
                <w:sz w:val="24"/>
                <w:szCs w:val="24"/>
              </w:rPr>
              <w:t>beta</w:t>
            </w:r>
            <w:r w:rsidRPr="00F65E2E">
              <w:rPr>
                <w:rFonts w:ascii="Times New Roman" w:eastAsia="Times New Roman" w:hAnsi="Times New Roman" w:cs="Times New Roman"/>
                <w:bCs/>
                <w:noProof/>
                <w:sz w:val="24"/>
                <w:szCs w:val="24"/>
              </w:rPr>
              <w:t xml:space="preserve"> starojuma avotu īpatnējās radioaktivitātes jutības robeža ir 40 % no tās </w:t>
            </w:r>
            <w:r w:rsidR="001C31A3" w:rsidRPr="001C31A3">
              <w:rPr>
                <w:rFonts w:ascii="Times New Roman" w:eastAsia="Times New Roman" w:hAnsi="Times New Roman" w:cs="Times New Roman"/>
                <w:bCs/>
                <w:noProof/>
                <w:sz w:val="24"/>
                <w:szCs w:val="24"/>
              </w:rPr>
              <w:t>rādītāja</w:t>
            </w:r>
            <w:r w:rsidRPr="00F65E2E">
              <w:rPr>
                <w:rFonts w:ascii="Times New Roman" w:eastAsia="Times New Roman" w:hAnsi="Times New Roman" w:cs="Times New Roman"/>
                <w:bCs/>
                <w:noProof/>
                <w:sz w:val="24"/>
                <w:szCs w:val="24"/>
              </w:rPr>
              <w:t xml:space="preserve"> vērtības 1,0 Bq/l</w:t>
            </w:r>
          </w:p>
        </w:tc>
      </w:tr>
      <w:tr w:rsidR="00F65E2E" w14:paraId="6B3E9509" w14:textId="77777777" w:rsidTr="00E74A6D">
        <w:tc>
          <w:tcPr>
            <w:tcW w:w="1159" w:type="dxa"/>
          </w:tcPr>
          <w:p w14:paraId="6B3E9505"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3.3.5.</w:t>
            </w:r>
          </w:p>
        </w:tc>
        <w:tc>
          <w:tcPr>
            <w:tcW w:w="1818" w:type="dxa"/>
          </w:tcPr>
          <w:p w14:paraId="6B3E9506"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U-238</w:t>
            </w:r>
          </w:p>
        </w:tc>
        <w:tc>
          <w:tcPr>
            <w:tcW w:w="1870" w:type="dxa"/>
          </w:tcPr>
          <w:p w14:paraId="6B3E9507"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0,02 Bq/l</w:t>
            </w:r>
          </w:p>
        </w:tc>
        <w:tc>
          <w:tcPr>
            <w:tcW w:w="4225" w:type="dxa"/>
          </w:tcPr>
          <w:p w14:paraId="6B3E9508"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 </w:t>
            </w:r>
          </w:p>
        </w:tc>
      </w:tr>
      <w:tr w:rsidR="00F65E2E" w14:paraId="6B3E950E" w14:textId="77777777" w:rsidTr="00E74A6D">
        <w:tc>
          <w:tcPr>
            <w:tcW w:w="1159" w:type="dxa"/>
          </w:tcPr>
          <w:p w14:paraId="6B3E950A"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3.3.6.</w:t>
            </w:r>
          </w:p>
        </w:tc>
        <w:tc>
          <w:tcPr>
            <w:tcW w:w="1818" w:type="dxa"/>
          </w:tcPr>
          <w:p w14:paraId="6B3E950B"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U-234</w:t>
            </w:r>
          </w:p>
        </w:tc>
        <w:tc>
          <w:tcPr>
            <w:tcW w:w="1870" w:type="dxa"/>
          </w:tcPr>
          <w:p w14:paraId="6B3E950C"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0,02 Bq/l</w:t>
            </w:r>
          </w:p>
        </w:tc>
        <w:tc>
          <w:tcPr>
            <w:tcW w:w="4225" w:type="dxa"/>
          </w:tcPr>
          <w:p w14:paraId="6B3E950D"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 </w:t>
            </w:r>
          </w:p>
        </w:tc>
      </w:tr>
      <w:tr w:rsidR="00F65E2E" w14:paraId="6B3E9513" w14:textId="77777777" w:rsidTr="00E74A6D">
        <w:tc>
          <w:tcPr>
            <w:tcW w:w="1159" w:type="dxa"/>
          </w:tcPr>
          <w:p w14:paraId="6B3E950F"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3.3.7.</w:t>
            </w:r>
          </w:p>
        </w:tc>
        <w:tc>
          <w:tcPr>
            <w:tcW w:w="1818" w:type="dxa"/>
          </w:tcPr>
          <w:p w14:paraId="6B3E9510"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Ra-226</w:t>
            </w:r>
          </w:p>
        </w:tc>
        <w:tc>
          <w:tcPr>
            <w:tcW w:w="1870" w:type="dxa"/>
          </w:tcPr>
          <w:p w14:paraId="6B3E9511"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0,04 Bq/l</w:t>
            </w:r>
          </w:p>
        </w:tc>
        <w:tc>
          <w:tcPr>
            <w:tcW w:w="4225" w:type="dxa"/>
          </w:tcPr>
          <w:p w14:paraId="6B3E9512"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 </w:t>
            </w:r>
          </w:p>
        </w:tc>
      </w:tr>
      <w:tr w:rsidR="00F65E2E" w14:paraId="6B3E9518" w14:textId="77777777" w:rsidTr="00E74A6D">
        <w:tc>
          <w:tcPr>
            <w:tcW w:w="1159" w:type="dxa"/>
          </w:tcPr>
          <w:p w14:paraId="6B3E9514"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3.3.8.</w:t>
            </w:r>
          </w:p>
        </w:tc>
        <w:tc>
          <w:tcPr>
            <w:tcW w:w="1818" w:type="dxa"/>
          </w:tcPr>
          <w:p w14:paraId="6B3E9515"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Ra-228</w:t>
            </w:r>
          </w:p>
        </w:tc>
        <w:tc>
          <w:tcPr>
            <w:tcW w:w="1870" w:type="dxa"/>
          </w:tcPr>
          <w:p w14:paraId="6B3E9516"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0,02 Bq/l</w:t>
            </w:r>
          </w:p>
        </w:tc>
        <w:tc>
          <w:tcPr>
            <w:tcW w:w="4225" w:type="dxa"/>
          </w:tcPr>
          <w:p w14:paraId="6B3E9517" w14:textId="03DF5AE1" w:rsidR="00F65E2E" w:rsidRPr="00F65E2E" w:rsidRDefault="00F65E2E" w:rsidP="00AB4C06">
            <w:pPr>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Jutības robežu attiecina tikai uz sākotnējo indikatīvās dozas (ID) kontroli jaunā ūdens avotā. Ja sākotnējā pārbaudē konstatē maz</w:t>
            </w:r>
            <w:r w:rsidR="00BA4176">
              <w:rPr>
                <w:rFonts w:ascii="Times New Roman" w:eastAsia="Times New Roman" w:hAnsi="Times New Roman" w:cs="Times New Roman"/>
                <w:bCs/>
                <w:noProof/>
                <w:sz w:val="24"/>
                <w:szCs w:val="24"/>
              </w:rPr>
              <w:t>u</w:t>
            </w:r>
            <w:r w:rsidRPr="00F65E2E">
              <w:rPr>
                <w:rFonts w:ascii="Times New Roman" w:eastAsia="Times New Roman" w:hAnsi="Times New Roman" w:cs="Times New Roman"/>
                <w:bCs/>
                <w:noProof/>
                <w:sz w:val="24"/>
                <w:szCs w:val="24"/>
              </w:rPr>
              <w:t xml:space="preserve"> ticam</w:t>
            </w:r>
            <w:r w:rsidR="00BA4176">
              <w:rPr>
                <w:rFonts w:ascii="Times New Roman" w:eastAsia="Times New Roman" w:hAnsi="Times New Roman" w:cs="Times New Roman"/>
                <w:bCs/>
                <w:noProof/>
                <w:sz w:val="24"/>
                <w:szCs w:val="24"/>
              </w:rPr>
              <w:t>ību tam</w:t>
            </w:r>
            <w:r w:rsidRPr="00F65E2E">
              <w:rPr>
                <w:rFonts w:ascii="Times New Roman" w:eastAsia="Times New Roman" w:hAnsi="Times New Roman" w:cs="Times New Roman"/>
                <w:bCs/>
                <w:noProof/>
                <w:sz w:val="24"/>
                <w:szCs w:val="24"/>
              </w:rPr>
              <w:t>, ka Ra-228 pārsniegs 20</w:t>
            </w:r>
            <w:r w:rsidR="00FF5693">
              <w:rPr>
                <w:rFonts w:ascii="Times New Roman" w:eastAsia="Times New Roman" w:hAnsi="Times New Roman" w:cs="Times New Roman"/>
                <w:bCs/>
                <w:noProof/>
                <w:sz w:val="24"/>
                <w:szCs w:val="24"/>
              </w:rPr>
              <w:t> </w:t>
            </w:r>
            <w:r w:rsidRPr="00F65E2E">
              <w:rPr>
                <w:rFonts w:ascii="Times New Roman" w:eastAsia="Times New Roman" w:hAnsi="Times New Roman" w:cs="Times New Roman"/>
                <w:bCs/>
                <w:noProof/>
                <w:sz w:val="24"/>
                <w:szCs w:val="24"/>
              </w:rPr>
              <w:t>% no atvasinātās koncentrācijas, jutības robežu var palielināt līdz 0,08 Bq/l regulāriem</w:t>
            </w:r>
            <w:r w:rsidR="00FF5693">
              <w:rPr>
                <w:rFonts w:ascii="Times New Roman" w:eastAsia="Times New Roman" w:hAnsi="Times New Roman" w:cs="Times New Roman"/>
                <w:bCs/>
                <w:noProof/>
                <w:sz w:val="24"/>
                <w:szCs w:val="24"/>
              </w:rPr>
              <w:t xml:space="preserve"> </w:t>
            </w:r>
            <w:r w:rsidR="00FF5693">
              <w:rPr>
                <w:rFonts w:ascii="Times New Roman" w:eastAsia="Times New Roman" w:hAnsi="Times New Roman" w:cs="Times New Roman"/>
                <w:bCs/>
                <w:noProof/>
                <w:sz w:val="24"/>
                <w:szCs w:val="24"/>
              </w:rPr>
              <w:br/>
            </w:r>
            <w:r w:rsidRPr="00F65E2E">
              <w:rPr>
                <w:rFonts w:ascii="Times New Roman" w:eastAsia="Times New Roman" w:hAnsi="Times New Roman" w:cs="Times New Roman"/>
                <w:bCs/>
                <w:noProof/>
                <w:sz w:val="24"/>
                <w:szCs w:val="24"/>
              </w:rPr>
              <w:t>Ra-228 radionuklīdu īpašajiem mērījumiem, līdz nepieciešama atkārtota pārbaude</w:t>
            </w:r>
          </w:p>
        </w:tc>
      </w:tr>
      <w:tr w:rsidR="00F65E2E" w14:paraId="6B3E951D" w14:textId="77777777" w:rsidTr="00E74A6D">
        <w:tc>
          <w:tcPr>
            <w:tcW w:w="1159" w:type="dxa"/>
          </w:tcPr>
          <w:p w14:paraId="6B3E9519"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lastRenderedPageBreak/>
              <w:t>3.3.9.</w:t>
            </w:r>
          </w:p>
        </w:tc>
        <w:tc>
          <w:tcPr>
            <w:tcW w:w="1818" w:type="dxa"/>
          </w:tcPr>
          <w:p w14:paraId="6B3E951A"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Pb-210</w:t>
            </w:r>
          </w:p>
        </w:tc>
        <w:tc>
          <w:tcPr>
            <w:tcW w:w="1870" w:type="dxa"/>
          </w:tcPr>
          <w:p w14:paraId="6B3E951B"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0,02 Bq/l</w:t>
            </w:r>
          </w:p>
        </w:tc>
        <w:tc>
          <w:tcPr>
            <w:tcW w:w="4225" w:type="dxa"/>
          </w:tcPr>
          <w:p w14:paraId="6B3E951C"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 </w:t>
            </w:r>
          </w:p>
        </w:tc>
      </w:tr>
      <w:tr w:rsidR="00F65E2E" w14:paraId="6B3E9522" w14:textId="77777777" w:rsidTr="00E74A6D">
        <w:tc>
          <w:tcPr>
            <w:tcW w:w="1159" w:type="dxa"/>
          </w:tcPr>
          <w:p w14:paraId="6B3E951E"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3.3.10.</w:t>
            </w:r>
          </w:p>
        </w:tc>
        <w:tc>
          <w:tcPr>
            <w:tcW w:w="1818" w:type="dxa"/>
          </w:tcPr>
          <w:p w14:paraId="6B3E951F"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Po-210</w:t>
            </w:r>
          </w:p>
        </w:tc>
        <w:tc>
          <w:tcPr>
            <w:tcW w:w="1870" w:type="dxa"/>
          </w:tcPr>
          <w:p w14:paraId="6B3E9520"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0,01 Bq/l</w:t>
            </w:r>
          </w:p>
        </w:tc>
        <w:tc>
          <w:tcPr>
            <w:tcW w:w="4225" w:type="dxa"/>
          </w:tcPr>
          <w:p w14:paraId="6B3E9521"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 </w:t>
            </w:r>
          </w:p>
        </w:tc>
      </w:tr>
      <w:tr w:rsidR="00F65E2E" w14:paraId="6B3E9527" w14:textId="77777777" w:rsidTr="00E74A6D">
        <w:tc>
          <w:tcPr>
            <w:tcW w:w="1159" w:type="dxa"/>
          </w:tcPr>
          <w:p w14:paraId="6B3E9523"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3.3.11.</w:t>
            </w:r>
          </w:p>
        </w:tc>
        <w:tc>
          <w:tcPr>
            <w:tcW w:w="1818" w:type="dxa"/>
          </w:tcPr>
          <w:p w14:paraId="6B3E9524"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C-14</w:t>
            </w:r>
          </w:p>
        </w:tc>
        <w:tc>
          <w:tcPr>
            <w:tcW w:w="1870" w:type="dxa"/>
          </w:tcPr>
          <w:p w14:paraId="6B3E9525"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20 Bq/l</w:t>
            </w:r>
          </w:p>
        </w:tc>
        <w:tc>
          <w:tcPr>
            <w:tcW w:w="4225" w:type="dxa"/>
          </w:tcPr>
          <w:p w14:paraId="6B3E9526"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 </w:t>
            </w:r>
          </w:p>
        </w:tc>
      </w:tr>
      <w:tr w:rsidR="00F65E2E" w14:paraId="6B3E952C" w14:textId="77777777" w:rsidTr="00E74A6D">
        <w:tc>
          <w:tcPr>
            <w:tcW w:w="1159" w:type="dxa"/>
          </w:tcPr>
          <w:p w14:paraId="6B3E9528"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3.3.12.</w:t>
            </w:r>
          </w:p>
        </w:tc>
        <w:tc>
          <w:tcPr>
            <w:tcW w:w="1818" w:type="dxa"/>
          </w:tcPr>
          <w:p w14:paraId="6B3E9529"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Sr-90</w:t>
            </w:r>
          </w:p>
        </w:tc>
        <w:tc>
          <w:tcPr>
            <w:tcW w:w="1870" w:type="dxa"/>
          </w:tcPr>
          <w:p w14:paraId="6B3E952A"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0,4 Bq/l</w:t>
            </w:r>
          </w:p>
        </w:tc>
        <w:tc>
          <w:tcPr>
            <w:tcW w:w="4225" w:type="dxa"/>
          </w:tcPr>
          <w:p w14:paraId="6B3E952B"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 </w:t>
            </w:r>
          </w:p>
        </w:tc>
      </w:tr>
      <w:tr w:rsidR="00F65E2E" w14:paraId="6B3E9531" w14:textId="77777777" w:rsidTr="00E74A6D">
        <w:tc>
          <w:tcPr>
            <w:tcW w:w="1159" w:type="dxa"/>
          </w:tcPr>
          <w:p w14:paraId="6B3E952D"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3.3.13.</w:t>
            </w:r>
          </w:p>
        </w:tc>
        <w:tc>
          <w:tcPr>
            <w:tcW w:w="1818" w:type="dxa"/>
          </w:tcPr>
          <w:p w14:paraId="6B3E952E"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Pu-239/Pu-240</w:t>
            </w:r>
          </w:p>
        </w:tc>
        <w:tc>
          <w:tcPr>
            <w:tcW w:w="1870" w:type="dxa"/>
          </w:tcPr>
          <w:p w14:paraId="6B3E952F"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0,04 Bq/l</w:t>
            </w:r>
          </w:p>
        </w:tc>
        <w:tc>
          <w:tcPr>
            <w:tcW w:w="4225" w:type="dxa"/>
          </w:tcPr>
          <w:p w14:paraId="6B3E9530"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 </w:t>
            </w:r>
          </w:p>
        </w:tc>
      </w:tr>
      <w:tr w:rsidR="00F65E2E" w14:paraId="6B3E9536" w14:textId="77777777" w:rsidTr="00E74A6D">
        <w:tc>
          <w:tcPr>
            <w:tcW w:w="1159" w:type="dxa"/>
          </w:tcPr>
          <w:p w14:paraId="6B3E9532"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3.3.14.</w:t>
            </w:r>
          </w:p>
        </w:tc>
        <w:tc>
          <w:tcPr>
            <w:tcW w:w="1818" w:type="dxa"/>
          </w:tcPr>
          <w:p w14:paraId="6B3E9533"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Am-241</w:t>
            </w:r>
          </w:p>
        </w:tc>
        <w:tc>
          <w:tcPr>
            <w:tcW w:w="1870" w:type="dxa"/>
          </w:tcPr>
          <w:p w14:paraId="6B3E9534"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0,06 Bq/l</w:t>
            </w:r>
          </w:p>
        </w:tc>
        <w:tc>
          <w:tcPr>
            <w:tcW w:w="4225" w:type="dxa"/>
          </w:tcPr>
          <w:p w14:paraId="6B3E9535"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 </w:t>
            </w:r>
          </w:p>
        </w:tc>
      </w:tr>
      <w:tr w:rsidR="00F65E2E" w14:paraId="6B3E953B" w14:textId="77777777" w:rsidTr="00E74A6D">
        <w:tc>
          <w:tcPr>
            <w:tcW w:w="1159" w:type="dxa"/>
          </w:tcPr>
          <w:p w14:paraId="6B3E9537"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3.3.15.</w:t>
            </w:r>
          </w:p>
        </w:tc>
        <w:tc>
          <w:tcPr>
            <w:tcW w:w="1818" w:type="dxa"/>
          </w:tcPr>
          <w:p w14:paraId="6B3E9538"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Co-60</w:t>
            </w:r>
          </w:p>
        </w:tc>
        <w:tc>
          <w:tcPr>
            <w:tcW w:w="1870" w:type="dxa"/>
          </w:tcPr>
          <w:p w14:paraId="6B3E9539"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0,5 Bq/l</w:t>
            </w:r>
          </w:p>
        </w:tc>
        <w:tc>
          <w:tcPr>
            <w:tcW w:w="4225" w:type="dxa"/>
          </w:tcPr>
          <w:p w14:paraId="6B3E953A"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 </w:t>
            </w:r>
          </w:p>
        </w:tc>
      </w:tr>
      <w:tr w:rsidR="00F65E2E" w14:paraId="6B3E9540" w14:textId="77777777" w:rsidTr="00E74A6D">
        <w:tc>
          <w:tcPr>
            <w:tcW w:w="1159" w:type="dxa"/>
          </w:tcPr>
          <w:p w14:paraId="6B3E953C"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3.3.16.</w:t>
            </w:r>
          </w:p>
        </w:tc>
        <w:tc>
          <w:tcPr>
            <w:tcW w:w="1818" w:type="dxa"/>
          </w:tcPr>
          <w:p w14:paraId="6B3E953D"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Cs-134</w:t>
            </w:r>
          </w:p>
        </w:tc>
        <w:tc>
          <w:tcPr>
            <w:tcW w:w="1870" w:type="dxa"/>
          </w:tcPr>
          <w:p w14:paraId="6B3E953E"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0,5 Bq/l</w:t>
            </w:r>
          </w:p>
        </w:tc>
        <w:tc>
          <w:tcPr>
            <w:tcW w:w="4225" w:type="dxa"/>
          </w:tcPr>
          <w:p w14:paraId="6B3E953F"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 </w:t>
            </w:r>
          </w:p>
        </w:tc>
      </w:tr>
      <w:tr w:rsidR="00F65E2E" w14:paraId="6B3E9545" w14:textId="77777777" w:rsidTr="00E74A6D">
        <w:tc>
          <w:tcPr>
            <w:tcW w:w="1159" w:type="dxa"/>
          </w:tcPr>
          <w:p w14:paraId="6B3E9541"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3.3.17.</w:t>
            </w:r>
          </w:p>
        </w:tc>
        <w:tc>
          <w:tcPr>
            <w:tcW w:w="1818" w:type="dxa"/>
          </w:tcPr>
          <w:p w14:paraId="6B3E9542"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Cs-137</w:t>
            </w:r>
          </w:p>
        </w:tc>
        <w:tc>
          <w:tcPr>
            <w:tcW w:w="1870" w:type="dxa"/>
          </w:tcPr>
          <w:p w14:paraId="6B3E9543"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0,5 Bq/l</w:t>
            </w:r>
          </w:p>
        </w:tc>
        <w:tc>
          <w:tcPr>
            <w:tcW w:w="4225" w:type="dxa"/>
          </w:tcPr>
          <w:p w14:paraId="6B3E9544"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 </w:t>
            </w:r>
          </w:p>
        </w:tc>
      </w:tr>
      <w:tr w:rsidR="00F65E2E" w14:paraId="6B3E954A" w14:textId="77777777" w:rsidTr="00E74A6D">
        <w:tc>
          <w:tcPr>
            <w:tcW w:w="1159" w:type="dxa"/>
          </w:tcPr>
          <w:p w14:paraId="6B3E9546"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3.3.18.</w:t>
            </w:r>
          </w:p>
        </w:tc>
        <w:tc>
          <w:tcPr>
            <w:tcW w:w="1818" w:type="dxa"/>
          </w:tcPr>
          <w:p w14:paraId="6B3E9547"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I-131</w:t>
            </w:r>
          </w:p>
        </w:tc>
        <w:tc>
          <w:tcPr>
            <w:tcW w:w="1870" w:type="dxa"/>
          </w:tcPr>
          <w:p w14:paraId="6B3E9548"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0,5 Bq/l</w:t>
            </w:r>
          </w:p>
        </w:tc>
        <w:tc>
          <w:tcPr>
            <w:tcW w:w="4225" w:type="dxa"/>
          </w:tcPr>
          <w:p w14:paraId="6B3E9549" w14:textId="77777777" w:rsidR="00F65E2E" w:rsidRPr="00F65E2E" w:rsidRDefault="00F65E2E" w:rsidP="00AB4C06">
            <w:pPr>
              <w:ind w:left="283"/>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 </w:t>
            </w:r>
          </w:p>
        </w:tc>
      </w:tr>
    </w:tbl>
    <w:p w14:paraId="6B3E954B" w14:textId="77777777" w:rsidR="00F65E2E" w:rsidRDefault="00F65E2E" w:rsidP="00FF5693">
      <w:pPr>
        <w:spacing w:after="0" w:line="240" w:lineRule="auto"/>
        <w:ind w:firstLine="709"/>
        <w:jc w:val="both"/>
        <w:rPr>
          <w:rFonts w:ascii="Times New Roman" w:eastAsia="Times New Roman" w:hAnsi="Times New Roman" w:cs="Times New Roman"/>
          <w:bCs/>
          <w:noProof/>
          <w:sz w:val="24"/>
          <w:szCs w:val="24"/>
        </w:rPr>
      </w:pPr>
    </w:p>
    <w:p w14:paraId="6B3E954C" w14:textId="77777777" w:rsidR="00F65E2E" w:rsidRPr="00F65E2E" w:rsidRDefault="00F65E2E" w:rsidP="00FF5693">
      <w:pPr>
        <w:spacing w:after="0" w:line="240" w:lineRule="auto"/>
        <w:ind w:firstLine="709"/>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rPr>
        <w:t>Piezīmes.</w:t>
      </w:r>
    </w:p>
    <w:p w14:paraId="6B3E954D" w14:textId="1E45E6EF" w:rsidR="00F65E2E" w:rsidRPr="00F65E2E" w:rsidRDefault="00F65E2E" w:rsidP="00FF5693">
      <w:pPr>
        <w:spacing w:after="0" w:line="240" w:lineRule="auto"/>
        <w:ind w:firstLine="709"/>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vertAlign w:val="superscript"/>
        </w:rPr>
        <w:t>1</w:t>
      </w:r>
      <w:r w:rsidRPr="00F65E2E">
        <w:rPr>
          <w:rFonts w:ascii="Times New Roman" w:eastAsia="Times New Roman" w:hAnsi="Times New Roman" w:cs="Times New Roman"/>
          <w:bCs/>
          <w:noProof/>
          <w:sz w:val="24"/>
          <w:szCs w:val="24"/>
        </w:rPr>
        <w:t xml:space="preserve"> Tabulā iekļautas visbiežāk sastopamo dabisko un mākslīgo radionuklīdu vērtības, kas aprēķinātas uz 0,1 mSv dozu, pieņemot, ka ūdens patēriņš gadā pieaugušam cilvēkam ir 730</w:t>
      </w:r>
      <w:r w:rsidR="00FF5693">
        <w:rPr>
          <w:rFonts w:ascii="Times New Roman" w:eastAsia="Times New Roman" w:hAnsi="Times New Roman" w:cs="Times New Roman"/>
          <w:bCs/>
          <w:noProof/>
          <w:sz w:val="24"/>
          <w:szCs w:val="24"/>
        </w:rPr>
        <w:t> </w:t>
      </w:r>
      <w:r w:rsidRPr="00F65E2E">
        <w:rPr>
          <w:rFonts w:ascii="Times New Roman" w:eastAsia="Times New Roman" w:hAnsi="Times New Roman" w:cs="Times New Roman"/>
          <w:bCs/>
          <w:noProof/>
          <w:sz w:val="24"/>
          <w:szCs w:val="24"/>
        </w:rPr>
        <w:t>litri, kā arī izmantojot normatīvajos aktos par aizsardzību pret jonizējošo starojumu noteiktās paredzamās efektīvās dozas (Sv/Bq) iedzīvotājiem, ja radionuklīdi tiek uzņemti ar pārtiku vai ūdeni. Citu radionuklīdu atvasināto koncentrāciju var aprēķināt tādā pašā veidā.</w:t>
      </w:r>
    </w:p>
    <w:p w14:paraId="6B3E954E" w14:textId="77777777" w:rsidR="00F65E2E" w:rsidRPr="00FF5693" w:rsidRDefault="00F65E2E" w:rsidP="00FF5693">
      <w:pPr>
        <w:spacing w:after="0" w:line="240" w:lineRule="auto"/>
        <w:ind w:firstLine="709"/>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vertAlign w:val="superscript"/>
        </w:rPr>
        <w:t>2</w:t>
      </w:r>
      <w:r w:rsidRPr="00F65E2E">
        <w:rPr>
          <w:rFonts w:ascii="Times New Roman" w:eastAsia="Times New Roman" w:hAnsi="Times New Roman" w:cs="Times New Roman"/>
          <w:bCs/>
          <w:noProof/>
          <w:sz w:val="24"/>
          <w:szCs w:val="24"/>
        </w:rPr>
        <w:t xml:space="preserve"> Tabulā norādīta tikai urāna radioaktivitāte, bet ne tā ķīmiskais </w:t>
      </w:r>
      <w:r w:rsidRPr="00FF5693">
        <w:rPr>
          <w:rFonts w:ascii="Times New Roman" w:eastAsia="Times New Roman" w:hAnsi="Times New Roman" w:cs="Times New Roman"/>
          <w:bCs/>
          <w:noProof/>
          <w:sz w:val="24"/>
          <w:szCs w:val="24"/>
        </w:rPr>
        <w:t>toksiskums.</w:t>
      </w:r>
    </w:p>
    <w:p w14:paraId="6B3E954F" w14:textId="3FD9AD37" w:rsidR="009A4F34" w:rsidRPr="00FF5693" w:rsidRDefault="00F65E2E" w:rsidP="00FF5693">
      <w:pPr>
        <w:spacing w:after="0" w:line="240" w:lineRule="auto"/>
        <w:ind w:firstLine="709"/>
        <w:jc w:val="both"/>
        <w:rPr>
          <w:rFonts w:ascii="Times New Roman" w:eastAsia="Times New Roman" w:hAnsi="Times New Roman" w:cs="Times New Roman"/>
          <w:bCs/>
          <w:noProof/>
          <w:sz w:val="24"/>
          <w:szCs w:val="24"/>
        </w:rPr>
      </w:pPr>
      <w:r w:rsidRPr="00FF5693">
        <w:rPr>
          <w:rFonts w:ascii="Times New Roman" w:eastAsia="Times New Roman" w:hAnsi="Times New Roman" w:cs="Times New Roman"/>
          <w:bCs/>
          <w:noProof/>
          <w:sz w:val="24"/>
          <w:szCs w:val="24"/>
          <w:vertAlign w:val="superscript"/>
        </w:rPr>
        <w:t>3</w:t>
      </w:r>
      <w:r w:rsidRPr="00FF5693">
        <w:rPr>
          <w:rFonts w:ascii="Times New Roman" w:eastAsia="Times New Roman" w:hAnsi="Times New Roman" w:cs="Times New Roman"/>
          <w:bCs/>
          <w:noProof/>
          <w:sz w:val="24"/>
          <w:szCs w:val="24"/>
        </w:rPr>
        <w:t xml:space="preserve"> </w:t>
      </w:r>
      <w:r w:rsidR="009A4F34" w:rsidRPr="00FF5693">
        <w:rPr>
          <w:rFonts w:ascii="Times New Roman" w:eastAsia="Times New Roman" w:hAnsi="Times New Roman" w:cs="Times New Roman"/>
          <w:bCs/>
          <w:noProof/>
          <w:sz w:val="24"/>
          <w:szCs w:val="24"/>
        </w:rPr>
        <w:t xml:space="preserve">Jutības robežu aprēķina saskaņā ar standartu LVS ISO 11929:2017 </w:t>
      </w:r>
      <w:r w:rsidR="00FF5693" w:rsidRPr="00FF5693">
        <w:rPr>
          <w:rFonts w:ascii="Times New Roman" w:hAnsi="Times New Roman" w:cs="Times New Roman"/>
          <w:sz w:val="24"/>
          <w:szCs w:val="24"/>
        </w:rPr>
        <w:t>"</w:t>
      </w:r>
      <w:r w:rsidR="009A4F34" w:rsidRPr="00FF5693">
        <w:rPr>
          <w:rFonts w:ascii="Times New Roman" w:eastAsia="Times New Roman" w:hAnsi="Times New Roman" w:cs="Times New Roman"/>
          <w:bCs/>
          <w:noProof/>
          <w:sz w:val="24"/>
          <w:szCs w:val="24"/>
        </w:rPr>
        <w:t>Raksturīgo robežu noteikšana (lēmuma sliekšņvērtība, noteikšanas robeža un ticamības intervāla ierobežojumi) jonizējošā starojuma mērījumiem. Pamatprincipi un pielietojums</w:t>
      </w:r>
      <w:r w:rsidR="00FF5693" w:rsidRPr="00FF5693">
        <w:rPr>
          <w:rFonts w:ascii="Times New Roman" w:hAnsi="Times New Roman" w:cs="Times New Roman"/>
          <w:sz w:val="24"/>
          <w:szCs w:val="24"/>
        </w:rPr>
        <w:t>"</w:t>
      </w:r>
      <w:r w:rsidR="009A4F34" w:rsidRPr="00FF5693">
        <w:rPr>
          <w:rFonts w:ascii="Times New Roman" w:eastAsia="Times New Roman" w:hAnsi="Times New Roman" w:cs="Times New Roman"/>
          <w:bCs/>
          <w:noProof/>
          <w:sz w:val="24"/>
          <w:szCs w:val="24"/>
        </w:rPr>
        <w:t>.</w:t>
      </w:r>
    </w:p>
    <w:p w14:paraId="6B3E9550" w14:textId="77777777" w:rsidR="00F65E2E" w:rsidRPr="00F65E2E" w:rsidRDefault="00F65E2E" w:rsidP="00FF5693">
      <w:pPr>
        <w:spacing w:after="0" w:line="240" w:lineRule="auto"/>
        <w:ind w:firstLine="709"/>
        <w:jc w:val="both"/>
        <w:rPr>
          <w:rFonts w:ascii="Times New Roman" w:eastAsia="Times New Roman" w:hAnsi="Times New Roman" w:cs="Times New Roman"/>
          <w:bCs/>
          <w:noProof/>
          <w:sz w:val="24"/>
          <w:szCs w:val="24"/>
        </w:rPr>
      </w:pPr>
      <w:r w:rsidRPr="00F65E2E">
        <w:rPr>
          <w:rFonts w:ascii="Times New Roman" w:eastAsia="Times New Roman" w:hAnsi="Times New Roman" w:cs="Times New Roman"/>
          <w:bCs/>
          <w:noProof/>
          <w:sz w:val="24"/>
          <w:szCs w:val="24"/>
          <w:vertAlign w:val="superscript"/>
        </w:rPr>
        <w:t>4</w:t>
      </w:r>
      <w:r w:rsidRPr="00F65E2E">
        <w:rPr>
          <w:rFonts w:ascii="Times New Roman" w:eastAsia="Times New Roman" w:hAnsi="Times New Roman" w:cs="Times New Roman"/>
          <w:bCs/>
          <w:noProof/>
          <w:sz w:val="24"/>
          <w:szCs w:val="24"/>
        </w:rPr>
        <w:t xml:space="preserve"> Mērījumu nenoteiktību aprēķina un paziņo kā pilno standarta nenoteiktību vai kā paplašināto standarta nenoteiktību ar paplašināšanas koeficientu 1,96 saskaņā ar </w:t>
      </w:r>
      <w:r w:rsidR="00874125" w:rsidRPr="00874125">
        <w:rPr>
          <w:rFonts w:ascii="Times New Roman" w:eastAsia="Times New Roman" w:hAnsi="Times New Roman" w:cs="Times New Roman"/>
          <w:bCs/>
          <w:noProof/>
          <w:sz w:val="24"/>
          <w:szCs w:val="24"/>
        </w:rPr>
        <w:t xml:space="preserve">Metroloģijas </w:t>
      </w:r>
      <w:r w:rsidR="00874125">
        <w:rPr>
          <w:rFonts w:ascii="Times New Roman" w:eastAsia="Times New Roman" w:hAnsi="Times New Roman" w:cs="Times New Roman"/>
          <w:bCs/>
          <w:noProof/>
          <w:sz w:val="24"/>
          <w:szCs w:val="24"/>
        </w:rPr>
        <w:t>vadlīniju</w:t>
      </w:r>
      <w:r w:rsidR="00874125" w:rsidRPr="00874125">
        <w:rPr>
          <w:rFonts w:ascii="Times New Roman" w:eastAsia="Times New Roman" w:hAnsi="Times New Roman" w:cs="Times New Roman"/>
          <w:bCs/>
          <w:noProof/>
          <w:sz w:val="24"/>
          <w:szCs w:val="24"/>
        </w:rPr>
        <w:t xml:space="preserve"> apvienotā</w:t>
      </w:r>
      <w:r w:rsidR="00874125">
        <w:rPr>
          <w:rFonts w:ascii="Times New Roman" w:eastAsia="Times New Roman" w:hAnsi="Times New Roman" w:cs="Times New Roman"/>
          <w:bCs/>
          <w:noProof/>
          <w:sz w:val="24"/>
          <w:szCs w:val="24"/>
        </w:rPr>
        <w:t>s</w:t>
      </w:r>
      <w:r w:rsidR="00874125" w:rsidRPr="00874125">
        <w:rPr>
          <w:rFonts w:ascii="Times New Roman" w:eastAsia="Times New Roman" w:hAnsi="Times New Roman" w:cs="Times New Roman"/>
          <w:bCs/>
          <w:noProof/>
          <w:sz w:val="24"/>
          <w:szCs w:val="24"/>
        </w:rPr>
        <w:t xml:space="preserve"> komiteja</w:t>
      </w:r>
      <w:r w:rsidR="00874125">
        <w:rPr>
          <w:rFonts w:ascii="Times New Roman" w:eastAsia="Times New Roman" w:hAnsi="Times New Roman" w:cs="Times New Roman"/>
          <w:bCs/>
          <w:noProof/>
          <w:sz w:val="24"/>
          <w:szCs w:val="24"/>
        </w:rPr>
        <w:t>s (</w:t>
      </w:r>
      <w:r w:rsidR="00874125" w:rsidRPr="00893CDA">
        <w:rPr>
          <w:rFonts w:ascii="Times New Roman" w:eastAsia="Times New Roman" w:hAnsi="Times New Roman" w:cs="Times New Roman"/>
          <w:bCs/>
          <w:i/>
          <w:noProof/>
          <w:sz w:val="24"/>
          <w:szCs w:val="24"/>
        </w:rPr>
        <w:t xml:space="preserve">JCGM </w:t>
      </w:r>
      <w:r w:rsidR="00BA4176" w:rsidRPr="00893CDA">
        <w:rPr>
          <w:rFonts w:ascii="Times New Roman" w:eastAsia="Times New Roman" w:hAnsi="Times New Roman" w:cs="Times New Roman"/>
          <w:bCs/>
          <w:i/>
          <w:noProof/>
          <w:sz w:val="24"/>
          <w:szCs w:val="24"/>
        </w:rPr>
        <w:t>–</w:t>
      </w:r>
      <w:r w:rsidR="00874125" w:rsidRPr="00893CDA">
        <w:rPr>
          <w:i/>
        </w:rPr>
        <w:t xml:space="preserve"> </w:t>
      </w:r>
      <w:r w:rsidR="00874125" w:rsidRPr="00893CDA">
        <w:rPr>
          <w:rFonts w:ascii="Times New Roman" w:eastAsia="Times New Roman" w:hAnsi="Times New Roman" w:cs="Times New Roman"/>
          <w:bCs/>
          <w:i/>
          <w:noProof/>
          <w:sz w:val="24"/>
          <w:szCs w:val="24"/>
        </w:rPr>
        <w:t>Joint Committee for Guides in Metrology</w:t>
      </w:r>
      <w:r w:rsidR="00874125">
        <w:rPr>
          <w:rFonts w:ascii="Times New Roman" w:eastAsia="Times New Roman" w:hAnsi="Times New Roman" w:cs="Times New Roman"/>
          <w:bCs/>
          <w:noProof/>
          <w:sz w:val="24"/>
          <w:szCs w:val="24"/>
        </w:rPr>
        <w:t xml:space="preserve">) izstrādātajām vadlīnijām </w:t>
      </w:r>
      <w:r w:rsidRPr="00F65E2E">
        <w:rPr>
          <w:rFonts w:ascii="Times New Roman" w:eastAsia="Times New Roman" w:hAnsi="Times New Roman" w:cs="Times New Roman"/>
          <w:bCs/>
          <w:noProof/>
          <w:sz w:val="24"/>
          <w:szCs w:val="24"/>
        </w:rPr>
        <w:t>par mērījuma nenoteiktības izteikšanu.</w:t>
      </w:r>
    </w:p>
    <w:p w14:paraId="435E2B6B" w14:textId="77777777" w:rsidR="00540344" w:rsidRPr="00540344" w:rsidRDefault="00540344" w:rsidP="00540344">
      <w:pPr>
        <w:pStyle w:val="naisf"/>
        <w:tabs>
          <w:tab w:val="right" w:pos="9000"/>
        </w:tabs>
        <w:spacing w:before="0" w:after="0"/>
        <w:ind w:firstLine="709"/>
        <w:rPr>
          <w:sz w:val="28"/>
          <w:szCs w:val="28"/>
        </w:rPr>
      </w:pPr>
    </w:p>
    <w:p w14:paraId="0EB482FD" w14:textId="77777777" w:rsidR="00540344" w:rsidRPr="00540344" w:rsidRDefault="00540344" w:rsidP="00540344">
      <w:pPr>
        <w:pStyle w:val="naisf"/>
        <w:tabs>
          <w:tab w:val="right" w:pos="9000"/>
        </w:tabs>
        <w:spacing w:before="0" w:after="0"/>
        <w:ind w:firstLine="709"/>
        <w:rPr>
          <w:sz w:val="28"/>
          <w:szCs w:val="28"/>
        </w:rPr>
      </w:pPr>
    </w:p>
    <w:p w14:paraId="3E11D297" w14:textId="77777777" w:rsidR="00540344" w:rsidRPr="00540344" w:rsidRDefault="00540344" w:rsidP="00540344">
      <w:pPr>
        <w:pStyle w:val="naisf"/>
        <w:tabs>
          <w:tab w:val="right" w:pos="9000"/>
        </w:tabs>
        <w:spacing w:before="0" w:after="0"/>
        <w:ind w:firstLine="709"/>
        <w:rPr>
          <w:sz w:val="28"/>
          <w:szCs w:val="28"/>
        </w:rPr>
      </w:pPr>
    </w:p>
    <w:p w14:paraId="4CC8CAEA" w14:textId="77777777" w:rsidR="00540344" w:rsidRPr="00540344" w:rsidRDefault="00540344" w:rsidP="00540344">
      <w:pPr>
        <w:tabs>
          <w:tab w:val="left" w:pos="6521"/>
          <w:tab w:val="right" w:pos="8820"/>
        </w:tabs>
        <w:spacing w:after="0" w:line="240" w:lineRule="auto"/>
        <w:ind w:firstLine="709"/>
        <w:rPr>
          <w:rFonts w:ascii="Times New Roman" w:hAnsi="Times New Roman" w:cs="Times New Roman"/>
          <w:sz w:val="28"/>
          <w:szCs w:val="28"/>
        </w:rPr>
      </w:pPr>
      <w:r w:rsidRPr="00540344">
        <w:rPr>
          <w:rFonts w:ascii="Times New Roman" w:hAnsi="Times New Roman" w:cs="Times New Roman"/>
          <w:sz w:val="28"/>
          <w:szCs w:val="28"/>
        </w:rPr>
        <w:t>Zemkopības ministrs</w:t>
      </w:r>
      <w:r w:rsidRPr="00540344">
        <w:rPr>
          <w:rFonts w:ascii="Times New Roman" w:hAnsi="Times New Roman" w:cs="Times New Roman"/>
          <w:sz w:val="28"/>
          <w:szCs w:val="28"/>
        </w:rPr>
        <w:tab/>
        <w:t>Jānis Dūklavs</w:t>
      </w:r>
    </w:p>
    <w:sectPr w:rsidR="00540344" w:rsidRPr="00540344" w:rsidSect="00540344">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E9558" w14:textId="77777777" w:rsidR="00DE2FD0" w:rsidRDefault="00DE2FD0" w:rsidP="00C30176">
      <w:pPr>
        <w:spacing w:after="0" w:line="240" w:lineRule="auto"/>
      </w:pPr>
      <w:r>
        <w:separator/>
      </w:r>
    </w:p>
  </w:endnote>
  <w:endnote w:type="continuationSeparator" w:id="0">
    <w:p w14:paraId="6B3E9559" w14:textId="77777777" w:rsidR="00DE2FD0" w:rsidRDefault="00DE2FD0" w:rsidP="00C30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8DAD" w14:textId="77777777" w:rsidR="00540344" w:rsidRPr="00540344" w:rsidRDefault="00540344" w:rsidP="00540344">
    <w:pPr>
      <w:pStyle w:val="Footer"/>
      <w:rPr>
        <w:rFonts w:ascii="Times New Roman" w:hAnsi="Times New Roman" w:cs="Times New Roman"/>
        <w:sz w:val="16"/>
        <w:szCs w:val="16"/>
      </w:rPr>
    </w:pPr>
    <w:r>
      <w:rPr>
        <w:rFonts w:ascii="Times New Roman" w:hAnsi="Times New Roman" w:cs="Times New Roman"/>
        <w:sz w:val="16"/>
        <w:szCs w:val="16"/>
      </w:rPr>
      <w:t>N2286_7p3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DED36" w14:textId="678D3123" w:rsidR="00540344" w:rsidRPr="00540344" w:rsidRDefault="00540344">
    <w:pPr>
      <w:pStyle w:val="Footer"/>
      <w:rPr>
        <w:rFonts w:ascii="Times New Roman" w:hAnsi="Times New Roman" w:cs="Times New Roman"/>
        <w:sz w:val="16"/>
        <w:szCs w:val="16"/>
      </w:rPr>
    </w:pPr>
    <w:r>
      <w:rPr>
        <w:rFonts w:ascii="Times New Roman" w:hAnsi="Times New Roman" w:cs="Times New Roman"/>
        <w:sz w:val="16"/>
        <w:szCs w:val="16"/>
      </w:rPr>
      <w:t>N2286_7p3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E9556" w14:textId="77777777" w:rsidR="00DE2FD0" w:rsidRDefault="00DE2FD0" w:rsidP="00C30176">
      <w:pPr>
        <w:spacing w:after="0" w:line="240" w:lineRule="auto"/>
      </w:pPr>
      <w:r>
        <w:separator/>
      </w:r>
    </w:p>
  </w:footnote>
  <w:footnote w:type="continuationSeparator" w:id="0">
    <w:p w14:paraId="6B3E9557" w14:textId="77777777" w:rsidR="00DE2FD0" w:rsidRDefault="00DE2FD0" w:rsidP="00C30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750332"/>
      <w:docPartObj>
        <w:docPartGallery w:val="Page Numbers (Top of Page)"/>
        <w:docPartUnique/>
      </w:docPartObj>
    </w:sdtPr>
    <w:sdtEndPr>
      <w:rPr>
        <w:rFonts w:ascii="Times New Roman" w:hAnsi="Times New Roman" w:cs="Times New Roman"/>
        <w:sz w:val="24"/>
      </w:rPr>
    </w:sdtEndPr>
    <w:sdtContent>
      <w:p w14:paraId="6B3E955A" w14:textId="55F4EB9F" w:rsidR="0027683C" w:rsidRPr="0027683C" w:rsidRDefault="0027683C">
        <w:pPr>
          <w:pStyle w:val="Header"/>
          <w:jc w:val="center"/>
          <w:rPr>
            <w:rFonts w:ascii="Times New Roman" w:hAnsi="Times New Roman" w:cs="Times New Roman"/>
            <w:sz w:val="24"/>
          </w:rPr>
        </w:pPr>
        <w:r w:rsidRPr="0027683C">
          <w:rPr>
            <w:rFonts w:ascii="Times New Roman" w:hAnsi="Times New Roman" w:cs="Times New Roman"/>
            <w:sz w:val="24"/>
          </w:rPr>
          <w:fldChar w:fldCharType="begin"/>
        </w:r>
        <w:r w:rsidRPr="0027683C">
          <w:rPr>
            <w:rFonts w:ascii="Times New Roman" w:hAnsi="Times New Roman" w:cs="Times New Roman"/>
            <w:sz w:val="24"/>
          </w:rPr>
          <w:instrText>PAGE   \* MERGEFORMAT</w:instrText>
        </w:r>
        <w:r w:rsidRPr="0027683C">
          <w:rPr>
            <w:rFonts w:ascii="Times New Roman" w:hAnsi="Times New Roman" w:cs="Times New Roman"/>
            <w:sz w:val="24"/>
          </w:rPr>
          <w:fldChar w:fldCharType="separate"/>
        </w:r>
        <w:r w:rsidR="00ED4866">
          <w:rPr>
            <w:rFonts w:ascii="Times New Roman" w:hAnsi="Times New Roman" w:cs="Times New Roman"/>
            <w:noProof/>
            <w:sz w:val="24"/>
          </w:rPr>
          <w:t>4</w:t>
        </w:r>
        <w:r w:rsidRPr="0027683C">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A59FF"/>
    <w:multiLevelType w:val="hybridMultilevel"/>
    <w:tmpl w:val="5084336A"/>
    <w:lvl w:ilvl="0" w:tplc="D362D83E">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C87"/>
    <w:rsid w:val="000E5611"/>
    <w:rsid w:val="000E726D"/>
    <w:rsid w:val="000F2CFA"/>
    <w:rsid w:val="00173BB7"/>
    <w:rsid w:val="001B00BA"/>
    <w:rsid w:val="001B2E6F"/>
    <w:rsid w:val="001C31A3"/>
    <w:rsid w:val="0027683C"/>
    <w:rsid w:val="002C7FE9"/>
    <w:rsid w:val="003B66A1"/>
    <w:rsid w:val="003B75C4"/>
    <w:rsid w:val="00530029"/>
    <w:rsid w:val="00540344"/>
    <w:rsid w:val="0056760D"/>
    <w:rsid w:val="005F1298"/>
    <w:rsid w:val="006943E9"/>
    <w:rsid w:val="00697822"/>
    <w:rsid w:val="006F47E0"/>
    <w:rsid w:val="006F51F0"/>
    <w:rsid w:val="00741141"/>
    <w:rsid w:val="00752C8B"/>
    <w:rsid w:val="00785D69"/>
    <w:rsid w:val="007A1E61"/>
    <w:rsid w:val="0085036F"/>
    <w:rsid w:val="00874125"/>
    <w:rsid w:val="00890BA3"/>
    <w:rsid w:val="00893BF4"/>
    <w:rsid w:val="00893CDA"/>
    <w:rsid w:val="008C26F0"/>
    <w:rsid w:val="008D3961"/>
    <w:rsid w:val="00953A09"/>
    <w:rsid w:val="0095524E"/>
    <w:rsid w:val="009A4F34"/>
    <w:rsid w:val="00A3330E"/>
    <w:rsid w:val="00A61335"/>
    <w:rsid w:val="00A72BA0"/>
    <w:rsid w:val="00AA4EFF"/>
    <w:rsid w:val="00AB4C06"/>
    <w:rsid w:val="00B02243"/>
    <w:rsid w:val="00B31F23"/>
    <w:rsid w:val="00B64AB7"/>
    <w:rsid w:val="00B81F0F"/>
    <w:rsid w:val="00BA0434"/>
    <w:rsid w:val="00BA4176"/>
    <w:rsid w:val="00BD7CFF"/>
    <w:rsid w:val="00BF1429"/>
    <w:rsid w:val="00C30176"/>
    <w:rsid w:val="00C903C3"/>
    <w:rsid w:val="00C941E5"/>
    <w:rsid w:val="00CD4A3C"/>
    <w:rsid w:val="00D246D4"/>
    <w:rsid w:val="00D446C4"/>
    <w:rsid w:val="00D63C65"/>
    <w:rsid w:val="00D75BF5"/>
    <w:rsid w:val="00DD58EF"/>
    <w:rsid w:val="00DE1BAA"/>
    <w:rsid w:val="00DE2FD0"/>
    <w:rsid w:val="00E74A6D"/>
    <w:rsid w:val="00EB2036"/>
    <w:rsid w:val="00EC4C87"/>
    <w:rsid w:val="00ED0115"/>
    <w:rsid w:val="00ED4866"/>
    <w:rsid w:val="00F618AA"/>
    <w:rsid w:val="00F64B42"/>
    <w:rsid w:val="00F65E2E"/>
    <w:rsid w:val="00FE6465"/>
    <w:rsid w:val="00FE6A06"/>
    <w:rsid w:val="00FF56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E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1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0176"/>
  </w:style>
  <w:style w:type="paragraph" w:styleId="Footer">
    <w:name w:val="footer"/>
    <w:basedOn w:val="Normal"/>
    <w:link w:val="FooterChar"/>
    <w:uiPriority w:val="99"/>
    <w:unhideWhenUsed/>
    <w:rsid w:val="00C301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0176"/>
  </w:style>
  <w:style w:type="character" w:styleId="CommentReference">
    <w:name w:val="annotation reference"/>
    <w:basedOn w:val="DefaultParagraphFont"/>
    <w:uiPriority w:val="99"/>
    <w:semiHidden/>
    <w:unhideWhenUsed/>
    <w:rsid w:val="00BF1429"/>
    <w:rPr>
      <w:sz w:val="16"/>
      <w:szCs w:val="16"/>
    </w:rPr>
  </w:style>
  <w:style w:type="paragraph" w:styleId="CommentText">
    <w:name w:val="annotation text"/>
    <w:basedOn w:val="Normal"/>
    <w:link w:val="CommentTextChar"/>
    <w:uiPriority w:val="99"/>
    <w:semiHidden/>
    <w:unhideWhenUsed/>
    <w:rsid w:val="00BF1429"/>
    <w:pPr>
      <w:spacing w:line="240" w:lineRule="auto"/>
    </w:pPr>
    <w:rPr>
      <w:sz w:val="20"/>
      <w:szCs w:val="20"/>
    </w:rPr>
  </w:style>
  <w:style w:type="character" w:customStyle="1" w:styleId="CommentTextChar">
    <w:name w:val="Comment Text Char"/>
    <w:basedOn w:val="DefaultParagraphFont"/>
    <w:link w:val="CommentText"/>
    <w:uiPriority w:val="99"/>
    <w:semiHidden/>
    <w:rsid w:val="00BF1429"/>
    <w:rPr>
      <w:sz w:val="20"/>
      <w:szCs w:val="20"/>
    </w:rPr>
  </w:style>
  <w:style w:type="paragraph" w:styleId="CommentSubject">
    <w:name w:val="annotation subject"/>
    <w:basedOn w:val="CommentText"/>
    <w:next w:val="CommentText"/>
    <w:link w:val="CommentSubjectChar"/>
    <w:uiPriority w:val="99"/>
    <w:semiHidden/>
    <w:unhideWhenUsed/>
    <w:rsid w:val="00BF1429"/>
    <w:rPr>
      <w:b/>
      <w:bCs/>
    </w:rPr>
  </w:style>
  <w:style w:type="character" w:customStyle="1" w:styleId="CommentSubjectChar">
    <w:name w:val="Comment Subject Char"/>
    <w:basedOn w:val="CommentTextChar"/>
    <w:link w:val="CommentSubject"/>
    <w:uiPriority w:val="99"/>
    <w:semiHidden/>
    <w:rsid w:val="00BF1429"/>
    <w:rPr>
      <w:b/>
      <w:bCs/>
      <w:sz w:val="20"/>
      <w:szCs w:val="20"/>
    </w:rPr>
  </w:style>
  <w:style w:type="paragraph" w:styleId="BalloonText">
    <w:name w:val="Balloon Text"/>
    <w:basedOn w:val="Normal"/>
    <w:link w:val="BalloonTextChar"/>
    <w:uiPriority w:val="99"/>
    <w:semiHidden/>
    <w:unhideWhenUsed/>
    <w:rsid w:val="00BF1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429"/>
    <w:rPr>
      <w:rFonts w:ascii="Tahoma" w:hAnsi="Tahoma" w:cs="Tahoma"/>
      <w:sz w:val="16"/>
      <w:szCs w:val="16"/>
    </w:rPr>
  </w:style>
  <w:style w:type="paragraph" w:styleId="ListParagraph">
    <w:name w:val="List Paragraph"/>
    <w:basedOn w:val="Normal"/>
    <w:uiPriority w:val="34"/>
    <w:qFormat/>
    <w:rsid w:val="0056760D"/>
    <w:pPr>
      <w:ind w:left="720"/>
      <w:contextualSpacing/>
    </w:pPr>
  </w:style>
  <w:style w:type="table" w:styleId="TableGrid">
    <w:name w:val="Table Grid"/>
    <w:basedOn w:val="TableNormal"/>
    <w:uiPriority w:val="59"/>
    <w:rsid w:val="00567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540344"/>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1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0176"/>
  </w:style>
  <w:style w:type="paragraph" w:styleId="Footer">
    <w:name w:val="footer"/>
    <w:basedOn w:val="Normal"/>
    <w:link w:val="FooterChar"/>
    <w:uiPriority w:val="99"/>
    <w:unhideWhenUsed/>
    <w:rsid w:val="00C301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0176"/>
  </w:style>
  <w:style w:type="character" w:styleId="CommentReference">
    <w:name w:val="annotation reference"/>
    <w:basedOn w:val="DefaultParagraphFont"/>
    <w:uiPriority w:val="99"/>
    <w:semiHidden/>
    <w:unhideWhenUsed/>
    <w:rsid w:val="00BF1429"/>
    <w:rPr>
      <w:sz w:val="16"/>
      <w:szCs w:val="16"/>
    </w:rPr>
  </w:style>
  <w:style w:type="paragraph" w:styleId="CommentText">
    <w:name w:val="annotation text"/>
    <w:basedOn w:val="Normal"/>
    <w:link w:val="CommentTextChar"/>
    <w:uiPriority w:val="99"/>
    <w:semiHidden/>
    <w:unhideWhenUsed/>
    <w:rsid w:val="00BF1429"/>
    <w:pPr>
      <w:spacing w:line="240" w:lineRule="auto"/>
    </w:pPr>
    <w:rPr>
      <w:sz w:val="20"/>
      <w:szCs w:val="20"/>
    </w:rPr>
  </w:style>
  <w:style w:type="character" w:customStyle="1" w:styleId="CommentTextChar">
    <w:name w:val="Comment Text Char"/>
    <w:basedOn w:val="DefaultParagraphFont"/>
    <w:link w:val="CommentText"/>
    <w:uiPriority w:val="99"/>
    <w:semiHidden/>
    <w:rsid w:val="00BF1429"/>
    <w:rPr>
      <w:sz w:val="20"/>
      <w:szCs w:val="20"/>
    </w:rPr>
  </w:style>
  <w:style w:type="paragraph" w:styleId="CommentSubject">
    <w:name w:val="annotation subject"/>
    <w:basedOn w:val="CommentText"/>
    <w:next w:val="CommentText"/>
    <w:link w:val="CommentSubjectChar"/>
    <w:uiPriority w:val="99"/>
    <w:semiHidden/>
    <w:unhideWhenUsed/>
    <w:rsid w:val="00BF1429"/>
    <w:rPr>
      <w:b/>
      <w:bCs/>
    </w:rPr>
  </w:style>
  <w:style w:type="character" w:customStyle="1" w:styleId="CommentSubjectChar">
    <w:name w:val="Comment Subject Char"/>
    <w:basedOn w:val="CommentTextChar"/>
    <w:link w:val="CommentSubject"/>
    <w:uiPriority w:val="99"/>
    <w:semiHidden/>
    <w:rsid w:val="00BF1429"/>
    <w:rPr>
      <w:b/>
      <w:bCs/>
      <w:sz w:val="20"/>
      <w:szCs w:val="20"/>
    </w:rPr>
  </w:style>
  <w:style w:type="paragraph" w:styleId="BalloonText">
    <w:name w:val="Balloon Text"/>
    <w:basedOn w:val="Normal"/>
    <w:link w:val="BalloonTextChar"/>
    <w:uiPriority w:val="99"/>
    <w:semiHidden/>
    <w:unhideWhenUsed/>
    <w:rsid w:val="00BF1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429"/>
    <w:rPr>
      <w:rFonts w:ascii="Tahoma" w:hAnsi="Tahoma" w:cs="Tahoma"/>
      <w:sz w:val="16"/>
      <w:szCs w:val="16"/>
    </w:rPr>
  </w:style>
  <w:style w:type="paragraph" w:styleId="ListParagraph">
    <w:name w:val="List Paragraph"/>
    <w:basedOn w:val="Normal"/>
    <w:uiPriority w:val="34"/>
    <w:qFormat/>
    <w:rsid w:val="0056760D"/>
    <w:pPr>
      <w:ind w:left="720"/>
      <w:contextualSpacing/>
    </w:pPr>
  </w:style>
  <w:style w:type="table" w:styleId="TableGrid">
    <w:name w:val="Table Grid"/>
    <w:basedOn w:val="TableNormal"/>
    <w:uiPriority w:val="59"/>
    <w:rsid w:val="00567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540344"/>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056">
      <w:bodyDiv w:val="1"/>
      <w:marLeft w:val="0"/>
      <w:marRight w:val="0"/>
      <w:marTop w:val="0"/>
      <w:marBottom w:val="0"/>
      <w:divBdr>
        <w:top w:val="none" w:sz="0" w:space="0" w:color="auto"/>
        <w:left w:val="none" w:sz="0" w:space="0" w:color="auto"/>
        <w:bottom w:val="none" w:sz="0" w:space="0" w:color="auto"/>
        <w:right w:val="none" w:sz="0" w:space="0" w:color="auto"/>
      </w:divBdr>
      <w:divsChild>
        <w:div w:id="649553013">
          <w:marLeft w:val="0"/>
          <w:marRight w:val="0"/>
          <w:marTop w:val="0"/>
          <w:marBottom w:val="0"/>
          <w:divBdr>
            <w:top w:val="none" w:sz="0" w:space="0" w:color="auto"/>
            <w:left w:val="none" w:sz="0" w:space="0" w:color="auto"/>
            <w:bottom w:val="none" w:sz="0" w:space="0" w:color="auto"/>
            <w:right w:val="none" w:sz="0" w:space="0" w:color="auto"/>
          </w:divBdr>
          <w:divsChild>
            <w:div w:id="1958950106">
              <w:marLeft w:val="0"/>
              <w:marRight w:val="0"/>
              <w:marTop w:val="0"/>
              <w:marBottom w:val="0"/>
              <w:divBdr>
                <w:top w:val="none" w:sz="0" w:space="0" w:color="auto"/>
                <w:left w:val="none" w:sz="0" w:space="0" w:color="auto"/>
                <w:bottom w:val="none" w:sz="0" w:space="0" w:color="auto"/>
                <w:right w:val="none" w:sz="0" w:space="0" w:color="auto"/>
              </w:divBdr>
              <w:divsChild>
                <w:div w:id="990983905">
                  <w:marLeft w:val="0"/>
                  <w:marRight w:val="0"/>
                  <w:marTop w:val="0"/>
                  <w:marBottom w:val="0"/>
                  <w:divBdr>
                    <w:top w:val="none" w:sz="0" w:space="0" w:color="auto"/>
                    <w:left w:val="none" w:sz="0" w:space="0" w:color="auto"/>
                    <w:bottom w:val="none" w:sz="0" w:space="0" w:color="auto"/>
                    <w:right w:val="none" w:sz="0" w:space="0" w:color="auto"/>
                  </w:divBdr>
                  <w:divsChild>
                    <w:div w:id="275522814">
                      <w:marLeft w:val="0"/>
                      <w:marRight w:val="0"/>
                      <w:marTop w:val="0"/>
                      <w:marBottom w:val="0"/>
                      <w:divBdr>
                        <w:top w:val="none" w:sz="0" w:space="0" w:color="auto"/>
                        <w:left w:val="none" w:sz="0" w:space="0" w:color="auto"/>
                        <w:bottom w:val="none" w:sz="0" w:space="0" w:color="auto"/>
                        <w:right w:val="none" w:sz="0" w:space="0" w:color="auto"/>
                      </w:divBdr>
                      <w:divsChild>
                        <w:div w:id="264002937">
                          <w:marLeft w:val="0"/>
                          <w:marRight w:val="0"/>
                          <w:marTop w:val="0"/>
                          <w:marBottom w:val="0"/>
                          <w:divBdr>
                            <w:top w:val="none" w:sz="0" w:space="0" w:color="auto"/>
                            <w:left w:val="none" w:sz="0" w:space="0" w:color="auto"/>
                            <w:bottom w:val="none" w:sz="0" w:space="0" w:color="auto"/>
                            <w:right w:val="none" w:sz="0" w:space="0" w:color="auto"/>
                          </w:divBdr>
                          <w:divsChild>
                            <w:div w:id="1213075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91228">
      <w:bodyDiv w:val="1"/>
      <w:marLeft w:val="0"/>
      <w:marRight w:val="0"/>
      <w:marTop w:val="0"/>
      <w:marBottom w:val="0"/>
      <w:divBdr>
        <w:top w:val="none" w:sz="0" w:space="0" w:color="auto"/>
        <w:left w:val="none" w:sz="0" w:space="0" w:color="auto"/>
        <w:bottom w:val="none" w:sz="0" w:space="0" w:color="auto"/>
        <w:right w:val="none" w:sz="0" w:space="0" w:color="auto"/>
      </w:divBdr>
      <w:divsChild>
        <w:div w:id="962271321">
          <w:marLeft w:val="0"/>
          <w:marRight w:val="0"/>
          <w:marTop w:val="0"/>
          <w:marBottom w:val="0"/>
          <w:divBdr>
            <w:top w:val="none" w:sz="0" w:space="0" w:color="auto"/>
            <w:left w:val="none" w:sz="0" w:space="0" w:color="auto"/>
            <w:bottom w:val="none" w:sz="0" w:space="0" w:color="auto"/>
            <w:right w:val="none" w:sz="0" w:space="0" w:color="auto"/>
          </w:divBdr>
          <w:divsChild>
            <w:div w:id="732699378">
              <w:marLeft w:val="0"/>
              <w:marRight w:val="0"/>
              <w:marTop w:val="0"/>
              <w:marBottom w:val="0"/>
              <w:divBdr>
                <w:top w:val="none" w:sz="0" w:space="0" w:color="auto"/>
                <w:left w:val="none" w:sz="0" w:space="0" w:color="auto"/>
                <w:bottom w:val="none" w:sz="0" w:space="0" w:color="auto"/>
                <w:right w:val="none" w:sz="0" w:space="0" w:color="auto"/>
              </w:divBdr>
              <w:divsChild>
                <w:div w:id="2113894743">
                  <w:marLeft w:val="0"/>
                  <w:marRight w:val="0"/>
                  <w:marTop w:val="0"/>
                  <w:marBottom w:val="0"/>
                  <w:divBdr>
                    <w:top w:val="none" w:sz="0" w:space="0" w:color="auto"/>
                    <w:left w:val="none" w:sz="0" w:space="0" w:color="auto"/>
                    <w:bottom w:val="none" w:sz="0" w:space="0" w:color="auto"/>
                    <w:right w:val="none" w:sz="0" w:space="0" w:color="auto"/>
                  </w:divBdr>
                  <w:divsChild>
                    <w:div w:id="521357487">
                      <w:marLeft w:val="0"/>
                      <w:marRight w:val="0"/>
                      <w:marTop w:val="0"/>
                      <w:marBottom w:val="0"/>
                      <w:divBdr>
                        <w:top w:val="none" w:sz="0" w:space="0" w:color="auto"/>
                        <w:left w:val="none" w:sz="0" w:space="0" w:color="auto"/>
                        <w:bottom w:val="none" w:sz="0" w:space="0" w:color="auto"/>
                        <w:right w:val="none" w:sz="0" w:space="0" w:color="auto"/>
                      </w:divBdr>
                      <w:divsChild>
                        <w:div w:id="1474057491">
                          <w:marLeft w:val="0"/>
                          <w:marRight w:val="0"/>
                          <w:marTop w:val="0"/>
                          <w:marBottom w:val="0"/>
                          <w:divBdr>
                            <w:top w:val="none" w:sz="0" w:space="0" w:color="auto"/>
                            <w:left w:val="none" w:sz="0" w:space="0" w:color="auto"/>
                            <w:bottom w:val="none" w:sz="0" w:space="0" w:color="auto"/>
                            <w:right w:val="none" w:sz="0" w:space="0" w:color="auto"/>
                          </w:divBdr>
                          <w:divsChild>
                            <w:div w:id="9532896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786415">
      <w:bodyDiv w:val="1"/>
      <w:marLeft w:val="0"/>
      <w:marRight w:val="0"/>
      <w:marTop w:val="0"/>
      <w:marBottom w:val="0"/>
      <w:divBdr>
        <w:top w:val="none" w:sz="0" w:space="0" w:color="auto"/>
        <w:left w:val="none" w:sz="0" w:space="0" w:color="auto"/>
        <w:bottom w:val="none" w:sz="0" w:space="0" w:color="auto"/>
        <w:right w:val="none" w:sz="0" w:space="0" w:color="auto"/>
      </w:divBdr>
      <w:divsChild>
        <w:div w:id="191919119">
          <w:marLeft w:val="0"/>
          <w:marRight w:val="0"/>
          <w:marTop w:val="0"/>
          <w:marBottom w:val="0"/>
          <w:divBdr>
            <w:top w:val="none" w:sz="0" w:space="0" w:color="auto"/>
            <w:left w:val="none" w:sz="0" w:space="0" w:color="auto"/>
            <w:bottom w:val="none" w:sz="0" w:space="0" w:color="auto"/>
            <w:right w:val="none" w:sz="0" w:space="0" w:color="auto"/>
          </w:divBdr>
          <w:divsChild>
            <w:div w:id="1371803402">
              <w:marLeft w:val="0"/>
              <w:marRight w:val="0"/>
              <w:marTop w:val="0"/>
              <w:marBottom w:val="0"/>
              <w:divBdr>
                <w:top w:val="none" w:sz="0" w:space="0" w:color="auto"/>
                <w:left w:val="none" w:sz="0" w:space="0" w:color="auto"/>
                <w:bottom w:val="none" w:sz="0" w:space="0" w:color="auto"/>
                <w:right w:val="none" w:sz="0" w:space="0" w:color="auto"/>
              </w:divBdr>
              <w:divsChild>
                <w:div w:id="888884471">
                  <w:marLeft w:val="0"/>
                  <w:marRight w:val="0"/>
                  <w:marTop w:val="0"/>
                  <w:marBottom w:val="0"/>
                  <w:divBdr>
                    <w:top w:val="none" w:sz="0" w:space="0" w:color="auto"/>
                    <w:left w:val="none" w:sz="0" w:space="0" w:color="auto"/>
                    <w:bottom w:val="none" w:sz="0" w:space="0" w:color="auto"/>
                    <w:right w:val="none" w:sz="0" w:space="0" w:color="auto"/>
                  </w:divBdr>
                  <w:divsChild>
                    <w:div w:id="1159688018">
                      <w:marLeft w:val="0"/>
                      <w:marRight w:val="0"/>
                      <w:marTop w:val="0"/>
                      <w:marBottom w:val="0"/>
                      <w:divBdr>
                        <w:top w:val="none" w:sz="0" w:space="0" w:color="auto"/>
                        <w:left w:val="none" w:sz="0" w:space="0" w:color="auto"/>
                        <w:bottom w:val="none" w:sz="0" w:space="0" w:color="auto"/>
                        <w:right w:val="none" w:sz="0" w:space="0" w:color="auto"/>
                      </w:divBdr>
                      <w:divsChild>
                        <w:div w:id="671958086">
                          <w:marLeft w:val="0"/>
                          <w:marRight w:val="0"/>
                          <w:marTop w:val="0"/>
                          <w:marBottom w:val="0"/>
                          <w:divBdr>
                            <w:top w:val="none" w:sz="0" w:space="0" w:color="auto"/>
                            <w:left w:val="none" w:sz="0" w:space="0" w:color="auto"/>
                            <w:bottom w:val="none" w:sz="0" w:space="0" w:color="auto"/>
                            <w:right w:val="none" w:sz="0" w:space="0" w:color="auto"/>
                          </w:divBdr>
                          <w:divsChild>
                            <w:div w:id="17693520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254217">
      <w:bodyDiv w:val="1"/>
      <w:marLeft w:val="0"/>
      <w:marRight w:val="0"/>
      <w:marTop w:val="0"/>
      <w:marBottom w:val="0"/>
      <w:divBdr>
        <w:top w:val="none" w:sz="0" w:space="0" w:color="auto"/>
        <w:left w:val="none" w:sz="0" w:space="0" w:color="auto"/>
        <w:bottom w:val="none" w:sz="0" w:space="0" w:color="auto"/>
        <w:right w:val="none" w:sz="0" w:space="0" w:color="auto"/>
      </w:divBdr>
      <w:divsChild>
        <w:div w:id="1050957721">
          <w:marLeft w:val="0"/>
          <w:marRight w:val="0"/>
          <w:marTop w:val="0"/>
          <w:marBottom w:val="0"/>
          <w:divBdr>
            <w:top w:val="none" w:sz="0" w:space="0" w:color="auto"/>
            <w:left w:val="none" w:sz="0" w:space="0" w:color="auto"/>
            <w:bottom w:val="none" w:sz="0" w:space="0" w:color="auto"/>
            <w:right w:val="none" w:sz="0" w:space="0" w:color="auto"/>
          </w:divBdr>
          <w:divsChild>
            <w:div w:id="1836335397">
              <w:marLeft w:val="0"/>
              <w:marRight w:val="0"/>
              <w:marTop w:val="0"/>
              <w:marBottom w:val="0"/>
              <w:divBdr>
                <w:top w:val="none" w:sz="0" w:space="0" w:color="auto"/>
                <w:left w:val="none" w:sz="0" w:space="0" w:color="auto"/>
                <w:bottom w:val="none" w:sz="0" w:space="0" w:color="auto"/>
                <w:right w:val="none" w:sz="0" w:space="0" w:color="auto"/>
              </w:divBdr>
              <w:divsChild>
                <w:div w:id="1856114969">
                  <w:marLeft w:val="0"/>
                  <w:marRight w:val="0"/>
                  <w:marTop w:val="0"/>
                  <w:marBottom w:val="0"/>
                  <w:divBdr>
                    <w:top w:val="none" w:sz="0" w:space="0" w:color="auto"/>
                    <w:left w:val="none" w:sz="0" w:space="0" w:color="auto"/>
                    <w:bottom w:val="none" w:sz="0" w:space="0" w:color="auto"/>
                    <w:right w:val="none" w:sz="0" w:space="0" w:color="auto"/>
                  </w:divBdr>
                  <w:divsChild>
                    <w:div w:id="456484010">
                      <w:marLeft w:val="0"/>
                      <w:marRight w:val="0"/>
                      <w:marTop w:val="0"/>
                      <w:marBottom w:val="0"/>
                      <w:divBdr>
                        <w:top w:val="none" w:sz="0" w:space="0" w:color="auto"/>
                        <w:left w:val="none" w:sz="0" w:space="0" w:color="auto"/>
                        <w:bottom w:val="none" w:sz="0" w:space="0" w:color="auto"/>
                        <w:right w:val="none" w:sz="0" w:space="0" w:color="auto"/>
                      </w:divBdr>
                      <w:divsChild>
                        <w:div w:id="1968470110">
                          <w:marLeft w:val="0"/>
                          <w:marRight w:val="0"/>
                          <w:marTop w:val="0"/>
                          <w:marBottom w:val="0"/>
                          <w:divBdr>
                            <w:top w:val="none" w:sz="0" w:space="0" w:color="auto"/>
                            <w:left w:val="none" w:sz="0" w:space="0" w:color="auto"/>
                            <w:bottom w:val="none" w:sz="0" w:space="0" w:color="auto"/>
                            <w:right w:val="none" w:sz="0" w:space="0" w:color="auto"/>
                          </w:divBdr>
                          <w:divsChild>
                            <w:div w:id="5198972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228259">
      <w:bodyDiv w:val="1"/>
      <w:marLeft w:val="0"/>
      <w:marRight w:val="0"/>
      <w:marTop w:val="0"/>
      <w:marBottom w:val="0"/>
      <w:divBdr>
        <w:top w:val="none" w:sz="0" w:space="0" w:color="auto"/>
        <w:left w:val="none" w:sz="0" w:space="0" w:color="auto"/>
        <w:bottom w:val="none" w:sz="0" w:space="0" w:color="auto"/>
        <w:right w:val="none" w:sz="0" w:space="0" w:color="auto"/>
      </w:divBdr>
      <w:divsChild>
        <w:div w:id="1922639559">
          <w:marLeft w:val="0"/>
          <w:marRight w:val="0"/>
          <w:marTop w:val="0"/>
          <w:marBottom w:val="0"/>
          <w:divBdr>
            <w:top w:val="none" w:sz="0" w:space="0" w:color="auto"/>
            <w:left w:val="none" w:sz="0" w:space="0" w:color="auto"/>
            <w:bottom w:val="none" w:sz="0" w:space="0" w:color="auto"/>
            <w:right w:val="none" w:sz="0" w:space="0" w:color="auto"/>
          </w:divBdr>
          <w:divsChild>
            <w:div w:id="1402366843">
              <w:marLeft w:val="0"/>
              <w:marRight w:val="0"/>
              <w:marTop w:val="0"/>
              <w:marBottom w:val="0"/>
              <w:divBdr>
                <w:top w:val="none" w:sz="0" w:space="0" w:color="auto"/>
                <w:left w:val="none" w:sz="0" w:space="0" w:color="auto"/>
                <w:bottom w:val="none" w:sz="0" w:space="0" w:color="auto"/>
                <w:right w:val="none" w:sz="0" w:space="0" w:color="auto"/>
              </w:divBdr>
              <w:divsChild>
                <w:div w:id="493685479">
                  <w:marLeft w:val="0"/>
                  <w:marRight w:val="0"/>
                  <w:marTop w:val="0"/>
                  <w:marBottom w:val="0"/>
                  <w:divBdr>
                    <w:top w:val="none" w:sz="0" w:space="0" w:color="auto"/>
                    <w:left w:val="none" w:sz="0" w:space="0" w:color="auto"/>
                    <w:bottom w:val="none" w:sz="0" w:space="0" w:color="auto"/>
                    <w:right w:val="none" w:sz="0" w:space="0" w:color="auto"/>
                  </w:divBdr>
                  <w:divsChild>
                    <w:div w:id="813907646">
                      <w:marLeft w:val="0"/>
                      <w:marRight w:val="0"/>
                      <w:marTop w:val="0"/>
                      <w:marBottom w:val="0"/>
                      <w:divBdr>
                        <w:top w:val="none" w:sz="0" w:space="0" w:color="auto"/>
                        <w:left w:val="none" w:sz="0" w:space="0" w:color="auto"/>
                        <w:bottom w:val="none" w:sz="0" w:space="0" w:color="auto"/>
                        <w:right w:val="none" w:sz="0" w:space="0" w:color="auto"/>
                      </w:divBdr>
                      <w:divsChild>
                        <w:div w:id="1565408276">
                          <w:marLeft w:val="0"/>
                          <w:marRight w:val="0"/>
                          <w:marTop w:val="0"/>
                          <w:marBottom w:val="0"/>
                          <w:divBdr>
                            <w:top w:val="none" w:sz="0" w:space="0" w:color="auto"/>
                            <w:left w:val="none" w:sz="0" w:space="0" w:color="auto"/>
                            <w:bottom w:val="none" w:sz="0" w:space="0" w:color="auto"/>
                            <w:right w:val="none" w:sz="0" w:space="0" w:color="auto"/>
                          </w:divBdr>
                          <w:divsChild>
                            <w:div w:id="18726443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337677">
      <w:bodyDiv w:val="1"/>
      <w:marLeft w:val="0"/>
      <w:marRight w:val="0"/>
      <w:marTop w:val="0"/>
      <w:marBottom w:val="0"/>
      <w:divBdr>
        <w:top w:val="none" w:sz="0" w:space="0" w:color="auto"/>
        <w:left w:val="none" w:sz="0" w:space="0" w:color="auto"/>
        <w:bottom w:val="none" w:sz="0" w:space="0" w:color="auto"/>
        <w:right w:val="none" w:sz="0" w:space="0" w:color="auto"/>
      </w:divBdr>
      <w:divsChild>
        <w:div w:id="2972162">
          <w:marLeft w:val="0"/>
          <w:marRight w:val="0"/>
          <w:marTop w:val="0"/>
          <w:marBottom w:val="0"/>
          <w:divBdr>
            <w:top w:val="none" w:sz="0" w:space="0" w:color="auto"/>
            <w:left w:val="none" w:sz="0" w:space="0" w:color="auto"/>
            <w:bottom w:val="none" w:sz="0" w:space="0" w:color="auto"/>
            <w:right w:val="none" w:sz="0" w:space="0" w:color="auto"/>
          </w:divBdr>
          <w:divsChild>
            <w:div w:id="750809586">
              <w:marLeft w:val="0"/>
              <w:marRight w:val="0"/>
              <w:marTop w:val="0"/>
              <w:marBottom w:val="0"/>
              <w:divBdr>
                <w:top w:val="none" w:sz="0" w:space="0" w:color="auto"/>
                <w:left w:val="none" w:sz="0" w:space="0" w:color="auto"/>
                <w:bottom w:val="none" w:sz="0" w:space="0" w:color="auto"/>
                <w:right w:val="none" w:sz="0" w:space="0" w:color="auto"/>
              </w:divBdr>
              <w:divsChild>
                <w:div w:id="1374959424">
                  <w:marLeft w:val="0"/>
                  <w:marRight w:val="0"/>
                  <w:marTop w:val="0"/>
                  <w:marBottom w:val="0"/>
                  <w:divBdr>
                    <w:top w:val="none" w:sz="0" w:space="0" w:color="auto"/>
                    <w:left w:val="none" w:sz="0" w:space="0" w:color="auto"/>
                    <w:bottom w:val="none" w:sz="0" w:space="0" w:color="auto"/>
                    <w:right w:val="none" w:sz="0" w:space="0" w:color="auto"/>
                  </w:divBdr>
                  <w:divsChild>
                    <w:div w:id="986474469">
                      <w:marLeft w:val="0"/>
                      <w:marRight w:val="0"/>
                      <w:marTop w:val="0"/>
                      <w:marBottom w:val="0"/>
                      <w:divBdr>
                        <w:top w:val="none" w:sz="0" w:space="0" w:color="auto"/>
                        <w:left w:val="none" w:sz="0" w:space="0" w:color="auto"/>
                        <w:bottom w:val="none" w:sz="0" w:space="0" w:color="auto"/>
                        <w:right w:val="none" w:sz="0" w:space="0" w:color="auto"/>
                      </w:divBdr>
                      <w:divsChild>
                        <w:div w:id="1670448007">
                          <w:marLeft w:val="0"/>
                          <w:marRight w:val="0"/>
                          <w:marTop w:val="0"/>
                          <w:marBottom w:val="0"/>
                          <w:divBdr>
                            <w:top w:val="none" w:sz="0" w:space="0" w:color="auto"/>
                            <w:left w:val="none" w:sz="0" w:space="0" w:color="auto"/>
                            <w:bottom w:val="none" w:sz="0" w:space="0" w:color="auto"/>
                            <w:right w:val="none" w:sz="0" w:space="0" w:color="auto"/>
                          </w:divBdr>
                          <w:divsChild>
                            <w:div w:id="17524614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190102">
      <w:bodyDiv w:val="1"/>
      <w:marLeft w:val="0"/>
      <w:marRight w:val="0"/>
      <w:marTop w:val="0"/>
      <w:marBottom w:val="0"/>
      <w:divBdr>
        <w:top w:val="none" w:sz="0" w:space="0" w:color="auto"/>
        <w:left w:val="none" w:sz="0" w:space="0" w:color="auto"/>
        <w:bottom w:val="none" w:sz="0" w:space="0" w:color="auto"/>
        <w:right w:val="none" w:sz="0" w:space="0" w:color="auto"/>
      </w:divBdr>
      <w:divsChild>
        <w:div w:id="699207636">
          <w:marLeft w:val="0"/>
          <w:marRight w:val="0"/>
          <w:marTop w:val="0"/>
          <w:marBottom w:val="0"/>
          <w:divBdr>
            <w:top w:val="none" w:sz="0" w:space="0" w:color="auto"/>
            <w:left w:val="none" w:sz="0" w:space="0" w:color="auto"/>
            <w:bottom w:val="none" w:sz="0" w:space="0" w:color="auto"/>
            <w:right w:val="none" w:sz="0" w:space="0" w:color="auto"/>
          </w:divBdr>
          <w:divsChild>
            <w:div w:id="1143036248">
              <w:marLeft w:val="0"/>
              <w:marRight w:val="0"/>
              <w:marTop w:val="0"/>
              <w:marBottom w:val="0"/>
              <w:divBdr>
                <w:top w:val="none" w:sz="0" w:space="0" w:color="auto"/>
                <w:left w:val="none" w:sz="0" w:space="0" w:color="auto"/>
                <w:bottom w:val="none" w:sz="0" w:space="0" w:color="auto"/>
                <w:right w:val="none" w:sz="0" w:space="0" w:color="auto"/>
              </w:divBdr>
              <w:divsChild>
                <w:div w:id="39594756">
                  <w:marLeft w:val="0"/>
                  <w:marRight w:val="0"/>
                  <w:marTop w:val="0"/>
                  <w:marBottom w:val="0"/>
                  <w:divBdr>
                    <w:top w:val="none" w:sz="0" w:space="0" w:color="auto"/>
                    <w:left w:val="none" w:sz="0" w:space="0" w:color="auto"/>
                    <w:bottom w:val="none" w:sz="0" w:space="0" w:color="auto"/>
                    <w:right w:val="none" w:sz="0" w:space="0" w:color="auto"/>
                  </w:divBdr>
                  <w:divsChild>
                    <w:div w:id="1658338992">
                      <w:marLeft w:val="0"/>
                      <w:marRight w:val="0"/>
                      <w:marTop w:val="0"/>
                      <w:marBottom w:val="0"/>
                      <w:divBdr>
                        <w:top w:val="none" w:sz="0" w:space="0" w:color="auto"/>
                        <w:left w:val="none" w:sz="0" w:space="0" w:color="auto"/>
                        <w:bottom w:val="none" w:sz="0" w:space="0" w:color="auto"/>
                        <w:right w:val="none" w:sz="0" w:space="0" w:color="auto"/>
                      </w:divBdr>
                      <w:divsChild>
                        <w:div w:id="716778865">
                          <w:marLeft w:val="0"/>
                          <w:marRight w:val="0"/>
                          <w:marTop w:val="0"/>
                          <w:marBottom w:val="0"/>
                          <w:divBdr>
                            <w:top w:val="none" w:sz="0" w:space="0" w:color="auto"/>
                            <w:left w:val="none" w:sz="0" w:space="0" w:color="auto"/>
                            <w:bottom w:val="none" w:sz="0" w:space="0" w:color="auto"/>
                            <w:right w:val="none" w:sz="0" w:space="0" w:color="auto"/>
                          </w:divBdr>
                          <w:divsChild>
                            <w:div w:id="20335354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327771">
      <w:bodyDiv w:val="1"/>
      <w:marLeft w:val="0"/>
      <w:marRight w:val="0"/>
      <w:marTop w:val="0"/>
      <w:marBottom w:val="0"/>
      <w:divBdr>
        <w:top w:val="none" w:sz="0" w:space="0" w:color="auto"/>
        <w:left w:val="none" w:sz="0" w:space="0" w:color="auto"/>
        <w:bottom w:val="none" w:sz="0" w:space="0" w:color="auto"/>
        <w:right w:val="none" w:sz="0" w:space="0" w:color="auto"/>
      </w:divBdr>
      <w:divsChild>
        <w:div w:id="2069835861">
          <w:marLeft w:val="0"/>
          <w:marRight w:val="0"/>
          <w:marTop w:val="0"/>
          <w:marBottom w:val="0"/>
          <w:divBdr>
            <w:top w:val="none" w:sz="0" w:space="0" w:color="auto"/>
            <w:left w:val="none" w:sz="0" w:space="0" w:color="auto"/>
            <w:bottom w:val="none" w:sz="0" w:space="0" w:color="auto"/>
            <w:right w:val="none" w:sz="0" w:space="0" w:color="auto"/>
          </w:divBdr>
          <w:divsChild>
            <w:div w:id="1689789839">
              <w:marLeft w:val="0"/>
              <w:marRight w:val="0"/>
              <w:marTop w:val="0"/>
              <w:marBottom w:val="0"/>
              <w:divBdr>
                <w:top w:val="none" w:sz="0" w:space="0" w:color="auto"/>
                <w:left w:val="none" w:sz="0" w:space="0" w:color="auto"/>
                <w:bottom w:val="none" w:sz="0" w:space="0" w:color="auto"/>
                <w:right w:val="none" w:sz="0" w:space="0" w:color="auto"/>
              </w:divBdr>
              <w:divsChild>
                <w:div w:id="1045103485">
                  <w:marLeft w:val="0"/>
                  <w:marRight w:val="0"/>
                  <w:marTop w:val="0"/>
                  <w:marBottom w:val="0"/>
                  <w:divBdr>
                    <w:top w:val="none" w:sz="0" w:space="0" w:color="auto"/>
                    <w:left w:val="none" w:sz="0" w:space="0" w:color="auto"/>
                    <w:bottom w:val="none" w:sz="0" w:space="0" w:color="auto"/>
                    <w:right w:val="none" w:sz="0" w:space="0" w:color="auto"/>
                  </w:divBdr>
                  <w:divsChild>
                    <w:div w:id="1410345231">
                      <w:marLeft w:val="0"/>
                      <w:marRight w:val="0"/>
                      <w:marTop w:val="0"/>
                      <w:marBottom w:val="0"/>
                      <w:divBdr>
                        <w:top w:val="none" w:sz="0" w:space="0" w:color="auto"/>
                        <w:left w:val="none" w:sz="0" w:space="0" w:color="auto"/>
                        <w:bottom w:val="none" w:sz="0" w:space="0" w:color="auto"/>
                        <w:right w:val="none" w:sz="0" w:space="0" w:color="auto"/>
                      </w:divBdr>
                      <w:divsChild>
                        <w:div w:id="2028632378">
                          <w:marLeft w:val="0"/>
                          <w:marRight w:val="0"/>
                          <w:marTop w:val="0"/>
                          <w:marBottom w:val="0"/>
                          <w:divBdr>
                            <w:top w:val="none" w:sz="0" w:space="0" w:color="auto"/>
                            <w:left w:val="none" w:sz="0" w:space="0" w:color="auto"/>
                            <w:bottom w:val="none" w:sz="0" w:space="0" w:color="auto"/>
                            <w:right w:val="none" w:sz="0" w:space="0" w:color="auto"/>
                          </w:divBdr>
                          <w:divsChild>
                            <w:div w:id="20769339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455202">
      <w:bodyDiv w:val="1"/>
      <w:marLeft w:val="0"/>
      <w:marRight w:val="0"/>
      <w:marTop w:val="0"/>
      <w:marBottom w:val="0"/>
      <w:divBdr>
        <w:top w:val="none" w:sz="0" w:space="0" w:color="auto"/>
        <w:left w:val="none" w:sz="0" w:space="0" w:color="auto"/>
        <w:bottom w:val="none" w:sz="0" w:space="0" w:color="auto"/>
        <w:right w:val="none" w:sz="0" w:space="0" w:color="auto"/>
      </w:divBdr>
      <w:divsChild>
        <w:div w:id="926890150">
          <w:marLeft w:val="0"/>
          <w:marRight w:val="0"/>
          <w:marTop w:val="0"/>
          <w:marBottom w:val="0"/>
          <w:divBdr>
            <w:top w:val="none" w:sz="0" w:space="0" w:color="auto"/>
            <w:left w:val="none" w:sz="0" w:space="0" w:color="auto"/>
            <w:bottom w:val="none" w:sz="0" w:space="0" w:color="auto"/>
            <w:right w:val="none" w:sz="0" w:space="0" w:color="auto"/>
          </w:divBdr>
          <w:divsChild>
            <w:div w:id="646664586">
              <w:marLeft w:val="0"/>
              <w:marRight w:val="0"/>
              <w:marTop w:val="0"/>
              <w:marBottom w:val="0"/>
              <w:divBdr>
                <w:top w:val="none" w:sz="0" w:space="0" w:color="auto"/>
                <w:left w:val="none" w:sz="0" w:space="0" w:color="auto"/>
                <w:bottom w:val="none" w:sz="0" w:space="0" w:color="auto"/>
                <w:right w:val="none" w:sz="0" w:space="0" w:color="auto"/>
              </w:divBdr>
              <w:divsChild>
                <w:div w:id="866017741">
                  <w:marLeft w:val="0"/>
                  <w:marRight w:val="0"/>
                  <w:marTop w:val="0"/>
                  <w:marBottom w:val="0"/>
                  <w:divBdr>
                    <w:top w:val="none" w:sz="0" w:space="0" w:color="auto"/>
                    <w:left w:val="none" w:sz="0" w:space="0" w:color="auto"/>
                    <w:bottom w:val="none" w:sz="0" w:space="0" w:color="auto"/>
                    <w:right w:val="none" w:sz="0" w:space="0" w:color="auto"/>
                  </w:divBdr>
                  <w:divsChild>
                    <w:div w:id="1060712576">
                      <w:marLeft w:val="0"/>
                      <w:marRight w:val="0"/>
                      <w:marTop w:val="0"/>
                      <w:marBottom w:val="0"/>
                      <w:divBdr>
                        <w:top w:val="none" w:sz="0" w:space="0" w:color="auto"/>
                        <w:left w:val="none" w:sz="0" w:space="0" w:color="auto"/>
                        <w:bottom w:val="none" w:sz="0" w:space="0" w:color="auto"/>
                        <w:right w:val="none" w:sz="0" w:space="0" w:color="auto"/>
                      </w:divBdr>
                      <w:divsChild>
                        <w:div w:id="1371803280">
                          <w:marLeft w:val="0"/>
                          <w:marRight w:val="0"/>
                          <w:marTop w:val="0"/>
                          <w:marBottom w:val="0"/>
                          <w:divBdr>
                            <w:top w:val="none" w:sz="0" w:space="0" w:color="auto"/>
                            <w:left w:val="none" w:sz="0" w:space="0" w:color="auto"/>
                            <w:bottom w:val="none" w:sz="0" w:space="0" w:color="auto"/>
                            <w:right w:val="none" w:sz="0" w:space="0" w:color="auto"/>
                          </w:divBdr>
                          <w:divsChild>
                            <w:div w:id="3553554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07296">
      <w:bodyDiv w:val="1"/>
      <w:marLeft w:val="0"/>
      <w:marRight w:val="0"/>
      <w:marTop w:val="0"/>
      <w:marBottom w:val="0"/>
      <w:divBdr>
        <w:top w:val="none" w:sz="0" w:space="0" w:color="auto"/>
        <w:left w:val="none" w:sz="0" w:space="0" w:color="auto"/>
        <w:bottom w:val="none" w:sz="0" w:space="0" w:color="auto"/>
        <w:right w:val="none" w:sz="0" w:space="0" w:color="auto"/>
      </w:divBdr>
      <w:divsChild>
        <w:div w:id="565604616">
          <w:marLeft w:val="0"/>
          <w:marRight w:val="0"/>
          <w:marTop w:val="0"/>
          <w:marBottom w:val="0"/>
          <w:divBdr>
            <w:top w:val="none" w:sz="0" w:space="0" w:color="auto"/>
            <w:left w:val="none" w:sz="0" w:space="0" w:color="auto"/>
            <w:bottom w:val="none" w:sz="0" w:space="0" w:color="auto"/>
            <w:right w:val="none" w:sz="0" w:space="0" w:color="auto"/>
          </w:divBdr>
          <w:divsChild>
            <w:div w:id="1935819655">
              <w:marLeft w:val="0"/>
              <w:marRight w:val="0"/>
              <w:marTop w:val="0"/>
              <w:marBottom w:val="0"/>
              <w:divBdr>
                <w:top w:val="none" w:sz="0" w:space="0" w:color="auto"/>
                <w:left w:val="none" w:sz="0" w:space="0" w:color="auto"/>
                <w:bottom w:val="none" w:sz="0" w:space="0" w:color="auto"/>
                <w:right w:val="none" w:sz="0" w:space="0" w:color="auto"/>
              </w:divBdr>
              <w:divsChild>
                <w:div w:id="2042241149">
                  <w:marLeft w:val="0"/>
                  <w:marRight w:val="0"/>
                  <w:marTop w:val="0"/>
                  <w:marBottom w:val="0"/>
                  <w:divBdr>
                    <w:top w:val="none" w:sz="0" w:space="0" w:color="auto"/>
                    <w:left w:val="none" w:sz="0" w:space="0" w:color="auto"/>
                    <w:bottom w:val="none" w:sz="0" w:space="0" w:color="auto"/>
                    <w:right w:val="none" w:sz="0" w:space="0" w:color="auto"/>
                  </w:divBdr>
                  <w:divsChild>
                    <w:div w:id="797601609">
                      <w:marLeft w:val="0"/>
                      <w:marRight w:val="0"/>
                      <w:marTop w:val="0"/>
                      <w:marBottom w:val="0"/>
                      <w:divBdr>
                        <w:top w:val="none" w:sz="0" w:space="0" w:color="auto"/>
                        <w:left w:val="none" w:sz="0" w:space="0" w:color="auto"/>
                        <w:bottom w:val="none" w:sz="0" w:space="0" w:color="auto"/>
                        <w:right w:val="none" w:sz="0" w:space="0" w:color="auto"/>
                      </w:divBdr>
                      <w:divsChild>
                        <w:div w:id="1925989971">
                          <w:marLeft w:val="0"/>
                          <w:marRight w:val="0"/>
                          <w:marTop w:val="0"/>
                          <w:marBottom w:val="0"/>
                          <w:divBdr>
                            <w:top w:val="none" w:sz="0" w:space="0" w:color="auto"/>
                            <w:left w:val="none" w:sz="0" w:space="0" w:color="auto"/>
                            <w:bottom w:val="none" w:sz="0" w:space="0" w:color="auto"/>
                            <w:right w:val="none" w:sz="0" w:space="0" w:color="auto"/>
                          </w:divBdr>
                          <w:divsChild>
                            <w:div w:id="148558837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83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4759</Words>
  <Characters>2714</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Dzeramā ūdens obligātās nekaitīguma un kvalitātes prasības, monitoringa un kontroles kārtība</vt:lpstr>
      <vt:lpstr>Dzeramā ūdens obligātās nekaitīguma un kvalitātes prasības, monitoringa un kontroles kārtība</vt:lpstr>
    </vt:vector>
  </TitlesOfParts>
  <Company>Zemkopības Ministrija</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Dzeramā ūdens obligātās nekaitīguma un kvalitātes prasības, monitoringa un kontroles kārtība</dc:title>
  <dc:subject>Pielikums 3</dc:subject>
  <dc:creator>Edgars Riekstins</dc:creator>
  <dc:description>Riekstiņš 67027354_x000d_
Edgars.Riekstins@zm.gov.lv</dc:description>
  <cp:lastModifiedBy>Leontīne Babkina</cp:lastModifiedBy>
  <cp:revision>15</cp:revision>
  <cp:lastPrinted>2017-11-13T12:44:00Z</cp:lastPrinted>
  <dcterms:created xsi:type="dcterms:W3CDTF">2017-10-12T08:19:00Z</dcterms:created>
  <dcterms:modified xsi:type="dcterms:W3CDTF">2017-11-15T11:22:00Z</dcterms:modified>
</cp:coreProperties>
</file>