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FC" w:rsidRPr="00415F16" w:rsidRDefault="007765FC" w:rsidP="007765FC">
      <w:pPr>
        <w:jc w:val="center"/>
        <w:rPr>
          <w:b/>
          <w:sz w:val="28"/>
          <w:szCs w:val="28"/>
        </w:rPr>
      </w:pPr>
      <w:r w:rsidRPr="00415F16">
        <w:rPr>
          <w:b/>
          <w:sz w:val="28"/>
          <w:szCs w:val="28"/>
        </w:rPr>
        <w:t>Ministru kabineta noteikumu projekta</w:t>
      </w:r>
    </w:p>
    <w:p w:rsidR="007765FC" w:rsidRPr="00415F16" w:rsidRDefault="007765FC" w:rsidP="007765FC">
      <w:pPr>
        <w:spacing w:after="60"/>
        <w:jc w:val="center"/>
        <w:rPr>
          <w:b/>
          <w:sz w:val="28"/>
          <w:szCs w:val="28"/>
        </w:rPr>
      </w:pPr>
      <w:r>
        <w:rPr>
          <w:b/>
          <w:sz w:val="28"/>
          <w:szCs w:val="28"/>
        </w:rPr>
        <w:t>“</w:t>
      </w:r>
      <w:r w:rsidRPr="00333DCA">
        <w:rPr>
          <w:b/>
          <w:sz w:val="28"/>
          <w:szCs w:val="28"/>
        </w:rPr>
        <w:t>Grozījumi Ministru kabineta 2017.gada 5.septembra noteikumos Nr.537 “Noteikumi par portfeļgarantijām sīko (mikro), mazo un vidējo komersantu kreditēšanas veicināšanai”</w:t>
      </w:r>
      <w:r>
        <w:rPr>
          <w:b/>
          <w:sz w:val="28"/>
          <w:szCs w:val="28"/>
        </w:rPr>
        <w:t xml:space="preserve">” </w:t>
      </w:r>
      <w:r w:rsidRPr="00415F16">
        <w:rPr>
          <w:b/>
          <w:sz w:val="28"/>
          <w:szCs w:val="28"/>
        </w:rPr>
        <w:t>sākotnējās ietekmes novērtējuma ziņojums (anotācija)</w:t>
      </w:r>
    </w:p>
    <w:p w:rsidR="007765FC" w:rsidRPr="00415F16" w:rsidRDefault="007765FC" w:rsidP="007765FC">
      <w:pPr>
        <w:spacing w:after="60"/>
        <w:jc w:val="center"/>
        <w:rPr>
          <w:b/>
          <w:sz w:val="28"/>
          <w:szCs w:val="28"/>
        </w:rPr>
      </w:pPr>
    </w:p>
    <w:tbl>
      <w:tblPr>
        <w:tblpPr w:leftFromText="180" w:rightFromText="180" w:vertAnchor="text"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799"/>
        <w:gridCol w:w="6845"/>
      </w:tblGrid>
      <w:tr w:rsidR="007765FC" w:rsidRPr="002E481B" w:rsidTr="00115B4C">
        <w:tc>
          <w:tcPr>
            <w:tcW w:w="9209" w:type="dxa"/>
            <w:gridSpan w:val="3"/>
            <w:tcBorders>
              <w:top w:val="single" w:sz="4" w:space="0" w:color="000000"/>
              <w:left w:val="single" w:sz="4" w:space="0" w:color="000000"/>
              <w:bottom w:val="single" w:sz="4" w:space="0" w:color="000000"/>
              <w:right w:val="single" w:sz="4" w:space="0" w:color="000000"/>
            </w:tcBorders>
            <w:shd w:val="clear" w:color="000000" w:fill="auto"/>
          </w:tcPr>
          <w:p w:rsidR="007765FC" w:rsidRPr="002E481B" w:rsidRDefault="007765FC" w:rsidP="00115B4C">
            <w:pPr>
              <w:pStyle w:val="ListParagraph"/>
              <w:tabs>
                <w:tab w:val="left" w:pos="2268"/>
                <w:tab w:val="left" w:pos="2410"/>
              </w:tabs>
              <w:ind w:left="1080"/>
              <w:contextualSpacing/>
              <w:jc w:val="center"/>
              <w:rPr>
                <w:rFonts w:ascii="Times New Roman" w:hAnsi="Times New Roman"/>
                <w:b/>
                <w:sz w:val="26"/>
                <w:szCs w:val="26"/>
              </w:rPr>
            </w:pPr>
            <w:r w:rsidRPr="002E481B">
              <w:rPr>
                <w:rFonts w:ascii="Times New Roman" w:hAnsi="Times New Roman"/>
                <w:b/>
                <w:sz w:val="26"/>
                <w:szCs w:val="26"/>
              </w:rPr>
              <w:t>I. Tiesību akta projekta izstrādes nepieciešamība</w:t>
            </w:r>
          </w:p>
        </w:tc>
      </w:tr>
      <w:tr w:rsidR="007765FC" w:rsidRPr="002E481B" w:rsidTr="00115B4C">
        <w:tc>
          <w:tcPr>
            <w:tcW w:w="565" w:type="dxa"/>
            <w:tcBorders>
              <w:top w:val="single" w:sz="4" w:space="0" w:color="000000"/>
              <w:left w:val="single" w:sz="4" w:space="0" w:color="000000"/>
              <w:bottom w:val="single" w:sz="4" w:space="0" w:color="000000"/>
              <w:right w:val="single" w:sz="4" w:space="0" w:color="000000"/>
            </w:tcBorders>
            <w:shd w:val="clear" w:color="000000" w:fill="auto"/>
          </w:tcPr>
          <w:p w:rsidR="007765FC" w:rsidRPr="002E481B" w:rsidRDefault="007765FC" w:rsidP="00115B4C">
            <w:pPr>
              <w:jc w:val="center"/>
              <w:rPr>
                <w:sz w:val="26"/>
                <w:szCs w:val="26"/>
              </w:rPr>
            </w:pPr>
            <w:r w:rsidRPr="002E481B">
              <w:rPr>
                <w:sz w:val="26"/>
                <w:szCs w:val="26"/>
              </w:rPr>
              <w:t>1.</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rsidR="007765FC" w:rsidRPr="002E481B" w:rsidRDefault="007765FC" w:rsidP="00115B4C">
            <w:pPr>
              <w:tabs>
                <w:tab w:val="left" w:pos="1904"/>
              </w:tabs>
              <w:rPr>
                <w:sz w:val="26"/>
                <w:szCs w:val="26"/>
              </w:rPr>
            </w:pPr>
            <w:r w:rsidRPr="002E481B">
              <w:rPr>
                <w:sz w:val="26"/>
                <w:szCs w:val="26"/>
              </w:rPr>
              <w:t>Pamatojums</w:t>
            </w:r>
          </w:p>
        </w:tc>
        <w:tc>
          <w:tcPr>
            <w:tcW w:w="684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7765FC" w:rsidRPr="002E481B" w:rsidRDefault="007765FC" w:rsidP="00115B4C">
            <w:pPr>
              <w:spacing w:after="60"/>
              <w:jc w:val="both"/>
              <w:rPr>
                <w:b/>
                <w:sz w:val="26"/>
                <w:szCs w:val="26"/>
              </w:rPr>
            </w:pPr>
            <w:r w:rsidRPr="002E481B">
              <w:rPr>
                <w:sz w:val="26"/>
                <w:szCs w:val="26"/>
                <w:shd w:val="clear" w:color="000000" w:fill="FFFFFF"/>
              </w:rPr>
              <w:t>Attīstības finanšu institūcijas likuma</w:t>
            </w:r>
            <w:r w:rsidR="00963676">
              <w:rPr>
                <w:sz w:val="26"/>
                <w:szCs w:val="26"/>
                <w:shd w:val="clear" w:color="000000" w:fill="FFFFFF"/>
              </w:rPr>
              <w:t xml:space="preserve"> </w:t>
            </w:r>
            <w:r w:rsidRPr="002E481B">
              <w:rPr>
                <w:sz w:val="26"/>
                <w:szCs w:val="26"/>
                <w:shd w:val="clear" w:color="000000" w:fill="FFFFFF"/>
              </w:rPr>
              <w:t xml:space="preserve"> 12.panta ceturt</w:t>
            </w:r>
            <w:r w:rsidR="001B7B83">
              <w:rPr>
                <w:sz w:val="26"/>
                <w:szCs w:val="26"/>
                <w:shd w:val="clear" w:color="000000" w:fill="FFFFFF"/>
              </w:rPr>
              <w:t>ā</w:t>
            </w:r>
            <w:r w:rsidRPr="002E481B">
              <w:rPr>
                <w:sz w:val="26"/>
                <w:szCs w:val="26"/>
                <w:shd w:val="clear" w:color="000000" w:fill="FFFFFF"/>
              </w:rPr>
              <w:t xml:space="preserve"> daļ</w:t>
            </w:r>
            <w:r w:rsidR="005B13F0">
              <w:rPr>
                <w:sz w:val="26"/>
                <w:szCs w:val="26"/>
                <w:shd w:val="clear" w:color="000000" w:fill="FFFFFF"/>
              </w:rPr>
              <w:t>a</w:t>
            </w:r>
          </w:p>
        </w:tc>
      </w:tr>
      <w:tr w:rsidR="007765FC" w:rsidRPr="002E481B" w:rsidTr="00115B4C">
        <w:tc>
          <w:tcPr>
            <w:tcW w:w="565" w:type="dxa"/>
            <w:tcBorders>
              <w:top w:val="single" w:sz="4" w:space="0" w:color="000000"/>
              <w:left w:val="single" w:sz="4" w:space="0" w:color="000000"/>
              <w:bottom w:val="single" w:sz="4" w:space="0" w:color="000000"/>
              <w:right w:val="single" w:sz="4" w:space="0" w:color="000000"/>
            </w:tcBorders>
            <w:shd w:val="clear" w:color="000000" w:fill="auto"/>
          </w:tcPr>
          <w:p w:rsidR="007765FC" w:rsidRPr="002E481B" w:rsidRDefault="007765FC" w:rsidP="00115B4C">
            <w:pPr>
              <w:jc w:val="center"/>
              <w:rPr>
                <w:sz w:val="26"/>
                <w:szCs w:val="26"/>
              </w:rPr>
            </w:pPr>
            <w:r w:rsidRPr="002E481B">
              <w:rPr>
                <w:sz w:val="26"/>
                <w:szCs w:val="26"/>
              </w:rPr>
              <w:t>2.</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rsidR="007765FC" w:rsidRPr="002E481B" w:rsidRDefault="007765FC" w:rsidP="00115B4C">
            <w:pPr>
              <w:jc w:val="both"/>
              <w:rPr>
                <w:sz w:val="26"/>
                <w:szCs w:val="26"/>
              </w:rPr>
            </w:pPr>
            <w:r w:rsidRPr="002E481B">
              <w:rPr>
                <w:sz w:val="26"/>
                <w:szCs w:val="26"/>
              </w:rPr>
              <w:t>Pašreizējā situācija un problēmas, kuru risināšanai tiesību akta projekts izstrādāts, tiesiskā regulējuma mērķis un būtība</w:t>
            </w:r>
          </w:p>
          <w:p w:rsidR="007765FC" w:rsidRPr="002E481B" w:rsidRDefault="007765FC" w:rsidP="00115B4C">
            <w:pPr>
              <w:rPr>
                <w:sz w:val="26"/>
                <w:szCs w:val="26"/>
              </w:rPr>
            </w:pPr>
          </w:p>
          <w:p w:rsidR="007765FC" w:rsidRPr="002E481B" w:rsidRDefault="007765FC" w:rsidP="00115B4C">
            <w:pPr>
              <w:jc w:val="right"/>
              <w:rPr>
                <w:sz w:val="26"/>
                <w:szCs w:val="26"/>
              </w:rPr>
            </w:pPr>
          </w:p>
          <w:p w:rsidR="007765FC" w:rsidRPr="002E481B" w:rsidRDefault="007765FC" w:rsidP="00115B4C">
            <w:pPr>
              <w:rPr>
                <w:sz w:val="26"/>
                <w:szCs w:val="26"/>
              </w:rPr>
            </w:pPr>
          </w:p>
          <w:p w:rsidR="007765FC" w:rsidRPr="002E481B" w:rsidRDefault="007765FC" w:rsidP="00115B4C">
            <w:pPr>
              <w:rPr>
                <w:sz w:val="26"/>
                <w:szCs w:val="26"/>
              </w:rPr>
            </w:pPr>
          </w:p>
          <w:p w:rsidR="007765FC" w:rsidRPr="002E481B" w:rsidRDefault="007765FC" w:rsidP="00115B4C">
            <w:pPr>
              <w:rPr>
                <w:sz w:val="26"/>
                <w:szCs w:val="26"/>
              </w:rPr>
            </w:pPr>
          </w:p>
          <w:p w:rsidR="007765FC" w:rsidRPr="002E481B" w:rsidRDefault="007765FC" w:rsidP="00115B4C">
            <w:pPr>
              <w:rPr>
                <w:sz w:val="26"/>
                <w:szCs w:val="26"/>
              </w:rPr>
            </w:pPr>
          </w:p>
          <w:p w:rsidR="007765FC" w:rsidRPr="002E481B" w:rsidRDefault="007765FC" w:rsidP="00115B4C">
            <w:pPr>
              <w:rPr>
                <w:sz w:val="26"/>
                <w:szCs w:val="26"/>
              </w:rPr>
            </w:pPr>
          </w:p>
          <w:p w:rsidR="007765FC" w:rsidRPr="002E481B" w:rsidRDefault="007765FC" w:rsidP="00115B4C">
            <w:pPr>
              <w:rPr>
                <w:sz w:val="26"/>
                <w:szCs w:val="26"/>
              </w:rPr>
            </w:pPr>
          </w:p>
          <w:p w:rsidR="007765FC" w:rsidRPr="002E481B" w:rsidRDefault="007765FC" w:rsidP="00115B4C">
            <w:pPr>
              <w:rPr>
                <w:sz w:val="26"/>
                <w:szCs w:val="26"/>
              </w:rPr>
            </w:pPr>
          </w:p>
          <w:p w:rsidR="007765FC" w:rsidRPr="002E481B" w:rsidRDefault="007765FC" w:rsidP="00115B4C">
            <w:pPr>
              <w:rPr>
                <w:sz w:val="26"/>
                <w:szCs w:val="26"/>
              </w:rPr>
            </w:pPr>
          </w:p>
          <w:p w:rsidR="007765FC" w:rsidRPr="002E481B" w:rsidRDefault="007765FC" w:rsidP="00115B4C">
            <w:pPr>
              <w:rPr>
                <w:sz w:val="26"/>
                <w:szCs w:val="26"/>
              </w:rPr>
            </w:pPr>
          </w:p>
          <w:p w:rsidR="007765FC" w:rsidRPr="002E481B" w:rsidRDefault="007765FC" w:rsidP="00115B4C">
            <w:pPr>
              <w:rPr>
                <w:sz w:val="26"/>
                <w:szCs w:val="26"/>
              </w:rPr>
            </w:pPr>
          </w:p>
          <w:p w:rsidR="007765FC" w:rsidRPr="002E481B" w:rsidRDefault="007765FC" w:rsidP="00115B4C">
            <w:pPr>
              <w:rPr>
                <w:sz w:val="26"/>
                <w:szCs w:val="26"/>
              </w:rPr>
            </w:pPr>
          </w:p>
          <w:p w:rsidR="007765FC" w:rsidRPr="002E481B" w:rsidRDefault="007765FC" w:rsidP="00115B4C">
            <w:pPr>
              <w:rPr>
                <w:sz w:val="26"/>
                <w:szCs w:val="26"/>
              </w:rPr>
            </w:pPr>
          </w:p>
          <w:p w:rsidR="007765FC" w:rsidRPr="002E481B" w:rsidRDefault="007765FC" w:rsidP="00115B4C">
            <w:pPr>
              <w:rPr>
                <w:sz w:val="26"/>
                <w:szCs w:val="26"/>
              </w:rPr>
            </w:pPr>
          </w:p>
          <w:p w:rsidR="007765FC" w:rsidRPr="002E481B" w:rsidRDefault="007765FC" w:rsidP="00115B4C">
            <w:pPr>
              <w:rPr>
                <w:sz w:val="26"/>
                <w:szCs w:val="26"/>
              </w:rPr>
            </w:pPr>
          </w:p>
          <w:p w:rsidR="007765FC" w:rsidRPr="002E481B" w:rsidRDefault="007765FC" w:rsidP="00115B4C">
            <w:pPr>
              <w:rPr>
                <w:sz w:val="26"/>
                <w:szCs w:val="26"/>
              </w:rPr>
            </w:pPr>
          </w:p>
          <w:p w:rsidR="007765FC" w:rsidRPr="002E481B" w:rsidRDefault="007765FC" w:rsidP="00115B4C">
            <w:pPr>
              <w:rPr>
                <w:sz w:val="26"/>
                <w:szCs w:val="26"/>
              </w:rPr>
            </w:pPr>
          </w:p>
          <w:p w:rsidR="007765FC" w:rsidRPr="002E481B" w:rsidRDefault="007765FC" w:rsidP="00115B4C">
            <w:pPr>
              <w:rPr>
                <w:sz w:val="26"/>
                <w:szCs w:val="26"/>
              </w:rPr>
            </w:pPr>
          </w:p>
          <w:p w:rsidR="007765FC" w:rsidRPr="002E481B" w:rsidRDefault="007765FC" w:rsidP="00115B4C">
            <w:pPr>
              <w:rPr>
                <w:sz w:val="26"/>
                <w:szCs w:val="26"/>
              </w:rPr>
            </w:pPr>
          </w:p>
          <w:p w:rsidR="007765FC" w:rsidRPr="002E481B" w:rsidRDefault="007765FC" w:rsidP="00115B4C">
            <w:pPr>
              <w:rPr>
                <w:sz w:val="26"/>
                <w:szCs w:val="26"/>
              </w:rPr>
            </w:pPr>
          </w:p>
          <w:p w:rsidR="007765FC" w:rsidRPr="002E481B" w:rsidRDefault="007765FC" w:rsidP="00115B4C">
            <w:pPr>
              <w:rPr>
                <w:sz w:val="26"/>
                <w:szCs w:val="26"/>
              </w:rPr>
            </w:pPr>
          </w:p>
          <w:p w:rsidR="007765FC" w:rsidRPr="002E481B" w:rsidRDefault="007765FC" w:rsidP="00115B4C">
            <w:pPr>
              <w:ind w:firstLine="720"/>
              <w:rPr>
                <w:sz w:val="26"/>
                <w:szCs w:val="26"/>
              </w:rPr>
            </w:pPr>
          </w:p>
          <w:p w:rsidR="007765FC" w:rsidRPr="002E481B" w:rsidRDefault="007765FC" w:rsidP="00115B4C">
            <w:pPr>
              <w:rPr>
                <w:sz w:val="26"/>
                <w:szCs w:val="26"/>
              </w:rPr>
            </w:pPr>
          </w:p>
          <w:p w:rsidR="007765FC" w:rsidRPr="002E481B" w:rsidRDefault="007765FC" w:rsidP="00115B4C">
            <w:pPr>
              <w:rPr>
                <w:sz w:val="26"/>
                <w:szCs w:val="26"/>
              </w:rPr>
            </w:pPr>
          </w:p>
          <w:p w:rsidR="007765FC" w:rsidRPr="002E481B" w:rsidRDefault="007765FC" w:rsidP="00115B4C">
            <w:pPr>
              <w:rPr>
                <w:sz w:val="26"/>
                <w:szCs w:val="26"/>
              </w:rPr>
            </w:pPr>
          </w:p>
          <w:p w:rsidR="007765FC" w:rsidRPr="002E481B" w:rsidRDefault="007765FC" w:rsidP="00115B4C">
            <w:pPr>
              <w:rPr>
                <w:sz w:val="26"/>
                <w:szCs w:val="26"/>
              </w:rPr>
            </w:pPr>
          </w:p>
          <w:p w:rsidR="007765FC" w:rsidRPr="002E481B" w:rsidRDefault="007765FC" w:rsidP="00115B4C">
            <w:pPr>
              <w:rPr>
                <w:sz w:val="26"/>
                <w:szCs w:val="26"/>
              </w:rPr>
            </w:pPr>
          </w:p>
          <w:p w:rsidR="007765FC" w:rsidRPr="002E481B" w:rsidRDefault="007765FC" w:rsidP="00115B4C">
            <w:pPr>
              <w:jc w:val="center"/>
              <w:rPr>
                <w:sz w:val="26"/>
                <w:szCs w:val="26"/>
              </w:rPr>
            </w:pPr>
          </w:p>
        </w:tc>
        <w:tc>
          <w:tcPr>
            <w:tcW w:w="6845" w:type="dxa"/>
            <w:tcBorders>
              <w:top w:val="single" w:sz="4" w:space="0" w:color="000000"/>
              <w:left w:val="single" w:sz="4" w:space="0" w:color="000000"/>
              <w:bottom w:val="single" w:sz="4" w:space="0" w:color="000000"/>
              <w:right w:val="single" w:sz="4" w:space="0" w:color="000000"/>
            </w:tcBorders>
            <w:shd w:val="clear" w:color="000000" w:fill="FFFFFF"/>
          </w:tcPr>
          <w:p w:rsidR="007765FC" w:rsidRPr="00B83B49" w:rsidRDefault="001B7B83" w:rsidP="00115B4C">
            <w:pPr>
              <w:pStyle w:val="Default"/>
              <w:spacing w:after="60"/>
              <w:jc w:val="both"/>
              <w:rPr>
                <w:sz w:val="26"/>
                <w:szCs w:val="26"/>
              </w:rPr>
            </w:pPr>
            <w:r>
              <w:rPr>
                <w:sz w:val="26"/>
                <w:szCs w:val="26"/>
                <w:shd w:val="clear" w:color="000000" w:fill="FFFFFF"/>
              </w:rPr>
              <w:t>2017.gada</w:t>
            </w:r>
            <w:r w:rsidR="007765FC" w:rsidRPr="00B83B49">
              <w:rPr>
                <w:sz w:val="26"/>
                <w:szCs w:val="26"/>
                <w:shd w:val="clear" w:color="000000" w:fill="FFFFFF"/>
              </w:rPr>
              <w:t xml:space="preserve"> 5. septembrī Ministru kabinets apstiprināja noteikumus Nr.537 “Noteikumi par portfeļgarantijām sīko (mikro), mazo un vidējo komersantu kreditēšanas veicināšanai” (turpmāk – MK noteikumi Nr.537). MK noteikumu Nr.537 mērķis ir </w:t>
            </w:r>
            <w:r w:rsidR="007765FC" w:rsidRPr="00B83B49">
              <w:rPr>
                <w:sz w:val="26"/>
                <w:szCs w:val="26"/>
              </w:rPr>
              <w:t xml:space="preserve"> veicināt finansējuma pieejamību komersantiem</w:t>
            </w:r>
            <w:r w:rsidR="007765FC">
              <w:rPr>
                <w:sz w:val="26"/>
                <w:szCs w:val="26"/>
              </w:rPr>
              <w:t>.</w:t>
            </w:r>
            <w:r w:rsidR="007765FC" w:rsidRPr="00B83B49">
              <w:rPr>
                <w:sz w:val="26"/>
                <w:szCs w:val="26"/>
              </w:rPr>
              <w:t xml:space="preserve"> </w:t>
            </w:r>
            <w:r w:rsidR="007765FC">
              <w:rPr>
                <w:sz w:val="26"/>
                <w:szCs w:val="26"/>
              </w:rPr>
              <w:t>Programmas</w:t>
            </w:r>
            <w:r w:rsidR="007765FC" w:rsidRPr="00B83B49">
              <w:rPr>
                <w:sz w:val="26"/>
                <w:szCs w:val="26"/>
              </w:rPr>
              <w:t xml:space="preserve"> ietvaros kredītiestādes vai tās meitas sabiedrības</w:t>
            </w:r>
            <w:r w:rsidR="007765FC">
              <w:rPr>
                <w:sz w:val="26"/>
                <w:szCs w:val="26"/>
              </w:rPr>
              <w:t xml:space="preserve"> (turpmāk – kredītiestāde)</w:t>
            </w:r>
            <w:r w:rsidR="007765FC" w:rsidRPr="00B83B49">
              <w:rPr>
                <w:sz w:val="26"/>
                <w:szCs w:val="26"/>
              </w:rPr>
              <w:t>, kas piedalīsies akciju sabiedrības “Attīstības finanšu institūcija Altum” (turpmāk</w:t>
            </w:r>
            <w:r w:rsidR="001416C9">
              <w:rPr>
                <w:sz w:val="26"/>
                <w:szCs w:val="26"/>
              </w:rPr>
              <w:t xml:space="preserve"> –</w:t>
            </w:r>
            <w:r w:rsidR="007765FC" w:rsidRPr="00B83B49">
              <w:rPr>
                <w:sz w:val="26"/>
                <w:szCs w:val="26"/>
              </w:rPr>
              <w:t xml:space="preserve"> sabiedrība Altum) atklātajā atlasē un ieg</w:t>
            </w:r>
            <w:r w:rsidR="007765FC">
              <w:rPr>
                <w:sz w:val="26"/>
                <w:szCs w:val="26"/>
              </w:rPr>
              <w:t xml:space="preserve">ūs </w:t>
            </w:r>
            <w:r w:rsidR="007765FC" w:rsidRPr="00B83B49">
              <w:rPr>
                <w:sz w:val="26"/>
                <w:szCs w:val="26"/>
              </w:rPr>
              <w:t>tiesības slēgt līgumu</w:t>
            </w:r>
            <w:r w:rsidR="007765FC">
              <w:rPr>
                <w:sz w:val="26"/>
                <w:szCs w:val="26"/>
              </w:rPr>
              <w:t xml:space="preserve"> par programmas īstenošanu</w:t>
            </w:r>
            <w:r w:rsidR="007765FC" w:rsidRPr="00B83B49">
              <w:rPr>
                <w:sz w:val="26"/>
                <w:szCs w:val="26"/>
              </w:rPr>
              <w:t xml:space="preserve">, </w:t>
            </w:r>
            <w:r w:rsidR="007765FC">
              <w:rPr>
                <w:sz w:val="26"/>
                <w:szCs w:val="26"/>
              </w:rPr>
              <w:t xml:space="preserve">izmantojot sabiedrības Altum garantiju, </w:t>
            </w:r>
            <w:r w:rsidR="007765FC" w:rsidRPr="00B83B49">
              <w:rPr>
                <w:sz w:val="26"/>
                <w:szCs w:val="26"/>
              </w:rPr>
              <w:t>piedāvās komersantiem finanšu pakalpojumus ar samazinātu aizdevumu procentu likmi.</w:t>
            </w:r>
            <w:r w:rsidR="007765FC">
              <w:rPr>
                <w:sz w:val="26"/>
                <w:szCs w:val="26"/>
              </w:rPr>
              <w:t xml:space="preserve"> Programmas galvenā atšķirība no individuālo garantiju programmas – darījumiem, kas atbilst MK noteikumu nr.537 nosacījumiem un noteikti sabiedrības Altum un kredītiestādes līgumā, var piešķirt garantiju dažu stundu laikā, neiesaistot sabiedrību Altum garantijas piešķiršanā. Šādi būtiskākie ieguvēji no programmas ir sīkie un mazie komersanti, kuri līdz šim nevarēja saņem aizdevumus nepietiekama nodrošinājuma dēļ, bet kredītiestādes nep</w:t>
            </w:r>
            <w:r w:rsidR="00D53DB9">
              <w:rPr>
                <w:sz w:val="26"/>
                <w:szCs w:val="26"/>
              </w:rPr>
              <w:t>ietei</w:t>
            </w:r>
            <w:r w:rsidR="007765FC">
              <w:rPr>
                <w:sz w:val="26"/>
                <w:szCs w:val="26"/>
              </w:rPr>
              <w:t xml:space="preserve">cās individuālajām garantijām mazo darījumu apjomam neproporcionālā laika patēriņa dēļ. </w:t>
            </w:r>
          </w:p>
          <w:p w:rsidR="007765FC" w:rsidRDefault="007765FC" w:rsidP="00115B4C">
            <w:pPr>
              <w:pStyle w:val="Default"/>
              <w:spacing w:after="60"/>
              <w:jc w:val="both"/>
              <w:rPr>
                <w:sz w:val="26"/>
                <w:szCs w:val="26"/>
                <w:shd w:val="clear" w:color="000000" w:fill="FFFFFF"/>
              </w:rPr>
            </w:pPr>
            <w:r>
              <w:rPr>
                <w:sz w:val="26"/>
                <w:szCs w:val="26"/>
                <w:shd w:val="clear" w:color="000000" w:fill="FFFFFF"/>
              </w:rPr>
              <w:t>Maksimālais viena darījuma garantijas apmērs ir līdz 70% (MK noteikumu Nr.537 11.punkts), savukārt ierobežotās garantijas likme (</w:t>
            </w:r>
            <w:r w:rsidRPr="004A2900">
              <w:rPr>
                <w:i/>
                <w:sz w:val="26"/>
                <w:szCs w:val="26"/>
                <w:shd w:val="clear" w:color="000000" w:fill="FFFFFF"/>
              </w:rPr>
              <w:t>CAP</w:t>
            </w:r>
            <w:r>
              <w:rPr>
                <w:sz w:val="26"/>
                <w:szCs w:val="26"/>
                <w:shd w:val="clear" w:color="000000" w:fill="FFFFFF"/>
              </w:rPr>
              <w:t xml:space="preserve">) jeb garantiju portfeļa daļa, kuru sedz sabiedrības Altum garantija, ir līdz 20%. Citiem vārdiem, katra darījuma garantija ir līdz 70%, bet kopējie zaudējumi no garantētā finanšu pakalpojumu portfeļa nevar pārsniegt 20%.  </w:t>
            </w:r>
          </w:p>
          <w:p w:rsidR="007765FC" w:rsidRDefault="007765FC" w:rsidP="00115B4C">
            <w:pPr>
              <w:pStyle w:val="Default"/>
              <w:spacing w:after="60"/>
              <w:jc w:val="both"/>
              <w:rPr>
                <w:sz w:val="26"/>
                <w:szCs w:val="26"/>
                <w:shd w:val="clear" w:color="000000" w:fill="FFFFFF"/>
              </w:rPr>
            </w:pPr>
            <w:r>
              <w:rPr>
                <w:sz w:val="26"/>
                <w:szCs w:val="26"/>
                <w:shd w:val="clear" w:color="000000" w:fill="FFFFFF"/>
              </w:rPr>
              <w:t>MK noteikumu Nr.537 22.2.</w:t>
            </w:r>
            <w:r w:rsidR="005B13F0">
              <w:rPr>
                <w:sz w:val="26"/>
                <w:szCs w:val="26"/>
                <w:shd w:val="clear" w:color="000000" w:fill="FFFFFF"/>
              </w:rPr>
              <w:t>apakš</w:t>
            </w:r>
            <w:r>
              <w:rPr>
                <w:sz w:val="26"/>
                <w:szCs w:val="26"/>
                <w:shd w:val="clear" w:color="000000" w:fill="FFFFFF"/>
              </w:rPr>
              <w:t>punkts nosaka, ka, piesakoties sabiedrības Altum atklātajā atlasē, kredītiestāde pamato ierobežoto garantijas likmi, ņemot vērā plānoto neatmaksāto zaudējumu atgūšanas likmi. Savukārt MK noteikumu Nr.537 10.6.</w:t>
            </w:r>
            <w:r w:rsidR="005B13F0">
              <w:rPr>
                <w:sz w:val="26"/>
                <w:szCs w:val="26"/>
                <w:shd w:val="clear" w:color="000000" w:fill="FFFFFF"/>
              </w:rPr>
              <w:t>apakš</w:t>
            </w:r>
            <w:r>
              <w:rPr>
                <w:sz w:val="26"/>
                <w:szCs w:val="26"/>
                <w:shd w:val="clear" w:color="000000" w:fill="FFFFFF"/>
              </w:rPr>
              <w:t>punkts nosaka, ka apgrozāmo līdzekļu (t.sk. kredītlīniju) finanšu pakalpojumu termiņš ir no 12 mēnešiem līdz 5 gadiem un tas nav pagarināms.</w:t>
            </w:r>
          </w:p>
          <w:p w:rsidR="007765FC" w:rsidRDefault="007765FC" w:rsidP="00115B4C">
            <w:pPr>
              <w:pStyle w:val="Default"/>
              <w:spacing w:after="60"/>
              <w:jc w:val="both"/>
              <w:rPr>
                <w:sz w:val="26"/>
                <w:szCs w:val="26"/>
                <w:shd w:val="clear" w:color="000000" w:fill="FFFFFF"/>
              </w:rPr>
            </w:pPr>
            <w:r>
              <w:rPr>
                <w:sz w:val="26"/>
                <w:szCs w:val="26"/>
                <w:shd w:val="clear" w:color="000000" w:fill="FFFFFF"/>
              </w:rPr>
              <w:t>MK noteikumu Nr.537 izstrādes laikā Ekonomikas ministrija (turpmāk</w:t>
            </w:r>
            <w:r w:rsidR="009F2AD6">
              <w:rPr>
                <w:sz w:val="26"/>
                <w:szCs w:val="26"/>
                <w:shd w:val="clear" w:color="000000" w:fill="FFFFFF"/>
              </w:rPr>
              <w:t xml:space="preserve"> </w:t>
            </w:r>
            <w:r>
              <w:rPr>
                <w:sz w:val="26"/>
                <w:szCs w:val="26"/>
                <w:shd w:val="clear" w:color="000000" w:fill="FFFFFF"/>
              </w:rPr>
              <w:t>-</w:t>
            </w:r>
            <w:r w:rsidR="00A001B9">
              <w:rPr>
                <w:sz w:val="26"/>
                <w:szCs w:val="26"/>
                <w:shd w:val="clear" w:color="000000" w:fill="FFFFFF"/>
              </w:rPr>
              <w:t xml:space="preserve"> </w:t>
            </w:r>
            <w:r>
              <w:rPr>
                <w:sz w:val="26"/>
                <w:szCs w:val="26"/>
                <w:shd w:val="clear" w:color="000000" w:fill="FFFFFF"/>
              </w:rPr>
              <w:t xml:space="preserve">EM) un sabiedrība Altum konsultējās ar </w:t>
            </w:r>
            <w:r w:rsidRPr="00B83B49">
              <w:rPr>
                <w:sz w:val="26"/>
                <w:szCs w:val="26"/>
                <w:shd w:val="clear" w:color="000000" w:fill="FFFFFF"/>
              </w:rPr>
              <w:t>Latvijas Komercbanku asociācij</w:t>
            </w:r>
            <w:r>
              <w:rPr>
                <w:sz w:val="26"/>
                <w:szCs w:val="26"/>
                <w:shd w:val="clear" w:color="000000" w:fill="FFFFFF"/>
              </w:rPr>
              <w:t>u</w:t>
            </w:r>
            <w:r w:rsidRPr="00B83B49">
              <w:rPr>
                <w:sz w:val="26"/>
                <w:szCs w:val="26"/>
                <w:shd w:val="clear" w:color="000000" w:fill="FFFFFF"/>
              </w:rPr>
              <w:t xml:space="preserve"> (turpmāk – LKA)</w:t>
            </w:r>
            <w:r>
              <w:rPr>
                <w:sz w:val="26"/>
                <w:szCs w:val="26"/>
                <w:shd w:val="clear" w:color="000000" w:fill="FFFFFF"/>
              </w:rPr>
              <w:t xml:space="preserve"> un citiem sociālajiem partneriem.</w:t>
            </w:r>
          </w:p>
          <w:p w:rsidR="007765FC" w:rsidRDefault="007765FC" w:rsidP="00115B4C">
            <w:pPr>
              <w:pStyle w:val="Default"/>
              <w:spacing w:after="60"/>
              <w:jc w:val="both"/>
              <w:rPr>
                <w:sz w:val="26"/>
                <w:szCs w:val="26"/>
                <w:shd w:val="clear" w:color="000000" w:fill="FFFFFF"/>
              </w:rPr>
            </w:pPr>
            <w:r w:rsidRPr="00B83B49">
              <w:rPr>
                <w:sz w:val="26"/>
                <w:szCs w:val="26"/>
                <w:shd w:val="clear" w:color="000000" w:fill="FFFFFF"/>
              </w:rPr>
              <w:t xml:space="preserve">Š.g. oktobrī </w:t>
            </w:r>
            <w:r>
              <w:rPr>
                <w:sz w:val="26"/>
                <w:szCs w:val="26"/>
                <w:shd w:val="clear" w:color="000000" w:fill="FFFFFF"/>
              </w:rPr>
              <w:t xml:space="preserve">atbilstoši MK noteikumu Nr.537 17. un 20.punktam sabiedrība Altum  izstrādāja un </w:t>
            </w:r>
            <w:r w:rsidRPr="00B83B49">
              <w:rPr>
                <w:sz w:val="26"/>
                <w:szCs w:val="26"/>
                <w:shd w:val="clear" w:color="000000" w:fill="FFFFFF"/>
              </w:rPr>
              <w:t xml:space="preserve">nosūtīja </w:t>
            </w:r>
            <w:r w:rsidR="000710AE">
              <w:rPr>
                <w:sz w:val="26"/>
                <w:szCs w:val="26"/>
                <w:shd w:val="clear" w:color="000000" w:fill="FFFFFF"/>
              </w:rPr>
              <w:t>LKA</w:t>
            </w:r>
            <w:r>
              <w:rPr>
                <w:sz w:val="26"/>
                <w:szCs w:val="26"/>
                <w:shd w:val="clear" w:color="000000" w:fill="FFFFFF"/>
              </w:rPr>
              <w:t xml:space="preserve"> un Latvijas </w:t>
            </w:r>
            <w:r>
              <w:rPr>
                <w:sz w:val="26"/>
                <w:szCs w:val="26"/>
                <w:shd w:val="clear" w:color="000000" w:fill="FFFFFF"/>
              </w:rPr>
              <w:lastRenderedPageBreak/>
              <w:t xml:space="preserve">Līzinga devēju </w:t>
            </w:r>
            <w:r w:rsidRPr="00C9190D">
              <w:rPr>
                <w:sz w:val="26"/>
                <w:szCs w:val="26"/>
                <w:shd w:val="clear" w:color="000000" w:fill="FFFFFF"/>
              </w:rPr>
              <w:t>asociācijai Portfeļgarantiju programmas kredītiestāžu atlases nosacījumu projektu (turpmāk</w:t>
            </w:r>
            <w:r w:rsidRPr="00B83B49">
              <w:rPr>
                <w:sz w:val="26"/>
                <w:szCs w:val="26"/>
                <w:shd w:val="clear" w:color="000000" w:fill="FFFFFF"/>
              </w:rPr>
              <w:t xml:space="preserve"> -</w:t>
            </w:r>
            <w:r w:rsidR="005B13F0">
              <w:rPr>
                <w:sz w:val="26"/>
                <w:szCs w:val="26"/>
                <w:shd w:val="clear" w:color="000000" w:fill="FFFFFF"/>
              </w:rPr>
              <w:t xml:space="preserve"> </w:t>
            </w:r>
            <w:r w:rsidRPr="00B83B49">
              <w:rPr>
                <w:sz w:val="26"/>
                <w:szCs w:val="26"/>
                <w:shd w:val="clear" w:color="000000" w:fill="FFFFFF"/>
              </w:rPr>
              <w:t>atlases noteikumi)</w:t>
            </w:r>
            <w:r>
              <w:rPr>
                <w:sz w:val="26"/>
                <w:szCs w:val="26"/>
                <w:shd w:val="clear" w:color="000000" w:fill="FFFFFF"/>
              </w:rPr>
              <w:t>, kā arī tikās ar ieinteresētajām kredītiestādēm, lai skaidrotu MK noteikumu Nr.537 un atlases nosacījumu prasības</w:t>
            </w:r>
            <w:r w:rsidRPr="00B83B49">
              <w:rPr>
                <w:sz w:val="26"/>
                <w:szCs w:val="26"/>
                <w:shd w:val="clear" w:color="000000" w:fill="FFFFFF"/>
              </w:rPr>
              <w:t xml:space="preserve">. </w:t>
            </w:r>
          </w:p>
          <w:p w:rsidR="007765FC" w:rsidRDefault="007765FC" w:rsidP="00115B4C">
            <w:pPr>
              <w:pStyle w:val="Default"/>
              <w:spacing w:after="60"/>
              <w:jc w:val="both"/>
              <w:rPr>
                <w:sz w:val="26"/>
                <w:szCs w:val="26"/>
                <w:shd w:val="clear" w:color="000000" w:fill="FFFFFF"/>
              </w:rPr>
            </w:pPr>
            <w:r w:rsidRPr="005254D5">
              <w:rPr>
                <w:color w:val="auto"/>
                <w:sz w:val="26"/>
                <w:szCs w:val="26"/>
                <w:shd w:val="clear" w:color="000000" w:fill="FFFFFF"/>
              </w:rPr>
              <w:t xml:space="preserve">Š.g. 8.novembrī </w:t>
            </w:r>
            <w:r w:rsidR="000710AE">
              <w:rPr>
                <w:color w:val="auto"/>
                <w:sz w:val="26"/>
                <w:szCs w:val="26"/>
                <w:shd w:val="clear" w:color="000000" w:fill="FFFFFF"/>
              </w:rPr>
              <w:t>EM</w:t>
            </w:r>
            <w:r w:rsidRPr="005254D5">
              <w:rPr>
                <w:color w:val="auto"/>
                <w:sz w:val="26"/>
                <w:szCs w:val="26"/>
                <w:shd w:val="clear" w:color="000000" w:fill="FFFFFF"/>
              </w:rPr>
              <w:t xml:space="preserve"> ir </w:t>
            </w:r>
            <w:r>
              <w:rPr>
                <w:sz w:val="26"/>
                <w:szCs w:val="26"/>
                <w:shd w:val="clear" w:color="000000" w:fill="FFFFFF"/>
              </w:rPr>
              <w:t>saņemts LKA priekšlikums veikt grozījumus MK noteikumos Nr.537 un palielināt garantijas apmēru no 70% līdz 80%, kā arī atļaut kredītlīniju termiņa pagarināšanu, lai nodrošinātu veiksmīgāku programmas ieviešanu. LKA norāda, ka par minētajiem jautājumiem MK noteikumu Nr.537 nosacījumi ir komersantiem neizdevīgāki nekā sabiedrības Altum individuālo garantiju programmas nosacījumi</w:t>
            </w:r>
            <w:r>
              <w:rPr>
                <w:rStyle w:val="FootnoteReference"/>
              </w:rPr>
              <w:footnoteReference w:id="1"/>
            </w:r>
            <w:r>
              <w:rPr>
                <w:sz w:val="26"/>
                <w:szCs w:val="26"/>
                <w:shd w:val="clear" w:color="000000" w:fill="FFFFFF"/>
              </w:rPr>
              <w:t xml:space="preserve">, kā arī  Eiropas Investīciju fonda (turpmāk – EIF) piedāvātie garantiju produkti kā InnovFin, Cosme un EaSi, kas tiek sniegti </w:t>
            </w:r>
            <w:r>
              <w:t xml:space="preserve"> </w:t>
            </w:r>
            <w:r w:rsidRPr="007765FC">
              <w:rPr>
                <w:sz w:val="26"/>
                <w:szCs w:val="26"/>
                <w:shd w:val="clear" w:color="000000" w:fill="FFFFFF"/>
              </w:rPr>
              <w:t>Eiropas Stratēģisko investīciju f</w:t>
            </w:r>
            <w:r>
              <w:rPr>
                <w:sz w:val="26"/>
                <w:szCs w:val="26"/>
                <w:shd w:val="clear" w:color="000000" w:fill="FFFFFF"/>
              </w:rPr>
              <w:t>onda ietvaros. LKA norāda, ka, veicot grozījumus MK noteikumos Nr.537, tas ļautu sekmīgāk ieviest portfeļgarantiju programmu un tā būtu atbilstošāka lielāka klientu loka vajadzībām, īpaši sīkajiem un mazajiem komersantiem.</w:t>
            </w:r>
          </w:p>
          <w:p w:rsidR="00FB3732" w:rsidRDefault="00FB3732" w:rsidP="00115B4C">
            <w:pPr>
              <w:pStyle w:val="Default"/>
              <w:spacing w:after="60"/>
              <w:jc w:val="both"/>
              <w:rPr>
                <w:sz w:val="26"/>
                <w:szCs w:val="26"/>
                <w:shd w:val="clear" w:color="000000" w:fill="FFFFFF"/>
              </w:rPr>
            </w:pPr>
          </w:p>
          <w:p w:rsidR="007765FC" w:rsidRDefault="007765FC" w:rsidP="00115B4C">
            <w:pPr>
              <w:pStyle w:val="Default"/>
              <w:spacing w:after="60"/>
              <w:jc w:val="both"/>
              <w:rPr>
                <w:sz w:val="26"/>
                <w:szCs w:val="26"/>
              </w:rPr>
            </w:pPr>
            <w:r w:rsidRPr="0034051B">
              <w:rPr>
                <w:i/>
                <w:sz w:val="26"/>
                <w:szCs w:val="26"/>
                <w:u w:val="single"/>
              </w:rPr>
              <w:t>Apgrozāmo līdzekļu aizdevumu termiņ</w:t>
            </w:r>
            <w:r>
              <w:rPr>
                <w:i/>
                <w:sz w:val="26"/>
                <w:szCs w:val="26"/>
                <w:u w:val="single"/>
              </w:rPr>
              <w:t>š</w:t>
            </w:r>
          </w:p>
          <w:p w:rsidR="00FB3732" w:rsidRDefault="007765FC" w:rsidP="00115B4C">
            <w:pPr>
              <w:pStyle w:val="Default"/>
              <w:spacing w:after="60"/>
              <w:jc w:val="both"/>
              <w:rPr>
                <w:sz w:val="26"/>
                <w:szCs w:val="26"/>
              </w:rPr>
            </w:pPr>
            <w:r>
              <w:rPr>
                <w:sz w:val="26"/>
                <w:szCs w:val="26"/>
              </w:rPr>
              <w:t xml:space="preserve">Kā norāda LKA, </w:t>
            </w:r>
            <w:r>
              <w:t xml:space="preserve"> </w:t>
            </w:r>
            <w:r>
              <w:rPr>
                <w:sz w:val="26"/>
                <w:szCs w:val="26"/>
              </w:rPr>
              <w:t>kredītiestādes</w:t>
            </w:r>
            <w:r w:rsidRPr="00D41897">
              <w:rPr>
                <w:sz w:val="26"/>
                <w:szCs w:val="26"/>
              </w:rPr>
              <w:t xml:space="preserve"> apgrozāmo līdzekļu aizdevumus</w:t>
            </w:r>
            <w:r>
              <w:rPr>
                <w:sz w:val="26"/>
                <w:szCs w:val="26"/>
              </w:rPr>
              <w:t>, īpaši kredītlīnijas,</w:t>
            </w:r>
            <w:r w:rsidRPr="00D41897">
              <w:rPr>
                <w:sz w:val="26"/>
                <w:szCs w:val="26"/>
              </w:rPr>
              <w:t xml:space="preserve"> pārsvarā sniedz uz vienu gadu</w:t>
            </w:r>
            <w:r>
              <w:rPr>
                <w:sz w:val="26"/>
                <w:szCs w:val="26"/>
              </w:rPr>
              <w:t xml:space="preserve"> vai diviem gadiem,  katru gadu šo termiņu pagarinot. Vidējais apgrozāmo līdzekļu, t.sk. kredītlīniju kopējais termiņš ir 3-5 gadi, kad komersantiem izveidojas stabila naudas</w:t>
            </w:r>
            <w:r w:rsidR="00FB3732">
              <w:rPr>
                <w:sz w:val="26"/>
                <w:szCs w:val="26"/>
              </w:rPr>
              <w:t xml:space="preserve"> plūsma.  Pašreiz MK noteikumu Nr.537 10.6</w:t>
            </w:r>
            <w:r>
              <w:rPr>
                <w:sz w:val="26"/>
                <w:szCs w:val="26"/>
              </w:rPr>
              <w:t>.</w:t>
            </w:r>
            <w:r w:rsidR="000710AE">
              <w:rPr>
                <w:sz w:val="26"/>
                <w:szCs w:val="26"/>
              </w:rPr>
              <w:t>apakš</w:t>
            </w:r>
            <w:r>
              <w:rPr>
                <w:sz w:val="26"/>
                <w:szCs w:val="26"/>
              </w:rPr>
              <w:t xml:space="preserve">punkts ierobežo šādu darījumu iekļaušanu portfelī, jo portfeļa izveides termiņš ir divi gadi, bet minēto darījumu termiņu nevar pagarināt. </w:t>
            </w:r>
          </w:p>
          <w:p w:rsidR="007765FC" w:rsidRDefault="007765FC" w:rsidP="00115B4C">
            <w:pPr>
              <w:pStyle w:val="Default"/>
              <w:spacing w:after="60"/>
              <w:jc w:val="both"/>
              <w:rPr>
                <w:sz w:val="26"/>
                <w:szCs w:val="26"/>
              </w:rPr>
            </w:pPr>
            <w:r>
              <w:rPr>
                <w:sz w:val="26"/>
                <w:szCs w:val="26"/>
              </w:rPr>
              <w:t>Laika periodā no 2016.gada janvāra līdz 2017.gada 31.oktobrim sabiedrība Altum ir izsniegusi 289 garantijas par 63.3 milj.</w:t>
            </w:r>
            <w:r w:rsidRPr="00D41897">
              <w:rPr>
                <w:i/>
                <w:sz w:val="26"/>
                <w:szCs w:val="26"/>
              </w:rPr>
              <w:t>euro</w:t>
            </w:r>
            <w:r>
              <w:rPr>
                <w:sz w:val="26"/>
                <w:szCs w:val="26"/>
              </w:rPr>
              <w:t>. Apgrozāmie līdzekļi, t.sk. kredītlīnijas</w:t>
            </w:r>
            <w:r w:rsidR="00FB3732">
              <w:rPr>
                <w:sz w:val="26"/>
                <w:szCs w:val="26"/>
              </w:rPr>
              <w:t xml:space="preserve"> un overdrafti</w:t>
            </w:r>
            <w:r>
              <w:rPr>
                <w:sz w:val="26"/>
                <w:szCs w:val="26"/>
              </w:rPr>
              <w:t xml:space="preserve"> sastāda 48% no izsniegtajām garantijām, t.i., 146 garantijas apgrozāmiem līdzekļiem par 30.6 milj.</w:t>
            </w:r>
            <w:r w:rsidRPr="00D41897">
              <w:rPr>
                <w:i/>
                <w:sz w:val="26"/>
                <w:szCs w:val="26"/>
              </w:rPr>
              <w:t>euro</w:t>
            </w:r>
            <w:r>
              <w:rPr>
                <w:sz w:val="26"/>
                <w:szCs w:val="26"/>
              </w:rPr>
              <w:t>.</w:t>
            </w:r>
          </w:p>
          <w:p w:rsidR="007765FC" w:rsidRDefault="007765FC" w:rsidP="00115B4C">
            <w:pPr>
              <w:pStyle w:val="Default"/>
              <w:spacing w:after="60"/>
              <w:jc w:val="both"/>
              <w:rPr>
                <w:sz w:val="26"/>
                <w:szCs w:val="26"/>
              </w:rPr>
            </w:pPr>
            <w:r>
              <w:rPr>
                <w:sz w:val="26"/>
                <w:szCs w:val="26"/>
              </w:rPr>
              <w:t xml:space="preserve">Individuālo garantiju MK noteikumi </w:t>
            </w:r>
            <w:r w:rsidR="00FB3732">
              <w:rPr>
                <w:sz w:val="26"/>
                <w:szCs w:val="26"/>
              </w:rPr>
              <w:t>N</w:t>
            </w:r>
            <w:r>
              <w:rPr>
                <w:sz w:val="26"/>
                <w:szCs w:val="26"/>
              </w:rPr>
              <w:t>r.997 pieļauj apgrozāmo līdzekļu finanšu pakalpojumu termiņa pagarināšanu, kā arī to pieļauj EIF instrumenti, piemēram, InnovFin apgrozāmos līdzekļus var pagarināt 3 gadus, Cosme</w:t>
            </w:r>
            <w:r w:rsidR="006F23BF">
              <w:rPr>
                <w:sz w:val="26"/>
                <w:szCs w:val="26"/>
              </w:rPr>
              <w:t xml:space="preserve"> </w:t>
            </w:r>
            <w:r>
              <w:rPr>
                <w:sz w:val="26"/>
                <w:szCs w:val="26"/>
              </w:rPr>
              <w:t>– 5 gadus, savukārt EaSi var pagarināt līdz pat 6 gadiem. Šādi finanšu pakalpojumi ir atbilstoši Komisijas paziņojuma</w:t>
            </w:r>
            <w:r w:rsidRPr="004D267C">
              <w:rPr>
                <w:sz w:val="26"/>
                <w:szCs w:val="26"/>
              </w:rPr>
              <w:t xml:space="preserve"> par EK līguma 87. un 88.panta piemērošanu valsts atbalstam garantiju veidā (2008/C 155/02) (turpmāk – Komisijas paziņojums)</w:t>
            </w:r>
            <w:r>
              <w:rPr>
                <w:sz w:val="26"/>
                <w:szCs w:val="26"/>
              </w:rPr>
              <w:t xml:space="preserve"> 3.2.nodaļas b) apakšpunkam.</w:t>
            </w:r>
          </w:p>
          <w:p w:rsidR="007765FC" w:rsidRDefault="007765FC" w:rsidP="00115B4C">
            <w:pPr>
              <w:pStyle w:val="Default"/>
              <w:spacing w:after="60"/>
              <w:jc w:val="both"/>
              <w:rPr>
                <w:sz w:val="26"/>
                <w:szCs w:val="26"/>
              </w:rPr>
            </w:pPr>
            <w:r>
              <w:rPr>
                <w:sz w:val="26"/>
                <w:szCs w:val="26"/>
              </w:rPr>
              <w:t xml:space="preserve">Ņemot vēra norādīto, EM ierosina </w:t>
            </w:r>
            <w:r w:rsidR="00D53DB9">
              <w:t xml:space="preserve"> </w:t>
            </w:r>
            <w:r w:rsidR="00D53DB9" w:rsidRPr="00D53DB9">
              <w:rPr>
                <w:sz w:val="26"/>
                <w:szCs w:val="26"/>
              </w:rPr>
              <w:t xml:space="preserve">Ministru kabineta </w:t>
            </w:r>
            <w:r w:rsidR="00D53DB9">
              <w:rPr>
                <w:sz w:val="26"/>
                <w:szCs w:val="26"/>
              </w:rPr>
              <w:t>noteikumu projektā</w:t>
            </w:r>
            <w:r w:rsidR="00D53DB9" w:rsidRPr="00D53DB9">
              <w:rPr>
                <w:sz w:val="26"/>
                <w:szCs w:val="26"/>
              </w:rPr>
              <w:t xml:space="preserve"> “Grozījumi Ministru kabineta 2017.gada 5.septembra noteikumos Nr.537 “Noteikumi par portfeļgarantijām sīko </w:t>
            </w:r>
            <w:r w:rsidR="00D53DB9" w:rsidRPr="00D53DB9">
              <w:rPr>
                <w:sz w:val="26"/>
                <w:szCs w:val="26"/>
              </w:rPr>
              <w:lastRenderedPageBreak/>
              <w:t xml:space="preserve">(mikro), mazo un vidējo komersantu kreditēšanas veicināšanai”” (turpmāk – noteikumu projekts) </w:t>
            </w:r>
            <w:r>
              <w:rPr>
                <w:sz w:val="26"/>
                <w:szCs w:val="26"/>
              </w:rPr>
              <w:t>noteikt, ka MK noteikumu N</w:t>
            </w:r>
            <w:r w:rsidR="00FB3732">
              <w:rPr>
                <w:sz w:val="26"/>
                <w:szCs w:val="26"/>
              </w:rPr>
              <w:t>r.537</w:t>
            </w:r>
            <w:r>
              <w:rPr>
                <w:sz w:val="26"/>
                <w:szCs w:val="26"/>
              </w:rPr>
              <w:t xml:space="preserve"> 9.2.</w:t>
            </w:r>
            <w:r w:rsidR="005B13F0">
              <w:rPr>
                <w:sz w:val="26"/>
                <w:szCs w:val="26"/>
              </w:rPr>
              <w:t>apakš</w:t>
            </w:r>
            <w:r>
              <w:rPr>
                <w:sz w:val="26"/>
                <w:szCs w:val="26"/>
              </w:rPr>
              <w:t xml:space="preserve">punktā norādīto finanšu pakalpojumu termiņu var pagarināt tāpat kā investīciju aizdevumu termiņiem. </w:t>
            </w:r>
            <w:r w:rsidR="00FB3732">
              <w:rPr>
                <w:sz w:val="26"/>
                <w:szCs w:val="26"/>
              </w:rPr>
              <w:t>Jānorāda</w:t>
            </w:r>
            <w:r>
              <w:rPr>
                <w:sz w:val="26"/>
                <w:szCs w:val="26"/>
              </w:rPr>
              <w:t xml:space="preserve">, ka netiek mainīts nosacījums par maksimālo termiņu – 5 gadi. </w:t>
            </w:r>
          </w:p>
          <w:p w:rsidR="007765FC" w:rsidRDefault="007765FC" w:rsidP="00115B4C">
            <w:pPr>
              <w:pStyle w:val="Default"/>
              <w:spacing w:after="60"/>
              <w:jc w:val="both"/>
              <w:rPr>
                <w:sz w:val="26"/>
                <w:szCs w:val="26"/>
              </w:rPr>
            </w:pPr>
          </w:p>
          <w:p w:rsidR="007765FC" w:rsidRPr="00C97E4E" w:rsidRDefault="007765FC" w:rsidP="00115B4C">
            <w:pPr>
              <w:pStyle w:val="Default"/>
              <w:spacing w:after="60"/>
              <w:jc w:val="both"/>
              <w:rPr>
                <w:i/>
                <w:sz w:val="26"/>
                <w:szCs w:val="26"/>
                <w:u w:val="single"/>
              </w:rPr>
            </w:pPr>
            <w:r w:rsidRPr="00C97E4E">
              <w:rPr>
                <w:i/>
                <w:sz w:val="26"/>
                <w:szCs w:val="26"/>
                <w:u w:val="single"/>
              </w:rPr>
              <w:t>Plānoto neatmaksāto zaudējumu atgūšanas likm</w:t>
            </w:r>
            <w:r>
              <w:rPr>
                <w:i/>
                <w:sz w:val="26"/>
                <w:szCs w:val="26"/>
                <w:u w:val="single"/>
              </w:rPr>
              <w:t>e</w:t>
            </w:r>
            <w:r w:rsidRPr="00C97E4E">
              <w:rPr>
                <w:i/>
                <w:sz w:val="26"/>
                <w:szCs w:val="26"/>
                <w:u w:val="single"/>
              </w:rPr>
              <w:t xml:space="preserve"> (recovery rate) un metodika  atbilstoši Komisijas regulas Nr.480/2014  7. panta 2. punktam</w:t>
            </w:r>
          </w:p>
          <w:p w:rsidR="007765FC" w:rsidRDefault="00FB3732" w:rsidP="00115B4C">
            <w:pPr>
              <w:pStyle w:val="Default"/>
              <w:spacing w:after="60"/>
              <w:jc w:val="both"/>
              <w:rPr>
                <w:sz w:val="26"/>
                <w:szCs w:val="26"/>
              </w:rPr>
            </w:pPr>
            <w:r>
              <w:rPr>
                <w:sz w:val="26"/>
                <w:szCs w:val="26"/>
              </w:rPr>
              <w:t>MK noteikumu N</w:t>
            </w:r>
            <w:r w:rsidR="007765FC">
              <w:rPr>
                <w:sz w:val="26"/>
                <w:szCs w:val="26"/>
              </w:rPr>
              <w:t>r.537 22.2.</w:t>
            </w:r>
            <w:r w:rsidR="000710AE">
              <w:rPr>
                <w:sz w:val="26"/>
                <w:szCs w:val="26"/>
              </w:rPr>
              <w:t>apakš</w:t>
            </w:r>
            <w:r w:rsidR="007765FC">
              <w:rPr>
                <w:sz w:val="26"/>
                <w:szCs w:val="26"/>
              </w:rPr>
              <w:t>punkts nosaka: “</w:t>
            </w:r>
            <w:r w:rsidR="007765FC" w:rsidRPr="004F4785">
              <w:rPr>
                <w:sz w:val="26"/>
                <w:szCs w:val="26"/>
              </w:rPr>
              <w:t>22.2. kredītiestādes pamatojumu ierobežotajai garantijas likmei, ņemot vērā plānoto neatmaksāto zaudējumu atgūšanas likmi (</w:t>
            </w:r>
            <w:r w:rsidR="007765FC" w:rsidRPr="00A34262">
              <w:rPr>
                <w:i/>
                <w:sz w:val="26"/>
                <w:szCs w:val="26"/>
              </w:rPr>
              <w:t>recovery rate</w:t>
            </w:r>
            <w:r w:rsidR="007765FC" w:rsidRPr="004F4785">
              <w:rPr>
                <w:sz w:val="26"/>
                <w:szCs w:val="26"/>
              </w:rPr>
              <w:t>), kas nepārsniedz 20 %, kā arī plānoto aizdevumu portfeļa apjomu un nozaru diversifikāciju</w:t>
            </w:r>
            <w:r w:rsidR="007765FC">
              <w:rPr>
                <w:sz w:val="26"/>
                <w:szCs w:val="26"/>
              </w:rPr>
              <w:t>”. Sarunās ar sabiedrību Altum kredītiestādes ir norādījušas, ka portfeļgarantiju instrumentu plāno izmantot segmentos, kuros līdz šim ir darbojušās mazākā apjomā - sīkie un mazie komersanti, uzņēmējdarbības uzsācēji</w:t>
            </w:r>
            <w:r>
              <w:rPr>
                <w:sz w:val="26"/>
                <w:szCs w:val="26"/>
              </w:rPr>
              <w:t>, mikroaizdevumi</w:t>
            </w:r>
            <w:r w:rsidR="007765FC">
              <w:rPr>
                <w:sz w:val="26"/>
                <w:szCs w:val="26"/>
              </w:rPr>
              <w:t>. Līdz ar to vēsturiskā neatmaksāto zaudējumu atgūšanas likme (</w:t>
            </w:r>
            <w:r w:rsidR="007765FC" w:rsidRPr="00115B4C">
              <w:rPr>
                <w:i/>
                <w:sz w:val="26"/>
                <w:szCs w:val="26"/>
              </w:rPr>
              <w:t>recovery rate</w:t>
            </w:r>
            <w:r w:rsidR="007765FC">
              <w:rPr>
                <w:sz w:val="26"/>
                <w:szCs w:val="26"/>
              </w:rPr>
              <w:t>) nav izmantojama plānotajiem portfeļiem programmas ietvaros, nosakot ierobežoto garantijas likmi (</w:t>
            </w:r>
            <w:r w:rsidR="007765FC" w:rsidRPr="00A34262">
              <w:rPr>
                <w:i/>
                <w:sz w:val="26"/>
                <w:szCs w:val="26"/>
              </w:rPr>
              <w:t>cap</w:t>
            </w:r>
            <w:r w:rsidR="007765FC">
              <w:rPr>
                <w:sz w:val="26"/>
                <w:szCs w:val="26"/>
              </w:rPr>
              <w:t xml:space="preserve">). </w:t>
            </w:r>
          </w:p>
          <w:p w:rsidR="007765FC" w:rsidRDefault="007765FC" w:rsidP="00115B4C">
            <w:pPr>
              <w:pStyle w:val="Default"/>
              <w:spacing w:after="60"/>
              <w:jc w:val="both"/>
              <w:rPr>
                <w:sz w:val="26"/>
                <w:szCs w:val="26"/>
              </w:rPr>
            </w:pPr>
            <w:r>
              <w:rPr>
                <w:sz w:val="26"/>
                <w:szCs w:val="26"/>
              </w:rPr>
              <w:t xml:space="preserve">Ņemot vērā citu valstu pieredzi, piemēram, </w:t>
            </w:r>
            <w:r w:rsidRPr="00A34262">
              <w:rPr>
                <w:i/>
                <w:sz w:val="26"/>
                <w:szCs w:val="26"/>
              </w:rPr>
              <w:t>INVEGA</w:t>
            </w:r>
            <w:r>
              <w:rPr>
                <w:sz w:val="26"/>
                <w:szCs w:val="26"/>
              </w:rPr>
              <w:t xml:space="preserve"> Lietuvā,  </w:t>
            </w:r>
            <w:r w:rsidRPr="00E442F3">
              <w:rPr>
                <w:i/>
                <w:sz w:val="26"/>
                <w:szCs w:val="26"/>
              </w:rPr>
              <w:t>PMV</w:t>
            </w:r>
            <w:r>
              <w:rPr>
                <w:sz w:val="26"/>
                <w:szCs w:val="26"/>
              </w:rPr>
              <w:t xml:space="preserve"> Beļģijā, </w:t>
            </w:r>
            <w:r w:rsidR="00FB3732">
              <w:rPr>
                <w:sz w:val="26"/>
                <w:szCs w:val="26"/>
              </w:rPr>
              <w:t>EM</w:t>
            </w:r>
            <w:r>
              <w:rPr>
                <w:sz w:val="26"/>
                <w:szCs w:val="26"/>
              </w:rPr>
              <w:t xml:space="preserve"> ierosina veikt grozījumus MK noteikumu Nr.537 22.2.</w:t>
            </w:r>
            <w:r w:rsidR="000710AE">
              <w:rPr>
                <w:sz w:val="26"/>
                <w:szCs w:val="26"/>
              </w:rPr>
              <w:t>apakš</w:t>
            </w:r>
            <w:r>
              <w:rPr>
                <w:sz w:val="26"/>
                <w:szCs w:val="26"/>
              </w:rPr>
              <w:t>punktā un darboties saskaņā ar principu kā individuālo garantiju programmā</w:t>
            </w:r>
            <w:r w:rsidR="005B13F0">
              <w:rPr>
                <w:sz w:val="26"/>
                <w:szCs w:val="26"/>
              </w:rPr>
              <w:t xml:space="preserve"> </w:t>
            </w:r>
            <w:r w:rsidR="00FB3732">
              <w:rPr>
                <w:sz w:val="26"/>
                <w:szCs w:val="26"/>
              </w:rPr>
              <w:t>-</w:t>
            </w:r>
            <w:r>
              <w:rPr>
                <w:sz w:val="26"/>
                <w:szCs w:val="26"/>
              </w:rPr>
              <w:t xml:space="preserve"> kredītiestādes piedziņas procesā atgūst zaudējumus no neatmaksātajiem aizdevumiem un atbilstoši </w:t>
            </w:r>
            <w:r w:rsidRPr="00A34262">
              <w:rPr>
                <w:i/>
                <w:sz w:val="26"/>
                <w:szCs w:val="26"/>
              </w:rPr>
              <w:t>pari-passu</w:t>
            </w:r>
            <w:r>
              <w:rPr>
                <w:sz w:val="26"/>
                <w:szCs w:val="26"/>
              </w:rPr>
              <w:t xml:space="preserve"> principam atgūto summu sadala starp sabiedrību Altum un kredītiestādi. Proti, nevis prognozēt neatmaksātos zaudējumus atbilstoši vēsturiskajam portfelim, kas var radīt nepamatotas priekšrocības kredītiestādēm, bet gan ieņēmumus no neatmaksātajiem zaudējumiem proporcionāli sadalīt.</w:t>
            </w:r>
          </w:p>
          <w:p w:rsidR="007765FC" w:rsidRDefault="007765FC" w:rsidP="00115B4C">
            <w:pPr>
              <w:pStyle w:val="Default"/>
              <w:spacing w:after="60"/>
              <w:jc w:val="both"/>
              <w:rPr>
                <w:sz w:val="26"/>
                <w:szCs w:val="26"/>
              </w:rPr>
            </w:pPr>
            <w:r>
              <w:rPr>
                <w:sz w:val="26"/>
                <w:szCs w:val="26"/>
              </w:rPr>
              <w:t>N</w:t>
            </w:r>
            <w:r w:rsidRPr="004F4785">
              <w:rPr>
                <w:sz w:val="26"/>
                <w:szCs w:val="26"/>
              </w:rPr>
              <w:t>eatmaksāto zaudējumu atgūšanas likmi (</w:t>
            </w:r>
            <w:r w:rsidRPr="005A41FB">
              <w:rPr>
                <w:i/>
                <w:sz w:val="26"/>
                <w:szCs w:val="26"/>
              </w:rPr>
              <w:t>recovery rate</w:t>
            </w:r>
            <w:r w:rsidRPr="004F4785">
              <w:rPr>
                <w:sz w:val="26"/>
                <w:szCs w:val="26"/>
              </w:rPr>
              <w:t>)</w:t>
            </w:r>
            <w:r>
              <w:rPr>
                <w:sz w:val="26"/>
                <w:szCs w:val="26"/>
              </w:rPr>
              <w:t xml:space="preserve"> saviem produktiem izmanto EIF, taču tas ir ļoti laikietilpīgs un sarežģīts process, kas ietver  padziļinātu izpēti un portfeļa analīzi (</w:t>
            </w:r>
            <w:r w:rsidRPr="00115B4C">
              <w:rPr>
                <w:i/>
                <w:sz w:val="26"/>
                <w:szCs w:val="26"/>
              </w:rPr>
              <w:t>due dilligence</w:t>
            </w:r>
            <w:r>
              <w:rPr>
                <w:sz w:val="26"/>
                <w:szCs w:val="26"/>
              </w:rPr>
              <w:t>), tādēļ EM ierosina veikt izmaiņas MK noteikumu nr.537 22.2.</w:t>
            </w:r>
            <w:r w:rsidR="000710AE">
              <w:rPr>
                <w:sz w:val="26"/>
                <w:szCs w:val="26"/>
              </w:rPr>
              <w:t>apakš</w:t>
            </w:r>
            <w:r>
              <w:rPr>
                <w:sz w:val="26"/>
                <w:szCs w:val="26"/>
              </w:rPr>
              <w:t xml:space="preserve">punktā un noteikt, ka </w:t>
            </w:r>
            <w:r w:rsidRPr="00DC7621">
              <w:rPr>
                <w:sz w:val="26"/>
                <w:szCs w:val="26"/>
              </w:rPr>
              <w:t xml:space="preserve"> kredītiestādes ierobežot</w:t>
            </w:r>
            <w:r>
              <w:rPr>
                <w:sz w:val="26"/>
                <w:szCs w:val="26"/>
              </w:rPr>
              <w:t>o</w:t>
            </w:r>
            <w:r w:rsidRPr="00DC7621">
              <w:rPr>
                <w:sz w:val="26"/>
                <w:szCs w:val="26"/>
              </w:rPr>
              <w:t xml:space="preserve"> garantijas likmi </w:t>
            </w:r>
            <w:r>
              <w:rPr>
                <w:sz w:val="26"/>
                <w:szCs w:val="26"/>
              </w:rPr>
              <w:t xml:space="preserve">nosaka, </w:t>
            </w:r>
            <w:r w:rsidRPr="00DC7621">
              <w:rPr>
                <w:sz w:val="26"/>
                <w:szCs w:val="26"/>
              </w:rPr>
              <w:t>ņemot vērā plānoto</w:t>
            </w:r>
            <w:r>
              <w:rPr>
                <w:sz w:val="26"/>
                <w:szCs w:val="26"/>
              </w:rPr>
              <w:t>s</w:t>
            </w:r>
            <w:r w:rsidRPr="00DC7621">
              <w:rPr>
                <w:sz w:val="26"/>
                <w:szCs w:val="26"/>
              </w:rPr>
              <w:t xml:space="preserve"> aizdevumu portfeļa </w:t>
            </w:r>
            <w:r>
              <w:rPr>
                <w:sz w:val="26"/>
                <w:szCs w:val="26"/>
              </w:rPr>
              <w:t xml:space="preserve">nosacījumus. </w:t>
            </w:r>
          </w:p>
          <w:p w:rsidR="007765FC" w:rsidRDefault="007765FC" w:rsidP="00115B4C">
            <w:pPr>
              <w:pStyle w:val="Default"/>
              <w:spacing w:after="60"/>
              <w:jc w:val="both"/>
              <w:rPr>
                <w:sz w:val="26"/>
                <w:szCs w:val="26"/>
              </w:rPr>
            </w:pPr>
            <w:r>
              <w:rPr>
                <w:sz w:val="26"/>
                <w:szCs w:val="26"/>
              </w:rPr>
              <w:t>Kredītiestādes piedalīsies sabiedrības Altum organizētajā atlasē, un piedāvājumā norādīs, par cik samazinās aizdevumu procentu likmi, tādējādi kredītiestāde, kas vairāk samazinās aizdevumu procentu likmi, iegūs augstāku vērtējumu atlasē. Procentu likmes samazinājums tiks noteikts sadarbības līgumā, kas tiks noslēgts starp sabiedrību Altum un kredītiestādi</w:t>
            </w:r>
            <w:r w:rsidR="00FB3732">
              <w:rPr>
                <w:sz w:val="26"/>
                <w:szCs w:val="26"/>
              </w:rPr>
              <w:t xml:space="preserve"> un sabiedrība Altum</w:t>
            </w:r>
            <w:r w:rsidR="00640D46">
              <w:rPr>
                <w:sz w:val="26"/>
                <w:szCs w:val="26"/>
              </w:rPr>
              <w:t xml:space="preserve"> šo nosacījumu</w:t>
            </w:r>
            <w:r w:rsidR="00FB3732">
              <w:rPr>
                <w:sz w:val="26"/>
                <w:szCs w:val="26"/>
              </w:rPr>
              <w:t xml:space="preserve"> uzraudzīs</w:t>
            </w:r>
            <w:r w:rsidR="00640D46">
              <w:rPr>
                <w:sz w:val="26"/>
                <w:szCs w:val="26"/>
              </w:rPr>
              <w:t xml:space="preserve">, </w:t>
            </w:r>
            <w:r>
              <w:rPr>
                <w:sz w:val="26"/>
                <w:szCs w:val="26"/>
              </w:rPr>
              <w:t xml:space="preserve">veicot ceturkšņa izlases pārbaudes. Pirms garantijas kompensācijas izmaksas, </w:t>
            </w:r>
            <w:r>
              <w:rPr>
                <w:sz w:val="26"/>
                <w:szCs w:val="26"/>
              </w:rPr>
              <w:lastRenderedPageBreak/>
              <w:t xml:space="preserve">Sabiedrība Altum veiks 100%  darījumu atbilstības līguma nosacījumiem pārbaudi. </w:t>
            </w:r>
          </w:p>
          <w:p w:rsidR="007765FC" w:rsidRPr="00BB08DA" w:rsidRDefault="007765FC" w:rsidP="00115B4C">
            <w:pPr>
              <w:pStyle w:val="Default"/>
              <w:spacing w:after="60"/>
              <w:jc w:val="both"/>
              <w:rPr>
                <w:sz w:val="26"/>
                <w:szCs w:val="26"/>
              </w:rPr>
            </w:pPr>
            <w:r>
              <w:rPr>
                <w:sz w:val="26"/>
                <w:szCs w:val="26"/>
              </w:rPr>
              <w:t>Papildus jānorāda, ka s</w:t>
            </w:r>
            <w:r w:rsidRPr="00536AE9">
              <w:rPr>
                <w:sz w:val="26"/>
                <w:szCs w:val="26"/>
              </w:rPr>
              <w:t>askaņā ar Eiropas Komisijas 2014. gada 3.marta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 480/2014) 7.panta 1. un 2.punktu, struktūrai, kas īsteno fondu, ir jāatbilst regulā noteiktajām minimālajām prasībām. 2015.gada 26.jūnijā EM sadarbībā ar Finanšu ministriju uzsāka sabiedrības Altum a</w:t>
            </w:r>
            <w:r w:rsidRPr="00FF4FA2">
              <w:rPr>
                <w:sz w:val="26"/>
                <w:szCs w:val="26"/>
              </w:rPr>
              <w:t xml:space="preserve">tbilstības novērtējuma pārbaudi un to pabeidza 2016.gada </w:t>
            </w:r>
            <w:r>
              <w:rPr>
                <w:sz w:val="26"/>
                <w:szCs w:val="26"/>
              </w:rPr>
              <w:t>3.</w:t>
            </w:r>
            <w:r w:rsidRPr="00FF4FA2">
              <w:rPr>
                <w:sz w:val="26"/>
                <w:szCs w:val="26"/>
              </w:rPr>
              <w:t xml:space="preserve"> </w:t>
            </w:r>
            <w:r>
              <w:rPr>
                <w:sz w:val="26"/>
                <w:szCs w:val="26"/>
              </w:rPr>
              <w:t>maijā.  Tādējādi sabiedrība Altum tika atzīta par atbilstošu Regulas Nr.480/2014 7.panta un 1.un 2.punkta prasībām ir  svītrojams MK noteikumu nr.537 18.punkts.</w:t>
            </w:r>
          </w:p>
          <w:p w:rsidR="007765FC" w:rsidRDefault="007765FC" w:rsidP="00115B4C">
            <w:pPr>
              <w:pStyle w:val="Default"/>
              <w:spacing w:after="60"/>
              <w:jc w:val="both"/>
              <w:rPr>
                <w:sz w:val="26"/>
                <w:szCs w:val="26"/>
              </w:rPr>
            </w:pPr>
          </w:p>
          <w:p w:rsidR="007765FC" w:rsidRDefault="007765FC" w:rsidP="00115B4C">
            <w:pPr>
              <w:pStyle w:val="Default"/>
              <w:spacing w:after="60"/>
              <w:jc w:val="both"/>
              <w:rPr>
                <w:i/>
                <w:sz w:val="26"/>
                <w:szCs w:val="26"/>
              </w:rPr>
            </w:pPr>
            <w:r>
              <w:rPr>
                <w:i/>
                <w:sz w:val="26"/>
                <w:szCs w:val="26"/>
              </w:rPr>
              <w:t xml:space="preserve">Garantijas </w:t>
            </w:r>
            <w:r w:rsidRPr="0034051B">
              <w:rPr>
                <w:i/>
                <w:sz w:val="26"/>
                <w:szCs w:val="26"/>
              </w:rPr>
              <w:t>likme</w:t>
            </w:r>
          </w:p>
          <w:p w:rsidR="00640D46" w:rsidRDefault="007765FC" w:rsidP="00115B4C">
            <w:pPr>
              <w:pStyle w:val="Default"/>
              <w:spacing w:after="60"/>
              <w:jc w:val="both"/>
              <w:rPr>
                <w:sz w:val="26"/>
                <w:szCs w:val="26"/>
              </w:rPr>
            </w:pPr>
            <w:r w:rsidRPr="00DE67AF">
              <w:rPr>
                <w:sz w:val="26"/>
                <w:szCs w:val="26"/>
              </w:rPr>
              <w:t xml:space="preserve">LKA ierosina MK noteikumu </w:t>
            </w:r>
            <w:r>
              <w:rPr>
                <w:sz w:val="26"/>
                <w:szCs w:val="26"/>
              </w:rPr>
              <w:t>N</w:t>
            </w:r>
            <w:r w:rsidRPr="00DE67AF">
              <w:rPr>
                <w:sz w:val="26"/>
                <w:szCs w:val="26"/>
              </w:rPr>
              <w:t>r.53</w:t>
            </w:r>
            <w:r>
              <w:rPr>
                <w:sz w:val="26"/>
                <w:szCs w:val="26"/>
              </w:rPr>
              <w:t>7</w:t>
            </w:r>
            <w:r w:rsidRPr="00DE67AF">
              <w:rPr>
                <w:sz w:val="26"/>
                <w:szCs w:val="26"/>
              </w:rPr>
              <w:t xml:space="preserve"> 11.punktā norādīto garantijas likmi palielināt līdz </w:t>
            </w:r>
            <w:r>
              <w:rPr>
                <w:sz w:val="26"/>
                <w:szCs w:val="26"/>
              </w:rPr>
              <w:t>8</w:t>
            </w:r>
            <w:r w:rsidRPr="00DE67AF">
              <w:rPr>
                <w:sz w:val="26"/>
                <w:szCs w:val="26"/>
              </w:rPr>
              <w:t xml:space="preserve">0% kā MK noteikumos nr.997. </w:t>
            </w:r>
            <w:r>
              <w:rPr>
                <w:sz w:val="26"/>
                <w:szCs w:val="26"/>
              </w:rPr>
              <w:t xml:space="preserve">EM atbalsta šādu priekšlikumu un garantijas likmju salāgošanu visās garantiju programmās un to pieļauj </w:t>
            </w:r>
            <w:r w:rsidR="00640D46" w:rsidRPr="00FF4FA2">
              <w:rPr>
                <w:sz w:val="26"/>
                <w:szCs w:val="26"/>
              </w:rPr>
              <w:t xml:space="preserve"> Komisijas paziņojums par EK līguma 87. un 88.panta piemērošanu valsts atbalstam </w:t>
            </w:r>
            <w:r w:rsidR="00640D46">
              <w:rPr>
                <w:sz w:val="26"/>
                <w:szCs w:val="26"/>
              </w:rPr>
              <w:t>garantiju veidā (2008/C 155/02).</w:t>
            </w:r>
          </w:p>
          <w:p w:rsidR="007765FC" w:rsidRDefault="007765FC" w:rsidP="00115B4C">
            <w:pPr>
              <w:pStyle w:val="Default"/>
              <w:spacing w:after="60"/>
              <w:jc w:val="both"/>
              <w:rPr>
                <w:i/>
                <w:sz w:val="26"/>
                <w:szCs w:val="26"/>
              </w:rPr>
            </w:pPr>
          </w:p>
          <w:p w:rsidR="007765FC" w:rsidRPr="0034051B" w:rsidRDefault="007765FC" w:rsidP="00115B4C">
            <w:pPr>
              <w:pStyle w:val="Default"/>
              <w:spacing w:after="60"/>
              <w:jc w:val="both"/>
              <w:rPr>
                <w:i/>
                <w:sz w:val="26"/>
                <w:szCs w:val="26"/>
              </w:rPr>
            </w:pPr>
            <w:r w:rsidRPr="0034051B">
              <w:rPr>
                <w:i/>
                <w:sz w:val="26"/>
                <w:szCs w:val="26"/>
              </w:rPr>
              <w:t>Ierobežotā gara</w:t>
            </w:r>
            <w:r>
              <w:rPr>
                <w:i/>
                <w:sz w:val="26"/>
                <w:szCs w:val="26"/>
              </w:rPr>
              <w:t>n</w:t>
            </w:r>
            <w:r w:rsidRPr="0034051B">
              <w:rPr>
                <w:i/>
                <w:sz w:val="26"/>
                <w:szCs w:val="26"/>
              </w:rPr>
              <w:t>tijas likme</w:t>
            </w:r>
          </w:p>
          <w:p w:rsidR="007765FC" w:rsidRDefault="007765FC" w:rsidP="00115B4C">
            <w:pPr>
              <w:pStyle w:val="Default"/>
              <w:spacing w:after="60"/>
              <w:jc w:val="both"/>
              <w:rPr>
                <w:sz w:val="26"/>
                <w:szCs w:val="26"/>
              </w:rPr>
            </w:pPr>
            <w:r>
              <w:rPr>
                <w:sz w:val="26"/>
                <w:szCs w:val="26"/>
              </w:rPr>
              <w:t xml:space="preserve">MK noteikumu Nr.537 </w:t>
            </w:r>
            <w:r w:rsidRPr="0034051B">
              <w:rPr>
                <w:sz w:val="26"/>
                <w:szCs w:val="26"/>
              </w:rPr>
              <w:t>4.7.</w:t>
            </w:r>
            <w:r w:rsidR="000710AE">
              <w:rPr>
                <w:sz w:val="26"/>
                <w:szCs w:val="26"/>
              </w:rPr>
              <w:t>apakš</w:t>
            </w:r>
            <w:r w:rsidRPr="0034051B">
              <w:rPr>
                <w:sz w:val="26"/>
                <w:szCs w:val="26"/>
              </w:rPr>
              <w:t>punkts nosaka, ka “</w:t>
            </w:r>
            <w:r>
              <w:rPr>
                <w:sz w:val="26"/>
                <w:szCs w:val="26"/>
              </w:rPr>
              <w:t>i</w:t>
            </w:r>
            <w:r w:rsidRPr="0034051B">
              <w:rPr>
                <w:sz w:val="26"/>
                <w:szCs w:val="26"/>
              </w:rPr>
              <w:t>erobežoto garantijas summu aprēķina kā kredītiestādes aizdevumu portfeļa (maksimāli izmaksāto finanšu pakalpojumu summa), garantijas likmes un ierobežotās garantijas likmes reizinājumu</w:t>
            </w:r>
            <w:r>
              <w:rPr>
                <w:sz w:val="26"/>
                <w:szCs w:val="26"/>
              </w:rPr>
              <w:t xml:space="preserve">. Atbilstoši MK noteikumu Nr.537 pašreizējai versijai: aizdevuma portfelis*70%*20%. </w:t>
            </w:r>
          </w:p>
          <w:p w:rsidR="007765FC" w:rsidRDefault="007765FC" w:rsidP="00115B4C">
            <w:pPr>
              <w:pStyle w:val="Default"/>
              <w:spacing w:after="60"/>
              <w:jc w:val="both"/>
              <w:rPr>
                <w:sz w:val="26"/>
                <w:szCs w:val="26"/>
              </w:rPr>
            </w:pPr>
            <w:r>
              <w:rPr>
                <w:sz w:val="26"/>
                <w:szCs w:val="26"/>
              </w:rPr>
              <w:t xml:space="preserve">Ņemot vērā LKA iebildumus, EM rosina grozīt MK noteikumus Nr.537, palielinot garantijas apmēru līdz 80% (skatīt iepriekšējo rindkopu) un samazinot ierobežotās garantijas likmi no </w:t>
            </w:r>
            <w:r w:rsidRPr="00115F01">
              <w:rPr>
                <w:sz w:val="26"/>
                <w:szCs w:val="26"/>
              </w:rPr>
              <w:t>20% uz 17.5%.</w:t>
            </w:r>
            <w:r>
              <w:rPr>
                <w:sz w:val="26"/>
                <w:szCs w:val="26"/>
              </w:rPr>
              <w:t xml:space="preserve"> Šādu izmaiņu rezultātā nemainās plānotais kredītiestāžu aizdevumu portfelis un kredītportfeļa maksimālā zaudējumu summa, bet palielinās garantētais portfelis no 35 milj. </w:t>
            </w:r>
            <w:r w:rsidRPr="00EA7E9D">
              <w:rPr>
                <w:i/>
                <w:sz w:val="26"/>
                <w:szCs w:val="26"/>
              </w:rPr>
              <w:t>euro</w:t>
            </w:r>
            <w:r>
              <w:rPr>
                <w:sz w:val="26"/>
                <w:szCs w:val="26"/>
              </w:rPr>
              <w:t xml:space="preserve"> uz 40 milj.</w:t>
            </w:r>
            <w:r w:rsidRPr="00EA7E9D">
              <w:rPr>
                <w:i/>
                <w:sz w:val="26"/>
                <w:szCs w:val="26"/>
              </w:rPr>
              <w:t>euro</w:t>
            </w:r>
            <w:r>
              <w:rPr>
                <w:sz w:val="26"/>
                <w:szCs w:val="26"/>
              </w:rPr>
              <w:t xml:space="preserve">. </w:t>
            </w:r>
          </w:p>
          <w:p w:rsidR="007765FC" w:rsidRDefault="007765FC" w:rsidP="00115B4C">
            <w:pPr>
              <w:pStyle w:val="Default"/>
              <w:spacing w:after="60"/>
              <w:jc w:val="both"/>
              <w:rPr>
                <w:sz w:val="26"/>
                <w:szCs w:val="26"/>
              </w:rPr>
            </w:pPr>
          </w:p>
          <w:p w:rsidR="007765FC" w:rsidRPr="00640D46" w:rsidRDefault="007765FC" w:rsidP="00115B4C">
            <w:pPr>
              <w:pStyle w:val="Default"/>
              <w:spacing w:after="60"/>
              <w:jc w:val="both"/>
              <w:rPr>
                <w:i/>
                <w:sz w:val="26"/>
                <w:szCs w:val="26"/>
              </w:rPr>
            </w:pPr>
            <w:r w:rsidRPr="00640D46">
              <w:rPr>
                <w:i/>
                <w:sz w:val="26"/>
                <w:szCs w:val="26"/>
              </w:rPr>
              <w:t>Programmas rādītāju novērtējums</w:t>
            </w:r>
          </w:p>
          <w:p w:rsidR="007765FC" w:rsidRPr="002E481B" w:rsidRDefault="007765FC" w:rsidP="00115B4C">
            <w:pPr>
              <w:pStyle w:val="Default"/>
              <w:spacing w:after="60"/>
              <w:jc w:val="both"/>
              <w:rPr>
                <w:sz w:val="26"/>
                <w:szCs w:val="26"/>
              </w:rPr>
            </w:pPr>
            <w:r w:rsidRPr="00640D46">
              <w:rPr>
                <w:sz w:val="26"/>
                <w:szCs w:val="26"/>
              </w:rPr>
              <w:t xml:space="preserve">Noteikumu grozījumu rezultātā nemainīsies kredītiestādes aizdevumu portfeļa maksimālā zaudējuma summa, jo garantijas likme tiks paaugstināta, bet ierobežotā garantijas likme </w:t>
            </w:r>
            <w:r w:rsidRPr="00640D46">
              <w:rPr>
                <w:sz w:val="26"/>
                <w:szCs w:val="26"/>
              </w:rPr>
              <w:lastRenderedPageBreak/>
              <w:t xml:space="preserve">proporcionāli </w:t>
            </w:r>
            <w:r w:rsidRPr="00640D46">
              <w:rPr>
                <w:sz w:val="26"/>
                <w:szCs w:val="26"/>
              </w:rPr>
              <w:t xml:space="preserve">samazināta. Sabiedrība Altum pārskatīs  programmas ietekmes, risku un sagaidāmo zaudējumu, finansiālo rezultātu izvērtējamu saskaņā ar </w:t>
            </w:r>
            <w:r w:rsidR="001B7B83" w:rsidRPr="001B7B83">
              <w:rPr>
                <w:color w:val="auto"/>
                <w:sz w:val="26"/>
                <w:szCs w:val="26"/>
                <w:shd w:val="clear" w:color="000000" w:fill="FFFFFF"/>
              </w:rPr>
              <w:t xml:space="preserve"> </w:t>
            </w:r>
            <w:r w:rsidR="001B7B83" w:rsidRPr="001B7B83">
              <w:rPr>
                <w:sz w:val="26"/>
                <w:szCs w:val="26"/>
              </w:rPr>
              <w:t>Attīst</w:t>
            </w:r>
            <w:r w:rsidR="001B7B83">
              <w:rPr>
                <w:sz w:val="26"/>
                <w:szCs w:val="26"/>
              </w:rPr>
              <w:t xml:space="preserve">ības finanšu institūcijas </w:t>
            </w:r>
            <w:r w:rsidRPr="00640D46">
              <w:rPr>
                <w:sz w:val="26"/>
                <w:szCs w:val="26"/>
              </w:rPr>
              <w:t xml:space="preserve"> likuma 12.panta </w:t>
            </w:r>
            <w:r w:rsidR="001B7B83" w:rsidRPr="00640D46">
              <w:rPr>
                <w:sz w:val="26"/>
                <w:szCs w:val="26"/>
              </w:rPr>
              <w:t>treš</w:t>
            </w:r>
            <w:r w:rsidR="001B7B83">
              <w:rPr>
                <w:sz w:val="26"/>
                <w:szCs w:val="26"/>
              </w:rPr>
              <w:t>o</w:t>
            </w:r>
            <w:r w:rsidR="001B7B83" w:rsidRPr="00640D46">
              <w:rPr>
                <w:sz w:val="26"/>
                <w:szCs w:val="26"/>
              </w:rPr>
              <w:t xml:space="preserve"> </w:t>
            </w:r>
            <w:r w:rsidRPr="00640D46">
              <w:rPr>
                <w:sz w:val="26"/>
                <w:szCs w:val="26"/>
              </w:rPr>
              <w:t>daļu un nepieciešamības gadījumā to sagatavos līdz šo noteikumu projekta iesniegšanai Ministru kabinetā.</w:t>
            </w:r>
            <w:r>
              <w:rPr>
                <w:sz w:val="26"/>
                <w:szCs w:val="26"/>
              </w:rPr>
              <w:t xml:space="preserve"> </w:t>
            </w:r>
          </w:p>
        </w:tc>
      </w:tr>
      <w:tr w:rsidR="007765FC" w:rsidRPr="002E481B" w:rsidTr="00115B4C">
        <w:tc>
          <w:tcPr>
            <w:tcW w:w="565" w:type="dxa"/>
            <w:tcBorders>
              <w:top w:val="single" w:sz="4" w:space="0" w:color="000000"/>
              <w:left w:val="single" w:sz="4" w:space="0" w:color="000000"/>
              <w:bottom w:val="single" w:sz="4" w:space="0" w:color="000000"/>
              <w:right w:val="single" w:sz="4" w:space="0" w:color="000000"/>
            </w:tcBorders>
            <w:shd w:val="clear" w:color="000000" w:fill="auto"/>
          </w:tcPr>
          <w:p w:rsidR="007765FC" w:rsidRPr="002E481B" w:rsidRDefault="007765FC" w:rsidP="00115B4C">
            <w:pPr>
              <w:jc w:val="center"/>
              <w:rPr>
                <w:sz w:val="26"/>
                <w:szCs w:val="26"/>
              </w:rPr>
            </w:pPr>
            <w:r w:rsidRPr="002E481B">
              <w:rPr>
                <w:sz w:val="26"/>
                <w:szCs w:val="26"/>
              </w:rPr>
              <w:lastRenderedPageBreak/>
              <w:t>3.</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rsidR="007765FC" w:rsidRPr="002E481B" w:rsidRDefault="007765FC" w:rsidP="00115B4C">
            <w:pPr>
              <w:rPr>
                <w:sz w:val="26"/>
                <w:szCs w:val="26"/>
              </w:rPr>
            </w:pPr>
            <w:r w:rsidRPr="002E481B">
              <w:rPr>
                <w:sz w:val="26"/>
                <w:szCs w:val="26"/>
              </w:rPr>
              <w:t>Projekta izstrādē iesaistītās institūcijas</w:t>
            </w:r>
          </w:p>
        </w:tc>
        <w:tc>
          <w:tcPr>
            <w:tcW w:w="6845" w:type="dxa"/>
            <w:tcBorders>
              <w:top w:val="single" w:sz="4" w:space="0" w:color="000000"/>
              <w:left w:val="single" w:sz="4" w:space="0" w:color="000000"/>
              <w:bottom w:val="single" w:sz="4" w:space="0" w:color="000000"/>
              <w:right w:val="single" w:sz="4" w:space="0" w:color="000000"/>
            </w:tcBorders>
            <w:shd w:val="clear" w:color="000000" w:fill="auto"/>
          </w:tcPr>
          <w:p w:rsidR="007765FC" w:rsidRPr="002E481B" w:rsidRDefault="007765FC" w:rsidP="00115B4C">
            <w:pPr>
              <w:spacing w:after="120"/>
              <w:jc w:val="both"/>
              <w:rPr>
                <w:sz w:val="26"/>
                <w:szCs w:val="26"/>
              </w:rPr>
            </w:pPr>
            <w:r w:rsidRPr="002E481B">
              <w:rPr>
                <w:sz w:val="26"/>
                <w:szCs w:val="26"/>
              </w:rPr>
              <w:t>Ekonomikas ministrija</w:t>
            </w:r>
            <w:r>
              <w:rPr>
                <w:sz w:val="26"/>
                <w:szCs w:val="26"/>
              </w:rPr>
              <w:t xml:space="preserve">, </w:t>
            </w:r>
            <w:r w:rsidRPr="002E481B">
              <w:rPr>
                <w:sz w:val="26"/>
                <w:szCs w:val="26"/>
              </w:rPr>
              <w:t xml:space="preserve"> </w:t>
            </w:r>
            <w:r>
              <w:rPr>
                <w:sz w:val="26"/>
                <w:szCs w:val="26"/>
              </w:rPr>
              <w:t>sabiedrība</w:t>
            </w:r>
            <w:r w:rsidRPr="002E481B">
              <w:rPr>
                <w:sz w:val="26"/>
                <w:szCs w:val="26"/>
              </w:rPr>
              <w:t xml:space="preserve"> </w:t>
            </w:r>
            <w:r>
              <w:rPr>
                <w:sz w:val="26"/>
                <w:szCs w:val="26"/>
              </w:rPr>
              <w:t>Altum</w:t>
            </w:r>
            <w:r w:rsidR="00963676">
              <w:rPr>
                <w:sz w:val="26"/>
                <w:szCs w:val="26"/>
              </w:rPr>
              <w:t>, Latvijas Komercbanku asociācija.</w:t>
            </w:r>
          </w:p>
        </w:tc>
      </w:tr>
      <w:tr w:rsidR="007765FC" w:rsidRPr="002E481B" w:rsidTr="00115B4C">
        <w:tc>
          <w:tcPr>
            <w:tcW w:w="565" w:type="dxa"/>
            <w:tcBorders>
              <w:top w:val="single" w:sz="4" w:space="0" w:color="000000"/>
              <w:left w:val="single" w:sz="4" w:space="0" w:color="000000"/>
              <w:bottom w:val="single" w:sz="4" w:space="0" w:color="000000"/>
              <w:right w:val="single" w:sz="4" w:space="0" w:color="000000"/>
            </w:tcBorders>
            <w:shd w:val="clear" w:color="000000" w:fill="auto"/>
          </w:tcPr>
          <w:p w:rsidR="007765FC" w:rsidRPr="002E481B" w:rsidRDefault="007765FC" w:rsidP="00115B4C">
            <w:pPr>
              <w:jc w:val="center"/>
              <w:rPr>
                <w:sz w:val="26"/>
                <w:szCs w:val="26"/>
              </w:rPr>
            </w:pPr>
            <w:r w:rsidRPr="002E481B">
              <w:rPr>
                <w:sz w:val="26"/>
                <w:szCs w:val="26"/>
              </w:rPr>
              <w:t>4.</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rsidR="007765FC" w:rsidRPr="002E481B" w:rsidRDefault="007765FC" w:rsidP="00115B4C">
            <w:pPr>
              <w:rPr>
                <w:sz w:val="26"/>
                <w:szCs w:val="26"/>
              </w:rPr>
            </w:pPr>
            <w:r w:rsidRPr="002E481B">
              <w:rPr>
                <w:sz w:val="26"/>
                <w:szCs w:val="26"/>
              </w:rPr>
              <w:t>Cita informācija</w:t>
            </w:r>
          </w:p>
        </w:tc>
        <w:tc>
          <w:tcPr>
            <w:tcW w:w="6845" w:type="dxa"/>
            <w:tcBorders>
              <w:top w:val="single" w:sz="4" w:space="0" w:color="000000"/>
              <w:left w:val="single" w:sz="4" w:space="0" w:color="000000"/>
              <w:bottom w:val="single" w:sz="4" w:space="0" w:color="000000"/>
              <w:right w:val="single" w:sz="4" w:space="0" w:color="000000"/>
            </w:tcBorders>
            <w:shd w:val="clear" w:color="000000" w:fill="FFFFFF"/>
          </w:tcPr>
          <w:p w:rsidR="007765FC" w:rsidRPr="002E481B" w:rsidRDefault="007765FC" w:rsidP="00115B4C">
            <w:pPr>
              <w:rPr>
                <w:sz w:val="26"/>
                <w:szCs w:val="26"/>
              </w:rPr>
            </w:pPr>
            <w:r w:rsidRPr="002E481B">
              <w:rPr>
                <w:sz w:val="26"/>
                <w:szCs w:val="26"/>
              </w:rPr>
              <w:t>Nav.</w:t>
            </w:r>
          </w:p>
        </w:tc>
      </w:tr>
    </w:tbl>
    <w:p w:rsidR="00963676" w:rsidRDefault="00963676" w:rsidP="00577814">
      <w:pPr>
        <w:jc w:val="both"/>
        <w:rPr>
          <w:rFonts w:eastAsia="PMingLiU"/>
          <w:lang w:eastAsia="ja-JP"/>
        </w:rPr>
      </w:pPr>
    </w:p>
    <w:p w:rsidR="00963676" w:rsidRPr="00963676" w:rsidRDefault="00963676" w:rsidP="00963676">
      <w:pPr>
        <w:rPr>
          <w:rFonts w:eastAsia="PMingLiU"/>
          <w:lang w:eastAsia="ja-JP"/>
        </w:rPr>
      </w:pPr>
    </w:p>
    <w:p w:rsidR="00963676" w:rsidRPr="00963676" w:rsidRDefault="00963676" w:rsidP="00963676">
      <w:pPr>
        <w:rPr>
          <w:rFonts w:eastAsia="PMingLiU"/>
          <w:lang w:eastAsia="ja-JP"/>
        </w:rPr>
      </w:pPr>
    </w:p>
    <w:p w:rsidR="00963676" w:rsidRPr="00963676" w:rsidRDefault="00963676" w:rsidP="00963676">
      <w:pPr>
        <w:rPr>
          <w:rFonts w:eastAsia="PMingLiU"/>
          <w:lang w:eastAsia="ja-JP"/>
        </w:rPr>
      </w:pPr>
    </w:p>
    <w:p w:rsidR="00963676" w:rsidRPr="00963676" w:rsidRDefault="00963676" w:rsidP="00963676">
      <w:pPr>
        <w:rPr>
          <w:rFonts w:eastAsia="PMingLiU"/>
          <w:lang w:eastAsia="ja-JP"/>
        </w:rPr>
      </w:pPr>
    </w:p>
    <w:p w:rsidR="00963676" w:rsidRPr="00963676" w:rsidRDefault="00963676" w:rsidP="00963676">
      <w:pPr>
        <w:rPr>
          <w:rFonts w:eastAsia="PMingLiU"/>
          <w:lang w:eastAsia="ja-JP"/>
        </w:rPr>
      </w:pPr>
    </w:p>
    <w:p w:rsidR="00963676" w:rsidRPr="00963676" w:rsidRDefault="00963676" w:rsidP="00963676">
      <w:pPr>
        <w:rPr>
          <w:rFonts w:eastAsia="PMingLiU"/>
          <w:lang w:eastAsia="ja-JP"/>
        </w:rPr>
      </w:pPr>
    </w:p>
    <w:p w:rsidR="00963676" w:rsidRPr="00963676" w:rsidRDefault="00963676" w:rsidP="00963676">
      <w:pPr>
        <w:rPr>
          <w:rFonts w:eastAsia="PMingLiU"/>
          <w:lang w:eastAsia="ja-JP"/>
        </w:rPr>
      </w:pPr>
    </w:p>
    <w:p w:rsidR="00963676" w:rsidRPr="00963676" w:rsidRDefault="00963676" w:rsidP="00963676">
      <w:pPr>
        <w:rPr>
          <w:rFonts w:eastAsia="PMingLiU"/>
          <w:lang w:eastAsia="ja-JP"/>
        </w:rPr>
      </w:pPr>
    </w:p>
    <w:p w:rsidR="00963676" w:rsidRPr="00963676" w:rsidRDefault="00963676" w:rsidP="00963676">
      <w:pPr>
        <w:rPr>
          <w:rFonts w:eastAsia="PMingLiU"/>
          <w:lang w:eastAsia="ja-JP"/>
        </w:rPr>
      </w:pPr>
    </w:p>
    <w:p w:rsidR="00963676" w:rsidRPr="00963676" w:rsidRDefault="00963676" w:rsidP="00963676">
      <w:pPr>
        <w:rPr>
          <w:rFonts w:eastAsia="PMingLiU"/>
          <w:lang w:eastAsia="ja-JP"/>
        </w:rPr>
      </w:pPr>
    </w:p>
    <w:p w:rsidR="00963676" w:rsidRPr="00963676" w:rsidRDefault="00963676" w:rsidP="00963676">
      <w:pPr>
        <w:rPr>
          <w:rFonts w:eastAsia="PMingLiU"/>
          <w:lang w:eastAsia="ja-JP"/>
        </w:rPr>
      </w:pPr>
    </w:p>
    <w:p w:rsidR="00963676" w:rsidRPr="00963676" w:rsidRDefault="00963676" w:rsidP="00963676">
      <w:pPr>
        <w:rPr>
          <w:rFonts w:eastAsia="PMingLiU"/>
          <w:lang w:eastAsia="ja-JP"/>
        </w:rPr>
      </w:pPr>
    </w:p>
    <w:p w:rsidR="00963676" w:rsidRDefault="00963676" w:rsidP="00963676">
      <w:pPr>
        <w:rPr>
          <w:rFonts w:eastAsia="PMingLiU"/>
          <w:lang w:eastAsia="ja-JP"/>
        </w:rPr>
      </w:pPr>
    </w:p>
    <w:p w:rsidR="00963676" w:rsidRDefault="00963676" w:rsidP="00963676">
      <w:pPr>
        <w:rPr>
          <w:rFonts w:eastAsia="PMingLiU"/>
          <w:lang w:eastAsia="ja-JP"/>
        </w:rPr>
      </w:pPr>
    </w:p>
    <w:p w:rsidR="00963676" w:rsidRDefault="00963676" w:rsidP="00963676">
      <w:pPr>
        <w:rPr>
          <w:rFonts w:eastAsia="PMingLiU"/>
          <w:lang w:eastAsia="ja-JP"/>
        </w:rPr>
      </w:pPr>
    </w:p>
    <w:p w:rsidR="00963676" w:rsidRDefault="00963676" w:rsidP="00963676">
      <w:pPr>
        <w:rPr>
          <w:rFonts w:eastAsia="PMingLiU"/>
          <w:lang w:eastAsia="ja-JP"/>
        </w:rPr>
      </w:pPr>
    </w:p>
    <w:tbl>
      <w:tblPr>
        <w:tblpPr w:leftFromText="180" w:rightFromText="180" w:vertAnchor="page" w:horzAnchor="margin" w:tblpY="5881"/>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552"/>
        <w:gridCol w:w="6066"/>
      </w:tblGrid>
      <w:tr w:rsidR="00CB6990" w:rsidRPr="002E481B" w:rsidTr="00CB6990">
        <w:tc>
          <w:tcPr>
            <w:tcW w:w="9180" w:type="dxa"/>
            <w:gridSpan w:val="3"/>
            <w:tcBorders>
              <w:top w:val="single" w:sz="4" w:space="0" w:color="000000"/>
              <w:left w:val="single" w:sz="4" w:space="0" w:color="000000"/>
              <w:bottom w:val="single" w:sz="4" w:space="0" w:color="000000"/>
              <w:right w:val="single" w:sz="4" w:space="0" w:color="000000"/>
            </w:tcBorders>
            <w:shd w:val="clear" w:color="000000" w:fill="auto"/>
          </w:tcPr>
          <w:p w:rsidR="00CB6990" w:rsidRPr="002E481B" w:rsidRDefault="00CB6990" w:rsidP="00CB6990">
            <w:pPr>
              <w:pStyle w:val="ListParagraph"/>
              <w:tabs>
                <w:tab w:val="left" w:pos="2268"/>
                <w:tab w:val="left" w:pos="2410"/>
              </w:tabs>
              <w:ind w:left="1080"/>
              <w:contextualSpacing/>
              <w:jc w:val="center"/>
              <w:rPr>
                <w:rFonts w:ascii="Times New Roman" w:hAnsi="Times New Roman"/>
                <w:b/>
                <w:sz w:val="26"/>
                <w:szCs w:val="26"/>
              </w:rPr>
            </w:pPr>
            <w:r w:rsidRPr="002E481B">
              <w:rPr>
                <w:rFonts w:ascii="Times New Roman" w:hAnsi="Times New Roman"/>
                <w:b/>
                <w:sz w:val="26"/>
                <w:szCs w:val="26"/>
              </w:rPr>
              <w:t>II. Tiesību akta projekta ietekme uz sabiedrību, tautsaimniecības attīstību un administratīvo slogu</w:t>
            </w:r>
          </w:p>
        </w:tc>
      </w:tr>
      <w:tr w:rsidR="00CB6990" w:rsidRPr="002E481B" w:rsidTr="00CB6990">
        <w:tc>
          <w:tcPr>
            <w:tcW w:w="562" w:type="dxa"/>
            <w:tcBorders>
              <w:top w:val="single" w:sz="4" w:space="0" w:color="000000"/>
              <w:left w:val="single" w:sz="4" w:space="0" w:color="000000"/>
              <w:bottom w:val="single" w:sz="4" w:space="0" w:color="000000"/>
              <w:right w:val="single" w:sz="4" w:space="0" w:color="000000"/>
            </w:tcBorders>
            <w:shd w:val="clear" w:color="000000" w:fill="auto"/>
          </w:tcPr>
          <w:p w:rsidR="00CB6990" w:rsidRPr="002E481B" w:rsidRDefault="00CB6990" w:rsidP="00CB6990">
            <w:pPr>
              <w:jc w:val="center"/>
              <w:rPr>
                <w:sz w:val="26"/>
                <w:szCs w:val="26"/>
              </w:rPr>
            </w:pPr>
            <w:r w:rsidRPr="002E481B">
              <w:rPr>
                <w:sz w:val="26"/>
                <w:szCs w:val="26"/>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auto"/>
          </w:tcPr>
          <w:p w:rsidR="00CB6990" w:rsidRPr="002E481B" w:rsidRDefault="00CB6990" w:rsidP="00CB6990">
            <w:pPr>
              <w:rPr>
                <w:sz w:val="26"/>
                <w:szCs w:val="26"/>
              </w:rPr>
            </w:pPr>
            <w:r w:rsidRPr="002E481B">
              <w:rPr>
                <w:sz w:val="26"/>
                <w:szCs w:val="26"/>
              </w:rPr>
              <w:t>Sabiedrības mērķgrupas, kuras tiesiskais regulējums ietekmē vai varētu ietekmēt</w:t>
            </w:r>
          </w:p>
        </w:tc>
        <w:tc>
          <w:tcPr>
            <w:tcW w:w="6066" w:type="dxa"/>
            <w:tcBorders>
              <w:top w:val="single" w:sz="4" w:space="0" w:color="000000"/>
              <w:left w:val="single" w:sz="4" w:space="0" w:color="000000"/>
              <w:bottom w:val="single" w:sz="4" w:space="0" w:color="000000"/>
              <w:right w:val="single" w:sz="4" w:space="0" w:color="000000"/>
            </w:tcBorders>
            <w:shd w:val="clear" w:color="000000" w:fill="auto"/>
          </w:tcPr>
          <w:p w:rsidR="00CB6990" w:rsidRPr="002E481B" w:rsidRDefault="00CB6990" w:rsidP="00CB6990">
            <w:pPr>
              <w:pStyle w:val="ListParagraph"/>
              <w:tabs>
                <w:tab w:val="left" w:pos="317"/>
              </w:tabs>
              <w:spacing w:before="60" w:after="60"/>
              <w:ind w:left="34"/>
              <w:contextualSpacing/>
              <w:jc w:val="both"/>
              <w:rPr>
                <w:rFonts w:ascii="Times New Roman" w:hAnsi="Times New Roman"/>
                <w:sz w:val="26"/>
                <w:szCs w:val="26"/>
              </w:rPr>
            </w:pPr>
            <w:r w:rsidRPr="002E481B">
              <w:rPr>
                <w:rFonts w:ascii="Times New Roman" w:hAnsi="Times New Roman"/>
                <w:sz w:val="26"/>
                <w:szCs w:val="26"/>
              </w:rPr>
              <w:t>Noteikumu projekta mērķa grupa ir sīkie, mazie un vidējie komersanti.</w:t>
            </w:r>
          </w:p>
        </w:tc>
      </w:tr>
      <w:tr w:rsidR="00CB6990" w:rsidRPr="002E481B" w:rsidTr="00CB6990">
        <w:tc>
          <w:tcPr>
            <w:tcW w:w="562" w:type="dxa"/>
            <w:tcBorders>
              <w:top w:val="single" w:sz="4" w:space="0" w:color="000000"/>
              <w:left w:val="single" w:sz="4" w:space="0" w:color="000000"/>
              <w:bottom w:val="single" w:sz="4" w:space="0" w:color="000000"/>
              <w:right w:val="single" w:sz="4" w:space="0" w:color="000000"/>
            </w:tcBorders>
            <w:shd w:val="clear" w:color="000000" w:fill="auto"/>
          </w:tcPr>
          <w:p w:rsidR="00CB6990" w:rsidRPr="002E481B" w:rsidRDefault="00CB6990" w:rsidP="00CB6990">
            <w:pPr>
              <w:jc w:val="center"/>
              <w:rPr>
                <w:sz w:val="26"/>
                <w:szCs w:val="26"/>
              </w:rPr>
            </w:pPr>
            <w:r w:rsidRPr="002E481B">
              <w:rPr>
                <w:sz w:val="26"/>
                <w:szCs w:val="26"/>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auto"/>
          </w:tcPr>
          <w:p w:rsidR="00CB6990" w:rsidRPr="002E481B" w:rsidRDefault="00CB6990" w:rsidP="00CB6990">
            <w:pPr>
              <w:rPr>
                <w:sz w:val="26"/>
                <w:szCs w:val="26"/>
              </w:rPr>
            </w:pPr>
            <w:r w:rsidRPr="002E481B">
              <w:rPr>
                <w:sz w:val="26"/>
                <w:szCs w:val="26"/>
              </w:rPr>
              <w:t>Tiesiskā regulējuma ietekme uz tautsaimniecību un administratīvo slogu</w:t>
            </w:r>
          </w:p>
        </w:tc>
        <w:tc>
          <w:tcPr>
            <w:tcW w:w="606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B6990" w:rsidRPr="002E481B" w:rsidRDefault="00CB6990" w:rsidP="00CB6990">
            <w:pPr>
              <w:pStyle w:val="ListParagraph"/>
              <w:tabs>
                <w:tab w:val="left" w:pos="317"/>
              </w:tabs>
              <w:spacing w:before="60" w:after="60"/>
              <w:ind w:left="34"/>
              <w:contextualSpacing/>
              <w:jc w:val="both"/>
              <w:rPr>
                <w:rFonts w:ascii="Times New Roman" w:hAnsi="Times New Roman"/>
                <w:sz w:val="26"/>
                <w:szCs w:val="26"/>
              </w:rPr>
            </w:pPr>
            <w:r w:rsidRPr="002E481B">
              <w:rPr>
                <w:rFonts w:ascii="Times New Roman" w:hAnsi="Times New Roman"/>
                <w:sz w:val="26"/>
                <w:szCs w:val="26"/>
              </w:rPr>
              <w:t xml:space="preserve">Noteikumu projekts neparedz ietekmi uz administratīvo slogu. Noteikumu projekta īstenošanu nodrošinās sabiedrība Altum. Noteikumu projekts paredz pozitīvu ietekmi uz tautsaimniecību, jo veicinās kreditēšanu. </w:t>
            </w:r>
          </w:p>
        </w:tc>
      </w:tr>
      <w:tr w:rsidR="00CB6990" w:rsidRPr="002E481B" w:rsidTr="00CB6990">
        <w:tc>
          <w:tcPr>
            <w:tcW w:w="562" w:type="dxa"/>
            <w:tcBorders>
              <w:top w:val="single" w:sz="4" w:space="0" w:color="000000"/>
              <w:left w:val="single" w:sz="4" w:space="0" w:color="000000"/>
              <w:bottom w:val="single" w:sz="4" w:space="0" w:color="000000"/>
              <w:right w:val="single" w:sz="4" w:space="0" w:color="000000"/>
            </w:tcBorders>
            <w:shd w:val="clear" w:color="000000" w:fill="auto"/>
          </w:tcPr>
          <w:p w:rsidR="00CB6990" w:rsidRPr="002E481B" w:rsidRDefault="00CB6990" w:rsidP="00CB6990">
            <w:pPr>
              <w:jc w:val="center"/>
              <w:rPr>
                <w:sz w:val="26"/>
                <w:szCs w:val="26"/>
              </w:rPr>
            </w:pPr>
            <w:r w:rsidRPr="002E481B">
              <w:rPr>
                <w:sz w:val="26"/>
                <w:szCs w:val="26"/>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auto"/>
          </w:tcPr>
          <w:p w:rsidR="00CB6990" w:rsidRPr="002E481B" w:rsidRDefault="00CB6990" w:rsidP="00CB6990">
            <w:pPr>
              <w:rPr>
                <w:sz w:val="26"/>
                <w:szCs w:val="26"/>
              </w:rPr>
            </w:pPr>
            <w:r w:rsidRPr="002E481B">
              <w:rPr>
                <w:sz w:val="26"/>
                <w:szCs w:val="26"/>
              </w:rPr>
              <w:t>Administratīvo izmaksu monetārs novērtējums</w:t>
            </w:r>
          </w:p>
        </w:tc>
        <w:tc>
          <w:tcPr>
            <w:tcW w:w="606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B6990" w:rsidRPr="002E481B" w:rsidRDefault="00CB6990" w:rsidP="00CB6990">
            <w:pPr>
              <w:pStyle w:val="ListParagraph"/>
              <w:tabs>
                <w:tab w:val="left" w:pos="317"/>
              </w:tabs>
              <w:spacing w:before="60" w:after="60"/>
              <w:ind w:left="0"/>
              <w:contextualSpacing/>
              <w:jc w:val="both"/>
              <w:rPr>
                <w:rFonts w:ascii="Times New Roman" w:hAnsi="Times New Roman"/>
                <w:sz w:val="26"/>
                <w:szCs w:val="26"/>
              </w:rPr>
            </w:pPr>
            <w:r>
              <w:rPr>
                <w:rFonts w:ascii="Times New Roman" w:hAnsi="Times New Roman"/>
                <w:sz w:val="26"/>
                <w:szCs w:val="26"/>
              </w:rPr>
              <w:t>Sabiedrības Altum</w:t>
            </w:r>
            <w:r w:rsidRPr="002E481B">
              <w:rPr>
                <w:rFonts w:ascii="Times New Roman" w:hAnsi="Times New Roman"/>
                <w:sz w:val="26"/>
                <w:szCs w:val="26"/>
              </w:rPr>
              <w:t xml:space="preserve"> vadības izma</w:t>
            </w:r>
            <w:r>
              <w:rPr>
                <w:rFonts w:ascii="Times New Roman" w:hAnsi="Times New Roman"/>
                <w:sz w:val="26"/>
                <w:szCs w:val="26"/>
              </w:rPr>
              <w:t>ksas tiks finansētas atbilstoši</w:t>
            </w:r>
            <w:r w:rsidRPr="002E481B">
              <w:rPr>
                <w:rFonts w:ascii="Times New Roman" w:hAnsi="Times New Roman"/>
                <w:sz w:val="26"/>
                <w:szCs w:val="26"/>
              </w:rPr>
              <w:t xml:space="preserve"> sabiedrības </w:t>
            </w:r>
            <w:r>
              <w:rPr>
                <w:rFonts w:ascii="Times New Roman" w:hAnsi="Times New Roman"/>
                <w:sz w:val="26"/>
                <w:szCs w:val="26"/>
              </w:rPr>
              <w:t>Altum</w:t>
            </w:r>
            <w:r w:rsidRPr="002E481B">
              <w:rPr>
                <w:rFonts w:ascii="Times New Roman" w:hAnsi="Times New Roman"/>
                <w:sz w:val="26"/>
                <w:szCs w:val="26"/>
              </w:rPr>
              <w:t xml:space="preserve"> programmu pārvaldības izmaksu attiecināšanas metodikai.</w:t>
            </w:r>
          </w:p>
        </w:tc>
      </w:tr>
      <w:tr w:rsidR="00CB6990" w:rsidRPr="002E481B" w:rsidTr="00CB6990">
        <w:trPr>
          <w:trHeight w:val="901"/>
        </w:trPr>
        <w:tc>
          <w:tcPr>
            <w:tcW w:w="562" w:type="dxa"/>
            <w:tcBorders>
              <w:top w:val="single" w:sz="4" w:space="0" w:color="000000"/>
              <w:left w:val="single" w:sz="4" w:space="0" w:color="000000"/>
              <w:bottom w:val="single" w:sz="4" w:space="0" w:color="000000"/>
              <w:right w:val="single" w:sz="4" w:space="0" w:color="000000"/>
            </w:tcBorders>
            <w:shd w:val="clear" w:color="000000" w:fill="auto"/>
          </w:tcPr>
          <w:p w:rsidR="00CB6990" w:rsidRPr="002E481B" w:rsidRDefault="00CB6990" w:rsidP="00CB6990">
            <w:pPr>
              <w:jc w:val="center"/>
              <w:rPr>
                <w:sz w:val="26"/>
                <w:szCs w:val="26"/>
              </w:rPr>
            </w:pPr>
            <w:r w:rsidRPr="002E481B">
              <w:rPr>
                <w:sz w:val="26"/>
                <w:szCs w:val="26"/>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auto"/>
          </w:tcPr>
          <w:p w:rsidR="00CB6990" w:rsidRPr="002E481B" w:rsidRDefault="00CB6990" w:rsidP="00CB6990">
            <w:pPr>
              <w:rPr>
                <w:sz w:val="26"/>
                <w:szCs w:val="26"/>
              </w:rPr>
            </w:pPr>
            <w:r w:rsidRPr="002E481B">
              <w:rPr>
                <w:sz w:val="26"/>
                <w:szCs w:val="26"/>
              </w:rPr>
              <w:t>Cita informācija</w:t>
            </w:r>
          </w:p>
        </w:tc>
        <w:tc>
          <w:tcPr>
            <w:tcW w:w="606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B6990" w:rsidRPr="002E481B" w:rsidRDefault="00CB6990" w:rsidP="00CB6990">
            <w:pPr>
              <w:pStyle w:val="ListParagraph"/>
              <w:tabs>
                <w:tab w:val="left" w:pos="317"/>
              </w:tabs>
              <w:spacing w:before="60" w:after="60"/>
              <w:ind w:left="34"/>
              <w:contextualSpacing/>
              <w:jc w:val="both"/>
              <w:rPr>
                <w:rFonts w:ascii="Times New Roman" w:hAnsi="Times New Roman"/>
                <w:sz w:val="26"/>
                <w:szCs w:val="26"/>
              </w:rPr>
            </w:pPr>
            <w:r w:rsidRPr="002E481B">
              <w:rPr>
                <w:rFonts w:ascii="Times New Roman" w:hAnsi="Times New Roman"/>
                <w:sz w:val="26"/>
                <w:szCs w:val="26"/>
              </w:rPr>
              <w:t>Nav.</w:t>
            </w:r>
          </w:p>
        </w:tc>
      </w:tr>
    </w:tbl>
    <w:p w:rsidR="00CB6990" w:rsidRDefault="00CB6990" w:rsidP="00963676">
      <w:pPr>
        <w:rPr>
          <w:rFonts w:eastAsia="PMingLiU"/>
          <w:lang w:eastAsia="ja-JP"/>
        </w:rPr>
      </w:pPr>
    </w:p>
    <w:p w:rsidR="00CB6990" w:rsidRDefault="00CB6990" w:rsidP="00963676">
      <w:pPr>
        <w:rPr>
          <w:rFonts w:eastAsia="PMingLiU"/>
          <w:lang w:eastAsia="ja-JP"/>
        </w:rPr>
      </w:pPr>
    </w:p>
    <w:p w:rsidR="00963676" w:rsidRDefault="00963676" w:rsidP="00963676">
      <w:pPr>
        <w:rPr>
          <w:rFonts w:eastAsia="PMingLiU"/>
          <w:lang w:eastAsia="ja-JP"/>
        </w:rPr>
      </w:pPr>
    </w:p>
    <w:p w:rsidR="00963676" w:rsidRDefault="00963676" w:rsidP="00963676">
      <w:pPr>
        <w:rPr>
          <w:rFonts w:eastAsia="PMingLiU"/>
          <w:lang w:eastAsia="ja-JP"/>
        </w:rPr>
      </w:pPr>
    </w:p>
    <w:p w:rsidR="00963676" w:rsidRPr="00963676" w:rsidRDefault="00963676" w:rsidP="00963676">
      <w:pPr>
        <w:rPr>
          <w:rFonts w:eastAsia="PMingLiU"/>
          <w:lang w:eastAsia="ja-JP"/>
        </w:rPr>
      </w:pPr>
    </w:p>
    <w:p w:rsidR="00577814" w:rsidRDefault="00577814" w:rsidP="00577814">
      <w:pPr>
        <w:jc w:val="both"/>
        <w:rPr>
          <w:rFonts w:eastAsia="PMingLiU"/>
          <w:sz w:val="26"/>
          <w:szCs w:val="26"/>
          <w:lang w:eastAsia="ja-JP"/>
        </w:rPr>
      </w:pPr>
    </w:p>
    <w:p w:rsidR="00CB6990" w:rsidRDefault="00CB6990" w:rsidP="00577814">
      <w:pPr>
        <w:jc w:val="both"/>
        <w:rPr>
          <w:rFonts w:eastAsia="PMingLiU"/>
          <w:sz w:val="26"/>
          <w:szCs w:val="26"/>
          <w:lang w:eastAsia="ja-JP"/>
        </w:rPr>
      </w:pPr>
    </w:p>
    <w:p w:rsidR="00CB6990" w:rsidRDefault="00CB6990" w:rsidP="00577814">
      <w:pPr>
        <w:jc w:val="both"/>
        <w:rPr>
          <w:rFonts w:eastAsia="PMingLiU"/>
          <w:sz w:val="26"/>
          <w:szCs w:val="26"/>
          <w:lang w:eastAsia="ja-JP"/>
        </w:rPr>
      </w:pPr>
    </w:p>
    <w:p w:rsidR="00CB6990" w:rsidRDefault="00CB6990" w:rsidP="00577814">
      <w:pPr>
        <w:jc w:val="both"/>
        <w:rPr>
          <w:rFonts w:eastAsia="PMingLiU"/>
          <w:sz w:val="26"/>
          <w:szCs w:val="26"/>
          <w:lang w:eastAsia="ja-JP"/>
        </w:rPr>
      </w:pPr>
    </w:p>
    <w:p w:rsidR="00CB6990" w:rsidRDefault="00CB6990" w:rsidP="00577814">
      <w:pPr>
        <w:jc w:val="both"/>
        <w:rPr>
          <w:rFonts w:eastAsia="PMingLiU"/>
          <w:sz w:val="26"/>
          <w:szCs w:val="26"/>
          <w:lang w:eastAsia="ja-JP"/>
        </w:rPr>
      </w:pPr>
    </w:p>
    <w:p w:rsidR="00CB6990" w:rsidRDefault="00CB6990" w:rsidP="00577814">
      <w:pPr>
        <w:jc w:val="both"/>
        <w:rPr>
          <w:rFonts w:eastAsia="PMingLiU"/>
          <w:sz w:val="26"/>
          <w:szCs w:val="26"/>
          <w:lang w:eastAsia="ja-JP"/>
        </w:rPr>
      </w:pPr>
    </w:p>
    <w:p w:rsidR="00CB6990" w:rsidRDefault="00CB6990" w:rsidP="00577814">
      <w:pPr>
        <w:jc w:val="both"/>
        <w:rPr>
          <w:rFonts w:eastAsia="PMingLiU"/>
          <w:sz w:val="26"/>
          <w:szCs w:val="26"/>
          <w:lang w:eastAsia="ja-JP"/>
        </w:rPr>
      </w:pPr>
    </w:p>
    <w:p w:rsidR="00CB6990" w:rsidRDefault="00CB6990" w:rsidP="00577814">
      <w:pPr>
        <w:jc w:val="both"/>
        <w:rPr>
          <w:rFonts w:eastAsia="PMingLiU"/>
          <w:sz w:val="26"/>
          <w:szCs w:val="26"/>
          <w:lang w:eastAsia="ja-JP"/>
        </w:rPr>
      </w:pPr>
    </w:p>
    <w:p w:rsidR="00CB6990" w:rsidRDefault="00CB6990" w:rsidP="00577814">
      <w:pPr>
        <w:jc w:val="both"/>
        <w:rPr>
          <w:rFonts w:eastAsia="PMingLiU"/>
          <w:sz w:val="26"/>
          <w:szCs w:val="26"/>
          <w:lang w:eastAsia="ja-JP"/>
        </w:rPr>
      </w:pPr>
    </w:p>
    <w:p w:rsidR="00CB6990" w:rsidRDefault="00CB6990" w:rsidP="00577814">
      <w:pPr>
        <w:jc w:val="both"/>
        <w:rPr>
          <w:rFonts w:eastAsia="PMingLiU"/>
          <w:sz w:val="26"/>
          <w:szCs w:val="26"/>
          <w:lang w:eastAsia="ja-JP"/>
        </w:rPr>
      </w:pPr>
    </w:p>
    <w:p w:rsidR="00CB6990" w:rsidRDefault="00CB6990" w:rsidP="00577814">
      <w:pPr>
        <w:jc w:val="both"/>
        <w:rPr>
          <w:rFonts w:eastAsia="PMingLiU"/>
          <w:sz w:val="26"/>
          <w:szCs w:val="26"/>
          <w:lang w:eastAsia="ja-JP"/>
        </w:rPr>
      </w:pPr>
    </w:p>
    <w:p w:rsidR="00CB6990" w:rsidRDefault="00CB6990" w:rsidP="00577814">
      <w:pPr>
        <w:jc w:val="both"/>
        <w:rPr>
          <w:rFonts w:eastAsia="PMingLiU"/>
          <w:sz w:val="26"/>
          <w:szCs w:val="26"/>
          <w:lang w:eastAsia="ja-JP"/>
        </w:rPr>
      </w:pPr>
    </w:p>
    <w:p w:rsidR="00CB6990" w:rsidRDefault="00CB6990" w:rsidP="00577814">
      <w:pPr>
        <w:jc w:val="both"/>
        <w:rPr>
          <w:rFonts w:eastAsia="PMingLiU"/>
          <w:sz w:val="26"/>
          <w:szCs w:val="26"/>
          <w:lang w:eastAsia="ja-JP"/>
        </w:rPr>
      </w:pPr>
    </w:p>
    <w:p w:rsidR="00CB6990" w:rsidRDefault="00CB6990" w:rsidP="00577814">
      <w:pPr>
        <w:jc w:val="both"/>
        <w:rPr>
          <w:rFonts w:eastAsia="PMingLiU"/>
          <w:sz w:val="26"/>
          <w:szCs w:val="26"/>
          <w:lang w:eastAsia="ja-JP"/>
        </w:rPr>
      </w:pPr>
    </w:p>
    <w:p w:rsidR="00CB6990" w:rsidRDefault="00CB6990" w:rsidP="00577814">
      <w:pPr>
        <w:jc w:val="both"/>
        <w:rPr>
          <w:rFonts w:eastAsia="PMingLiU"/>
          <w:sz w:val="26"/>
          <w:szCs w:val="26"/>
          <w:lang w:eastAsia="ja-JP"/>
        </w:rPr>
      </w:pPr>
    </w:p>
    <w:tbl>
      <w:tblPr>
        <w:tblpPr w:leftFromText="180" w:rightFromText="180" w:vertAnchor="text" w:horzAnchor="margin" w:tblpY="-2"/>
        <w:tblW w:w="9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4"/>
      </w:tblGrid>
      <w:tr w:rsidR="00213212" w:rsidRPr="00577814" w:rsidTr="00213212">
        <w:trPr>
          <w:trHeight w:val="558"/>
        </w:trPr>
        <w:tc>
          <w:tcPr>
            <w:tcW w:w="9194" w:type="dxa"/>
            <w:tcBorders>
              <w:top w:val="single" w:sz="4" w:space="0" w:color="auto"/>
              <w:left w:val="single" w:sz="4" w:space="0" w:color="auto"/>
              <w:bottom w:val="single" w:sz="4" w:space="0" w:color="auto"/>
              <w:right w:val="single" w:sz="4" w:space="0" w:color="auto"/>
            </w:tcBorders>
            <w:shd w:val="clear" w:color="auto" w:fill="auto"/>
            <w:hideMark/>
          </w:tcPr>
          <w:p w:rsidR="00213212" w:rsidRPr="00577814" w:rsidRDefault="00213212" w:rsidP="00CB6990">
            <w:pPr>
              <w:tabs>
                <w:tab w:val="left" w:pos="2268"/>
                <w:tab w:val="left" w:pos="2410"/>
              </w:tabs>
              <w:jc w:val="center"/>
              <w:rPr>
                <w:rFonts w:eastAsia="PMingLiU"/>
                <w:b/>
                <w:bCs/>
                <w:sz w:val="26"/>
                <w:szCs w:val="26"/>
                <w:lang w:eastAsia="ja-JP"/>
              </w:rPr>
            </w:pPr>
            <w:r w:rsidRPr="00577814">
              <w:rPr>
                <w:rFonts w:eastAsia="PMingLiU"/>
                <w:b/>
                <w:bCs/>
                <w:sz w:val="26"/>
                <w:szCs w:val="26"/>
                <w:lang w:eastAsia="ja-JP"/>
              </w:rPr>
              <w:t>III. Tiesību akta projekta ietekme uz valsts budžetu un pašvaldību budžetiem</w:t>
            </w:r>
          </w:p>
        </w:tc>
      </w:tr>
      <w:tr w:rsidR="00213212" w:rsidRPr="00577814" w:rsidTr="005C16C3">
        <w:trPr>
          <w:trHeight w:val="476"/>
        </w:trPr>
        <w:tc>
          <w:tcPr>
            <w:tcW w:w="9194" w:type="dxa"/>
            <w:tcBorders>
              <w:top w:val="single" w:sz="4" w:space="0" w:color="auto"/>
              <w:left w:val="single" w:sz="4" w:space="0" w:color="auto"/>
              <w:bottom w:val="single" w:sz="4" w:space="0" w:color="auto"/>
              <w:right w:val="single" w:sz="4" w:space="0" w:color="auto"/>
            </w:tcBorders>
            <w:shd w:val="clear" w:color="auto" w:fill="auto"/>
          </w:tcPr>
          <w:p w:rsidR="00213212" w:rsidRDefault="00213212" w:rsidP="00CB6990">
            <w:pPr>
              <w:tabs>
                <w:tab w:val="left" w:pos="2268"/>
                <w:tab w:val="left" w:pos="2410"/>
              </w:tabs>
              <w:jc w:val="center"/>
              <w:rPr>
                <w:rStyle w:val="CommentReference"/>
              </w:rPr>
            </w:pPr>
            <w:r w:rsidRPr="00577814">
              <w:rPr>
                <w:rFonts w:eastAsia="PMingLiU"/>
                <w:bCs/>
                <w:sz w:val="26"/>
                <w:szCs w:val="26"/>
                <w:lang w:eastAsia="ja-JP"/>
              </w:rPr>
              <w:t>Noteikumu projekts šo jomu neskar.</w:t>
            </w:r>
          </w:p>
        </w:tc>
      </w:tr>
    </w:tbl>
    <w:p w:rsidR="00CB6990" w:rsidRDefault="00CB6990" w:rsidP="00577814">
      <w:pPr>
        <w:jc w:val="both"/>
        <w:rPr>
          <w:rFonts w:eastAsia="PMingLiU"/>
          <w:sz w:val="26"/>
          <w:szCs w:val="26"/>
          <w:lang w:eastAsia="ja-JP"/>
        </w:rPr>
      </w:pPr>
    </w:p>
    <w:p w:rsidR="00CB6990" w:rsidRDefault="00CB6990" w:rsidP="00577814">
      <w:pPr>
        <w:jc w:val="both"/>
        <w:rPr>
          <w:rFonts w:eastAsia="PMingLiU"/>
          <w:sz w:val="26"/>
          <w:szCs w:val="26"/>
          <w:lang w:eastAsia="ja-JP"/>
        </w:rPr>
      </w:pPr>
    </w:p>
    <w:p w:rsidR="00CB6990" w:rsidRDefault="00CB6990" w:rsidP="00577814">
      <w:pPr>
        <w:jc w:val="both"/>
        <w:rPr>
          <w:rFonts w:eastAsia="PMingLiU"/>
          <w:sz w:val="26"/>
          <w:szCs w:val="26"/>
          <w:lang w:eastAsia="ja-JP"/>
        </w:rPr>
      </w:pPr>
    </w:p>
    <w:p w:rsidR="00CB6990" w:rsidRPr="00577814" w:rsidRDefault="00CB6990" w:rsidP="00577814">
      <w:pPr>
        <w:jc w:val="both"/>
        <w:rPr>
          <w:rFonts w:eastAsia="PMingLiU"/>
          <w:sz w:val="26"/>
          <w:szCs w:val="26"/>
          <w:lang w:eastAsia="ja-JP"/>
        </w:rPr>
      </w:pPr>
    </w:p>
    <w:tbl>
      <w:tblPr>
        <w:tblpPr w:leftFromText="180" w:rightFromText="180" w:vertAnchor="text" w:horzAnchor="margin" w:tblpY="193"/>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CB6990" w:rsidRPr="00577814" w:rsidTr="00CB6990">
        <w:tc>
          <w:tcPr>
            <w:tcW w:w="9180" w:type="dxa"/>
            <w:tcBorders>
              <w:top w:val="single" w:sz="4" w:space="0" w:color="auto"/>
              <w:left w:val="single" w:sz="4" w:space="0" w:color="auto"/>
              <w:bottom w:val="single" w:sz="4" w:space="0" w:color="auto"/>
              <w:right w:val="single" w:sz="4" w:space="0" w:color="auto"/>
            </w:tcBorders>
            <w:shd w:val="clear" w:color="auto" w:fill="auto"/>
            <w:hideMark/>
          </w:tcPr>
          <w:p w:rsidR="00CB6990" w:rsidRPr="00577814" w:rsidRDefault="00CB6990" w:rsidP="00CB6990">
            <w:pPr>
              <w:tabs>
                <w:tab w:val="left" w:pos="2268"/>
                <w:tab w:val="left" w:pos="2410"/>
              </w:tabs>
              <w:jc w:val="center"/>
              <w:rPr>
                <w:rFonts w:eastAsia="PMingLiU"/>
                <w:b/>
                <w:sz w:val="26"/>
                <w:szCs w:val="26"/>
              </w:rPr>
            </w:pPr>
            <w:r w:rsidRPr="00577814">
              <w:rPr>
                <w:rFonts w:eastAsia="PMingLiU"/>
                <w:b/>
                <w:bCs/>
                <w:sz w:val="26"/>
                <w:szCs w:val="26"/>
                <w:lang w:eastAsia="ja-JP"/>
              </w:rPr>
              <w:t>IV. Tiesību akta projekta ietekme uz spēkā esošo tiesību normu sistēmu</w:t>
            </w:r>
          </w:p>
        </w:tc>
      </w:tr>
      <w:tr w:rsidR="00CB6990" w:rsidRPr="00577814" w:rsidTr="00CB6990">
        <w:tc>
          <w:tcPr>
            <w:tcW w:w="9180" w:type="dxa"/>
            <w:tcBorders>
              <w:top w:val="single" w:sz="4" w:space="0" w:color="auto"/>
              <w:left w:val="single" w:sz="4" w:space="0" w:color="auto"/>
              <w:bottom w:val="single" w:sz="4" w:space="0" w:color="auto"/>
              <w:right w:val="single" w:sz="4" w:space="0" w:color="auto"/>
            </w:tcBorders>
            <w:shd w:val="clear" w:color="auto" w:fill="auto"/>
          </w:tcPr>
          <w:p w:rsidR="00CB6990" w:rsidRPr="00577814" w:rsidRDefault="00CB6990" w:rsidP="00CB6990">
            <w:pPr>
              <w:tabs>
                <w:tab w:val="left" w:pos="2268"/>
                <w:tab w:val="left" w:pos="2410"/>
              </w:tabs>
              <w:jc w:val="center"/>
              <w:rPr>
                <w:rFonts w:eastAsia="PMingLiU"/>
                <w:bCs/>
                <w:sz w:val="26"/>
                <w:szCs w:val="26"/>
                <w:lang w:eastAsia="ja-JP"/>
              </w:rPr>
            </w:pPr>
            <w:r w:rsidRPr="00577814">
              <w:rPr>
                <w:rFonts w:eastAsia="PMingLiU"/>
                <w:bCs/>
                <w:sz w:val="26"/>
                <w:szCs w:val="26"/>
                <w:lang w:eastAsia="ja-JP"/>
              </w:rPr>
              <w:t>Noteikumu projekts šo jomu neskar.</w:t>
            </w:r>
          </w:p>
        </w:tc>
      </w:tr>
    </w:tbl>
    <w:p w:rsidR="00794ECE" w:rsidRPr="00415F16" w:rsidRDefault="00794ECE" w:rsidP="007765FC">
      <w:pPr>
        <w:jc w:val="both"/>
      </w:pPr>
    </w:p>
    <w:p w:rsidR="007765FC" w:rsidRDefault="007765FC" w:rsidP="007765FC">
      <w:pPr>
        <w:jc w:val="both"/>
      </w:pPr>
    </w:p>
    <w:p w:rsidR="00CB6990" w:rsidRDefault="00CB6990" w:rsidP="007765FC">
      <w:pPr>
        <w:jc w:val="both"/>
      </w:pPr>
    </w:p>
    <w:p w:rsidR="00CB6990" w:rsidRPr="00415F16" w:rsidRDefault="00CB6990" w:rsidP="007765FC">
      <w:pPr>
        <w:jc w:val="both"/>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6"/>
        <w:gridCol w:w="2613"/>
        <w:gridCol w:w="6175"/>
      </w:tblGrid>
      <w:tr w:rsidR="007765FC" w:rsidRPr="00415F16" w:rsidTr="00577814">
        <w:trPr>
          <w:trHeight w:val="421"/>
        </w:trPr>
        <w:tc>
          <w:tcPr>
            <w:tcW w:w="9214" w:type="dxa"/>
            <w:gridSpan w:val="3"/>
            <w:vAlign w:val="center"/>
          </w:tcPr>
          <w:p w:rsidR="007765FC" w:rsidRPr="002E481B" w:rsidRDefault="007765FC" w:rsidP="00115B4C">
            <w:pPr>
              <w:pStyle w:val="naisnod"/>
              <w:ind w:left="57" w:right="57"/>
              <w:jc w:val="center"/>
              <w:rPr>
                <w:rFonts w:ascii="Times New Roman" w:hAnsi="Times New Roman"/>
                <w:sz w:val="26"/>
                <w:szCs w:val="26"/>
              </w:rPr>
            </w:pPr>
            <w:r w:rsidRPr="002E481B">
              <w:rPr>
                <w:rFonts w:ascii="Times New Roman" w:hAnsi="Times New Roman"/>
                <w:b/>
                <w:sz w:val="26"/>
                <w:szCs w:val="26"/>
              </w:rPr>
              <w:t>V. Tiesību akta projekta atbilstība Latvijas Republikas starptautiskajām saistībām</w:t>
            </w:r>
          </w:p>
        </w:tc>
      </w:tr>
      <w:tr w:rsidR="007765FC" w:rsidRPr="00415F16" w:rsidTr="000710AE">
        <w:trPr>
          <w:trHeight w:val="553"/>
        </w:trPr>
        <w:tc>
          <w:tcPr>
            <w:tcW w:w="426" w:type="dxa"/>
          </w:tcPr>
          <w:p w:rsidR="007765FC" w:rsidRPr="002E481B" w:rsidRDefault="007765FC" w:rsidP="00115B4C">
            <w:pPr>
              <w:ind w:left="57" w:right="57"/>
              <w:jc w:val="both"/>
              <w:rPr>
                <w:sz w:val="26"/>
                <w:szCs w:val="26"/>
              </w:rPr>
            </w:pPr>
            <w:r w:rsidRPr="002E481B">
              <w:rPr>
                <w:sz w:val="26"/>
                <w:szCs w:val="26"/>
              </w:rPr>
              <w:t>1.</w:t>
            </w:r>
          </w:p>
        </w:tc>
        <w:tc>
          <w:tcPr>
            <w:tcW w:w="2613" w:type="dxa"/>
          </w:tcPr>
          <w:p w:rsidR="007765FC" w:rsidRPr="002E481B" w:rsidRDefault="007765FC" w:rsidP="00115B4C">
            <w:pPr>
              <w:ind w:left="57" w:right="57"/>
              <w:rPr>
                <w:sz w:val="26"/>
                <w:szCs w:val="26"/>
              </w:rPr>
            </w:pPr>
            <w:r w:rsidRPr="002E481B">
              <w:rPr>
                <w:sz w:val="26"/>
                <w:szCs w:val="26"/>
              </w:rPr>
              <w:t>Saistības pret Eiropas Savienību</w:t>
            </w:r>
          </w:p>
        </w:tc>
        <w:tc>
          <w:tcPr>
            <w:tcW w:w="6175" w:type="dxa"/>
          </w:tcPr>
          <w:p w:rsidR="007765FC" w:rsidRPr="002E481B" w:rsidRDefault="007765FC" w:rsidP="00115B4C">
            <w:pPr>
              <w:pStyle w:val="naiskr"/>
              <w:jc w:val="both"/>
              <w:rPr>
                <w:rFonts w:ascii="Times New Roman" w:hAnsi="Times New Roman"/>
                <w:sz w:val="26"/>
                <w:szCs w:val="26"/>
              </w:rPr>
            </w:pPr>
            <w:r w:rsidRPr="002E481B">
              <w:rPr>
                <w:rFonts w:ascii="Times New Roman" w:hAnsi="Times New Roman"/>
                <w:sz w:val="26"/>
                <w:szCs w:val="26"/>
              </w:rPr>
              <w:t xml:space="preserve">Ar noteikumu projektu tiks ieviestas prasības no šādiem Eiropas Savienības tiesību aktiem: </w:t>
            </w:r>
          </w:p>
          <w:p w:rsidR="007765FC" w:rsidRPr="00640D46" w:rsidRDefault="007765FC" w:rsidP="00640D46">
            <w:pPr>
              <w:pStyle w:val="FootnoteText"/>
              <w:numPr>
                <w:ilvl w:val="0"/>
                <w:numId w:val="1"/>
              </w:numPr>
              <w:jc w:val="both"/>
              <w:rPr>
                <w:rFonts w:ascii="Times New Roman" w:hAnsi="Times New Roman"/>
                <w:sz w:val="26"/>
                <w:szCs w:val="26"/>
              </w:rPr>
            </w:pPr>
            <w:r w:rsidRPr="00FF4FA2">
              <w:rPr>
                <w:rFonts w:ascii="Times New Roman" w:hAnsi="Times New Roman"/>
                <w:sz w:val="26"/>
                <w:szCs w:val="26"/>
              </w:rPr>
              <w:t xml:space="preserve">Komisijas paziņojums par EK līguma 87. un 88.panta piemērošanu valsts atbalstam garantiju </w:t>
            </w:r>
            <w:r w:rsidRPr="00FF4FA2">
              <w:rPr>
                <w:rFonts w:ascii="Times New Roman" w:hAnsi="Times New Roman"/>
                <w:sz w:val="26"/>
                <w:szCs w:val="26"/>
              </w:rPr>
              <w:lastRenderedPageBreak/>
              <w:t>veidā (2008/C 155/02) (turpmāk – Komisijas paziņojums</w:t>
            </w:r>
            <w:r w:rsidR="00640D46">
              <w:rPr>
                <w:rFonts w:ascii="Times New Roman" w:hAnsi="Times New Roman"/>
                <w:sz w:val="26"/>
                <w:szCs w:val="26"/>
              </w:rPr>
              <w:t>)</w:t>
            </w:r>
          </w:p>
        </w:tc>
      </w:tr>
      <w:tr w:rsidR="007765FC" w:rsidRPr="00415F16" w:rsidTr="000710AE">
        <w:trPr>
          <w:trHeight w:val="339"/>
        </w:trPr>
        <w:tc>
          <w:tcPr>
            <w:tcW w:w="426" w:type="dxa"/>
          </w:tcPr>
          <w:p w:rsidR="007765FC" w:rsidRPr="002E481B" w:rsidRDefault="007765FC" w:rsidP="00115B4C">
            <w:pPr>
              <w:ind w:left="57" w:right="57"/>
              <w:jc w:val="both"/>
              <w:rPr>
                <w:sz w:val="26"/>
                <w:szCs w:val="26"/>
              </w:rPr>
            </w:pPr>
            <w:r w:rsidRPr="002E481B">
              <w:rPr>
                <w:sz w:val="26"/>
                <w:szCs w:val="26"/>
              </w:rPr>
              <w:lastRenderedPageBreak/>
              <w:t>2.</w:t>
            </w:r>
          </w:p>
        </w:tc>
        <w:tc>
          <w:tcPr>
            <w:tcW w:w="2613" w:type="dxa"/>
          </w:tcPr>
          <w:p w:rsidR="007765FC" w:rsidRPr="002E481B" w:rsidRDefault="007765FC" w:rsidP="00115B4C">
            <w:pPr>
              <w:ind w:left="57" w:right="57"/>
              <w:rPr>
                <w:sz w:val="26"/>
                <w:szCs w:val="26"/>
              </w:rPr>
            </w:pPr>
            <w:r w:rsidRPr="002E481B">
              <w:rPr>
                <w:sz w:val="26"/>
                <w:szCs w:val="26"/>
              </w:rPr>
              <w:t>Citas starptautiskās saistības</w:t>
            </w:r>
          </w:p>
        </w:tc>
        <w:tc>
          <w:tcPr>
            <w:tcW w:w="6175" w:type="dxa"/>
          </w:tcPr>
          <w:p w:rsidR="007765FC" w:rsidRPr="002E481B" w:rsidRDefault="007765FC" w:rsidP="00115B4C">
            <w:pPr>
              <w:ind w:left="57" w:right="113"/>
              <w:jc w:val="both"/>
              <w:rPr>
                <w:sz w:val="26"/>
                <w:szCs w:val="26"/>
              </w:rPr>
            </w:pPr>
            <w:r w:rsidRPr="002E481B">
              <w:rPr>
                <w:sz w:val="26"/>
                <w:szCs w:val="26"/>
              </w:rPr>
              <w:t>Projekts šo jomu neskar.</w:t>
            </w:r>
          </w:p>
        </w:tc>
      </w:tr>
      <w:tr w:rsidR="007765FC" w:rsidRPr="00415F16" w:rsidTr="000710AE">
        <w:trPr>
          <w:trHeight w:val="476"/>
        </w:trPr>
        <w:tc>
          <w:tcPr>
            <w:tcW w:w="426" w:type="dxa"/>
          </w:tcPr>
          <w:p w:rsidR="007765FC" w:rsidRPr="002E481B" w:rsidRDefault="007765FC" w:rsidP="00115B4C">
            <w:pPr>
              <w:ind w:left="57" w:right="57"/>
              <w:jc w:val="both"/>
              <w:rPr>
                <w:sz w:val="26"/>
                <w:szCs w:val="26"/>
              </w:rPr>
            </w:pPr>
            <w:r w:rsidRPr="002E481B">
              <w:rPr>
                <w:sz w:val="26"/>
                <w:szCs w:val="26"/>
              </w:rPr>
              <w:t>3.</w:t>
            </w:r>
          </w:p>
        </w:tc>
        <w:tc>
          <w:tcPr>
            <w:tcW w:w="2613" w:type="dxa"/>
          </w:tcPr>
          <w:p w:rsidR="007765FC" w:rsidRPr="002E481B" w:rsidRDefault="007765FC" w:rsidP="00115B4C">
            <w:pPr>
              <w:ind w:left="57" w:right="57"/>
              <w:rPr>
                <w:sz w:val="26"/>
                <w:szCs w:val="26"/>
              </w:rPr>
            </w:pPr>
            <w:r w:rsidRPr="002E481B">
              <w:rPr>
                <w:sz w:val="26"/>
                <w:szCs w:val="26"/>
              </w:rPr>
              <w:t>Cita informācija</w:t>
            </w:r>
          </w:p>
        </w:tc>
        <w:tc>
          <w:tcPr>
            <w:tcW w:w="6175" w:type="dxa"/>
          </w:tcPr>
          <w:p w:rsidR="007765FC" w:rsidRPr="002E481B" w:rsidRDefault="007765FC" w:rsidP="00115B4C">
            <w:pPr>
              <w:ind w:left="57" w:right="113"/>
              <w:jc w:val="both"/>
              <w:rPr>
                <w:sz w:val="26"/>
                <w:szCs w:val="26"/>
              </w:rPr>
            </w:pPr>
            <w:r w:rsidRPr="002E481B">
              <w:rPr>
                <w:sz w:val="26"/>
                <w:szCs w:val="26"/>
              </w:rPr>
              <w:t xml:space="preserve">Nav. </w:t>
            </w:r>
          </w:p>
        </w:tc>
      </w:tr>
    </w:tbl>
    <w:p w:rsidR="007765FC" w:rsidRDefault="007765FC" w:rsidP="007765FC"/>
    <w:p w:rsidR="00CB6990" w:rsidRPr="00415F16" w:rsidRDefault="00CB6990" w:rsidP="007765FC"/>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1639"/>
        <w:gridCol w:w="2409"/>
        <w:gridCol w:w="2863"/>
      </w:tblGrid>
      <w:tr w:rsidR="007765FC" w:rsidRPr="00415F16" w:rsidTr="00115B4C">
        <w:tc>
          <w:tcPr>
            <w:tcW w:w="9208" w:type="dxa"/>
            <w:gridSpan w:val="4"/>
            <w:tcBorders>
              <w:top w:val="single" w:sz="4" w:space="0" w:color="000000"/>
              <w:left w:val="single" w:sz="4" w:space="0" w:color="000000"/>
              <w:bottom w:val="single" w:sz="4" w:space="0" w:color="000000"/>
              <w:right w:val="single" w:sz="4" w:space="0" w:color="000000"/>
            </w:tcBorders>
          </w:tcPr>
          <w:p w:rsidR="007765FC" w:rsidRPr="002E481B" w:rsidRDefault="007765FC" w:rsidP="00115B4C">
            <w:pPr>
              <w:pStyle w:val="naisnod"/>
              <w:jc w:val="center"/>
              <w:rPr>
                <w:rFonts w:ascii="Times New Roman" w:hAnsi="Times New Roman"/>
                <w:sz w:val="26"/>
                <w:szCs w:val="26"/>
              </w:rPr>
            </w:pPr>
            <w:r w:rsidRPr="002E481B">
              <w:rPr>
                <w:rFonts w:ascii="Times New Roman" w:hAnsi="Times New Roman"/>
                <w:b/>
                <w:sz w:val="26"/>
                <w:szCs w:val="26"/>
              </w:rPr>
              <w:t>1.tabula. Tiesību akta projekta atbilstība ES tiesību aktiem</w:t>
            </w:r>
          </w:p>
        </w:tc>
      </w:tr>
      <w:tr w:rsidR="007765FC" w:rsidRPr="00415F16" w:rsidTr="00115B4C">
        <w:tc>
          <w:tcPr>
            <w:tcW w:w="2297" w:type="dxa"/>
            <w:tcBorders>
              <w:top w:val="single" w:sz="4" w:space="0" w:color="000000"/>
              <w:left w:val="single" w:sz="4" w:space="0" w:color="000000"/>
              <w:bottom w:val="single" w:sz="4" w:space="0" w:color="000000"/>
              <w:right w:val="single" w:sz="4" w:space="0" w:color="000000"/>
            </w:tcBorders>
          </w:tcPr>
          <w:p w:rsidR="007765FC" w:rsidRPr="002E481B" w:rsidRDefault="007765FC" w:rsidP="00115B4C">
            <w:pPr>
              <w:rPr>
                <w:sz w:val="26"/>
                <w:szCs w:val="26"/>
              </w:rPr>
            </w:pPr>
            <w:r w:rsidRPr="002E481B">
              <w:rPr>
                <w:sz w:val="26"/>
                <w:szCs w:val="26"/>
              </w:rPr>
              <w:t>Attiecīgā ES tiesību akta datums, numurs un nosaukums</w:t>
            </w:r>
          </w:p>
        </w:tc>
        <w:tc>
          <w:tcPr>
            <w:tcW w:w="6911" w:type="dxa"/>
            <w:gridSpan w:val="3"/>
            <w:tcBorders>
              <w:top w:val="single" w:sz="4" w:space="0" w:color="000000"/>
              <w:left w:val="single" w:sz="4" w:space="0" w:color="000000"/>
              <w:bottom w:val="single" w:sz="4" w:space="0" w:color="000000"/>
              <w:right w:val="single" w:sz="4" w:space="0" w:color="000000"/>
            </w:tcBorders>
          </w:tcPr>
          <w:p w:rsidR="007765FC" w:rsidRPr="002E481B" w:rsidRDefault="007765FC" w:rsidP="00115B4C">
            <w:pPr>
              <w:pStyle w:val="naiskr"/>
              <w:jc w:val="both"/>
              <w:rPr>
                <w:rFonts w:ascii="Times New Roman" w:hAnsi="Times New Roman"/>
                <w:sz w:val="26"/>
                <w:szCs w:val="26"/>
              </w:rPr>
            </w:pPr>
            <w:r w:rsidRPr="002E481B">
              <w:rPr>
                <w:rFonts w:ascii="Times New Roman" w:hAnsi="Times New Roman"/>
                <w:sz w:val="26"/>
                <w:szCs w:val="26"/>
              </w:rPr>
              <w:t>Ar normatīvo aktu tiek ieviestas:</w:t>
            </w:r>
          </w:p>
          <w:p w:rsidR="007765FC" w:rsidRPr="00640D46" w:rsidRDefault="007765FC" w:rsidP="00640D46">
            <w:pPr>
              <w:pStyle w:val="naiskr"/>
              <w:numPr>
                <w:ilvl w:val="0"/>
                <w:numId w:val="2"/>
              </w:numPr>
              <w:jc w:val="both"/>
              <w:rPr>
                <w:rFonts w:ascii="Times New Roman" w:hAnsi="Times New Roman"/>
                <w:sz w:val="26"/>
                <w:szCs w:val="26"/>
              </w:rPr>
            </w:pPr>
            <w:r>
              <w:rPr>
                <w:rFonts w:ascii="Times New Roman" w:hAnsi="Times New Roman"/>
                <w:sz w:val="26"/>
                <w:szCs w:val="26"/>
              </w:rPr>
              <w:t>Komisijas paziņojums</w:t>
            </w:r>
            <w:r w:rsidRPr="00F61F31">
              <w:rPr>
                <w:rFonts w:ascii="Times New Roman" w:hAnsi="Times New Roman"/>
                <w:sz w:val="26"/>
                <w:szCs w:val="26"/>
              </w:rPr>
              <w:t xml:space="preserve"> par EK līguma 87. un 88.panta piemērošanu valsts atbalstam garantiju veidā (2008/C 155/02)</w:t>
            </w:r>
            <w:r>
              <w:rPr>
                <w:rFonts w:ascii="Times New Roman" w:hAnsi="Times New Roman"/>
                <w:sz w:val="26"/>
                <w:szCs w:val="26"/>
              </w:rPr>
              <w:t xml:space="preserve"> (</w:t>
            </w:r>
            <w:r w:rsidR="00640D46">
              <w:rPr>
                <w:rFonts w:ascii="Times New Roman" w:hAnsi="Times New Roman"/>
                <w:sz w:val="26"/>
                <w:szCs w:val="26"/>
              </w:rPr>
              <w:t>turpmāk – Komisijas paziņojums)</w:t>
            </w:r>
          </w:p>
        </w:tc>
      </w:tr>
      <w:tr w:rsidR="007765FC" w:rsidRPr="002E481B" w:rsidTr="00115B4C">
        <w:tc>
          <w:tcPr>
            <w:tcW w:w="2297" w:type="dxa"/>
            <w:tcBorders>
              <w:top w:val="single" w:sz="4" w:space="0" w:color="000000"/>
              <w:left w:val="single" w:sz="4" w:space="0" w:color="000000"/>
              <w:bottom w:val="single" w:sz="4" w:space="0" w:color="000000"/>
              <w:right w:val="single" w:sz="4" w:space="0" w:color="000000"/>
            </w:tcBorders>
          </w:tcPr>
          <w:p w:rsidR="007765FC" w:rsidRPr="002E481B" w:rsidRDefault="007765FC" w:rsidP="00115B4C">
            <w:pPr>
              <w:jc w:val="center"/>
              <w:rPr>
                <w:sz w:val="26"/>
                <w:szCs w:val="26"/>
              </w:rPr>
            </w:pPr>
            <w:r w:rsidRPr="002E481B">
              <w:rPr>
                <w:sz w:val="26"/>
                <w:szCs w:val="26"/>
              </w:rPr>
              <w:t>A</w:t>
            </w:r>
          </w:p>
        </w:tc>
        <w:tc>
          <w:tcPr>
            <w:tcW w:w="1639" w:type="dxa"/>
            <w:tcBorders>
              <w:top w:val="single" w:sz="4" w:space="0" w:color="000000"/>
              <w:left w:val="single" w:sz="4" w:space="0" w:color="000000"/>
              <w:bottom w:val="single" w:sz="4" w:space="0" w:color="000000"/>
              <w:right w:val="single" w:sz="4" w:space="0" w:color="000000"/>
            </w:tcBorders>
          </w:tcPr>
          <w:p w:rsidR="007765FC" w:rsidRPr="002E481B" w:rsidRDefault="007765FC" w:rsidP="00115B4C">
            <w:pPr>
              <w:jc w:val="center"/>
              <w:rPr>
                <w:sz w:val="26"/>
                <w:szCs w:val="26"/>
              </w:rPr>
            </w:pPr>
            <w:r w:rsidRPr="002E481B">
              <w:rPr>
                <w:sz w:val="26"/>
                <w:szCs w:val="26"/>
              </w:rPr>
              <w:t>B</w:t>
            </w:r>
          </w:p>
        </w:tc>
        <w:tc>
          <w:tcPr>
            <w:tcW w:w="2409" w:type="dxa"/>
            <w:tcBorders>
              <w:top w:val="single" w:sz="4" w:space="0" w:color="000000"/>
              <w:left w:val="single" w:sz="4" w:space="0" w:color="000000"/>
              <w:bottom w:val="single" w:sz="4" w:space="0" w:color="000000"/>
              <w:right w:val="single" w:sz="4" w:space="0" w:color="000000"/>
            </w:tcBorders>
          </w:tcPr>
          <w:p w:rsidR="007765FC" w:rsidRPr="002E481B" w:rsidRDefault="007765FC" w:rsidP="00115B4C">
            <w:pPr>
              <w:jc w:val="center"/>
              <w:rPr>
                <w:sz w:val="26"/>
                <w:szCs w:val="26"/>
              </w:rPr>
            </w:pPr>
            <w:r w:rsidRPr="002E481B">
              <w:rPr>
                <w:sz w:val="26"/>
                <w:szCs w:val="26"/>
              </w:rPr>
              <w:t>C</w:t>
            </w:r>
          </w:p>
        </w:tc>
        <w:tc>
          <w:tcPr>
            <w:tcW w:w="2863" w:type="dxa"/>
            <w:tcBorders>
              <w:top w:val="single" w:sz="4" w:space="0" w:color="000000"/>
              <w:left w:val="single" w:sz="4" w:space="0" w:color="000000"/>
              <w:bottom w:val="single" w:sz="4" w:space="0" w:color="000000"/>
              <w:right w:val="single" w:sz="4" w:space="0" w:color="000000"/>
            </w:tcBorders>
          </w:tcPr>
          <w:p w:rsidR="007765FC" w:rsidRPr="002E481B" w:rsidRDefault="007765FC" w:rsidP="00115B4C">
            <w:pPr>
              <w:jc w:val="center"/>
              <w:rPr>
                <w:sz w:val="26"/>
                <w:szCs w:val="26"/>
              </w:rPr>
            </w:pPr>
            <w:r w:rsidRPr="002E481B">
              <w:rPr>
                <w:sz w:val="26"/>
                <w:szCs w:val="26"/>
              </w:rPr>
              <w:t>D</w:t>
            </w:r>
          </w:p>
        </w:tc>
      </w:tr>
      <w:tr w:rsidR="007765FC" w:rsidRPr="002E481B" w:rsidTr="00115B4C">
        <w:tc>
          <w:tcPr>
            <w:tcW w:w="2297" w:type="dxa"/>
            <w:tcBorders>
              <w:top w:val="single" w:sz="4" w:space="0" w:color="000000"/>
              <w:left w:val="single" w:sz="4" w:space="0" w:color="000000"/>
              <w:bottom w:val="single" w:sz="4" w:space="0" w:color="000000"/>
              <w:right w:val="single" w:sz="4" w:space="0" w:color="000000"/>
            </w:tcBorders>
          </w:tcPr>
          <w:p w:rsidR="007765FC" w:rsidRPr="002E481B" w:rsidRDefault="007765FC" w:rsidP="00115B4C">
            <w:pPr>
              <w:rPr>
                <w:i/>
                <w:sz w:val="26"/>
                <w:szCs w:val="26"/>
              </w:rPr>
            </w:pPr>
            <w:r w:rsidRPr="002E481B">
              <w:rPr>
                <w:i/>
                <w:sz w:val="26"/>
                <w:szCs w:val="26"/>
              </w:rPr>
              <w:t xml:space="preserve">Attiecīgā ES tiesību akta panta numurs (uzskaitot katru tiesību akta </w:t>
            </w:r>
            <w:r w:rsidRPr="002E481B">
              <w:rPr>
                <w:i/>
                <w:sz w:val="26"/>
                <w:szCs w:val="26"/>
              </w:rPr>
              <w:br/>
              <w:t>vienību – pantu, daļu, punktu, apakšpunktu)</w:t>
            </w:r>
          </w:p>
        </w:tc>
        <w:tc>
          <w:tcPr>
            <w:tcW w:w="1639" w:type="dxa"/>
            <w:tcBorders>
              <w:top w:val="single" w:sz="4" w:space="0" w:color="000000"/>
              <w:left w:val="single" w:sz="4" w:space="0" w:color="000000"/>
              <w:bottom w:val="single" w:sz="4" w:space="0" w:color="000000"/>
              <w:right w:val="single" w:sz="4" w:space="0" w:color="000000"/>
            </w:tcBorders>
          </w:tcPr>
          <w:p w:rsidR="007765FC" w:rsidRPr="002E481B" w:rsidRDefault="007765FC" w:rsidP="00115B4C">
            <w:pPr>
              <w:rPr>
                <w:i/>
                <w:sz w:val="26"/>
                <w:szCs w:val="26"/>
              </w:rPr>
            </w:pPr>
            <w:r w:rsidRPr="002E481B">
              <w:rPr>
                <w:i/>
                <w:sz w:val="26"/>
                <w:szCs w:val="26"/>
              </w:rPr>
              <w:t>Projekta vienība, kas pārņem vai ievieš katru šīs tabulas A ailē minēto ES tiesību akta vienību, vai tiesību akts, kur attiecīgā ES tiesību akta vienība pārņemta vai ieviesta</w:t>
            </w:r>
          </w:p>
        </w:tc>
        <w:tc>
          <w:tcPr>
            <w:tcW w:w="2409" w:type="dxa"/>
            <w:tcBorders>
              <w:top w:val="single" w:sz="4" w:space="0" w:color="000000"/>
              <w:left w:val="single" w:sz="4" w:space="0" w:color="000000"/>
              <w:bottom w:val="single" w:sz="4" w:space="0" w:color="000000"/>
              <w:right w:val="single" w:sz="4" w:space="0" w:color="000000"/>
            </w:tcBorders>
          </w:tcPr>
          <w:p w:rsidR="007765FC" w:rsidRPr="002E481B" w:rsidRDefault="007765FC" w:rsidP="00115B4C">
            <w:pPr>
              <w:rPr>
                <w:i/>
                <w:sz w:val="26"/>
                <w:szCs w:val="26"/>
              </w:rPr>
            </w:pPr>
            <w:r w:rsidRPr="002E481B">
              <w:rPr>
                <w:i/>
                <w:sz w:val="26"/>
                <w:szCs w:val="26"/>
              </w:rPr>
              <w:t>Informācija par to, vai šīs tabulas A ailē minētās ES tiesību akta vienības tiek pārņemtas vai ieviestas pilnībā vai daļēji.</w:t>
            </w:r>
          </w:p>
          <w:p w:rsidR="007765FC" w:rsidRPr="002E481B" w:rsidRDefault="007765FC" w:rsidP="00115B4C">
            <w:pPr>
              <w:rPr>
                <w:i/>
                <w:sz w:val="26"/>
                <w:szCs w:val="26"/>
              </w:rPr>
            </w:pPr>
            <w:r w:rsidRPr="002E481B">
              <w:rPr>
                <w:i/>
                <w:sz w:val="26"/>
                <w:szCs w:val="26"/>
              </w:rPr>
              <w:t>Ja attiecīgā ES tiesību akta vienība tiek pārņemta vai ieviesta daļēji, – sniedz attiecīgu skaidrojumu, kā arī precīzi norāda, kad un kādā veidā ES tiesību akta vienība tiks pārņemta vai ieviesta pilnībā.</w:t>
            </w:r>
          </w:p>
          <w:p w:rsidR="007765FC" w:rsidRPr="002E481B" w:rsidRDefault="007765FC" w:rsidP="00115B4C">
            <w:pPr>
              <w:rPr>
                <w:i/>
                <w:sz w:val="26"/>
                <w:szCs w:val="26"/>
              </w:rPr>
            </w:pPr>
            <w:r w:rsidRPr="002E481B">
              <w:rPr>
                <w:i/>
                <w:sz w:val="26"/>
                <w:szCs w:val="26"/>
              </w:rPr>
              <w:t>Norāda institūciju, kas ir atbildīga par šo saistību izpildi pilnībā</w:t>
            </w:r>
          </w:p>
        </w:tc>
        <w:tc>
          <w:tcPr>
            <w:tcW w:w="2863" w:type="dxa"/>
            <w:tcBorders>
              <w:top w:val="single" w:sz="4" w:space="0" w:color="000000"/>
              <w:left w:val="single" w:sz="4" w:space="0" w:color="000000"/>
              <w:bottom w:val="single" w:sz="4" w:space="0" w:color="000000"/>
              <w:right w:val="single" w:sz="4" w:space="0" w:color="000000"/>
            </w:tcBorders>
          </w:tcPr>
          <w:p w:rsidR="007765FC" w:rsidRPr="002E481B" w:rsidRDefault="007765FC" w:rsidP="00115B4C">
            <w:pPr>
              <w:rPr>
                <w:i/>
                <w:sz w:val="26"/>
                <w:szCs w:val="26"/>
              </w:rPr>
            </w:pPr>
            <w:r w:rsidRPr="002E481B">
              <w:rPr>
                <w:i/>
                <w:sz w:val="26"/>
                <w:szCs w:val="26"/>
              </w:rPr>
              <w:t>Informācija par to, vai šīs tabulas B ailē minētās projekta vienības paredz stingrākas prasības nekā šīs tabulas A ailē minētās ES tiesību akta vienības.</w:t>
            </w:r>
          </w:p>
          <w:p w:rsidR="007765FC" w:rsidRPr="002E481B" w:rsidRDefault="007765FC" w:rsidP="00115B4C">
            <w:pPr>
              <w:rPr>
                <w:i/>
                <w:sz w:val="26"/>
                <w:szCs w:val="26"/>
              </w:rPr>
            </w:pPr>
            <w:r w:rsidRPr="002E481B">
              <w:rPr>
                <w:i/>
                <w:sz w:val="26"/>
                <w:szCs w:val="26"/>
              </w:rPr>
              <w:t>Ja projekts satur stingrākas prasības nekā attiecīgais ES tiesību akts, – norāda pamatojumu un samērīgumu.</w:t>
            </w:r>
          </w:p>
          <w:p w:rsidR="007765FC" w:rsidRPr="002E481B" w:rsidRDefault="007765FC" w:rsidP="00115B4C">
            <w:pPr>
              <w:rPr>
                <w:i/>
                <w:sz w:val="26"/>
                <w:szCs w:val="26"/>
              </w:rPr>
            </w:pPr>
            <w:r w:rsidRPr="002E481B">
              <w:rPr>
                <w:i/>
                <w:sz w:val="26"/>
                <w:szCs w:val="26"/>
              </w:rPr>
              <w:t>Norāda iespējamās alternatīvas (t.sk. alternatīvas, kas neparedz tiesiskā regulējuma izstrādi) – kādos gadījumos būtu iespējams izvairīties no stingrāku prasību noteikšanas, nekā paredzēts attiecīgajos ES tiesību aktos</w:t>
            </w:r>
          </w:p>
        </w:tc>
      </w:tr>
      <w:tr w:rsidR="007765FC" w:rsidRPr="002E481B" w:rsidTr="00115B4C">
        <w:tc>
          <w:tcPr>
            <w:tcW w:w="2297" w:type="dxa"/>
            <w:tcBorders>
              <w:top w:val="single" w:sz="4" w:space="0" w:color="000000"/>
              <w:left w:val="single" w:sz="4" w:space="0" w:color="000000"/>
              <w:bottom w:val="single" w:sz="4" w:space="0" w:color="000000"/>
              <w:right w:val="single" w:sz="4" w:space="0" w:color="000000"/>
            </w:tcBorders>
          </w:tcPr>
          <w:p w:rsidR="007765FC" w:rsidRPr="002E481B" w:rsidRDefault="007765FC" w:rsidP="00115B4C">
            <w:pPr>
              <w:rPr>
                <w:i/>
                <w:sz w:val="26"/>
                <w:szCs w:val="26"/>
              </w:rPr>
            </w:pPr>
            <w:r>
              <w:rPr>
                <w:i/>
                <w:sz w:val="26"/>
                <w:szCs w:val="26"/>
              </w:rPr>
              <w:t>Komisijas paziņojuma 3.2.</w:t>
            </w:r>
            <w:r w:rsidR="000710AE">
              <w:rPr>
                <w:i/>
                <w:sz w:val="26"/>
                <w:szCs w:val="26"/>
              </w:rPr>
              <w:t>apakš</w:t>
            </w:r>
            <w:r>
              <w:rPr>
                <w:i/>
                <w:sz w:val="26"/>
                <w:szCs w:val="26"/>
              </w:rPr>
              <w:t>punkta b</w:t>
            </w:r>
            <w:r w:rsidR="00640D46">
              <w:rPr>
                <w:i/>
                <w:sz w:val="26"/>
                <w:szCs w:val="26"/>
              </w:rPr>
              <w:t xml:space="preserve"> </w:t>
            </w:r>
            <w:r>
              <w:rPr>
                <w:i/>
                <w:sz w:val="26"/>
                <w:szCs w:val="26"/>
              </w:rPr>
              <w:t>)apakšpunkts</w:t>
            </w:r>
          </w:p>
        </w:tc>
        <w:tc>
          <w:tcPr>
            <w:tcW w:w="1639" w:type="dxa"/>
            <w:tcBorders>
              <w:top w:val="single" w:sz="4" w:space="0" w:color="000000"/>
              <w:left w:val="single" w:sz="4" w:space="0" w:color="000000"/>
              <w:bottom w:val="single" w:sz="4" w:space="0" w:color="000000"/>
              <w:right w:val="single" w:sz="4" w:space="0" w:color="000000"/>
            </w:tcBorders>
          </w:tcPr>
          <w:p w:rsidR="007765FC" w:rsidRPr="002E481B" w:rsidRDefault="007765FC" w:rsidP="00115B4C">
            <w:pPr>
              <w:jc w:val="center"/>
              <w:rPr>
                <w:i/>
                <w:sz w:val="26"/>
                <w:szCs w:val="26"/>
              </w:rPr>
            </w:pPr>
            <w:r>
              <w:rPr>
                <w:i/>
                <w:sz w:val="26"/>
                <w:szCs w:val="26"/>
              </w:rPr>
              <w:t>1</w:t>
            </w:r>
            <w:r w:rsidRPr="002E481B">
              <w:rPr>
                <w:i/>
                <w:sz w:val="26"/>
                <w:szCs w:val="26"/>
              </w:rPr>
              <w:t>.punkts</w:t>
            </w:r>
          </w:p>
        </w:tc>
        <w:tc>
          <w:tcPr>
            <w:tcW w:w="2409" w:type="dxa"/>
            <w:tcBorders>
              <w:top w:val="single" w:sz="4" w:space="0" w:color="000000"/>
              <w:left w:val="single" w:sz="4" w:space="0" w:color="000000"/>
              <w:bottom w:val="single" w:sz="4" w:space="0" w:color="000000"/>
              <w:right w:val="single" w:sz="4" w:space="0" w:color="000000"/>
            </w:tcBorders>
          </w:tcPr>
          <w:p w:rsidR="007765FC" w:rsidRPr="002E481B" w:rsidRDefault="007765FC" w:rsidP="00115B4C">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rsidR="007765FC" w:rsidRPr="002E481B" w:rsidRDefault="007765FC" w:rsidP="00115B4C">
            <w:pPr>
              <w:jc w:val="center"/>
              <w:rPr>
                <w:i/>
                <w:sz w:val="26"/>
                <w:szCs w:val="26"/>
              </w:rPr>
            </w:pPr>
            <w:r w:rsidRPr="002E481B">
              <w:rPr>
                <w:i/>
                <w:iCs/>
                <w:color w:val="000000"/>
                <w:sz w:val="26"/>
                <w:szCs w:val="26"/>
              </w:rPr>
              <w:t>Neparedz stingrākas prasības</w:t>
            </w:r>
          </w:p>
        </w:tc>
      </w:tr>
      <w:tr w:rsidR="007765FC" w:rsidRPr="002E481B" w:rsidTr="00115B4C">
        <w:tc>
          <w:tcPr>
            <w:tcW w:w="2297" w:type="dxa"/>
            <w:tcBorders>
              <w:top w:val="single" w:sz="4" w:space="0" w:color="000000"/>
              <w:left w:val="single" w:sz="4" w:space="0" w:color="000000"/>
              <w:bottom w:val="single" w:sz="4" w:space="0" w:color="000000"/>
              <w:right w:val="single" w:sz="4" w:space="0" w:color="000000"/>
            </w:tcBorders>
          </w:tcPr>
          <w:p w:rsidR="007765FC" w:rsidRPr="00640D46" w:rsidRDefault="00640D46" w:rsidP="00115B4C">
            <w:pPr>
              <w:rPr>
                <w:i/>
                <w:sz w:val="26"/>
                <w:szCs w:val="26"/>
              </w:rPr>
            </w:pPr>
            <w:r w:rsidRPr="00640D46">
              <w:rPr>
                <w:i/>
                <w:sz w:val="26"/>
                <w:szCs w:val="26"/>
              </w:rPr>
              <w:t>Komisijas paziņojuma 3.2.</w:t>
            </w:r>
            <w:r w:rsidR="000710AE">
              <w:rPr>
                <w:i/>
                <w:sz w:val="26"/>
                <w:szCs w:val="26"/>
              </w:rPr>
              <w:t>apakš</w:t>
            </w:r>
            <w:r w:rsidRPr="00640D46">
              <w:rPr>
                <w:i/>
                <w:sz w:val="26"/>
                <w:szCs w:val="26"/>
              </w:rPr>
              <w:t>punkta c) apakšpunkts</w:t>
            </w:r>
          </w:p>
        </w:tc>
        <w:tc>
          <w:tcPr>
            <w:tcW w:w="1639" w:type="dxa"/>
            <w:tcBorders>
              <w:top w:val="single" w:sz="4" w:space="0" w:color="000000"/>
              <w:left w:val="single" w:sz="4" w:space="0" w:color="000000"/>
              <w:bottom w:val="single" w:sz="4" w:space="0" w:color="000000"/>
              <w:right w:val="single" w:sz="4" w:space="0" w:color="000000"/>
            </w:tcBorders>
          </w:tcPr>
          <w:p w:rsidR="007765FC" w:rsidRPr="00640D46" w:rsidRDefault="007765FC" w:rsidP="00115B4C">
            <w:pPr>
              <w:jc w:val="center"/>
              <w:rPr>
                <w:i/>
                <w:sz w:val="26"/>
                <w:szCs w:val="26"/>
              </w:rPr>
            </w:pPr>
            <w:r w:rsidRPr="00640D46">
              <w:rPr>
                <w:i/>
                <w:sz w:val="26"/>
                <w:szCs w:val="26"/>
              </w:rPr>
              <w:t>2.punkts</w:t>
            </w:r>
          </w:p>
        </w:tc>
        <w:tc>
          <w:tcPr>
            <w:tcW w:w="2409" w:type="dxa"/>
            <w:tcBorders>
              <w:top w:val="single" w:sz="4" w:space="0" w:color="000000"/>
              <w:left w:val="single" w:sz="4" w:space="0" w:color="000000"/>
              <w:bottom w:val="single" w:sz="4" w:space="0" w:color="000000"/>
              <w:right w:val="single" w:sz="4" w:space="0" w:color="000000"/>
            </w:tcBorders>
          </w:tcPr>
          <w:p w:rsidR="007765FC" w:rsidRPr="00640D46" w:rsidRDefault="007765FC" w:rsidP="00115B4C">
            <w:pPr>
              <w:jc w:val="center"/>
              <w:rPr>
                <w:i/>
                <w:sz w:val="26"/>
                <w:szCs w:val="26"/>
              </w:rPr>
            </w:pPr>
            <w:r w:rsidRPr="00640D46">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rsidR="007765FC" w:rsidRPr="00640D46" w:rsidRDefault="007765FC" w:rsidP="00115B4C">
            <w:pPr>
              <w:jc w:val="center"/>
              <w:rPr>
                <w:i/>
                <w:iCs/>
                <w:color w:val="000000"/>
                <w:sz w:val="26"/>
                <w:szCs w:val="26"/>
              </w:rPr>
            </w:pPr>
            <w:r w:rsidRPr="00640D46">
              <w:rPr>
                <w:i/>
                <w:iCs/>
                <w:color w:val="000000"/>
                <w:sz w:val="26"/>
                <w:szCs w:val="26"/>
              </w:rPr>
              <w:t>Neparedz stingrākas prasības</w:t>
            </w:r>
          </w:p>
        </w:tc>
      </w:tr>
      <w:tr w:rsidR="007765FC" w:rsidRPr="002E481B" w:rsidTr="00115B4C">
        <w:tc>
          <w:tcPr>
            <w:tcW w:w="3936" w:type="dxa"/>
            <w:gridSpan w:val="2"/>
            <w:tcBorders>
              <w:top w:val="single" w:sz="4" w:space="0" w:color="000000"/>
              <w:left w:val="single" w:sz="4" w:space="0" w:color="000000"/>
              <w:bottom w:val="single" w:sz="4" w:space="0" w:color="000000"/>
              <w:right w:val="single" w:sz="4" w:space="0" w:color="000000"/>
            </w:tcBorders>
          </w:tcPr>
          <w:p w:rsidR="007765FC" w:rsidRPr="002E481B" w:rsidRDefault="007765FC" w:rsidP="00115B4C">
            <w:pPr>
              <w:rPr>
                <w:sz w:val="26"/>
                <w:szCs w:val="26"/>
              </w:rPr>
            </w:pPr>
            <w:r w:rsidRPr="002E481B">
              <w:rPr>
                <w:sz w:val="26"/>
                <w:szCs w:val="26"/>
              </w:rPr>
              <w:t xml:space="preserve">Kā ir izmantota ES tiesību aktā paredzētā rīcības brīvība </w:t>
            </w:r>
            <w:r w:rsidRPr="002E481B">
              <w:rPr>
                <w:sz w:val="26"/>
                <w:szCs w:val="26"/>
              </w:rPr>
              <w:lastRenderedPageBreak/>
              <w:t>dalībvalstij pārņemt vai ieviest noteiktas ES tiesību akta normas?</w:t>
            </w:r>
          </w:p>
        </w:tc>
        <w:tc>
          <w:tcPr>
            <w:tcW w:w="5272" w:type="dxa"/>
            <w:gridSpan w:val="2"/>
            <w:tcBorders>
              <w:top w:val="single" w:sz="4" w:space="0" w:color="000000"/>
              <w:left w:val="single" w:sz="4" w:space="0" w:color="000000"/>
              <w:bottom w:val="single" w:sz="4" w:space="0" w:color="000000"/>
              <w:right w:val="single" w:sz="4" w:space="0" w:color="000000"/>
            </w:tcBorders>
          </w:tcPr>
          <w:p w:rsidR="007765FC" w:rsidRPr="002E481B" w:rsidRDefault="007765FC" w:rsidP="00115B4C">
            <w:pPr>
              <w:rPr>
                <w:sz w:val="26"/>
                <w:szCs w:val="26"/>
              </w:rPr>
            </w:pPr>
            <w:r w:rsidRPr="002E481B">
              <w:rPr>
                <w:sz w:val="26"/>
                <w:szCs w:val="26"/>
              </w:rPr>
              <w:lastRenderedPageBreak/>
              <w:t xml:space="preserve"> -</w:t>
            </w:r>
          </w:p>
        </w:tc>
      </w:tr>
      <w:tr w:rsidR="007765FC" w:rsidRPr="002E481B" w:rsidTr="00115B4C">
        <w:tc>
          <w:tcPr>
            <w:tcW w:w="3936" w:type="dxa"/>
            <w:gridSpan w:val="2"/>
            <w:tcBorders>
              <w:top w:val="single" w:sz="4" w:space="0" w:color="000000"/>
              <w:left w:val="single" w:sz="4" w:space="0" w:color="000000"/>
              <w:bottom w:val="single" w:sz="4" w:space="0" w:color="000000"/>
              <w:right w:val="single" w:sz="4" w:space="0" w:color="000000"/>
            </w:tcBorders>
          </w:tcPr>
          <w:p w:rsidR="007765FC" w:rsidRPr="002E481B" w:rsidRDefault="007765FC" w:rsidP="00115B4C">
            <w:pPr>
              <w:rPr>
                <w:i/>
                <w:sz w:val="26"/>
                <w:szCs w:val="26"/>
              </w:rPr>
            </w:pPr>
            <w:r w:rsidRPr="002E481B">
              <w:rPr>
                <w:sz w:val="26"/>
                <w:szCs w:val="26"/>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272" w:type="dxa"/>
            <w:gridSpan w:val="2"/>
            <w:tcBorders>
              <w:top w:val="single" w:sz="4" w:space="0" w:color="000000"/>
              <w:left w:val="single" w:sz="4" w:space="0" w:color="000000"/>
              <w:bottom w:val="single" w:sz="4" w:space="0" w:color="000000"/>
              <w:right w:val="single" w:sz="4" w:space="0" w:color="000000"/>
            </w:tcBorders>
          </w:tcPr>
          <w:p w:rsidR="007765FC" w:rsidRPr="002E481B" w:rsidRDefault="007765FC" w:rsidP="00115B4C">
            <w:pPr>
              <w:jc w:val="both"/>
              <w:rPr>
                <w:sz w:val="26"/>
                <w:szCs w:val="26"/>
              </w:rPr>
            </w:pPr>
            <w:r w:rsidRPr="002E481B">
              <w:rPr>
                <w:sz w:val="26"/>
                <w:szCs w:val="26"/>
              </w:rPr>
              <w:t>Projekts šo jomu neskar.</w:t>
            </w:r>
          </w:p>
        </w:tc>
      </w:tr>
      <w:tr w:rsidR="007765FC" w:rsidRPr="002E481B" w:rsidTr="00115B4C">
        <w:tc>
          <w:tcPr>
            <w:tcW w:w="3936" w:type="dxa"/>
            <w:gridSpan w:val="2"/>
            <w:tcBorders>
              <w:top w:val="single" w:sz="4" w:space="0" w:color="000000"/>
              <w:left w:val="single" w:sz="4" w:space="0" w:color="000000"/>
              <w:bottom w:val="single" w:sz="4" w:space="0" w:color="000000"/>
              <w:right w:val="single" w:sz="4" w:space="0" w:color="000000"/>
            </w:tcBorders>
          </w:tcPr>
          <w:p w:rsidR="007765FC" w:rsidRPr="002E481B" w:rsidRDefault="007765FC" w:rsidP="00115B4C">
            <w:pPr>
              <w:pStyle w:val="naiskr"/>
              <w:rPr>
                <w:rFonts w:ascii="Times New Roman" w:hAnsi="Times New Roman"/>
                <w:i/>
                <w:sz w:val="26"/>
                <w:szCs w:val="26"/>
              </w:rPr>
            </w:pPr>
            <w:r w:rsidRPr="002E481B">
              <w:rPr>
                <w:rFonts w:ascii="Times New Roman" w:hAnsi="Times New Roman"/>
                <w:sz w:val="26"/>
                <w:szCs w:val="26"/>
              </w:rPr>
              <w:t>Cita informācija</w:t>
            </w:r>
          </w:p>
        </w:tc>
        <w:tc>
          <w:tcPr>
            <w:tcW w:w="5272" w:type="dxa"/>
            <w:gridSpan w:val="2"/>
            <w:tcBorders>
              <w:top w:val="single" w:sz="4" w:space="0" w:color="000000"/>
              <w:left w:val="single" w:sz="4" w:space="0" w:color="000000"/>
              <w:bottom w:val="single" w:sz="4" w:space="0" w:color="000000"/>
              <w:right w:val="single" w:sz="4" w:space="0" w:color="000000"/>
            </w:tcBorders>
          </w:tcPr>
          <w:p w:rsidR="007765FC" w:rsidRPr="002E481B" w:rsidRDefault="007765FC" w:rsidP="00115B4C">
            <w:pPr>
              <w:rPr>
                <w:sz w:val="26"/>
                <w:szCs w:val="26"/>
              </w:rPr>
            </w:pPr>
            <w:r w:rsidRPr="002E481B">
              <w:rPr>
                <w:sz w:val="26"/>
                <w:szCs w:val="26"/>
              </w:rPr>
              <w:t>Nav.</w:t>
            </w:r>
          </w:p>
        </w:tc>
      </w:tr>
    </w:tbl>
    <w:p w:rsidR="007765FC" w:rsidRDefault="007765FC" w:rsidP="007765FC">
      <w:pPr>
        <w:rPr>
          <w:sz w:val="26"/>
          <w:szCs w:val="26"/>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260"/>
      </w:tblGrid>
      <w:tr w:rsidR="00213212" w:rsidRPr="00822B60" w:rsidTr="00922B82">
        <w:tc>
          <w:tcPr>
            <w:tcW w:w="9208" w:type="dxa"/>
            <w:gridSpan w:val="3"/>
            <w:tcBorders>
              <w:top w:val="single" w:sz="4" w:space="0" w:color="auto"/>
              <w:left w:val="single" w:sz="4" w:space="0" w:color="auto"/>
              <w:bottom w:val="single" w:sz="4" w:space="0" w:color="auto"/>
              <w:right w:val="single" w:sz="4" w:space="0" w:color="auto"/>
            </w:tcBorders>
            <w:hideMark/>
          </w:tcPr>
          <w:p w:rsidR="00213212" w:rsidRPr="00213212" w:rsidRDefault="00213212" w:rsidP="00922B82">
            <w:pPr>
              <w:jc w:val="center"/>
              <w:rPr>
                <w:b/>
                <w:color w:val="000000"/>
                <w:sz w:val="26"/>
                <w:szCs w:val="26"/>
              </w:rPr>
            </w:pPr>
            <w:r w:rsidRPr="00213212">
              <w:rPr>
                <w:b/>
                <w:color w:val="000000"/>
                <w:sz w:val="26"/>
                <w:szCs w:val="26"/>
              </w:rPr>
              <w:t>2.tabula. Ar tiesību akta projektu uzņemtās saistības, kas izriet no starptautiskajiem tiesību aktiem vai starptautiskas institūcijas vai organizācijas dokumentiem</w:t>
            </w:r>
          </w:p>
          <w:p w:rsidR="00213212" w:rsidRPr="00213212" w:rsidRDefault="00213212" w:rsidP="00922B82">
            <w:pPr>
              <w:jc w:val="center"/>
              <w:rPr>
                <w:rFonts w:eastAsia="PMingLiU"/>
                <w:color w:val="000000"/>
                <w:sz w:val="26"/>
                <w:szCs w:val="26"/>
              </w:rPr>
            </w:pPr>
            <w:r w:rsidRPr="00213212">
              <w:rPr>
                <w:rFonts w:eastAsia="PMingLiU"/>
                <w:b/>
                <w:color w:val="000000"/>
                <w:sz w:val="26"/>
                <w:szCs w:val="26"/>
                <w:lang w:eastAsia="ja-JP"/>
              </w:rPr>
              <w:t>Pasākumi šo saistību izpildei</w:t>
            </w:r>
          </w:p>
        </w:tc>
      </w:tr>
      <w:tr w:rsidR="00213212" w:rsidRPr="00822B60" w:rsidTr="00922B82">
        <w:tc>
          <w:tcPr>
            <w:tcW w:w="3384" w:type="dxa"/>
            <w:tcBorders>
              <w:top w:val="single" w:sz="4" w:space="0" w:color="auto"/>
              <w:left w:val="single" w:sz="4" w:space="0" w:color="auto"/>
              <w:bottom w:val="single" w:sz="4" w:space="0" w:color="auto"/>
              <w:right w:val="single" w:sz="4" w:space="0" w:color="auto"/>
            </w:tcBorders>
            <w:hideMark/>
          </w:tcPr>
          <w:p w:rsidR="00213212" w:rsidRPr="00213212" w:rsidRDefault="00213212" w:rsidP="00922B82">
            <w:pPr>
              <w:rPr>
                <w:rFonts w:eastAsia="PMingLiU"/>
                <w:color w:val="000000"/>
                <w:sz w:val="26"/>
                <w:szCs w:val="26"/>
              </w:rPr>
            </w:pPr>
            <w:r w:rsidRPr="00213212">
              <w:rPr>
                <w:rFonts w:eastAsia="PMingLiU"/>
                <w:color w:val="000000"/>
                <w:sz w:val="26"/>
                <w:szCs w:val="26"/>
                <w:lang w:eastAsia="ja-JP"/>
              </w:rPr>
              <w:t>Attiecīgā starptautiskā tiesību akta vai starptautiskas institūcijas vai organizācijas dokumenta (turpmāk – starptautiskais dokuments) datums, numurs un nosaukums</w:t>
            </w:r>
          </w:p>
        </w:tc>
        <w:tc>
          <w:tcPr>
            <w:tcW w:w="5824" w:type="dxa"/>
            <w:gridSpan w:val="2"/>
            <w:tcBorders>
              <w:top w:val="single" w:sz="4" w:space="0" w:color="auto"/>
              <w:left w:val="single" w:sz="4" w:space="0" w:color="auto"/>
              <w:bottom w:val="single" w:sz="4" w:space="0" w:color="auto"/>
              <w:right w:val="single" w:sz="4" w:space="0" w:color="auto"/>
            </w:tcBorders>
            <w:hideMark/>
          </w:tcPr>
          <w:p w:rsidR="00213212" w:rsidRPr="00213212" w:rsidRDefault="00213212" w:rsidP="00922B82">
            <w:pPr>
              <w:tabs>
                <w:tab w:val="left" w:pos="325"/>
              </w:tabs>
              <w:rPr>
                <w:rFonts w:eastAsia="PMingLiU"/>
                <w:i/>
                <w:color w:val="000000"/>
                <w:sz w:val="26"/>
                <w:szCs w:val="26"/>
              </w:rPr>
            </w:pPr>
            <w:r w:rsidRPr="00213212">
              <w:rPr>
                <w:rFonts w:eastAsia="PMingLiU"/>
                <w:iCs/>
                <w:color w:val="000000"/>
                <w:sz w:val="26"/>
                <w:szCs w:val="26"/>
                <w:lang w:eastAsia="ja-JP"/>
              </w:rPr>
              <w:t>Noteikumu projekts šo jomu neskar.</w:t>
            </w:r>
          </w:p>
        </w:tc>
      </w:tr>
      <w:tr w:rsidR="00213212" w:rsidRPr="00822B60" w:rsidTr="00922B82">
        <w:tc>
          <w:tcPr>
            <w:tcW w:w="3384" w:type="dxa"/>
            <w:tcBorders>
              <w:top w:val="single" w:sz="4" w:space="0" w:color="auto"/>
              <w:left w:val="single" w:sz="4" w:space="0" w:color="auto"/>
              <w:bottom w:val="single" w:sz="4" w:space="0" w:color="auto"/>
              <w:right w:val="single" w:sz="4" w:space="0" w:color="auto"/>
            </w:tcBorders>
            <w:hideMark/>
          </w:tcPr>
          <w:p w:rsidR="00213212" w:rsidRPr="00213212" w:rsidRDefault="00213212" w:rsidP="00922B82">
            <w:pPr>
              <w:jc w:val="center"/>
              <w:rPr>
                <w:rFonts w:eastAsia="PMingLiU"/>
                <w:color w:val="000000"/>
                <w:sz w:val="26"/>
                <w:szCs w:val="26"/>
              </w:rPr>
            </w:pPr>
            <w:r w:rsidRPr="00213212">
              <w:rPr>
                <w:rFonts w:eastAsia="PMingLiU"/>
                <w:color w:val="000000"/>
                <w:sz w:val="26"/>
                <w:szCs w:val="26"/>
                <w:lang w:eastAsia="ja-JP"/>
              </w:rPr>
              <w:t>A</w:t>
            </w:r>
          </w:p>
        </w:tc>
        <w:tc>
          <w:tcPr>
            <w:tcW w:w="2564" w:type="dxa"/>
            <w:tcBorders>
              <w:top w:val="single" w:sz="4" w:space="0" w:color="auto"/>
              <w:left w:val="single" w:sz="4" w:space="0" w:color="auto"/>
              <w:bottom w:val="single" w:sz="4" w:space="0" w:color="auto"/>
              <w:right w:val="single" w:sz="4" w:space="0" w:color="auto"/>
            </w:tcBorders>
            <w:hideMark/>
          </w:tcPr>
          <w:p w:rsidR="00213212" w:rsidRPr="00213212" w:rsidRDefault="00213212" w:rsidP="00922B82">
            <w:pPr>
              <w:jc w:val="center"/>
              <w:rPr>
                <w:rFonts w:eastAsia="PMingLiU"/>
                <w:color w:val="000000"/>
                <w:sz w:val="26"/>
                <w:szCs w:val="26"/>
              </w:rPr>
            </w:pPr>
            <w:r w:rsidRPr="00213212">
              <w:rPr>
                <w:rFonts w:eastAsia="PMingLiU"/>
                <w:color w:val="000000"/>
                <w:sz w:val="26"/>
                <w:szCs w:val="26"/>
                <w:lang w:eastAsia="ja-JP"/>
              </w:rPr>
              <w:t>B</w:t>
            </w:r>
          </w:p>
        </w:tc>
        <w:tc>
          <w:tcPr>
            <w:tcW w:w="3260" w:type="dxa"/>
            <w:tcBorders>
              <w:top w:val="single" w:sz="4" w:space="0" w:color="auto"/>
              <w:left w:val="single" w:sz="4" w:space="0" w:color="auto"/>
              <w:bottom w:val="single" w:sz="4" w:space="0" w:color="auto"/>
              <w:right w:val="single" w:sz="4" w:space="0" w:color="auto"/>
            </w:tcBorders>
            <w:hideMark/>
          </w:tcPr>
          <w:p w:rsidR="00213212" w:rsidRPr="00213212" w:rsidRDefault="00213212" w:rsidP="00922B82">
            <w:pPr>
              <w:jc w:val="center"/>
              <w:rPr>
                <w:rFonts w:eastAsia="PMingLiU"/>
                <w:color w:val="000000"/>
                <w:sz w:val="26"/>
                <w:szCs w:val="26"/>
              </w:rPr>
            </w:pPr>
            <w:r w:rsidRPr="00213212">
              <w:rPr>
                <w:rFonts w:eastAsia="PMingLiU"/>
                <w:color w:val="000000"/>
                <w:sz w:val="26"/>
                <w:szCs w:val="26"/>
                <w:lang w:eastAsia="ja-JP"/>
              </w:rPr>
              <w:t>C</w:t>
            </w:r>
          </w:p>
        </w:tc>
      </w:tr>
      <w:tr w:rsidR="00213212" w:rsidRPr="00822B60" w:rsidTr="00922B82">
        <w:tc>
          <w:tcPr>
            <w:tcW w:w="3384" w:type="dxa"/>
            <w:tcBorders>
              <w:top w:val="single" w:sz="4" w:space="0" w:color="auto"/>
              <w:left w:val="single" w:sz="4" w:space="0" w:color="auto"/>
              <w:bottom w:val="single" w:sz="4" w:space="0" w:color="auto"/>
              <w:right w:val="single" w:sz="4" w:space="0" w:color="auto"/>
            </w:tcBorders>
            <w:hideMark/>
          </w:tcPr>
          <w:p w:rsidR="00213212" w:rsidRPr="00213212" w:rsidRDefault="00213212" w:rsidP="00922B82">
            <w:pPr>
              <w:rPr>
                <w:rFonts w:eastAsia="PMingLiU"/>
                <w:color w:val="000000"/>
                <w:sz w:val="26"/>
                <w:szCs w:val="26"/>
                <w:lang w:eastAsia="ja-JP"/>
              </w:rPr>
            </w:pPr>
            <w:r w:rsidRPr="00213212">
              <w:rPr>
                <w:rFonts w:eastAsia="PMingLiU"/>
                <w:color w:val="000000"/>
                <w:sz w:val="26"/>
                <w:szCs w:val="26"/>
                <w:lang w:eastAsia="ja-JP"/>
              </w:rPr>
              <w:t>Starptautiskās saistības (pēc būtības), kas izriet no norādītā starptautiskā dokumenta.</w:t>
            </w:r>
          </w:p>
          <w:p w:rsidR="00213212" w:rsidRPr="00213212" w:rsidRDefault="00213212" w:rsidP="00922B82">
            <w:pPr>
              <w:rPr>
                <w:rFonts w:eastAsia="PMingLiU"/>
                <w:color w:val="000000"/>
                <w:sz w:val="26"/>
                <w:szCs w:val="26"/>
              </w:rPr>
            </w:pPr>
            <w:r w:rsidRPr="00213212">
              <w:rPr>
                <w:rFonts w:eastAsia="PMingLiU"/>
                <w:color w:val="000000"/>
                <w:sz w:val="26"/>
                <w:szCs w:val="26"/>
                <w:lang w:eastAsia="ja-JP"/>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rsidR="00213212" w:rsidRPr="00213212" w:rsidRDefault="00213212" w:rsidP="00922B82">
            <w:pPr>
              <w:rPr>
                <w:rFonts w:eastAsia="PMingLiU"/>
                <w:color w:val="000000"/>
                <w:sz w:val="26"/>
                <w:szCs w:val="26"/>
              </w:rPr>
            </w:pPr>
            <w:r w:rsidRPr="00213212">
              <w:rPr>
                <w:rFonts w:eastAsia="PMingLiU"/>
                <w:color w:val="000000"/>
                <w:sz w:val="26"/>
                <w:szCs w:val="26"/>
                <w:lang w:eastAsia="ja-JP"/>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single" w:sz="4" w:space="0" w:color="auto"/>
              <w:left w:val="single" w:sz="4" w:space="0" w:color="auto"/>
              <w:bottom w:val="single" w:sz="4" w:space="0" w:color="auto"/>
              <w:right w:val="single" w:sz="4" w:space="0" w:color="auto"/>
            </w:tcBorders>
            <w:hideMark/>
          </w:tcPr>
          <w:p w:rsidR="00213212" w:rsidRPr="00213212" w:rsidRDefault="00213212" w:rsidP="00922B82">
            <w:pPr>
              <w:rPr>
                <w:rFonts w:eastAsia="PMingLiU"/>
                <w:color w:val="000000"/>
                <w:sz w:val="26"/>
                <w:szCs w:val="26"/>
                <w:lang w:eastAsia="ja-JP"/>
              </w:rPr>
            </w:pPr>
            <w:r w:rsidRPr="00213212">
              <w:rPr>
                <w:rFonts w:eastAsia="PMingLiU"/>
                <w:color w:val="000000"/>
                <w:sz w:val="26"/>
                <w:szCs w:val="26"/>
                <w:lang w:eastAsia="ja-JP"/>
              </w:rPr>
              <w:t>Informācija par to, vai starptautiskās saistības, kas minētas šīs tabulas A ailē, tiek izpildītas pilnībā vai daļēji.</w:t>
            </w:r>
          </w:p>
          <w:p w:rsidR="00213212" w:rsidRPr="00213212" w:rsidRDefault="00213212" w:rsidP="00922B82">
            <w:pPr>
              <w:rPr>
                <w:rFonts w:eastAsia="PMingLiU"/>
                <w:color w:val="000000"/>
                <w:sz w:val="26"/>
                <w:szCs w:val="26"/>
                <w:lang w:eastAsia="ja-JP"/>
              </w:rPr>
            </w:pPr>
            <w:r w:rsidRPr="00213212">
              <w:rPr>
                <w:rFonts w:eastAsia="PMingLiU"/>
                <w:color w:val="000000"/>
                <w:sz w:val="26"/>
                <w:szCs w:val="26"/>
                <w:lang w:eastAsia="ja-JP"/>
              </w:rPr>
              <w:t>Ja attiecīgās starptautiskās saistības tiek izpildītas daļēji, sniedz attiecīgu skaidrojumu, kā arī precīzi norāda, kad un kādā veidā starptautiskās saistības tiks izpildītas pilnībā.</w:t>
            </w:r>
          </w:p>
          <w:p w:rsidR="00213212" w:rsidRPr="00213212" w:rsidRDefault="00213212" w:rsidP="00922B82">
            <w:pPr>
              <w:rPr>
                <w:rFonts w:eastAsia="PMingLiU"/>
                <w:color w:val="000000"/>
                <w:sz w:val="26"/>
                <w:szCs w:val="26"/>
              </w:rPr>
            </w:pPr>
            <w:r w:rsidRPr="00213212">
              <w:rPr>
                <w:rFonts w:eastAsia="PMingLiU"/>
                <w:color w:val="000000"/>
                <w:sz w:val="26"/>
                <w:szCs w:val="26"/>
                <w:lang w:eastAsia="ja-JP"/>
              </w:rPr>
              <w:t>Norāda institūciju, kas ir atbildīga par šo saistību izpildi pilnībā</w:t>
            </w:r>
          </w:p>
        </w:tc>
      </w:tr>
      <w:tr w:rsidR="00213212" w:rsidRPr="00822B60" w:rsidTr="00922B82">
        <w:tc>
          <w:tcPr>
            <w:tcW w:w="3384" w:type="dxa"/>
            <w:tcBorders>
              <w:top w:val="single" w:sz="4" w:space="0" w:color="auto"/>
              <w:left w:val="single" w:sz="4" w:space="0" w:color="auto"/>
              <w:bottom w:val="single" w:sz="4" w:space="0" w:color="auto"/>
              <w:right w:val="single" w:sz="4" w:space="0" w:color="auto"/>
            </w:tcBorders>
            <w:hideMark/>
          </w:tcPr>
          <w:p w:rsidR="00213212" w:rsidRPr="00213212" w:rsidRDefault="00213212" w:rsidP="00922B82">
            <w:pPr>
              <w:rPr>
                <w:rFonts w:eastAsia="PMingLiU"/>
                <w:color w:val="000000"/>
                <w:sz w:val="26"/>
                <w:szCs w:val="26"/>
              </w:rPr>
            </w:pPr>
            <w:r w:rsidRPr="00213212">
              <w:rPr>
                <w:rFonts w:eastAsia="PMingLiU"/>
                <w:iCs/>
                <w:color w:val="000000"/>
                <w:sz w:val="26"/>
                <w:szCs w:val="26"/>
                <w:lang w:eastAsia="ja-JP"/>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rsidR="00213212" w:rsidRPr="00213212" w:rsidRDefault="00213212" w:rsidP="00922B82">
            <w:pPr>
              <w:rPr>
                <w:rFonts w:eastAsia="PMingLiU"/>
                <w:color w:val="000000"/>
                <w:sz w:val="26"/>
                <w:szCs w:val="26"/>
              </w:rPr>
            </w:pPr>
            <w:r w:rsidRPr="00213212">
              <w:rPr>
                <w:rFonts w:eastAsia="PMingLiU"/>
                <w:iCs/>
                <w:color w:val="000000"/>
                <w:sz w:val="26"/>
                <w:szCs w:val="26"/>
                <w:lang w:eastAsia="ja-JP"/>
              </w:rPr>
              <w:t>Noteikumu projekts šo jomu neskar.</w:t>
            </w:r>
          </w:p>
        </w:tc>
        <w:tc>
          <w:tcPr>
            <w:tcW w:w="3260" w:type="dxa"/>
            <w:tcBorders>
              <w:top w:val="single" w:sz="4" w:space="0" w:color="auto"/>
              <w:left w:val="single" w:sz="4" w:space="0" w:color="auto"/>
              <w:bottom w:val="single" w:sz="4" w:space="0" w:color="auto"/>
              <w:right w:val="single" w:sz="4" w:space="0" w:color="auto"/>
            </w:tcBorders>
            <w:hideMark/>
          </w:tcPr>
          <w:p w:rsidR="00213212" w:rsidRPr="00213212" w:rsidRDefault="00213212" w:rsidP="00922B82">
            <w:pPr>
              <w:rPr>
                <w:rFonts w:eastAsia="PMingLiU"/>
                <w:color w:val="000000"/>
                <w:sz w:val="26"/>
                <w:szCs w:val="26"/>
              </w:rPr>
            </w:pPr>
            <w:r w:rsidRPr="00213212">
              <w:rPr>
                <w:rFonts w:eastAsia="PMingLiU"/>
                <w:iCs/>
                <w:color w:val="000000"/>
                <w:sz w:val="26"/>
                <w:szCs w:val="26"/>
                <w:lang w:eastAsia="ja-JP"/>
              </w:rPr>
              <w:t>Noteikumu projekts šo jomu neskar.</w:t>
            </w:r>
          </w:p>
        </w:tc>
      </w:tr>
      <w:tr w:rsidR="00213212" w:rsidRPr="00822B60" w:rsidTr="00922B82">
        <w:tc>
          <w:tcPr>
            <w:tcW w:w="3384" w:type="dxa"/>
            <w:tcBorders>
              <w:top w:val="single" w:sz="4" w:space="0" w:color="auto"/>
              <w:left w:val="single" w:sz="4" w:space="0" w:color="auto"/>
              <w:bottom w:val="single" w:sz="4" w:space="0" w:color="auto"/>
              <w:right w:val="single" w:sz="4" w:space="0" w:color="auto"/>
            </w:tcBorders>
            <w:hideMark/>
          </w:tcPr>
          <w:p w:rsidR="00213212" w:rsidRPr="00213212" w:rsidRDefault="00213212" w:rsidP="00922B82">
            <w:pPr>
              <w:rPr>
                <w:rFonts w:eastAsia="PMingLiU"/>
                <w:color w:val="000000"/>
                <w:sz w:val="26"/>
                <w:szCs w:val="26"/>
              </w:rPr>
            </w:pPr>
            <w:r w:rsidRPr="00213212">
              <w:rPr>
                <w:rFonts w:eastAsia="PMingLiU"/>
                <w:color w:val="000000"/>
                <w:sz w:val="26"/>
                <w:szCs w:val="26"/>
                <w:lang w:eastAsia="ja-JP"/>
              </w:rPr>
              <w:t>Vai starptautiskajā dokumentā paredzētās saistības nav pretrunā ar jau esošajām Latvijas Republikas starptautiskajām saistībām</w:t>
            </w:r>
          </w:p>
        </w:tc>
        <w:tc>
          <w:tcPr>
            <w:tcW w:w="5824" w:type="dxa"/>
            <w:gridSpan w:val="2"/>
            <w:tcBorders>
              <w:top w:val="single" w:sz="4" w:space="0" w:color="auto"/>
              <w:left w:val="single" w:sz="4" w:space="0" w:color="auto"/>
              <w:bottom w:val="single" w:sz="4" w:space="0" w:color="auto"/>
              <w:right w:val="single" w:sz="4" w:space="0" w:color="auto"/>
            </w:tcBorders>
            <w:hideMark/>
          </w:tcPr>
          <w:p w:rsidR="00213212" w:rsidRPr="00213212" w:rsidRDefault="00213212" w:rsidP="00922B82">
            <w:pPr>
              <w:rPr>
                <w:rFonts w:eastAsia="PMingLiU"/>
                <w:i/>
                <w:color w:val="000000"/>
                <w:sz w:val="26"/>
                <w:szCs w:val="26"/>
              </w:rPr>
            </w:pPr>
            <w:r w:rsidRPr="00213212">
              <w:rPr>
                <w:rFonts w:eastAsia="PMingLiU"/>
                <w:iCs/>
                <w:color w:val="000000"/>
                <w:sz w:val="26"/>
                <w:szCs w:val="26"/>
                <w:lang w:eastAsia="ja-JP"/>
              </w:rPr>
              <w:t>Noteikumu projekts šo jomu neskar.</w:t>
            </w:r>
          </w:p>
        </w:tc>
      </w:tr>
      <w:tr w:rsidR="00213212" w:rsidRPr="00822B60" w:rsidTr="00922B82">
        <w:tc>
          <w:tcPr>
            <w:tcW w:w="3384" w:type="dxa"/>
            <w:tcBorders>
              <w:top w:val="single" w:sz="4" w:space="0" w:color="auto"/>
              <w:left w:val="single" w:sz="4" w:space="0" w:color="auto"/>
              <w:bottom w:val="single" w:sz="4" w:space="0" w:color="auto"/>
              <w:right w:val="single" w:sz="4" w:space="0" w:color="auto"/>
            </w:tcBorders>
            <w:hideMark/>
          </w:tcPr>
          <w:p w:rsidR="00213212" w:rsidRPr="00213212" w:rsidRDefault="00213212" w:rsidP="00922B82">
            <w:pPr>
              <w:rPr>
                <w:rFonts w:eastAsia="PMingLiU"/>
                <w:color w:val="000000"/>
                <w:sz w:val="26"/>
                <w:szCs w:val="26"/>
              </w:rPr>
            </w:pPr>
            <w:r w:rsidRPr="00213212">
              <w:rPr>
                <w:rFonts w:eastAsia="PMingLiU"/>
                <w:color w:val="000000"/>
                <w:sz w:val="26"/>
                <w:szCs w:val="26"/>
                <w:lang w:eastAsia="ja-JP"/>
              </w:rPr>
              <w:t>Cita informācija</w:t>
            </w:r>
          </w:p>
        </w:tc>
        <w:tc>
          <w:tcPr>
            <w:tcW w:w="5824" w:type="dxa"/>
            <w:gridSpan w:val="2"/>
            <w:tcBorders>
              <w:top w:val="single" w:sz="4" w:space="0" w:color="auto"/>
              <w:left w:val="single" w:sz="4" w:space="0" w:color="auto"/>
              <w:bottom w:val="single" w:sz="4" w:space="0" w:color="auto"/>
              <w:right w:val="single" w:sz="4" w:space="0" w:color="auto"/>
            </w:tcBorders>
            <w:hideMark/>
          </w:tcPr>
          <w:p w:rsidR="00213212" w:rsidRPr="00213212" w:rsidRDefault="00213212" w:rsidP="00922B82">
            <w:pPr>
              <w:rPr>
                <w:rFonts w:eastAsia="PMingLiU"/>
                <w:color w:val="000000"/>
                <w:sz w:val="26"/>
                <w:szCs w:val="26"/>
              </w:rPr>
            </w:pPr>
            <w:r w:rsidRPr="00213212">
              <w:rPr>
                <w:rFonts w:eastAsia="PMingLiU"/>
                <w:color w:val="000000"/>
                <w:sz w:val="26"/>
                <w:szCs w:val="26"/>
                <w:lang w:eastAsia="ja-JP"/>
              </w:rPr>
              <w:t>Nav.</w:t>
            </w:r>
          </w:p>
        </w:tc>
      </w:tr>
    </w:tbl>
    <w:p w:rsidR="00213212" w:rsidRPr="002E481B" w:rsidRDefault="00213212" w:rsidP="007765FC">
      <w:pPr>
        <w:rPr>
          <w:sz w:val="26"/>
          <w:szCs w:val="26"/>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16"/>
        <w:gridCol w:w="2741"/>
        <w:gridCol w:w="6057"/>
      </w:tblGrid>
      <w:tr w:rsidR="007765FC" w:rsidRPr="002E481B" w:rsidTr="00794ECE">
        <w:trPr>
          <w:trHeight w:val="421"/>
        </w:trPr>
        <w:tc>
          <w:tcPr>
            <w:tcW w:w="9214" w:type="dxa"/>
            <w:gridSpan w:val="3"/>
            <w:vAlign w:val="center"/>
          </w:tcPr>
          <w:p w:rsidR="007765FC" w:rsidRPr="002E481B" w:rsidRDefault="007765FC" w:rsidP="00115B4C">
            <w:pPr>
              <w:pStyle w:val="naisnod"/>
              <w:ind w:left="57" w:right="57"/>
              <w:jc w:val="center"/>
              <w:rPr>
                <w:rFonts w:ascii="Times New Roman" w:hAnsi="Times New Roman"/>
                <w:sz w:val="26"/>
                <w:szCs w:val="26"/>
              </w:rPr>
            </w:pPr>
            <w:r w:rsidRPr="002E481B">
              <w:rPr>
                <w:rFonts w:ascii="Times New Roman" w:hAnsi="Times New Roman"/>
                <w:b/>
                <w:sz w:val="26"/>
                <w:szCs w:val="26"/>
              </w:rPr>
              <w:lastRenderedPageBreak/>
              <w:t>VI. Sabiedrības līdzdalība un komunikācijas aktivitātes</w:t>
            </w:r>
          </w:p>
        </w:tc>
      </w:tr>
      <w:tr w:rsidR="00213212" w:rsidRPr="002E481B" w:rsidTr="00794ECE">
        <w:trPr>
          <w:trHeight w:val="553"/>
        </w:trPr>
        <w:tc>
          <w:tcPr>
            <w:tcW w:w="416" w:type="dxa"/>
          </w:tcPr>
          <w:p w:rsidR="00213212" w:rsidRPr="002E481B" w:rsidRDefault="00213212" w:rsidP="00213212">
            <w:pPr>
              <w:ind w:left="57" w:right="57"/>
              <w:jc w:val="both"/>
              <w:rPr>
                <w:sz w:val="26"/>
                <w:szCs w:val="26"/>
              </w:rPr>
            </w:pPr>
            <w:bookmarkStart w:id="0" w:name="_Hlk497822424"/>
            <w:r w:rsidRPr="002E481B">
              <w:rPr>
                <w:sz w:val="26"/>
                <w:szCs w:val="26"/>
              </w:rPr>
              <w:t>1.</w:t>
            </w:r>
          </w:p>
        </w:tc>
        <w:tc>
          <w:tcPr>
            <w:tcW w:w="2741" w:type="dxa"/>
          </w:tcPr>
          <w:p w:rsidR="00213212" w:rsidRPr="002E481B" w:rsidRDefault="00213212" w:rsidP="00213212">
            <w:pPr>
              <w:tabs>
                <w:tab w:val="left" w:pos="170"/>
              </w:tabs>
              <w:ind w:left="57" w:right="57"/>
              <w:rPr>
                <w:sz w:val="26"/>
                <w:szCs w:val="26"/>
              </w:rPr>
            </w:pPr>
            <w:r w:rsidRPr="002E481B">
              <w:rPr>
                <w:sz w:val="26"/>
                <w:szCs w:val="26"/>
              </w:rPr>
              <w:t>Plānotās sabiedrības līdzdalības un komunikācijas aktivitātes saistībā ar projektu</w:t>
            </w:r>
          </w:p>
        </w:tc>
        <w:tc>
          <w:tcPr>
            <w:tcW w:w="6057" w:type="dxa"/>
          </w:tcPr>
          <w:p w:rsidR="00213212" w:rsidRPr="00213212" w:rsidRDefault="00213212" w:rsidP="00213212">
            <w:pPr>
              <w:spacing w:after="120"/>
              <w:ind w:left="57" w:right="113"/>
              <w:jc w:val="both"/>
              <w:rPr>
                <w:sz w:val="26"/>
                <w:szCs w:val="26"/>
              </w:rPr>
            </w:pPr>
            <w:bookmarkStart w:id="1" w:name="p61"/>
            <w:bookmarkEnd w:id="1"/>
            <w:r w:rsidRPr="00213212">
              <w:rPr>
                <w:sz w:val="26"/>
                <w:szCs w:val="26"/>
              </w:rPr>
              <w:t>Atbilstoši normatīvo aktu prasībām Ekonomikas ministrija tās tīmekļa vietnē publicē informāciju par noteikumu projektu un par tā virzību.</w:t>
            </w:r>
          </w:p>
        </w:tc>
      </w:tr>
      <w:tr w:rsidR="00213212" w:rsidRPr="002E481B" w:rsidTr="00794ECE">
        <w:trPr>
          <w:trHeight w:val="339"/>
        </w:trPr>
        <w:tc>
          <w:tcPr>
            <w:tcW w:w="416" w:type="dxa"/>
          </w:tcPr>
          <w:p w:rsidR="00213212" w:rsidRPr="002E481B" w:rsidRDefault="00213212" w:rsidP="00213212">
            <w:pPr>
              <w:ind w:left="57" w:right="57"/>
              <w:jc w:val="both"/>
              <w:rPr>
                <w:sz w:val="26"/>
                <w:szCs w:val="26"/>
              </w:rPr>
            </w:pPr>
            <w:r w:rsidRPr="002E481B">
              <w:rPr>
                <w:sz w:val="26"/>
                <w:szCs w:val="26"/>
              </w:rPr>
              <w:t>2.</w:t>
            </w:r>
          </w:p>
        </w:tc>
        <w:tc>
          <w:tcPr>
            <w:tcW w:w="2741" w:type="dxa"/>
          </w:tcPr>
          <w:p w:rsidR="00213212" w:rsidRPr="002E481B" w:rsidRDefault="00213212" w:rsidP="00213212">
            <w:pPr>
              <w:ind w:left="57" w:right="57"/>
              <w:rPr>
                <w:sz w:val="26"/>
                <w:szCs w:val="26"/>
              </w:rPr>
            </w:pPr>
            <w:r w:rsidRPr="002E481B">
              <w:rPr>
                <w:sz w:val="26"/>
                <w:szCs w:val="26"/>
              </w:rPr>
              <w:t>Sabiedrības līdzdalība projekta izstrādē</w:t>
            </w:r>
          </w:p>
        </w:tc>
        <w:tc>
          <w:tcPr>
            <w:tcW w:w="6057" w:type="dxa"/>
          </w:tcPr>
          <w:p w:rsidR="00213212" w:rsidRPr="00213212" w:rsidRDefault="00213212" w:rsidP="00213212">
            <w:pPr>
              <w:spacing w:after="120"/>
              <w:ind w:right="113"/>
              <w:jc w:val="both"/>
              <w:rPr>
                <w:sz w:val="26"/>
                <w:szCs w:val="26"/>
              </w:rPr>
            </w:pPr>
            <w:bookmarkStart w:id="2" w:name="p62"/>
            <w:bookmarkEnd w:id="2"/>
            <w:r w:rsidRPr="00213212">
              <w:rPr>
                <w:sz w:val="26"/>
                <w:szCs w:val="26"/>
              </w:rPr>
              <w:t>Atbilstoši normatīvo aktu prasībām Ekonomikas ministrija tās tīmekļa vietnē publicē informāciju par noteikumu projektu un par tā virzību.</w:t>
            </w:r>
          </w:p>
        </w:tc>
      </w:tr>
      <w:tr w:rsidR="007765FC" w:rsidRPr="002E481B" w:rsidTr="00794ECE">
        <w:trPr>
          <w:trHeight w:val="476"/>
        </w:trPr>
        <w:tc>
          <w:tcPr>
            <w:tcW w:w="416" w:type="dxa"/>
          </w:tcPr>
          <w:p w:rsidR="007765FC" w:rsidRPr="002E481B" w:rsidRDefault="007765FC" w:rsidP="00115B4C">
            <w:pPr>
              <w:ind w:left="57" w:right="57"/>
              <w:jc w:val="both"/>
              <w:rPr>
                <w:sz w:val="26"/>
                <w:szCs w:val="26"/>
              </w:rPr>
            </w:pPr>
            <w:r w:rsidRPr="002E481B">
              <w:rPr>
                <w:sz w:val="26"/>
                <w:szCs w:val="26"/>
              </w:rPr>
              <w:t>3.</w:t>
            </w:r>
          </w:p>
        </w:tc>
        <w:tc>
          <w:tcPr>
            <w:tcW w:w="2741" w:type="dxa"/>
          </w:tcPr>
          <w:p w:rsidR="007765FC" w:rsidRPr="002E481B" w:rsidRDefault="007765FC" w:rsidP="00115B4C">
            <w:pPr>
              <w:ind w:left="57" w:right="57"/>
              <w:rPr>
                <w:sz w:val="26"/>
                <w:szCs w:val="26"/>
              </w:rPr>
            </w:pPr>
            <w:r w:rsidRPr="002E481B">
              <w:rPr>
                <w:sz w:val="26"/>
                <w:szCs w:val="26"/>
              </w:rPr>
              <w:t>Sabiedrības līdzdalības rezultāti</w:t>
            </w:r>
          </w:p>
        </w:tc>
        <w:tc>
          <w:tcPr>
            <w:tcW w:w="6057" w:type="dxa"/>
          </w:tcPr>
          <w:p w:rsidR="007765FC" w:rsidRPr="002E481B" w:rsidRDefault="00213212" w:rsidP="00115B4C">
            <w:pPr>
              <w:spacing w:after="120"/>
              <w:ind w:right="113"/>
              <w:jc w:val="both"/>
              <w:rPr>
                <w:sz w:val="26"/>
                <w:szCs w:val="26"/>
                <w:shd w:val="clear" w:color="000000" w:fill="FFFFFF"/>
              </w:rPr>
            </w:pPr>
            <w:r>
              <w:rPr>
                <w:sz w:val="26"/>
                <w:szCs w:val="26"/>
                <w:shd w:val="clear" w:color="000000" w:fill="FFFFFF"/>
              </w:rPr>
              <w:t>Nav.</w:t>
            </w:r>
          </w:p>
        </w:tc>
      </w:tr>
      <w:tr w:rsidR="007765FC" w:rsidRPr="002E481B" w:rsidTr="00794ECE">
        <w:trPr>
          <w:trHeight w:val="205"/>
        </w:trPr>
        <w:tc>
          <w:tcPr>
            <w:tcW w:w="416" w:type="dxa"/>
          </w:tcPr>
          <w:p w:rsidR="007765FC" w:rsidRPr="002E481B" w:rsidRDefault="007765FC" w:rsidP="00115B4C">
            <w:pPr>
              <w:ind w:left="57" w:right="57"/>
              <w:jc w:val="both"/>
              <w:rPr>
                <w:sz w:val="26"/>
                <w:szCs w:val="26"/>
              </w:rPr>
            </w:pPr>
            <w:r w:rsidRPr="002E481B">
              <w:rPr>
                <w:sz w:val="26"/>
                <w:szCs w:val="26"/>
              </w:rPr>
              <w:t>4.</w:t>
            </w:r>
          </w:p>
        </w:tc>
        <w:tc>
          <w:tcPr>
            <w:tcW w:w="2741" w:type="dxa"/>
          </w:tcPr>
          <w:p w:rsidR="007765FC" w:rsidRPr="002E481B" w:rsidRDefault="007765FC" w:rsidP="00115B4C">
            <w:pPr>
              <w:ind w:left="57" w:right="57"/>
              <w:rPr>
                <w:sz w:val="26"/>
                <w:szCs w:val="26"/>
              </w:rPr>
            </w:pPr>
            <w:r w:rsidRPr="002E481B">
              <w:rPr>
                <w:sz w:val="26"/>
                <w:szCs w:val="26"/>
              </w:rPr>
              <w:t>Cita informācija</w:t>
            </w:r>
          </w:p>
        </w:tc>
        <w:tc>
          <w:tcPr>
            <w:tcW w:w="6057" w:type="dxa"/>
          </w:tcPr>
          <w:p w:rsidR="007765FC" w:rsidRPr="002E481B" w:rsidRDefault="007765FC" w:rsidP="00115B4C">
            <w:pPr>
              <w:ind w:left="57" w:right="113"/>
              <w:jc w:val="both"/>
              <w:rPr>
                <w:sz w:val="26"/>
                <w:szCs w:val="26"/>
              </w:rPr>
            </w:pPr>
            <w:r w:rsidRPr="002E481B">
              <w:rPr>
                <w:sz w:val="26"/>
                <w:szCs w:val="26"/>
              </w:rPr>
              <w:t>Nav.</w:t>
            </w:r>
          </w:p>
        </w:tc>
      </w:tr>
    </w:tbl>
    <w:p w:rsidR="007765FC" w:rsidRPr="002E481B" w:rsidRDefault="007765FC" w:rsidP="007765FC">
      <w:pPr>
        <w:jc w:val="both"/>
        <w:rPr>
          <w:sz w:val="26"/>
          <w:szCs w:val="26"/>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6"/>
        <w:gridCol w:w="2613"/>
        <w:gridCol w:w="6175"/>
      </w:tblGrid>
      <w:tr w:rsidR="007765FC" w:rsidRPr="002E481B" w:rsidTr="00794ECE">
        <w:trPr>
          <w:trHeight w:val="421"/>
        </w:trPr>
        <w:tc>
          <w:tcPr>
            <w:tcW w:w="9214" w:type="dxa"/>
            <w:gridSpan w:val="3"/>
            <w:vAlign w:val="center"/>
          </w:tcPr>
          <w:p w:rsidR="007765FC" w:rsidRPr="002E481B" w:rsidRDefault="007765FC" w:rsidP="00115B4C">
            <w:pPr>
              <w:pStyle w:val="naisnod"/>
              <w:ind w:left="57" w:right="57"/>
              <w:jc w:val="center"/>
              <w:rPr>
                <w:rFonts w:ascii="Times New Roman" w:hAnsi="Times New Roman"/>
                <w:sz w:val="26"/>
                <w:szCs w:val="26"/>
              </w:rPr>
            </w:pPr>
            <w:r w:rsidRPr="002E481B">
              <w:rPr>
                <w:rFonts w:ascii="Times New Roman" w:hAnsi="Times New Roman"/>
                <w:b/>
                <w:sz w:val="26"/>
                <w:szCs w:val="26"/>
              </w:rPr>
              <w:t>VII. Tiesību akta projekta izpildes nodrošināšana un tās ietekme uz institūcijām</w:t>
            </w:r>
          </w:p>
        </w:tc>
      </w:tr>
      <w:tr w:rsidR="007765FC" w:rsidRPr="002E481B" w:rsidTr="00794ECE">
        <w:trPr>
          <w:trHeight w:val="553"/>
        </w:trPr>
        <w:tc>
          <w:tcPr>
            <w:tcW w:w="426" w:type="dxa"/>
          </w:tcPr>
          <w:p w:rsidR="007765FC" w:rsidRPr="002E481B" w:rsidRDefault="007765FC" w:rsidP="00115B4C">
            <w:pPr>
              <w:ind w:left="57" w:right="57"/>
              <w:jc w:val="both"/>
              <w:rPr>
                <w:sz w:val="26"/>
                <w:szCs w:val="26"/>
              </w:rPr>
            </w:pPr>
            <w:r w:rsidRPr="002E481B">
              <w:rPr>
                <w:sz w:val="26"/>
                <w:szCs w:val="26"/>
              </w:rPr>
              <w:t>1.</w:t>
            </w:r>
          </w:p>
        </w:tc>
        <w:tc>
          <w:tcPr>
            <w:tcW w:w="2613" w:type="dxa"/>
          </w:tcPr>
          <w:p w:rsidR="007765FC" w:rsidRPr="002E481B" w:rsidRDefault="007765FC" w:rsidP="00115B4C">
            <w:pPr>
              <w:ind w:left="57" w:right="57"/>
              <w:rPr>
                <w:sz w:val="26"/>
                <w:szCs w:val="26"/>
              </w:rPr>
            </w:pPr>
            <w:r w:rsidRPr="002E481B">
              <w:rPr>
                <w:sz w:val="26"/>
                <w:szCs w:val="26"/>
              </w:rPr>
              <w:t>Projekta izpildē iesaistītās institūcijas</w:t>
            </w:r>
          </w:p>
        </w:tc>
        <w:tc>
          <w:tcPr>
            <w:tcW w:w="6175" w:type="dxa"/>
          </w:tcPr>
          <w:p w:rsidR="007765FC" w:rsidRPr="002E481B" w:rsidRDefault="00213212" w:rsidP="00115B4C">
            <w:pPr>
              <w:ind w:left="57" w:right="113"/>
              <w:jc w:val="both"/>
              <w:rPr>
                <w:sz w:val="26"/>
                <w:szCs w:val="26"/>
              </w:rPr>
            </w:pPr>
            <w:r>
              <w:rPr>
                <w:sz w:val="26"/>
                <w:szCs w:val="26"/>
              </w:rPr>
              <w:t>Ekonomikas ministrija</w:t>
            </w:r>
            <w:r w:rsidR="00640D46">
              <w:rPr>
                <w:sz w:val="26"/>
                <w:szCs w:val="26"/>
              </w:rPr>
              <w:t xml:space="preserve"> un </w:t>
            </w:r>
            <w:r>
              <w:rPr>
                <w:sz w:val="26"/>
                <w:szCs w:val="26"/>
              </w:rPr>
              <w:t>akciju sabiedrība</w:t>
            </w:r>
            <w:r w:rsidRPr="00213212">
              <w:rPr>
                <w:sz w:val="26"/>
                <w:szCs w:val="26"/>
              </w:rPr>
              <w:t xml:space="preserve"> “Attīstības finanšu institūcija Altum”</w:t>
            </w:r>
          </w:p>
        </w:tc>
      </w:tr>
      <w:tr w:rsidR="007765FC" w:rsidRPr="002E481B" w:rsidTr="00794ECE">
        <w:trPr>
          <w:trHeight w:val="339"/>
        </w:trPr>
        <w:tc>
          <w:tcPr>
            <w:tcW w:w="426" w:type="dxa"/>
          </w:tcPr>
          <w:p w:rsidR="007765FC" w:rsidRPr="002E481B" w:rsidRDefault="007765FC" w:rsidP="00115B4C">
            <w:pPr>
              <w:ind w:left="57" w:right="57"/>
              <w:jc w:val="both"/>
              <w:rPr>
                <w:sz w:val="26"/>
                <w:szCs w:val="26"/>
              </w:rPr>
            </w:pPr>
            <w:r w:rsidRPr="002E481B">
              <w:rPr>
                <w:sz w:val="26"/>
                <w:szCs w:val="26"/>
              </w:rPr>
              <w:t>2.</w:t>
            </w:r>
          </w:p>
        </w:tc>
        <w:tc>
          <w:tcPr>
            <w:tcW w:w="2613" w:type="dxa"/>
          </w:tcPr>
          <w:p w:rsidR="007765FC" w:rsidRPr="002E481B" w:rsidRDefault="007765FC" w:rsidP="00115B4C">
            <w:pPr>
              <w:ind w:left="57" w:right="57"/>
              <w:rPr>
                <w:sz w:val="26"/>
                <w:szCs w:val="26"/>
              </w:rPr>
            </w:pPr>
            <w:r w:rsidRPr="002E481B">
              <w:rPr>
                <w:sz w:val="26"/>
                <w:szCs w:val="26"/>
              </w:rPr>
              <w:t xml:space="preserve">Projekta izpildes ietekme uz pārvaldes funkcijām un institucionālo struktūru. </w:t>
            </w:r>
          </w:p>
          <w:p w:rsidR="007765FC" w:rsidRPr="002E481B" w:rsidRDefault="007765FC" w:rsidP="00115B4C">
            <w:pPr>
              <w:ind w:left="57" w:right="57"/>
              <w:rPr>
                <w:sz w:val="26"/>
                <w:szCs w:val="26"/>
              </w:rPr>
            </w:pPr>
            <w:r w:rsidRPr="002E481B">
              <w:rPr>
                <w:sz w:val="26"/>
                <w:szCs w:val="26"/>
              </w:rPr>
              <w:t>Jaunu institūciju izveide, esošu institūciju likvidācija vai reorganizācija, to ietekme uz institūcijas cilvēkresursiem</w:t>
            </w:r>
          </w:p>
        </w:tc>
        <w:tc>
          <w:tcPr>
            <w:tcW w:w="6175" w:type="dxa"/>
          </w:tcPr>
          <w:p w:rsidR="007765FC" w:rsidRPr="002E481B" w:rsidRDefault="007765FC" w:rsidP="00115B4C">
            <w:pPr>
              <w:ind w:left="57" w:right="113"/>
              <w:jc w:val="both"/>
              <w:rPr>
                <w:sz w:val="26"/>
                <w:szCs w:val="26"/>
              </w:rPr>
            </w:pPr>
            <w:r w:rsidRPr="002E481B">
              <w:rPr>
                <w:sz w:val="26"/>
                <w:szCs w:val="26"/>
              </w:rPr>
              <w:t>Projekts šo jomu neskar.</w:t>
            </w:r>
          </w:p>
        </w:tc>
      </w:tr>
      <w:tr w:rsidR="007765FC" w:rsidRPr="002E481B" w:rsidTr="00794ECE">
        <w:trPr>
          <w:trHeight w:val="476"/>
        </w:trPr>
        <w:tc>
          <w:tcPr>
            <w:tcW w:w="426" w:type="dxa"/>
          </w:tcPr>
          <w:p w:rsidR="007765FC" w:rsidRPr="002E481B" w:rsidRDefault="007765FC" w:rsidP="00115B4C">
            <w:pPr>
              <w:ind w:left="57" w:right="57"/>
              <w:jc w:val="both"/>
              <w:rPr>
                <w:sz w:val="26"/>
                <w:szCs w:val="26"/>
              </w:rPr>
            </w:pPr>
            <w:r w:rsidRPr="002E481B">
              <w:rPr>
                <w:sz w:val="26"/>
                <w:szCs w:val="26"/>
              </w:rPr>
              <w:t>3.</w:t>
            </w:r>
          </w:p>
        </w:tc>
        <w:tc>
          <w:tcPr>
            <w:tcW w:w="2613" w:type="dxa"/>
          </w:tcPr>
          <w:p w:rsidR="007765FC" w:rsidRPr="002E481B" w:rsidRDefault="007765FC" w:rsidP="00115B4C">
            <w:pPr>
              <w:ind w:left="57" w:right="57"/>
              <w:rPr>
                <w:sz w:val="26"/>
                <w:szCs w:val="26"/>
              </w:rPr>
            </w:pPr>
            <w:r w:rsidRPr="002E481B">
              <w:rPr>
                <w:sz w:val="26"/>
                <w:szCs w:val="26"/>
              </w:rPr>
              <w:t>Cita informācija</w:t>
            </w:r>
          </w:p>
        </w:tc>
        <w:tc>
          <w:tcPr>
            <w:tcW w:w="6175" w:type="dxa"/>
          </w:tcPr>
          <w:p w:rsidR="007765FC" w:rsidRPr="002E481B" w:rsidRDefault="007765FC" w:rsidP="00115B4C">
            <w:pPr>
              <w:ind w:left="57" w:right="113"/>
              <w:jc w:val="both"/>
              <w:rPr>
                <w:sz w:val="26"/>
                <w:szCs w:val="26"/>
              </w:rPr>
            </w:pPr>
            <w:r w:rsidRPr="002E481B">
              <w:rPr>
                <w:sz w:val="26"/>
                <w:szCs w:val="26"/>
              </w:rPr>
              <w:t xml:space="preserve">Nav. </w:t>
            </w:r>
          </w:p>
        </w:tc>
      </w:tr>
      <w:bookmarkEnd w:id="0"/>
    </w:tbl>
    <w:p w:rsidR="007765FC" w:rsidRPr="002E481B" w:rsidRDefault="007765FC" w:rsidP="007765FC">
      <w:pPr>
        <w:jc w:val="both"/>
        <w:rPr>
          <w:b/>
          <w:sz w:val="26"/>
          <w:szCs w:val="26"/>
        </w:rPr>
      </w:pPr>
    </w:p>
    <w:p w:rsidR="007765FC" w:rsidRDefault="007765FC" w:rsidP="007765FC">
      <w:pPr>
        <w:jc w:val="both"/>
        <w:rPr>
          <w:sz w:val="26"/>
          <w:szCs w:val="26"/>
        </w:rPr>
      </w:pPr>
    </w:p>
    <w:p w:rsidR="00213212" w:rsidRDefault="00213212" w:rsidP="007765FC">
      <w:pPr>
        <w:jc w:val="both"/>
        <w:rPr>
          <w:sz w:val="26"/>
          <w:szCs w:val="26"/>
        </w:rPr>
      </w:pPr>
    </w:p>
    <w:p w:rsidR="00213212" w:rsidRPr="002E481B" w:rsidRDefault="00213212" w:rsidP="007765FC">
      <w:pPr>
        <w:jc w:val="both"/>
        <w:rPr>
          <w:sz w:val="26"/>
          <w:szCs w:val="26"/>
        </w:rPr>
      </w:pPr>
    </w:p>
    <w:p w:rsidR="007765FC" w:rsidRPr="001C4222" w:rsidRDefault="007765FC" w:rsidP="007765FC">
      <w:pPr>
        <w:jc w:val="both"/>
        <w:rPr>
          <w:b/>
          <w:sz w:val="26"/>
          <w:szCs w:val="26"/>
        </w:rPr>
      </w:pPr>
      <w:r w:rsidRPr="001C4222">
        <w:rPr>
          <w:b/>
          <w:sz w:val="26"/>
          <w:szCs w:val="26"/>
        </w:rPr>
        <w:t>Ministru prezidenta biedrs,</w:t>
      </w:r>
    </w:p>
    <w:p w:rsidR="007765FC" w:rsidRPr="001C4222" w:rsidRDefault="007765FC" w:rsidP="007765FC">
      <w:pPr>
        <w:jc w:val="both"/>
        <w:rPr>
          <w:b/>
          <w:sz w:val="26"/>
          <w:szCs w:val="26"/>
        </w:rPr>
      </w:pPr>
      <w:r w:rsidRPr="001C4222">
        <w:rPr>
          <w:b/>
          <w:sz w:val="26"/>
          <w:szCs w:val="26"/>
        </w:rPr>
        <w:t>ekonomikas ministrs</w:t>
      </w:r>
      <w:r w:rsidRPr="001C4222">
        <w:rPr>
          <w:b/>
          <w:sz w:val="26"/>
          <w:szCs w:val="26"/>
        </w:rPr>
        <w:tab/>
      </w:r>
      <w:r w:rsidRPr="001C4222">
        <w:rPr>
          <w:b/>
          <w:sz w:val="26"/>
          <w:szCs w:val="26"/>
        </w:rPr>
        <w:tab/>
      </w:r>
      <w:r w:rsidRPr="001C4222">
        <w:rPr>
          <w:b/>
          <w:sz w:val="26"/>
          <w:szCs w:val="26"/>
        </w:rPr>
        <w:tab/>
      </w:r>
      <w:r w:rsidRPr="001C4222">
        <w:rPr>
          <w:b/>
          <w:sz w:val="26"/>
          <w:szCs w:val="26"/>
        </w:rPr>
        <w:tab/>
      </w:r>
      <w:r w:rsidRPr="001C4222">
        <w:rPr>
          <w:b/>
          <w:sz w:val="26"/>
          <w:szCs w:val="26"/>
        </w:rPr>
        <w:tab/>
      </w:r>
      <w:r w:rsidRPr="001C4222">
        <w:rPr>
          <w:b/>
          <w:sz w:val="26"/>
          <w:szCs w:val="26"/>
        </w:rPr>
        <w:tab/>
      </w:r>
      <w:r w:rsidRPr="001C4222">
        <w:rPr>
          <w:b/>
          <w:sz w:val="26"/>
          <w:szCs w:val="26"/>
        </w:rPr>
        <w:tab/>
      </w:r>
      <w:r w:rsidRPr="001C4222">
        <w:rPr>
          <w:b/>
          <w:sz w:val="26"/>
          <w:szCs w:val="26"/>
        </w:rPr>
        <w:tab/>
        <w:t>A.Ašeradens</w:t>
      </w:r>
    </w:p>
    <w:p w:rsidR="007765FC" w:rsidRPr="001C4222" w:rsidRDefault="007765FC" w:rsidP="007765FC">
      <w:pPr>
        <w:jc w:val="both"/>
        <w:rPr>
          <w:b/>
          <w:sz w:val="26"/>
          <w:szCs w:val="26"/>
        </w:rPr>
      </w:pPr>
    </w:p>
    <w:p w:rsidR="007765FC" w:rsidRPr="001C4222" w:rsidRDefault="007765FC" w:rsidP="007765FC">
      <w:pPr>
        <w:jc w:val="both"/>
        <w:rPr>
          <w:b/>
          <w:sz w:val="26"/>
          <w:szCs w:val="26"/>
        </w:rPr>
      </w:pPr>
      <w:r w:rsidRPr="001C4222">
        <w:rPr>
          <w:b/>
          <w:sz w:val="26"/>
          <w:szCs w:val="26"/>
        </w:rPr>
        <w:t>Vīza:</w:t>
      </w:r>
    </w:p>
    <w:p w:rsidR="007765FC" w:rsidRPr="001C4222" w:rsidRDefault="007765FC" w:rsidP="007765FC">
      <w:pPr>
        <w:jc w:val="both"/>
        <w:rPr>
          <w:b/>
          <w:sz w:val="26"/>
          <w:szCs w:val="26"/>
        </w:rPr>
      </w:pPr>
      <w:r w:rsidRPr="001C4222">
        <w:rPr>
          <w:b/>
          <w:sz w:val="26"/>
          <w:szCs w:val="26"/>
        </w:rPr>
        <w:t>Valsts sekretārs</w:t>
      </w:r>
      <w:r w:rsidRPr="001C4222">
        <w:rPr>
          <w:b/>
          <w:sz w:val="26"/>
          <w:szCs w:val="26"/>
        </w:rPr>
        <w:tab/>
      </w:r>
      <w:r w:rsidRPr="001C4222">
        <w:rPr>
          <w:b/>
          <w:sz w:val="26"/>
          <w:szCs w:val="26"/>
        </w:rPr>
        <w:tab/>
      </w:r>
      <w:r w:rsidRPr="001C4222">
        <w:rPr>
          <w:b/>
          <w:sz w:val="26"/>
          <w:szCs w:val="26"/>
        </w:rPr>
        <w:tab/>
      </w:r>
      <w:r w:rsidRPr="001C4222">
        <w:rPr>
          <w:b/>
          <w:sz w:val="26"/>
          <w:szCs w:val="26"/>
        </w:rPr>
        <w:tab/>
      </w:r>
      <w:r w:rsidRPr="001C4222">
        <w:rPr>
          <w:b/>
          <w:sz w:val="26"/>
          <w:szCs w:val="26"/>
        </w:rPr>
        <w:tab/>
      </w:r>
      <w:r w:rsidRPr="001C4222">
        <w:rPr>
          <w:b/>
          <w:sz w:val="26"/>
          <w:szCs w:val="26"/>
        </w:rPr>
        <w:tab/>
      </w:r>
      <w:r w:rsidRPr="001C4222">
        <w:rPr>
          <w:b/>
          <w:sz w:val="26"/>
          <w:szCs w:val="26"/>
        </w:rPr>
        <w:tab/>
      </w:r>
      <w:r w:rsidRPr="001C4222">
        <w:rPr>
          <w:b/>
          <w:sz w:val="26"/>
          <w:szCs w:val="26"/>
        </w:rPr>
        <w:tab/>
      </w:r>
      <w:r w:rsidR="001C4222">
        <w:rPr>
          <w:b/>
          <w:sz w:val="26"/>
          <w:szCs w:val="26"/>
        </w:rPr>
        <w:tab/>
      </w:r>
      <w:bookmarkStart w:id="3" w:name="_GoBack"/>
      <w:bookmarkEnd w:id="3"/>
      <w:r w:rsidRPr="001C4222">
        <w:rPr>
          <w:b/>
          <w:sz w:val="26"/>
          <w:szCs w:val="26"/>
        </w:rPr>
        <w:t>J.Stinka</w:t>
      </w:r>
    </w:p>
    <w:p w:rsidR="007765FC" w:rsidRPr="001C4222" w:rsidRDefault="007765FC" w:rsidP="007765FC">
      <w:pPr>
        <w:jc w:val="both"/>
        <w:rPr>
          <w:b/>
        </w:rPr>
      </w:pPr>
    </w:p>
    <w:p w:rsidR="00213212" w:rsidRDefault="00213212" w:rsidP="007765FC">
      <w:pPr>
        <w:jc w:val="both"/>
      </w:pPr>
    </w:p>
    <w:p w:rsidR="007765FC" w:rsidRPr="00415F16" w:rsidRDefault="007765FC" w:rsidP="007765FC">
      <w:pPr>
        <w:jc w:val="both"/>
      </w:pPr>
      <w:r w:rsidRPr="00415F16">
        <w:tab/>
      </w:r>
    </w:p>
    <w:p w:rsidR="007765FC" w:rsidRPr="00415F16" w:rsidRDefault="007765FC" w:rsidP="007765FC">
      <w:pPr>
        <w:rPr>
          <w:sz w:val="18"/>
          <w:szCs w:val="20"/>
        </w:rPr>
      </w:pPr>
      <w:r w:rsidRPr="00415F16">
        <w:rPr>
          <w:sz w:val="18"/>
          <w:szCs w:val="20"/>
        </w:rPr>
        <w:t>Signe Tuklere</w:t>
      </w:r>
    </w:p>
    <w:p w:rsidR="00213212" w:rsidRDefault="007765FC">
      <w:pPr>
        <w:rPr>
          <w:sz w:val="18"/>
          <w:szCs w:val="20"/>
        </w:rPr>
      </w:pPr>
      <w:r w:rsidRPr="00415F16">
        <w:rPr>
          <w:sz w:val="18"/>
          <w:szCs w:val="20"/>
        </w:rPr>
        <w:t>67013298, Signe Tuklere@em.gov.lv</w:t>
      </w:r>
    </w:p>
    <w:p w:rsidR="00A56822" w:rsidRPr="00213212" w:rsidRDefault="00213212" w:rsidP="00213212">
      <w:pPr>
        <w:tabs>
          <w:tab w:val="left" w:pos="1065"/>
        </w:tabs>
        <w:rPr>
          <w:sz w:val="18"/>
          <w:szCs w:val="20"/>
        </w:rPr>
      </w:pPr>
      <w:r>
        <w:rPr>
          <w:sz w:val="18"/>
          <w:szCs w:val="20"/>
        </w:rPr>
        <w:tab/>
      </w:r>
    </w:p>
    <w:sectPr w:rsidR="00A56822" w:rsidRPr="00213212" w:rsidSect="002E481B">
      <w:headerReference w:type="default" r:id="rId7"/>
      <w:footerReference w:type="even" r:id="rId8"/>
      <w:footerReference w:type="default" r:id="rId9"/>
      <w:headerReference w:type="first" r:id="rId10"/>
      <w:footerReference w:type="first" r:id="rId11"/>
      <w:pgSz w:w="11906" w:h="16838"/>
      <w:pgMar w:top="1008" w:right="720" w:bottom="1008" w:left="1296" w:header="461" w:footer="6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FC" w:rsidRDefault="003211FC" w:rsidP="007765FC">
      <w:r>
        <w:separator/>
      </w:r>
    </w:p>
  </w:endnote>
  <w:endnote w:type="continuationSeparator" w:id="0">
    <w:p w:rsidR="003211FC" w:rsidRDefault="003211FC" w:rsidP="0077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CA" w:rsidRDefault="00640D46">
    <w:pPr>
      <w:pStyle w:val="BodyText2"/>
      <w:jc w:val="both"/>
      <w:rPr>
        <w:sz w:val="20"/>
        <w:szCs w:val="20"/>
      </w:rPr>
    </w:pPr>
    <w:r>
      <w:rPr>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FC" w:rsidRPr="00CB79F4" w:rsidRDefault="008B556E" w:rsidP="007765FC">
    <w:pPr>
      <w:pStyle w:val="Footer"/>
    </w:pPr>
    <w:fldSimple w:instr=" FILENAME   \* MERGEFORMAT ">
      <w:r w:rsidR="00213212">
        <w:rPr>
          <w:noProof/>
        </w:rPr>
        <w:t>EMAnot_13</w:t>
      </w:r>
      <w:r w:rsidR="009E10A0">
        <w:rPr>
          <w:noProof/>
        </w:rPr>
        <w:t>112017_groz537.docx</w:t>
      </w:r>
    </w:fldSimple>
  </w:p>
  <w:p w:rsidR="00333DCA" w:rsidRPr="007765FC" w:rsidRDefault="003211FC" w:rsidP="007765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CA" w:rsidRPr="00CB79F4" w:rsidRDefault="008B556E" w:rsidP="007765FC">
    <w:pPr>
      <w:pStyle w:val="Footer"/>
    </w:pPr>
    <w:fldSimple w:instr=" FILENAME   \* MERGEFORMAT ">
      <w:r w:rsidR="000E3C19">
        <w:rPr>
          <w:noProof/>
        </w:rPr>
        <w:t>EMAnot_13</w:t>
      </w:r>
      <w:r w:rsidR="009E10A0">
        <w:rPr>
          <w:noProof/>
        </w:rPr>
        <w:t>112017_groz537.docx</w:t>
      </w:r>
    </w:fldSimple>
    <w:r w:rsidR="00640D46" w:rsidRPr="00CB79F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FC" w:rsidRDefault="003211FC" w:rsidP="007765FC">
      <w:r>
        <w:separator/>
      </w:r>
    </w:p>
  </w:footnote>
  <w:footnote w:type="continuationSeparator" w:id="0">
    <w:p w:rsidR="003211FC" w:rsidRDefault="003211FC" w:rsidP="007765FC">
      <w:r>
        <w:continuationSeparator/>
      </w:r>
    </w:p>
  </w:footnote>
  <w:footnote w:id="1">
    <w:p w:rsidR="007765FC" w:rsidRPr="00ED4B61" w:rsidRDefault="007765FC" w:rsidP="007765FC">
      <w:pPr>
        <w:pStyle w:val="FootnoteText"/>
        <w:rPr>
          <w:rFonts w:ascii="Times New Roman" w:hAnsi="Times New Roman"/>
        </w:rPr>
      </w:pPr>
      <w:r>
        <w:rPr>
          <w:rStyle w:val="FootnoteReference"/>
        </w:rPr>
        <w:footnoteRef/>
      </w:r>
      <w:r>
        <w:t xml:space="preserve"> </w:t>
      </w:r>
      <w:r>
        <w:rPr>
          <w:rFonts w:ascii="Times New Roman" w:hAnsi="Times New Roman"/>
        </w:rPr>
        <w:t>2010.gada 26.oktobra</w:t>
      </w:r>
      <w:r w:rsidRPr="00581629">
        <w:rPr>
          <w:rFonts w:ascii="Times New Roman" w:hAnsi="Times New Roman"/>
        </w:rPr>
        <w:t xml:space="preserve"> Ministru kabineta noteikumi Nr.997 </w:t>
      </w:r>
      <w:r>
        <w:rPr>
          <w:rFonts w:ascii="Times New Roman" w:hAnsi="Times New Roman"/>
        </w:rPr>
        <w:t>“</w:t>
      </w:r>
      <w:r w:rsidRPr="00581629">
        <w:rPr>
          <w:rFonts w:ascii="Times New Roman" w:hAnsi="Times New Roman"/>
        </w:rPr>
        <w:t>Noteikumi par garantijām komersantu un atbilstošu lauksaimniecības pakalpojumu kooperatīvo sabiedrību konkurētspējas uzlabošanai</w:t>
      </w:r>
      <w:r>
        <w:rPr>
          <w:rFonts w:ascii="Times New Roman" w:hAnsi="Times New Roman"/>
        </w:rPr>
        <w:t>” (turpmāk – MK noteikumi nr.997)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CA" w:rsidRDefault="00640D46">
    <w:pPr>
      <w:pStyle w:val="Header"/>
      <w:framePr w:wrap="none" w:vAnchor="text" w:hAnchor="margin" w:x="4311" w:y="1"/>
      <w:rPr>
        <w:rStyle w:val="PageNumber"/>
        <w:sz w:val="24"/>
        <w:szCs w:val="24"/>
      </w:rPr>
    </w:pPr>
    <w:r>
      <w:fldChar w:fldCharType="begin"/>
    </w:r>
    <w:r>
      <w:instrText>PAGE  \* MERGEFORMAT</w:instrText>
    </w:r>
    <w:r>
      <w:fldChar w:fldCharType="separate"/>
    </w:r>
    <w:r w:rsidR="001C4222" w:rsidRPr="001C4222">
      <w:rPr>
        <w:rStyle w:val="PageNumber"/>
        <w:rFonts w:ascii="Times New Roman" w:hAnsi="Times New Roman"/>
        <w:noProof/>
        <w:sz w:val="24"/>
        <w:szCs w:val="24"/>
      </w:rPr>
      <w:t>8</w:t>
    </w:r>
    <w:r>
      <w:fldChar w:fldCharType="end"/>
    </w:r>
  </w:p>
  <w:p w:rsidR="00333DCA" w:rsidRDefault="003211FC">
    <w:pPr>
      <w:pStyle w:val="Header"/>
      <w:rPr>
        <w:sz w:val="24"/>
        <w:szCs w:val="24"/>
      </w:rPr>
    </w:pPr>
  </w:p>
  <w:p w:rsidR="00333DCA" w:rsidRDefault="003211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CA" w:rsidRDefault="00640D46">
    <w:pPr>
      <w:pStyle w:val="Header"/>
      <w:jc w:val="right"/>
      <w:rPr>
        <w:i/>
        <w:sz w:val="24"/>
        <w:szCs w:val="24"/>
      </w:rPr>
    </w:pPr>
    <w:r>
      <w:rPr>
        <w:i/>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7825D1EA"/>
    <w:lvl w:ilvl="0" w:tplc="F0F0CBB0">
      <w:start w:val="14"/>
      <w:numFmt w:val="bullet"/>
      <w:lvlText w:val="-"/>
      <w:lvlJc w:val="left"/>
      <w:pPr>
        <w:ind w:left="720" w:hanging="360"/>
      </w:pPr>
      <w:rPr>
        <w:rFonts w:ascii="Times New Roman" w:eastAsia="Times New Roman" w:hAnsi="Times New Roman"/>
        <w:w w:val="100"/>
        <w:sz w:val="20"/>
        <w:szCs w:val="20"/>
        <w:shd w:val="clear" w:color="auto" w:fill="auto"/>
      </w:rPr>
    </w:lvl>
    <w:lvl w:ilvl="1" w:tplc="A6883176">
      <w:start w:val="1"/>
      <w:numFmt w:val="bullet"/>
      <w:lvlText w:val="o"/>
      <w:lvlJc w:val="left"/>
      <w:pPr>
        <w:ind w:left="1440" w:hanging="360"/>
      </w:pPr>
      <w:rPr>
        <w:rFonts w:ascii="Courier New" w:eastAsia="Courier New" w:hAnsi="Courier New"/>
        <w:w w:val="100"/>
        <w:sz w:val="20"/>
        <w:szCs w:val="20"/>
        <w:shd w:val="clear" w:color="auto" w:fill="auto"/>
      </w:rPr>
    </w:lvl>
    <w:lvl w:ilvl="2" w:tplc="EF1CAD44">
      <w:start w:val="1"/>
      <w:numFmt w:val="bullet"/>
      <w:lvlText w:val="§"/>
      <w:lvlJc w:val="left"/>
      <w:pPr>
        <w:ind w:left="2160" w:hanging="360"/>
      </w:pPr>
      <w:rPr>
        <w:rFonts w:ascii="Wingdings" w:eastAsia="Wingdings" w:hAnsi="Wingdings"/>
        <w:w w:val="100"/>
        <w:sz w:val="20"/>
        <w:szCs w:val="20"/>
        <w:shd w:val="clear" w:color="auto" w:fill="auto"/>
      </w:rPr>
    </w:lvl>
    <w:lvl w:ilvl="3" w:tplc="858CDBDA">
      <w:start w:val="1"/>
      <w:numFmt w:val="bullet"/>
      <w:lvlText w:val="·"/>
      <w:lvlJc w:val="left"/>
      <w:pPr>
        <w:ind w:left="2880" w:hanging="360"/>
      </w:pPr>
      <w:rPr>
        <w:rFonts w:ascii="Symbol" w:eastAsia="Symbol" w:hAnsi="Symbol"/>
        <w:w w:val="100"/>
        <w:sz w:val="20"/>
        <w:szCs w:val="20"/>
        <w:shd w:val="clear" w:color="auto" w:fill="auto"/>
      </w:rPr>
    </w:lvl>
    <w:lvl w:ilvl="4" w:tplc="ED60080E">
      <w:start w:val="1"/>
      <w:numFmt w:val="bullet"/>
      <w:lvlText w:val="o"/>
      <w:lvlJc w:val="left"/>
      <w:pPr>
        <w:ind w:left="3600" w:hanging="360"/>
      </w:pPr>
      <w:rPr>
        <w:rFonts w:ascii="Courier New" w:eastAsia="Courier New" w:hAnsi="Courier New"/>
        <w:w w:val="100"/>
        <w:sz w:val="20"/>
        <w:szCs w:val="20"/>
        <w:shd w:val="clear" w:color="auto" w:fill="auto"/>
      </w:rPr>
    </w:lvl>
    <w:lvl w:ilvl="5" w:tplc="49BC085A">
      <w:start w:val="1"/>
      <w:numFmt w:val="bullet"/>
      <w:lvlText w:val="§"/>
      <w:lvlJc w:val="left"/>
      <w:pPr>
        <w:ind w:left="4320" w:hanging="360"/>
      </w:pPr>
      <w:rPr>
        <w:rFonts w:ascii="Wingdings" w:eastAsia="Wingdings" w:hAnsi="Wingdings"/>
        <w:w w:val="100"/>
        <w:sz w:val="20"/>
        <w:szCs w:val="20"/>
        <w:shd w:val="clear" w:color="auto" w:fill="auto"/>
      </w:rPr>
    </w:lvl>
    <w:lvl w:ilvl="6" w:tplc="A320AFCC">
      <w:start w:val="1"/>
      <w:numFmt w:val="bullet"/>
      <w:lvlText w:val="·"/>
      <w:lvlJc w:val="left"/>
      <w:pPr>
        <w:ind w:left="5040" w:hanging="360"/>
      </w:pPr>
      <w:rPr>
        <w:rFonts w:ascii="Symbol" w:eastAsia="Symbol" w:hAnsi="Symbol"/>
        <w:w w:val="100"/>
        <w:sz w:val="20"/>
        <w:szCs w:val="20"/>
        <w:shd w:val="clear" w:color="auto" w:fill="auto"/>
      </w:rPr>
    </w:lvl>
    <w:lvl w:ilvl="7" w:tplc="D0108916">
      <w:start w:val="1"/>
      <w:numFmt w:val="bullet"/>
      <w:lvlText w:val="o"/>
      <w:lvlJc w:val="left"/>
      <w:pPr>
        <w:ind w:left="5760" w:hanging="360"/>
      </w:pPr>
      <w:rPr>
        <w:rFonts w:ascii="Courier New" w:eastAsia="Courier New" w:hAnsi="Courier New"/>
        <w:w w:val="100"/>
        <w:sz w:val="20"/>
        <w:szCs w:val="20"/>
        <w:shd w:val="clear" w:color="auto" w:fill="auto"/>
      </w:rPr>
    </w:lvl>
    <w:lvl w:ilvl="8" w:tplc="9804769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7D4F09D7"/>
    <w:multiLevelType w:val="hybridMultilevel"/>
    <w:tmpl w:val="7DE4F490"/>
    <w:lvl w:ilvl="0" w:tplc="C5A0124E">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FC"/>
    <w:rsid w:val="000710AE"/>
    <w:rsid w:val="000E3C19"/>
    <w:rsid w:val="000F1D45"/>
    <w:rsid w:val="001416C9"/>
    <w:rsid w:val="001B7B83"/>
    <w:rsid w:val="001C4222"/>
    <w:rsid w:val="00213212"/>
    <w:rsid w:val="002F1321"/>
    <w:rsid w:val="003211FC"/>
    <w:rsid w:val="00437014"/>
    <w:rsid w:val="00577814"/>
    <w:rsid w:val="005B13F0"/>
    <w:rsid w:val="00640D46"/>
    <w:rsid w:val="006C114D"/>
    <w:rsid w:val="006F23BF"/>
    <w:rsid w:val="00735FE0"/>
    <w:rsid w:val="007765FC"/>
    <w:rsid w:val="00794ECE"/>
    <w:rsid w:val="008B556E"/>
    <w:rsid w:val="00963676"/>
    <w:rsid w:val="009E10A0"/>
    <w:rsid w:val="009F2AD6"/>
    <w:rsid w:val="00A001B9"/>
    <w:rsid w:val="00A56822"/>
    <w:rsid w:val="00C9190D"/>
    <w:rsid w:val="00CB6990"/>
    <w:rsid w:val="00D53DB9"/>
    <w:rsid w:val="00D97209"/>
    <w:rsid w:val="00E45376"/>
    <w:rsid w:val="00FB37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C4656"/>
  <w15:chartTrackingRefBased/>
  <w15:docId w15:val="{C3C9DB59-B961-453D-98FB-91C82C87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7765F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26"/>
    <w:qFormat/>
    <w:rsid w:val="007765FC"/>
    <w:pPr>
      <w:ind w:left="720"/>
    </w:pPr>
    <w:rPr>
      <w:rFonts w:ascii="Arial" w:hAnsi="Arial"/>
      <w:sz w:val="22"/>
      <w:szCs w:val="22"/>
    </w:rPr>
  </w:style>
  <w:style w:type="paragraph" w:styleId="Header">
    <w:name w:val="header"/>
    <w:basedOn w:val="Normal"/>
    <w:link w:val="HeaderChar"/>
    <w:rsid w:val="007765FC"/>
    <w:pPr>
      <w:tabs>
        <w:tab w:val="center" w:pos="4153"/>
        <w:tab w:val="right" w:pos="8306"/>
      </w:tabs>
    </w:pPr>
    <w:rPr>
      <w:sz w:val="20"/>
      <w:szCs w:val="20"/>
    </w:rPr>
  </w:style>
  <w:style w:type="character" w:customStyle="1" w:styleId="HeaderChar">
    <w:name w:val="Header Char"/>
    <w:basedOn w:val="DefaultParagraphFont"/>
    <w:link w:val="Header"/>
    <w:rsid w:val="007765FC"/>
    <w:rPr>
      <w:rFonts w:ascii="Times New Roman" w:eastAsia="Times New Roman" w:hAnsi="Times New Roman" w:cs="Times New Roman"/>
      <w:sz w:val="20"/>
      <w:szCs w:val="20"/>
      <w:lang w:eastAsia="lv-LV"/>
    </w:rPr>
  </w:style>
  <w:style w:type="character" w:styleId="PageNumber">
    <w:name w:val="page number"/>
    <w:rsid w:val="007765FC"/>
    <w:rPr>
      <w:rFonts w:ascii="Arial" w:eastAsia="Times New Roman" w:hAnsi="Arial"/>
      <w:w w:val="100"/>
      <w:sz w:val="20"/>
      <w:szCs w:val="20"/>
      <w:shd w:val="clear" w:color="auto" w:fill="auto"/>
    </w:rPr>
  </w:style>
  <w:style w:type="paragraph" w:styleId="BodyText2">
    <w:name w:val="Body Text 2"/>
    <w:basedOn w:val="Normal"/>
    <w:link w:val="BodyText2Char"/>
    <w:semiHidden/>
    <w:rsid w:val="007765FC"/>
    <w:pPr>
      <w:jc w:val="center"/>
      <w:textAlignment w:val="baseline"/>
    </w:pPr>
    <w:rPr>
      <w:b/>
      <w:sz w:val="28"/>
      <w:szCs w:val="28"/>
    </w:rPr>
  </w:style>
  <w:style w:type="character" w:customStyle="1" w:styleId="BodyText2Char">
    <w:name w:val="Body Text 2 Char"/>
    <w:basedOn w:val="DefaultParagraphFont"/>
    <w:link w:val="BodyText2"/>
    <w:semiHidden/>
    <w:rsid w:val="007765FC"/>
    <w:rPr>
      <w:rFonts w:ascii="Times New Roman" w:eastAsia="Times New Roman" w:hAnsi="Times New Roman" w:cs="Times New Roman"/>
      <w:b/>
      <w:sz w:val="28"/>
      <w:szCs w:val="28"/>
      <w:lang w:eastAsia="lv-LV"/>
    </w:rPr>
  </w:style>
  <w:style w:type="paragraph" w:styleId="Footer">
    <w:name w:val="footer"/>
    <w:basedOn w:val="Normal"/>
    <w:link w:val="FooterChar"/>
    <w:semiHidden/>
    <w:unhideWhenUsed/>
    <w:rsid w:val="007765FC"/>
    <w:pPr>
      <w:tabs>
        <w:tab w:val="center" w:pos="4153"/>
        <w:tab w:val="right" w:pos="8306"/>
      </w:tabs>
    </w:pPr>
    <w:rPr>
      <w:sz w:val="20"/>
      <w:szCs w:val="20"/>
    </w:rPr>
  </w:style>
  <w:style w:type="character" w:customStyle="1" w:styleId="FooterChar">
    <w:name w:val="Footer Char"/>
    <w:basedOn w:val="DefaultParagraphFont"/>
    <w:link w:val="Footer"/>
    <w:semiHidden/>
    <w:rsid w:val="007765FC"/>
    <w:rPr>
      <w:rFonts w:ascii="Times New Roman" w:eastAsia="Times New Roman" w:hAnsi="Times New Roman" w:cs="Times New Roman"/>
      <w:sz w:val="20"/>
      <w:szCs w:val="20"/>
      <w:lang w:eastAsia="lv-LV"/>
    </w:rPr>
  </w:style>
  <w:style w:type="character" w:styleId="CommentReference">
    <w:name w:val="annotation reference"/>
    <w:unhideWhenUsed/>
    <w:rsid w:val="007765FC"/>
    <w:rPr>
      <w:w w:val="100"/>
      <w:sz w:val="16"/>
      <w:szCs w:val="16"/>
      <w:shd w:val="clear" w:color="auto" w:fill="auto"/>
    </w:rPr>
  </w:style>
  <w:style w:type="paragraph" w:styleId="CommentText">
    <w:name w:val="annotation text"/>
    <w:basedOn w:val="Normal"/>
    <w:link w:val="CommentTextChar"/>
    <w:unhideWhenUsed/>
    <w:rsid w:val="007765FC"/>
    <w:rPr>
      <w:sz w:val="20"/>
      <w:szCs w:val="20"/>
    </w:rPr>
  </w:style>
  <w:style w:type="character" w:customStyle="1" w:styleId="CommentTextChar">
    <w:name w:val="Comment Text Char"/>
    <w:basedOn w:val="DefaultParagraphFont"/>
    <w:link w:val="CommentText"/>
    <w:rsid w:val="007765FC"/>
    <w:rPr>
      <w:rFonts w:ascii="Times New Roman" w:eastAsia="Times New Roman" w:hAnsi="Times New Roman" w:cs="Times New Roman"/>
      <w:sz w:val="20"/>
      <w:szCs w:val="20"/>
      <w:lang w:eastAsia="lv-LV"/>
    </w:rPr>
  </w:style>
  <w:style w:type="paragraph" w:styleId="FootnoteText">
    <w:name w:val="footnote text"/>
    <w:basedOn w:val="Normal"/>
    <w:link w:val="FootnoteTextChar"/>
    <w:rsid w:val="007765FC"/>
    <w:rPr>
      <w:rFonts w:ascii="Arial" w:hAnsi="Arial"/>
      <w:sz w:val="20"/>
      <w:szCs w:val="20"/>
    </w:rPr>
  </w:style>
  <w:style w:type="character" w:customStyle="1" w:styleId="FootnoteTextChar">
    <w:name w:val="Footnote Text Char"/>
    <w:basedOn w:val="DefaultParagraphFont"/>
    <w:link w:val="FootnoteText"/>
    <w:rsid w:val="007765FC"/>
    <w:rPr>
      <w:rFonts w:ascii="Arial" w:eastAsia="Times New Roman" w:hAnsi="Arial" w:cs="Times New Roman"/>
      <w:sz w:val="20"/>
      <w:szCs w:val="20"/>
      <w:lang w:eastAsia="lv-LV"/>
    </w:rPr>
  </w:style>
  <w:style w:type="character" w:styleId="FootnoteReference">
    <w:name w:val="footnote reference"/>
    <w:rsid w:val="007765FC"/>
    <w:rPr>
      <w:w w:val="100"/>
      <w:sz w:val="20"/>
      <w:szCs w:val="20"/>
      <w:shd w:val="clear" w:color="auto" w:fill="auto"/>
      <w:vertAlign w:val="superscript"/>
    </w:rPr>
  </w:style>
  <w:style w:type="paragraph" w:customStyle="1" w:styleId="naiskr">
    <w:name w:val="naiskr"/>
    <w:basedOn w:val="Normal"/>
    <w:rsid w:val="007765FC"/>
    <w:rPr>
      <w:rFonts w:ascii="Arial" w:hAnsi="Arial"/>
      <w:sz w:val="20"/>
      <w:szCs w:val="20"/>
    </w:rPr>
  </w:style>
  <w:style w:type="paragraph" w:customStyle="1" w:styleId="naisnod">
    <w:name w:val="naisnod"/>
    <w:basedOn w:val="Normal"/>
    <w:rsid w:val="007765FC"/>
    <w:rPr>
      <w:rFonts w:ascii="Arial" w:hAnsi="Arial"/>
      <w:sz w:val="20"/>
      <w:szCs w:val="20"/>
    </w:rPr>
  </w:style>
  <w:style w:type="character" w:customStyle="1" w:styleId="ListParagraphChar">
    <w:name w:val="List Paragraph Char"/>
    <w:link w:val="ListParagraph"/>
    <w:uiPriority w:val="26"/>
    <w:rsid w:val="007765FC"/>
    <w:rPr>
      <w:rFonts w:ascii="Arial" w:eastAsia="Times New Roman" w:hAnsi="Arial" w:cs="Times New Roman"/>
      <w:lang w:eastAsia="lv-LV"/>
    </w:rPr>
  </w:style>
  <w:style w:type="paragraph" w:customStyle="1" w:styleId="Default">
    <w:name w:val="Default"/>
    <w:rsid w:val="007765FC"/>
    <w:pPr>
      <w:autoSpaceDE w:val="0"/>
      <w:autoSpaceDN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776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5FC"/>
    <w:rPr>
      <w:rFonts w:ascii="Segoe UI" w:eastAsia="Times New Roman"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5B13F0"/>
    <w:rPr>
      <w:b/>
      <w:bCs/>
    </w:rPr>
  </w:style>
  <w:style w:type="character" w:customStyle="1" w:styleId="CommentSubjectChar">
    <w:name w:val="Comment Subject Char"/>
    <w:basedOn w:val="CommentTextChar"/>
    <w:link w:val="CommentSubject"/>
    <w:uiPriority w:val="99"/>
    <w:semiHidden/>
    <w:rsid w:val="005B13F0"/>
    <w:rPr>
      <w:rFonts w:ascii="Times New Roman" w:eastAsia="Times New Roman" w:hAnsi="Times New Roman" w:cs="Times New Roman"/>
      <w:b/>
      <w:bCs/>
      <w:sz w:val="20"/>
      <w:szCs w:val="20"/>
      <w:lang w:eastAsia="lv-LV"/>
    </w:rPr>
  </w:style>
  <w:style w:type="paragraph" w:styleId="Revision">
    <w:name w:val="Revision"/>
    <w:hidden/>
    <w:uiPriority w:val="99"/>
    <w:semiHidden/>
    <w:rsid w:val="001C4222"/>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10794</Words>
  <Characters>6153</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Dlohi</dc:creator>
  <cp:keywords/>
  <dc:description/>
  <cp:lastModifiedBy>Signe Tuklere</cp:lastModifiedBy>
  <cp:revision>2</cp:revision>
  <cp:lastPrinted>2017-11-10T13:32:00Z</cp:lastPrinted>
  <dcterms:created xsi:type="dcterms:W3CDTF">2017-11-13T12:47:00Z</dcterms:created>
  <dcterms:modified xsi:type="dcterms:W3CDTF">2017-11-13T12:47:00Z</dcterms:modified>
</cp:coreProperties>
</file>