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F8E2" w14:textId="5C7A5184" w:rsidR="009A312E" w:rsidRDefault="009A312E" w:rsidP="009A312E">
      <w:pPr>
        <w:spacing w:after="0" w:line="240" w:lineRule="auto"/>
        <w:jc w:val="center"/>
        <w:rPr>
          <w:rFonts w:ascii="Times New Roman" w:eastAsia="Times New Roman" w:hAnsi="Times New Roman"/>
          <w:b/>
          <w:sz w:val="24"/>
          <w:szCs w:val="24"/>
          <w:lang w:eastAsia="lv-LV"/>
        </w:rPr>
      </w:pPr>
      <w:bookmarkStart w:id="0" w:name="_GoBack"/>
      <w:bookmarkEnd w:id="0"/>
      <w:r w:rsidRPr="008B78B2">
        <w:rPr>
          <w:rFonts w:ascii="Times New Roman" w:eastAsia="Times New Roman" w:hAnsi="Times New Roman"/>
          <w:b/>
          <w:sz w:val="24"/>
          <w:szCs w:val="24"/>
          <w:lang w:eastAsia="lv-LV"/>
        </w:rPr>
        <w:t xml:space="preserve">Ministru kabineta noteikumu projekta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Grozījumi Ministru kabineta 2016. gada</w:t>
      </w:r>
      <w:r w:rsidR="005630E5">
        <w:rPr>
          <w:rFonts w:ascii="Times New Roman" w:eastAsia="Times New Roman" w:hAnsi="Times New Roman"/>
          <w:b/>
          <w:sz w:val="24"/>
          <w:szCs w:val="24"/>
          <w:lang w:eastAsia="lv-LV"/>
        </w:rPr>
        <w:t xml:space="preserve"> 9. augusta noteikumos Nr. 534 “</w:t>
      </w:r>
      <w:r w:rsidRPr="0057709B">
        <w:rPr>
          <w:rFonts w:ascii="Times New Roman" w:eastAsia="Times New Roman" w:hAnsi="Times New Roman"/>
          <w:b/>
          <w:sz w:val="24"/>
          <w:szCs w:val="24"/>
          <w:lang w:eastAsia="lv-LV"/>
        </w:rPr>
        <w:t xml:space="preserve">Darbības programmas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Izaugsme un nodarbinātība</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 xml:space="preserve"> 4.2.1. specifiskā atbalsta mērķa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Veicināt energoefektivitātes paaugstināšanu valsts un dzīvojamās ēkās</w:t>
      </w:r>
      <w:r w:rsidR="005630E5">
        <w:rPr>
          <w:rFonts w:ascii="Times New Roman" w:eastAsia="Times New Roman" w:hAnsi="Times New Roman"/>
          <w:b/>
          <w:sz w:val="24"/>
          <w:szCs w:val="24"/>
          <w:lang w:eastAsia="lv-LV"/>
        </w:rPr>
        <w:t>” 4.2.1.2. pasākuma “</w:t>
      </w:r>
      <w:r w:rsidRPr="0057709B">
        <w:rPr>
          <w:rFonts w:ascii="Times New Roman" w:eastAsia="Times New Roman" w:hAnsi="Times New Roman"/>
          <w:b/>
          <w:sz w:val="24"/>
          <w:szCs w:val="24"/>
          <w:lang w:eastAsia="lv-LV"/>
        </w:rPr>
        <w:t>Veicināt energoefektivitātes paaugstināšanu valsts ēkās" pirmās projektu iesniegumu atlas</w:t>
      </w:r>
      <w:r>
        <w:rPr>
          <w:rFonts w:ascii="Times New Roman" w:eastAsia="Times New Roman" w:hAnsi="Times New Roman"/>
          <w:b/>
          <w:sz w:val="24"/>
          <w:szCs w:val="24"/>
          <w:lang w:eastAsia="lv-LV"/>
        </w:rPr>
        <w:t>es kārtas īstenošanas noteikumi</w:t>
      </w:r>
      <w:r w:rsidR="005630E5">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77777777" w:rsidR="009A312E" w:rsidRPr="000028E2"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8B78B2" w14:paraId="1D03D1D7" w14:textId="77777777" w:rsidTr="00E56C85">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8B78B2" w:rsidRDefault="009A312E" w:rsidP="00E56C85">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A312E" w:rsidRPr="008B78B2" w14:paraId="30C2187F" w14:textId="77777777" w:rsidTr="00E56C85">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6B1898EC" w:rsidR="009A312E" w:rsidRPr="008B78B2" w:rsidRDefault="009A312E" w:rsidP="006A30B4">
            <w:pPr>
              <w:spacing w:after="0" w:line="240" w:lineRule="auto"/>
              <w:ind w:left="72"/>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w:t>
            </w:r>
            <w:r w:rsidR="005630E5">
              <w:rPr>
                <w:rFonts w:ascii="Times New Roman" w:hAnsi="Times New Roman"/>
                <w:sz w:val="24"/>
                <w:szCs w:val="24"/>
              </w:rPr>
              <w:t>punkts</w:t>
            </w:r>
            <w:r w:rsidRPr="008B78B2">
              <w:rPr>
                <w:rFonts w:ascii="Times New Roman" w:hAnsi="Times New Roman"/>
                <w:sz w:val="24"/>
                <w:szCs w:val="24"/>
              </w:rPr>
              <w:t>.</w:t>
            </w:r>
          </w:p>
        </w:tc>
      </w:tr>
      <w:tr w:rsidR="009A312E" w:rsidRPr="008B78B2" w14:paraId="4870D352" w14:textId="77777777" w:rsidTr="00E56C85">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9A312E"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14:paraId="297B6956" w14:textId="77777777" w:rsidR="009A312E" w:rsidRPr="00274E36" w:rsidRDefault="009A312E" w:rsidP="00E56C85">
            <w:pPr>
              <w:rPr>
                <w:rFonts w:ascii="Times New Roman" w:eastAsia="Times New Roman" w:hAnsi="Times New Roman"/>
                <w:sz w:val="24"/>
                <w:szCs w:val="24"/>
                <w:lang w:eastAsia="lv-LV"/>
              </w:rPr>
            </w:pPr>
          </w:p>
          <w:p w14:paraId="7E84CB39" w14:textId="77777777" w:rsidR="009A312E" w:rsidRPr="00274E36" w:rsidRDefault="009A312E" w:rsidP="00E56C85">
            <w:pPr>
              <w:rPr>
                <w:rFonts w:ascii="Times New Roman" w:eastAsia="Times New Roman" w:hAnsi="Times New Roman"/>
                <w:sz w:val="24"/>
                <w:szCs w:val="24"/>
                <w:lang w:eastAsia="lv-LV"/>
              </w:rPr>
            </w:pPr>
          </w:p>
          <w:p w14:paraId="477558BF" w14:textId="77777777" w:rsidR="009A312E" w:rsidRPr="00274E36" w:rsidRDefault="009A312E" w:rsidP="00E56C85">
            <w:pPr>
              <w:rPr>
                <w:rFonts w:ascii="Times New Roman" w:eastAsia="Times New Roman" w:hAnsi="Times New Roman"/>
                <w:sz w:val="24"/>
                <w:szCs w:val="24"/>
                <w:lang w:eastAsia="lv-LV"/>
              </w:rPr>
            </w:pPr>
          </w:p>
          <w:p w14:paraId="7BDA67C8" w14:textId="77777777" w:rsidR="009A312E" w:rsidRPr="00274E36" w:rsidRDefault="009A312E" w:rsidP="00E56C85">
            <w:pPr>
              <w:rPr>
                <w:rFonts w:ascii="Times New Roman" w:eastAsia="Times New Roman" w:hAnsi="Times New Roman"/>
                <w:sz w:val="24"/>
                <w:szCs w:val="24"/>
                <w:lang w:eastAsia="lv-LV"/>
              </w:rPr>
            </w:pPr>
          </w:p>
          <w:p w14:paraId="04CC600B" w14:textId="77777777" w:rsidR="009A312E" w:rsidRPr="00274E36" w:rsidRDefault="009A312E" w:rsidP="00E56C85">
            <w:pPr>
              <w:rPr>
                <w:rFonts w:ascii="Times New Roman" w:eastAsia="Times New Roman" w:hAnsi="Times New Roman"/>
                <w:sz w:val="24"/>
                <w:szCs w:val="24"/>
                <w:lang w:eastAsia="lv-LV"/>
              </w:rPr>
            </w:pPr>
          </w:p>
          <w:p w14:paraId="2F8D2731" w14:textId="77777777" w:rsidR="009A312E" w:rsidRPr="00274E36" w:rsidRDefault="009A312E" w:rsidP="00E56C85">
            <w:pPr>
              <w:rPr>
                <w:rFonts w:ascii="Times New Roman" w:eastAsia="Times New Roman" w:hAnsi="Times New Roman"/>
                <w:sz w:val="24"/>
                <w:szCs w:val="24"/>
                <w:lang w:eastAsia="lv-LV"/>
              </w:rPr>
            </w:pPr>
          </w:p>
          <w:p w14:paraId="5525482F" w14:textId="77777777" w:rsidR="009A312E" w:rsidRPr="00274E36" w:rsidRDefault="009A312E" w:rsidP="00E56C85">
            <w:pPr>
              <w:rPr>
                <w:rFonts w:ascii="Times New Roman" w:eastAsia="Times New Roman" w:hAnsi="Times New Roman"/>
                <w:sz w:val="24"/>
                <w:szCs w:val="24"/>
                <w:lang w:eastAsia="lv-LV"/>
              </w:rPr>
            </w:pPr>
          </w:p>
          <w:p w14:paraId="124F148F" w14:textId="77777777" w:rsidR="009A312E" w:rsidRPr="00274E36" w:rsidRDefault="009A312E" w:rsidP="00E56C85">
            <w:pPr>
              <w:rPr>
                <w:rFonts w:ascii="Times New Roman" w:eastAsia="Times New Roman" w:hAnsi="Times New Roman"/>
                <w:sz w:val="24"/>
                <w:szCs w:val="24"/>
                <w:lang w:eastAsia="lv-LV"/>
              </w:rPr>
            </w:pPr>
          </w:p>
          <w:p w14:paraId="7ED4717C" w14:textId="77777777" w:rsidR="009A312E" w:rsidRPr="00274E36" w:rsidRDefault="009A312E" w:rsidP="00E56C85">
            <w:pPr>
              <w:rPr>
                <w:rFonts w:ascii="Times New Roman" w:eastAsia="Times New Roman" w:hAnsi="Times New Roman"/>
                <w:sz w:val="24"/>
                <w:szCs w:val="24"/>
                <w:lang w:eastAsia="lv-LV"/>
              </w:rPr>
            </w:pPr>
          </w:p>
          <w:p w14:paraId="3712A373" w14:textId="77777777" w:rsidR="009A312E" w:rsidRPr="00274E36" w:rsidRDefault="009A312E" w:rsidP="00E56C85">
            <w:pPr>
              <w:rPr>
                <w:rFonts w:ascii="Times New Roman" w:eastAsia="Times New Roman" w:hAnsi="Times New Roman"/>
                <w:sz w:val="24"/>
                <w:szCs w:val="24"/>
                <w:lang w:eastAsia="lv-LV"/>
              </w:rPr>
            </w:pPr>
          </w:p>
          <w:p w14:paraId="611540ED" w14:textId="77777777" w:rsidR="009A312E" w:rsidRPr="00274E36" w:rsidRDefault="009A312E" w:rsidP="00E56C85">
            <w:pPr>
              <w:rPr>
                <w:rFonts w:ascii="Times New Roman" w:eastAsia="Times New Roman" w:hAnsi="Times New Roman"/>
                <w:sz w:val="24"/>
                <w:szCs w:val="24"/>
                <w:lang w:eastAsia="lv-LV"/>
              </w:rPr>
            </w:pPr>
          </w:p>
          <w:p w14:paraId="0768AF40" w14:textId="77777777" w:rsidR="009A312E" w:rsidRDefault="009A312E" w:rsidP="00E56C85">
            <w:pPr>
              <w:rPr>
                <w:rFonts w:ascii="Times New Roman" w:eastAsia="Times New Roman" w:hAnsi="Times New Roman"/>
                <w:sz w:val="24"/>
                <w:szCs w:val="24"/>
                <w:lang w:eastAsia="lv-LV"/>
              </w:rPr>
            </w:pPr>
          </w:p>
          <w:p w14:paraId="5617D3FC" w14:textId="77777777" w:rsidR="009A312E" w:rsidRDefault="009A312E" w:rsidP="00E56C85">
            <w:pPr>
              <w:rPr>
                <w:rFonts w:ascii="Times New Roman" w:eastAsia="Times New Roman" w:hAnsi="Times New Roman"/>
                <w:sz w:val="24"/>
                <w:szCs w:val="24"/>
                <w:lang w:eastAsia="lv-LV"/>
              </w:rPr>
            </w:pPr>
          </w:p>
          <w:p w14:paraId="6B2C4B0D" w14:textId="77777777" w:rsidR="009A312E" w:rsidRPr="00274E36" w:rsidRDefault="009A312E" w:rsidP="00E56C85">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386C51E" w14:textId="2C51DA06" w:rsidR="00276DA9" w:rsidRDefault="00EB67CA"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E</w:t>
            </w:r>
            <w:r w:rsidR="0090361D">
              <w:rPr>
                <w:rFonts w:ascii="Times New Roman" w:hAnsi="Times New Roman"/>
                <w:sz w:val="24"/>
                <w:szCs w:val="24"/>
              </w:rPr>
              <w:t>konomikas ministrija</w:t>
            </w:r>
            <w:r>
              <w:rPr>
                <w:rFonts w:ascii="Times New Roman" w:hAnsi="Times New Roman"/>
                <w:sz w:val="24"/>
                <w:szCs w:val="24"/>
              </w:rPr>
              <w:t xml:space="preserve"> (turpmāk – EM)</w:t>
            </w:r>
            <w:r w:rsidR="00276DA9" w:rsidRPr="001D209B">
              <w:rPr>
                <w:rFonts w:ascii="Times New Roman" w:hAnsi="Times New Roman"/>
                <w:sz w:val="24"/>
                <w:szCs w:val="24"/>
              </w:rPr>
              <w:t xml:space="preserve"> ir veikusi</w:t>
            </w:r>
            <w:r w:rsidR="00276DA9">
              <w:rPr>
                <w:rFonts w:ascii="Times New Roman" w:hAnsi="Times New Roman"/>
                <w:sz w:val="24"/>
                <w:szCs w:val="24"/>
              </w:rPr>
              <w:t xml:space="preserve"> analīzi par 4.2.1.2.pasākuma</w:t>
            </w:r>
            <w:r w:rsidR="00744E9C">
              <w:rPr>
                <w:rFonts w:ascii="Times New Roman" w:hAnsi="Times New Roman"/>
                <w:sz w:val="24"/>
                <w:szCs w:val="24"/>
              </w:rPr>
              <w:t xml:space="preserve"> </w:t>
            </w:r>
            <w:r w:rsidR="00FD68CD">
              <w:rPr>
                <w:rFonts w:ascii="Times New Roman" w:hAnsi="Times New Roman"/>
                <w:sz w:val="24"/>
                <w:szCs w:val="24"/>
              </w:rPr>
              <w:t>“</w:t>
            </w:r>
            <w:r w:rsidR="00744E9C" w:rsidRPr="009440D7">
              <w:rPr>
                <w:rFonts w:ascii="Times New Roman" w:hAnsi="Times New Roman"/>
                <w:sz w:val="24"/>
                <w:szCs w:val="24"/>
              </w:rPr>
              <w:t>Veicināt energoefektivitātes paaugstināšanu valsts ēkās</w:t>
            </w:r>
            <w:r w:rsidR="00FD68CD">
              <w:rPr>
                <w:rFonts w:ascii="Times New Roman" w:hAnsi="Times New Roman"/>
                <w:sz w:val="24"/>
                <w:szCs w:val="24"/>
              </w:rPr>
              <w:t>”</w:t>
            </w:r>
            <w:r w:rsidR="00744E9C">
              <w:rPr>
                <w:rFonts w:ascii="Times New Roman" w:hAnsi="Times New Roman"/>
                <w:sz w:val="24"/>
                <w:szCs w:val="24"/>
              </w:rPr>
              <w:t xml:space="preserve"> pirmās projektu iesniegumu atlases kārtas (turpmāk – 4.2.1.2.pasākuma pirmā kārta)</w:t>
            </w:r>
            <w:r w:rsidR="00276DA9" w:rsidRPr="001D209B">
              <w:rPr>
                <w:rFonts w:ascii="Times New Roman" w:hAnsi="Times New Roman"/>
                <w:sz w:val="24"/>
                <w:szCs w:val="24"/>
              </w:rPr>
              <w:t xml:space="preserve"> un otrās projektu iesniegumu atlases kārtas projektu iesniegumu iesniegšanas termiņiem un plānotajā</w:t>
            </w:r>
            <w:r w:rsidR="00276DA9">
              <w:rPr>
                <w:rFonts w:ascii="Times New Roman" w:hAnsi="Times New Roman"/>
                <w:sz w:val="24"/>
                <w:szCs w:val="24"/>
              </w:rPr>
              <w:t>m ikgadējām maksājumu plūsmām.</w:t>
            </w:r>
          </w:p>
          <w:p w14:paraId="363A41C8" w14:textId="3734A542" w:rsidR="00276DA9" w:rsidRPr="00FE0684" w:rsidRDefault="00744E9C" w:rsidP="00CD38CB">
            <w:pPr>
              <w:spacing w:after="0" w:line="240" w:lineRule="auto"/>
              <w:ind w:left="132" w:right="202"/>
              <w:jc w:val="both"/>
              <w:rPr>
                <w:rFonts w:ascii="Times New Roman" w:hAnsi="Times New Roman"/>
                <w:sz w:val="24"/>
                <w:szCs w:val="24"/>
              </w:rPr>
            </w:pPr>
            <w:r w:rsidRPr="00744E9C">
              <w:rPr>
                <w:rFonts w:ascii="Times New Roman" w:hAnsi="Times New Roman"/>
                <w:sz w:val="24"/>
                <w:szCs w:val="24"/>
              </w:rPr>
              <w:t>4.2.1.2.pasākuma ietvaros līdz 2018.gada 31.decembrim ir jāsasniedz sertificētie izdevumi 22 018 045,55 EUR apmērā (</w:t>
            </w:r>
            <w:r w:rsidR="001F1B7D" w:rsidRPr="001F1B7D">
              <w:rPr>
                <w:rFonts w:ascii="Times New Roman" w:hAnsi="Times New Roman"/>
                <w:sz w:val="24"/>
                <w:szCs w:val="24"/>
              </w:rPr>
              <w:t xml:space="preserve">Eiropas Reģionālās attīstības fonda </w:t>
            </w:r>
            <w:r w:rsidR="001F1B7D">
              <w:rPr>
                <w:rFonts w:ascii="Times New Roman" w:hAnsi="Times New Roman"/>
                <w:sz w:val="24"/>
                <w:szCs w:val="24"/>
              </w:rPr>
              <w:t xml:space="preserve">(turpmāk – </w:t>
            </w:r>
            <w:r w:rsidRPr="00744E9C">
              <w:rPr>
                <w:rFonts w:ascii="Times New Roman" w:hAnsi="Times New Roman"/>
                <w:sz w:val="24"/>
                <w:szCs w:val="24"/>
              </w:rPr>
              <w:t>ERAF</w:t>
            </w:r>
            <w:r w:rsidR="001F1B7D">
              <w:rPr>
                <w:rFonts w:ascii="Times New Roman" w:hAnsi="Times New Roman"/>
                <w:sz w:val="24"/>
                <w:szCs w:val="24"/>
              </w:rPr>
              <w:t>)</w:t>
            </w:r>
            <w:r w:rsidRPr="00744E9C">
              <w:rPr>
                <w:rFonts w:ascii="Times New Roman" w:hAnsi="Times New Roman"/>
                <w:sz w:val="24"/>
                <w:szCs w:val="24"/>
              </w:rPr>
              <w:t xml:space="preserve"> finansējuma daļa). Ņemot vērā lēno finansējuma apguvi, pastāv risks nesasniegt šo noteikto sertificēto izdevumu apmēru. Optimistiskā prognoze par ERAF finansējuma apguvi liecina, ka līdz 2018.gada beigām tiks apgūti 19 030 602,1 EUR no 4.2.1.2.pasākuma pieejamā ERAF finansējuma, kas ir 86,43 % no finanšu mērķa</w:t>
            </w:r>
            <w:r>
              <w:rPr>
                <w:rFonts w:ascii="Times New Roman" w:hAnsi="Times New Roman"/>
                <w:sz w:val="24"/>
                <w:szCs w:val="24"/>
              </w:rPr>
              <w:t>.</w:t>
            </w:r>
          </w:p>
          <w:p w14:paraId="61DB7786" w14:textId="77777777" w:rsidR="00DD11B5" w:rsidRPr="00744E9C" w:rsidRDefault="00DD11B5" w:rsidP="00CD38CB">
            <w:pPr>
              <w:spacing w:after="0" w:line="240" w:lineRule="auto"/>
              <w:ind w:left="132" w:right="202"/>
              <w:jc w:val="both"/>
              <w:rPr>
                <w:rFonts w:ascii="Times New Roman" w:hAnsi="Times New Roman"/>
                <w:sz w:val="24"/>
                <w:szCs w:val="24"/>
              </w:rPr>
            </w:pPr>
          </w:p>
          <w:p w14:paraId="4F255714" w14:textId="6850DD79" w:rsidR="008C4C6D" w:rsidRDefault="008C4C6D" w:rsidP="00CD38CB">
            <w:pPr>
              <w:spacing w:after="0" w:line="240" w:lineRule="auto"/>
              <w:ind w:left="132" w:right="202"/>
              <w:jc w:val="both"/>
              <w:rPr>
                <w:rFonts w:ascii="Times New Roman" w:hAnsi="Times New Roman"/>
                <w:sz w:val="24"/>
                <w:szCs w:val="24"/>
              </w:rPr>
            </w:pPr>
            <w:r w:rsidRPr="00744E9C">
              <w:rPr>
                <w:rFonts w:ascii="Times New Roman" w:hAnsi="Times New Roman"/>
                <w:sz w:val="24"/>
                <w:szCs w:val="24"/>
              </w:rPr>
              <w:t xml:space="preserve">Lai novērstu konstatētās </w:t>
            </w:r>
            <w:r w:rsidR="00B94698">
              <w:rPr>
                <w:rFonts w:ascii="Times New Roman" w:hAnsi="Times New Roman"/>
                <w:sz w:val="24"/>
                <w:szCs w:val="24"/>
              </w:rPr>
              <w:t>problēmas</w:t>
            </w:r>
            <w:r w:rsidRPr="00744E9C">
              <w:rPr>
                <w:rFonts w:ascii="Times New Roman" w:hAnsi="Times New Roman"/>
                <w:sz w:val="24"/>
                <w:szCs w:val="24"/>
              </w:rPr>
              <w:t xml:space="preserve">, EM ierosina šādas izmaiņas </w:t>
            </w:r>
            <w:r w:rsidR="00B4109B" w:rsidRPr="00960C53">
              <w:rPr>
                <w:rFonts w:ascii="Times New Roman" w:eastAsia="Times New Roman" w:hAnsi="Times New Roman"/>
                <w:sz w:val="24"/>
                <w:szCs w:val="24"/>
                <w:lang w:eastAsia="lv-LV"/>
              </w:rPr>
              <w:t>2016.</w:t>
            </w:r>
            <w:r w:rsidR="00B4109B">
              <w:rPr>
                <w:rFonts w:ascii="Times New Roman" w:eastAsia="Times New Roman" w:hAnsi="Times New Roman"/>
                <w:sz w:val="24"/>
                <w:szCs w:val="24"/>
                <w:lang w:eastAsia="lv-LV"/>
              </w:rPr>
              <w:t> </w:t>
            </w:r>
            <w:r w:rsidR="00B4109B" w:rsidRPr="00960C53">
              <w:rPr>
                <w:rFonts w:ascii="Times New Roman" w:eastAsia="Times New Roman" w:hAnsi="Times New Roman"/>
                <w:sz w:val="24"/>
                <w:szCs w:val="24"/>
                <w:lang w:eastAsia="lv-LV"/>
              </w:rPr>
              <w:t>gada 9.</w:t>
            </w:r>
            <w:r w:rsidR="00B4109B">
              <w:rPr>
                <w:rFonts w:ascii="Times New Roman" w:eastAsia="Times New Roman" w:hAnsi="Times New Roman"/>
                <w:sz w:val="24"/>
                <w:szCs w:val="24"/>
                <w:lang w:eastAsia="lv-LV"/>
              </w:rPr>
              <w:t> </w:t>
            </w:r>
            <w:r w:rsidR="00B4109B" w:rsidRPr="00960C53">
              <w:rPr>
                <w:rFonts w:ascii="Times New Roman" w:eastAsia="Times New Roman" w:hAnsi="Times New Roman"/>
                <w:sz w:val="24"/>
                <w:szCs w:val="24"/>
                <w:lang w:eastAsia="lv-LV"/>
              </w:rPr>
              <w:t xml:space="preserve">augusta noteikumos Nr.534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Darbības programmas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Izaugsme un nodarbinātība</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4.2.1. specifiskā atbalsta mērķa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Veicināt energoefektivitātes paaugstināšanu valsts un dzīvojamās ēkās</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4.2.1.2. pasākuma </w:t>
            </w:r>
            <w:r w:rsidR="003D205C">
              <w:rPr>
                <w:rFonts w:ascii="Times New Roman" w:hAnsi="Times New Roman"/>
                <w:sz w:val="24"/>
                <w:szCs w:val="24"/>
              </w:rPr>
              <w:t>“</w:t>
            </w:r>
            <w:r w:rsidR="00B4109B" w:rsidRPr="00960C53">
              <w:rPr>
                <w:rFonts w:ascii="Times New Roman" w:eastAsia="Times New Roman" w:hAnsi="Times New Roman"/>
                <w:sz w:val="24"/>
                <w:szCs w:val="24"/>
                <w:lang w:eastAsia="lv-LV"/>
              </w:rPr>
              <w:t>Veicināt energoefektivitātes paaugstināšanu</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pirmās projektu iesniegumu atlases kārtas īstenošanas noteikumi”</w:t>
            </w:r>
            <w:r w:rsidR="00B4109B">
              <w:rPr>
                <w:rFonts w:ascii="Times New Roman" w:eastAsia="Times New Roman" w:hAnsi="Times New Roman"/>
                <w:sz w:val="24"/>
                <w:szCs w:val="24"/>
                <w:lang w:eastAsia="lv-LV"/>
              </w:rPr>
              <w:t xml:space="preserve"> (turpmāk</w:t>
            </w:r>
            <w:r w:rsidR="0090361D">
              <w:rPr>
                <w:rFonts w:ascii="Times New Roman" w:eastAsia="Times New Roman" w:hAnsi="Times New Roman"/>
                <w:sz w:val="24"/>
                <w:szCs w:val="24"/>
                <w:lang w:eastAsia="lv-LV"/>
              </w:rPr>
              <w:t xml:space="preserve"> – </w:t>
            </w:r>
            <w:r w:rsidRPr="00744E9C">
              <w:rPr>
                <w:rFonts w:ascii="Times New Roman" w:hAnsi="Times New Roman"/>
                <w:sz w:val="24"/>
                <w:szCs w:val="24"/>
              </w:rPr>
              <w:t>MK noteikum</w:t>
            </w:r>
            <w:r w:rsidR="00B4109B">
              <w:rPr>
                <w:rFonts w:ascii="Times New Roman" w:hAnsi="Times New Roman"/>
                <w:sz w:val="24"/>
                <w:szCs w:val="24"/>
              </w:rPr>
              <w:t>i</w:t>
            </w:r>
            <w:r w:rsidRPr="00744E9C">
              <w:rPr>
                <w:rFonts w:ascii="Times New Roman" w:hAnsi="Times New Roman"/>
                <w:sz w:val="24"/>
                <w:szCs w:val="24"/>
              </w:rPr>
              <w:t xml:space="preserve"> Nr. 534</w:t>
            </w:r>
            <w:r w:rsidR="00B4109B">
              <w:rPr>
                <w:rFonts w:ascii="Times New Roman" w:hAnsi="Times New Roman"/>
                <w:sz w:val="24"/>
                <w:szCs w:val="24"/>
              </w:rPr>
              <w:t>)</w:t>
            </w:r>
            <w:r w:rsidRPr="00744E9C">
              <w:rPr>
                <w:rFonts w:ascii="Times New Roman" w:hAnsi="Times New Roman"/>
                <w:sz w:val="24"/>
                <w:szCs w:val="24"/>
              </w:rPr>
              <w:t>:</w:t>
            </w:r>
          </w:p>
          <w:p w14:paraId="4108E35D" w14:textId="77777777" w:rsidR="00276DA9" w:rsidRPr="00744E9C" w:rsidRDefault="00276DA9" w:rsidP="00CD38CB">
            <w:pPr>
              <w:spacing w:after="0" w:line="240" w:lineRule="auto"/>
              <w:ind w:left="132" w:right="202"/>
              <w:jc w:val="both"/>
              <w:rPr>
                <w:rFonts w:ascii="Times New Roman" w:hAnsi="Times New Roman"/>
                <w:sz w:val="24"/>
                <w:szCs w:val="24"/>
              </w:rPr>
            </w:pPr>
          </w:p>
          <w:p w14:paraId="6AE244D0" w14:textId="3AD210AB" w:rsidR="00276DA9" w:rsidRPr="00164527" w:rsidRDefault="005630E5" w:rsidP="00CD38CB">
            <w:pPr>
              <w:numPr>
                <w:ilvl w:val="0"/>
                <w:numId w:val="1"/>
              </w:numPr>
              <w:spacing w:after="0" w:line="240" w:lineRule="auto"/>
              <w:ind w:left="132" w:right="202" w:firstLine="0"/>
              <w:jc w:val="both"/>
              <w:rPr>
                <w:rFonts w:ascii="Times New Roman" w:hAnsi="Times New Roman"/>
                <w:b/>
                <w:i/>
                <w:sz w:val="24"/>
                <w:szCs w:val="24"/>
                <w:u w:val="single"/>
              </w:rPr>
            </w:pPr>
            <w:r w:rsidRPr="005630E5">
              <w:rPr>
                <w:rFonts w:ascii="Times New Roman" w:hAnsi="Times New Roman"/>
                <w:b/>
                <w:i/>
                <w:sz w:val="24"/>
                <w:szCs w:val="24"/>
                <w:u w:val="single"/>
              </w:rPr>
              <w:t>Mini</w:t>
            </w:r>
            <w:r>
              <w:rPr>
                <w:rFonts w:ascii="Times New Roman" w:hAnsi="Times New Roman"/>
                <w:b/>
                <w:i/>
                <w:sz w:val="24"/>
                <w:szCs w:val="24"/>
                <w:u w:val="single"/>
              </w:rPr>
              <w:t>stru kabineta noteikumu projekta</w:t>
            </w:r>
            <w:r w:rsidRPr="005630E5">
              <w:rPr>
                <w:rFonts w:ascii="Times New Roman" w:hAnsi="Times New Roman"/>
                <w:b/>
                <w:i/>
                <w:sz w:val="24"/>
                <w:szCs w:val="24"/>
                <w:u w:val="single"/>
              </w:rPr>
              <w:t xml:space="preserve"> "Grozījumi Ministru kabineta 2016. gada 9. augusta noteikumos Nr.534 "Darbības programmas "Izaugsme un nodarbinātība" 4.2.1. specifiskā atbalsta mērķa “Veicināt energoefektivitātes paaugstināšanu valsts un dzīvojamās ēkās" 4.2.1.2. pasākuma "Veicināt energoefektivitātes paaugstināšanu" pirmās projektu iesniegumu atlases kārtas īstenošanas noteikumi” (turpmāk – Noteikumu projekts)</w:t>
            </w:r>
            <w:r w:rsidR="00276DA9">
              <w:rPr>
                <w:rFonts w:ascii="Times New Roman" w:hAnsi="Times New Roman"/>
                <w:b/>
                <w:i/>
                <w:sz w:val="24"/>
                <w:szCs w:val="24"/>
                <w:u w:val="single"/>
              </w:rPr>
              <w:t xml:space="preserve"> anotācijai izveidots pielikums ar</w:t>
            </w:r>
            <w:r w:rsidR="00276DA9" w:rsidRPr="00A2526D">
              <w:rPr>
                <w:rFonts w:ascii="Times New Roman" w:hAnsi="Times New Roman"/>
                <w:b/>
                <w:i/>
                <w:sz w:val="24"/>
                <w:szCs w:val="24"/>
                <w:u w:val="single"/>
              </w:rPr>
              <w:t xml:space="preserve"> katra pr</w:t>
            </w:r>
            <w:r w:rsidR="00276DA9">
              <w:rPr>
                <w:rFonts w:ascii="Times New Roman" w:hAnsi="Times New Roman"/>
                <w:b/>
                <w:i/>
                <w:sz w:val="24"/>
                <w:szCs w:val="24"/>
                <w:u w:val="single"/>
              </w:rPr>
              <w:t xml:space="preserve">ojekta iesnieguma iesniegšanas gala termiņu </w:t>
            </w:r>
            <w:r w:rsidR="001A6DE0" w:rsidRPr="001A6DE0">
              <w:rPr>
                <w:rFonts w:ascii="Times New Roman" w:hAnsi="Times New Roman"/>
                <w:b/>
                <w:i/>
                <w:sz w:val="24"/>
                <w:szCs w:val="24"/>
                <w:u w:val="single"/>
              </w:rPr>
              <w:t>Cen</w:t>
            </w:r>
            <w:r w:rsidR="001A6DE0">
              <w:rPr>
                <w:rFonts w:ascii="Times New Roman" w:hAnsi="Times New Roman"/>
                <w:b/>
                <w:i/>
                <w:sz w:val="24"/>
                <w:szCs w:val="24"/>
                <w:u w:val="single"/>
              </w:rPr>
              <w:t>trālā finanšu un līgumu aģentūrā</w:t>
            </w:r>
            <w:r w:rsidR="00276DA9">
              <w:rPr>
                <w:rFonts w:ascii="Times New Roman" w:hAnsi="Times New Roman"/>
                <w:b/>
                <w:i/>
                <w:sz w:val="24"/>
                <w:szCs w:val="24"/>
                <w:u w:val="single"/>
              </w:rPr>
              <w:t xml:space="preserve"> un </w:t>
            </w:r>
            <w:r w:rsidR="00276DA9" w:rsidRPr="00A2526D">
              <w:rPr>
                <w:rFonts w:ascii="Times New Roman" w:hAnsi="Times New Roman"/>
                <w:b/>
                <w:i/>
                <w:sz w:val="24"/>
                <w:szCs w:val="24"/>
                <w:u w:val="single"/>
              </w:rPr>
              <w:t xml:space="preserve">plānotajām ikgadējām maksājumu plūsmām, norādot kāda ir projekta ietvaros plānotā kopējā maksājumu summa sadalījumā pa gadiem, tai skaitā </w:t>
            </w:r>
            <w:r w:rsidR="00276DA9" w:rsidRPr="00A2526D">
              <w:rPr>
                <w:rFonts w:ascii="Times New Roman" w:hAnsi="Times New Roman"/>
                <w:b/>
                <w:i/>
                <w:sz w:val="24"/>
                <w:szCs w:val="24"/>
                <w:u w:val="single"/>
              </w:rPr>
              <w:lastRenderedPageBreak/>
              <w:t>2017. un 2018.gadā – arī sadalījumā pa kalendārajiem mēnešiem.</w:t>
            </w:r>
          </w:p>
          <w:p w14:paraId="09470D35" w14:textId="014D5F40" w:rsidR="00276DA9" w:rsidRPr="006D7ED9" w:rsidRDefault="00276DA9"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Lai </w:t>
            </w:r>
            <w:r w:rsidR="00EB67CA">
              <w:rPr>
                <w:rFonts w:ascii="Times New Roman" w:hAnsi="Times New Roman"/>
                <w:sz w:val="24"/>
                <w:szCs w:val="24"/>
              </w:rPr>
              <w:t>EM</w:t>
            </w:r>
            <w:r>
              <w:rPr>
                <w:rFonts w:ascii="Times New Roman" w:hAnsi="Times New Roman"/>
                <w:sz w:val="24"/>
                <w:szCs w:val="24"/>
              </w:rPr>
              <w:t xml:space="preserve"> sadarbībā ar</w:t>
            </w:r>
            <w:r w:rsidR="00B94698">
              <w:rPr>
                <w:rFonts w:ascii="Times New Roman" w:hAnsi="Times New Roman"/>
                <w:sz w:val="24"/>
                <w:szCs w:val="24"/>
              </w:rPr>
              <w:t xml:space="preserve"> Centrālā finanšu un līgumu aģentūru</w:t>
            </w:r>
            <w:r w:rsidRPr="006D7ED9">
              <w:rPr>
                <w:rFonts w:ascii="Times New Roman" w:hAnsi="Times New Roman"/>
                <w:sz w:val="24"/>
                <w:szCs w:val="24"/>
              </w:rPr>
              <w:t xml:space="preserve"> </w:t>
            </w:r>
            <w:r w:rsidR="00B94698">
              <w:rPr>
                <w:rFonts w:ascii="Times New Roman" w:hAnsi="Times New Roman"/>
                <w:sz w:val="24"/>
                <w:szCs w:val="24"/>
              </w:rPr>
              <w:t xml:space="preserve">(turpmāk – </w:t>
            </w:r>
            <w:r w:rsidRPr="006D7ED9">
              <w:rPr>
                <w:rFonts w:ascii="Times New Roman" w:hAnsi="Times New Roman"/>
                <w:sz w:val="24"/>
                <w:szCs w:val="24"/>
              </w:rPr>
              <w:t>CFLA</w:t>
            </w:r>
            <w:r w:rsidR="00B94698">
              <w:rPr>
                <w:rFonts w:ascii="Times New Roman" w:hAnsi="Times New Roman"/>
                <w:sz w:val="24"/>
                <w:szCs w:val="24"/>
              </w:rPr>
              <w:t>)</w:t>
            </w:r>
            <w:r w:rsidRPr="006D7ED9">
              <w:rPr>
                <w:rFonts w:ascii="Times New Roman" w:hAnsi="Times New Roman"/>
                <w:sz w:val="24"/>
                <w:szCs w:val="24"/>
              </w:rPr>
              <w:t xml:space="preserve"> nodrošinātu</w:t>
            </w:r>
            <w:r>
              <w:rPr>
                <w:rFonts w:ascii="Times New Roman" w:hAnsi="Times New Roman"/>
                <w:sz w:val="24"/>
                <w:szCs w:val="24"/>
              </w:rPr>
              <w:t xml:space="preserve"> projektu iesniegumu iesniegšanas termiņu uzraudzību un sekmētu</w:t>
            </w:r>
            <w:r w:rsidRPr="0015517D">
              <w:rPr>
                <w:rFonts w:ascii="Times New Roman" w:hAnsi="Times New Roman"/>
                <w:sz w:val="24"/>
                <w:szCs w:val="24"/>
              </w:rPr>
              <w:t xml:space="preserve"> 2018.gada snieguma ietvara mērķa sasniegšanu</w:t>
            </w:r>
            <w:r w:rsidRPr="006D7ED9">
              <w:rPr>
                <w:rFonts w:ascii="Times New Roman" w:hAnsi="Times New Roman"/>
                <w:sz w:val="24"/>
                <w:szCs w:val="24"/>
              </w:rPr>
              <w:t>,</w:t>
            </w:r>
            <w:r>
              <w:rPr>
                <w:rFonts w:ascii="Times New Roman" w:hAnsi="Times New Roman"/>
                <w:sz w:val="24"/>
                <w:szCs w:val="24"/>
              </w:rPr>
              <w:t xml:space="preserve"> MK noteikuma projekta anotācijai izveidots pielikums, kurš satur </w:t>
            </w:r>
            <w:r w:rsidRPr="006D7ED9">
              <w:rPr>
                <w:rFonts w:ascii="Times New Roman" w:hAnsi="Times New Roman"/>
                <w:sz w:val="24"/>
                <w:szCs w:val="24"/>
              </w:rPr>
              <w:t>ierobežotas projektu iesniegumu atlases (turpmāk – IPIA) sara</w:t>
            </w:r>
            <w:r>
              <w:rPr>
                <w:rFonts w:ascii="Times New Roman" w:hAnsi="Times New Roman"/>
                <w:sz w:val="24"/>
                <w:szCs w:val="24"/>
              </w:rPr>
              <w:t xml:space="preserve">kstu. </w:t>
            </w:r>
            <w:r w:rsidRPr="006D7ED9">
              <w:rPr>
                <w:rFonts w:ascii="Times New Roman" w:hAnsi="Times New Roman"/>
                <w:sz w:val="24"/>
                <w:szCs w:val="24"/>
              </w:rPr>
              <w:t xml:space="preserve">IPIA sarakstā norādīts ēkas īpašnieks, projekta iesniedzējs, ēkas adrese, būves kadastra apzīmējums, projekta iesnieguma iesniegšanas termiņš un finansējuma </w:t>
            </w:r>
            <w:r>
              <w:rPr>
                <w:rFonts w:ascii="Times New Roman" w:hAnsi="Times New Roman"/>
                <w:sz w:val="24"/>
                <w:szCs w:val="24"/>
              </w:rPr>
              <w:t xml:space="preserve">naudas </w:t>
            </w:r>
            <w:r w:rsidRPr="006D7ED9">
              <w:rPr>
                <w:rFonts w:ascii="Times New Roman" w:hAnsi="Times New Roman"/>
                <w:sz w:val="24"/>
                <w:szCs w:val="24"/>
              </w:rPr>
              <w:t>plūsma.</w:t>
            </w:r>
          </w:p>
          <w:p w14:paraId="62D7307D" w14:textId="104BCA22" w:rsidR="00276DA9" w:rsidRDefault="00276DA9" w:rsidP="00CD38CB">
            <w:pPr>
              <w:spacing w:after="0" w:line="240" w:lineRule="auto"/>
              <w:ind w:left="132" w:right="202"/>
              <w:jc w:val="both"/>
              <w:rPr>
                <w:rFonts w:ascii="Times New Roman" w:hAnsi="Times New Roman"/>
                <w:sz w:val="24"/>
                <w:szCs w:val="24"/>
              </w:rPr>
            </w:pPr>
            <w:r w:rsidRPr="001D209B">
              <w:rPr>
                <w:rFonts w:ascii="Times New Roman" w:hAnsi="Times New Roman"/>
                <w:sz w:val="24"/>
                <w:szCs w:val="24"/>
              </w:rPr>
              <w:t xml:space="preserve">Balstoties uz veikto analīzi un ņemot vērā lēno finansējuma apguvi </w:t>
            </w:r>
            <w:r w:rsidR="00744E9C">
              <w:rPr>
                <w:rFonts w:ascii="Times New Roman" w:hAnsi="Times New Roman"/>
                <w:sz w:val="24"/>
                <w:szCs w:val="24"/>
              </w:rPr>
              <w:t xml:space="preserve"> 4.2.1.2.pasākuma pirmā kārtas</w:t>
            </w:r>
            <w:r w:rsidRPr="001D209B">
              <w:rPr>
                <w:rFonts w:ascii="Times New Roman" w:hAnsi="Times New Roman"/>
                <w:sz w:val="24"/>
                <w:szCs w:val="24"/>
              </w:rPr>
              <w:t xml:space="preserve"> ietvaros</w:t>
            </w:r>
            <w:r>
              <w:rPr>
                <w:rFonts w:ascii="Times New Roman" w:hAnsi="Times New Roman"/>
                <w:sz w:val="24"/>
                <w:szCs w:val="24"/>
              </w:rPr>
              <w:t xml:space="preserve"> </w:t>
            </w:r>
            <w:r w:rsidRPr="001D209B">
              <w:rPr>
                <w:rFonts w:ascii="Times New Roman" w:hAnsi="Times New Roman"/>
                <w:sz w:val="24"/>
                <w:szCs w:val="24"/>
              </w:rPr>
              <w:t xml:space="preserve">projektu iesniedzēju norādītie termiņi projektu iesniegumu iesniegšanai CFLA būs stingri jāievēro. Ja projektu iesniedzēji neiesniegs projektu noteiktajā termiņā, </w:t>
            </w:r>
            <w:r w:rsidR="00EB67CA">
              <w:rPr>
                <w:rFonts w:ascii="Times New Roman" w:hAnsi="Times New Roman"/>
                <w:sz w:val="24"/>
                <w:szCs w:val="24"/>
              </w:rPr>
              <w:t>EM</w:t>
            </w:r>
            <w:r w:rsidRPr="001D209B">
              <w:rPr>
                <w:rFonts w:ascii="Times New Roman" w:hAnsi="Times New Roman"/>
                <w:sz w:val="24"/>
                <w:szCs w:val="24"/>
              </w:rPr>
              <w:t xml:space="preserve"> izvērtēs iespēju finansējumu pārdalīt citu projektu īstenošanai. Tāpat informācija par būtiskām neizpildēm vai novirzēm tiks iekļauta </w:t>
            </w:r>
            <w:r>
              <w:rPr>
                <w:rFonts w:ascii="Times New Roman" w:hAnsi="Times New Roman"/>
                <w:sz w:val="24"/>
                <w:szCs w:val="24"/>
              </w:rPr>
              <w:t xml:space="preserve">Finanšu ministrijas sagatavotajos </w:t>
            </w:r>
            <w:r w:rsidRPr="001D209B">
              <w:rPr>
                <w:rFonts w:ascii="Times New Roman" w:hAnsi="Times New Roman"/>
                <w:sz w:val="24"/>
                <w:szCs w:val="24"/>
              </w:rPr>
              <w:t>informatīvajos ziņojumos par Eiropas Savienības struktūrfondu un Kohēzijas fonda investīciju ieviešanas statusu, kas ikmēnesi tiek iesniegti Ministru kabinetā</w:t>
            </w:r>
            <w:r>
              <w:rPr>
                <w:rFonts w:ascii="Times New Roman" w:hAnsi="Times New Roman"/>
                <w:sz w:val="24"/>
                <w:szCs w:val="24"/>
              </w:rPr>
              <w:t xml:space="preserve">. </w:t>
            </w:r>
          </w:p>
          <w:p w14:paraId="0D0744AC" w14:textId="68E7300F" w:rsidR="00276DA9" w:rsidRDefault="00276DA9"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Norādām, ka informāciju par IPIA sarakstu vēl nav iesniegusi Veselības ministrija un Satiksmes ministrija</w:t>
            </w:r>
            <w:r w:rsidR="00F648C4">
              <w:rPr>
                <w:rFonts w:ascii="Times New Roman" w:hAnsi="Times New Roman"/>
                <w:sz w:val="24"/>
                <w:szCs w:val="24"/>
              </w:rPr>
              <w:t xml:space="preserve">, tādēļ noteikumu projektam pievienots </w:t>
            </w:r>
            <w:proofErr w:type="spellStart"/>
            <w:r w:rsidR="00F648C4">
              <w:rPr>
                <w:rFonts w:ascii="Times New Roman" w:hAnsi="Times New Roman"/>
                <w:sz w:val="24"/>
                <w:szCs w:val="24"/>
              </w:rPr>
              <w:t>protokollēmuma</w:t>
            </w:r>
            <w:proofErr w:type="spellEnd"/>
            <w:r w:rsidR="00F648C4">
              <w:rPr>
                <w:rFonts w:ascii="Times New Roman" w:hAnsi="Times New Roman"/>
                <w:sz w:val="24"/>
                <w:szCs w:val="24"/>
              </w:rPr>
              <w:t xml:space="preserve"> projekts, lūdzot augstāk norādītajām ministrijām nepieciešamo informāciju iesniegt</w:t>
            </w:r>
            <w:r w:rsidR="00B4109B">
              <w:rPr>
                <w:rFonts w:ascii="Times New Roman" w:hAnsi="Times New Roman"/>
                <w:sz w:val="24"/>
                <w:szCs w:val="24"/>
              </w:rPr>
              <w:t xml:space="preserve"> pēc iespējas ātrākā termiņā</w:t>
            </w:r>
            <w:r>
              <w:rPr>
                <w:rFonts w:ascii="Times New Roman" w:hAnsi="Times New Roman"/>
                <w:sz w:val="24"/>
                <w:szCs w:val="24"/>
              </w:rPr>
              <w:t>.</w:t>
            </w:r>
          </w:p>
          <w:p w14:paraId="65F97652" w14:textId="77777777" w:rsidR="00276DA9" w:rsidRDefault="00276DA9" w:rsidP="00CD38CB">
            <w:pPr>
              <w:spacing w:after="0" w:line="240" w:lineRule="auto"/>
              <w:ind w:left="132" w:right="202"/>
              <w:jc w:val="both"/>
              <w:rPr>
                <w:rFonts w:ascii="Times New Roman" w:hAnsi="Times New Roman"/>
                <w:b/>
                <w:i/>
                <w:sz w:val="24"/>
                <w:szCs w:val="24"/>
                <w:u w:val="single"/>
              </w:rPr>
            </w:pPr>
          </w:p>
          <w:p w14:paraId="310D4268" w14:textId="438E60C0" w:rsidR="007B3495" w:rsidRDefault="00DF62F1" w:rsidP="00CD38CB">
            <w:pPr>
              <w:numPr>
                <w:ilvl w:val="0"/>
                <w:numId w:val="1"/>
              </w:numPr>
              <w:spacing w:after="0" w:line="240" w:lineRule="auto"/>
              <w:ind w:left="132" w:right="202" w:firstLine="0"/>
              <w:jc w:val="both"/>
              <w:rPr>
                <w:rFonts w:ascii="Times New Roman" w:hAnsi="Times New Roman"/>
                <w:b/>
                <w:i/>
                <w:sz w:val="24"/>
                <w:szCs w:val="24"/>
                <w:u w:val="single"/>
              </w:rPr>
            </w:pPr>
            <w:r>
              <w:rPr>
                <w:rFonts w:ascii="Times New Roman" w:hAnsi="Times New Roman"/>
                <w:b/>
                <w:i/>
                <w:sz w:val="24"/>
                <w:szCs w:val="24"/>
                <w:u w:val="single"/>
              </w:rPr>
              <w:t>Precizēt M</w:t>
            </w:r>
            <w:r w:rsidR="00460FE5">
              <w:rPr>
                <w:rFonts w:ascii="Times New Roman" w:hAnsi="Times New Roman"/>
                <w:b/>
                <w:i/>
                <w:sz w:val="24"/>
                <w:szCs w:val="24"/>
                <w:u w:val="single"/>
              </w:rPr>
              <w:t xml:space="preserve">K noteikumu Nr. 534 1. pielikumā </w:t>
            </w:r>
            <w:r w:rsidR="001D209B">
              <w:rPr>
                <w:rFonts w:ascii="Times New Roman" w:hAnsi="Times New Roman"/>
                <w:b/>
                <w:i/>
                <w:sz w:val="24"/>
                <w:szCs w:val="24"/>
                <w:u w:val="single"/>
              </w:rPr>
              <w:t>noteikto pieejamo publisko finansējumu</w:t>
            </w:r>
            <w:r w:rsidR="004763A8">
              <w:rPr>
                <w:rFonts w:ascii="Times New Roman" w:hAnsi="Times New Roman"/>
                <w:b/>
                <w:i/>
                <w:sz w:val="24"/>
                <w:szCs w:val="24"/>
                <w:u w:val="single"/>
              </w:rPr>
              <w:t xml:space="preserve"> katrai ministrijai</w:t>
            </w:r>
            <w:r w:rsidR="00C6181C">
              <w:rPr>
                <w:rFonts w:ascii="Times New Roman" w:hAnsi="Times New Roman"/>
                <w:b/>
                <w:i/>
                <w:sz w:val="24"/>
                <w:szCs w:val="24"/>
                <w:u w:val="single"/>
              </w:rPr>
              <w:t xml:space="preserve">, atskaitot </w:t>
            </w:r>
            <w:r>
              <w:rPr>
                <w:rFonts w:ascii="Times New Roman" w:hAnsi="Times New Roman"/>
                <w:b/>
                <w:i/>
                <w:sz w:val="24"/>
                <w:szCs w:val="24"/>
                <w:u w:val="single"/>
              </w:rPr>
              <w:t>snieguma rezervi proporcionāli katras ministrijas kvotai</w:t>
            </w:r>
            <w:r w:rsidR="007B3495">
              <w:rPr>
                <w:rFonts w:ascii="Times New Roman" w:hAnsi="Times New Roman"/>
                <w:b/>
                <w:i/>
                <w:sz w:val="24"/>
                <w:szCs w:val="24"/>
                <w:u w:val="single"/>
              </w:rPr>
              <w:t>.</w:t>
            </w:r>
          </w:p>
          <w:p w14:paraId="419278D4" w14:textId="7921D625" w:rsidR="009A312E" w:rsidRDefault="00551783"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MK noteikumu Nr. 534 ietvaros katrai ministrijai ir piešķirta </w:t>
            </w:r>
            <w:r w:rsidR="006810E0">
              <w:rPr>
                <w:rFonts w:ascii="Times New Roman" w:hAnsi="Times New Roman"/>
                <w:sz w:val="24"/>
                <w:szCs w:val="24"/>
              </w:rPr>
              <w:t xml:space="preserve">pieejamā </w:t>
            </w:r>
            <w:r>
              <w:rPr>
                <w:rFonts w:ascii="Times New Roman" w:hAnsi="Times New Roman"/>
                <w:sz w:val="24"/>
                <w:szCs w:val="24"/>
              </w:rPr>
              <w:t xml:space="preserve">publiskā finansējuma kvota proporcionāli </w:t>
            </w:r>
            <w:r w:rsidR="006810E0">
              <w:rPr>
                <w:rFonts w:ascii="Times New Roman" w:hAnsi="Times New Roman"/>
                <w:sz w:val="24"/>
                <w:szCs w:val="24"/>
              </w:rPr>
              <w:t xml:space="preserve">ministriju </w:t>
            </w:r>
            <w:r w:rsidR="006810E0" w:rsidRPr="006810E0">
              <w:rPr>
                <w:rFonts w:ascii="Times New Roman" w:hAnsi="Times New Roman"/>
                <w:sz w:val="24"/>
                <w:szCs w:val="24"/>
              </w:rPr>
              <w:t>vai to padotības iestāžu īpašumā</w:t>
            </w:r>
            <w:r w:rsidR="006810E0">
              <w:rPr>
                <w:rFonts w:ascii="Times New Roman" w:hAnsi="Times New Roman"/>
                <w:sz w:val="24"/>
                <w:szCs w:val="24"/>
              </w:rPr>
              <w:t>, valdījumā</w:t>
            </w:r>
            <w:r w:rsidR="006810E0" w:rsidRPr="006810E0">
              <w:rPr>
                <w:rFonts w:ascii="Times New Roman" w:hAnsi="Times New Roman"/>
                <w:sz w:val="24"/>
                <w:szCs w:val="24"/>
              </w:rPr>
              <w:t xml:space="preserve"> vai lietošanā esošo ēku  apkurināmai platībai (m</w:t>
            </w:r>
            <w:r w:rsidR="006810E0" w:rsidRPr="006810E0">
              <w:rPr>
                <w:rFonts w:ascii="Times New Roman" w:hAnsi="Times New Roman"/>
                <w:sz w:val="24"/>
                <w:szCs w:val="24"/>
                <w:vertAlign w:val="superscript"/>
              </w:rPr>
              <w:t>2</w:t>
            </w:r>
            <w:r w:rsidR="006810E0" w:rsidRPr="006810E0">
              <w:rPr>
                <w:rFonts w:ascii="Times New Roman" w:hAnsi="Times New Roman"/>
                <w:sz w:val="24"/>
                <w:szCs w:val="24"/>
              </w:rPr>
              <w:t>) un VAS “Valsts nekustamie īpašumi” projekta iesnieguma iesniegšanai un projekta īstenošanai par Ministru kabinetu, kas ir valstiski nozīmīga administratīva ēka, koleģiāla institūcija, kas ar tam padoto valsts pārvaldes iestāžu starpniecību īsteno izpildvaru.</w:t>
            </w:r>
          </w:p>
          <w:p w14:paraId="509699BB" w14:textId="0ACD96AB" w:rsidR="006810E0" w:rsidRDefault="004763A8"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Ņemot vērā augstāk minēto</w:t>
            </w:r>
            <w:r w:rsidR="00F214BB">
              <w:rPr>
                <w:rFonts w:ascii="Times New Roman" w:hAnsi="Times New Roman"/>
                <w:sz w:val="24"/>
                <w:szCs w:val="24"/>
              </w:rPr>
              <w:t xml:space="preserve"> informāciju, kā arī</w:t>
            </w:r>
            <w:r w:rsidR="00276DA9">
              <w:rPr>
                <w:rFonts w:ascii="Times New Roman" w:hAnsi="Times New Roman"/>
                <w:sz w:val="24"/>
                <w:szCs w:val="24"/>
              </w:rPr>
              <w:t xml:space="preserve"> </w:t>
            </w:r>
            <w:r w:rsidR="004C44CD" w:rsidRPr="004C44CD">
              <w:rPr>
                <w:rFonts w:ascii="Times New Roman" w:hAnsi="Times New Roman"/>
                <w:sz w:val="24"/>
                <w:szCs w:val="24"/>
              </w:rPr>
              <w:t>lēno finansējuma apguvi 4.2.1.2.pasākuma</w:t>
            </w:r>
            <w:r w:rsidR="00390E8D">
              <w:rPr>
                <w:rFonts w:ascii="Times New Roman" w:hAnsi="Times New Roman"/>
                <w:sz w:val="24"/>
                <w:szCs w:val="24"/>
              </w:rPr>
              <w:t xml:space="preserve"> </w:t>
            </w:r>
            <w:r w:rsidR="004C44CD" w:rsidRPr="004C44CD">
              <w:rPr>
                <w:rFonts w:ascii="Times New Roman" w:hAnsi="Times New Roman"/>
                <w:sz w:val="24"/>
                <w:szCs w:val="24"/>
              </w:rPr>
              <w:t>ietvaros</w:t>
            </w:r>
            <w:r>
              <w:rPr>
                <w:rFonts w:ascii="Times New Roman" w:hAnsi="Times New Roman"/>
                <w:sz w:val="24"/>
                <w:szCs w:val="24"/>
              </w:rPr>
              <w:t>, n</w:t>
            </w:r>
            <w:r w:rsidR="006810E0">
              <w:rPr>
                <w:rFonts w:ascii="Times New Roman" w:hAnsi="Times New Roman"/>
                <w:sz w:val="24"/>
                <w:szCs w:val="24"/>
              </w:rPr>
              <w:t xml:space="preserve">o </w:t>
            </w:r>
            <w:r w:rsidR="009440D7">
              <w:rPr>
                <w:rFonts w:ascii="Times New Roman" w:hAnsi="Times New Roman"/>
                <w:sz w:val="24"/>
                <w:szCs w:val="24"/>
              </w:rPr>
              <w:t>4.2.1.2.</w:t>
            </w:r>
            <w:r w:rsidR="00666251">
              <w:rPr>
                <w:rFonts w:ascii="Times New Roman" w:hAnsi="Times New Roman"/>
                <w:sz w:val="24"/>
                <w:szCs w:val="24"/>
              </w:rPr>
              <w:t>pasākuma pirmā</w:t>
            </w:r>
            <w:r w:rsidR="00164527">
              <w:rPr>
                <w:rFonts w:ascii="Times New Roman" w:hAnsi="Times New Roman"/>
                <w:sz w:val="24"/>
                <w:szCs w:val="24"/>
              </w:rPr>
              <w:t>s</w:t>
            </w:r>
            <w:r w:rsidR="00666251">
              <w:rPr>
                <w:rFonts w:ascii="Times New Roman" w:hAnsi="Times New Roman"/>
                <w:sz w:val="24"/>
                <w:szCs w:val="24"/>
              </w:rPr>
              <w:t xml:space="preserve"> kārta</w:t>
            </w:r>
            <w:r w:rsidR="00744E9C">
              <w:rPr>
                <w:rFonts w:ascii="Times New Roman" w:hAnsi="Times New Roman"/>
                <w:sz w:val="24"/>
                <w:szCs w:val="24"/>
              </w:rPr>
              <w:t>s</w:t>
            </w:r>
            <w:r w:rsidR="006810E0">
              <w:rPr>
                <w:rFonts w:ascii="Times New Roman" w:hAnsi="Times New Roman"/>
                <w:sz w:val="24"/>
                <w:szCs w:val="24"/>
              </w:rPr>
              <w:t xml:space="preserve"> finansējuma ir nepieciešams </w:t>
            </w:r>
            <w:r w:rsidR="00B27579">
              <w:rPr>
                <w:rFonts w:ascii="Times New Roman" w:hAnsi="Times New Roman"/>
                <w:sz w:val="24"/>
                <w:szCs w:val="24"/>
              </w:rPr>
              <w:t xml:space="preserve">nodalīt snieguma rezervi </w:t>
            </w:r>
            <w:r w:rsidR="00B27579" w:rsidRPr="00CB2925">
              <w:rPr>
                <w:rFonts w:ascii="Times New Roman" w:hAnsi="Times New Roman"/>
                <w:sz w:val="24"/>
                <w:szCs w:val="24"/>
              </w:rPr>
              <w:t>7 022</w:t>
            </w:r>
            <w:r w:rsidR="00B27579">
              <w:rPr>
                <w:rFonts w:ascii="Times New Roman" w:hAnsi="Times New Roman"/>
                <w:sz w:val="24"/>
                <w:szCs w:val="24"/>
              </w:rPr>
              <w:t> </w:t>
            </w:r>
            <w:r w:rsidR="00B27579" w:rsidRPr="00CB2925">
              <w:rPr>
                <w:rFonts w:ascii="Times New Roman" w:hAnsi="Times New Roman"/>
                <w:sz w:val="24"/>
                <w:szCs w:val="24"/>
              </w:rPr>
              <w:t xml:space="preserve">201 </w:t>
            </w:r>
            <w:r w:rsidR="00B27579">
              <w:rPr>
                <w:rFonts w:ascii="Times New Roman" w:hAnsi="Times New Roman"/>
                <w:sz w:val="24"/>
                <w:szCs w:val="24"/>
              </w:rPr>
              <w:t xml:space="preserve">EUR apmērā. Tieslietu ministrija ar 2017.gada </w:t>
            </w:r>
            <w:r w:rsidR="00C6181C">
              <w:rPr>
                <w:rFonts w:ascii="Times New Roman" w:hAnsi="Times New Roman"/>
                <w:sz w:val="24"/>
                <w:szCs w:val="24"/>
              </w:rPr>
              <w:t>4</w:t>
            </w:r>
            <w:r w:rsidR="00FC7E42">
              <w:rPr>
                <w:rFonts w:ascii="Times New Roman" w:hAnsi="Times New Roman"/>
                <w:sz w:val="24"/>
                <w:szCs w:val="24"/>
              </w:rPr>
              <w:t xml:space="preserve">. </w:t>
            </w:r>
            <w:r w:rsidR="00C6181C">
              <w:rPr>
                <w:rFonts w:ascii="Times New Roman" w:hAnsi="Times New Roman"/>
                <w:sz w:val="24"/>
                <w:szCs w:val="24"/>
              </w:rPr>
              <w:t>oktobra</w:t>
            </w:r>
            <w:r w:rsidR="00FC7E42">
              <w:rPr>
                <w:rFonts w:ascii="Times New Roman" w:hAnsi="Times New Roman"/>
                <w:sz w:val="24"/>
                <w:szCs w:val="24"/>
              </w:rPr>
              <w:t xml:space="preserve"> vēstuli Nr. </w:t>
            </w:r>
            <w:r w:rsidR="00C6181C">
              <w:rPr>
                <w:rFonts w:ascii="Times New Roman" w:hAnsi="Times New Roman"/>
                <w:sz w:val="24"/>
                <w:szCs w:val="24"/>
              </w:rPr>
              <w:t>2</w:t>
            </w:r>
            <w:r w:rsidR="00FC7E42">
              <w:rPr>
                <w:rFonts w:ascii="Times New Roman" w:hAnsi="Times New Roman"/>
                <w:sz w:val="24"/>
                <w:szCs w:val="24"/>
              </w:rPr>
              <w:t>1-</w:t>
            </w:r>
            <w:r w:rsidR="00C6181C">
              <w:rPr>
                <w:rFonts w:ascii="Times New Roman" w:hAnsi="Times New Roman"/>
                <w:sz w:val="24"/>
                <w:szCs w:val="24"/>
              </w:rPr>
              <w:t>3</w:t>
            </w:r>
            <w:r w:rsidR="003123AC">
              <w:rPr>
                <w:rFonts w:ascii="Times New Roman" w:hAnsi="Times New Roman"/>
                <w:sz w:val="24"/>
                <w:szCs w:val="24"/>
              </w:rPr>
              <w:t>.</w:t>
            </w:r>
            <w:r w:rsidR="00C6181C">
              <w:rPr>
                <w:rFonts w:ascii="Times New Roman" w:hAnsi="Times New Roman"/>
                <w:sz w:val="24"/>
                <w:szCs w:val="24"/>
              </w:rPr>
              <w:t>1</w:t>
            </w:r>
            <w:r w:rsidR="00FC7E42">
              <w:rPr>
                <w:rFonts w:ascii="Times New Roman" w:hAnsi="Times New Roman"/>
                <w:sz w:val="24"/>
                <w:szCs w:val="24"/>
              </w:rPr>
              <w:t>/</w:t>
            </w:r>
            <w:r w:rsidR="00C6181C">
              <w:rPr>
                <w:rFonts w:ascii="Times New Roman" w:hAnsi="Times New Roman"/>
                <w:sz w:val="24"/>
                <w:szCs w:val="24"/>
              </w:rPr>
              <w:t>3020</w:t>
            </w:r>
            <w:r w:rsidR="00FC7E42">
              <w:rPr>
                <w:rFonts w:ascii="Times New Roman" w:hAnsi="Times New Roman"/>
                <w:sz w:val="24"/>
                <w:szCs w:val="24"/>
              </w:rPr>
              <w:t xml:space="preserve"> informēja E</w:t>
            </w:r>
            <w:r w:rsidR="00EB67CA">
              <w:rPr>
                <w:rFonts w:ascii="Times New Roman" w:hAnsi="Times New Roman"/>
                <w:sz w:val="24"/>
                <w:szCs w:val="24"/>
              </w:rPr>
              <w:t>M</w:t>
            </w:r>
            <w:r w:rsidR="00FC7E42">
              <w:rPr>
                <w:rFonts w:ascii="Times New Roman" w:hAnsi="Times New Roman"/>
                <w:sz w:val="24"/>
                <w:szCs w:val="24"/>
              </w:rPr>
              <w:t>, ka tai</w:t>
            </w:r>
            <w:r w:rsidR="006D5F4A">
              <w:rPr>
                <w:rFonts w:ascii="Times New Roman" w:hAnsi="Times New Roman"/>
                <w:sz w:val="24"/>
                <w:szCs w:val="24"/>
              </w:rPr>
              <w:t xml:space="preserve"> piešķirtā</w:t>
            </w:r>
            <w:r w:rsidR="00FC7E42">
              <w:rPr>
                <w:rFonts w:ascii="Times New Roman" w:hAnsi="Times New Roman"/>
                <w:sz w:val="24"/>
                <w:szCs w:val="24"/>
              </w:rPr>
              <w:t xml:space="preserve"> </w:t>
            </w:r>
            <w:r w:rsidR="006D5F4A" w:rsidRPr="006D5F4A">
              <w:rPr>
                <w:rFonts w:ascii="Times New Roman" w:hAnsi="Times New Roman"/>
                <w:sz w:val="24"/>
                <w:szCs w:val="24"/>
              </w:rPr>
              <w:t xml:space="preserve">6 048 835 EUR publiskā finansējuma kvota ir jāsamazina līdz 2 285 052 EUR.  Līdz ar to atlikums 3 763 873 EUR apmērā no Tieslietu ministrijas kvotas tiks novirzīts uz snieguma rezervi. Atlikusī </w:t>
            </w:r>
            <w:r w:rsidR="009B68F6">
              <w:rPr>
                <w:rFonts w:ascii="Times New Roman" w:hAnsi="Times New Roman"/>
                <w:sz w:val="24"/>
                <w:szCs w:val="24"/>
              </w:rPr>
              <w:t xml:space="preserve">snieguma rezerves </w:t>
            </w:r>
            <w:r w:rsidR="006D5F4A" w:rsidRPr="006D5F4A">
              <w:rPr>
                <w:rFonts w:ascii="Times New Roman" w:hAnsi="Times New Roman"/>
                <w:sz w:val="24"/>
                <w:szCs w:val="24"/>
              </w:rPr>
              <w:t>summa 3</w:t>
            </w:r>
            <w:r w:rsidR="00F214BB">
              <w:rPr>
                <w:rFonts w:ascii="Times New Roman" w:hAnsi="Times New Roman"/>
                <w:sz w:val="24"/>
                <w:szCs w:val="24"/>
              </w:rPr>
              <w:t> </w:t>
            </w:r>
            <w:r w:rsidR="006D5F4A" w:rsidRPr="006D5F4A">
              <w:rPr>
                <w:rFonts w:ascii="Times New Roman" w:hAnsi="Times New Roman"/>
                <w:sz w:val="24"/>
                <w:szCs w:val="24"/>
              </w:rPr>
              <w:t>258</w:t>
            </w:r>
            <w:r w:rsidR="00F214BB">
              <w:rPr>
                <w:rFonts w:ascii="Times New Roman" w:hAnsi="Times New Roman"/>
                <w:sz w:val="24"/>
                <w:szCs w:val="24"/>
              </w:rPr>
              <w:t> </w:t>
            </w:r>
            <w:r w:rsidR="006D5F4A" w:rsidRPr="006D5F4A">
              <w:rPr>
                <w:rFonts w:ascii="Times New Roman" w:hAnsi="Times New Roman"/>
                <w:sz w:val="24"/>
                <w:szCs w:val="24"/>
              </w:rPr>
              <w:t>418 EUR apmērā tiks proporcionāli nodalīta no</w:t>
            </w:r>
            <w:r w:rsidR="007A108E">
              <w:rPr>
                <w:rFonts w:ascii="Times New Roman" w:hAnsi="Times New Roman"/>
                <w:sz w:val="24"/>
                <w:szCs w:val="24"/>
              </w:rPr>
              <w:t xml:space="preserve"> pārējo</w:t>
            </w:r>
            <w:r w:rsidR="006D5F4A" w:rsidRPr="006D5F4A">
              <w:rPr>
                <w:rFonts w:ascii="Times New Roman" w:hAnsi="Times New Roman"/>
                <w:sz w:val="24"/>
                <w:szCs w:val="24"/>
              </w:rPr>
              <w:t xml:space="preserve"> ministriju kvotām</w:t>
            </w:r>
            <w:r w:rsidR="008F1587">
              <w:rPr>
                <w:rFonts w:ascii="Times New Roman" w:hAnsi="Times New Roman"/>
                <w:sz w:val="24"/>
                <w:szCs w:val="24"/>
              </w:rPr>
              <w:t>.</w:t>
            </w:r>
            <w:r w:rsidR="006D5F4A">
              <w:rPr>
                <w:rFonts w:ascii="Times New Roman" w:hAnsi="Times New Roman"/>
                <w:sz w:val="24"/>
                <w:szCs w:val="24"/>
              </w:rPr>
              <w:t xml:space="preserve"> Atbilstoši precizēts </w:t>
            </w:r>
            <w:r w:rsidR="00F21A78">
              <w:rPr>
                <w:rFonts w:ascii="Times New Roman" w:hAnsi="Times New Roman"/>
                <w:sz w:val="24"/>
                <w:szCs w:val="24"/>
              </w:rPr>
              <w:t xml:space="preserve">MK noteikumu Nr.534 </w:t>
            </w:r>
            <w:r w:rsidR="006D5F4A">
              <w:rPr>
                <w:rFonts w:ascii="Times New Roman" w:hAnsi="Times New Roman"/>
                <w:sz w:val="24"/>
                <w:szCs w:val="24"/>
              </w:rPr>
              <w:t>1.pielikums.</w:t>
            </w:r>
          </w:p>
          <w:p w14:paraId="1474408E" w14:textId="683EE588" w:rsidR="00E3578E" w:rsidRDefault="002E1F44" w:rsidP="00CD38CB">
            <w:pPr>
              <w:spacing w:after="0" w:line="240" w:lineRule="auto"/>
              <w:ind w:left="132" w:right="202"/>
              <w:jc w:val="both"/>
              <w:rPr>
                <w:rFonts w:ascii="Times New Roman" w:hAnsi="Times New Roman"/>
                <w:sz w:val="24"/>
                <w:szCs w:val="24"/>
              </w:rPr>
            </w:pPr>
            <w:r>
              <w:rPr>
                <w:rFonts w:ascii="Times New Roman" w:hAnsi="Times New Roman"/>
                <w:sz w:val="24"/>
                <w:szCs w:val="24"/>
              </w:rPr>
              <w:lastRenderedPageBreak/>
              <w:t>P</w:t>
            </w:r>
            <w:r w:rsidR="006D5F4A">
              <w:rPr>
                <w:rFonts w:ascii="Times New Roman" w:hAnsi="Times New Roman"/>
                <w:sz w:val="24"/>
                <w:szCs w:val="24"/>
              </w:rPr>
              <w:t>iedāvātais</w:t>
            </w:r>
            <w:r w:rsidR="006D5F4A" w:rsidRPr="00CB2925">
              <w:rPr>
                <w:rFonts w:ascii="Times New Roman" w:hAnsi="Times New Roman"/>
                <w:sz w:val="24"/>
                <w:szCs w:val="24"/>
              </w:rPr>
              <w:t xml:space="preserve"> risinājums </w:t>
            </w:r>
            <w:r>
              <w:rPr>
                <w:rFonts w:ascii="Times New Roman" w:hAnsi="Times New Roman"/>
                <w:sz w:val="24"/>
                <w:szCs w:val="24"/>
              </w:rPr>
              <w:t xml:space="preserve">snieguma </w:t>
            </w:r>
            <w:r w:rsidR="006D5F4A" w:rsidRPr="00CB2925">
              <w:rPr>
                <w:rFonts w:ascii="Times New Roman" w:hAnsi="Times New Roman"/>
                <w:sz w:val="24"/>
                <w:szCs w:val="24"/>
              </w:rPr>
              <w:t xml:space="preserve">rezerves atskaitīšanai no 4.2.1.2.pasākuma pirmās </w:t>
            </w:r>
            <w:r>
              <w:rPr>
                <w:rFonts w:ascii="Times New Roman" w:hAnsi="Times New Roman"/>
                <w:sz w:val="24"/>
                <w:szCs w:val="24"/>
              </w:rPr>
              <w:t xml:space="preserve">projektu iesniegumu </w:t>
            </w:r>
            <w:r w:rsidR="006D5F4A" w:rsidRPr="00CB2925">
              <w:rPr>
                <w:rFonts w:ascii="Times New Roman" w:hAnsi="Times New Roman"/>
                <w:sz w:val="24"/>
                <w:szCs w:val="24"/>
              </w:rPr>
              <w:t>atlases kārtas neapdraud Latvijas saistību izpildi, kas noteiktas ar</w:t>
            </w:r>
            <w:r w:rsidR="001305B9">
              <w:rPr>
                <w:rFonts w:ascii="Times New Roman" w:hAnsi="Times New Roman"/>
                <w:sz w:val="24"/>
                <w:szCs w:val="24"/>
              </w:rPr>
              <w:t xml:space="preserve"> </w:t>
            </w:r>
            <w:r w:rsidR="00B43025" w:rsidRPr="00B43025">
              <w:rPr>
                <w:rFonts w:ascii="Times New Roman" w:hAnsi="Times New Roman"/>
                <w:sz w:val="24"/>
                <w:szCs w:val="24"/>
              </w:rPr>
              <w:t>Eiropas Parlamenta un Padomes 2012.gada 25.oktobra Direktīvu 2012/27/ES par energoefektivitāti, ar ko groza Direktīvas 2009/125/EK un 2010/30/ES, un atceļ Direktīvas 2004/8/EK un 2006/32/EK</w:t>
            </w:r>
            <w:r w:rsidR="006D5F4A" w:rsidRPr="00CB2925">
              <w:rPr>
                <w:rFonts w:ascii="Times New Roman" w:hAnsi="Times New Roman"/>
                <w:sz w:val="24"/>
                <w:szCs w:val="24"/>
              </w:rPr>
              <w:t xml:space="preserve"> </w:t>
            </w:r>
            <w:r w:rsidR="001305B9">
              <w:rPr>
                <w:rFonts w:ascii="Times New Roman" w:hAnsi="Times New Roman"/>
                <w:sz w:val="24"/>
                <w:szCs w:val="24"/>
              </w:rPr>
              <w:t xml:space="preserve">(turpmāk – </w:t>
            </w:r>
            <w:r w:rsidR="006D5F4A" w:rsidRPr="00CB2925">
              <w:rPr>
                <w:rFonts w:ascii="Times New Roman" w:hAnsi="Times New Roman"/>
                <w:sz w:val="24"/>
                <w:szCs w:val="24"/>
              </w:rPr>
              <w:t>Direktīva 2012/27/ES</w:t>
            </w:r>
            <w:r w:rsidR="001305B9">
              <w:rPr>
                <w:rFonts w:ascii="Times New Roman" w:hAnsi="Times New Roman"/>
                <w:sz w:val="24"/>
                <w:szCs w:val="24"/>
              </w:rPr>
              <w:t>)</w:t>
            </w:r>
            <w:r w:rsidR="006D5F4A" w:rsidRPr="00CB2925">
              <w:rPr>
                <w:rFonts w:ascii="Times New Roman" w:hAnsi="Times New Roman"/>
                <w:sz w:val="24"/>
                <w:szCs w:val="24"/>
              </w:rPr>
              <w:t xml:space="preserve"> 5. panta 1.punktu. Direktīva 2012/27/ES nosaka, ka dalībvalstīm no 2014. – 2020. gadam katru gadu jāatjauno 3% kopējās platības no tās centrālās valdības īpašumā e</w:t>
            </w:r>
            <w:r w:rsidR="006D5F4A">
              <w:rPr>
                <w:rFonts w:ascii="Times New Roman" w:hAnsi="Times New Roman"/>
                <w:sz w:val="24"/>
                <w:szCs w:val="24"/>
              </w:rPr>
              <w:t>sošajām un izmantotajām ēkām.</w:t>
            </w:r>
            <w:r w:rsidR="00E3578E">
              <w:rPr>
                <w:rFonts w:ascii="Times New Roman" w:hAnsi="Times New Roman"/>
                <w:sz w:val="24"/>
                <w:szCs w:val="24"/>
              </w:rPr>
              <w:t xml:space="preserve"> </w:t>
            </w:r>
            <w:r w:rsidR="00E3578E" w:rsidRPr="00CB2925">
              <w:rPr>
                <w:rFonts w:ascii="Times New Roman" w:hAnsi="Times New Roman"/>
                <w:sz w:val="24"/>
                <w:szCs w:val="24"/>
              </w:rPr>
              <w:t>3% mērķi var</w:t>
            </w:r>
            <w:r w:rsidR="00E3578E">
              <w:rPr>
                <w:rFonts w:ascii="Times New Roman" w:hAnsi="Times New Roman"/>
                <w:sz w:val="24"/>
                <w:szCs w:val="24"/>
              </w:rPr>
              <w:t>ēs</w:t>
            </w:r>
            <w:r w:rsidR="00E3578E" w:rsidRPr="00CB2925">
              <w:rPr>
                <w:rFonts w:ascii="Times New Roman" w:hAnsi="Times New Roman"/>
                <w:sz w:val="24"/>
                <w:szCs w:val="24"/>
              </w:rPr>
              <w:t xml:space="preserve"> pildīt līdz 2021.gadam (ieskaitot), kas pārsniedz 2020.gada slieksni. </w:t>
            </w:r>
            <w:r w:rsidR="00E3578E">
              <w:rPr>
                <w:rFonts w:ascii="Times New Roman" w:hAnsi="Times New Roman"/>
                <w:sz w:val="24"/>
                <w:szCs w:val="24"/>
              </w:rPr>
              <w:t xml:space="preserve">Skaidrojam, ka </w:t>
            </w:r>
            <w:r w:rsidR="00E3578E" w:rsidRPr="00CB2925">
              <w:rPr>
                <w:rFonts w:ascii="Times New Roman" w:hAnsi="Times New Roman"/>
                <w:sz w:val="24"/>
                <w:szCs w:val="24"/>
              </w:rPr>
              <w:t>Direktīvas 2012/27/ES 5.panta 3.punkts nosaka, ka dalībvalsts papildus atjaunoto platību var ieskaitīt jebkurā no trim iepriekšējo vai nākamo gadu ikgadējā atjaunošanas normā.</w:t>
            </w:r>
          </w:p>
          <w:p w14:paraId="4C5F4905" w14:textId="77777777" w:rsidR="006D5F4A" w:rsidRDefault="006D5F4A" w:rsidP="00CD38CB">
            <w:pPr>
              <w:spacing w:after="0" w:line="240" w:lineRule="auto"/>
              <w:ind w:right="202"/>
              <w:jc w:val="both"/>
              <w:rPr>
                <w:rFonts w:ascii="Times New Roman" w:hAnsi="Times New Roman"/>
                <w:sz w:val="24"/>
                <w:szCs w:val="24"/>
              </w:rPr>
            </w:pPr>
          </w:p>
          <w:p w14:paraId="62C7C9A8" w14:textId="416FB509" w:rsidR="006876EB" w:rsidRPr="007C3465" w:rsidRDefault="007C3465" w:rsidP="00CD38CB">
            <w:pPr>
              <w:numPr>
                <w:ilvl w:val="0"/>
                <w:numId w:val="1"/>
              </w:numPr>
              <w:spacing w:after="0" w:line="240" w:lineRule="auto"/>
              <w:ind w:left="132" w:right="202" w:firstLine="0"/>
              <w:jc w:val="both"/>
              <w:rPr>
                <w:rFonts w:ascii="Times New Roman" w:hAnsi="Times New Roman"/>
                <w:b/>
                <w:i/>
                <w:sz w:val="24"/>
                <w:szCs w:val="24"/>
                <w:u w:val="single"/>
              </w:rPr>
            </w:pPr>
            <w:r w:rsidRPr="007C3465">
              <w:rPr>
                <w:rFonts w:ascii="Times New Roman" w:hAnsi="Times New Roman"/>
                <w:b/>
                <w:i/>
                <w:sz w:val="24"/>
                <w:szCs w:val="24"/>
                <w:u w:val="single"/>
              </w:rPr>
              <w:t>Kvotu pārdale starp Izglītības un zinātnes ministriju un Ekonomikas ministriju</w:t>
            </w:r>
          </w:p>
          <w:p w14:paraId="5EB57806" w14:textId="0AE4B00C" w:rsidR="006876EB" w:rsidRDefault="006876EB"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Izglītības un zinātnes ministrijas Nekustamā īpašuma un valsts mantas apsaimniekošanas komisijas 2017.gada 4.septembra sēdē </w:t>
            </w:r>
            <w:r w:rsidRPr="00D644C0">
              <w:rPr>
                <w:rFonts w:ascii="Times New Roman" w:hAnsi="Times New Roman"/>
                <w:sz w:val="24"/>
                <w:szCs w:val="24"/>
              </w:rPr>
              <w:t xml:space="preserve">(protokols Nr.10, 3.punkts) tika pieņemts lēmums atbalstīt valsts nekustamā īpašuma (nekustamā īpašuma kadastra Nr.0100 115 0309) Krīvu ielā 11, Rīgā, nodošanu </w:t>
            </w:r>
            <w:r w:rsidR="00EB67CA">
              <w:rPr>
                <w:rFonts w:ascii="Times New Roman" w:hAnsi="Times New Roman"/>
                <w:sz w:val="24"/>
                <w:szCs w:val="24"/>
              </w:rPr>
              <w:t>EM</w:t>
            </w:r>
            <w:r w:rsidR="009F5B84">
              <w:rPr>
                <w:rFonts w:ascii="Times New Roman" w:hAnsi="Times New Roman"/>
                <w:sz w:val="24"/>
                <w:szCs w:val="24"/>
              </w:rPr>
              <w:t xml:space="preserve"> valdījumā. </w:t>
            </w:r>
            <w:r w:rsidR="00CD38CB">
              <w:rPr>
                <w:rFonts w:ascii="Times New Roman" w:hAnsi="Times New Roman"/>
                <w:sz w:val="24"/>
                <w:szCs w:val="24"/>
              </w:rPr>
              <w:t xml:space="preserve">Saskaņā ar </w:t>
            </w:r>
            <w:r w:rsidR="009F5B84">
              <w:rPr>
                <w:rFonts w:ascii="Times New Roman" w:hAnsi="Times New Roman"/>
                <w:sz w:val="24"/>
                <w:szCs w:val="24"/>
              </w:rPr>
              <w:t xml:space="preserve">2017.gada </w:t>
            </w:r>
            <w:r w:rsidR="00CD38CB">
              <w:rPr>
                <w:rFonts w:ascii="Times New Roman" w:hAnsi="Times New Roman"/>
                <w:sz w:val="24"/>
                <w:szCs w:val="24"/>
              </w:rPr>
              <w:t>11</w:t>
            </w:r>
            <w:r w:rsidR="009F5B84">
              <w:rPr>
                <w:rFonts w:ascii="Times New Roman" w:hAnsi="Times New Roman"/>
                <w:sz w:val="24"/>
                <w:szCs w:val="24"/>
              </w:rPr>
              <w:t>.</w:t>
            </w:r>
            <w:r w:rsidR="00CD38CB">
              <w:rPr>
                <w:rFonts w:ascii="Times New Roman" w:hAnsi="Times New Roman"/>
                <w:sz w:val="24"/>
                <w:szCs w:val="24"/>
              </w:rPr>
              <w:t>novembra</w:t>
            </w:r>
            <w:r w:rsidR="009F5B84">
              <w:rPr>
                <w:rFonts w:ascii="Times New Roman" w:hAnsi="Times New Roman"/>
                <w:sz w:val="24"/>
                <w:szCs w:val="24"/>
              </w:rPr>
              <w:t xml:space="preserve"> </w:t>
            </w:r>
            <w:r w:rsidR="00CD38CB">
              <w:rPr>
                <w:rFonts w:ascii="Times New Roman" w:hAnsi="Times New Roman"/>
                <w:sz w:val="24"/>
                <w:szCs w:val="24"/>
              </w:rPr>
              <w:t xml:space="preserve">Ministru kabineta protokolu Nr.55 </w:t>
            </w:r>
            <w:r w:rsidR="00CD38CB" w:rsidRPr="00CD38CB">
              <w:rPr>
                <w:rFonts w:ascii="Times New Roman" w:hAnsi="Times New Roman"/>
                <w:sz w:val="24"/>
                <w:szCs w:val="24"/>
              </w:rPr>
              <w:t>19.§</w:t>
            </w:r>
            <w:r w:rsidR="00CD38CB">
              <w:rPr>
                <w:rFonts w:ascii="Times New Roman" w:hAnsi="Times New Roman"/>
                <w:sz w:val="24"/>
                <w:szCs w:val="24"/>
              </w:rPr>
              <w:t xml:space="preserve"> </w:t>
            </w:r>
            <w:r w:rsidR="009F5B84">
              <w:rPr>
                <w:rFonts w:ascii="Times New Roman" w:hAnsi="Times New Roman"/>
                <w:sz w:val="24"/>
                <w:szCs w:val="24"/>
              </w:rPr>
              <w:t>“</w:t>
            </w:r>
            <w:r w:rsidR="009F5B84" w:rsidRPr="009F5B84">
              <w:rPr>
                <w:rFonts w:ascii="Times New Roman" w:hAnsi="Times New Roman"/>
                <w:sz w:val="24"/>
                <w:szCs w:val="24"/>
              </w:rPr>
              <w:t xml:space="preserve">Par valsts nekustamā īpašuma Krīvu ielā 11, Rīgā, nodošanu </w:t>
            </w:r>
            <w:r w:rsidR="00EB67CA">
              <w:rPr>
                <w:rFonts w:ascii="Times New Roman" w:hAnsi="Times New Roman"/>
                <w:sz w:val="24"/>
                <w:szCs w:val="24"/>
              </w:rPr>
              <w:t>EM</w:t>
            </w:r>
            <w:r w:rsidR="009F5B84">
              <w:rPr>
                <w:rFonts w:ascii="Times New Roman" w:hAnsi="Times New Roman"/>
                <w:sz w:val="24"/>
                <w:szCs w:val="24"/>
              </w:rPr>
              <w:t xml:space="preserve"> valdījumā”</w:t>
            </w:r>
            <w:r w:rsidR="00CD38CB">
              <w:rPr>
                <w:rFonts w:ascii="Times New Roman" w:hAnsi="Times New Roman"/>
                <w:sz w:val="24"/>
                <w:szCs w:val="24"/>
              </w:rPr>
              <w:t xml:space="preserve"> tika pieņemts lēmums par īpašuma nodošanu EM valdījumā</w:t>
            </w:r>
            <w:r>
              <w:rPr>
                <w:rFonts w:ascii="Times New Roman" w:hAnsi="Times New Roman"/>
                <w:sz w:val="24"/>
                <w:szCs w:val="24"/>
              </w:rPr>
              <w:t>.</w:t>
            </w:r>
            <w:r w:rsidRPr="00D644C0">
              <w:rPr>
                <w:rFonts w:ascii="Times New Roman" w:hAnsi="Times New Roman"/>
                <w:sz w:val="24"/>
                <w:szCs w:val="24"/>
              </w:rPr>
              <w:t xml:space="preserve"> </w:t>
            </w:r>
            <w:r w:rsidR="008F257A">
              <w:rPr>
                <w:rFonts w:ascii="Times New Roman" w:hAnsi="Times New Roman"/>
                <w:sz w:val="24"/>
                <w:szCs w:val="24"/>
              </w:rPr>
              <w:t>Attiecīgi arī p</w:t>
            </w:r>
            <w:r>
              <w:rPr>
                <w:rFonts w:ascii="Times New Roman" w:hAnsi="Times New Roman"/>
                <w:sz w:val="24"/>
                <w:szCs w:val="24"/>
              </w:rPr>
              <w:t>ubliskais finansējums</w:t>
            </w:r>
            <w:r w:rsidR="008F257A">
              <w:rPr>
                <w:rFonts w:ascii="Times New Roman" w:hAnsi="Times New Roman"/>
                <w:sz w:val="24"/>
                <w:szCs w:val="24"/>
              </w:rPr>
              <w:t xml:space="preserve"> 4.2.1.2.pasākuma ietvaros 1 073 000 EUR apmērā</w:t>
            </w:r>
            <w:r>
              <w:rPr>
                <w:rFonts w:ascii="Times New Roman" w:hAnsi="Times New Roman"/>
                <w:sz w:val="24"/>
                <w:szCs w:val="24"/>
              </w:rPr>
              <w:t>, kas ir paredzēts</w:t>
            </w:r>
            <w:r w:rsidR="007C3465">
              <w:rPr>
                <w:rFonts w:ascii="Times New Roman" w:hAnsi="Times New Roman"/>
                <w:sz w:val="24"/>
                <w:szCs w:val="24"/>
              </w:rPr>
              <w:t xml:space="preserve"> </w:t>
            </w:r>
            <w:r w:rsidR="008F257A">
              <w:rPr>
                <w:rFonts w:ascii="Times New Roman" w:hAnsi="Times New Roman"/>
                <w:sz w:val="24"/>
                <w:szCs w:val="24"/>
              </w:rPr>
              <w:t xml:space="preserve">norādītā </w:t>
            </w:r>
            <w:r w:rsidR="007C3465">
              <w:rPr>
                <w:rFonts w:ascii="Times New Roman" w:hAnsi="Times New Roman"/>
                <w:sz w:val="24"/>
                <w:szCs w:val="24"/>
              </w:rPr>
              <w:t>nekustamā īpašuma energoefektivitātes paaugstināšanai</w:t>
            </w:r>
            <w:r>
              <w:rPr>
                <w:rFonts w:ascii="Times New Roman" w:hAnsi="Times New Roman"/>
                <w:sz w:val="24"/>
                <w:szCs w:val="24"/>
              </w:rPr>
              <w:t xml:space="preserve">, tiek </w:t>
            </w:r>
            <w:r w:rsidR="008F257A">
              <w:rPr>
                <w:rFonts w:ascii="Times New Roman" w:hAnsi="Times New Roman"/>
                <w:sz w:val="24"/>
                <w:szCs w:val="24"/>
              </w:rPr>
              <w:t>pār</w:t>
            </w:r>
            <w:r>
              <w:rPr>
                <w:rFonts w:ascii="Times New Roman" w:hAnsi="Times New Roman"/>
                <w:sz w:val="24"/>
                <w:szCs w:val="24"/>
              </w:rPr>
              <w:t xml:space="preserve">dalīts </w:t>
            </w:r>
            <w:r w:rsidR="008F257A">
              <w:rPr>
                <w:rFonts w:ascii="Times New Roman" w:hAnsi="Times New Roman"/>
                <w:sz w:val="24"/>
                <w:szCs w:val="24"/>
              </w:rPr>
              <w:t xml:space="preserve">uz </w:t>
            </w:r>
            <w:r w:rsidR="00EB67CA">
              <w:rPr>
                <w:rFonts w:ascii="Times New Roman" w:hAnsi="Times New Roman"/>
                <w:sz w:val="24"/>
                <w:szCs w:val="24"/>
              </w:rPr>
              <w:t>EM</w:t>
            </w:r>
            <w:r>
              <w:rPr>
                <w:rFonts w:ascii="Times New Roman" w:hAnsi="Times New Roman"/>
                <w:sz w:val="24"/>
                <w:szCs w:val="24"/>
              </w:rPr>
              <w:t xml:space="preserve"> kvot</w:t>
            </w:r>
            <w:r w:rsidR="008F257A">
              <w:rPr>
                <w:rFonts w:ascii="Times New Roman" w:hAnsi="Times New Roman"/>
                <w:sz w:val="24"/>
                <w:szCs w:val="24"/>
              </w:rPr>
              <w:t>u</w:t>
            </w:r>
            <w:r>
              <w:rPr>
                <w:rFonts w:ascii="Times New Roman" w:hAnsi="Times New Roman"/>
                <w:sz w:val="24"/>
                <w:szCs w:val="24"/>
              </w:rPr>
              <w:t xml:space="preserve">. </w:t>
            </w:r>
            <w:r w:rsidR="009F5B84">
              <w:rPr>
                <w:rFonts w:ascii="Times New Roman" w:hAnsi="Times New Roman"/>
                <w:sz w:val="24"/>
                <w:szCs w:val="24"/>
              </w:rPr>
              <w:t xml:space="preserve">Atbilstoši precizēts </w:t>
            </w:r>
            <w:r w:rsidR="00606264">
              <w:rPr>
                <w:rFonts w:ascii="Times New Roman" w:hAnsi="Times New Roman"/>
                <w:sz w:val="24"/>
                <w:szCs w:val="24"/>
              </w:rPr>
              <w:t>MK noteikumu Nr.534</w:t>
            </w:r>
            <w:r w:rsidR="009F5B84">
              <w:rPr>
                <w:rFonts w:ascii="Times New Roman" w:hAnsi="Times New Roman"/>
                <w:sz w:val="24"/>
                <w:szCs w:val="24"/>
              </w:rPr>
              <w:t xml:space="preserve"> 1. pielikums.</w:t>
            </w:r>
          </w:p>
          <w:p w14:paraId="17760B19" w14:textId="77777777" w:rsidR="006876EB" w:rsidRDefault="006876EB" w:rsidP="00CD38CB">
            <w:pPr>
              <w:spacing w:after="0" w:line="240" w:lineRule="auto"/>
              <w:ind w:left="132" w:right="202"/>
              <w:jc w:val="both"/>
              <w:rPr>
                <w:rFonts w:ascii="Times New Roman" w:hAnsi="Times New Roman"/>
                <w:sz w:val="24"/>
                <w:szCs w:val="24"/>
              </w:rPr>
            </w:pPr>
          </w:p>
          <w:p w14:paraId="45359899" w14:textId="6980A574" w:rsidR="009F5B84" w:rsidRPr="00CA7A80" w:rsidRDefault="001312A1" w:rsidP="00CD38CB">
            <w:pPr>
              <w:numPr>
                <w:ilvl w:val="0"/>
                <w:numId w:val="1"/>
              </w:numPr>
              <w:spacing w:after="0" w:line="240" w:lineRule="auto"/>
              <w:ind w:left="132" w:right="202" w:firstLine="0"/>
              <w:jc w:val="both"/>
              <w:rPr>
                <w:rFonts w:ascii="Times New Roman" w:hAnsi="Times New Roman"/>
                <w:sz w:val="24"/>
                <w:szCs w:val="24"/>
              </w:rPr>
            </w:pPr>
            <w:r>
              <w:rPr>
                <w:rFonts w:ascii="Times New Roman" w:hAnsi="Times New Roman"/>
                <w:b/>
                <w:i/>
                <w:sz w:val="24"/>
                <w:szCs w:val="24"/>
                <w:u w:val="single"/>
              </w:rPr>
              <w:t>Dzēst nosacījumu katrai ministrijai individuāli līdz 2018.gada 31.decembrim sasniegt noteiktu sertificēto izdevumu apmēru</w:t>
            </w:r>
            <w:r w:rsidR="00F838D5">
              <w:rPr>
                <w:rFonts w:ascii="Times New Roman" w:hAnsi="Times New Roman"/>
                <w:b/>
                <w:i/>
                <w:sz w:val="24"/>
                <w:szCs w:val="24"/>
                <w:u w:val="single"/>
              </w:rPr>
              <w:t>.</w:t>
            </w:r>
          </w:p>
          <w:p w14:paraId="2B35C26F" w14:textId="50A671A5" w:rsidR="00B7752B" w:rsidRPr="00F838D5" w:rsidRDefault="0042491D" w:rsidP="00CD38CB">
            <w:pPr>
              <w:spacing w:after="0" w:line="240" w:lineRule="auto"/>
              <w:ind w:left="132" w:right="202"/>
              <w:jc w:val="both"/>
              <w:rPr>
                <w:rFonts w:ascii="Times New Roman" w:hAnsi="Times New Roman"/>
                <w:sz w:val="24"/>
                <w:szCs w:val="24"/>
              </w:rPr>
            </w:pPr>
            <w:r w:rsidRPr="0042491D">
              <w:rPr>
                <w:rFonts w:ascii="Times New Roman" w:hAnsi="Times New Roman"/>
                <w:sz w:val="24"/>
                <w:szCs w:val="24"/>
              </w:rPr>
              <w:t>Lai sekmētu finansējuma apguvi, Sadarbības partneru darba grupas (KDG) par Eiropas Savienības struktūrfondu un Kohēzijas fonda jautājumiem š.g. 24.oktobra sēdes dalībnieki vienojās uzdot visām ministrijām katra resora ietvaros sadarbībā ar finansējuma saņēmējiem un VAS “Valsts nekustamie īpašumi” līdz 2017.gada 31.decembrim iesniegt projektu iesniegumus</w:t>
            </w:r>
            <w:r w:rsidR="00E04395">
              <w:rPr>
                <w:rFonts w:ascii="Times New Roman" w:hAnsi="Times New Roman"/>
                <w:sz w:val="24"/>
                <w:szCs w:val="24"/>
              </w:rPr>
              <w:t xml:space="preserve"> </w:t>
            </w:r>
            <w:r w:rsidRPr="0042491D">
              <w:rPr>
                <w:rFonts w:ascii="Times New Roman" w:hAnsi="Times New Roman"/>
                <w:sz w:val="24"/>
                <w:szCs w:val="24"/>
              </w:rPr>
              <w:t>CFLA par vismaz 50% no 4.2.1.2. pasākuma pirmās projektu iesniegumu atlases kārtas pieejamā publiskā finansējuma attiecīgajam resoram.</w:t>
            </w:r>
            <w:r w:rsidR="00E8770C">
              <w:rPr>
                <w:rFonts w:ascii="Times New Roman" w:hAnsi="Times New Roman"/>
                <w:sz w:val="24"/>
                <w:szCs w:val="24"/>
              </w:rPr>
              <w:t xml:space="preserve"> Minētais nosacījums tiks apstiprināts ar Ministru kabineta </w:t>
            </w:r>
            <w:proofErr w:type="spellStart"/>
            <w:r w:rsidR="00E8770C">
              <w:rPr>
                <w:rFonts w:ascii="Times New Roman" w:hAnsi="Times New Roman"/>
                <w:sz w:val="24"/>
                <w:szCs w:val="24"/>
              </w:rPr>
              <w:t>protokollēmumu</w:t>
            </w:r>
            <w:proofErr w:type="spellEnd"/>
            <w:r w:rsidR="00E8770C">
              <w:rPr>
                <w:rFonts w:ascii="Times New Roman" w:hAnsi="Times New Roman"/>
                <w:sz w:val="24"/>
                <w:szCs w:val="24"/>
              </w:rPr>
              <w:t>, apstiprinot 4.2.1.2.pasākuma otrās projektu iesniegumu atlases kārtas īstenošanas nosacījumus</w:t>
            </w:r>
            <w:r w:rsidR="00D67976">
              <w:rPr>
                <w:rFonts w:ascii="Times New Roman" w:hAnsi="Times New Roman"/>
                <w:sz w:val="24"/>
                <w:szCs w:val="24"/>
              </w:rPr>
              <w:t xml:space="preserve"> (VSS-</w:t>
            </w:r>
            <w:r w:rsidR="00AA7956">
              <w:rPr>
                <w:rFonts w:ascii="Times New Roman" w:hAnsi="Times New Roman"/>
                <w:sz w:val="24"/>
                <w:szCs w:val="24"/>
              </w:rPr>
              <w:t>569</w:t>
            </w:r>
            <w:r w:rsidR="00D67976">
              <w:rPr>
                <w:rFonts w:ascii="Times New Roman" w:hAnsi="Times New Roman"/>
                <w:sz w:val="24"/>
                <w:szCs w:val="24"/>
              </w:rPr>
              <w:t>)</w:t>
            </w:r>
            <w:r w:rsidR="00E8770C">
              <w:rPr>
                <w:rFonts w:ascii="Times New Roman" w:hAnsi="Times New Roman"/>
                <w:sz w:val="24"/>
                <w:szCs w:val="24"/>
              </w:rPr>
              <w:t>.</w:t>
            </w:r>
            <w:r w:rsidRPr="0042491D">
              <w:rPr>
                <w:rFonts w:ascii="Times New Roman" w:hAnsi="Times New Roman"/>
                <w:sz w:val="24"/>
                <w:szCs w:val="24"/>
              </w:rPr>
              <w:t xml:space="preserve"> Šī nosacījuma neizpildes gadījumā </w:t>
            </w:r>
            <w:r w:rsidR="00EB67CA">
              <w:rPr>
                <w:rFonts w:ascii="Times New Roman" w:hAnsi="Times New Roman"/>
                <w:sz w:val="24"/>
                <w:szCs w:val="24"/>
              </w:rPr>
              <w:t>EM</w:t>
            </w:r>
            <w:r w:rsidRPr="0042491D">
              <w:rPr>
                <w:rFonts w:ascii="Times New Roman" w:hAnsi="Times New Roman"/>
                <w:sz w:val="24"/>
                <w:szCs w:val="24"/>
              </w:rPr>
              <w:t xml:space="preserve"> analizēs un nepieciešamības gadījumā ierosinās 4.2.1.2.pasākuma 1.kārtas publiskā finansējuma pārdali starp ministrijām.</w:t>
            </w:r>
            <w:r w:rsidR="00AC0047">
              <w:rPr>
                <w:rFonts w:ascii="Times New Roman" w:hAnsi="Times New Roman"/>
                <w:sz w:val="24"/>
                <w:szCs w:val="24"/>
              </w:rPr>
              <w:t xml:space="preserve"> </w:t>
            </w:r>
            <w:r w:rsidR="0056492C">
              <w:rPr>
                <w:rFonts w:ascii="Times New Roman" w:hAnsi="Times New Roman"/>
                <w:sz w:val="24"/>
                <w:szCs w:val="24"/>
              </w:rPr>
              <w:t xml:space="preserve">Papildus tam </w:t>
            </w:r>
            <w:r w:rsidR="00AC0047">
              <w:rPr>
                <w:rFonts w:ascii="Times New Roman" w:hAnsi="Times New Roman"/>
                <w:sz w:val="24"/>
                <w:szCs w:val="24"/>
              </w:rPr>
              <w:t xml:space="preserve">MK noteikumu Nr. 534 8.3.apakšpunkts nosaka, ka atlases kārtas </w:t>
            </w:r>
            <w:r w:rsidR="00AC0047">
              <w:rPr>
                <w:rFonts w:ascii="Times New Roman" w:hAnsi="Times New Roman"/>
                <w:sz w:val="24"/>
                <w:szCs w:val="24"/>
              </w:rPr>
              <w:lastRenderedPageBreak/>
              <w:t xml:space="preserve">ietvaros </w:t>
            </w:r>
            <w:r w:rsidR="00AC0047" w:rsidRPr="00AC0047">
              <w:rPr>
                <w:rFonts w:ascii="Times New Roman" w:hAnsi="Times New Roman"/>
                <w:sz w:val="24"/>
                <w:szCs w:val="24"/>
              </w:rPr>
              <w:t xml:space="preserve">līdz 2018. gada 31. decembrim </w:t>
            </w:r>
            <w:r w:rsidR="00AC0047">
              <w:rPr>
                <w:rFonts w:ascii="Times New Roman" w:hAnsi="Times New Roman"/>
                <w:sz w:val="24"/>
                <w:szCs w:val="24"/>
              </w:rPr>
              <w:t xml:space="preserve">jāsasniedz </w:t>
            </w:r>
            <w:r w:rsidR="00AC0047" w:rsidRPr="00AC0047">
              <w:rPr>
                <w:rFonts w:ascii="Times New Roman" w:hAnsi="Times New Roman"/>
                <w:sz w:val="24"/>
                <w:szCs w:val="24"/>
              </w:rPr>
              <w:t>sertificēti izdevumi vismaz 25 90</w:t>
            </w:r>
            <w:r w:rsidR="00AC0047">
              <w:rPr>
                <w:rFonts w:ascii="Times New Roman" w:hAnsi="Times New Roman"/>
                <w:sz w:val="24"/>
                <w:szCs w:val="24"/>
              </w:rPr>
              <w:t>3 583 EUR</w:t>
            </w:r>
            <w:r w:rsidR="00AC0047" w:rsidRPr="00AC0047">
              <w:rPr>
                <w:rFonts w:ascii="Times New Roman" w:hAnsi="Times New Roman"/>
                <w:sz w:val="24"/>
                <w:szCs w:val="24"/>
              </w:rPr>
              <w:t xml:space="preserve"> apmērā</w:t>
            </w:r>
            <w:r w:rsidR="00AC0047">
              <w:rPr>
                <w:rFonts w:ascii="Times New Roman" w:hAnsi="Times New Roman"/>
                <w:sz w:val="24"/>
                <w:szCs w:val="24"/>
              </w:rPr>
              <w:t>.</w:t>
            </w:r>
            <w:r w:rsidR="0056492C">
              <w:rPr>
                <w:rFonts w:ascii="Times New Roman" w:hAnsi="Times New Roman"/>
                <w:sz w:val="24"/>
                <w:szCs w:val="24"/>
              </w:rPr>
              <w:t xml:space="preserve"> Tādēļ tiek dzēsts nosacījums katrai </w:t>
            </w:r>
            <w:r w:rsidR="0056492C" w:rsidRPr="0056492C">
              <w:rPr>
                <w:rFonts w:ascii="Times New Roman" w:hAnsi="Times New Roman"/>
                <w:sz w:val="24"/>
                <w:szCs w:val="24"/>
              </w:rPr>
              <w:t>ministrijai individuāli līdz 2018.gada 31.decembrim nodrošināt sertificētus izdevumus vismaz 32 % apmērā no tām aprēķinātā publiskā finansējuma</w:t>
            </w:r>
            <w:r w:rsidR="00E8770C">
              <w:rPr>
                <w:rFonts w:ascii="Times New Roman" w:hAnsi="Times New Roman"/>
                <w:sz w:val="24"/>
                <w:szCs w:val="24"/>
              </w:rPr>
              <w:t xml:space="preserve"> kvotas.</w:t>
            </w:r>
          </w:p>
        </w:tc>
      </w:tr>
      <w:tr w:rsidR="009A312E" w:rsidRPr="008B78B2" w14:paraId="5FB32C22" w14:textId="77777777" w:rsidTr="00E56C85">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54A72F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8B78B2" w:rsidRDefault="00EB67CA" w:rsidP="00E56C8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9A312E" w:rsidRPr="008B78B2" w14:paraId="51FE2A99" w14:textId="77777777" w:rsidTr="00E56C85">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8B78B2" w:rsidRDefault="009A312E" w:rsidP="00E56C85">
            <w:pPr>
              <w:spacing w:after="0" w:line="240" w:lineRule="auto"/>
              <w:ind w:firstLine="567"/>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E56C85">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E56C85">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E56C85">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77777777" w:rsidR="009A312E" w:rsidRPr="008B78B2" w:rsidRDefault="009A312E" w:rsidP="00E56C85">
            <w:pPr>
              <w:spacing w:before="75" w:after="75" w:line="240" w:lineRule="auto"/>
              <w:ind w:firstLine="450"/>
              <w:jc w:val="both"/>
              <w:rPr>
                <w:rFonts w:ascii="Times New Roman" w:eastAsia="Times New Roman" w:hAnsi="Times New Roman"/>
                <w:iCs/>
                <w:sz w:val="24"/>
                <w:szCs w:val="24"/>
                <w:lang w:eastAsia="lv-LV"/>
              </w:rPr>
            </w:pPr>
            <w:r w:rsidRPr="009D1300">
              <w:rPr>
                <w:rFonts w:ascii="Times New Roman" w:eastAsia="Times New Roman" w:hAnsi="Times New Roman"/>
                <w:iCs/>
                <w:sz w:val="24"/>
                <w:szCs w:val="24"/>
                <w:lang w:eastAsia="lv-LV"/>
              </w:rPr>
              <w:t>Va</w:t>
            </w:r>
            <w:r>
              <w:rPr>
                <w:rFonts w:ascii="Times New Roman" w:eastAsia="Times New Roman" w:hAnsi="Times New Roman"/>
                <w:iCs/>
                <w:sz w:val="24"/>
                <w:szCs w:val="24"/>
                <w:lang w:eastAsia="lv-LV"/>
              </w:rPr>
              <w:t>lsts ēku īpašnieki un lietotāji.</w:t>
            </w:r>
          </w:p>
        </w:tc>
      </w:tr>
      <w:tr w:rsidR="009A312E" w:rsidRPr="008B78B2" w14:paraId="106F4193" w14:textId="77777777" w:rsidTr="00E56C85">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AB8CFB" w14:textId="77777777" w:rsidR="009A312E" w:rsidRPr="00274E36" w:rsidRDefault="009A312E" w:rsidP="00E56C85">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Noteikumu projekts neparedz ietekmi uz administratīvo slogu</w:t>
            </w:r>
            <w:r>
              <w:rPr>
                <w:rFonts w:ascii="Times New Roman" w:eastAsia="Times New Roman" w:hAnsi="Times New Roman"/>
                <w:iCs/>
                <w:sz w:val="24"/>
                <w:szCs w:val="24"/>
                <w:lang w:eastAsia="lv-LV"/>
              </w:rPr>
              <w:t xml:space="preserve"> un tautsaimniecību</w:t>
            </w:r>
            <w:r w:rsidRPr="00274E36">
              <w:rPr>
                <w:rFonts w:ascii="Times New Roman" w:eastAsia="Times New Roman" w:hAnsi="Times New Roman"/>
                <w:iCs/>
                <w:sz w:val="24"/>
                <w:szCs w:val="24"/>
                <w:lang w:eastAsia="lv-LV"/>
              </w:rPr>
              <w:t>.</w:t>
            </w:r>
          </w:p>
          <w:p w14:paraId="004C769E" w14:textId="77777777" w:rsidR="009A312E" w:rsidRPr="00A61583" w:rsidRDefault="009A312E" w:rsidP="00E56C85">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 xml:space="preserve">Noteikumu projekta īstenošanu nodrošinās </w:t>
            </w:r>
            <w:r>
              <w:rPr>
                <w:rFonts w:ascii="Times New Roman" w:eastAsia="Times New Roman" w:hAnsi="Times New Roman"/>
                <w:iCs/>
                <w:sz w:val="24"/>
                <w:szCs w:val="24"/>
                <w:lang w:eastAsia="lv-LV"/>
              </w:rPr>
              <w:t>Centrālā finanšu un līgumu aģentūra</w:t>
            </w:r>
            <w:r w:rsidRPr="00274E36">
              <w:rPr>
                <w:rFonts w:ascii="Times New Roman" w:eastAsia="Times New Roman" w:hAnsi="Times New Roman"/>
                <w:iCs/>
                <w:sz w:val="24"/>
                <w:szCs w:val="24"/>
                <w:lang w:eastAsia="lv-LV"/>
              </w:rPr>
              <w:t>.</w:t>
            </w:r>
          </w:p>
        </w:tc>
      </w:tr>
      <w:tr w:rsidR="009A312E" w:rsidRPr="008B78B2" w14:paraId="214EDD6A" w14:textId="77777777" w:rsidTr="00E56C85">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9A312E" w:rsidP="00E56C85">
            <w:pPr>
              <w:spacing w:after="0" w:line="240" w:lineRule="auto"/>
              <w:ind w:firstLine="45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Noteikumu 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9A312E" w:rsidRPr="008B78B2" w14:paraId="7C71C3A1" w14:textId="77777777" w:rsidTr="00E56C85">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9A312E" w:rsidP="00E56C85">
            <w:pPr>
              <w:spacing w:after="0" w:line="240" w:lineRule="auto"/>
              <w:ind w:firstLine="450"/>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336ADFA4" w14:textId="77777777" w:rsidR="009A312E" w:rsidRPr="008B78B2" w:rsidRDefault="009A312E" w:rsidP="009A312E">
      <w:pPr>
        <w:spacing w:after="0"/>
        <w:rPr>
          <w:vanish/>
        </w:rPr>
      </w:pPr>
    </w:p>
    <w:tbl>
      <w:tblPr>
        <w:tblW w:w="932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95"/>
        <w:gridCol w:w="3686"/>
        <w:gridCol w:w="5245"/>
      </w:tblGrid>
      <w:tr w:rsidR="009A312E" w:rsidRPr="008B78B2" w14:paraId="0F547C22" w14:textId="77777777" w:rsidTr="00E56C85">
        <w:trPr>
          <w:trHeight w:val="141"/>
        </w:trPr>
        <w:tc>
          <w:tcPr>
            <w:tcW w:w="4081" w:type="dxa"/>
            <w:gridSpan w:val="2"/>
            <w:tcBorders>
              <w:top w:val="nil"/>
              <w:left w:val="nil"/>
              <w:bottom w:val="single" w:sz="4" w:space="0" w:color="auto"/>
              <w:right w:val="nil"/>
            </w:tcBorders>
          </w:tcPr>
          <w:p w14:paraId="26126807" w14:textId="77777777" w:rsidR="009A312E" w:rsidRPr="00090BDF" w:rsidRDefault="009A312E" w:rsidP="00E56C85">
            <w:pPr>
              <w:spacing w:after="0" w:line="240" w:lineRule="auto"/>
              <w:jc w:val="both"/>
              <w:rPr>
                <w:rFonts w:ascii="Times New Roman" w:eastAsia="Times New Roman" w:hAnsi="Times New Roman"/>
                <w:sz w:val="4"/>
                <w:szCs w:val="4"/>
                <w:lang w:eastAsia="lv-LV"/>
              </w:rPr>
            </w:pPr>
          </w:p>
        </w:tc>
        <w:tc>
          <w:tcPr>
            <w:tcW w:w="5245" w:type="dxa"/>
            <w:tcBorders>
              <w:top w:val="nil"/>
              <w:left w:val="nil"/>
              <w:bottom w:val="thickThinLargeGap" w:sz="6" w:space="0" w:color="C0C0C0"/>
              <w:right w:val="nil"/>
            </w:tcBorders>
          </w:tcPr>
          <w:p w14:paraId="2B2D9907" w14:textId="77777777" w:rsidR="009A312E" w:rsidRPr="00467713" w:rsidRDefault="009A312E" w:rsidP="00E56C85">
            <w:pPr>
              <w:spacing w:after="0" w:line="240" w:lineRule="auto"/>
              <w:ind w:firstLine="425"/>
              <w:jc w:val="both"/>
              <w:rPr>
                <w:rFonts w:ascii="Times New Roman" w:eastAsia="Times New Roman" w:hAnsi="Times New Roman"/>
                <w:sz w:val="4"/>
                <w:szCs w:val="4"/>
                <w:lang w:eastAsia="lv-LV"/>
              </w:rPr>
            </w:pPr>
          </w:p>
        </w:tc>
      </w:tr>
      <w:tr w:rsidR="009A312E" w:rsidRPr="008B78B2" w14:paraId="051EE9BB" w14:textId="77777777" w:rsidTr="00E56C85">
        <w:tblPrEx>
          <w:tblBorders>
            <w:insideH w:val="thickThinLargeGap" w:sz="6" w:space="0" w:color="C0C0C0"/>
            <w:insideV w:val="thickThinLargeGap" w:sz="6" w:space="0" w:color="C0C0C0"/>
          </w:tblBorders>
        </w:tblPrEx>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E56C85">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E56C85">
        <w:tblPrEx>
          <w:tblBorders>
            <w:insideH w:val="thickThinLargeGap" w:sz="6" w:space="0" w:color="C0C0C0"/>
            <w:insideV w:val="thickThinLargeGap" w:sz="6" w:space="0" w:color="C0C0C0"/>
          </w:tblBorders>
        </w:tblPrEx>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77777777" w:rsidR="009A312E" w:rsidRPr="008B78B2" w:rsidRDefault="009A312E" w:rsidP="00E56C85">
            <w:pPr>
              <w:spacing w:after="0" w:line="240" w:lineRule="auto"/>
              <w:ind w:left="124" w:right="142" w:firstLine="301"/>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tiek ievietota </w:t>
            </w:r>
            <w:r>
              <w:rPr>
                <w:rFonts w:ascii="Times New Roman" w:eastAsia="Times New Roman" w:hAnsi="Times New Roman"/>
                <w:iCs/>
                <w:sz w:val="24"/>
                <w:szCs w:val="24"/>
                <w:lang w:eastAsia="lv-LV"/>
              </w:rPr>
              <w:t>EM</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9A312E" w:rsidRPr="008B78B2" w14:paraId="2F9C45F7" w14:textId="77777777" w:rsidTr="00E56C85">
        <w:tblPrEx>
          <w:tblBorders>
            <w:insideH w:val="thickThinLargeGap" w:sz="6" w:space="0" w:color="C0C0C0"/>
            <w:insideV w:val="thickThinLargeGap" w:sz="6" w:space="0" w:color="C0C0C0"/>
          </w:tblBorders>
        </w:tblPrEx>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0CE172CC" w:rsidR="009A312E" w:rsidRPr="008B78B2" w:rsidRDefault="009A312E" w:rsidP="00E56C85">
            <w:pPr>
              <w:spacing w:after="0" w:line="240" w:lineRule="auto"/>
              <w:ind w:left="124" w:right="142" w:firstLine="301"/>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EM </w:t>
            </w:r>
            <w:r w:rsidRPr="008B78B2">
              <w:rPr>
                <w:rFonts w:ascii="Times New Roman" w:eastAsia="Times New Roman" w:hAnsi="Times New Roman"/>
                <w:iCs/>
                <w:sz w:val="24"/>
                <w:szCs w:val="24"/>
                <w:lang w:eastAsia="lv-LV"/>
              </w:rPr>
              <w:t xml:space="preserve">ir </w:t>
            </w:r>
            <w:r w:rsidR="00D61012" w:rsidRPr="008B78B2">
              <w:rPr>
                <w:rFonts w:ascii="Times New Roman" w:eastAsia="Times New Roman" w:hAnsi="Times New Roman"/>
                <w:iCs/>
                <w:sz w:val="24"/>
                <w:szCs w:val="24"/>
                <w:lang w:eastAsia="lv-LV"/>
              </w:rPr>
              <w:t xml:space="preserve">sazinājusies </w:t>
            </w:r>
            <w:r w:rsidRPr="008B78B2">
              <w:rPr>
                <w:rFonts w:ascii="Times New Roman" w:eastAsia="Times New Roman" w:hAnsi="Times New Roman"/>
                <w:iCs/>
                <w:sz w:val="24"/>
                <w:szCs w:val="24"/>
                <w:lang w:eastAsia="lv-LV"/>
              </w:rPr>
              <w:t xml:space="preserve">ar </w:t>
            </w:r>
            <w:r>
              <w:rPr>
                <w:rFonts w:ascii="Times New Roman" w:eastAsia="Times New Roman" w:hAnsi="Times New Roman"/>
                <w:iCs/>
                <w:sz w:val="24"/>
                <w:szCs w:val="24"/>
                <w:lang w:eastAsia="lv-LV"/>
              </w:rPr>
              <w:t>C</w:t>
            </w:r>
            <w:r w:rsidRPr="008C53EF">
              <w:rPr>
                <w:rFonts w:ascii="Times New Roman" w:eastAsia="Times New Roman" w:hAnsi="Times New Roman"/>
                <w:iCs/>
                <w:sz w:val="24"/>
                <w:szCs w:val="24"/>
                <w:lang w:eastAsia="lv-LV"/>
              </w:rPr>
              <w:t>entrāl</w:t>
            </w:r>
            <w:r>
              <w:rPr>
                <w:rFonts w:ascii="Times New Roman" w:eastAsia="Times New Roman" w:hAnsi="Times New Roman"/>
                <w:iCs/>
                <w:sz w:val="24"/>
                <w:szCs w:val="24"/>
                <w:lang w:eastAsia="lv-LV"/>
              </w:rPr>
              <w:t>o</w:t>
            </w:r>
            <w:r w:rsidRPr="008C53EF">
              <w:rPr>
                <w:rFonts w:ascii="Times New Roman" w:eastAsia="Times New Roman" w:hAnsi="Times New Roman"/>
                <w:iCs/>
                <w:sz w:val="24"/>
                <w:szCs w:val="24"/>
                <w:lang w:eastAsia="lv-LV"/>
              </w:rPr>
              <w:t xml:space="preserve"> finanšu un līgumu aģentūr</w:t>
            </w:r>
            <w:r>
              <w:rPr>
                <w:rFonts w:ascii="Times New Roman" w:eastAsia="Times New Roman" w:hAnsi="Times New Roman"/>
                <w:iCs/>
                <w:sz w:val="24"/>
                <w:szCs w:val="24"/>
                <w:lang w:eastAsia="lv-LV"/>
              </w:rPr>
              <w:t xml:space="preserve">u un Finanšu ministriju, lai </w:t>
            </w:r>
            <w:r w:rsidRPr="008B78B2">
              <w:rPr>
                <w:rFonts w:ascii="Times New Roman" w:eastAsia="Times New Roman" w:hAnsi="Times New Roman"/>
                <w:iCs/>
                <w:sz w:val="24"/>
                <w:szCs w:val="24"/>
                <w:lang w:eastAsia="lv-LV"/>
              </w:rPr>
              <w:t>vieno</w:t>
            </w:r>
            <w:r>
              <w:rPr>
                <w:rFonts w:ascii="Times New Roman" w:eastAsia="Times New Roman" w:hAnsi="Times New Roman"/>
                <w:iCs/>
                <w:sz w:val="24"/>
                <w:szCs w:val="24"/>
                <w:lang w:eastAsia="lv-LV"/>
              </w:rPr>
              <w:t xml:space="preserve">tos </w:t>
            </w:r>
            <w:r w:rsidRPr="008B78B2">
              <w:rPr>
                <w:rFonts w:ascii="Times New Roman" w:eastAsia="Times New Roman" w:hAnsi="Times New Roman"/>
                <w:iCs/>
                <w:sz w:val="24"/>
                <w:szCs w:val="24"/>
                <w:lang w:eastAsia="lv-LV"/>
              </w:rPr>
              <w:t xml:space="preserve">par iespējamajiem grozījumiem </w:t>
            </w:r>
            <w:r>
              <w:rPr>
                <w:rFonts w:ascii="Times New Roman" w:eastAsia="Times New Roman" w:hAnsi="Times New Roman"/>
                <w:iCs/>
                <w:sz w:val="24"/>
                <w:szCs w:val="24"/>
                <w:lang w:eastAsia="lv-LV"/>
              </w:rPr>
              <w:t>MK noteikumos Nr. 534.</w:t>
            </w:r>
          </w:p>
        </w:tc>
      </w:tr>
      <w:tr w:rsidR="009A312E" w:rsidRPr="008B78B2" w14:paraId="1D285C1F" w14:textId="77777777" w:rsidTr="00E56C85">
        <w:tblPrEx>
          <w:tblBorders>
            <w:insideH w:val="thickThinLargeGap" w:sz="6" w:space="0" w:color="C0C0C0"/>
            <w:insideV w:val="thickThinLargeGap" w:sz="6" w:space="0" w:color="C0C0C0"/>
          </w:tblBorders>
        </w:tblPrEx>
        <w:trPr>
          <w:trHeight w:val="72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līdzdalības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77777777" w:rsidR="009A312E" w:rsidRPr="008B78B2" w:rsidRDefault="009A312E" w:rsidP="00E56C85">
            <w:pPr>
              <w:spacing w:after="0" w:line="240" w:lineRule="auto"/>
              <w:ind w:left="124" w:right="142" w:firstLine="301"/>
              <w:jc w:val="both"/>
              <w:rPr>
                <w:rFonts w:ascii="Times New Roman" w:eastAsia="Times New Roman" w:hAnsi="Times New Roman"/>
                <w:b/>
                <w:sz w:val="24"/>
                <w:szCs w:val="24"/>
                <w:lang w:eastAsia="lv-LV"/>
              </w:rPr>
            </w:pPr>
            <w:r>
              <w:rPr>
                <w:rFonts w:ascii="Times New Roman" w:hAnsi="Times New Roman"/>
                <w:sz w:val="24"/>
                <w:szCs w:val="24"/>
              </w:rPr>
              <w:t>EM</w:t>
            </w:r>
            <w:r w:rsidRPr="008B78B2">
              <w:rPr>
                <w:rFonts w:ascii="Times New Roman" w:hAnsi="Times New Roman"/>
                <w:sz w:val="24"/>
                <w:szCs w:val="24"/>
              </w:rPr>
              <w:t xml:space="preserve"> ir ie</w:t>
            </w:r>
            <w:r>
              <w:rPr>
                <w:rFonts w:ascii="Times New Roman" w:hAnsi="Times New Roman"/>
                <w:sz w:val="24"/>
                <w:szCs w:val="24"/>
              </w:rPr>
              <w:t>rosinājusi veikt grozījumus MK n</w:t>
            </w:r>
            <w:r w:rsidRPr="008B78B2">
              <w:rPr>
                <w:rFonts w:ascii="Times New Roman" w:hAnsi="Times New Roman"/>
                <w:sz w:val="24"/>
                <w:szCs w:val="24"/>
              </w:rPr>
              <w:t>oteikumos Nr.</w:t>
            </w:r>
            <w:r>
              <w:rPr>
                <w:rFonts w:ascii="Times New Roman" w:hAnsi="Times New Roman"/>
                <w:sz w:val="24"/>
                <w:szCs w:val="24"/>
              </w:rPr>
              <w:t> 534</w:t>
            </w:r>
            <w:r w:rsidRPr="008B78B2">
              <w:rPr>
                <w:rFonts w:ascii="Times New Roman" w:hAnsi="Times New Roman"/>
                <w:sz w:val="24"/>
                <w:szCs w:val="24"/>
              </w:rPr>
              <w:t>.</w:t>
            </w:r>
          </w:p>
        </w:tc>
      </w:tr>
      <w:tr w:rsidR="009A312E" w:rsidRPr="008B78B2" w14:paraId="3C8DBE9C" w14:textId="77777777" w:rsidTr="00E56C85">
        <w:tblPrEx>
          <w:tblBorders>
            <w:insideH w:val="thickThinLargeGap" w:sz="6" w:space="0" w:color="C0C0C0"/>
            <w:insideV w:val="thickThinLargeGap" w:sz="6" w:space="0" w:color="C0C0C0"/>
          </w:tblBorders>
        </w:tblPrEx>
        <w:trPr>
          <w:trHeight w:val="36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77777777" w:rsidR="009A312E" w:rsidRPr="008B78B2" w:rsidRDefault="009A312E" w:rsidP="00E56C85">
            <w:pPr>
              <w:spacing w:after="0" w:line="240" w:lineRule="auto"/>
              <w:ind w:left="143" w:firstLine="282"/>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8B78B2" w14:paraId="166C01FC" w14:textId="77777777" w:rsidTr="00E56C85">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E56C85">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E56C85">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7777777" w:rsidR="009A312E" w:rsidRPr="008B78B2" w:rsidRDefault="009A312E" w:rsidP="00E56C85">
            <w:pPr>
              <w:spacing w:after="0" w:line="240" w:lineRule="auto"/>
              <w:ind w:left="142" w:firstLine="283"/>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iestāde, 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C53EF">
              <w:rPr>
                <w:rFonts w:ascii="Times New Roman" w:hAnsi="Times New Roman"/>
                <w:sz w:val="24"/>
                <w:szCs w:val="24"/>
              </w:rPr>
              <w:t xml:space="preserve"> kā sadarbības iestāde</w:t>
            </w:r>
            <w:r>
              <w:rPr>
                <w:rFonts w:ascii="Times New Roman" w:hAnsi="Times New Roman"/>
                <w:sz w:val="24"/>
                <w:szCs w:val="24"/>
              </w:rPr>
              <w:t>.</w:t>
            </w:r>
          </w:p>
        </w:tc>
      </w:tr>
      <w:tr w:rsidR="009A312E" w:rsidRPr="008B78B2" w14:paraId="678718AA" w14:textId="77777777" w:rsidTr="00E56C85">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institūciju izveide, esošu institūciju likvidācija vai </w:t>
            </w:r>
            <w:r w:rsidRPr="008B78B2">
              <w:rPr>
                <w:rFonts w:ascii="Times New Roman" w:eastAsia="Times New Roman" w:hAnsi="Times New Roman"/>
                <w:sz w:val="24"/>
                <w:szCs w:val="24"/>
                <w:lang w:eastAsia="lv-LV"/>
              </w:rPr>
              <w:lastRenderedPageBreak/>
              <w:t>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79224664" w:rsidR="009A312E" w:rsidRPr="008B78B2" w:rsidRDefault="009A312E" w:rsidP="00E56C85">
            <w:pPr>
              <w:spacing w:line="240" w:lineRule="auto"/>
              <w:ind w:left="142" w:firstLine="283"/>
              <w:jc w:val="both"/>
              <w:rPr>
                <w:rFonts w:ascii="Times New Roman" w:hAnsi="Times New Roman"/>
                <w:sz w:val="24"/>
                <w:szCs w:val="24"/>
              </w:rPr>
            </w:pPr>
            <w:r w:rsidRPr="008B78B2">
              <w:rPr>
                <w:rFonts w:ascii="Times New Roman" w:hAnsi="Times New Roman"/>
                <w:sz w:val="24"/>
                <w:szCs w:val="24"/>
              </w:rPr>
              <w:lastRenderedPageBreak/>
              <w:t xml:space="preserve">Noteikumu projekta izpildi nodrošinās </w:t>
            </w:r>
            <w:r w:rsidRPr="008C53EF">
              <w:rPr>
                <w:rFonts w:ascii="Times New Roman" w:hAnsi="Times New Roman"/>
                <w:sz w:val="24"/>
                <w:szCs w:val="24"/>
              </w:rPr>
              <w:t>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B78B2">
              <w:rPr>
                <w:rFonts w:ascii="Times New Roman" w:hAnsi="Times New Roman"/>
                <w:sz w:val="24"/>
                <w:szCs w:val="24"/>
              </w:rPr>
              <w:t xml:space="preserve"> </w:t>
            </w:r>
            <w:r w:rsidR="00D61012">
              <w:rPr>
                <w:rFonts w:ascii="Times New Roman" w:hAnsi="Times New Roman"/>
                <w:sz w:val="24"/>
                <w:szCs w:val="24"/>
              </w:rPr>
              <w:t xml:space="preserve">savas </w:t>
            </w:r>
            <w:r w:rsidRPr="008B78B2">
              <w:rPr>
                <w:rFonts w:ascii="Times New Roman" w:hAnsi="Times New Roman"/>
                <w:sz w:val="24"/>
                <w:szCs w:val="24"/>
              </w:rPr>
              <w:t>darbības ietvaros.</w:t>
            </w:r>
          </w:p>
        </w:tc>
      </w:tr>
      <w:tr w:rsidR="009A312E" w:rsidRPr="008B78B2" w14:paraId="17DEEA33" w14:textId="77777777" w:rsidTr="00E56C85">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E56C85">
            <w:pPr>
              <w:spacing w:after="0" w:line="240" w:lineRule="auto"/>
              <w:ind w:firstLine="425"/>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5DCB6AC9" w14:textId="77777777" w:rsidR="009A312E" w:rsidRPr="008B78B2" w:rsidRDefault="009A312E" w:rsidP="009A312E">
      <w:pPr>
        <w:tabs>
          <w:tab w:val="left" w:pos="6710"/>
        </w:tabs>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Anotācijas III., IV., </w:t>
      </w:r>
      <w:r w:rsidRPr="008B78B2">
        <w:rPr>
          <w:rFonts w:ascii="Times New Roman" w:eastAsia="Times New Roman" w:hAnsi="Times New Roman"/>
          <w:b/>
          <w:sz w:val="24"/>
          <w:szCs w:val="24"/>
          <w:lang w:eastAsia="lv-LV"/>
        </w:rPr>
        <w:t>V. sadaļa</w:t>
      </w:r>
      <w:r>
        <w:rPr>
          <w:rFonts w:ascii="Times New Roman" w:eastAsia="Times New Roman" w:hAnsi="Times New Roman"/>
          <w:b/>
          <w:sz w:val="24"/>
          <w:szCs w:val="24"/>
          <w:lang w:eastAsia="lv-LV"/>
        </w:rPr>
        <w:t>s - projekts šīs jomas</w:t>
      </w:r>
      <w:r w:rsidRPr="008B78B2">
        <w:rPr>
          <w:rFonts w:ascii="Times New Roman" w:eastAsia="Times New Roman" w:hAnsi="Times New Roman"/>
          <w:b/>
          <w:sz w:val="24"/>
          <w:szCs w:val="24"/>
          <w:lang w:eastAsia="lv-LV"/>
        </w:rPr>
        <w:t xml:space="preserve"> neskar.</w:t>
      </w:r>
    </w:p>
    <w:p w14:paraId="5FCC8D11" w14:textId="77777777" w:rsidR="009A312E" w:rsidRDefault="009A312E" w:rsidP="009A312E">
      <w:pPr>
        <w:tabs>
          <w:tab w:val="right" w:pos="9071"/>
        </w:tabs>
        <w:spacing w:after="0" w:line="240" w:lineRule="auto"/>
        <w:jc w:val="both"/>
        <w:rPr>
          <w:rFonts w:ascii="Times New Roman" w:eastAsia="Times New Roman" w:hAnsi="Times New Roman"/>
          <w:sz w:val="16"/>
          <w:szCs w:val="16"/>
          <w:lang w:eastAsia="lv-LV"/>
        </w:rPr>
      </w:pPr>
    </w:p>
    <w:p w14:paraId="6FC9D794" w14:textId="77777777" w:rsidR="005630E5" w:rsidRDefault="005630E5" w:rsidP="009A312E">
      <w:pPr>
        <w:tabs>
          <w:tab w:val="right" w:pos="9071"/>
        </w:tabs>
        <w:spacing w:after="0" w:line="240" w:lineRule="auto"/>
        <w:jc w:val="both"/>
        <w:rPr>
          <w:rFonts w:ascii="Times New Roman" w:eastAsia="Times New Roman" w:hAnsi="Times New Roman"/>
          <w:sz w:val="16"/>
          <w:szCs w:val="16"/>
          <w:lang w:eastAsia="lv-LV"/>
        </w:rPr>
      </w:pPr>
    </w:p>
    <w:p w14:paraId="2D604021" w14:textId="77777777" w:rsidR="005630E5" w:rsidRPr="00245AE4" w:rsidRDefault="005630E5" w:rsidP="009A312E">
      <w:pPr>
        <w:tabs>
          <w:tab w:val="right" w:pos="9071"/>
        </w:tabs>
        <w:spacing w:after="0" w:line="240" w:lineRule="auto"/>
        <w:jc w:val="both"/>
        <w:rPr>
          <w:rFonts w:ascii="Times New Roman" w:eastAsia="Times New Roman" w:hAnsi="Times New Roman"/>
          <w:sz w:val="16"/>
          <w:szCs w:val="16"/>
          <w:lang w:eastAsia="lv-LV"/>
        </w:rPr>
      </w:pPr>
    </w:p>
    <w:p w14:paraId="454C9C2B" w14:textId="77777777"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 xml:space="preserve">Ministru prezidenta biedrs, </w:t>
      </w:r>
    </w:p>
    <w:p w14:paraId="270FF30B" w14:textId="77777777"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ekonomikas ministrs</w:t>
      </w:r>
      <w:r w:rsidRPr="005630E5">
        <w:rPr>
          <w:b/>
        </w:rPr>
        <w:t xml:space="preserve"> </w:t>
      </w:r>
      <w:r w:rsidRPr="005630E5">
        <w:rPr>
          <w:b/>
        </w:rPr>
        <w:tab/>
      </w:r>
      <w:r w:rsidRPr="005630E5">
        <w:rPr>
          <w:rFonts w:ascii="Times New Roman" w:hAnsi="Times New Roman"/>
          <w:b/>
          <w:color w:val="000000"/>
          <w:sz w:val="24"/>
          <w:szCs w:val="24"/>
        </w:rPr>
        <w:t>A. Ašeradens</w:t>
      </w: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592FC5AB"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3D3BB6" w:rsidRPr="005630E5">
        <w:rPr>
          <w:rFonts w:ascii="Times New Roman" w:hAnsi="Times New Roman"/>
          <w:b/>
          <w:color w:val="000000"/>
          <w:sz w:val="24"/>
          <w:szCs w:val="24"/>
        </w:rPr>
        <w:t>s</w:t>
      </w:r>
      <w:r w:rsidR="003D3BB6" w:rsidRPr="005630E5">
        <w:rPr>
          <w:rFonts w:ascii="Times New Roman" w:hAnsi="Times New Roman"/>
          <w:b/>
          <w:color w:val="000000"/>
          <w:sz w:val="24"/>
          <w:szCs w:val="24"/>
        </w:rPr>
        <w:tab/>
        <w:t>J. Stinka</w:t>
      </w:r>
    </w:p>
    <w:p w14:paraId="4E7CC4F1" w14:textId="77777777" w:rsidR="00CC6E1B" w:rsidRDefault="00CC6E1B" w:rsidP="009A312E">
      <w:pPr>
        <w:tabs>
          <w:tab w:val="right" w:pos="9071"/>
        </w:tabs>
        <w:spacing w:after="0" w:line="240" w:lineRule="auto"/>
        <w:jc w:val="both"/>
        <w:rPr>
          <w:rFonts w:ascii="Times New Roman" w:hAnsi="Times New Roman"/>
          <w:color w:val="000000"/>
          <w:sz w:val="24"/>
          <w:szCs w:val="24"/>
        </w:rPr>
      </w:pPr>
    </w:p>
    <w:p w14:paraId="47AE922F" w14:textId="146825CA" w:rsidR="005630E5" w:rsidRDefault="003D3BB6" w:rsidP="009A312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Zvaigznītis</w:t>
      </w:r>
    </w:p>
    <w:p w14:paraId="2FF7C9A8" w14:textId="0F2AE89F" w:rsidR="009A312E" w:rsidRPr="0057709B" w:rsidRDefault="009A312E" w:rsidP="009A312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670131</w:t>
      </w:r>
      <w:r w:rsidR="003D3BB6">
        <w:rPr>
          <w:rFonts w:ascii="Times New Roman" w:eastAsia="Times New Roman" w:hAnsi="Times New Roman"/>
          <w:sz w:val="20"/>
          <w:szCs w:val="20"/>
        </w:rPr>
        <w:t>7</w:t>
      </w:r>
      <w:r w:rsidRPr="0057709B">
        <w:rPr>
          <w:rFonts w:ascii="Times New Roman" w:eastAsia="Times New Roman" w:hAnsi="Times New Roman"/>
          <w:sz w:val="20"/>
          <w:szCs w:val="20"/>
        </w:rPr>
        <w:t>1</w:t>
      </w:r>
    </w:p>
    <w:p w14:paraId="5000099F" w14:textId="3928FBB1" w:rsidR="009A312E" w:rsidRPr="008B78B2" w:rsidRDefault="005630E5" w:rsidP="009A312E">
      <w:pPr>
        <w:widowControl w:val="0"/>
        <w:spacing w:after="0" w:line="240" w:lineRule="auto"/>
        <w:jc w:val="both"/>
        <w:rPr>
          <w:rFonts w:ascii="Times New Roman" w:hAnsi="Times New Roman"/>
          <w:sz w:val="20"/>
          <w:szCs w:val="20"/>
        </w:rPr>
      </w:pPr>
      <w:r>
        <w:rPr>
          <w:rFonts w:ascii="Times New Roman" w:eastAsia="Times New Roman" w:hAnsi="Times New Roman"/>
          <w:sz w:val="20"/>
          <w:szCs w:val="20"/>
        </w:rPr>
        <w:t>K</w:t>
      </w:r>
      <w:r w:rsidR="003D3BB6">
        <w:rPr>
          <w:rFonts w:ascii="Times New Roman" w:eastAsia="Times New Roman" w:hAnsi="Times New Roman"/>
          <w:sz w:val="20"/>
          <w:szCs w:val="20"/>
        </w:rPr>
        <w:t>ristaps.Zvaigznitis</w:t>
      </w:r>
      <w:r w:rsidR="009A312E" w:rsidRPr="0057709B">
        <w:rPr>
          <w:rFonts w:ascii="Times New Roman" w:eastAsia="Times New Roman" w:hAnsi="Times New Roman"/>
          <w:sz w:val="20"/>
          <w:szCs w:val="20"/>
        </w:rPr>
        <w:t>@em.gov.lv</w:t>
      </w:r>
    </w:p>
    <w:p w14:paraId="2C7DFF91" w14:textId="587F2CA7" w:rsidR="002319EF" w:rsidRDefault="002319EF"/>
    <w:p w14:paraId="4F503A51" w14:textId="77777777" w:rsidR="002319EF" w:rsidRPr="002319EF" w:rsidRDefault="002319EF" w:rsidP="002319EF"/>
    <w:p w14:paraId="21E0F59C" w14:textId="51F48B41" w:rsidR="002319EF" w:rsidRDefault="002319EF" w:rsidP="002319EF"/>
    <w:p w14:paraId="2D8F2238" w14:textId="3CDFF6B5" w:rsidR="000F72AE" w:rsidRPr="002319EF" w:rsidRDefault="002319EF" w:rsidP="002319EF">
      <w:pPr>
        <w:tabs>
          <w:tab w:val="left" w:pos="3315"/>
        </w:tabs>
      </w:pPr>
      <w:r>
        <w:tab/>
      </w:r>
    </w:p>
    <w:sectPr w:rsidR="000F72AE" w:rsidRPr="002319EF" w:rsidSect="0024287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CC5DC" w16cid:durableId="1DAD8EF0"/>
  <w16cid:commentId w16cid:paraId="45AF7590" w16cid:durableId="1DB6B145"/>
  <w16cid:commentId w16cid:paraId="53B8D4E8" w16cid:durableId="1DAEA374"/>
  <w16cid:commentId w16cid:paraId="6DC196E5" w16cid:durableId="1DB6B147"/>
  <w16cid:commentId w16cid:paraId="4325C296" w16cid:durableId="1DB6BD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F97E" w14:textId="77777777" w:rsidR="00DD365A" w:rsidRDefault="00DD365A">
      <w:pPr>
        <w:spacing w:after="0" w:line="240" w:lineRule="auto"/>
      </w:pPr>
      <w:r>
        <w:separator/>
      </w:r>
    </w:p>
  </w:endnote>
  <w:endnote w:type="continuationSeparator" w:id="0">
    <w:p w14:paraId="12E98874" w14:textId="77777777" w:rsidR="00DD365A" w:rsidRDefault="00DD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D7E3" w14:textId="6602798A"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5630E5">
      <w:rPr>
        <w:rFonts w:ascii="Times New Roman" w:eastAsia="Times New Roman" w:hAnsi="Times New Roman"/>
        <w:noProof/>
        <w:sz w:val="20"/>
        <w:szCs w:val="20"/>
        <w:lang w:eastAsia="lv-LV"/>
      </w:rPr>
      <w:t>EMAnot_02112017_Groz534</w:t>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AA1" w14:textId="0A7AAD45"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7E400F">
      <w:rPr>
        <w:rFonts w:ascii="Times New Roman" w:eastAsia="Times New Roman" w:hAnsi="Times New Roman"/>
        <w:noProof/>
        <w:sz w:val="20"/>
        <w:szCs w:val="20"/>
        <w:lang w:eastAsia="lv-LV"/>
      </w:rPr>
      <w:t>EMAnot_16112017_Groz534</w:t>
    </w:r>
    <w:r w:rsidRPr="007563C2">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148B" w14:textId="77777777" w:rsidR="00DD365A" w:rsidRDefault="00DD365A">
      <w:pPr>
        <w:spacing w:after="0" w:line="240" w:lineRule="auto"/>
      </w:pPr>
      <w:r>
        <w:separator/>
      </w:r>
    </w:p>
  </w:footnote>
  <w:footnote w:type="continuationSeparator" w:id="0">
    <w:p w14:paraId="51B8C031" w14:textId="77777777" w:rsidR="00DD365A" w:rsidRDefault="00DD3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7713" w14:textId="34342724" w:rsidR="00A53057" w:rsidRDefault="007B3495">
    <w:pPr>
      <w:pStyle w:val="Header"/>
      <w:jc w:val="center"/>
    </w:pPr>
    <w:r>
      <w:fldChar w:fldCharType="begin"/>
    </w:r>
    <w:r>
      <w:instrText xml:space="preserve"> PAGE   \* MERGEFORMAT </w:instrText>
    </w:r>
    <w:r>
      <w:fldChar w:fldCharType="separate"/>
    </w:r>
    <w:r w:rsidR="003E1F77">
      <w:rPr>
        <w:noProof/>
      </w:rPr>
      <w:t>5</w:t>
    </w:r>
    <w:r>
      <w:rPr>
        <w:noProof/>
      </w:rPr>
      <w:fldChar w:fldCharType="end"/>
    </w:r>
  </w:p>
  <w:p w14:paraId="7E32D89C" w14:textId="77777777" w:rsidR="00A53057" w:rsidRDefault="003E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6DC5"/>
    <w:rsid w:val="000318AE"/>
    <w:rsid w:val="0004420B"/>
    <w:rsid w:val="000B4FA8"/>
    <w:rsid w:val="000E5AA6"/>
    <w:rsid w:val="000F72AE"/>
    <w:rsid w:val="00101DB2"/>
    <w:rsid w:val="0010496B"/>
    <w:rsid w:val="00115BD6"/>
    <w:rsid w:val="001243B9"/>
    <w:rsid w:val="001305B9"/>
    <w:rsid w:val="001312A1"/>
    <w:rsid w:val="0015517D"/>
    <w:rsid w:val="00164527"/>
    <w:rsid w:val="00164E69"/>
    <w:rsid w:val="00196785"/>
    <w:rsid w:val="001A67CD"/>
    <w:rsid w:val="001A6DE0"/>
    <w:rsid w:val="001C4BBF"/>
    <w:rsid w:val="001D209B"/>
    <w:rsid w:val="001F1B7D"/>
    <w:rsid w:val="001F44B8"/>
    <w:rsid w:val="002319EF"/>
    <w:rsid w:val="00244FFB"/>
    <w:rsid w:val="002733DE"/>
    <w:rsid w:val="00276DA9"/>
    <w:rsid w:val="002A1C23"/>
    <w:rsid w:val="002B28B8"/>
    <w:rsid w:val="002E1F44"/>
    <w:rsid w:val="002F10D3"/>
    <w:rsid w:val="003123AC"/>
    <w:rsid w:val="0033091B"/>
    <w:rsid w:val="00336B4E"/>
    <w:rsid w:val="00390E8D"/>
    <w:rsid w:val="00397AC2"/>
    <w:rsid w:val="003D205C"/>
    <w:rsid w:val="003D3BB6"/>
    <w:rsid w:val="003E1F77"/>
    <w:rsid w:val="00405E29"/>
    <w:rsid w:val="0041103E"/>
    <w:rsid w:val="0042491D"/>
    <w:rsid w:val="00460FE5"/>
    <w:rsid w:val="004763A8"/>
    <w:rsid w:val="0049163F"/>
    <w:rsid w:val="004B11BD"/>
    <w:rsid w:val="004C44CD"/>
    <w:rsid w:val="004E0FE2"/>
    <w:rsid w:val="0050427E"/>
    <w:rsid w:val="00536D5A"/>
    <w:rsid w:val="005439AB"/>
    <w:rsid w:val="00551783"/>
    <w:rsid w:val="00560866"/>
    <w:rsid w:val="005630E5"/>
    <w:rsid w:val="0056492C"/>
    <w:rsid w:val="00587678"/>
    <w:rsid w:val="0059104A"/>
    <w:rsid w:val="005A0A82"/>
    <w:rsid w:val="005A1673"/>
    <w:rsid w:val="005B5BEB"/>
    <w:rsid w:val="005C1C05"/>
    <w:rsid w:val="005E1B08"/>
    <w:rsid w:val="005E272D"/>
    <w:rsid w:val="00605F9E"/>
    <w:rsid w:val="00606264"/>
    <w:rsid w:val="006272F2"/>
    <w:rsid w:val="006460D7"/>
    <w:rsid w:val="00666251"/>
    <w:rsid w:val="00667785"/>
    <w:rsid w:val="00676665"/>
    <w:rsid w:val="006810E0"/>
    <w:rsid w:val="006876EB"/>
    <w:rsid w:val="006A30B4"/>
    <w:rsid w:val="006B3E89"/>
    <w:rsid w:val="006D3730"/>
    <w:rsid w:val="006D5F4A"/>
    <w:rsid w:val="006D7ED9"/>
    <w:rsid w:val="006E1CC9"/>
    <w:rsid w:val="0070163B"/>
    <w:rsid w:val="0074295E"/>
    <w:rsid w:val="00744E9C"/>
    <w:rsid w:val="00777603"/>
    <w:rsid w:val="007A108E"/>
    <w:rsid w:val="007B3495"/>
    <w:rsid w:val="007C3465"/>
    <w:rsid w:val="007E400F"/>
    <w:rsid w:val="00807582"/>
    <w:rsid w:val="00817E08"/>
    <w:rsid w:val="00850193"/>
    <w:rsid w:val="00861701"/>
    <w:rsid w:val="008B23A8"/>
    <w:rsid w:val="008B5ED6"/>
    <w:rsid w:val="008C4C6D"/>
    <w:rsid w:val="008F1587"/>
    <w:rsid w:val="008F257A"/>
    <w:rsid w:val="008F7393"/>
    <w:rsid w:val="0090361D"/>
    <w:rsid w:val="00915852"/>
    <w:rsid w:val="00927E8B"/>
    <w:rsid w:val="009440D7"/>
    <w:rsid w:val="00966B6C"/>
    <w:rsid w:val="009A312E"/>
    <w:rsid w:val="009B68F6"/>
    <w:rsid w:val="009F13DA"/>
    <w:rsid w:val="009F5B84"/>
    <w:rsid w:val="00A01391"/>
    <w:rsid w:val="00A133DF"/>
    <w:rsid w:val="00A1429A"/>
    <w:rsid w:val="00A2193A"/>
    <w:rsid w:val="00A2526D"/>
    <w:rsid w:val="00A44DBD"/>
    <w:rsid w:val="00A6259F"/>
    <w:rsid w:val="00A67EE3"/>
    <w:rsid w:val="00AA7956"/>
    <w:rsid w:val="00AB0B37"/>
    <w:rsid w:val="00AB2C1B"/>
    <w:rsid w:val="00AB40C4"/>
    <w:rsid w:val="00AC0047"/>
    <w:rsid w:val="00AC3BF5"/>
    <w:rsid w:val="00AE10A7"/>
    <w:rsid w:val="00B07BB3"/>
    <w:rsid w:val="00B2343F"/>
    <w:rsid w:val="00B27579"/>
    <w:rsid w:val="00B32CA1"/>
    <w:rsid w:val="00B33F0A"/>
    <w:rsid w:val="00B4109B"/>
    <w:rsid w:val="00B43025"/>
    <w:rsid w:val="00B57DDB"/>
    <w:rsid w:val="00B7178A"/>
    <w:rsid w:val="00B742CC"/>
    <w:rsid w:val="00B7752B"/>
    <w:rsid w:val="00B8037C"/>
    <w:rsid w:val="00B94698"/>
    <w:rsid w:val="00BA075C"/>
    <w:rsid w:val="00BB3056"/>
    <w:rsid w:val="00BC1915"/>
    <w:rsid w:val="00BE4388"/>
    <w:rsid w:val="00BF332A"/>
    <w:rsid w:val="00C03A89"/>
    <w:rsid w:val="00C074FB"/>
    <w:rsid w:val="00C1009E"/>
    <w:rsid w:val="00C113C2"/>
    <w:rsid w:val="00C4560B"/>
    <w:rsid w:val="00C6181C"/>
    <w:rsid w:val="00C67E4B"/>
    <w:rsid w:val="00C96EA1"/>
    <w:rsid w:val="00CA115C"/>
    <w:rsid w:val="00CA6220"/>
    <w:rsid w:val="00CA7A80"/>
    <w:rsid w:val="00CB166C"/>
    <w:rsid w:val="00CB2925"/>
    <w:rsid w:val="00CC6E1B"/>
    <w:rsid w:val="00CD38CB"/>
    <w:rsid w:val="00CE1E1D"/>
    <w:rsid w:val="00CE3D70"/>
    <w:rsid w:val="00D61012"/>
    <w:rsid w:val="00D644C0"/>
    <w:rsid w:val="00D67976"/>
    <w:rsid w:val="00D747D8"/>
    <w:rsid w:val="00DD11B5"/>
    <w:rsid w:val="00DD2519"/>
    <w:rsid w:val="00DD365A"/>
    <w:rsid w:val="00DD7C9C"/>
    <w:rsid w:val="00DF1FB1"/>
    <w:rsid w:val="00DF62F1"/>
    <w:rsid w:val="00E04395"/>
    <w:rsid w:val="00E3578E"/>
    <w:rsid w:val="00E4106B"/>
    <w:rsid w:val="00E42C2F"/>
    <w:rsid w:val="00E66395"/>
    <w:rsid w:val="00E6704D"/>
    <w:rsid w:val="00E86AA4"/>
    <w:rsid w:val="00E8770C"/>
    <w:rsid w:val="00EB67CA"/>
    <w:rsid w:val="00EB7215"/>
    <w:rsid w:val="00EE7C8B"/>
    <w:rsid w:val="00F11E6B"/>
    <w:rsid w:val="00F214BB"/>
    <w:rsid w:val="00F21A78"/>
    <w:rsid w:val="00F40204"/>
    <w:rsid w:val="00F528C9"/>
    <w:rsid w:val="00F55331"/>
    <w:rsid w:val="00F628CC"/>
    <w:rsid w:val="00F648C4"/>
    <w:rsid w:val="00F76002"/>
    <w:rsid w:val="00F838D5"/>
    <w:rsid w:val="00F845E2"/>
    <w:rsid w:val="00FA328A"/>
    <w:rsid w:val="00FA4B15"/>
    <w:rsid w:val="00FB6F01"/>
    <w:rsid w:val="00FC7E42"/>
    <w:rsid w:val="00FD68CD"/>
    <w:rsid w:val="00FE0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1277</Words>
  <Characters>9090</Characters>
  <Application>Microsoft Office Word</Application>
  <DocSecurity>0</DocSecurity>
  <Lines>259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Zvaigznītis</dc:creator>
  <cp:keywords/>
  <dc:description/>
  <cp:lastModifiedBy>Kristaps Zvaigznītis</cp:lastModifiedBy>
  <cp:revision>13</cp:revision>
  <dcterms:created xsi:type="dcterms:W3CDTF">2017-11-15T07:24:00Z</dcterms:created>
  <dcterms:modified xsi:type="dcterms:W3CDTF">2017-11-16T12:53:00Z</dcterms:modified>
</cp:coreProperties>
</file>