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3D854" w14:textId="678AD76D" w:rsidR="0014572D" w:rsidRPr="003B6836" w:rsidRDefault="0014572D" w:rsidP="0014572D">
      <w:pPr>
        <w:jc w:val="center"/>
        <w:rPr>
          <w:b/>
        </w:rPr>
      </w:pPr>
      <w:r w:rsidRPr="00B51894">
        <w:rPr>
          <w:b/>
        </w:rPr>
        <w:t xml:space="preserve">Ministru kabineta rīkojuma projekta </w:t>
      </w:r>
      <w:r>
        <w:rPr>
          <w:b/>
        </w:rPr>
        <w:t>“</w:t>
      </w:r>
      <w:r w:rsidRPr="00961B16">
        <w:rPr>
          <w:b/>
        </w:rPr>
        <w:t xml:space="preserve">Par informācijas sabiedrības attīstības pamatnostādņu ieviešanu publiskās pārvaldes informācijas </w:t>
      </w:r>
      <w:r>
        <w:rPr>
          <w:b/>
        </w:rPr>
        <w:t>sistēmu jomā (</w:t>
      </w:r>
      <w:proofErr w:type="spellStart"/>
      <w:r>
        <w:rPr>
          <w:b/>
        </w:rPr>
        <w:t>mērķarhitektūras</w:t>
      </w:r>
      <w:proofErr w:type="spellEnd"/>
      <w:r>
        <w:rPr>
          <w:b/>
        </w:rPr>
        <w:t xml:space="preserve"> </w:t>
      </w:r>
      <w:r w:rsidR="00852D36" w:rsidRPr="00852D36">
        <w:rPr>
          <w:b/>
        </w:rPr>
        <w:t>32.00</w:t>
      </w:r>
      <w:r w:rsidR="003C04D9" w:rsidRPr="00852D36">
        <w:rPr>
          <w:b/>
        </w:rPr>
        <w:t xml:space="preserve"> </w:t>
      </w:r>
      <w:r w:rsidRPr="009B206B">
        <w:rPr>
          <w:b/>
        </w:rPr>
        <w:t>versija</w:t>
      </w:r>
      <w:r w:rsidRPr="00400ADD">
        <w:rPr>
          <w:b/>
        </w:rPr>
        <w:t xml:space="preserve"> </w:t>
      </w:r>
      <w:r w:rsidRPr="003B6836">
        <w:rPr>
          <w:b/>
        </w:rPr>
        <w:t>- “</w:t>
      </w:r>
      <w:r w:rsidR="00F870AE" w:rsidRPr="00F870AE">
        <w:rPr>
          <w:b/>
        </w:rPr>
        <w:t>Latvijas eksporta un investīciju informācijas sistēma</w:t>
      </w:r>
      <w:r w:rsidRPr="003B6836">
        <w:rPr>
          <w:b/>
        </w:rPr>
        <w:t>”)</w:t>
      </w:r>
      <w:r>
        <w:rPr>
          <w:b/>
        </w:rPr>
        <w:t>”</w:t>
      </w:r>
      <w:r w:rsidRPr="003B6836">
        <w:rPr>
          <w:b/>
        </w:rPr>
        <w:t xml:space="preserve"> sākotnējās ietekmes novērtējuma ziņojums (anotācija) </w:t>
      </w:r>
    </w:p>
    <w:p w14:paraId="31B3D855" w14:textId="77777777" w:rsidR="0014572D" w:rsidRPr="005E0196" w:rsidRDefault="0014572D" w:rsidP="0014572D">
      <w:pPr>
        <w:jc w:val="center"/>
        <w:rPr>
          <w:lang w:eastAsia="en-US"/>
        </w:rPr>
      </w:pPr>
    </w:p>
    <w:tbl>
      <w:tblPr>
        <w:tblpPr w:leftFromText="180" w:rightFromText="180" w:vertAnchor="text" w:tblpXSpec="right" w:tblpY="1"/>
        <w:tblOverlap w:val="never"/>
        <w:tblW w:w="9343"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533"/>
        <w:gridCol w:w="1942"/>
        <w:gridCol w:w="6853"/>
        <w:gridCol w:w="15"/>
      </w:tblGrid>
      <w:tr w:rsidR="0014572D" w:rsidRPr="005E0196" w14:paraId="31B3D857" w14:textId="77777777" w:rsidTr="00934748">
        <w:trPr>
          <w:gridAfter w:val="1"/>
          <w:wAfter w:w="15" w:type="dxa"/>
          <w:trHeight w:val="557"/>
          <w:tblCellSpacing w:w="0" w:type="dxa"/>
        </w:trPr>
        <w:tc>
          <w:tcPr>
            <w:tcW w:w="9328" w:type="dxa"/>
            <w:gridSpan w:val="3"/>
            <w:tcBorders>
              <w:top w:val="outset" w:sz="6" w:space="0" w:color="auto"/>
              <w:left w:val="outset" w:sz="6" w:space="0" w:color="auto"/>
              <w:bottom w:val="outset" w:sz="6" w:space="0" w:color="auto"/>
              <w:right w:val="outset" w:sz="6" w:space="0" w:color="auto"/>
            </w:tcBorders>
            <w:vAlign w:val="center"/>
          </w:tcPr>
          <w:p w14:paraId="31B3D856" w14:textId="77777777" w:rsidR="0014572D" w:rsidRPr="005E0196" w:rsidRDefault="0014572D">
            <w:pPr>
              <w:jc w:val="center"/>
              <w:rPr>
                <w:lang w:eastAsia="en-US"/>
              </w:rPr>
            </w:pPr>
            <w:r w:rsidRPr="005E0196">
              <w:rPr>
                <w:b/>
                <w:bCs/>
                <w:lang w:eastAsia="en-US"/>
              </w:rPr>
              <w:t xml:space="preserve"> I. </w:t>
            </w:r>
            <w:r>
              <w:rPr>
                <w:b/>
                <w:bCs/>
                <w:lang w:eastAsia="en-US"/>
              </w:rPr>
              <w:t>Tiesību akta</w:t>
            </w:r>
            <w:r w:rsidRPr="005E0196">
              <w:rPr>
                <w:b/>
                <w:bCs/>
                <w:lang w:eastAsia="en-US"/>
              </w:rPr>
              <w:t xml:space="preserve"> izstrādes nepieciešamība</w:t>
            </w:r>
          </w:p>
        </w:tc>
      </w:tr>
      <w:tr w:rsidR="0014572D" w:rsidRPr="005E0196" w14:paraId="31B3D85D" w14:textId="77777777" w:rsidTr="00934748">
        <w:trPr>
          <w:trHeight w:val="271"/>
          <w:tblCellSpacing w:w="0" w:type="dxa"/>
        </w:trPr>
        <w:tc>
          <w:tcPr>
            <w:tcW w:w="533" w:type="dxa"/>
            <w:tcBorders>
              <w:top w:val="outset" w:sz="6" w:space="0" w:color="auto"/>
              <w:left w:val="outset" w:sz="6" w:space="0" w:color="auto"/>
              <w:bottom w:val="outset" w:sz="6" w:space="0" w:color="auto"/>
              <w:right w:val="outset" w:sz="6" w:space="0" w:color="auto"/>
            </w:tcBorders>
          </w:tcPr>
          <w:p w14:paraId="31B3D858" w14:textId="77777777" w:rsidR="0014572D" w:rsidRPr="005E0196" w:rsidRDefault="0014572D">
            <w:pPr>
              <w:rPr>
                <w:lang w:eastAsia="en-US"/>
              </w:rPr>
            </w:pPr>
            <w:r w:rsidRPr="005E0196">
              <w:rPr>
                <w:lang w:eastAsia="en-US"/>
              </w:rPr>
              <w:t> 1.</w:t>
            </w:r>
          </w:p>
        </w:tc>
        <w:tc>
          <w:tcPr>
            <w:tcW w:w="1942" w:type="dxa"/>
            <w:tcBorders>
              <w:top w:val="outset" w:sz="6" w:space="0" w:color="auto"/>
              <w:left w:val="outset" w:sz="6" w:space="0" w:color="auto"/>
              <w:bottom w:val="outset" w:sz="6" w:space="0" w:color="auto"/>
              <w:right w:val="outset" w:sz="6" w:space="0" w:color="auto"/>
            </w:tcBorders>
          </w:tcPr>
          <w:p w14:paraId="31B3D859" w14:textId="77777777" w:rsidR="0014572D" w:rsidRPr="005E0196" w:rsidRDefault="0014572D">
            <w:pPr>
              <w:rPr>
                <w:lang w:eastAsia="en-US"/>
              </w:rPr>
            </w:pPr>
            <w:r w:rsidRPr="005E0196">
              <w:rPr>
                <w:lang w:eastAsia="en-US"/>
              </w:rPr>
              <w:t>Pamatojums</w:t>
            </w:r>
          </w:p>
        </w:tc>
        <w:tc>
          <w:tcPr>
            <w:tcW w:w="6868" w:type="dxa"/>
            <w:gridSpan w:val="2"/>
            <w:tcBorders>
              <w:top w:val="outset" w:sz="6" w:space="0" w:color="auto"/>
              <w:left w:val="outset" w:sz="6" w:space="0" w:color="auto"/>
              <w:bottom w:val="outset" w:sz="6" w:space="0" w:color="auto"/>
              <w:right w:val="outset" w:sz="6" w:space="0" w:color="auto"/>
            </w:tcBorders>
          </w:tcPr>
          <w:p w14:paraId="31B3D85A" w14:textId="77777777" w:rsidR="0014572D" w:rsidRPr="007B36D5" w:rsidRDefault="0014572D">
            <w:pPr>
              <w:numPr>
                <w:ilvl w:val="0"/>
                <w:numId w:val="1"/>
              </w:numPr>
              <w:ind w:right="212"/>
              <w:jc w:val="both"/>
            </w:pPr>
            <w:r w:rsidRPr="007B36D5">
              <w:t xml:space="preserve">Ministru kabineta </w:t>
            </w:r>
            <w:r>
              <w:t xml:space="preserve">(turpmāk – MK) </w:t>
            </w:r>
            <w:r w:rsidRPr="007B36D5">
              <w:t xml:space="preserve">2015. gada 17. novembra noteikumu Nr. 653 “Darbības programmas “Izaugsme un nodarbinātība” 2.2.1. specifiskā atbalsta mērķa “Nodrošināt publisko datu </w:t>
            </w:r>
            <w:proofErr w:type="spellStart"/>
            <w:r w:rsidRPr="007B36D5">
              <w:t>atkalizmantošanas</w:t>
            </w:r>
            <w:proofErr w:type="spellEnd"/>
            <w:r w:rsidRPr="007B36D5">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w:t>
            </w:r>
            <w:r>
              <w:br/>
              <w:t>4.</w:t>
            </w:r>
            <w:r w:rsidRPr="007B36D5">
              <w:t>punkts un 13.2.apakšpunkts.</w:t>
            </w:r>
          </w:p>
          <w:p w14:paraId="31B3D85B" w14:textId="77777777" w:rsidR="0014572D" w:rsidRPr="007B36D5" w:rsidRDefault="0014572D">
            <w:pPr>
              <w:numPr>
                <w:ilvl w:val="0"/>
                <w:numId w:val="1"/>
              </w:numPr>
              <w:suppressAutoHyphens/>
              <w:ind w:right="210"/>
              <w:jc w:val="both"/>
              <w:rPr>
                <w:lang w:eastAsia="zh-CN"/>
              </w:rPr>
            </w:pPr>
            <w:r w:rsidRPr="007B36D5">
              <w:t xml:space="preserve">Deklarācijas par Māra Kučinska vadītā </w:t>
            </w:r>
            <w:r>
              <w:t>MK</w:t>
            </w:r>
            <w:r w:rsidRPr="007B36D5">
              <w:t xml:space="preserve"> iecerēto darbību 35 uzdevums “Nodrošināsim IKT publisko investīciju un e</w:t>
            </w:r>
            <w:r>
              <w:noBreakHyphen/>
            </w:r>
            <w:r w:rsidRPr="007B36D5">
              <w:t xml:space="preserve">pakalpojumu orientāciju uz jaunu produktu un pakalpojumu veidošanu un </w:t>
            </w:r>
            <w:proofErr w:type="spellStart"/>
            <w:r w:rsidRPr="007B36D5">
              <w:t>komercializāciju</w:t>
            </w:r>
            <w:proofErr w:type="spellEnd"/>
            <w:r w:rsidRPr="007B36D5">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14:paraId="31B3D85C" w14:textId="77777777" w:rsidR="0014572D" w:rsidRPr="007B36D5" w:rsidRDefault="0014572D">
            <w:pPr>
              <w:numPr>
                <w:ilvl w:val="0"/>
                <w:numId w:val="1"/>
              </w:numPr>
              <w:suppressAutoHyphens/>
              <w:ind w:right="210"/>
              <w:jc w:val="both"/>
            </w:pPr>
            <w:r>
              <w:rPr>
                <w:lang w:eastAsia="zh-CN"/>
              </w:rPr>
              <w:t>MK</w:t>
            </w:r>
            <w:r w:rsidRPr="007B36D5">
              <w:rPr>
                <w:lang w:eastAsia="zh-CN"/>
              </w:rPr>
              <w:t xml:space="preserve"> 2016.gada 10. februāra rīkojuma Nr.136 “Par informācijas sabiedrības attīstības pamatnostādņu ieviešanu publiskās pārvaldes info</w:t>
            </w:r>
            <w:r>
              <w:rPr>
                <w:lang w:eastAsia="zh-CN"/>
              </w:rPr>
              <w:t>rmācijas sistēmu jomā” 4.</w:t>
            </w:r>
            <w:r w:rsidR="002416A3" w:rsidRPr="002416A3">
              <w:rPr>
                <w:vertAlign w:val="superscript"/>
                <w:lang w:eastAsia="zh-CN"/>
              </w:rPr>
              <w:t>1</w:t>
            </w:r>
            <w:r>
              <w:rPr>
                <w:lang w:eastAsia="zh-CN"/>
              </w:rPr>
              <w:t>punkts.</w:t>
            </w:r>
          </w:p>
        </w:tc>
      </w:tr>
      <w:tr w:rsidR="0014572D" w:rsidRPr="005E0196" w14:paraId="31B3D895" w14:textId="77777777" w:rsidTr="00934748">
        <w:trPr>
          <w:trHeight w:val="1545"/>
          <w:tblCellSpacing w:w="0" w:type="dxa"/>
        </w:trPr>
        <w:tc>
          <w:tcPr>
            <w:tcW w:w="533" w:type="dxa"/>
            <w:tcBorders>
              <w:top w:val="outset" w:sz="6" w:space="0" w:color="auto"/>
              <w:left w:val="outset" w:sz="6" w:space="0" w:color="auto"/>
              <w:bottom w:val="outset" w:sz="6" w:space="0" w:color="auto"/>
              <w:right w:val="outset" w:sz="6" w:space="0" w:color="auto"/>
            </w:tcBorders>
          </w:tcPr>
          <w:p w14:paraId="31B3D85E" w14:textId="77777777" w:rsidR="0014572D" w:rsidRPr="005E0196" w:rsidRDefault="0014572D">
            <w:pPr>
              <w:rPr>
                <w:lang w:eastAsia="en-US"/>
              </w:rPr>
            </w:pPr>
            <w:r w:rsidRPr="005E0196">
              <w:rPr>
                <w:lang w:eastAsia="en-US"/>
              </w:rPr>
              <w:t> 2.</w:t>
            </w:r>
          </w:p>
        </w:tc>
        <w:tc>
          <w:tcPr>
            <w:tcW w:w="1942" w:type="dxa"/>
            <w:tcBorders>
              <w:top w:val="outset" w:sz="6" w:space="0" w:color="auto"/>
              <w:left w:val="outset" w:sz="6" w:space="0" w:color="auto"/>
              <w:bottom w:val="outset" w:sz="6" w:space="0" w:color="auto"/>
              <w:right w:val="outset" w:sz="6" w:space="0" w:color="auto"/>
            </w:tcBorders>
          </w:tcPr>
          <w:p w14:paraId="31B3D85F" w14:textId="77777777" w:rsidR="0014572D" w:rsidRPr="005E0196" w:rsidRDefault="0014572D">
            <w:pPr>
              <w:rPr>
                <w:lang w:eastAsia="en-US"/>
              </w:rPr>
            </w:pPr>
            <w:r w:rsidRPr="005E0196">
              <w:rPr>
                <w:lang w:eastAsia="en-US"/>
              </w:rPr>
              <w:t>Pašreizējā situācija un problēmas, kuru risināšanai tiesību akta projekts izstrādāts, tiesiskā regulējuma mērķis un būtība</w:t>
            </w:r>
          </w:p>
        </w:tc>
        <w:tc>
          <w:tcPr>
            <w:tcW w:w="6868" w:type="dxa"/>
            <w:gridSpan w:val="2"/>
            <w:tcBorders>
              <w:top w:val="outset" w:sz="6" w:space="0" w:color="auto"/>
              <w:left w:val="outset" w:sz="6" w:space="0" w:color="auto"/>
              <w:bottom w:val="outset" w:sz="6" w:space="0" w:color="auto"/>
              <w:right w:val="outset" w:sz="6" w:space="0" w:color="auto"/>
            </w:tcBorders>
          </w:tcPr>
          <w:p w14:paraId="31B3D860" w14:textId="7760DC69" w:rsidR="0014572D" w:rsidRPr="00F533C1" w:rsidRDefault="0014572D" w:rsidP="00E57BAE">
            <w:pPr>
              <w:pStyle w:val="VPBody"/>
              <w:spacing w:after="0" w:line="240" w:lineRule="auto"/>
              <w:jc w:val="both"/>
              <w:rPr>
                <w:highlight w:val="yellow"/>
              </w:rPr>
            </w:pPr>
            <w:r w:rsidRPr="007B36D5">
              <w:t xml:space="preserve">Ar </w:t>
            </w:r>
            <w:r>
              <w:t>MK</w:t>
            </w:r>
            <w:r w:rsidRPr="007B36D5">
              <w:t xml:space="preserve"> rīkojuma projektu tiek apstiprināts un iekļauts informācijas un komunikāciju tehnoloģiju (turpmāk – IKT) </w:t>
            </w:r>
            <w:proofErr w:type="spellStart"/>
            <w:r w:rsidRPr="007B36D5">
              <w:t>mērķarhitektūras</w:t>
            </w:r>
            <w:proofErr w:type="spellEnd"/>
            <w:r w:rsidRPr="007B36D5">
              <w:t xml:space="preserve"> </w:t>
            </w:r>
            <w:r w:rsidR="00852D36">
              <w:rPr>
                <w:b/>
              </w:rPr>
              <w:t>32.00</w:t>
            </w:r>
            <w:r w:rsidR="003C04D9">
              <w:rPr>
                <w:b/>
              </w:rPr>
              <w:t xml:space="preserve"> </w:t>
            </w:r>
            <w:r w:rsidRPr="007B355D">
              <w:t xml:space="preserve">versijā  </w:t>
            </w:r>
            <w:r w:rsidRPr="007B36D5">
              <w:t>projekta apraksts “</w:t>
            </w:r>
            <w:r w:rsidR="00FD7F6C" w:rsidRPr="00FD7F6C">
              <w:rPr>
                <w:b/>
              </w:rPr>
              <w:t>Latvijas eksporta un investīciju informācijas sistēma</w:t>
            </w:r>
            <w:r>
              <w:t xml:space="preserve">” </w:t>
            </w:r>
            <w:r w:rsidR="004E1D0E">
              <w:t>(turpmāk</w:t>
            </w:r>
            <w:r w:rsidRPr="007E354B">
              <w:t>–</w:t>
            </w:r>
            <w:r w:rsidRPr="00CE4498">
              <w:t>Projekts</w:t>
            </w:r>
            <w:r w:rsidRPr="007E354B">
              <w:t xml:space="preserve">), kas tika izvērtēts atbilstoši Vides aizsardzības un reģionālās attīstības ministrijas (turpmāk – VARAM) izstrādātajai un apstiprinātajai metodikai par projektu iekļaušanu IKT </w:t>
            </w:r>
            <w:proofErr w:type="spellStart"/>
            <w:r w:rsidRPr="007E354B">
              <w:t>mērķarhitektūrā</w:t>
            </w:r>
            <w:proofErr w:type="spellEnd"/>
            <w:r w:rsidRPr="007E354B">
              <w:t>.</w:t>
            </w:r>
          </w:p>
          <w:p w14:paraId="31B3D861" w14:textId="74B404A1" w:rsidR="0014572D" w:rsidRPr="001D6130" w:rsidRDefault="0014572D" w:rsidP="00E57BAE">
            <w:pPr>
              <w:pStyle w:val="VPBody"/>
              <w:spacing w:after="0" w:line="240" w:lineRule="auto"/>
              <w:jc w:val="both"/>
              <w:rPr>
                <w:b/>
                <w:bCs/>
                <w:color w:val="000000" w:themeColor="text1"/>
              </w:rPr>
            </w:pPr>
            <w:r w:rsidRPr="007E354B">
              <w:t xml:space="preserve">VARAM ir </w:t>
            </w:r>
            <w:r w:rsidRPr="00362A17">
              <w:t xml:space="preserve">atbalstījis Projekta iekļaušanu IKT </w:t>
            </w:r>
            <w:proofErr w:type="spellStart"/>
            <w:r w:rsidRPr="00362A17">
              <w:t>mērķarhitektūras</w:t>
            </w:r>
            <w:proofErr w:type="spellEnd"/>
            <w:r w:rsidRPr="00362A17">
              <w:t xml:space="preserve"> kārtējā versijā. Projekts veicina darbības</w:t>
            </w:r>
            <w:r w:rsidRPr="00195F57">
              <w:t xml:space="preserve"> programmas “Izaugsme un nodarbinātība” specifiskā atbalsta mērķa “Nodrošināt publisko datu </w:t>
            </w:r>
            <w:proofErr w:type="spellStart"/>
            <w:r w:rsidRPr="00195F57">
              <w:t>atkalizmantošanas</w:t>
            </w:r>
            <w:proofErr w:type="spellEnd"/>
            <w:r w:rsidRPr="00195F57">
              <w:t xml:space="preserve"> pieaugumu un efektīvu publiskās pārvaldes un privātā sektora mijiedarbību” 2.2.1.1. pasākumam “Centralizētu publiskās pārvaldes IKT platformu izveide, publiskās pārvaldes procesu optimizēšana un attīstība” izvirzīto rādītāju sasniegšanu, </w:t>
            </w:r>
            <w:r w:rsidRPr="001D6130">
              <w:rPr>
                <w:bCs/>
                <w:color w:val="000000" w:themeColor="text1"/>
              </w:rPr>
              <w:t xml:space="preserve">pilnveidojot </w:t>
            </w:r>
            <w:r w:rsidR="00FD7F6C">
              <w:rPr>
                <w:bCs/>
                <w:color w:val="000000" w:themeColor="text1"/>
              </w:rPr>
              <w:t>2</w:t>
            </w:r>
            <w:r w:rsidRPr="001D6130">
              <w:rPr>
                <w:bCs/>
                <w:color w:val="000000" w:themeColor="text1"/>
              </w:rPr>
              <w:t xml:space="preserve"> publiskās pārvaldes procesus un publicējot </w:t>
            </w:r>
            <w:r w:rsidR="00FD7F6C">
              <w:rPr>
                <w:bCs/>
                <w:color w:val="000000" w:themeColor="text1"/>
              </w:rPr>
              <w:t>2</w:t>
            </w:r>
            <w:r w:rsidRPr="001D6130">
              <w:rPr>
                <w:bCs/>
                <w:color w:val="000000" w:themeColor="text1"/>
              </w:rPr>
              <w:t xml:space="preserve"> datu kopas</w:t>
            </w:r>
            <w:r w:rsidR="004E1D0E">
              <w:rPr>
                <w:bCs/>
                <w:color w:val="000000" w:themeColor="text1"/>
              </w:rPr>
              <w:t>.</w:t>
            </w:r>
            <w:r w:rsidRPr="001D6130">
              <w:rPr>
                <w:bCs/>
                <w:color w:val="000000" w:themeColor="text1"/>
              </w:rPr>
              <w:t xml:space="preserve"> </w:t>
            </w:r>
            <w:r w:rsidR="000B596B">
              <w:rPr>
                <w:bCs/>
                <w:color w:val="000000" w:themeColor="text1"/>
              </w:rPr>
              <w:t>Datu publicēšanas platformā</w:t>
            </w:r>
            <w:r w:rsidRPr="001D6130">
              <w:rPr>
                <w:bCs/>
                <w:color w:val="000000" w:themeColor="text1"/>
              </w:rPr>
              <w:t>.</w:t>
            </w:r>
          </w:p>
          <w:p w14:paraId="31B3D862" w14:textId="77777777" w:rsidR="0014572D" w:rsidRPr="007E113A" w:rsidRDefault="0014572D" w:rsidP="00E57BAE">
            <w:pPr>
              <w:jc w:val="both"/>
              <w:rPr>
                <w:b/>
                <w:bCs/>
              </w:rPr>
            </w:pPr>
            <w:r>
              <w:rPr>
                <w:b/>
                <w:bCs/>
              </w:rPr>
              <w:lastRenderedPageBreak/>
              <w:t>P</w:t>
            </w:r>
            <w:r w:rsidRPr="007E113A">
              <w:rPr>
                <w:b/>
                <w:bCs/>
              </w:rPr>
              <w:t>rojektam ir izvirzīti šādi mērķi:</w:t>
            </w:r>
          </w:p>
          <w:p w14:paraId="3B3109A0" w14:textId="77777777" w:rsidR="00383ACA" w:rsidRDefault="00383ACA" w:rsidP="00383ACA">
            <w:pPr>
              <w:pStyle w:val="VPBody"/>
              <w:numPr>
                <w:ilvl w:val="0"/>
                <w:numId w:val="2"/>
              </w:numPr>
              <w:spacing w:after="0" w:line="240" w:lineRule="auto"/>
              <w:jc w:val="both"/>
            </w:pPr>
            <w:r>
              <w:t>Uzlabot potenciālo un esošo eksportētāju un investoru informētību par eksporta un investīciju jomas aktualitātēm.</w:t>
            </w:r>
          </w:p>
          <w:p w14:paraId="7BD627D9" w14:textId="1778C774" w:rsidR="00383ACA" w:rsidRDefault="00383ACA" w:rsidP="001D5472">
            <w:pPr>
              <w:pStyle w:val="VPBody"/>
              <w:numPr>
                <w:ilvl w:val="0"/>
                <w:numId w:val="2"/>
              </w:numPr>
              <w:spacing w:after="0" w:line="240" w:lineRule="auto"/>
              <w:jc w:val="both"/>
            </w:pPr>
            <w:r>
              <w:t xml:space="preserve">Palielināt </w:t>
            </w:r>
            <w:r w:rsidR="001D5472" w:rsidRPr="001D5472">
              <w:t>Latvijas Investīciju un attīstības aģentūra</w:t>
            </w:r>
            <w:r w:rsidR="001D5472">
              <w:t xml:space="preserve"> (turpmāk – </w:t>
            </w:r>
            <w:r>
              <w:t>LIAA</w:t>
            </w:r>
            <w:r w:rsidR="001D5472">
              <w:t>)</w:t>
            </w:r>
            <w:r>
              <w:t xml:space="preserve"> darbinieku produktivitāti un pilnveidot klientu apkalpošanas procesus.</w:t>
            </w:r>
          </w:p>
          <w:p w14:paraId="102A6C27" w14:textId="61C3B2A8" w:rsidR="00383ACA" w:rsidRDefault="00383ACA" w:rsidP="00383ACA">
            <w:pPr>
              <w:pStyle w:val="VPBody"/>
              <w:numPr>
                <w:ilvl w:val="0"/>
                <w:numId w:val="2"/>
              </w:numPr>
              <w:spacing w:after="0" w:line="240" w:lineRule="auto"/>
              <w:jc w:val="both"/>
            </w:pPr>
            <w:r>
              <w:t>Samazināt eksportētāju un investoru slogu informācijas iegūšanas procesā un saziņā ar LIAA.</w:t>
            </w:r>
          </w:p>
          <w:p w14:paraId="31B3D865" w14:textId="77777777" w:rsidR="0014572D" w:rsidRPr="007E113A" w:rsidRDefault="0014572D" w:rsidP="00E57BAE">
            <w:pPr>
              <w:jc w:val="both"/>
              <w:rPr>
                <w:b/>
                <w:bCs/>
              </w:rPr>
            </w:pPr>
            <w:r w:rsidRPr="009769CC">
              <w:rPr>
                <w:b/>
                <w:bCs/>
              </w:rPr>
              <w:t>Esošajā situācijā ir identificētas šādas problēmas:</w:t>
            </w:r>
          </w:p>
          <w:p w14:paraId="5A08F1EA" w14:textId="74CC3216" w:rsidR="00FD7F6C" w:rsidRDefault="00FD7F6C">
            <w:pPr>
              <w:pStyle w:val="VPBody"/>
              <w:numPr>
                <w:ilvl w:val="0"/>
                <w:numId w:val="3"/>
              </w:numPr>
              <w:tabs>
                <w:tab w:val="left" w:pos="0"/>
              </w:tabs>
              <w:spacing w:after="0" w:line="240" w:lineRule="auto"/>
              <w:jc w:val="both"/>
            </w:pPr>
            <w:r>
              <w:t xml:space="preserve"> </w:t>
            </w:r>
            <w:r w:rsidRPr="00FD7F6C">
              <w:t>Nepietiekama potenciālo un esošo eksportētāju un investoru informētība par aktuāliem notikumiem un jaunumiem eksporta un investīciju jomā</w:t>
            </w:r>
            <w:r w:rsidR="001A645D">
              <w:t>.</w:t>
            </w:r>
          </w:p>
          <w:p w14:paraId="31D6A843" w14:textId="5B07D87B" w:rsidR="001A645D" w:rsidRDefault="001A645D" w:rsidP="001A645D">
            <w:pPr>
              <w:pStyle w:val="VPBody"/>
              <w:tabs>
                <w:tab w:val="left" w:pos="0"/>
              </w:tabs>
              <w:spacing w:after="0" w:line="240" w:lineRule="auto"/>
              <w:ind w:left="720"/>
              <w:jc w:val="both"/>
            </w:pPr>
            <w:r>
              <w:t>LIAA pašlaik uztur dažādus informācijas resursus (http://eksports.liaa.gov.lv/, http://www.liaa.gov.lv/en/invest-latvia, http://www.exim.lv/, http://www.liaa.gov.lv/lv/ni-anketa u.c.), kas paredzēti potenciālajiem un esošajiem eksportētājiem un ārvalstu un vietējiem investoriem (abi kopā turpmāk – uzņēmēji) informācijas iegūšanai par LIAA organizētiem notikumiem, nozaru aktualitātēm un piedāvājumiem eksporta un investīciju jomās. Šobrīd pieejamā informācija netiek strukturizēta pa mērķauditoriju grupām, kā arī resursu lietotājiem nav pieejama funkcionalitāte pieteikties sev interesējošo jaunumu saņemšanai e-pastā vai citos saziņas līdzekļos. LIAA darbinieki izmanto dažādus komunikācijas kanālus (e-pasts, tālrunis, klātienes konsultācijas u.c.), lai informētu uzņēmējus par jomā notiekošajiem pasākumiem un aktualitātēm.</w:t>
            </w:r>
          </w:p>
          <w:p w14:paraId="238D6D3B" w14:textId="1301F0FA" w:rsidR="001A645D" w:rsidRDefault="001A645D" w:rsidP="001A645D">
            <w:pPr>
              <w:pStyle w:val="VPBody"/>
              <w:tabs>
                <w:tab w:val="left" w:pos="0"/>
              </w:tabs>
              <w:spacing w:after="0" w:line="240" w:lineRule="auto"/>
              <w:ind w:left="720"/>
              <w:jc w:val="both"/>
            </w:pPr>
            <w:r>
              <w:t>Projekta ietvaros ir paredzēts izveidot jaunu informācijas sistēmu, kas tiks integrēta ar LIAA uzturētajām informācijas sistēmām. Sistēmas mērķis ir sniegt atbalstu un informēt uzņēmējus par jaunumiem un pasākumiem eksporta un investīciju jomā, sniedzot uzņēmējiem personalizētu informāciju un apziņojot uzņēmējus par jaunumiem ar automatizētu apziņošanas rīku, nodrošinot informācijas saņemšanu tās rašanās brīdī.</w:t>
            </w:r>
          </w:p>
          <w:p w14:paraId="06B5627E" w14:textId="7FBAC60E" w:rsidR="001A645D" w:rsidRDefault="001A645D" w:rsidP="001A645D">
            <w:pPr>
              <w:pStyle w:val="VPBody"/>
              <w:tabs>
                <w:tab w:val="left" w:pos="0"/>
              </w:tabs>
              <w:spacing w:after="0" w:line="240" w:lineRule="auto"/>
              <w:jc w:val="both"/>
            </w:pPr>
          </w:p>
          <w:p w14:paraId="280A2A5C" w14:textId="7CAF65EB" w:rsidR="00FD7F6C" w:rsidRDefault="00FD7F6C" w:rsidP="00FD7F6C">
            <w:pPr>
              <w:pStyle w:val="VPBody"/>
              <w:numPr>
                <w:ilvl w:val="0"/>
                <w:numId w:val="3"/>
              </w:numPr>
              <w:tabs>
                <w:tab w:val="left" w:pos="0"/>
              </w:tabs>
              <w:spacing w:after="0" w:line="240" w:lineRule="auto"/>
              <w:jc w:val="both"/>
            </w:pPr>
            <w:r w:rsidRPr="00FD7F6C">
              <w:t>Uzņēmējiem nepieciešamās informācijas sadrumstalotība pa dažādiem informācijas resursiem</w:t>
            </w:r>
          </w:p>
          <w:p w14:paraId="02EC9A76" w14:textId="15CD7A09" w:rsidR="000D0553" w:rsidRDefault="00495A2A" w:rsidP="000D0553">
            <w:pPr>
              <w:pStyle w:val="VPBody"/>
              <w:tabs>
                <w:tab w:val="left" w:pos="0"/>
              </w:tabs>
              <w:spacing w:after="0" w:line="240" w:lineRule="auto"/>
              <w:ind w:left="720"/>
              <w:jc w:val="both"/>
            </w:pPr>
            <w:r>
              <w:t xml:space="preserve">Uzņēmējiem interesējošā informācija tiek uzturēta dažādās valsts iestāžu informācijas sistēmās (piem., </w:t>
            </w:r>
            <w:r w:rsidR="001D5472">
              <w:t xml:space="preserve">Ārlietu ministrijā </w:t>
            </w:r>
            <w:r>
              <w:t xml:space="preserve">ir pieejama informācija par eksporta tirgiem, </w:t>
            </w:r>
            <w:r w:rsidR="001D5472">
              <w:t xml:space="preserve">Ekonomikas ministrija (turpmāk – </w:t>
            </w:r>
            <w:r>
              <w:t>EM</w:t>
            </w:r>
            <w:r w:rsidR="001D5472">
              <w:t>)</w:t>
            </w:r>
            <w:r>
              <w:t xml:space="preserve"> veicina Latvijas komersantu konkurētspēju ārvalstu tirgos, </w:t>
            </w:r>
            <w:r w:rsidR="001D5472">
              <w:t xml:space="preserve">Centrālajā statistikas pārvaldē (turpmāk – </w:t>
            </w:r>
            <w:r>
              <w:t>CSP</w:t>
            </w:r>
            <w:r w:rsidR="001D5472">
              <w:t>)</w:t>
            </w:r>
            <w:r>
              <w:t xml:space="preserve"> ir pieejama informācija par statistikas datiem, </w:t>
            </w:r>
            <w:r w:rsidR="001D5472">
              <w:t>Val</w:t>
            </w:r>
            <w:r w:rsidR="00831D25">
              <w:t>s</w:t>
            </w:r>
            <w:r w:rsidR="001D5472">
              <w:t xml:space="preserve">ts ieņēmumu dienestā (turpmāk – </w:t>
            </w:r>
            <w:r>
              <w:t>VID</w:t>
            </w:r>
            <w:r w:rsidR="001D5472">
              <w:t>)</w:t>
            </w:r>
            <w:r>
              <w:t xml:space="preserve"> ir pieejama informācija par muitu un ar to saistīto formalitāšu kārtošanu, </w:t>
            </w:r>
            <w:r w:rsidR="001D5472">
              <w:t xml:space="preserve">Attīstības finanšu institūcija </w:t>
            </w:r>
            <w:proofErr w:type="spellStart"/>
            <w:r w:rsidR="001D5472">
              <w:t>Altum</w:t>
            </w:r>
            <w:proofErr w:type="spellEnd"/>
            <w:r w:rsidR="001D5472">
              <w:t xml:space="preserve"> </w:t>
            </w:r>
            <w:r>
              <w:t xml:space="preserve">un </w:t>
            </w:r>
            <w:r w:rsidR="001D5472" w:rsidRPr="001D5472">
              <w:t xml:space="preserve">Centrālā finanšu un līgumu </w:t>
            </w:r>
            <w:r>
              <w:t xml:space="preserve">uztur informāciju par atbalsta iespējām, pašvaldību piedāvājumi uzņēmējiem un investoriem pieejami katras pašvaldības mājaslapā internetā individuāli, LIAA piedāvā </w:t>
            </w:r>
            <w:r>
              <w:lastRenderedPageBreak/>
              <w:t>uzņēmējiem saistošu informāciju eksporta un investīciju jomās u.c.), tās apkopošanai un atrašanai ir nepieciešami būtiski resursi, kas kavē lēmumu pieņemšanu un neveicina ārējo tirgu apgūšanu un investīciju piesaisti.</w:t>
            </w:r>
          </w:p>
          <w:p w14:paraId="5263C583" w14:textId="1A17177B" w:rsidR="00495A2A" w:rsidRDefault="00495A2A" w:rsidP="000D0553">
            <w:pPr>
              <w:pStyle w:val="VPBody"/>
              <w:tabs>
                <w:tab w:val="left" w:pos="0"/>
              </w:tabs>
              <w:spacing w:after="0" w:line="240" w:lineRule="auto"/>
              <w:ind w:left="720"/>
              <w:jc w:val="both"/>
            </w:pPr>
            <w:r>
              <w:t xml:space="preserve">Uzņēmēji norāda, ka nav informēti un nezina, kur meklēt sev interesējošo informāciju, ja tiem nepalīdz, jo informācijas resursu ir daudz, bet tiešo saišu trūkums starp informācijas resursiem nepalīdz orientēties un nesamazina patērēto laiku, kas ir jāvelta </w:t>
            </w:r>
            <w:proofErr w:type="spellStart"/>
            <w:r>
              <w:t>priekšizpētei</w:t>
            </w:r>
            <w:proofErr w:type="spellEnd"/>
            <w:r>
              <w:t xml:space="preserve">, izpētei un analīzei pirms eksporta uzsākšanas vai investīciju veikšanas lēmumu pieņemšanas. Kā rezultātā investori izvēlas investēt citās valstīs vai eksportētāji izvēlas eksportēt pakalpojumus uz valstīm, par kurām detalizēta un lēmumu pieņemšanā interesējošā informācija ir pieejama vai arī tā tiek operatīvi sagatavota. </w:t>
            </w:r>
          </w:p>
          <w:p w14:paraId="6FE5D5FD" w14:textId="589D0EE6" w:rsidR="00495A2A" w:rsidRDefault="00495A2A" w:rsidP="00495A2A">
            <w:pPr>
              <w:pStyle w:val="VPBody"/>
              <w:tabs>
                <w:tab w:val="left" w:pos="0"/>
              </w:tabs>
              <w:spacing w:after="0" w:line="240" w:lineRule="auto"/>
              <w:ind w:left="720"/>
              <w:jc w:val="both"/>
            </w:pPr>
            <w:r>
              <w:t xml:space="preserve">Lai veicinātu eksportu uz ārējiem tirgiem un investīciju piesaisti, projekta ietvaros ir paredzēts izstrādāt informācijas sistēmu, kurā tiktu apvienota uzņēmējiem interesējošā informācija no dažādiem avotiem (piemēram, sistēmā tiks attēloti CSP publicētie </w:t>
            </w:r>
            <w:proofErr w:type="spellStart"/>
            <w:r>
              <w:t>atkalizmantojamie</w:t>
            </w:r>
            <w:proofErr w:type="spellEnd"/>
            <w:r>
              <w:t xml:space="preserve"> dati, par kuriem interesēsies uzņēmēji, pašvaldību sagatavotie marketinga materiāli par uzņēmējdarbības iespējām), t.sk. automātiski iegūta un atjaunināta informācija no citām informācijas sistēmām.</w:t>
            </w:r>
          </w:p>
          <w:p w14:paraId="72AEE0B4" w14:textId="77777777" w:rsidR="00495A2A" w:rsidRDefault="00495A2A" w:rsidP="00495A2A">
            <w:pPr>
              <w:pStyle w:val="VPBody"/>
              <w:tabs>
                <w:tab w:val="left" w:pos="0"/>
              </w:tabs>
              <w:spacing w:after="0" w:line="240" w:lineRule="auto"/>
              <w:ind w:left="720"/>
              <w:jc w:val="both"/>
            </w:pPr>
          </w:p>
          <w:p w14:paraId="0E3A7555" w14:textId="14E12DEF" w:rsidR="00FD7F6C" w:rsidRDefault="00FD7F6C" w:rsidP="00FD7F6C">
            <w:pPr>
              <w:pStyle w:val="VPBody"/>
              <w:numPr>
                <w:ilvl w:val="0"/>
                <w:numId w:val="3"/>
              </w:numPr>
              <w:tabs>
                <w:tab w:val="left" w:pos="0"/>
              </w:tabs>
              <w:spacing w:after="0" w:line="240" w:lineRule="auto"/>
              <w:jc w:val="both"/>
            </w:pPr>
            <w:r w:rsidRPr="00FD7F6C">
              <w:t>Uzņēmēju savstarpējās sadarbības vietnes trūkums informācijas izplatīšanai un iegūšanai</w:t>
            </w:r>
            <w:r w:rsidR="000D0553">
              <w:t>.</w:t>
            </w:r>
          </w:p>
          <w:p w14:paraId="22BAC47D" w14:textId="0C917EB4" w:rsidR="000D0553" w:rsidRDefault="000D0553" w:rsidP="000D0553">
            <w:pPr>
              <w:pStyle w:val="VPBody"/>
              <w:tabs>
                <w:tab w:val="left" w:pos="0"/>
              </w:tabs>
              <w:spacing w:after="0" w:line="240" w:lineRule="auto"/>
              <w:ind w:left="720"/>
              <w:jc w:val="both"/>
            </w:pPr>
            <w:r>
              <w:t>Uzņēmējiem trūkst sadarbības vietne</w:t>
            </w:r>
            <w:r w:rsidR="0046746C">
              <w:t>s</w:t>
            </w:r>
            <w:r>
              <w:t>, kurā varētu dalīties ar veiksmes stāstiem, pieredzi, sniegt padomus un konsultēties ar citiem līdzīgiem uzņēmējiem vai valsts iestāžu pārstāvjiem, nodrošinot iespēju piedalīties diskusijās</w:t>
            </w:r>
            <w:r w:rsidR="0046746C">
              <w:t>,</w:t>
            </w:r>
            <w:r>
              <w:t xml:space="preserve"> un publicēt rakstus sev interesējošajās jomās. </w:t>
            </w:r>
          </w:p>
          <w:p w14:paraId="7210A283" w14:textId="77777777" w:rsidR="000D0553" w:rsidRDefault="000D0553" w:rsidP="000D0553">
            <w:pPr>
              <w:pStyle w:val="VPBody"/>
              <w:tabs>
                <w:tab w:val="left" w:pos="0"/>
              </w:tabs>
              <w:spacing w:after="0" w:line="240" w:lineRule="auto"/>
              <w:ind w:left="720"/>
              <w:jc w:val="both"/>
            </w:pPr>
            <w:r>
              <w:t xml:space="preserve">Sadarbības vietnes trūkums neveicina uzņēmēju savstarpēju sadarbību, piemēram, ārējo tirgu apgūšanā, jo problēmu risināšanai, iespēju izvērtēšanai, domubiedru un partneru atrašanai ir nepieciešama vietne, kur paust viedokli un dalīties ar informāciju ar nozaru pārstāvjiem. </w:t>
            </w:r>
          </w:p>
          <w:p w14:paraId="11A9B4F1" w14:textId="03375E6D" w:rsidR="000D0553" w:rsidRDefault="000D0553" w:rsidP="000D0553">
            <w:pPr>
              <w:pStyle w:val="VPBody"/>
              <w:tabs>
                <w:tab w:val="left" w:pos="0"/>
              </w:tabs>
              <w:spacing w:after="0" w:line="240" w:lineRule="auto"/>
              <w:ind w:left="720"/>
              <w:jc w:val="both"/>
            </w:pPr>
            <w:r>
              <w:t>Lai veicinātu uzņēmēju un nozaru ekspertu savstarpēju sadarbību, informācijas sistēmā ir nepieciešama saziņas vietne, kurā radīt un dalīties ar informāciju, iesaistot valsts iestāžu darbiniekus, nozaru pārstāvjus un ekspertus.</w:t>
            </w:r>
          </w:p>
          <w:p w14:paraId="648706A5" w14:textId="77777777" w:rsidR="000D0553" w:rsidRDefault="000D0553" w:rsidP="000D0553">
            <w:pPr>
              <w:pStyle w:val="VPBody"/>
              <w:tabs>
                <w:tab w:val="left" w:pos="0"/>
              </w:tabs>
              <w:spacing w:after="0" w:line="240" w:lineRule="auto"/>
              <w:ind w:left="720"/>
              <w:jc w:val="both"/>
            </w:pPr>
          </w:p>
          <w:p w14:paraId="145AB41F" w14:textId="580E382E" w:rsidR="00FD7F6C" w:rsidRDefault="00FD7F6C" w:rsidP="00FD7F6C">
            <w:pPr>
              <w:pStyle w:val="VPBody"/>
              <w:numPr>
                <w:ilvl w:val="0"/>
                <w:numId w:val="3"/>
              </w:numPr>
              <w:tabs>
                <w:tab w:val="left" w:pos="0"/>
              </w:tabs>
              <w:spacing w:after="0" w:line="240" w:lineRule="auto"/>
              <w:jc w:val="both"/>
            </w:pPr>
            <w:r w:rsidRPr="00FD7F6C">
              <w:t>LIAA sniegtie pakalpojumi uzņēmējiem nav pieejami elektroniski tiešsaistē</w:t>
            </w:r>
            <w:r w:rsidR="000D0553">
              <w:t>.</w:t>
            </w:r>
          </w:p>
          <w:p w14:paraId="7A4119CA" w14:textId="77777777" w:rsidR="000D0553" w:rsidRDefault="000D0553" w:rsidP="000D0553">
            <w:pPr>
              <w:pStyle w:val="VPBody"/>
              <w:tabs>
                <w:tab w:val="left" w:pos="0"/>
              </w:tabs>
              <w:spacing w:after="0" w:line="240" w:lineRule="auto"/>
              <w:ind w:left="720"/>
              <w:jc w:val="both"/>
            </w:pPr>
            <w:r>
              <w:t xml:space="preserve">LIAA sniedz dažāda veida pakalpojumus uzņēmējiem, tomēr daļu no tiem nav iespējams vai ir apgrūtinoši veikt elektroniski tiešsaistē. Viens no galvenajiem komunikācijas veidiem LIAA ar uzņēmējiem ir e-pasta un klātienes konsultācijas. Visbiežāk konsultāciju ietvaros sagatavotā informācija uzņēmējiem tiek nosūtīta e-pastā. Piemēram, uzņēmēju pieteikšanās pasākumiem un dažādu apliecinājumu iesniegšana notiek </w:t>
            </w:r>
            <w:r>
              <w:lastRenderedPageBreak/>
              <w:t xml:space="preserve">klātienē vai izmantojot e-pastus, kas neveicina lietderīgu resursu izmantošanu gan LIAA, gan uzņēmēju pusē. </w:t>
            </w:r>
          </w:p>
          <w:p w14:paraId="2E87490E" w14:textId="77777777" w:rsidR="000D0553" w:rsidRDefault="000D0553" w:rsidP="000D0553">
            <w:pPr>
              <w:pStyle w:val="VPBody"/>
              <w:tabs>
                <w:tab w:val="left" w:pos="0"/>
              </w:tabs>
              <w:spacing w:after="0" w:line="240" w:lineRule="auto"/>
              <w:ind w:left="720"/>
              <w:jc w:val="both"/>
            </w:pPr>
            <w:r>
              <w:t>Sniegto pakalpojumu nepieejamība tiešsaistē sašaurina uzņēmēju loku, kas būtu ieinteresēti pakalpojumu izmantošanā, patērē nelietderīgi uzņēmēju laiku un resursus, kā arī paaugstina LIAA darbinieku noslogotību, veicot klientu apkalpošanu klātienē. Arī klientu apkalpošana e-pasta konsultācijās nav efektīva, jo ir apgrūtināta procesa izsekojamība un pārskatāmība no LIAA puses.</w:t>
            </w:r>
          </w:p>
          <w:p w14:paraId="348E1E7E" w14:textId="170A5C81" w:rsidR="000D0553" w:rsidRDefault="000D0553" w:rsidP="000D0553">
            <w:pPr>
              <w:pStyle w:val="VPBody"/>
              <w:tabs>
                <w:tab w:val="left" w:pos="0"/>
              </w:tabs>
              <w:spacing w:after="0" w:line="240" w:lineRule="auto"/>
              <w:ind w:left="720"/>
              <w:jc w:val="both"/>
            </w:pPr>
            <w:r>
              <w:t>Lai mazinātu LIAA darbinieku administratīvo slogu, ir nepieciešams elektronizēt LIAA sniegtos pakalpojumus dokumentu apritē un informācijas apstrādē un saņemšanā. Informācijas sistēmā ir jānodrošina iespēja pieteikties LIAA sniegtajiem pakalpojumiem, kā arī ir jānodrošina elektronisko veidlapu iesniegšana u.c. darbības, kas nepieciešamas, lai pilnvērtīgi veiktu konsultatīvā atbalsta sniegšanu.</w:t>
            </w:r>
          </w:p>
          <w:p w14:paraId="0EC66F49" w14:textId="77777777" w:rsidR="000D0553" w:rsidRDefault="000D0553" w:rsidP="000D0553">
            <w:pPr>
              <w:pStyle w:val="VPBody"/>
              <w:tabs>
                <w:tab w:val="left" w:pos="0"/>
              </w:tabs>
              <w:spacing w:after="0" w:line="240" w:lineRule="auto"/>
              <w:ind w:left="720"/>
              <w:jc w:val="both"/>
            </w:pPr>
          </w:p>
          <w:p w14:paraId="2A285D47" w14:textId="67CD727E" w:rsidR="00FD7F6C" w:rsidRDefault="00FD7F6C" w:rsidP="00FD7F6C">
            <w:pPr>
              <w:pStyle w:val="VPBody"/>
              <w:numPr>
                <w:ilvl w:val="0"/>
                <w:numId w:val="3"/>
              </w:numPr>
              <w:tabs>
                <w:tab w:val="left" w:pos="0"/>
              </w:tabs>
              <w:spacing w:after="0" w:line="240" w:lineRule="auto"/>
              <w:jc w:val="both"/>
            </w:pPr>
            <w:r w:rsidRPr="00FD7F6C">
              <w:t>LIAA darbinieku nelietderīgā laika patēriņš eksportētāju un investoru apkalpošanā</w:t>
            </w:r>
            <w:r w:rsidR="000D0553">
              <w:t>.</w:t>
            </w:r>
          </w:p>
          <w:p w14:paraId="4FAE3C9D" w14:textId="42E6E118" w:rsidR="000D0553" w:rsidRDefault="000D0553" w:rsidP="000D0553">
            <w:pPr>
              <w:pStyle w:val="VPBody"/>
              <w:tabs>
                <w:tab w:val="left" w:pos="0"/>
              </w:tabs>
              <w:spacing w:after="0" w:line="240" w:lineRule="auto"/>
              <w:ind w:left="720"/>
              <w:jc w:val="both"/>
            </w:pPr>
            <w:r w:rsidRPr="000D0553">
              <w:t xml:space="preserve">LIAA darbinieki tiek noslogoti, apkalpojot uzņēmējus rutīnas darbu izpildē – pieteikumu reģistrēšana, informācijas pieprasījumu apstrāde, e-pastu pārvaldība u.c., kas traucē LIAA darbiniekiem veikt padziļinātu problēmu izpēti un analīzi. LIAA sniegto pakalpojumu klāsts varētu tikt papildināts un to kvalitāte pieaugtu, ja LIAA darbiniekiem nevajadzētu tērēt laiku darbībām, kuras varētu elektronizēt tā, lai uzņēmēji varētu </w:t>
            </w:r>
            <w:proofErr w:type="spellStart"/>
            <w:r w:rsidRPr="000D0553">
              <w:t>pašapkalpoties</w:t>
            </w:r>
            <w:proofErr w:type="spellEnd"/>
            <w:r w:rsidRPr="000D0553">
              <w:t>.</w:t>
            </w:r>
          </w:p>
          <w:p w14:paraId="391A860F" w14:textId="77777777" w:rsidR="000D0553" w:rsidRDefault="000D0553" w:rsidP="000D0553">
            <w:pPr>
              <w:pStyle w:val="VPBody"/>
              <w:tabs>
                <w:tab w:val="left" w:pos="0"/>
              </w:tabs>
              <w:spacing w:after="0" w:line="240" w:lineRule="auto"/>
              <w:ind w:left="720"/>
              <w:jc w:val="both"/>
            </w:pPr>
          </w:p>
          <w:p w14:paraId="31B3D86C" w14:textId="499CB5B4" w:rsidR="0014572D" w:rsidRDefault="00FD7F6C" w:rsidP="00FD7F6C">
            <w:pPr>
              <w:pStyle w:val="VPBody"/>
              <w:numPr>
                <w:ilvl w:val="0"/>
                <w:numId w:val="3"/>
              </w:numPr>
              <w:tabs>
                <w:tab w:val="left" w:pos="0"/>
              </w:tabs>
              <w:spacing w:after="0" w:line="240" w:lineRule="auto"/>
              <w:jc w:val="both"/>
            </w:pPr>
            <w:r w:rsidRPr="00FD7F6C">
              <w:t>Nepietiekami pieejama ārvalstu investoriem nepieciešamā informācija svešvalodās</w:t>
            </w:r>
            <w:r>
              <w:t>.</w:t>
            </w:r>
          </w:p>
          <w:p w14:paraId="73117E22" w14:textId="75B6302C" w:rsidR="000D0553" w:rsidRDefault="000D0553" w:rsidP="000D0553">
            <w:pPr>
              <w:pStyle w:val="VPBody"/>
              <w:tabs>
                <w:tab w:val="left" w:pos="0"/>
              </w:tabs>
              <w:spacing w:after="0" w:line="240" w:lineRule="auto"/>
              <w:ind w:left="720"/>
              <w:jc w:val="both"/>
            </w:pPr>
            <w:r>
              <w:t xml:space="preserve">LIAA darbinieki velta laiku sagatavotās informācijas tulkošanai, lai uzņēmējiem tā tiktu nogādātā saprotamā valodā. Ne visās valsts iestāžu mājaslapās un informācijas sistēmās informācija tiek publicēta svešvalodās vai arī tā nav kvalitatīva, piem., Ārvalstu investori norāda, ka </w:t>
            </w:r>
            <w:r w:rsidR="001D5472">
              <w:t xml:space="preserve">Uzņēmumu reģistrā (turpmāk – </w:t>
            </w:r>
            <w:r>
              <w:t>UR</w:t>
            </w:r>
            <w:r w:rsidR="001D5472">
              <w:t>)</w:t>
            </w:r>
            <w:r>
              <w:t xml:space="preserve"> esošā informācija ir pieejama tikai latviešu valodā, kas būtiski apgrūtina izpētes veikšanu izpēti un lēmumu pieņemšanu.</w:t>
            </w:r>
          </w:p>
          <w:p w14:paraId="6B8AE193" w14:textId="1B33F3D5" w:rsidR="000D0553" w:rsidRDefault="000D0553" w:rsidP="000D0553">
            <w:pPr>
              <w:pStyle w:val="VPBody"/>
              <w:tabs>
                <w:tab w:val="left" w:pos="0"/>
              </w:tabs>
              <w:spacing w:after="0" w:line="240" w:lineRule="auto"/>
              <w:ind w:left="720"/>
              <w:jc w:val="both"/>
            </w:pPr>
            <w:r>
              <w:t xml:space="preserve">Lai veicinātu informācijas pieejamību, ir nepieciešams izmantot </w:t>
            </w:r>
            <w:proofErr w:type="spellStart"/>
            <w:r>
              <w:t>mašīntulka</w:t>
            </w:r>
            <w:proofErr w:type="spellEnd"/>
            <w:r>
              <w:t xml:space="preserve"> pakalpojumu, lai pēc iespējas plašāka informācija interesentiem būtu pieejama sev zināmā valodā. Projekta ietvaros informācijas sistēmā ir paredzēts izmantot </w:t>
            </w:r>
            <w:proofErr w:type="spellStart"/>
            <w:r>
              <w:t>mašīntulk</w:t>
            </w:r>
            <w:r w:rsidR="00831D25">
              <w:t>ošanas</w:t>
            </w:r>
            <w:proofErr w:type="spellEnd"/>
            <w:r w:rsidR="00831D25">
              <w:t xml:space="preserve"> servisu Hugo.lv</w:t>
            </w:r>
            <w:r w:rsidR="00831D25">
              <w:rPr>
                <w:rStyle w:val="FootnoteReference"/>
              </w:rPr>
              <w:footnoteReference w:id="1"/>
            </w:r>
            <w:r>
              <w:t xml:space="preserve"> informācijas pieejamībai ārvalstu investoriem svešvalodā.</w:t>
            </w:r>
          </w:p>
          <w:p w14:paraId="1824B1C2" w14:textId="57BDB09D" w:rsidR="00892A49" w:rsidRDefault="00892A49">
            <w:pPr>
              <w:pStyle w:val="VPBody"/>
              <w:tabs>
                <w:tab w:val="left" w:pos="0"/>
              </w:tabs>
              <w:spacing w:after="0" w:line="240" w:lineRule="auto"/>
              <w:jc w:val="both"/>
            </w:pPr>
          </w:p>
          <w:p w14:paraId="2330DBF9" w14:textId="77777777" w:rsidR="00831D25" w:rsidRDefault="00831D25" w:rsidP="00831D25">
            <w:pPr>
              <w:pStyle w:val="VPBody"/>
              <w:tabs>
                <w:tab w:val="left" w:pos="0"/>
              </w:tabs>
              <w:spacing w:after="0" w:line="240" w:lineRule="auto"/>
              <w:jc w:val="both"/>
            </w:pPr>
            <w:r w:rsidRPr="00A17474">
              <w:t xml:space="preserve">Projekta </w:t>
            </w:r>
            <w:r>
              <w:t>ietvaros ir plānots pilnveidot LIAA pamatdarbības procesus:</w:t>
            </w:r>
          </w:p>
          <w:p w14:paraId="05F5F892" w14:textId="77777777" w:rsidR="00831D25" w:rsidRDefault="00831D25" w:rsidP="00595EB4">
            <w:pPr>
              <w:pStyle w:val="VPBody"/>
              <w:numPr>
                <w:ilvl w:val="0"/>
                <w:numId w:val="9"/>
              </w:numPr>
              <w:tabs>
                <w:tab w:val="left" w:pos="0"/>
              </w:tabs>
              <w:spacing w:after="0" w:line="240" w:lineRule="auto"/>
              <w:jc w:val="both"/>
            </w:pPr>
            <w:r>
              <w:t>Konsultatīvā atbalsta sniegšana, Latvijas uzņēmēju eksportspējas paaugstināšanai un ārējās tirdzniecības veicināšanai, potenciālajiem un esošajiem eksportētājiem;</w:t>
            </w:r>
          </w:p>
          <w:p w14:paraId="232D5B71" w14:textId="1147AE4A" w:rsidR="00831D25" w:rsidRDefault="00831D25" w:rsidP="00595EB4">
            <w:pPr>
              <w:pStyle w:val="VPBody"/>
              <w:numPr>
                <w:ilvl w:val="0"/>
                <w:numId w:val="9"/>
              </w:numPr>
              <w:tabs>
                <w:tab w:val="left" w:pos="0"/>
              </w:tabs>
              <w:spacing w:after="0" w:line="240" w:lineRule="auto"/>
              <w:jc w:val="both"/>
            </w:pPr>
            <w:r>
              <w:t>Konsultatīvā atbalsta sniegšana potenciālajiem un esošajiem investoriem investīciju piesaistei.</w:t>
            </w:r>
          </w:p>
          <w:p w14:paraId="2472E2DC" w14:textId="77777777" w:rsidR="00831D25" w:rsidRDefault="00831D25">
            <w:pPr>
              <w:pStyle w:val="VPBody"/>
              <w:tabs>
                <w:tab w:val="left" w:pos="0"/>
              </w:tabs>
              <w:spacing w:after="0" w:line="240" w:lineRule="auto"/>
              <w:jc w:val="both"/>
            </w:pPr>
          </w:p>
          <w:p w14:paraId="44494CFE" w14:textId="30571E74" w:rsidR="00892A49" w:rsidRDefault="00892A49">
            <w:pPr>
              <w:pStyle w:val="VPBody"/>
              <w:tabs>
                <w:tab w:val="left" w:pos="0"/>
              </w:tabs>
              <w:spacing w:after="0" w:line="240" w:lineRule="auto"/>
              <w:jc w:val="both"/>
            </w:pPr>
            <w:r w:rsidRPr="00892A49">
              <w:t xml:space="preserve">Lai risinātu esošās situācijas problēmas un sasniegtu </w:t>
            </w:r>
            <w:r w:rsidR="0005773D">
              <w:t>plānotos</w:t>
            </w:r>
            <w:r w:rsidRPr="00892A49">
              <w:t xml:space="preserve"> Projekta mērķus, ir nepieciešams izveidot </w:t>
            </w:r>
            <w:r w:rsidR="0005773D">
              <w:t xml:space="preserve">Eksporta un investīciju informācijas sistēmu (turpmāk – </w:t>
            </w:r>
            <w:r w:rsidRPr="00892A49">
              <w:t>EIIS</w:t>
            </w:r>
            <w:r w:rsidR="0005773D">
              <w:t>), kura</w:t>
            </w:r>
            <w:r w:rsidRPr="00892A49">
              <w:t xml:space="preserve"> nodrošinās atbalstu potenciālajiem un esošajiem eksportētājiem un investoriem. Izmantojot EIIS, līdz uzņēmējiem nonāks informācija strukturētā un personalizētā veidā gan no citām publiskās pārvaldes iestādēm, gan no uzņēmējdarbības atbalsta sistēmām. Caur EIIS virzītā informācija tiks klasificēta, lai uzņēmēji saņemtu tieši to informāciju, kas t</w:t>
            </w:r>
            <w:r w:rsidR="0046746C">
              <w:t>os interesē, atbilstoši uzņēmēju</w:t>
            </w:r>
            <w:r w:rsidRPr="00892A49">
              <w:t xml:space="preserve"> profila datiem. EIIS nodrošinās piekļuvi LIAA sniegtajiem pakalpojumiem un citu valsts iestāžu uzturētajiem e-pakalpojumiem. EIIS nodrošinās uzņēmējiem iespēju dalīties ar informāciju un sazināties ar valsts iestāžu pārstāvjiem, kā arī nodrošinās iespēju </w:t>
            </w:r>
            <w:proofErr w:type="spellStart"/>
            <w:r w:rsidRPr="00892A49">
              <w:t>pašapkalpoties</w:t>
            </w:r>
            <w:proofErr w:type="spellEnd"/>
            <w:r w:rsidRPr="00892A49">
              <w:t xml:space="preserve"> LIAA uzturētājās sistēmās</w:t>
            </w:r>
            <w:r w:rsidR="0005773D">
              <w:t>.</w:t>
            </w:r>
            <w:r w:rsidR="00831D25">
              <w:t xml:space="preserve"> </w:t>
            </w:r>
            <w:r w:rsidR="00831D25" w:rsidRPr="00831D25">
              <w:t>EIIS pieejamā informācija un pakalpojumi strukturāli iekļausies uz uzņēmējiem orientēto Latvijas publiskās pārvaldes tīmekļa vietņu kopumā un uzņēmējdarbības sadaļā valsts pārvaldes pakalpojumu portālā latvija.lv, tādējādi nodrošinot piekļuvi EIIS pakalpojumiem arī no valsts pārvaldes pakalpojumu portāla latvija.lv.</w:t>
            </w:r>
          </w:p>
          <w:p w14:paraId="423209DA" w14:textId="2A7A9D64" w:rsidR="0005773D" w:rsidRDefault="0005773D">
            <w:pPr>
              <w:pStyle w:val="VPBody"/>
              <w:tabs>
                <w:tab w:val="left" w:pos="0"/>
              </w:tabs>
              <w:spacing w:after="0" w:line="240" w:lineRule="auto"/>
              <w:jc w:val="both"/>
            </w:pPr>
          </w:p>
          <w:p w14:paraId="0BAA84F3" w14:textId="77777777" w:rsidR="0005773D" w:rsidRDefault="0005773D" w:rsidP="0005773D">
            <w:pPr>
              <w:pStyle w:val="VPBody"/>
              <w:tabs>
                <w:tab w:val="left" w:pos="0"/>
              </w:tabs>
              <w:jc w:val="both"/>
            </w:pPr>
            <w:r>
              <w:t>EIIS tiks veidota kā jauna informācijas sistēma, kas tiks integrēta ar LIAA uzturētājām informācijas sistēmām un kurā tiks nodrošināta ērta vienā vietā pieejama informācija, kas paredzēta potenciālajiem un esošajiem eksportētājiem un investoriem. EIIS nodrošinās vienotu piekļuvi informatīvam saturam no vairākām publiskās pārvaldes iestādēm un to informācijas sistēmām, it īpaši LIAA informācijas sistēmām, kuras projekta ievaros nav paredzēts aizstāt. EIIS darbības nodrošināšanai būtu nepieciešami šādi risinājumi:</w:t>
            </w:r>
          </w:p>
          <w:p w14:paraId="27BB22C3" w14:textId="43933915" w:rsidR="0005773D" w:rsidRDefault="0005773D" w:rsidP="0005773D">
            <w:pPr>
              <w:pStyle w:val="VPBody"/>
              <w:numPr>
                <w:ilvl w:val="0"/>
                <w:numId w:val="4"/>
              </w:numPr>
              <w:tabs>
                <w:tab w:val="left" w:pos="0"/>
              </w:tabs>
              <w:spacing w:after="0" w:line="240" w:lineRule="auto"/>
              <w:jc w:val="both"/>
            </w:pPr>
            <w:r>
              <w:t xml:space="preserve">Tīmekļa satura vadības risinājums – lai EIIS nodrošinātu satura ievadi un </w:t>
            </w:r>
            <w:r w:rsidRPr="0005773D">
              <w:rPr>
                <w:szCs w:val="24"/>
              </w:rPr>
              <w:t>iespēju</w:t>
            </w:r>
            <w:r>
              <w:t xml:space="preserve"> to strukturizēt, ir nepieciešams tīmekļa satura vadības risinājums, kas nodrošinās informācijas vienībām pievienot papildus parametrus tās strukturēšanai. Projekta ieviešanas laikā tiks veikta analīze, lai noteiktu piemērotāko tīmekļa satura vadības risinājumu, ņemot vērā identificētās funkcionālas prasības un nepieciešamās zināšanas redaktoriem tā izmantošanai. Saņemtā aktuālā informācija no uzņēmējdarbības atbalsta informācijas sistēmām redaktoriem būtu jāstrukturizē. Projekta realizācijas gaitā plānots izvērtēt sadarbību ar </w:t>
            </w:r>
            <w:r w:rsidR="00831D25" w:rsidRPr="00085166">
              <w:t xml:space="preserve">Valsts kancelejas </w:t>
            </w:r>
            <w:r w:rsidR="00831D25">
              <w:t>plānoto projektu</w:t>
            </w:r>
            <w:r w:rsidR="00831D25" w:rsidRPr="00085166">
              <w:t xml:space="preserve"> “Valsts un pašvaldību iestāžu tīmekļvietņu vienotā platforma”</w:t>
            </w:r>
            <w:r>
              <w:t>.</w:t>
            </w:r>
          </w:p>
          <w:p w14:paraId="51316D6D" w14:textId="06AB17B0" w:rsidR="0005773D" w:rsidRDefault="0005773D" w:rsidP="0005773D">
            <w:pPr>
              <w:pStyle w:val="VPBody"/>
              <w:numPr>
                <w:ilvl w:val="0"/>
                <w:numId w:val="4"/>
              </w:numPr>
              <w:tabs>
                <w:tab w:val="left" w:pos="0"/>
              </w:tabs>
              <w:spacing w:after="0" w:line="240" w:lineRule="auto"/>
              <w:jc w:val="both"/>
            </w:pPr>
            <w:r>
              <w:lastRenderedPageBreak/>
              <w:t>Mobilās piekļuves risinājums – lai EIIS nodrošinātu ērtu piekļuvi no mobilajām ierīcēm, ir nepieciešams mobilās piekļuves risinājums, kas varētu tikt izmantots kā e-pakalpojumu izmantošanas līdzeklis, kā arī atvieglotu uzņēmēju sekošanu līdzi aktualitātēm.</w:t>
            </w:r>
          </w:p>
          <w:p w14:paraId="703FDF96" w14:textId="6EFAF7E9" w:rsidR="0005773D" w:rsidRDefault="0005773D" w:rsidP="00831D25">
            <w:pPr>
              <w:pStyle w:val="VPBody"/>
              <w:numPr>
                <w:ilvl w:val="0"/>
                <w:numId w:val="4"/>
              </w:numPr>
              <w:tabs>
                <w:tab w:val="left" w:pos="0"/>
              </w:tabs>
              <w:spacing w:after="0" w:line="240" w:lineRule="auto"/>
              <w:jc w:val="both"/>
            </w:pPr>
            <w:r>
              <w:t xml:space="preserve">Integrācijas punkti ar citu iestāžu informācijas sistēmām – lai EIIS automātiski saņemtu aktuālu informāciju no saistītajām informācijas sistēmām, ir nepieciešami tehnoloģiski risinājumi datu izgūšanai no saistītajām informācijas sistēmām. EIIS ir nepieciešams tehnoloģisks risinājums, lai nodrošinātu piekļuvi mērķauditorijas interesējošajiem statistikas datiem no CSP portāla, kā arī ir nepieciešams iegūt uzņēmēju pamatdatus no UR vai, piemēram, saņemt ikmēneša datus par ārvalstu tiešu investīciju apjomiem pa valstīm, pa sektoriem no Latvijas Bankas. Ar citu iestāžu informācijas sistēmām EIIS nav paredzēts veidot specifiskas </w:t>
            </w:r>
            <w:proofErr w:type="spellStart"/>
            <w:r>
              <w:t>saskarnes</w:t>
            </w:r>
            <w:proofErr w:type="spellEnd"/>
            <w:r>
              <w:t xml:space="preserve">, bet izmantot jau esošus vai topošus universālus </w:t>
            </w:r>
            <w:r w:rsidR="00831D25">
              <w:t xml:space="preserve">un publiski pieejamus </w:t>
            </w:r>
            <w:r>
              <w:t xml:space="preserve">risinājumus, piemēram, </w:t>
            </w:r>
            <w:r w:rsidR="00C86A71">
              <w:t>Oficiālās stati</w:t>
            </w:r>
            <w:r w:rsidR="00440224">
              <w:t>s</w:t>
            </w:r>
            <w:r w:rsidR="00C86A71">
              <w:t>tikas</w:t>
            </w:r>
            <w:r>
              <w:t xml:space="preserve"> portāla REST </w:t>
            </w:r>
            <w:proofErr w:type="spellStart"/>
            <w:r>
              <w:t>pakalpes</w:t>
            </w:r>
            <w:proofErr w:type="spellEnd"/>
            <w:r>
              <w:t xml:space="preserve">, RSS barotnes vai alternatīvus risinājumus, ziņu un jaunumu pārpublicēšanai. </w:t>
            </w:r>
            <w:r w:rsidR="00831D25" w:rsidRPr="00831D25">
              <w:t>Projekta realizācijas gaitā paredzēts vienoties ar citām iestādēm par tiešsaistes datu apmaiņas kārtību, drošības prasībām un citām saistībām pēc nepieciešamības.</w:t>
            </w:r>
          </w:p>
          <w:p w14:paraId="5D717A65" w14:textId="44C58EB3" w:rsidR="0005773D" w:rsidRDefault="0005773D" w:rsidP="00C86A71">
            <w:pPr>
              <w:pStyle w:val="VPBody"/>
              <w:numPr>
                <w:ilvl w:val="0"/>
                <w:numId w:val="4"/>
              </w:numPr>
              <w:tabs>
                <w:tab w:val="left" w:pos="0"/>
              </w:tabs>
              <w:spacing w:after="0" w:line="240" w:lineRule="auto"/>
              <w:jc w:val="both"/>
            </w:pPr>
            <w:r>
              <w:t>Integrācijas punkti ar esošajām LIAA informācijas sistēmām – lai nodrošinātu EIIS un esošajās LIAA informācijas sistēmās datu aktualizāciju, ir nepieciešami tehnoloģiski risinājumi datu apmaiņai starp LIAA uzturētajām sistēmām. EIIS tiks nodrošināta integrācija ar</w:t>
            </w:r>
            <w:r w:rsidR="00C86A71">
              <w:t xml:space="preserve"> </w:t>
            </w:r>
            <w:r w:rsidR="00C86A71" w:rsidRPr="00C86A71">
              <w:t>Latvijas investīciju vides un projektu m</w:t>
            </w:r>
            <w:r w:rsidR="00C86A71">
              <w:t>onitoringa informācijas sistēmu</w:t>
            </w:r>
            <w:r w:rsidR="00C86A71" w:rsidRPr="00C86A71">
              <w:t xml:space="preserve"> </w:t>
            </w:r>
            <w:r>
              <w:t xml:space="preserve">LIVMPIS, lai aktualizētu LIAA uzturēto informāciju par klientiem un to projektiem, kā arī tiks nodrošināta integrācija ar </w:t>
            </w:r>
            <w:r w:rsidR="00C86A71" w:rsidRPr="00C86A71">
              <w:t>Starptautiskās konkurētspējas veicināšana</w:t>
            </w:r>
            <w:r w:rsidR="00C86A71">
              <w:t xml:space="preserve"> informācijas sistēmu </w:t>
            </w:r>
            <w:r>
              <w:t xml:space="preserve">SKVIS, lai nodrošinātu iespēju iesniegt atbalsta pieteikumus, maksājumu pieprasījums un aktualizētu informāciju par atbalsta piešķiršanu un tā izlietojumu. Papildus plānots pievērst uzmanību, lai EIIS organiski iekļautos LIAA kopējā tīmekļa vietņu kopumā, nodrošinot skaidru un pēc iespējas vienotu lietošanas pieredzi, un ņemot vērā LIAA tīmekļa vietņu attīstību Valsts kancelejas </w:t>
            </w:r>
            <w:r w:rsidR="00831D25">
              <w:t xml:space="preserve">plānotā </w:t>
            </w:r>
            <w:r>
              <w:t>projekta “Valsts un pašvaldību iestāžu tīmekļvietņu vienotā platforma” ietvaros.</w:t>
            </w:r>
          </w:p>
          <w:p w14:paraId="65716D19" w14:textId="2473310C" w:rsidR="0005773D" w:rsidRDefault="0005773D" w:rsidP="0005773D">
            <w:pPr>
              <w:pStyle w:val="VPBody"/>
              <w:numPr>
                <w:ilvl w:val="0"/>
                <w:numId w:val="4"/>
              </w:numPr>
              <w:tabs>
                <w:tab w:val="left" w:pos="0"/>
              </w:tabs>
              <w:spacing w:after="0" w:line="240" w:lineRule="auto"/>
              <w:jc w:val="both"/>
            </w:pPr>
            <w:r>
              <w:t>Datu bāzes risinājums – EIIS ir nepieciešams nodrošināt datu bāzes vadības risinājumu, kurā tiktu uzturēta resursa darbināšanai nepieciešamā informācija, piemērām, publicētā informācija, informācija par eksportētāju un investoru profiliem u.c.</w:t>
            </w:r>
          </w:p>
          <w:p w14:paraId="4B735450" w14:textId="20E5B967" w:rsidR="0005773D" w:rsidRDefault="0005773D" w:rsidP="0005773D">
            <w:pPr>
              <w:pStyle w:val="VPBody"/>
              <w:numPr>
                <w:ilvl w:val="0"/>
                <w:numId w:val="4"/>
              </w:numPr>
              <w:tabs>
                <w:tab w:val="left" w:pos="0"/>
              </w:tabs>
              <w:spacing w:after="0" w:line="240" w:lineRule="auto"/>
              <w:jc w:val="both"/>
            </w:pPr>
            <w:r>
              <w:t xml:space="preserve">Autentifikācijas risinājums – EIIS ir paredzēts izmantot Valsts informācijas sistēmu </w:t>
            </w:r>
            <w:proofErr w:type="spellStart"/>
            <w:r>
              <w:t>savietotāja</w:t>
            </w:r>
            <w:proofErr w:type="spellEnd"/>
            <w:r>
              <w:t xml:space="preserve"> autentifikācijas risinājumu „Vienotā pieteikšanās”.</w:t>
            </w:r>
          </w:p>
          <w:p w14:paraId="3CF4DC2C" w14:textId="42BEABD1" w:rsidR="0005773D" w:rsidRDefault="0005773D" w:rsidP="0005773D">
            <w:pPr>
              <w:pStyle w:val="VPBody"/>
              <w:numPr>
                <w:ilvl w:val="0"/>
                <w:numId w:val="4"/>
              </w:numPr>
              <w:tabs>
                <w:tab w:val="left" w:pos="0"/>
              </w:tabs>
              <w:spacing w:after="0" w:line="240" w:lineRule="auto"/>
              <w:jc w:val="both"/>
            </w:pPr>
            <w:r>
              <w:t xml:space="preserve">Personalizētas informācijas un jaunumu saņemšanai ir nepieciešams risinājums, kas informēs eksportētājus un </w:t>
            </w:r>
            <w:r>
              <w:lastRenderedPageBreak/>
              <w:t>investorus par jaunumiem to rašanas brīdī, izmantojot e-pastu, paziņojumus mobilajās aplikācijās u.c.</w:t>
            </w:r>
          </w:p>
          <w:p w14:paraId="31B3D894" w14:textId="2736C2B6" w:rsidR="0014572D" w:rsidRPr="00C32F22" w:rsidRDefault="0014572D" w:rsidP="0030725D">
            <w:pPr>
              <w:pStyle w:val="VPBody"/>
              <w:tabs>
                <w:tab w:val="left" w:pos="0"/>
              </w:tabs>
              <w:spacing w:after="0" w:line="240" w:lineRule="auto"/>
              <w:jc w:val="both"/>
              <w:rPr>
                <w:szCs w:val="24"/>
              </w:rPr>
            </w:pPr>
          </w:p>
        </w:tc>
      </w:tr>
      <w:tr w:rsidR="0014572D" w:rsidRPr="005E0196" w14:paraId="31B3D899" w14:textId="77777777" w:rsidTr="00934748">
        <w:trPr>
          <w:trHeight w:val="476"/>
          <w:tblCellSpacing w:w="0" w:type="dxa"/>
        </w:trPr>
        <w:tc>
          <w:tcPr>
            <w:tcW w:w="533" w:type="dxa"/>
            <w:tcBorders>
              <w:top w:val="outset" w:sz="6" w:space="0" w:color="auto"/>
              <w:left w:val="outset" w:sz="6" w:space="0" w:color="auto"/>
              <w:bottom w:val="outset" w:sz="6" w:space="0" w:color="auto"/>
              <w:right w:val="outset" w:sz="6" w:space="0" w:color="auto"/>
            </w:tcBorders>
          </w:tcPr>
          <w:p w14:paraId="31B3D896" w14:textId="77777777" w:rsidR="0014572D" w:rsidRPr="009C320F" w:rsidRDefault="0014572D">
            <w:pPr>
              <w:rPr>
                <w:lang w:eastAsia="en-US"/>
              </w:rPr>
            </w:pPr>
            <w:r w:rsidRPr="009C320F">
              <w:rPr>
                <w:lang w:eastAsia="en-US"/>
              </w:rPr>
              <w:lastRenderedPageBreak/>
              <w:t> 3.</w:t>
            </w:r>
          </w:p>
        </w:tc>
        <w:tc>
          <w:tcPr>
            <w:tcW w:w="1942" w:type="dxa"/>
            <w:tcBorders>
              <w:top w:val="outset" w:sz="6" w:space="0" w:color="auto"/>
              <w:left w:val="outset" w:sz="6" w:space="0" w:color="auto"/>
              <w:bottom w:val="outset" w:sz="6" w:space="0" w:color="auto"/>
              <w:right w:val="outset" w:sz="6" w:space="0" w:color="auto"/>
            </w:tcBorders>
          </w:tcPr>
          <w:p w14:paraId="31B3D897" w14:textId="77777777" w:rsidR="0014572D" w:rsidRPr="009C320F" w:rsidRDefault="0014572D">
            <w:pPr>
              <w:rPr>
                <w:lang w:eastAsia="en-US"/>
              </w:rPr>
            </w:pPr>
            <w:r w:rsidRPr="009C320F">
              <w:rPr>
                <w:lang w:eastAsia="en-US"/>
              </w:rPr>
              <w:t>Projekta izstrādē iesaistītās institūcijas</w:t>
            </w:r>
          </w:p>
        </w:tc>
        <w:tc>
          <w:tcPr>
            <w:tcW w:w="6868" w:type="dxa"/>
            <w:gridSpan w:val="2"/>
            <w:tcBorders>
              <w:top w:val="outset" w:sz="6" w:space="0" w:color="auto"/>
              <w:left w:val="outset" w:sz="6" w:space="0" w:color="auto"/>
              <w:bottom w:val="outset" w:sz="6" w:space="0" w:color="auto"/>
              <w:right w:val="outset" w:sz="6" w:space="0" w:color="auto"/>
            </w:tcBorders>
          </w:tcPr>
          <w:p w14:paraId="31B3D898" w14:textId="51881DD3" w:rsidR="0014572D" w:rsidRPr="005E0196" w:rsidRDefault="0030725D">
            <w:pPr>
              <w:jc w:val="both"/>
            </w:pPr>
            <w:r w:rsidRPr="007F4055">
              <w:t>Latvijas Investīcijas un attīstības aģentūr</w:t>
            </w:r>
            <w:r>
              <w:t>a,</w:t>
            </w:r>
            <w:r w:rsidRPr="00B55324">
              <w:rPr>
                <w:color w:val="000000" w:themeColor="text1"/>
              </w:rPr>
              <w:t xml:space="preserve"> </w:t>
            </w:r>
            <w:r w:rsidR="0014572D" w:rsidRPr="00B55324">
              <w:rPr>
                <w:color w:val="000000" w:themeColor="text1"/>
              </w:rPr>
              <w:t>Ekonomikas ministrija</w:t>
            </w:r>
            <w:r>
              <w:rPr>
                <w:color w:val="000000" w:themeColor="text1"/>
              </w:rPr>
              <w:t xml:space="preserve"> un Ārlietu ministrija</w:t>
            </w:r>
            <w:r w:rsidR="0014572D">
              <w:t>.</w:t>
            </w:r>
          </w:p>
        </w:tc>
      </w:tr>
      <w:tr w:rsidR="0014572D" w:rsidRPr="005E0196" w14:paraId="31B3D89D" w14:textId="77777777" w:rsidTr="00934748">
        <w:trPr>
          <w:tblCellSpacing w:w="0" w:type="dxa"/>
        </w:trPr>
        <w:tc>
          <w:tcPr>
            <w:tcW w:w="533" w:type="dxa"/>
            <w:tcBorders>
              <w:top w:val="outset" w:sz="6" w:space="0" w:color="auto"/>
              <w:left w:val="outset" w:sz="6" w:space="0" w:color="auto"/>
              <w:bottom w:val="outset" w:sz="6" w:space="0" w:color="auto"/>
              <w:right w:val="outset" w:sz="6" w:space="0" w:color="auto"/>
            </w:tcBorders>
          </w:tcPr>
          <w:p w14:paraId="31B3D89A" w14:textId="77777777" w:rsidR="0014572D" w:rsidRPr="005E0196" w:rsidRDefault="0014572D">
            <w:pPr>
              <w:rPr>
                <w:lang w:eastAsia="en-US"/>
              </w:rPr>
            </w:pPr>
            <w:r w:rsidRPr="005E0196">
              <w:rPr>
                <w:lang w:eastAsia="en-US"/>
              </w:rPr>
              <w:t> 4.</w:t>
            </w:r>
          </w:p>
        </w:tc>
        <w:tc>
          <w:tcPr>
            <w:tcW w:w="1942" w:type="dxa"/>
            <w:tcBorders>
              <w:top w:val="outset" w:sz="6" w:space="0" w:color="auto"/>
              <w:left w:val="outset" w:sz="6" w:space="0" w:color="auto"/>
              <w:bottom w:val="outset" w:sz="6" w:space="0" w:color="auto"/>
              <w:right w:val="outset" w:sz="6" w:space="0" w:color="auto"/>
            </w:tcBorders>
          </w:tcPr>
          <w:p w14:paraId="31B3D89B" w14:textId="77777777" w:rsidR="0014572D" w:rsidRPr="005E0196" w:rsidRDefault="0014572D">
            <w:pPr>
              <w:rPr>
                <w:lang w:eastAsia="en-US"/>
              </w:rPr>
            </w:pPr>
            <w:r w:rsidRPr="005E0196">
              <w:rPr>
                <w:lang w:eastAsia="en-US"/>
              </w:rPr>
              <w:t> Cita informācija</w:t>
            </w:r>
          </w:p>
        </w:tc>
        <w:tc>
          <w:tcPr>
            <w:tcW w:w="6868" w:type="dxa"/>
            <w:gridSpan w:val="2"/>
            <w:tcBorders>
              <w:top w:val="outset" w:sz="6" w:space="0" w:color="auto"/>
              <w:left w:val="outset" w:sz="6" w:space="0" w:color="auto"/>
              <w:bottom w:val="outset" w:sz="6" w:space="0" w:color="auto"/>
              <w:right w:val="outset" w:sz="6" w:space="0" w:color="auto"/>
            </w:tcBorders>
          </w:tcPr>
          <w:p w14:paraId="31B3D89C" w14:textId="77777777" w:rsidR="0014572D" w:rsidRPr="005E0196" w:rsidRDefault="0014572D">
            <w:pPr>
              <w:jc w:val="both"/>
              <w:rPr>
                <w:lang w:eastAsia="en-US"/>
              </w:rPr>
            </w:pPr>
            <w:r w:rsidRPr="005E0196">
              <w:rPr>
                <w:lang w:eastAsia="en-US"/>
              </w:rPr>
              <w:t>Nav.</w:t>
            </w:r>
          </w:p>
        </w:tc>
      </w:tr>
    </w:tbl>
    <w:p w14:paraId="0FE88CCF" w14:textId="77777777" w:rsidR="00934748" w:rsidRDefault="00934748"/>
    <w:tbl>
      <w:tblPr>
        <w:tblpPr w:leftFromText="180" w:rightFromText="180" w:vertAnchor="text" w:tblpXSpec="right" w:tblpY="1"/>
        <w:tblOverlap w:val="never"/>
        <w:tblW w:w="93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786"/>
        <w:gridCol w:w="6233"/>
      </w:tblGrid>
      <w:tr w:rsidR="00C25271" w:rsidRPr="005E0196" w14:paraId="31B3D89F" w14:textId="77777777" w:rsidTr="00934748">
        <w:trPr>
          <w:trHeight w:val="585"/>
          <w:tblCellSpacing w:w="0" w:type="dxa"/>
        </w:trPr>
        <w:tc>
          <w:tcPr>
            <w:tcW w:w="9343" w:type="dxa"/>
            <w:gridSpan w:val="3"/>
            <w:tcBorders>
              <w:top w:val="outset" w:sz="6" w:space="0" w:color="auto"/>
              <w:left w:val="outset" w:sz="6" w:space="0" w:color="auto"/>
              <w:bottom w:val="outset" w:sz="6" w:space="0" w:color="auto"/>
              <w:right w:val="outset" w:sz="6" w:space="0" w:color="auto"/>
            </w:tcBorders>
            <w:vAlign w:val="center"/>
          </w:tcPr>
          <w:p w14:paraId="31B3D89E" w14:textId="66719023" w:rsidR="00C25271" w:rsidRPr="001E5281" w:rsidRDefault="00C25271">
            <w:pPr>
              <w:spacing w:before="120" w:after="120"/>
              <w:jc w:val="center"/>
              <w:rPr>
                <w:b/>
                <w:bCs/>
                <w:color w:val="FF0000"/>
              </w:rPr>
            </w:pPr>
            <w:r w:rsidRPr="005E0196">
              <w:rPr>
                <w:b/>
                <w:bCs/>
              </w:rPr>
              <w:t> II. Tiesību akta projekta ietekme uz sabiedrību, tautsaimniecības attīstību un administratīvo slogu</w:t>
            </w:r>
          </w:p>
        </w:tc>
      </w:tr>
      <w:tr w:rsidR="00C25271" w:rsidRPr="005E0196" w14:paraId="31B3D8A3" w14:textId="77777777" w:rsidTr="00934748">
        <w:tblPrEx>
          <w:tblCellMar>
            <w:left w:w="57" w:type="dxa"/>
            <w:right w:w="57" w:type="dxa"/>
          </w:tblCellMar>
        </w:tblPrEx>
        <w:trPr>
          <w:trHeight w:val="905"/>
          <w:tblCellSpacing w:w="0" w:type="dxa"/>
        </w:trPr>
        <w:tc>
          <w:tcPr>
            <w:tcW w:w="324" w:type="dxa"/>
            <w:tcBorders>
              <w:top w:val="outset" w:sz="6" w:space="0" w:color="auto"/>
              <w:left w:val="outset" w:sz="6" w:space="0" w:color="auto"/>
              <w:bottom w:val="outset" w:sz="6" w:space="0" w:color="auto"/>
              <w:right w:val="outset" w:sz="6" w:space="0" w:color="auto"/>
            </w:tcBorders>
            <w:shd w:val="clear" w:color="auto" w:fill="auto"/>
          </w:tcPr>
          <w:p w14:paraId="31B3D8A0" w14:textId="77777777" w:rsidR="00C25271" w:rsidRPr="00987E80" w:rsidRDefault="00C25271">
            <w:pPr>
              <w:rPr>
                <w:lang w:eastAsia="en-US"/>
              </w:rPr>
            </w:pPr>
            <w:r w:rsidRPr="00987E80">
              <w:rPr>
                <w:lang w:eastAsia="en-US"/>
              </w:rPr>
              <w:t>1.</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31B3D8A1" w14:textId="77777777" w:rsidR="00C25271" w:rsidRPr="00987E80" w:rsidRDefault="00C25271">
            <w:pPr>
              <w:rPr>
                <w:lang w:eastAsia="en-US"/>
              </w:rPr>
            </w:pPr>
            <w:r w:rsidRPr="00987E80">
              <w:rPr>
                <w:lang w:eastAsia="en-US"/>
              </w:rPr>
              <w:t xml:space="preserve">Sabiedrības </w:t>
            </w:r>
            <w:proofErr w:type="spellStart"/>
            <w:r w:rsidRPr="00987E80">
              <w:rPr>
                <w:lang w:eastAsia="en-US"/>
              </w:rPr>
              <w:t>mērķgrupas</w:t>
            </w:r>
            <w:proofErr w:type="spellEnd"/>
            <w:r w:rsidRPr="00987E80">
              <w:rPr>
                <w:lang w:eastAsia="en-US"/>
              </w:rPr>
              <w:t>, kuras tiesiskais regulējums ietekmē vai varētu ietekmēt</w:t>
            </w:r>
          </w:p>
        </w:tc>
        <w:tc>
          <w:tcPr>
            <w:tcW w:w="6233" w:type="dxa"/>
            <w:tcBorders>
              <w:top w:val="outset" w:sz="6" w:space="0" w:color="auto"/>
              <w:left w:val="outset" w:sz="6" w:space="0" w:color="auto"/>
              <w:bottom w:val="outset" w:sz="6" w:space="0" w:color="auto"/>
              <w:right w:val="outset" w:sz="6" w:space="0" w:color="auto"/>
            </w:tcBorders>
            <w:shd w:val="clear" w:color="auto" w:fill="auto"/>
          </w:tcPr>
          <w:p w14:paraId="3E65B791" w14:textId="1EEF896E" w:rsidR="00890442" w:rsidRDefault="00890442" w:rsidP="00890442">
            <w:pPr>
              <w:pStyle w:val="naiskr"/>
              <w:ind w:left="71"/>
              <w:jc w:val="both"/>
              <w:rPr>
                <w:lang w:eastAsia="en-US"/>
              </w:rPr>
            </w:pPr>
            <w:r>
              <w:rPr>
                <w:lang w:eastAsia="en-US"/>
              </w:rPr>
              <w:t>Eksporta un investīciju informācijas sistēma ir paredzēta sekojošai mērķauditorijai:</w:t>
            </w:r>
          </w:p>
          <w:p w14:paraId="5F4004E0" w14:textId="1E1C39CE" w:rsidR="00890442" w:rsidRDefault="00890442" w:rsidP="00890442">
            <w:pPr>
              <w:pStyle w:val="naiskr"/>
              <w:numPr>
                <w:ilvl w:val="0"/>
                <w:numId w:val="7"/>
              </w:numPr>
              <w:jc w:val="both"/>
              <w:rPr>
                <w:lang w:eastAsia="en-US"/>
              </w:rPr>
            </w:pPr>
            <w:r>
              <w:rPr>
                <w:lang w:eastAsia="en-US"/>
              </w:rPr>
              <w:t>Potenciālie un esošie eksportētāji;</w:t>
            </w:r>
          </w:p>
          <w:p w14:paraId="3607DEFD" w14:textId="55538F15" w:rsidR="00890442" w:rsidRDefault="00890442" w:rsidP="00890442">
            <w:pPr>
              <w:pStyle w:val="naiskr"/>
              <w:numPr>
                <w:ilvl w:val="0"/>
                <w:numId w:val="7"/>
              </w:numPr>
              <w:jc w:val="both"/>
              <w:rPr>
                <w:lang w:eastAsia="en-US"/>
              </w:rPr>
            </w:pPr>
            <w:r>
              <w:rPr>
                <w:lang w:eastAsia="en-US"/>
              </w:rPr>
              <w:t>Potenciālie un esošie ārvalstu un vietējie investori;</w:t>
            </w:r>
          </w:p>
          <w:p w14:paraId="3E14E257" w14:textId="0A1D2327" w:rsidR="00890442" w:rsidRDefault="00890442" w:rsidP="00890442">
            <w:pPr>
              <w:pStyle w:val="naiskr"/>
              <w:numPr>
                <w:ilvl w:val="0"/>
                <w:numId w:val="7"/>
              </w:numPr>
              <w:spacing w:before="0" w:after="0"/>
              <w:jc w:val="both"/>
              <w:rPr>
                <w:lang w:eastAsia="en-US"/>
              </w:rPr>
            </w:pPr>
            <w:r>
              <w:rPr>
                <w:lang w:eastAsia="en-US"/>
              </w:rPr>
              <w:t xml:space="preserve">Valsts </w:t>
            </w:r>
            <w:r w:rsidR="00AF35DE">
              <w:rPr>
                <w:lang w:eastAsia="en-US"/>
              </w:rPr>
              <w:t>pārvaldes iestādes</w:t>
            </w:r>
            <w:r>
              <w:rPr>
                <w:lang w:eastAsia="en-US"/>
              </w:rPr>
              <w:t>, kas rada un uztur eksportētājiem un investoriem interesējošu informāciju, un nodrošina dažādus pakalpojumus.</w:t>
            </w:r>
          </w:p>
          <w:p w14:paraId="31B3D8A2" w14:textId="3E505CE5" w:rsidR="00C25271" w:rsidRPr="005E0196" w:rsidRDefault="00890442" w:rsidP="00890442">
            <w:pPr>
              <w:pStyle w:val="naiskr"/>
              <w:spacing w:before="0" w:after="0"/>
              <w:ind w:left="71"/>
              <w:jc w:val="both"/>
              <w:rPr>
                <w:lang w:eastAsia="en-US"/>
              </w:rPr>
            </w:pPr>
            <w:r>
              <w:rPr>
                <w:lang w:eastAsia="en-US"/>
              </w:rPr>
              <w:t>Publicētās atvērtās datu kopas būs izmantojamas iedzīvotājiem, komersantiem, valsts pārvaldes iestādēm, pašvaldībām, biedrībām un nodibinājumiem.</w:t>
            </w:r>
          </w:p>
        </w:tc>
      </w:tr>
      <w:tr w:rsidR="00C25271" w:rsidRPr="005E0196" w14:paraId="31B3D8AB" w14:textId="77777777" w:rsidTr="00934748">
        <w:tblPrEx>
          <w:tblCellMar>
            <w:left w:w="57" w:type="dxa"/>
            <w:right w:w="57" w:type="dxa"/>
          </w:tblCellMar>
        </w:tblPrEx>
        <w:trPr>
          <w:trHeight w:val="628"/>
          <w:tblCellSpacing w:w="0" w:type="dxa"/>
        </w:trPr>
        <w:tc>
          <w:tcPr>
            <w:tcW w:w="324" w:type="dxa"/>
            <w:tcBorders>
              <w:top w:val="outset" w:sz="6" w:space="0" w:color="auto"/>
              <w:left w:val="outset" w:sz="6" w:space="0" w:color="auto"/>
              <w:bottom w:val="outset" w:sz="6" w:space="0" w:color="auto"/>
              <w:right w:val="outset" w:sz="6" w:space="0" w:color="auto"/>
            </w:tcBorders>
          </w:tcPr>
          <w:p w14:paraId="31B3D8A4" w14:textId="77777777" w:rsidR="00C25271" w:rsidRPr="00987E80" w:rsidRDefault="00C25271">
            <w:pPr>
              <w:rPr>
                <w:lang w:eastAsia="en-US"/>
              </w:rPr>
            </w:pPr>
            <w:r w:rsidRPr="00987E80">
              <w:rPr>
                <w:lang w:eastAsia="en-US"/>
              </w:rPr>
              <w:t>2.</w:t>
            </w:r>
          </w:p>
        </w:tc>
        <w:tc>
          <w:tcPr>
            <w:tcW w:w="2786" w:type="dxa"/>
            <w:tcBorders>
              <w:top w:val="outset" w:sz="6" w:space="0" w:color="auto"/>
              <w:left w:val="outset" w:sz="6" w:space="0" w:color="auto"/>
              <w:bottom w:val="outset" w:sz="6" w:space="0" w:color="auto"/>
              <w:right w:val="outset" w:sz="6" w:space="0" w:color="auto"/>
            </w:tcBorders>
          </w:tcPr>
          <w:p w14:paraId="31B3D8A5" w14:textId="77777777" w:rsidR="00C25271" w:rsidRPr="00987E80" w:rsidRDefault="00C25271">
            <w:pPr>
              <w:rPr>
                <w:lang w:eastAsia="en-US"/>
              </w:rPr>
            </w:pPr>
            <w:r w:rsidRPr="00987E80">
              <w:rPr>
                <w:lang w:eastAsia="en-US"/>
              </w:rPr>
              <w:t>Tiesiskā regulējuma ietekme uz tautsaimniecību un administratīvo slogu</w:t>
            </w:r>
          </w:p>
        </w:tc>
        <w:tc>
          <w:tcPr>
            <w:tcW w:w="6233" w:type="dxa"/>
            <w:tcBorders>
              <w:top w:val="outset" w:sz="6" w:space="0" w:color="auto"/>
              <w:left w:val="outset" w:sz="6" w:space="0" w:color="auto"/>
              <w:bottom w:val="outset" w:sz="6" w:space="0" w:color="auto"/>
              <w:right w:val="outset" w:sz="6" w:space="0" w:color="auto"/>
            </w:tcBorders>
          </w:tcPr>
          <w:p w14:paraId="7D6604BD" w14:textId="4E727B71" w:rsidR="00C25271" w:rsidRDefault="00AF35DE" w:rsidP="00AB2B04">
            <w:pPr>
              <w:pStyle w:val="VPBody"/>
              <w:tabs>
                <w:tab w:val="left" w:pos="0"/>
              </w:tabs>
              <w:spacing w:after="0" w:line="240" w:lineRule="auto"/>
              <w:jc w:val="both"/>
              <w:rPr>
                <w:szCs w:val="24"/>
              </w:rPr>
            </w:pPr>
            <w:r>
              <w:rPr>
                <w:szCs w:val="24"/>
              </w:rPr>
              <w:t xml:space="preserve">Projekta realizācijas ietvaros tiks samazināts administratīvais slogs valsts pārvaldes iestādēm, kas rada un uztur </w:t>
            </w:r>
            <w:r>
              <w:t xml:space="preserve">eksportētājiem un investoriem interesējošu informāciju, tai skaitā, </w:t>
            </w:r>
            <w:r w:rsidRPr="00AF35DE">
              <w:rPr>
                <w:szCs w:val="24"/>
              </w:rPr>
              <w:t>Latvijas Inv</w:t>
            </w:r>
            <w:r>
              <w:rPr>
                <w:szCs w:val="24"/>
              </w:rPr>
              <w:t>estīciju un attīstības aģentūra</w:t>
            </w:r>
            <w:r w:rsidR="00AB2B04">
              <w:rPr>
                <w:szCs w:val="24"/>
              </w:rPr>
              <w:t>i</w:t>
            </w:r>
            <w:r>
              <w:rPr>
                <w:szCs w:val="24"/>
              </w:rPr>
              <w:t>, Ārlietu ministrija</w:t>
            </w:r>
            <w:r w:rsidR="00AB2B04">
              <w:rPr>
                <w:szCs w:val="24"/>
              </w:rPr>
              <w:t>i</w:t>
            </w:r>
            <w:r>
              <w:rPr>
                <w:szCs w:val="24"/>
              </w:rPr>
              <w:t>, Ekonomikas ministrija</w:t>
            </w:r>
            <w:r w:rsidR="00AB2B04">
              <w:rPr>
                <w:szCs w:val="24"/>
              </w:rPr>
              <w:t>i</w:t>
            </w:r>
            <w:r>
              <w:rPr>
                <w:szCs w:val="24"/>
              </w:rPr>
              <w:t>, kā arī komersantiem</w:t>
            </w:r>
            <w:r w:rsidR="00AB2B04">
              <w:rPr>
                <w:szCs w:val="24"/>
              </w:rPr>
              <w:t xml:space="preserve"> (eksportētājiem un investoriem), kuri veic informācijas meklēšanu </w:t>
            </w:r>
            <w:r w:rsidR="00AB2B04" w:rsidRPr="00AB2B04">
              <w:rPr>
                <w:szCs w:val="24"/>
              </w:rPr>
              <w:t>par eksporta un investīciju jomas aktualitātēm</w:t>
            </w:r>
            <w:r w:rsidR="00AB2B04">
              <w:rPr>
                <w:szCs w:val="24"/>
              </w:rPr>
              <w:t xml:space="preserve">, sazinās un saņem pakalpojumus no </w:t>
            </w:r>
            <w:r w:rsidR="00AB2B04" w:rsidRPr="00AF35DE">
              <w:rPr>
                <w:szCs w:val="24"/>
              </w:rPr>
              <w:t>Latvijas Inv</w:t>
            </w:r>
            <w:r w:rsidR="00AB2B04">
              <w:rPr>
                <w:szCs w:val="24"/>
              </w:rPr>
              <w:t>estīciju un attīstības aģentūras.</w:t>
            </w:r>
            <w:r w:rsidR="000B596B">
              <w:rPr>
                <w:szCs w:val="24"/>
              </w:rPr>
              <w:t xml:space="preserve"> </w:t>
            </w:r>
            <w:r w:rsidR="00AB2B04">
              <w:rPr>
                <w:szCs w:val="24"/>
              </w:rPr>
              <w:t xml:space="preserve">Publicējot datu kopas Atvērto datu portālā, tiek uzlabota datu pieejamība un </w:t>
            </w:r>
            <w:proofErr w:type="spellStart"/>
            <w:r w:rsidR="00AB2B04">
              <w:rPr>
                <w:szCs w:val="24"/>
              </w:rPr>
              <w:t>atkalizmantojamība</w:t>
            </w:r>
            <w:proofErr w:type="spellEnd"/>
            <w:r w:rsidR="00AB2B04">
              <w:rPr>
                <w:szCs w:val="24"/>
              </w:rPr>
              <w:t>.</w:t>
            </w:r>
          </w:p>
          <w:p w14:paraId="18F68741" w14:textId="31ADCB00" w:rsidR="00F0256E" w:rsidRDefault="00F0256E" w:rsidP="00AB2B04">
            <w:pPr>
              <w:pStyle w:val="VPBody"/>
              <w:tabs>
                <w:tab w:val="left" w:pos="0"/>
              </w:tabs>
              <w:spacing w:after="0" w:line="240" w:lineRule="auto"/>
              <w:jc w:val="both"/>
              <w:rPr>
                <w:szCs w:val="24"/>
              </w:rPr>
            </w:pPr>
          </w:p>
          <w:p w14:paraId="7659C19F" w14:textId="31A8C7D4" w:rsidR="00F0256E" w:rsidRPr="00F0256E" w:rsidRDefault="00F0256E" w:rsidP="00F0256E">
            <w:pPr>
              <w:pStyle w:val="VPBody"/>
              <w:tabs>
                <w:tab w:val="left" w:pos="0"/>
              </w:tabs>
              <w:spacing w:after="0" w:line="240" w:lineRule="auto"/>
              <w:jc w:val="both"/>
              <w:rPr>
                <w:szCs w:val="24"/>
              </w:rPr>
            </w:pPr>
            <w:r w:rsidRPr="00F0256E">
              <w:rPr>
                <w:szCs w:val="24"/>
              </w:rPr>
              <w:t xml:space="preserve">Projektam </w:t>
            </w:r>
            <w:r>
              <w:rPr>
                <w:szCs w:val="24"/>
              </w:rPr>
              <w:t>ir</w:t>
            </w:r>
            <w:r w:rsidRPr="00F0256E">
              <w:rPr>
                <w:szCs w:val="24"/>
              </w:rPr>
              <w:t xml:space="preserve"> noteikti šādi sociālekonomiskie ieguvumi:</w:t>
            </w:r>
          </w:p>
          <w:p w14:paraId="6C65F9CE" w14:textId="73BA2F22" w:rsidR="00F0256E" w:rsidRPr="00F0256E" w:rsidRDefault="00F0256E" w:rsidP="00F0256E">
            <w:pPr>
              <w:pStyle w:val="VPBody"/>
              <w:tabs>
                <w:tab w:val="left" w:pos="0"/>
              </w:tabs>
              <w:spacing w:after="0" w:line="240" w:lineRule="auto"/>
              <w:jc w:val="both"/>
              <w:rPr>
                <w:szCs w:val="24"/>
              </w:rPr>
            </w:pPr>
            <w:r w:rsidRPr="00F0256E">
              <w:rPr>
                <w:szCs w:val="24"/>
              </w:rPr>
              <w:t>1.</w:t>
            </w:r>
            <w:r w:rsidRPr="00F0256E">
              <w:rPr>
                <w:szCs w:val="24"/>
              </w:rPr>
              <w:tab/>
              <w:t xml:space="preserve">LIAA informācijas </w:t>
            </w:r>
            <w:proofErr w:type="spellStart"/>
            <w:r w:rsidRPr="00F0256E">
              <w:rPr>
                <w:szCs w:val="24"/>
              </w:rPr>
              <w:t>mašīntulkošana</w:t>
            </w:r>
            <w:proofErr w:type="spellEnd"/>
            <w:r w:rsidRPr="00F0256E">
              <w:rPr>
                <w:szCs w:val="24"/>
              </w:rPr>
              <w:t xml:space="preserve"> radīs pozitīvu ietekmi LIAA klientiem, jo, saņemot informāciju angļu un krievu valodās, tiks samazināts resursu patēriņš, kuru klienti izmanto informācijas tulkošanai. Gada ietvaros tas radīs 14 000 </w:t>
            </w:r>
            <w:proofErr w:type="spellStart"/>
            <w:r w:rsidRPr="00170306">
              <w:rPr>
                <w:i/>
                <w:szCs w:val="24"/>
              </w:rPr>
              <w:t>e</w:t>
            </w:r>
            <w:r w:rsidR="000926B4" w:rsidRPr="00170306">
              <w:rPr>
                <w:i/>
                <w:szCs w:val="24"/>
              </w:rPr>
              <w:t>u</w:t>
            </w:r>
            <w:r w:rsidRPr="00170306">
              <w:rPr>
                <w:i/>
                <w:szCs w:val="24"/>
              </w:rPr>
              <w:t>ro</w:t>
            </w:r>
            <w:proofErr w:type="spellEnd"/>
            <w:r w:rsidRPr="00F0256E">
              <w:rPr>
                <w:szCs w:val="24"/>
              </w:rPr>
              <w:t xml:space="preserve"> ieguvumu, Projekta pārskata</w:t>
            </w:r>
            <w:r w:rsidR="0046746C">
              <w:rPr>
                <w:szCs w:val="24"/>
              </w:rPr>
              <w:t xml:space="preserve"> periodā, t.i.</w:t>
            </w:r>
            <w:r w:rsidR="00081D6E">
              <w:rPr>
                <w:szCs w:val="24"/>
              </w:rPr>
              <w:t>,</w:t>
            </w:r>
            <w:r w:rsidR="0046746C">
              <w:rPr>
                <w:szCs w:val="24"/>
              </w:rPr>
              <w:t xml:space="preserve"> līdz 2030. gada </w:t>
            </w:r>
            <w:r w:rsidR="00081D6E">
              <w:rPr>
                <w:szCs w:val="24"/>
              </w:rPr>
              <w:t>0</w:t>
            </w:r>
            <w:r w:rsidRPr="00F0256E">
              <w:rPr>
                <w:szCs w:val="24"/>
              </w:rPr>
              <w:t>1.</w:t>
            </w:r>
            <w:r w:rsidR="00081D6E">
              <w:rPr>
                <w:szCs w:val="24"/>
              </w:rPr>
              <w:t xml:space="preserve"> </w:t>
            </w:r>
            <w:r w:rsidRPr="00F0256E">
              <w:rPr>
                <w:szCs w:val="24"/>
              </w:rPr>
              <w:t xml:space="preserve">jūlijam, tas radīs 95 000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(diskontētā vērtība) ieguvumu.</w:t>
            </w:r>
          </w:p>
          <w:p w14:paraId="1F2D3638" w14:textId="48AF0DF5" w:rsidR="00F0256E" w:rsidRPr="00F0256E" w:rsidRDefault="00F0256E" w:rsidP="00F0256E">
            <w:pPr>
              <w:pStyle w:val="VPBody"/>
              <w:tabs>
                <w:tab w:val="left" w:pos="0"/>
              </w:tabs>
              <w:spacing w:after="0" w:line="240" w:lineRule="auto"/>
              <w:jc w:val="both"/>
              <w:rPr>
                <w:szCs w:val="24"/>
              </w:rPr>
            </w:pPr>
            <w:r w:rsidRPr="00F0256E">
              <w:rPr>
                <w:szCs w:val="24"/>
              </w:rPr>
              <w:t>2.</w:t>
            </w:r>
            <w:r w:rsidRPr="00F0256E">
              <w:rPr>
                <w:szCs w:val="24"/>
              </w:rPr>
              <w:tab/>
              <w:t xml:space="preserve">Pašlaik LIAA klienti, apmeklējot LIAA mājaslapu, gadā patērē apmēram 35 minūtes (vidēji) informācijas meklēšanai. Sniedzot klientiem personalizētu informāciju, reģistrētiem klientiem būs iespējams samazināt patērēto laiku informācijas meklēšanai. Pieņemot, ka mēnesī 10% no LIAA mājaslapas apmeklētājiem (31927 skatījumi) būs reģistrējušies un saņems </w:t>
            </w:r>
            <w:r w:rsidRPr="00F0256E">
              <w:rPr>
                <w:szCs w:val="24"/>
              </w:rPr>
              <w:lastRenderedPageBreak/>
              <w:t xml:space="preserve">personalizētu informāciju, tad Projekta pārskata periodā klientiem tiks radīts kopā 705 000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(diskontētā vērtība) ieguvums.</w:t>
            </w:r>
          </w:p>
          <w:p w14:paraId="2485C8DA" w14:textId="12EA456F" w:rsidR="00F0256E" w:rsidRDefault="00F0256E" w:rsidP="00F0256E">
            <w:pPr>
              <w:pStyle w:val="VPBody"/>
              <w:tabs>
                <w:tab w:val="left" w:pos="0"/>
              </w:tabs>
              <w:spacing w:after="0" w:line="240" w:lineRule="auto"/>
              <w:jc w:val="both"/>
              <w:rPr>
                <w:szCs w:val="24"/>
              </w:rPr>
            </w:pPr>
            <w:r w:rsidRPr="00F0256E">
              <w:rPr>
                <w:szCs w:val="24"/>
              </w:rPr>
              <w:t>3.</w:t>
            </w:r>
            <w:r w:rsidRPr="00F0256E">
              <w:rPr>
                <w:szCs w:val="24"/>
              </w:rPr>
              <w:tab/>
              <w:t xml:space="preserve">LIAA klientiem ieguvumi radīsies pakalpojumu elektronizācijas rezultātā, jo tiks ietaupīts laiks un resursi, kuru pašlaik LIAA klienti izmanto, lai uz vietas saņemtu LIAA pakalpojumus. Pakalpojumu elektronizācija ļaus vidēji 80 pakalpojumus mēnesī sniegt elektroniski, ietaupot 4,20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ceļa un autostāvvietas izmaksās, kā arī aptuveni 10,24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patērētā laika resursu ekonomijā. Projekta pārskata perioda ietvaros tas radīs 77 000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(diskontētā vērtība) ieguvumu.</w:t>
            </w:r>
          </w:p>
          <w:p w14:paraId="2908801C" w14:textId="77777777" w:rsidR="00F0256E" w:rsidRPr="00F0256E" w:rsidRDefault="00F0256E" w:rsidP="00F0256E">
            <w:pPr>
              <w:pStyle w:val="VPBody"/>
              <w:tabs>
                <w:tab w:val="left" w:pos="0"/>
              </w:tabs>
              <w:spacing w:after="0" w:line="240" w:lineRule="auto"/>
              <w:jc w:val="both"/>
              <w:rPr>
                <w:szCs w:val="24"/>
              </w:rPr>
            </w:pPr>
          </w:p>
          <w:p w14:paraId="3B772A1D" w14:textId="3773814E" w:rsidR="00F0256E" w:rsidRPr="00F0256E" w:rsidRDefault="00F0256E" w:rsidP="00F0256E">
            <w:pPr>
              <w:pStyle w:val="VPBody"/>
              <w:tabs>
                <w:tab w:val="left" w:pos="0"/>
              </w:tabs>
              <w:spacing w:after="0" w:line="240" w:lineRule="auto"/>
              <w:jc w:val="both"/>
              <w:rPr>
                <w:szCs w:val="24"/>
              </w:rPr>
            </w:pPr>
            <w:r w:rsidRPr="00F0256E">
              <w:rPr>
                <w:szCs w:val="24"/>
              </w:rPr>
              <w:t>Projekta</w:t>
            </w:r>
            <w:r>
              <w:rPr>
                <w:szCs w:val="24"/>
              </w:rPr>
              <w:t>m ir</w:t>
            </w:r>
            <w:r w:rsidRPr="00F0256E">
              <w:rPr>
                <w:szCs w:val="24"/>
              </w:rPr>
              <w:t xml:space="preserve"> noteikti šādi ieguvumi, kas radīsies projekta </w:t>
            </w:r>
            <w:proofErr w:type="spellStart"/>
            <w:r w:rsidRPr="00F0256E">
              <w:rPr>
                <w:szCs w:val="24"/>
              </w:rPr>
              <w:t>īstenotājiestādei</w:t>
            </w:r>
            <w:proofErr w:type="spellEnd"/>
            <w:r w:rsidRPr="00F0256E">
              <w:rPr>
                <w:szCs w:val="24"/>
              </w:rPr>
              <w:t>:</w:t>
            </w:r>
          </w:p>
          <w:p w14:paraId="659768FC" w14:textId="1ACB2735" w:rsidR="00F0256E" w:rsidRPr="00F0256E" w:rsidRDefault="00F0256E" w:rsidP="00F0256E">
            <w:pPr>
              <w:pStyle w:val="VPBody"/>
              <w:tabs>
                <w:tab w:val="left" w:pos="0"/>
              </w:tabs>
              <w:spacing w:after="0" w:line="240" w:lineRule="auto"/>
              <w:jc w:val="both"/>
              <w:rPr>
                <w:szCs w:val="24"/>
              </w:rPr>
            </w:pPr>
            <w:r w:rsidRPr="00F0256E">
              <w:rPr>
                <w:szCs w:val="24"/>
              </w:rPr>
              <w:t>1.</w:t>
            </w:r>
            <w:r w:rsidRPr="00F0256E">
              <w:rPr>
                <w:szCs w:val="24"/>
              </w:rPr>
              <w:tab/>
              <w:t xml:space="preserve">LIAA publicētās informācijas tulkošana svešvalodās, izmantojot </w:t>
            </w:r>
            <w:proofErr w:type="spellStart"/>
            <w:r w:rsidRPr="00F0256E">
              <w:rPr>
                <w:szCs w:val="24"/>
              </w:rPr>
              <w:t>mašīntulkošanu</w:t>
            </w:r>
            <w:proofErr w:type="spellEnd"/>
            <w:r w:rsidRPr="00F0256E">
              <w:rPr>
                <w:szCs w:val="24"/>
              </w:rPr>
              <w:t xml:space="preserve">, samazinās LIAA darbinieku pavadīto laiku, kas pašlaik tiek izmantots informācijas manuālai tulkošanai. Īstenojot Projektu, sākot no 2020. gada, LIAA būs iespējams efektīvāk izmantot 50 stundas mēnesī, kuras līdz šim LIAA darbinieki izmantoja informācijas manuālai tulkošanai, kas gada ietvaros radīs ieguvumu aptuveni 7050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apmērā, un Projekta pārskata periodā, t.i.</w:t>
            </w:r>
            <w:r w:rsidR="00081D6E">
              <w:rPr>
                <w:szCs w:val="24"/>
              </w:rPr>
              <w:t>,</w:t>
            </w:r>
            <w:r w:rsidRPr="00F0256E">
              <w:rPr>
                <w:szCs w:val="24"/>
              </w:rPr>
              <w:t xml:space="preserve"> līdz 2030. gada 01.</w:t>
            </w:r>
            <w:r w:rsidR="00081D6E">
              <w:rPr>
                <w:szCs w:val="24"/>
              </w:rPr>
              <w:t xml:space="preserve"> </w:t>
            </w:r>
            <w:r w:rsidRPr="00F0256E">
              <w:rPr>
                <w:szCs w:val="24"/>
              </w:rPr>
              <w:t xml:space="preserve">jūlijam, LIAA radīs administratīvā sloga samazinājumu 45 000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(diskontētā vērtība) apmērā.</w:t>
            </w:r>
          </w:p>
          <w:p w14:paraId="7CA36C33" w14:textId="7EABCC81" w:rsidR="00F0256E" w:rsidRPr="00F0256E" w:rsidRDefault="00F0256E" w:rsidP="00F0256E">
            <w:pPr>
              <w:pStyle w:val="VPBody"/>
              <w:tabs>
                <w:tab w:val="left" w:pos="0"/>
              </w:tabs>
              <w:spacing w:after="0" w:line="240" w:lineRule="auto"/>
              <w:jc w:val="both"/>
              <w:rPr>
                <w:szCs w:val="24"/>
              </w:rPr>
            </w:pPr>
            <w:r w:rsidRPr="00F0256E">
              <w:rPr>
                <w:szCs w:val="24"/>
              </w:rPr>
              <w:t>2.</w:t>
            </w:r>
            <w:r w:rsidRPr="00F0256E">
              <w:rPr>
                <w:szCs w:val="24"/>
              </w:rPr>
              <w:tab/>
              <w:t xml:space="preserve">Automātiski sniedzot LIAA klientiem tiem saistošās ziņas, tiks samazināts LIAA darbinieku pavadītais darba laiks klientu apziņošanā. Īstenojot Projektu tiek sagaidīts, ka, sākot no 2020. gada, būs iespējams automatizētā veidā aizstāt LIAA darbinieku pavadīto laiku klientiem saistošo jaunumu apziņošanai, kas pašlaik mēnesī aizņem 10 stundas iesaistīto speciālistu laika, kā rezultātā Projekta pārskata periodā LIAA sniedzot ieguvumu 96 000 </w:t>
            </w:r>
            <w:proofErr w:type="spellStart"/>
            <w:r w:rsidRPr="00170306">
              <w:rPr>
                <w:i/>
                <w:szCs w:val="24"/>
              </w:rPr>
              <w:t>e</w:t>
            </w:r>
            <w:r w:rsidR="00EE1394" w:rsidRPr="00170306">
              <w:rPr>
                <w:i/>
                <w:szCs w:val="24"/>
              </w:rPr>
              <w:t>u</w:t>
            </w:r>
            <w:r w:rsidRPr="00170306">
              <w:rPr>
                <w:i/>
                <w:szCs w:val="24"/>
              </w:rPr>
              <w:t>ro</w:t>
            </w:r>
            <w:proofErr w:type="spellEnd"/>
            <w:r w:rsidRPr="00F0256E">
              <w:rPr>
                <w:szCs w:val="24"/>
              </w:rPr>
              <w:t xml:space="preserve"> (diskontētā vērtība) apmērā.</w:t>
            </w:r>
          </w:p>
          <w:p w14:paraId="31B3D8AA" w14:textId="00FC45A1" w:rsidR="000B596B" w:rsidRPr="00771B50" w:rsidRDefault="000B596B" w:rsidP="00F0256E">
            <w:pPr>
              <w:pStyle w:val="VPBody"/>
              <w:tabs>
                <w:tab w:val="left" w:pos="0"/>
              </w:tabs>
              <w:spacing w:after="0" w:line="240" w:lineRule="auto"/>
              <w:jc w:val="both"/>
              <w:rPr>
                <w:szCs w:val="24"/>
              </w:rPr>
            </w:pPr>
          </w:p>
        </w:tc>
      </w:tr>
      <w:tr w:rsidR="00C25271" w:rsidRPr="005E0196" w14:paraId="31B3D8AF" w14:textId="77777777" w:rsidTr="00934748">
        <w:tblPrEx>
          <w:tblCellMar>
            <w:left w:w="57" w:type="dxa"/>
            <w:right w:w="57" w:type="dxa"/>
          </w:tblCellMar>
        </w:tblPrEx>
        <w:trPr>
          <w:tblCellSpacing w:w="0" w:type="dxa"/>
        </w:trPr>
        <w:tc>
          <w:tcPr>
            <w:tcW w:w="324" w:type="dxa"/>
            <w:tcBorders>
              <w:top w:val="outset" w:sz="6" w:space="0" w:color="auto"/>
              <w:left w:val="outset" w:sz="6" w:space="0" w:color="auto"/>
              <w:bottom w:val="outset" w:sz="6" w:space="0" w:color="auto"/>
              <w:right w:val="outset" w:sz="6" w:space="0" w:color="auto"/>
            </w:tcBorders>
          </w:tcPr>
          <w:p w14:paraId="31B3D8AC" w14:textId="77777777" w:rsidR="00C25271" w:rsidRPr="0082470E" w:rsidRDefault="00C25271">
            <w:pPr>
              <w:rPr>
                <w:lang w:eastAsia="en-US"/>
              </w:rPr>
            </w:pPr>
            <w:r w:rsidRPr="0082470E">
              <w:rPr>
                <w:lang w:eastAsia="en-US"/>
              </w:rPr>
              <w:lastRenderedPageBreak/>
              <w:t>3.</w:t>
            </w:r>
          </w:p>
        </w:tc>
        <w:tc>
          <w:tcPr>
            <w:tcW w:w="2786" w:type="dxa"/>
            <w:tcBorders>
              <w:top w:val="outset" w:sz="6" w:space="0" w:color="auto"/>
              <w:left w:val="outset" w:sz="6" w:space="0" w:color="auto"/>
              <w:bottom w:val="outset" w:sz="6" w:space="0" w:color="auto"/>
              <w:right w:val="outset" w:sz="6" w:space="0" w:color="auto"/>
            </w:tcBorders>
          </w:tcPr>
          <w:p w14:paraId="31B3D8AD" w14:textId="21B77596" w:rsidR="00C25271" w:rsidRPr="0082470E" w:rsidRDefault="00CD6ED6">
            <w:pPr>
              <w:rPr>
                <w:lang w:eastAsia="en-US"/>
              </w:rPr>
            </w:pPr>
            <w:r>
              <w:rPr>
                <w:lang w:eastAsia="en-US"/>
              </w:rPr>
              <w:t>Administratīvo izmaksu monetār</w:t>
            </w:r>
            <w:r w:rsidR="00C25271" w:rsidRPr="0082470E">
              <w:rPr>
                <w:lang w:eastAsia="en-US"/>
              </w:rPr>
              <w:t>s novērtējums</w:t>
            </w:r>
          </w:p>
        </w:tc>
        <w:tc>
          <w:tcPr>
            <w:tcW w:w="6233" w:type="dxa"/>
            <w:tcBorders>
              <w:top w:val="outset" w:sz="6" w:space="0" w:color="auto"/>
              <w:left w:val="outset" w:sz="6" w:space="0" w:color="auto"/>
              <w:bottom w:val="outset" w:sz="6" w:space="0" w:color="auto"/>
              <w:right w:val="outset" w:sz="6" w:space="0" w:color="auto"/>
            </w:tcBorders>
          </w:tcPr>
          <w:p w14:paraId="31B3D8AE" w14:textId="1470FB7C" w:rsidR="00C25271" w:rsidRPr="00EB5FBA" w:rsidRDefault="00191A91">
            <w:pPr>
              <w:jc w:val="both"/>
            </w:pPr>
            <w:r w:rsidRPr="00191A91">
              <w:t>Nav attiecināms</w:t>
            </w:r>
            <w:r w:rsidR="0008714C">
              <w:t>.</w:t>
            </w:r>
          </w:p>
        </w:tc>
      </w:tr>
      <w:tr w:rsidR="00C25271" w:rsidRPr="005E0196" w14:paraId="31B3D8B3" w14:textId="77777777" w:rsidTr="00934748">
        <w:tblPrEx>
          <w:tblCellMar>
            <w:left w:w="57" w:type="dxa"/>
            <w:right w:w="57" w:type="dxa"/>
          </w:tblCellMar>
        </w:tblPrEx>
        <w:trPr>
          <w:tblCellSpacing w:w="0" w:type="dxa"/>
        </w:trPr>
        <w:tc>
          <w:tcPr>
            <w:tcW w:w="324" w:type="dxa"/>
            <w:tcBorders>
              <w:top w:val="outset" w:sz="6" w:space="0" w:color="auto"/>
              <w:left w:val="outset" w:sz="6" w:space="0" w:color="auto"/>
              <w:bottom w:val="outset" w:sz="6" w:space="0" w:color="auto"/>
              <w:right w:val="outset" w:sz="6" w:space="0" w:color="auto"/>
            </w:tcBorders>
          </w:tcPr>
          <w:p w14:paraId="31B3D8B0" w14:textId="77777777" w:rsidR="00C25271" w:rsidRPr="005E0196" w:rsidRDefault="00C25271">
            <w:pPr>
              <w:rPr>
                <w:lang w:eastAsia="en-US"/>
              </w:rPr>
            </w:pPr>
            <w:r w:rsidRPr="005E0196">
              <w:rPr>
                <w:lang w:eastAsia="en-US"/>
              </w:rPr>
              <w:t>4.</w:t>
            </w:r>
          </w:p>
        </w:tc>
        <w:tc>
          <w:tcPr>
            <w:tcW w:w="2786" w:type="dxa"/>
            <w:tcBorders>
              <w:top w:val="outset" w:sz="6" w:space="0" w:color="auto"/>
              <w:left w:val="outset" w:sz="6" w:space="0" w:color="auto"/>
              <w:bottom w:val="outset" w:sz="6" w:space="0" w:color="auto"/>
              <w:right w:val="outset" w:sz="6" w:space="0" w:color="auto"/>
            </w:tcBorders>
          </w:tcPr>
          <w:p w14:paraId="31B3D8B1" w14:textId="77777777" w:rsidR="00C25271" w:rsidRPr="005E0196" w:rsidRDefault="00C25271">
            <w:pPr>
              <w:rPr>
                <w:lang w:eastAsia="en-US"/>
              </w:rPr>
            </w:pPr>
            <w:r w:rsidRPr="005E0196">
              <w:rPr>
                <w:lang w:eastAsia="en-US"/>
              </w:rPr>
              <w:t>Cita informācija</w:t>
            </w:r>
          </w:p>
        </w:tc>
        <w:tc>
          <w:tcPr>
            <w:tcW w:w="6233" w:type="dxa"/>
            <w:tcBorders>
              <w:top w:val="outset" w:sz="6" w:space="0" w:color="auto"/>
              <w:left w:val="outset" w:sz="6" w:space="0" w:color="auto"/>
              <w:bottom w:val="outset" w:sz="6" w:space="0" w:color="auto"/>
              <w:right w:val="outset" w:sz="6" w:space="0" w:color="auto"/>
            </w:tcBorders>
          </w:tcPr>
          <w:p w14:paraId="31B3D8B2" w14:textId="77777777" w:rsidR="00C25271" w:rsidRPr="005E0196" w:rsidRDefault="00C25271">
            <w:pPr>
              <w:jc w:val="both"/>
              <w:rPr>
                <w:lang w:eastAsia="en-US"/>
              </w:rPr>
            </w:pPr>
            <w:r w:rsidRPr="00245487">
              <w:rPr>
                <w:lang w:eastAsia="en-US"/>
              </w:rPr>
              <w:t>Nav attiecināms</w:t>
            </w:r>
            <w:r>
              <w:rPr>
                <w:lang w:eastAsia="en-US"/>
              </w:rPr>
              <w:t>.</w:t>
            </w:r>
          </w:p>
        </w:tc>
      </w:tr>
    </w:tbl>
    <w:p w14:paraId="7EE4E3ED" w14:textId="77777777" w:rsidR="00934748" w:rsidRDefault="00934748"/>
    <w:tbl>
      <w:tblPr>
        <w:tblpPr w:leftFromText="180" w:rightFromText="180" w:vertAnchor="text" w:tblpXSpec="right" w:tblpY="1"/>
        <w:tblOverlap w:val="never"/>
        <w:tblW w:w="9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1119"/>
        <w:gridCol w:w="1394"/>
        <w:gridCol w:w="1392"/>
        <w:gridCol w:w="1501"/>
        <w:gridCol w:w="1416"/>
      </w:tblGrid>
      <w:tr w:rsidR="00C25271" w:rsidRPr="002D3245" w14:paraId="31B3D8B5" w14:textId="77777777" w:rsidTr="00934748">
        <w:tc>
          <w:tcPr>
            <w:tcW w:w="92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B3D8B4" w14:textId="77777777" w:rsidR="00C25271" w:rsidRPr="002D3245" w:rsidRDefault="00C25271">
            <w:pPr>
              <w:pStyle w:val="ListParagraph"/>
              <w:tabs>
                <w:tab w:val="left" w:pos="2268"/>
                <w:tab w:val="left" w:pos="2410"/>
              </w:tabs>
              <w:spacing w:before="120" w:after="120"/>
              <w:ind w:left="1077"/>
              <w:jc w:val="center"/>
              <w:rPr>
                <w:b/>
                <w:bCs/>
              </w:rPr>
            </w:pPr>
            <w:r w:rsidRPr="00987E80">
              <w:rPr>
                <w:b/>
                <w:bCs/>
              </w:rPr>
              <w:t>III. Tiesību akta projekta ietekme uz valsts budžetu un pašvaldību budžetiem</w:t>
            </w:r>
          </w:p>
        </w:tc>
      </w:tr>
      <w:tr w:rsidR="00C25271" w:rsidRPr="002D3245" w14:paraId="31B3D8B9" w14:textId="77777777" w:rsidTr="00934748">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3D8B6" w14:textId="77777777" w:rsidR="00C25271" w:rsidRPr="002D3245" w:rsidRDefault="00C25271">
            <w:pPr>
              <w:jc w:val="center"/>
              <w:rPr>
                <w:b/>
                <w:lang w:eastAsia="en-US"/>
              </w:rPr>
            </w:pPr>
            <w:r w:rsidRPr="002D3245">
              <w:rPr>
                <w:b/>
              </w:rPr>
              <w:t>Rādītāji</w:t>
            </w:r>
          </w:p>
        </w:tc>
        <w:tc>
          <w:tcPr>
            <w:tcW w:w="2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3D8B7" w14:textId="14564887" w:rsidR="00C25271" w:rsidRPr="00C22C82" w:rsidRDefault="00C25271">
            <w:pPr>
              <w:jc w:val="center"/>
              <w:rPr>
                <w:b/>
                <w:lang w:eastAsia="en-US"/>
              </w:rPr>
            </w:pPr>
            <w:r w:rsidRPr="00C22C82">
              <w:rPr>
                <w:b/>
              </w:rPr>
              <w:t>2017.</w:t>
            </w:r>
            <w:r w:rsidR="00081D6E">
              <w:rPr>
                <w:b/>
              </w:rPr>
              <w:t xml:space="preserve"> </w:t>
            </w:r>
            <w:r w:rsidRPr="00C22C82">
              <w:rPr>
                <w:b/>
              </w:rPr>
              <w:t>gads</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B3D8B8" w14:textId="77777777" w:rsidR="00C25271" w:rsidRPr="00C22C82" w:rsidRDefault="00C25271">
            <w:pPr>
              <w:jc w:val="center"/>
              <w:rPr>
                <w:b/>
                <w:lang w:eastAsia="en-US"/>
              </w:rPr>
            </w:pPr>
            <w:r w:rsidRPr="00C22C82">
              <w:rPr>
                <w:b/>
              </w:rPr>
              <w:t>Turpmākie trīs gadi (</w:t>
            </w:r>
            <w:proofErr w:type="spellStart"/>
            <w:r w:rsidRPr="00C22C82">
              <w:rPr>
                <w:b/>
                <w:i/>
              </w:rPr>
              <w:t>euro</w:t>
            </w:r>
            <w:proofErr w:type="spellEnd"/>
            <w:r w:rsidRPr="00C22C82">
              <w:rPr>
                <w:b/>
              </w:rPr>
              <w:t>)</w:t>
            </w:r>
          </w:p>
        </w:tc>
      </w:tr>
      <w:tr w:rsidR="00C25271" w:rsidRPr="002D3245" w14:paraId="31B3D8BF" w14:textId="77777777" w:rsidTr="00934748">
        <w:tc>
          <w:tcPr>
            <w:tcW w:w="2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3D8BA" w14:textId="77777777" w:rsidR="00C25271" w:rsidRPr="002D3245" w:rsidRDefault="00C25271">
            <w:pPr>
              <w:rPr>
                <w:b/>
                <w:lang w:eastAsia="en-US"/>
              </w:rPr>
            </w:pPr>
          </w:p>
        </w:tc>
        <w:tc>
          <w:tcPr>
            <w:tcW w:w="25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3D8BB" w14:textId="77777777" w:rsidR="00C25271" w:rsidRPr="00C22C82" w:rsidRDefault="00C25271">
            <w:pPr>
              <w:rPr>
                <w:b/>
                <w:lang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BC" w14:textId="4D292222" w:rsidR="00C25271" w:rsidRPr="00C22C82" w:rsidRDefault="00C25271">
            <w:pPr>
              <w:jc w:val="center"/>
              <w:rPr>
                <w:b/>
                <w:lang w:eastAsia="en-US"/>
              </w:rPr>
            </w:pPr>
            <w:r w:rsidRPr="00C22C82">
              <w:rPr>
                <w:b/>
              </w:rPr>
              <w:t>2018.</w:t>
            </w:r>
            <w:r w:rsidR="00081D6E">
              <w:rPr>
                <w:b/>
              </w:rPr>
              <w:t xml:space="preserve"> </w:t>
            </w:r>
            <w:r w:rsidRPr="00C22C82">
              <w:rPr>
                <w:b/>
              </w:rPr>
              <w:t>g.</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BD" w14:textId="3E0F49F1" w:rsidR="00C25271" w:rsidRPr="00C22C82" w:rsidRDefault="00C25271">
            <w:pPr>
              <w:jc w:val="center"/>
              <w:rPr>
                <w:b/>
                <w:lang w:eastAsia="en-US"/>
              </w:rPr>
            </w:pPr>
            <w:r w:rsidRPr="00C22C82">
              <w:rPr>
                <w:b/>
              </w:rPr>
              <w:t>2019.</w:t>
            </w:r>
            <w:r w:rsidR="00081D6E">
              <w:rPr>
                <w:b/>
              </w:rPr>
              <w:t xml:space="preserve"> </w:t>
            </w:r>
            <w:r w:rsidRPr="00C22C82">
              <w:rPr>
                <w:b/>
              </w:rPr>
              <w:t>g.</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BE" w14:textId="6B94895A" w:rsidR="00C25271" w:rsidRPr="00C22C82" w:rsidRDefault="00C25271">
            <w:pPr>
              <w:jc w:val="center"/>
              <w:rPr>
                <w:b/>
                <w:lang w:eastAsia="en-US"/>
              </w:rPr>
            </w:pPr>
            <w:r w:rsidRPr="00C22C82">
              <w:rPr>
                <w:b/>
              </w:rPr>
              <w:t>2020.</w:t>
            </w:r>
            <w:r w:rsidR="00081D6E">
              <w:rPr>
                <w:b/>
              </w:rPr>
              <w:t xml:space="preserve"> </w:t>
            </w:r>
            <w:r w:rsidRPr="00C22C82">
              <w:rPr>
                <w:b/>
              </w:rPr>
              <w:t>g.</w:t>
            </w:r>
          </w:p>
        </w:tc>
      </w:tr>
      <w:tr w:rsidR="00C25271" w:rsidRPr="002D3245" w14:paraId="31B3D8C6" w14:textId="77777777" w:rsidTr="00934748">
        <w:tc>
          <w:tcPr>
            <w:tcW w:w="2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3D8C0" w14:textId="77777777" w:rsidR="00C25271" w:rsidRPr="002D3245" w:rsidRDefault="00C25271">
            <w:pPr>
              <w:rPr>
                <w:b/>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1" w14:textId="77777777" w:rsidR="00C25271" w:rsidRPr="00C22C82" w:rsidRDefault="00C25271">
            <w:pPr>
              <w:ind w:left="-108" w:right="-108"/>
              <w:jc w:val="center"/>
              <w:rPr>
                <w:b/>
                <w:lang w:eastAsia="en-US"/>
              </w:rPr>
            </w:pPr>
            <w:r w:rsidRPr="00C22C82">
              <w:rPr>
                <w:b/>
              </w:rPr>
              <w:t>saskaņā ar valsts budžetu kārtējam gadam</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2" w14:textId="77777777" w:rsidR="00C25271" w:rsidRPr="00C22C82" w:rsidRDefault="00C25271">
            <w:pPr>
              <w:jc w:val="center"/>
              <w:rPr>
                <w:b/>
                <w:lang w:eastAsia="en-US"/>
              </w:rPr>
            </w:pPr>
            <w:r w:rsidRPr="00C22C82">
              <w:rPr>
                <w:b/>
              </w:rPr>
              <w:t>izmaiņas kārtējā gadā, salīdzinot ar valsts budžetu kārtējam gadam</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3" w14:textId="77777777" w:rsidR="00C25271" w:rsidRPr="00C22C82" w:rsidRDefault="00C25271">
            <w:pPr>
              <w:jc w:val="center"/>
              <w:rPr>
                <w:b/>
                <w:lang w:eastAsia="en-US"/>
              </w:rPr>
            </w:pPr>
            <w:r w:rsidRPr="00C22C82">
              <w:rPr>
                <w:b/>
              </w:rPr>
              <w:t>izmaiņas, salīdzinot ar kārtējo 2017. gadu</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4" w14:textId="77777777" w:rsidR="00C25271" w:rsidRPr="00C22C82" w:rsidRDefault="00C25271">
            <w:pPr>
              <w:jc w:val="center"/>
              <w:rPr>
                <w:b/>
                <w:lang w:eastAsia="en-US"/>
              </w:rPr>
            </w:pPr>
            <w:r w:rsidRPr="00C22C82">
              <w:rPr>
                <w:b/>
              </w:rPr>
              <w:t>izmaiņas, salīdzinot ar kārtējo 2017. gadu</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5" w14:textId="77777777" w:rsidR="00C25271" w:rsidRPr="00C22C82" w:rsidRDefault="00C25271">
            <w:pPr>
              <w:jc w:val="center"/>
              <w:rPr>
                <w:b/>
                <w:lang w:eastAsia="en-US"/>
              </w:rPr>
            </w:pPr>
            <w:r w:rsidRPr="00C22C82">
              <w:rPr>
                <w:b/>
              </w:rPr>
              <w:t>izmaiņas, salīdzinot ar kārtējo 2017. gadu</w:t>
            </w:r>
          </w:p>
        </w:tc>
      </w:tr>
      <w:tr w:rsidR="00C25271" w:rsidRPr="002D3245" w14:paraId="31B3D8CD"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7" w14:textId="77777777" w:rsidR="00C25271" w:rsidRPr="002D3245" w:rsidRDefault="00C25271">
            <w:pPr>
              <w:jc w:val="center"/>
              <w:rPr>
                <w:lang w:eastAsia="en-US"/>
              </w:rPr>
            </w:pPr>
            <w:r w:rsidRPr="002D3245">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8" w14:textId="77777777" w:rsidR="00C25271" w:rsidRPr="00C22C82" w:rsidRDefault="00C25271">
            <w:pPr>
              <w:jc w:val="center"/>
              <w:rPr>
                <w:lang w:eastAsia="en-US"/>
              </w:rPr>
            </w:pPr>
            <w:r w:rsidRPr="00C22C82">
              <w:t>2</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9" w14:textId="77777777" w:rsidR="00C25271" w:rsidRPr="00C22C82" w:rsidRDefault="00C25271">
            <w:pPr>
              <w:jc w:val="center"/>
              <w:rPr>
                <w:lang w:eastAsia="en-US"/>
              </w:rPr>
            </w:pPr>
            <w:r w:rsidRPr="00C22C82">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A" w14:textId="77777777" w:rsidR="00C25271" w:rsidRPr="00C22C82" w:rsidRDefault="00C25271">
            <w:pPr>
              <w:jc w:val="center"/>
              <w:rPr>
                <w:lang w:eastAsia="en-US"/>
              </w:rPr>
            </w:pPr>
            <w:r w:rsidRPr="00C22C82">
              <w:t>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B" w14:textId="77777777" w:rsidR="00C25271" w:rsidRPr="00C22C82" w:rsidRDefault="00C25271">
            <w:pPr>
              <w:jc w:val="center"/>
              <w:rPr>
                <w:lang w:eastAsia="en-US"/>
              </w:rPr>
            </w:pPr>
            <w:r w:rsidRPr="00C22C82">
              <w:t>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8CC" w14:textId="77777777" w:rsidR="00C25271" w:rsidRPr="00C22C82" w:rsidRDefault="00C25271">
            <w:pPr>
              <w:jc w:val="center"/>
              <w:rPr>
                <w:lang w:eastAsia="en-US"/>
              </w:rPr>
            </w:pPr>
            <w:r w:rsidRPr="00C22C82">
              <w:t>6</w:t>
            </w:r>
          </w:p>
        </w:tc>
      </w:tr>
      <w:tr w:rsidR="00C25271" w:rsidRPr="002D3245" w14:paraId="31B3D8D4"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CE" w14:textId="77777777" w:rsidR="00C25271" w:rsidRPr="002D3245" w:rsidRDefault="00C25271">
            <w:pPr>
              <w:rPr>
                <w:lang w:eastAsia="en-US"/>
              </w:rPr>
            </w:pPr>
            <w:r w:rsidRPr="002D3245">
              <w:lastRenderedPageBreak/>
              <w:t>1. Budžeta ieņēmumi:</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CF" w14:textId="77777777" w:rsidR="00C25271" w:rsidRPr="00AA2DF0" w:rsidRDefault="00C25271">
            <w:pPr>
              <w:jc w:val="center"/>
              <w:rPr>
                <w:b/>
                <w:sz w:val="22"/>
                <w:szCs w:val="22"/>
                <w:lang w:eastAsia="en-US"/>
              </w:rPr>
            </w:pPr>
            <w:r>
              <w:rPr>
                <w:b/>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8D0" w14:textId="3C0A24EA" w:rsidR="00C25271" w:rsidRPr="00C311DF" w:rsidRDefault="00C5174A">
            <w:pPr>
              <w:jc w:val="center"/>
              <w:rPr>
                <w:b/>
                <w:sz w:val="22"/>
                <w:szCs w:val="22"/>
                <w:lang w:eastAsia="en-US"/>
              </w:rPr>
            </w:pPr>
            <w:r>
              <w:rPr>
                <w:b/>
                <w:color w:val="000000"/>
                <w:sz w:val="22"/>
              </w:rPr>
              <w:t>62 </w:t>
            </w:r>
            <w:r w:rsidRPr="00C5174A">
              <w:rPr>
                <w:b/>
                <w:color w:val="000000"/>
                <w:sz w:val="22"/>
              </w:rPr>
              <w:t>809</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D1" w14:textId="1A97855E" w:rsidR="00C25271" w:rsidRPr="00C311DF" w:rsidRDefault="00C5174A">
            <w:pPr>
              <w:jc w:val="center"/>
              <w:rPr>
                <w:b/>
                <w:sz w:val="22"/>
                <w:szCs w:val="22"/>
                <w:lang w:eastAsia="en-US"/>
              </w:rPr>
            </w:pPr>
            <w:r>
              <w:rPr>
                <w:b/>
                <w:color w:val="000000"/>
                <w:sz w:val="22"/>
              </w:rPr>
              <w:t>171 944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D2" w14:textId="160ADBFA" w:rsidR="00C25271" w:rsidRPr="00C311DF" w:rsidRDefault="00C5174A">
            <w:pPr>
              <w:jc w:val="center"/>
              <w:rPr>
                <w:b/>
                <w:sz w:val="22"/>
                <w:szCs w:val="22"/>
                <w:lang w:eastAsia="en-US"/>
              </w:rPr>
            </w:pPr>
            <w:r>
              <w:rPr>
                <w:b/>
                <w:color w:val="000000"/>
                <w:sz w:val="22"/>
              </w:rPr>
              <w:t>126 832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D3" w14:textId="3DBA4C5D" w:rsidR="00C25271" w:rsidRPr="00C311DF" w:rsidRDefault="00C5174A">
            <w:pPr>
              <w:jc w:val="center"/>
              <w:rPr>
                <w:b/>
                <w:sz w:val="22"/>
                <w:szCs w:val="22"/>
                <w:lang w:eastAsia="en-US"/>
              </w:rPr>
            </w:pPr>
            <w:r>
              <w:rPr>
                <w:b/>
                <w:sz w:val="22"/>
                <w:szCs w:val="22"/>
                <w:lang w:eastAsia="en-US"/>
              </w:rPr>
              <w:t>63 415</w:t>
            </w:r>
          </w:p>
        </w:tc>
      </w:tr>
      <w:tr w:rsidR="00C25271" w:rsidRPr="002D3245" w14:paraId="31B3D8DB"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D5" w14:textId="77777777" w:rsidR="00C25271" w:rsidRPr="002D3245" w:rsidRDefault="00C25271">
            <w:pPr>
              <w:rPr>
                <w:lang w:eastAsia="en-US"/>
              </w:rPr>
            </w:pPr>
            <w:r w:rsidRPr="002D3245">
              <w:t>1.1. valsts pamatbudžets, tai skaitā ieņēmumi no maksas pakalpojumiem un citi pašu ieņēmumi</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D6"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8D7" w14:textId="59752917" w:rsidR="00C25271" w:rsidRPr="00847E65" w:rsidRDefault="00C5174A">
            <w:pPr>
              <w:jc w:val="center"/>
              <w:rPr>
                <w:sz w:val="22"/>
                <w:szCs w:val="22"/>
                <w:lang w:eastAsia="en-US"/>
              </w:rPr>
            </w:pPr>
            <w:r>
              <w:rPr>
                <w:color w:val="000000"/>
                <w:sz w:val="22"/>
              </w:rPr>
              <w:t>62 809</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D8" w14:textId="21D1CC63" w:rsidR="00C25271" w:rsidRPr="00847E65" w:rsidRDefault="00C5174A">
            <w:pPr>
              <w:jc w:val="center"/>
              <w:rPr>
                <w:sz w:val="22"/>
                <w:szCs w:val="22"/>
                <w:lang w:eastAsia="en-US"/>
              </w:rPr>
            </w:pPr>
            <w:r>
              <w:rPr>
                <w:sz w:val="22"/>
                <w:szCs w:val="22"/>
                <w:lang w:eastAsia="en-US"/>
              </w:rPr>
              <w:t>171 944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D9" w14:textId="34E27C82" w:rsidR="00C25271" w:rsidRPr="00847E65" w:rsidRDefault="00C5174A">
            <w:pPr>
              <w:jc w:val="center"/>
              <w:rPr>
                <w:sz w:val="22"/>
                <w:szCs w:val="22"/>
                <w:lang w:eastAsia="en-US"/>
              </w:rPr>
            </w:pPr>
            <w:r>
              <w:rPr>
                <w:sz w:val="22"/>
                <w:szCs w:val="22"/>
                <w:lang w:eastAsia="en-US"/>
              </w:rPr>
              <w:t>126 832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DA" w14:textId="29783F4D" w:rsidR="00C25271" w:rsidRPr="002D3245" w:rsidRDefault="00C5174A">
            <w:pPr>
              <w:jc w:val="center"/>
              <w:rPr>
                <w:sz w:val="22"/>
                <w:szCs w:val="22"/>
                <w:lang w:eastAsia="en-US"/>
              </w:rPr>
            </w:pPr>
            <w:r>
              <w:rPr>
                <w:sz w:val="22"/>
                <w:szCs w:val="22"/>
                <w:lang w:eastAsia="en-US"/>
              </w:rPr>
              <w:t>63 415</w:t>
            </w:r>
          </w:p>
        </w:tc>
      </w:tr>
      <w:tr w:rsidR="00C25271" w:rsidRPr="002D3245" w14:paraId="31B3D8E2"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DC" w14:textId="77777777" w:rsidR="00C25271" w:rsidRPr="002D3245" w:rsidRDefault="00C25271">
            <w:pPr>
              <w:rPr>
                <w:lang w:eastAsia="en-US"/>
              </w:rPr>
            </w:pPr>
            <w:r w:rsidRPr="002D3245">
              <w:t>1.2. valsts speciālais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DD"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8DE"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DF" w14:textId="77777777" w:rsidR="00C25271" w:rsidRPr="002D3245"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E0" w14:textId="77777777" w:rsidR="00C25271" w:rsidRPr="002D3245"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E1" w14:textId="77777777" w:rsidR="00C25271" w:rsidRPr="002D3245" w:rsidRDefault="00C25271">
            <w:pPr>
              <w:jc w:val="center"/>
              <w:rPr>
                <w:sz w:val="22"/>
                <w:szCs w:val="22"/>
                <w:lang w:eastAsia="en-US"/>
              </w:rPr>
            </w:pPr>
            <w:r>
              <w:rPr>
                <w:sz w:val="22"/>
                <w:szCs w:val="22"/>
                <w:lang w:eastAsia="en-US"/>
              </w:rPr>
              <w:t>0</w:t>
            </w:r>
          </w:p>
        </w:tc>
      </w:tr>
      <w:tr w:rsidR="00C25271" w:rsidRPr="002D3245" w14:paraId="31B3D8E9"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E3" w14:textId="77777777" w:rsidR="00C25271" w:rsidRPr="002D3245" w:rsidRDefault="00C25271">
            <w:pPr>
              <w:rPr>
                <w:lang w:eastAsia="en-US"/>
              </w:rPr>
            </w:pPr>
            <w:r w:rsidRPr="002D3245">
              <w:t>1.3. pašvaldību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E4"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8E5"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E6" w14:textId="77777777" w:rsidR="00C25271" w:rsidRPr="002D3245"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E7" w14:textId="77777777" w:rsidR="00C25271" w:rsidRPr="002D3245"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E8" w14:textId="77777777" w:rsidR="00C25271" w:rsidRPr="002D3245" w:rsidRDefault="00C25271">
            <w:pPr>
              <w:jc w:val="center"/>
              <w:rPr>
                <w:sz w:val="22"/>
                <w:szCs w:val="22"/>
                <w:lang w:eastAsia="en-US"/>
              </w:rPr>
            </w:pPr>
            <w:r>
              <w:rPr>
                <w:sz w:val="22"/>
                <w:szCs w:val="22"/>
                <w:lang w:eastAsia="en-US"/>
              </w:rPr>
              <w:t>0</w:t>
            </w:r>
          </w:p>
        </w:tc>
      </w:tr>
      <w:tr w:rsidR="00C25271" w:rsidRPr="002D3245" w14:paraId="31B3D8F0"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EA" w14:textId="77777777" w:rsidR="00C25271" w:rsidRPr="002D3245" w:rsidRDefault="00C25271">
            <w:pPr>
              <w:rPr>
                <w:lang w:eastAsia="en-US"/>
              </w:rPr>
            </w:pPr>
            <w:r w:rsidRPr="002D3245">
              <w:t>2. Budžeta izdevumi:</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EB" w14:textId="77777777" w:rsidR="00C25271" w:rsidRPr="00AF3666" w:rsidRDefault="00C25271">
            <w:pPr>
              <w:jc w:val="center"/>
              <w:rPr>
                <w:b/>
                <w:sz w:val="22"/>
                <w:szCs w:val="22"/>
                <w:lang w:eastAsia="en-US"/>
              </w:rPr>
            </w:pPr>
            <w:r>
              <w:rPr>
                <w:b/>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8EC" w14:textId="30947512" w:rsidR="00C25271" w:rsidRPr="00962444" w:rsidRDefault="00ED5CD3">
            <w:pPr>
              <w:jc w:val="center"/>
              <w:rPr>
                <w:b/>
                <w:sz w:val="22"/>
                <w:szCs w:val="22"/>
                <w:lang w:eastAsia="en-US"/>
              </w:rPr>
            </w:pPr>
            <w:r>
              <w:rPr>
                <w:b/>
                <w:color w:val="000000"/>
                <w:sz w:val="22"/>
              </w:rPr>
              <w:t>73 893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ED" w14:textId="2C84E609" w:rsidR="00C25271" w:rsidRPr="00962444" w:rsidRDefault="00ED5CD3">
            <w:pPr>
              <w:jc w:val="center"/>
              <w:rPr>
                <w:b/>
                <w:sz w:val="22"/>
                <w:szCs w:val="22"/>
                <w:lang w:eastAsia="en-US"/>
              </w:rPr>
            </w:pPr>
            <w:r>
              <w:rPr>
                <w:b/>
                <w:color w:val="000000"/>
                <w:sz w:val="22"/>
              </w:rPr>
              <w:t>202 286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EE" w14:textId="19BE994E" w:rsidR="00C25271" w:rsidRPr="00962444" w:rsidRDefault="00ED5CD3">
            <w:pPr>
              <w:jc w:val="center"/>
              <w:rPr>
                <w:b/>
                <w:sz w:val="22"/>
                <w:szCs w:val="22"/>
                <w:lang w:eastAsia="en-US"/>
              </w:rPr>
            </w:pPr>
            <w:r>
              <w:rPr>
                <w:b/>
                <w:color w:val="000000"/>
                <w:sz w:val="22"/>
              </w:rPr>
              <w:t>149 214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EF" w14:textId="00662AC7" w:rsidR="00C25271" w:rsidRPr="00962444" w:rsidRDefault="00ED5CD3">
            <w:pPr>
              <w:jc w:val="center"/>
              <w:rPr>
                <w:b/>
                <w:sz w:val="22"/>
                <w:szCs w:val="22"/>
                <w:lang w:eastAsia="en-US"/>
              </w:rPr>
            </w:pPr>
            <w:r>
              <w:rPr>
                <w:b/>
                <w:sz w:val="22"/>
                <w:szCs w:val="22"/>
                <w:lang w:eastAsia="en-US"/>
              </w:rPr>
              <w:t>74 607</w:t>
            </w:r>
          </w:p>
        </w:tc>
      </w:tr>
      <w:tr w:rsidR="00C25271" w:rsidRPr="002D3245" w14:paraId="31B3D8F7"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F1" w14:textId="77777777" w:rsidR="00C25271" w:rsidRPr="002D3245" w:rsidRDefault="00C25271">
            <w:pPr>
              <w:rPr>
                <w:lang w:eastAsia="en-US"/>
              </w:rPr>
            </w:pPr>
            <w:r w:rsidRPr="002D3245">
              <w:t>2.1. valsts pamatbudžets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F2"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8F3" w14:textId="0C336EB4" w:rsidR="00C25271" w:rsidRPr="002064A0" w:rsidRDefault="00ED5CD3">
            <w:pPr>
              <w:jc w:val="center"/>
              <w:rPr>
                <w:sz w:val="22"/>
                <w:szCs w:val="22"/>
                <w:lang w:eastAsia="en-US"/>
              </w:rPr>
            </w:pPr>
            <w:r>
              <w:rPr>
                <w:color w:val="000000"/>
                <w:sz w:val="22"/>
              </w:rPr>
              <w:t>73 893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F4" w14:textId="70096F54" w:rsidR="00C25271" w:rsidRPr="002064A0" w:rsidRDefault="00ED5CD3">
            <w:pPr>
              <w:jc w:val="center"/>
              <w:rPr>
                <w:sz w:val="22"/>
                <w:szCs w:val="22"/>
                <w:lang w:eastAsia="en-US"/>
              </w:rPr>
            </w:pPr>
            <w:r>
              <w:rPr>
                <w:color w:val="000000"/>
                <w:sz w:val="22"/>
              </w:rPr>
              <w:t>202 286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F5" w14:textId="2398AB81" w:rsidR="00C25271" w:rsidRPr="002064A0" w:rsidRDefault="00ED5CD3">
            <w:pPr>
              <w:jc w:val="center"/>
              <w:rPr>
                <w:sz w:val="22"/>
                <w:szCs w:val="22"/>
                <w:lang w:eastAsia="en-US"/>
              </w:rPr>
            </w:pPr>
            <w:r>
              <w:rPr>
                <w:color w:val="000000"/>
                <w:sz w:val="22"/>
              </w:rPr>
              <w:t>149 214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F6" w14:textId="6DFB7637" w:rsidR="00C25271" w:rsidRPr="00F638E1" w:rsidRDefault="00ED5CD3">
            <w:pPr>
              <w:jc w:val="center"/>
              <w:rPr>
                <w:sz w:val="22"/>
                <w:szCs w:val="22"/>
                <w:lang w:eastAsia="en-US"/>
              </w:rPr>
            </w:pPr>
            <w:r>
              <w:rPr>
                <w:sz w:val="22"/>
                <w:szCs w:val="22"/>
                <w:lang w:eastAsia="en-US"/>
              </w:rPr>
              <w:t>74 607</w:t>
            </w:r>
          </w:p>
        </w:tc>
      </w:tr>
      <w:tr w:rsidR="00C25271" w:rsidRPr="002D3245" w14:paraId="31B3D8FE"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F8" w14:textId="77777777" w:rsidR="00C25271" w:rsidRPr="002D3245" w:rsidRDefault="00C25271">
            <w:pPr>
              <w:rPr>
                <w:lang w:eastAsia="en-US"/>
              </w:rPr>
            </w:pPr>
            <w:r w:rsidRPr="002D3245">
              <w:t>2.2. valsts speciālais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8F9"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8FA" w14:textId="77777777" w:rsidR="00C25271" w:rsidRPr="00CB1849"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8FB" w14:textId="77777777" w:rsidR="00C25271" w:rsidRPr="002D3245"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8FC" w14:textId="77777777" w:rsidR="00C25271" w:rsidRPr="002D3245"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8FD" w14:textId="77777777" w:rsidR="00C25271" w:rsidRPr="002D3245" w:rsidRDefault="00C25271">
            <w:pPr>
              <w:jc w:val="center"/>
              <w:rPr>
                <w:sz w:val="22"/>
                <w:szCs w:val="22"/>
                <w:lang w:eastAsia="en-US"/>
              </w:rPr>
            </w:pPr>
            <w:r>
              <w:rPr>
                <w:sz w:val="22"/>
                <w:szCs w:val="22"/>
                <w:lang w:eastAsia="en-US"/>
              </w:rPr>
              <w:t>0</w:t>
            </w:r>
          </w:p>
        </w:tc>
      </w:tr>
      <w:tr w:rsidR="00C25271" w:rsidRPr="002D3245" w14:paraId="31B3D905"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8FF" w14:textId="77777777" w:rsidR="00C25271" w:rsidRPr="002D3245" w:rsidRDefault="00C25271">
            <w:pPr>
              <w:rPr>
                <w:sz w:val="22"/>
                <w:szCs w:val="22"/>
                <w:lang w:eastAsia="en-US"/>
              </w:rPr>
            </w:pPr>
            <w:r w:rsidRPr="002D3245">
              <w:rPr>
                <w:sz w:val="22"/>
                <w:szCs w:val="22"/>
              </w:rPr>
              <w:t>2.3. pašvaldību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00"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01" w14:textId="77777777" w:rsidR="00C25271" w:rsidRPr="002D3245"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02" w14:textId="77777777" w:rsidR="00C25271" w:rsidRPr="002D3245"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03" w14:textId="77777777" w:rsidR="00C25271" w:rsidRPr="002D3245"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04" w14:textId="77777777" w:rsidR="00C25271" w:rsidRPr="002D3245" w:rsidRDefault="00C25271">
            <w:pPr>
              <w:jc w:val="center"/>
              <w:rPr>
                <w:sz w:val="22"/>
                <w:szCs w:val="22"/>
                <w:lang w:eastAsia="en-US"/>
              </w:rPr>
            </w:pPr>
            <w:r>
              <w:rPr>
                <w:sz w:val="22"/>
                <w:szCs w:val="22"/>
                <w:lang w:eastAsia="en-US"/>
              </w:rPr>
              <w:t>0</w:t>
            </w:r>
          </w:p>
        </w:tc>
      </w:tr>
      <w:tr w:rsidR="00FA488C" w:rsidRPr="002D3245" w14:paraId="31B3D90C"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06" w14:textId="77777777" w:rsidR="00FA488C" w:rsidRPr="00AA2DF0" w:rsidRDefault="00FA488C" w:rsidP="00FA488C">
            <w:pPr>
              <w:rPr>
                <w:lang w:eastAsia="en-US"/>
              </w:rPr>
            </w:pPr>
            <w:r w:rsidRPr="00AA2DF0">
              <w:t>3. Finansiālā ietekme:</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07" w14:textId="77777777" w:rsidR="00FA488C" w:rsidRPr="00AF3666" w:rsidRDefault="00FA488C" w:rsidP="00FA488C">
            <w:pPr>
              <w:jc w:val="center"/>
              <w:rPr>
                <w:b/>
                <w:sz w:val="22"/>
                <w:szCs w:val="22"/>
                <w:lang w:eastAsia="en-US"/>
              </w:rPr>
            </w:pPr>
            <w:r>
              <w:rPr>
                <w:b/>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08" w14:textId="61D68CD3" w:rsidR="00FA488C" w:rsidRPr="001D6130" w:rsidRDefault="00FA488C" w:rsidP="00FA488C">
            <w:pPr>
              <w:pStyle w:val="ListParagraph"/>
              <w:ind w:left="0"/>
              <w:jc w:val="center"/>
              <w:rPr>
                <w:b/>
                <w:sz w:val="22"/>
                <w:szCs w:val="22"/>
              </w:rPr>
            </w:pPr>
            <w:r>
              <w:rPr>
                <w:b/>
                <w:color w:val="000000"/>
                <w:sz w:val="22"/>
              </w:rPr>
              <w:t>-11 084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09" w14:textId="0FD4D7EA" w:rsidR="00FA488C" w:rsidRPr="00C61C05" w:rsidRDefault="00FA488C" w:rsidP="00FA488C">
            <w:pPr>
              <w:jc w:val="center"/>
              <w:rPr>
                <w:b/>
                <w:sz w:val="22"/>
                <w:szCs w:val="22"/>
                <w:lang w:eastAsia="en-US"/>
              </w:rPr>
            </w:pPr>
            <w:r>
              <w:rPr>
                <w:b/>
                <w:color w:val="000000"/>
                <w:sz w:val="22"/>
              </w:rPr>
              <w:t>-30 342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0A" w14:textId="1B3DCF97" w:rsidR="00FA488C" w:rsidRPr="00C61C05" w:rsidRDefault="00FA488C" w:rsidP="00FA488C">
            <w:pPr>
              <w:jc w:val="center"/>
              <w:rPr>
                <w:b/>
                <w:sz w:val="22"/>
                <w:szCs w:val="22"/>
                <w:lang w:eastAsia="en-US"/>
              </w:rPr>
            </w:pPr>
            <w:r>
              <w:rPr>
                <w:b/>
                <w:color w:val="000000"/>
                <w:sz w:val="22"/>
              </w:rPr>
              <w:t>-22 382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0B" w14:textId="098D2CD8" w:rsidR="00FA488C" w:rsidRPr="001064DC" w:rsidRDefault="00FA488C" w:rsidP="00FA488C">
            <w:pPr>
              <w:jc w:val="center"/>
              <w:rPr>
                <w:b/>
                <w:sz w:val="22"/>
                <w:szCs w:val="22"/>
                <w:lang w:eastAsia="en-US"/>
              </w:rPr>
            </w:pPr>
            <w:r>
              <w:rPr>
                <w:b/>
                <w:sz w:val="22"/>
                <w:szCs w:val="22"/>
                <w:lang w:eastAsia="en-US"/>
              </w:rPr>
              <w:t>-11 192</w:t>
            </w:r>
          </w:p>
        </w:tc>
      </w:tr>
      <w:tr w:rsidR="00FA488C" w:rsidRPr="002D3245" w14:paraId="31B3D913"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0D" w14:textId="77777777" w:rsidR="00FA488C" w:rsidRPr="00AA2DF0" w:rsidRDefault="00FA488C" w:rsidP="00FA488C">
            <w:pPr>
              <w:rPr>
                <w:lang w:eastAsia="en-US"/>
              </w:rPr>
            </w:pPr>
            <w:r w:rsidRPr="00AA2DF0">
              <w:t>3.1. valsts pamatbudžets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0E" w14:textId="77777777" w:rsidR="00FA488C" w:rsidRPr="00AD5C98" w:rsidRDefault="00FA488C" w:rsidP="00FA488C">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0F" w14:textId="3700E2F2" w:rsidR="00FA488C" w:rsidRPr="00AA2DF0" w:rsidRDefault="00FA488C" w:rsidP="00FA488C">
            <w:pPr>
              <w:jc w:val="center"/>
              <w:rPr>
                <w:sz w:val="22"/>
                <w:szCs w:val="22"/>
                <w:lang w:eastAsia="en-US"/>
              </w:rPr>
            </w:pPr>
            <w:r>
              <w:rPr>
                <w:color w:val="000000"/>
                <w:sz w:val="22"/>
              </w:rPr>
              <w:t>-11 084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10" w14:textId="715E48AB" w:rsidR="00FA488C" w:rsidRPr="00AA2DF0" w:rsidRDefault="00FA488C" w:rsidP="00FA488C">
            <w:pPr>
              <w:jc w:val="center"/>
              <w:rPr>
                <w:sz w:val="22"/>
                <w:szCs w:val="22"/>
                <w:lang w:eastAsia="en-US"/>
              </w:rPr>
            </w:pPr>
            <w:r>
              <w:rPr>
                <w:color w:val="000000"/>
                <w:sz w:val="22"/>
              </w:rPr>
              <w:t>-30 342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11" w14:textId="371A9EBE" w:rsidR="00FA488C" w:rsidRPr="00AA2DF0" w:rsidRDefault="00FA488C" w:rsidP="00FA488C">
            <w:pPr>
              <w:jc w:val="center"/>
              <w:rPr>
                <w:sz w:val="22"/>
                <w:szCs w:val="22"/>
                <w:lang w:eastAsia="en-US"/>
              </w:rPr>
            </w:pPr>
            <w:r>
              <w:rPr>
                <w:color w:val="000000"/>
                <w:sz w:val="22"/>
              </w:rPr>
              <w:t>-22 382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12" w14:textId="155120F5" w:rsidR="00FA488C" w:rsidRPr="00AA2DF0" w:rsidRDefault="00FA488C" w:rsidP="00FA488C">
            <w:pPr>
              <w:jc w:val="center"/>
              <w:rPr>
                <w:sz w:val="22"/>
                <w:szCs w:val="22"/>
                <w:lang w:eastAsia="en-US"/>
              </w:rPr>
            </w:pPr>
            <w:r>
              <w:rPr>
                <w:sz w:val="22"/>
                <w:szCs w:val="22"/>
                <w:lang w:eastAsia="en-US"/>
              </w:rPr>
              <w:t>-11 192</w:t>
            </w:r>
          </w:p>
        </w:tc>
      </w:tr>
      <w:tr w:rsidR="00C25271" w:rsidRPr="002D3245" w14:paraId="31B3D91A"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14" w14:textId="77777777" w:rsidR="00C25271" w:rsidRPr="00AA2DF0" w:rsidRDefault="00C25271">
            <w:pPr>
              <w:rPr>
                <w:lang w:eastAsia="en-US"/>
              </w:rPr>
            </w:pPr>
            <w:r w:rsidRPr="00AA2DF0">
              <w:t>3.2. speciālais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15"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16"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17" w14:textId="77777777" w:rsidR="00C25271" w:rsidRPr="00AD5C98"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18" w14:textId="77777777" w:rsidR="00C25271" w:rsidRPr="00AD5C98"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19" w14:textId="77777777" w:rsidR="00C25271" w:rsidRPr="00AD5C98" w:rsidRDefault="00C25271">
            <w:pPr>
              <w:jc w:val="center"/>
              <w:rPr>
                <w:sz w:val="22"/>
                <w:szCs w:val="22"/>
                <w:lang w:eastAsia="en-US"/>
              </w:rPr>
            </w:pPr>
            <w:r>
              <w:rPr>
                <w:sz w:val="22"/>
                <w:szCs w:val="22"/>
                <w:lang w:eastAsia="en-US"/>
              </w:rPr>
              <w:t>0</w:t>
            </w:r>
          </w:p>
        </w:tc>
      </w:tr>
      <w:tr w:rsidR="00C25271" w:rsidRPr="002D3245" w14:paraId="31B3D921"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1B" w14:textId="77777777" w:rsidR="00C25271" w:rsidRPr="00AA2DF0" w:rsidRDefault="00C25271">
            <w:pPr>
              <w:rPr>
                <w:lang w:eastAsia="en-US"/>
              </w:rPr>
            </w:pPr>
            <w:r w:rsidRPr="00AA2DF0">
              <w:t>3.3. pašvaldību budžets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1C" w14:textId="77777777" w:rsidR="00C25271" w:rsidRPr="00AD5C98" w:rsidRDefault="00C25271">
            <w:pPr>
              <w:jc w:val="center"/>
              <w:rPr>
                <w:sz w:val="22"/>
                <w:szCs w:val="22"/>
                <w:lang w:eastAsia="en-US"/>
              </w:rPr>
            </w:pPr>
            <w:r>
              <w:rPr>
                <w:sz w:val="22"/>
                <w:szCs w:val="22"/>
                <w:lang w:eastAsia="en-US"/>
              </w:rPr>
              <w:t>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1D"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1E" w14:textId="77777777" w:rsidR="00C25271" w:rsidRPr="00AD5C98"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1F" w14:textId="77777777" w:rsidR="00C25271" w:rsidRPr="00AD5C98"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20" w14:textId="77777777" w:rsidR="00C25271" w:rsidRPr="00AD5C98" w:rsidRDefault="00C25271">
            <w:pPr>
              <w:jc w:val="center"/>
              <w:rPr>
                <w:sz w:val="22"/>
                <w:szCs w:val="22"/>
                <w:lang w:eastAsia="en-US"/>
              </w:rPr>
            </w:pPr>
            <w:r>
              <w:rPr>
                <w:sz w:val="22"/>
                <w:szCs w:val="22"/>
                <w:lang w:eastAsia="en-US"/>
              </w:rPr>
              <w:t>0</w:t>
            </w:r>
          </w:p>
        </w:tc>
      </w:tr>
      <w:tr w:rsidR="00C25271" w:rsidRPr="002D3245" w14:paraId="31B3D928" w14:textId="77777777" w:rsidTr="00934748">
        <w:trPr>
          <w:trHeight w:val="1380"/>
        </w:trPr>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22" w14:textId="77777777" w:rsidR="00C25271" w:rsidRPr="00AA2DF0" w:rsidRDefault="00C25271">
            <w:pPr>
              <w:rPr>
                <w:lang w:eastAsia="en-US"/>
              </w:rPr>
            </w:pPr>
            <w:r w:rsidRPr="00AA2DF0">
              <w:t>4. Finanšu līdzekļi papildu izdevumu finansēšanai (kompensējošu izdevumu samazinājumu norāda ar "+" zīmi</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1B3D923" w14:textId="77777777" w:rsidR="00C25271" w:rsidRPr="00AA2DF0" w:rsidRDefault="00C25271">
            <w:pPr>
              <w:jc w:val="center"/>
              <w:rPr>
                <w:sz w:val="22"/>
                <w:szCs w:val="22"/>
                <w:lang w:eastAsia="en-US"/>
              </w:rPr>
            </w:pPr>
            <w:r>
              <w:rPr>
                <w:sz w:val="22"/>
                <w:szCs w:val="22"/>
                <w:lang w:eastAsia="en-US"/>
              </w:rPr>
              <w:t>x</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31B3D924" w14:textId="77777777" w:rsidR="00C25271" w:rsidRPr="00AA2DF0"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25" w14:textId="77777777" w:rsidR="00C25271" w:rsidRPr="00AA2DF0"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26" w14:textId="77777777" w:rsidR="00C25271" w:rsidRPr="00AA2DF0"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27" w14:textId="77777777" w:rsidR="00C25271" w:rsidRPr="00AA2DF0" w:rsidRDefault="00C25271">
            <w:pPr>
              <w:jc w:val="center"/>
              <w:rPr>
                <w:sz w:val="22"/>
                <w:szCs w:val="22"/>
                <w:lang w:eastAsia="en-US"/>
              </w:rPr>
            </w:pPr>
            <w:r>
              <w:rPr>
                <w:sz w:val="22"/>
                <w:szCs w:val="22"/>
                <w:lang w:eastAsia="en-US"/>
              </w:rPr>
              <w:t>0</w:t>
            </w:r>
          </w:p>
        </w:tc>
      </w:tr>
      <w:tr w:rsidR="00FA488C" w:rsidRPr="002D3245" w14:paraId="31B3D92F"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29" w14:textId="77777777" w:rsidR="00FA488C" w:rsidRPr="00AA2DF0" w:rsidRDefault="00FA488C" w:rsidP="00FA488C">
            <w:pPr>
              <w:rPr>
                <w:lang w:eastAsia="en-US"/>
              </w:rPr>
            </w:pPr>
            <w:r w:rsidRPr="00AA2DF0">
              <w:t>5. Precizēta finansiālā ietekme:</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3D92A" w14:textId="77777777" w:rsidR="00FA488C" w:rsidRPr="00AA2DF0" w:rsidRDefault="00FA488C" w:rsidP="00FA488C">
            <w:pPr>
              <w:jc w:val="center"/>
              <w:rPr>
                <w:sz w:val="22"/>
                <w:szCs w:val="22"/>
                <w:lang w:eastAsia="en-US"/>
              </w:rPr>
            </w:pPr>
            <w:r>
              <w:rPr>
                <w:sz w:val="22"/>
                <w:szCs w:val="22"/>
                <w:lang w:eastAsia="en-US"/>
              </w:rPr>
              <w:t>x</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92B" w14:textId="48534A84" w:rsidR="00FA488C" w:rsidRPr="00AA2DF0" w:rsidRDefault="00FA488C" w:rsidP="00FA488C">
            <w:pPr>
              <w:jc w:val="center"/>
              <w:rPr>
                <w:sz w:val="22"/>
                <w:szCs w:val="22"/>
                <w:lang w:eastAsia="en-US"/>
              </w:rPr>
            </w:pPr>
            <w:r>
              <w:rPr>
                <w:b/>
                <w:color w:val="000000"/>
                <w:sz w:val="22"/>
              </w:rPr>
              <w:t>-11 084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2C" w14:textId="499CC3CF" w:rsidR="00FA488C" w:rsidRPr="00C21A7C" w:rsidRDefault="00FA488C" w:rsidP="00FA488C">
            <w:pPr>
              <w:jc w:val="center"/>
              <w:rPr>
                <w:b/>
                <w:sz w:val="22"/>
                <w:szCs w:val="22"/>
                <w:lang w:eastAsia="en-US"/>
              </w:rPr>
            </w:pPr>
            <w:r>
              <w:rPr>
                <w:b/>
                <w:color w:val="000000"/>
                <w:sz w:val="22"/>
              </w:rPr>
              <w:t>-30 342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2D" w14:textId="00D41E71" w:rsidR="00FA488C" w:rsidRPr="00C21A7C" w:rsidRDefault="00FA488C" w:rsidP="00FA488C">
            <w:pPr>
              <w:jc w:val="center"/>
              <w:rPr>
                <w:b/>
                <w:sz w:val="22"/>
                <w:szCs w:val="22"/>
                <w:lang w:eastAsia="en-US"/>
              </w:rPr>
            </w:pPr>
            <w:r>
              <w:rPr>
                <w:b/>
                <w:color w:val="000000"/>
                <w:sz w:val="22"/>
              </w:rPr>
              <w:t>-22 382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2E" w14:textId="7B15F212" w:rsidR="00FA488C" w:rsidRPr="00C21A7C" w:rsidRDefault="00FA488C" w:rsidP="00FA488C">
            <w:pPr>
              <w:jc w:val="center"/>
              <w:rPr>
                <w:b/>
                <w:sz w:val="22"/>
                <w:szCs w:val="22"/>
                <w:lang w:eastAsia="en-US"/>
              </w:rPr>
            </w:pPr>
            <w:r>
              <w:rPr>
                <w:b/>
                <w:sz w:val="22"/>
                <w:szCs w:val="22"/>
                <w:lang w:eastAsia="en-US"/>
              </w:rPr>
              <w:t>-11 192</w:t>
            </w:r>
          </w:p>
        </w:tc>
      </w:tr>
      <w:tr w:rsidR="00FA488C" w:rsidRPr="002D3245" w14:paraId="31B3D936"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30" w14:textId="77777777" w:rsidR="00FA488C" w:rsidRPr="002D3245" w:rsidRDefault="00FA488C" w:rsidP="00FA488C">
            <w:pPr>
              <w:rPr>
                <w:lang w:eastAsia="en-US"/>
              </w:rPr>
            </w:pPr>
            <w:r w:rsidRPr="002D3245">
              <w:t>5.1. valsts pamatbudžets</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3D931" w14:textId="77777777" w:rsidR="00FA488C" w:rsidRPr="00AD5C98" w:rsidRDefault="00FA488C" w:rsidP="00FA488C">
            <w:pPr>
              <w:jc w:val="center"/>
              <w:rPr>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932" w14:textId="284B0C80" w:rsidR="00FA488C" w:rsidRPr="006D0EAD" w:rsidRDefault="00FA488C" w:rsidP="00FA488C">
            <w:pPr>
              <w:jc w:val="center"/>
              <w:rPr>
                <w:sz w:val="22"/>
                <w:szCs w:val="22"/>
                <w:lang w:eastAsia="en-US"/>
              </w:rPr>
            </w:pPr>
            <w:r>
              <w:rPr>
                <w:color w:val="000000"/>
                <w:sz w:val="22"/>
              </w:rPr>
              <w:t>-11 084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33" w14:textId="31348323" w:rsidR="00FA488C" w:rsidRPr="006D0EAD" w:rsidRDefault="00FA488C" w:rsidP="00FA488C">
            <w:pPr>
              <w:jc w:val="center"/>
              <w:rPr>
                <w:sz w:val="22"/>
                <w:szCs w:val="22"/>
                <w:lang w:eastAsia="en-US"/>
              </w:rPr>
            </w:pPr>
            <w:r>
              <w:rPr>
                <w:color w:val="000000"/>
                <w:sz w:val="22"/>
              </w:rPr>
              <w:t>-30 342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34" w14:textId="449587FD" w:rsidR="00FA488C" w:rsidRPr="006D0EAD" w:rsidRDefault="00FA488C" w:rsidP="00FA488C">
            <w:pPr>
              <w:jc w:val="center"/>
              <w:rPr>
                <w:sz w:val="22"/>
                <w:szCs w:val="22"/>
                <w:lang w:eastAsia="en-US"/>
              </w:rPr>
            </w:pPr>
            <w:r>
              <w:rPr>
                <w:color w:val="000000"/>
                <w:sz w:val="22"/>
              </w:rPr>
              <w:t>-22 382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35" w14:textId="7F2AF010" w:rsidR="00FA488C" w:rsidRPr="00AA2DF0" w:rsidRDefault="00FA488C" w:rsidP="00FA488C">
            <w:pPr>
              <w:jc w:val="center"/>
              <w:rPr>
                <w:sz w:val="22"/>
                <w:szCs w:val="22"/>
                <w:lang w:eastAsia="en-US"/>
              </w:rPr>
            </w:pPr>
            <w:r>
              <w:rPr>
                <w:sz w:val="22"/>
                <w:szCs w:val="22"/>
                <w:lang w:eastAsia="en-US"/>
              </w:rPr>
              <w:t>-11 192</w:t>
            </w:r>
          </w:p>
        </w:tc>
      </w:tr>
      <w:tr w:rsidR="00C25271" w:rsidRPr="002D3245" w14:paraId="31B3D93D"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37" w14:textId="77777777" w:rsidR="00C25271" w:rsidRPr="002D3245" w:rsidRDefault="00C25271">
            <w:pPr>
              <w:rPr>
                <w:lang w:eastAsia="en-US"/>
              </w:rPr>
            </w:pPr>
            <w:r w:rsidRPr="002D3245">
              <w:t>5.2. speciālais budžets</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3D938" w14:textId="77777777" w:rsidR="00C25271" w:rsidRPr="00AD5C98" w:rsidRDefault="00C25271">
            <w:pPr>
              <w:jc w:val="center"/>
              <w:rPr>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939"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3A" w14:textId="77777777" w:rsidR="00C25271" w:rsidRPr="00AD5C98"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3B" w14:textId="77777777" w:rsidR="00C25271" w:rsidRPr="00AD5C98"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3C" w14:textId="77777777" w:rsidR="00C25271" w:rsidRPr="00AD5C98" w:rsidRDefault="00C25271">
            <w:pPr>
              <w:jc w:val="center"/>
              <w:rPr>
                <w:sz w:val="22"/>
                <w:szCs w:val="22"/>
                <w:lang w:eastAsia="en-US"/>
              </w:rPr>
            </w:pPr>
            <w:r>
              <w:rPr>
                <w:sz w:val="22"/>
                <w:szCs w:val="22"/>
                <w:lang w:eastAsia="en-US"/>
              </w:rPr>
              <w:t>0</w:t>
            </w:r>
          </w:p>
        </w:tc>
      </w:tr>
      <w:tr w:rsidR="00C25271" w:rsidRPr="002D3245" w14:paraId="31B3D944"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3E" w14:textId="77777777" w:rsidR="00C25271" w:rsidRPr="002D3245" w:rsidRDefault="00C25271">
            <w:pPr>
              <w:rPr>
                <w:lang w:eastAsia="en-US"/>
              </w:rPr>
            </w:pPr>
            <w:r w:rsidRPr="002D3245">
              <w:t>5.3. pašvaldību budžets</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3D93F" w14:textId="77777777" w:rsidR="00C25271" w:rsidRPr="00AD5C98" w:rsidRDefault="00C25271">
            <w:pPr>
              <w:jc w:val="center"/>
              <w:rPr>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B3D940" w14:textId="77777777" w:rsidR="00C25271" w:rsidRPr="00AD5C98" w:rsidRDefault="00C25271">
            <w:pPr>
              <w:jc w:val="center"/>
              <w:rPr>
                <w:sz w:val="22"/>
                <w:szCs w:val="22"/>
                <w:lang w:eastAsia="en-US"/>
              </w:rPr>
            </w:pPr>
            <w:r>
              <w:rPr>
                <w:sz w:val="22"/>
                <w:szCs w:val="22"/>
                <w:lang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1B3D941" w14:textId="77777777" w:rsidR="00C25271" w:rsidRPr="00AD5C98" w:rsidRDefault="00C25271">
            <w:pPr>
              <w:jc w:val="center"/>
              <w:rPr>
                <w:sz w:val="22"/>
                <w:szCs w:val="22"/>
                <w:lang w:eastAsia="en-US"/>
              </w:rPr>
            </w:pPr>
            <w:r>
              <w:rPr>
                <w:sz w:val="22"/>
                <w:szCs w:val="22"/>
                <w:lang w:eastAsia="en-US"/>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B3D942" w14:textId="77777777" w:rsidR="00C25271" w:rsidRPr="00AD5C98" w:rsidRDefault="00C25271">
            <w:pPr>
              <w:jc w:val="center"/>
              <w:rPr>
                <w:sz w:val="22"/>
                <w:szCs w:val="22"/>
                <w:lang w:eastAsia="en-US"/>
              </w:rPr>
            </w:pPr>
            <w:r>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B3D943" w14:textId="77777777" w:rsidR="00C25271" w:rsidRPr="00AD5C98" w:rsidRDefault="00C25271">
            <w:pPr>
              <w:jc w:val="center"/>
              <w:rPr>
                <w:sz w:val="22"/>
                <w:szCs w:val="22"/>
                <w:lang w:eastAsia="en-US"/>
              </w:rPr>
            </w:pPr>
            <w:r>
              <w:rPr>
                <w:sz w:val="22"/>
                <w:szCs w:val="22"/>
                <w:lang w:eastAsia="en-US"/>
              </w:rPr>
              <w:t>0</w:t>
            </w:r>
          </w:p>
        </w:tc>
      </w:tr>
      <w:tr w:rsidR="00C25271" w:rsidRPr="002D3245" w14:paraId="31B3D947"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45" w14:textId="77777777" w:rsidR="00C25271" w:rsidRPr="002D3245" w:rsidRDefault="00C25271">
            <w:pPr>
              <w:rPr>
                <w:lang w:eastAsia="en-US"/>
              </w:rPr>
            </w:pPr>
            <w:r w:rsidRPr="002D3245">
              <w:t>6. Detalizēts ieņēmumu un izdevumu aprēķins (ja nepieciešams, detalizētu ieņēmumu un izdevumu aprēķinu var pievienot anotācijas pielikumā):</w:t>
            </w:r>
          </w:p>
        </w:tc>
        <w:tc>
          <w:tcPr>
            <w:tcW w:w="6822"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60A9DD2B" w14:textId="2EAD8DDA" w:rsidR="00FA488C" w:rsidRDefault="00FA488C">
            <w:pPr>
              <w:jc w:val="both"/>
              <w:rPr>
                <w:lang w:eastAsia="en-US"/>
              </w:rPr>
            </w:pPr>
            <w:r w:rsidRPr="00FA488C">
              <w:rPr>
                <w:lang w:eastAsia="en-US"/>
              </w:rPr>
              <w:t>Projekta k</w:t>
            </w:r>
            <w:r w:rsidR="00ED5CD3">
              <w:rPr>
                <w:lang w:eastAsia="en-US"/>
              </w:rPr>
              <w:t>opējais finansējums ir 500 </w:t>
            </w:r>
            <w:r w:rsidRPr="00FA488C">
              <w:rPr>
                <w:lang w:eastAsia="en-US"/>
              </w:rPr>
              <w:t>000</w:t>
            </w:r>
            <w:r w:rsidR="00ED5CD3">
              <w:rPr>
                <w:lang w:eastAsia="en-US"/>
              </w:rPr>
              <w:t xml:space="preserve"> </w:t>
            </w:r>
            <w:proofErr w:type="spellStart"/>
            <w:r w:rsidRPr="00170306">
              <w:rPr>
                <w:i/>
                <w:lang w:eastAsia="en-US"/>
              </w:rPr>
              <w:t>e</w:t>
            </w:r>
            <w:r w:rsidR="00EE1394" w:rsidRPr="00170306">
              <w:rPr>
                <w:i/>
                <w:lang w:eastAsia="en-US"/>
              </w:rPr>
              <w:t>u</w:t>
            </w:r>
            <w:r w:rsidRPr="00170306">
              <w:rPr>
                <w:i/>
                <w:lang w:eastAsia="en-US"/>
              </w:rPr>
              <w:t>ro</w:t>
            </w:r>
            <w:proofErr w:type="spellEnd"/>
            <w:r w:rsidRPr="00FA488C">
              <w:rPr>
                <w:lang w:eastAsia="en-US"/>
              </w:rPr>
              <w:t>. Projekts tiks līdzfinansēts no Eiropas reģionālās attīstība</w:t>
            </w:r>
            <w:r w:rsidR="00ED5CD3">
              <w:rPr>
                <w:lang w:eastAsia="en-US"/>
              </w:rPr>
              <w:t>s fonda līdzekļiem – 85%, jeb 425 00</w:t>
            </w:r>
            <w:r w:rsidRPr="00FA488C">
              <w:rPr>
                <w:lang w:eastAsia="en-US"/>
              </w:rPr>
              <w:t xml:space="preserve">0 </w:t>
            </w:r>
            <w:proofErr w:type="spellStart"/>
            <w:r w:rsidRPr="00170306">
              <w:rPr>
                <w:i/>
                <w:lang w:eastAsia="en-US"/>
              </w:rPr>
              <w:t>e</w:t>
            </w:r>
            <w:r w:rsidR="00EE1394" w:rsidRPr="00170306">
              <w:rPr>
                <w:i/>
                <w:lang w:eastAsia="en-US"/>
              </w:rPr>
              <w:t>u</w:t>
            </w:r>
            <w:r w:rsidRPr="00170306">
              <w:rPr>
                <w:i/>
                <w:lang w:eastAsia="en-US"/>
              </w:rPr>
              <w:t>ro</w:t>
            </w:r>
            <w:proofErr w:type="spellEnd"/>
            <w:r w:rsidRPr="00FA488C">
              <w:rPr>
                <w:lang w:eastAsia="en-US"/>
              </w:rPr>
              <w:t>, no projekta izmaksām segs ERAF līdzfinansējums, kamēr valsts līdzfinansējums segs 15%, jeb 7</w:t>
            </w:r>
            <w:r w:rsidR="00ED5CD3">
              <w:rPr>
                <w:lang w:eastAsia="en-US"/>
              </w:rPr>
              <w:t>5 000</w:t>
            </w:r>
            <w:r w:rsidRPr="00FA488C">
              <w:rPr>
                <w:lang w:eastAsia="en-US"/>
              </w:rPr>
              <w:t xml:space="preserve"> </w:t>
            </w:r>
            <w:proofErr w:type="spellStart"/>
            <w:r w:rsidRPr="00170306">
              <w:rPr>
                <w:i/>
                <w:lang w:eastAsia="en-US"/>
              </w:rPr>
              <w:t>e</w:t>
            </w:r>
            <w:r w:rsidR="00EE1394" w:rsidRPr="00170306">
              <w:rPr>
                <w:i/>
                <w:lang w:eastAsia="en-US"/>
              </w:rPr>
              <w:t>u</w:t>
            </w:r>
            <w:r w:rsidRPr="00170306">
              <w:rPr>
                <w:i/>
                <w:lang w:eastAsia="en-US"/>
              </w:rPr>
              <w:t>ro</w:t>
            </w:r>
            <w:proofErr w:type="spellEnd"/>
            <w:r w:rsidRPr="00FA488C">
              <w:rPr>
                <w:lang w:eastAsia="en-US"/>
              </w:rPr>
              <w:t>, no Projekta kopējām izmaksām. Izmaksas 20</w:t>
            </w:r>
            <w:r w:rsidR="00ED5CD3">
              <w:rPr>
                <w:lang w:eastAsia="en-US"/>
              </w:rPr>
              <w:t>17.</w:t>
            </w:r>
            <w:r w:rsidR="00C75E0A">
              <w:rPr>
                <w:lang w:eastAsia="en-US"/>
              </w:rPr>
              <w:t xml:space="preserve"> </w:t>
            </w:r>
            <w:r w:rsidR="00ED5CD3">
              <w:rPr>
                <w:lang w:eastAsia="en-US"/>
              </w:rPr>
              <w:t xml:space="preserve">gadā sasniegs – 73 893 </w:t>
            </w:r>
            <w:proofErr w:type="spellStart"/>
            <w:r w:rsidRPr="00170306">
              <w:rPr>
                <w:i/>
                <w:lang w:eastAsia="en-US"/>
              </w:rPr>
              <w:t>e</w:t>
            </w:r>
            <w:r w:rsidR="00EE1394" w:rsidRPr="00170306">
              <w:rPr>
                <w:i/>
                <w:lang w:eastAsia="en-US"/>
              </w:rPr>
              <w:t>u</w:t>
            </w:r>
            <w:r w:rsidRPr="00170306">
              <w:rPr>
                <w:i/>
                <w:lang w:eastAsia="en-US"/>
              </w:rPr>
              <w:t>ro</w:t>
            </w:r>
            <w:proofErr w:type="spellEnd"/>
            <w:r w:rsidRPr="00FA488C">
              <w:rPr>
                <w:lang w:eastAsia="en-US"/>
              </w:rPr>
              <w:t>, 2018. gadā –</w:t>
            </w:r>
            <w:r w:rsidR="00ED5CD3">
              <w:rPr>
                <w:lang w:eastAsia="en-US"/>
              </w:rPr>
              <w:t xml:space="preserve"> 202 286 </w:t>
            </w:r>
            <w:proofErr w:type="spellStart"/>
            <w:r w:rsidR="00ED5CD3" w:rsidRPr="00170306">
              <w:rPr>
                <w:i/>
                <w:lang w:eastAsia="en-US"/>
              </w:rPr>
              <w:t>e</w:t>
            </w:r>
            <w:r w:rsidR="00EE1394" w:rsidRPr="00170306">
              <w:rPr>
                <w:i/>
                <w:lang w:eastAsia="en-US"/>
              </w:rPr>
              <w:t>u</w:t>
            </w:r>
            <w:r w:rsidR="00ED5CD3" w:rsidRPr="00170306">
              <w:rPr>
                <w:i/>
                <w:lang w:eastAsia="en-US"/>
              </w:rPr>
              <w:t>ro</w:t>
            </w:r>
            <w:proofErr w:type="spellEnd"/>
            <w:r w:rsidR="00ED5CD3">
              <w:rPr>
                <w:lang w:eastAsia="en-US"/>
              </w:rPr>
              <w:t xml:space="preserve">, </w:t>
            </w:r>
            <w:r w:rsidRPr="00FA488C">
              <w:rPr>
                <w:lang w:eastAsia="en-US"/>
              </w:rPr>
              <w:t>2019.</w:t>
            </w:r>
            <w:r w:rsidR="00C75E0A">
              <w:rPr>
                <w:lang w:eastAsia="en-US"/>
              </w:rPr>
              <w:t xml:space="preserve"> </w:t>
            </w:r>
            <w:r w:rsidRPr="00FA488C">
              <w:rPr>
                <w:lang w:eastAsia="en-US"/>
              </w:rPr>
              <w:t xml:space="preserve">gadā </w:t>
            </w:r>
            <w:r w:rsidR="00ED5CD3">
              <w:rPr>
                <w:lang w:eastAsia="en-US"/>
              </w:rPr>
              <w:t>–</w:t>
            </w:r>
            <w:r w:rsidRPr="00FA488C">
              <w:rPr>
                <w:lang w:eastAsia="en-US"/>
              </w:rPr>
              <w:t xml:space="preserve"> </w:t>
            </w:r>
            <w:r w:rsidR="00ED5CD3">
              <w:rPr>
                <w:lang w:eastAsia="en-US"/>
              </w:rPr>
              <w:t xml:space="preserve">149 214 </w:t>
            </w:r>
            <w:proofErr w:type="spellStart"/>
            <w:r w:rsidRPr="00170306">
              <w:rPr>
                <w:i/>
                <w:lang w:eastAsia="en-US"/>
              </w:rPr>
              <w:t>e</w:t>
            </w:r>
            <w:r w:rsidR="00EE1394" w:rsidRPr="00170306">
              <w:rPr>
                <w:i/>
                <w:lang w:eastAsia="en-US"/>
              </w:rPr>
              <w:t>u</w:t>
            </w:r>
            <w:r w:rsidRPr="00170306">
              <w:rPr>
                <w:i/>
                <w:lang w:eastAsia="en-US"/>
              </w:rPr>
              <w:t>ro</w:t>
            </w:r>
            <w:proofErr w:type="spellEnd"/>
            <w:r w:rsidR="00ED5CD3">
              <w:rPr>
                <w:lang w:eastAsia="en-US"/>
              </w:rPr>
              <w:t xml:space="preserve"> un 2020.</w:t>
            </w:r>
            <w:r w:rsidR="00C75E0A">
              <w:rPr>
                <w:lang w:eastAsia="en-US"/>
              </w:rPr>
              <w:t xml:space="preserve"> </w:t>
            </w:r>
            <w:r w:rsidR="00ED5CD3">
              <w:rPr>
                <w:lang w:eastAsia="en-US"/>
              </w:rPr>
              <w:t xml:space="preserve">gadā – 74 607 </w:t>
            </w:r>
            <w:proofErr w:type="spellStart"/>
            <w:r w:rsidR="00ED5CD3" w:rsidRPr="00170306">
              <w:rPr>
                <w:i/>
                <w:lang w:eastAsia="en-US"/>
              </w:rPr>
              <w:t>e</w:t>
            </w:r>
            <w:r w:rsidR="00EE1394" w:rsidRPr="00170306">
              <w:rPr>
                <w:i/>
                <w:lang w:eastAsia="en-US"/>
              </w:rPr>
              <w:t>u</w:t>
            </w:r>
            <w:r w:rsidR="00ED5CD3" w:rsidRPr="00170306">
              <w:rPr>
                <w:i/>
                <w:lang w:eastAsia="en-US"/>
              </w:rPr>
              <w:t>ro</w:t>
            </w:r>
            <w:proofErr w:type="spellEnd"/>
            <w:r w:rsidRPr="00FA488C">
              <w:rPr>
                <w:lang w:eastAsia="en-US"/>
              </w:rPr>
              <w:t>.</w:t>
            </w:r>
          </w:p>
          <w:p w14:paraId="7B38A4AC" w14:textId="77777777" w:rsidR="00B1266B" w:rsidRDefault="00C25271">
            <w:pPr>
              <w:jc w:val="both"/>
              <w:rPr>
                <w:lang w:eastAsia="en-US"/>
              </w:rPr>
            </w:pPr>
            <w:r w:rsidRPr="000C23AE">
              <w:rPr>
                <w:lang w:eastAsia="en-US"/>
              </w:rPr>
              <w:t xml:space="preserve">Lai nodrošinātu ilgtspējīgu </w:t>
            </w:r>
            <w:r>
              <w:rPr>
                <w:lang w:eastAsia="en-US"/>
              </w:rPr>
              <w:t>P</w:t>
            </w:r>
            <w:r w:rsidRPr="000C23AE">
              <w:rPr>
                <w:lang w:eastAsia="en-US"/>
              </w:rPr>
              <w:t>rojekta rezultātā izstrādāto IKT risinājumu darbību, pēc</w:t>
            </w:r>
            <w:r w:rsidR="007A2F1D">
              <w:rPr>
                <w:lang w:eastAsia="en-US"/>
              </w:rPr>
              <w:t xml:space="preserve"> Projekta termiņa beigām</w:t>
            </w:r>
            <w:r w:rsidR="00831D25">
              <w:rPr>
                <w:lang w:eastAsia="en-US"/>
              </w:rPr>
              <w:t>, sākot ar 2020.gada 3.ceturksni,</w:t>
            </w:r>
            <w:r w:rsidRPr="000C23AE">
              <w:rPr>
                <w:lang w:eastAsia="en-US"/>
              </w:rPr>
              <w:t xml:space="preserve"> ir plānojamas </w:t>
            </w:r>
            <w:r w:rsidR="007A2F1D">
              <w:rPr>
                <w:lang w:eastAsia="en-US"/>
              </w:rPr>
              <w:t xml:space="preserve">ikgadējas </w:t>
            </w:r>
            <w:r w:rsidRPr="000C23AE">
              <w:rPr>
                <w:lang w:eastAsia="en-US"/>
              </w:rPr>
              <w:t xml:space="preserve">IKT risinājumu uzturēšanas </w:t>
            </w:r>
            <w:r w:rsidRPr="00B55324">
              <w:rPr>
                <w:lang w:eastAsia="en-US"/>
              </w:rPr>
              <w:t>izmaksas</w:t>
            </w:r>
            <w:r w:rsidR="00D91A2A">
              <w:rPr>
                <w:lang w:eastAsia="en-US"/>
              </w:rPr>
              <w:t xml:space="preserve"> 44 000 </w:t>
            </w:r>
            <w:proofErr w:type="spellStart"/>
            <w:r w:rsidR="00D91A2A" w:rsidRPr="00170306">
              <w:rPr>
                <w:i/>
                <w:lang w:eastAsia="en-US"/>
              </w:rPr>
              <w:t>euro</w:t>
            </w:r>
            <w:proofErr w:type="spellEnd"/>
            <w:r w:rsidR="00D91A2A">
              <w:rPr>
                <w:lang w:eastAsia="en-US"/>
              </w:rPr>
              <w:t xml:space="preserve"> gadā, kas ir aptuveni 12% no provizoriskajām </w:t>
            </w:r>
            <w:r w:rsidR="00D91A2A">
              <w:rPr>
                <w:lang w:eastAsia="en-US"/>
              </w:rPr>
              <w:lastRenderedPageBreak/>
              <w:t xml:space="preserve">specializētās programmatūras izstrādes izmaksām 366 600 </w:t>
            </w:r>
            <w:proofErr w:type="spellStart"/>
            <w:r w:rsidR="00D91A2A" w:rsidRPr="00170306">
              <w:rPr>
                <w:i/>
                <w:lang w:eastAsia="en-US"/>
              </w:rPr>
              <w:t>euro</w:t>
            </w:r>
            <w:proofErr w:type="spellEnd"/>
            <w:r w:rsidR="00D91A2A">
              <w:rPr>
                <w:lang w:eastAsia="en-US"/>
              </w:rPr>
              <w:t>, kas ietv</w:t>
            </w:r>
            <w:r w:rsidR="00B1266B">
              <w:rPr>
                <w:lang w:eastAsia="en-US"/>
              </w:rPr>
              <w:t>er:</w:t>
            </w:r>
          </w:p>
          <w:p w14:paraId="1A37C631" w14:textId="1D7BB472" w:rsidR="00B1266B" w:rsidRPr="00EF78E5" w:rsidRDefault="00D91A2A" w:rsidP="00B1266B">
            <w:pPr>
              <w:pStyle w:val="ListParagraph"/>
              <w:numPr>
                <w:ilvl w:val="0"/>
                <w:numId w:val="10"/>
              </w:numPr>
              <w:jc w:val="both"/>
              <w:rPr>
                <w:lang w:eastAsia="lv-LV"/>
              </w:rPr>
            </w:pPr>
            <w:bookmarkStart w:id="0" w:name="_GoBack"/>
            <w:bookmarkEnd w:id="0"/>
            <w:r w:rsidRPr="00EF78E5">
              <w:t>IKT infrastruktūras uzturēšanas gada maks</w:t>
            </w:r>
            <w:r w:rsidR="00753243" w:rsidRPr="00EF78E5">
              <w:t>u</w:t>
            </w:r>
            <w:r w:rsidRPr="00EF78E5">
              <w:t xml:space="preserve"> valsts akciju sabiedrības “Latvijas Valsts radio un televīzijas centrs” pārziņā esošajos  datu centros – </w:t>
            </w:r>
            <w:r w:rsidR="00B1266B" w:rsidRPr="00EF78E5">
              <w:t>8 500</w:t>
            </w:r>
            <w:r w:rsidRPr="00EF78E5">
              <w:t xml:space="preserve"> </w:t>
            </w:r>
            <w:proofErr w:type="spellStart"/>
            <w:r w:rsidRPr="00EF78E5">
              <w:rPr>
                <w:i/>
              </w:rPr>
              <w:t>euro</w:t>
            </w:r>
            <w:proofErr w:type="spellEnd"/>
            <w:r w:rsidR="00B1266B" w:rsidRPr="00EF78E5">
              <w:t>;</w:t>
            </w:r>
          </w:p>
          <w:p w14:paraId="26948A57" w14:textId="27E2CE45" w:rsidR="00D91A2A" w:rsidRPr="00EF78E5" w:rsidRDefault="00D91A2A" w:rsidP="00B1266B">
            <w:pPr>
              <w:pStyle w:val="ListParagraph"/>
              <w:numPr>
                <w:ilvl w:val="0"/>
                <w:numId w:val="10"/>
              </w:numPr>
              <w:jc w:val="both"/>
              <w:rPr>
                <w:lang w:eastAsia="lv-LV"/>
              </w:rPr>
            </w:pPr>
            <w:r w:rsidRPr="00EF78E5">
              <w:t>sistēmas un licenču (operētājsistēma, datubāzes, mobilās platformas, CMS), sistēmas problēmu</w:t>
            </w:r>
            <w:r w:rsidR="00B1266B" w:rsidRPr="00EF78E5">
              <w:t>,</w:t>
            </w:r>
            <w:r w:rsidRPr="00EF78E5">
              <w:t xml:space="preserve"> kļūdu novēršanas un profilaktiskās uzturēšanas pakalpojumiem</w:t>
            </w:r>
            <w:r w:rsidR="00B1266B" w:rsidRPr="00EF78E5">
              <w:t xml:space="preserve"> (16 cilvēkstundas mēnesī), </w:t>
            </w:r>
            <w:r w:rsidRPr="00EF78E5">
              <w:t>kā arī izmaiņu pieprasījumiem</w:t>
            </w:r>
            <w:r w:rsidR="00B1266B" w:rsidRPr="00EF78E5">
              <w:t xml:space="preserve"> - pielāgojumiem (</w:t>
            </w:r>
            <w:r w:rsidR="00753243" w:rsidRPr="00EF78E5">
              <w:t xml:space="preserve">40 </w:t>
            </w:r>
            <w:r w:rsidR="00205DC7" w:rsidRPr="00EF78E5">
              <w:t xml:space="preserve"> cilvēkstundas </w:t>
            </w:r>
            <w:r w:rsidR="00753243" w:rsidRPr="00EF78E5">
              <w:t xml:space="preserve">mēnesī), kopā 56 </w:t>
            </w:r>
            <w:r w:rsidR="00205DC7" w:rsidRPr="00EF78E5">
              <w:t xml:space="preserve"> cilvēkstundas</w:t>
            </w:r>
            <w:r w:rsidR="00753243" w:rsidRPr="00EF78E5">
              <w:t xml:space="preserve"> mēnesī jeb 7 cilvēkdienas</w:t>
            </w:r>
            <w:r w:rsidR="00BF6103" w:rsidRPr="00EF78E5">
              <w:t xml:space="preserve"> mēnesī</w:t>
            </w:r>
            <w:r w:rsidR="00B1266B" w:rsidRPr="00EF78E5">
              <w:t xml:space="preserve">, gadā – 84 cilvēkdienas (7 cilvēkdienas mēnesī x 12 mēneši). Pieņemot vienas cilvēkdienas likmi 375 </w:t>
            </w:r>
            <w:proofErr w:type="spellStart"/>
            <w:r w:rsidR="00B1266B" w:rsidRPr="00EF78E5">
              <w:rPr>
                <w:i/>
              </w:rPr>
              <w:t>euro</w:t>
            </w:r>
            <w:proofErr w:type="spellEnd"/>
            <w:r w:rsidR="00B1266B" w:rsidRPr="00EF78E5">
              <w:t xml:space="preserve">, ieskaitot pievienotās vērtības nodokli, x 84 cilvēkdienas, kas gadā veido 31 500 </w:t>
            </w:r>
            <w:proofErr w:type="spellStart"/>
            <w:r w:rsidR="00B1266B" w:rsidRPr="00EF78E5">
              <w:rPr>
                <w:i/>
              </w:rPr>
              <w:t>euro</w:t>
            </w:r>
            <w:proofErr w:type="spellEnd"/>
            <w:r w:rsidR="00B1266B" w:rsidRPr="00EF78E5">
              <w:t>.</w:t>
            </w:r>
          </w:p>
          <w:p w14:paraId="43100628" w14:textId="0EDD8806" w:rsidR="004909AD" w:rsidRPr="00EF78E5" w:rsidRDefault="004909AD" w:rsidP="00450909">
            <w:pPr>
              <w:pStyle w:val="ListParagraph"/>
              <w:numPr>
                <w:ilvl w:val="0"/>
                <w:numId w:val="10"/>
              </w:numPr>
              <w:jc w:val="both"/>
              <w:rPr>
                <w:lang w:eastAsia="lv-LV"/>
              </w:rPr>
            </w:pPr>
            <w:r w:rsidRPr="00EF78E5">
              <w:rPr>
                <w:lang w:eastAsia="lv-LV"/>
              </w:rPr>
              <w:t xml:space="preserve">ņemot vērā to, ka projekta ietvaros informācijas sistēmu, tajā skaitā programmatūras, pārvaldīšana, darbības nodrošināšana un lietotāju administrēšana gan lietotāju skaita ziņā, gan sarežģītības ziņā palielinās, ir plānots mainīt amata vietas līmeni no 19.2 II uz 19.3 saimes IIA līmeni. </w:t>
            </w:r>
            <w:r w:rsidRPr="00EF78E5">
              <w:t xml:space="preserve"> </w:t>
            </w:r>
            <w:r w:rsidRPr="00EF78E5">
              <w:rPr>
                <w:lang w:eastAsia="lv-LV"/>
              </w:rPr>
              <w:t xml:space="preserve">Esošais atalgojums 1287 </w:t>
            </w:r>
            <w:proofErr w:type="spellStart"/>
            <w:r w:rsidRPr="00EF78E5">
              <w:rPr>
                <w:i/>
                <w:lang w:eastAsia="lv-LV"/>
              </w:rPr>
              <w:t>euro</w:t>
            </w:r>
            <w:proofErr w:type="spellEnd"/>
            <w:r w:rsidRPr="00EF78E5">
              <w:rPr>
                <w:lang w:eastAsia="lv-LV"/>
              </w:rPr>
              <w:t xml:space="preserve"> tiks palielināts uz 1382</w:t>
            </w:r>
            <w:r w:rsidR="00122E7F" w:rsidRPr="00EF78E5">
              <w:rPr>
                <w:lang w:eastAsia="lv-LV"/>
              </w:rPr>
              <w:t xml:space="preserve"> </w:t>
            </w:r>
            <w:r w:rsidR="00122E7F" w:rsidRPr="00EF78E5">
              <w:rPr>
                <w:i/>
                <w:lang w:eastAsia="lv-LV"/>
              </w:rPr>
              <w:t xml:space="preserve"> </w:t>
            </w:r>
            <w:proofErr w:type="spellStart"/>
            <w:r w:rsidR="00122E7F" w:rsidRPr="00EF78E5">
              <w:rPr>
                <w:i/>
                <w:lang w:eastAsia="lv-LV"/>
              </w:rPr>
              <w:t>euro</w:t>
            </w:r>
            <w:proofErr w:type="spellEnd"/>
            <w:r w:rsidR="00122E7F" w:rsidRPr="00EF78E5">
              <w:rPr>
                <w:lang w:eastAsia="lv-LV"/>
              </w:rPr>
              <w:t xml:space="preserve"> </w:t>
            </w:r>
            <w:r w:rsidRPr="00EF78E5">
              <w:rPr>
                <w:lang w:eastAsia="lv-LV"/>
              </w:rPr>
              <w:t xml:space="preserve">, t.i. par 95 </w:t>
            </w:r>
            <w:r w:rsidR="00122E7F" w:rsidRPr="00EF78E5">
              <w:rPr>
                <w:i/>
                <w:lang w:eastAsia="lv-LV"/>
              </w:rPr>
              <w:t xml:space="preserve"> </w:t>
            </w:r>
            <w:proofErr w:type="spellStart"/>
            <w:r w:rsidR="00122E7F" w:rsidRPr="00EF78E5">
              <w:rPr>
                <w:i/>
                <w:lang w:eastAsia="lv-LV"/>
              </w:rPr>
              <w:t>euro</w:t>
            </w:r>
            <w:proofErr w:type="spellEnd"/>
            <w:r w:rsidR="00122E7F" w:rsidRPr="00EF78E5">
              <w:rPr>
                <w:lang w:eastAsia="lv-LV"/>
              </w:rPr>
              <w:t xml:space="preserve"> </w:t>
            </w:r>
            <w:r w:rsidRPr="00EF78E5">
              <w:rPr>
                <w:lang w:eastAsia="lv-LV"/>
              </w:rPr>
              <w:t xml:space="preserve"> mēnesī, 10% piemaksa (jeb +9,5 EUR), kopā 104,5 </w:t>
            </w:r>
            <w:r w:rsidR="00122E7F" w:rsidRPr="00EF78E5">
              <w:rPr>
                <w:i/>
                <w:lang w:eastAsia="lv-LV"/>
              </w:rPr>
              <w:t xml:space="preserve"> </w:t>
            </w:r>
            <w:proofErr w:type="spellStart"/>
            <w:r w:rsidR="00122E7F" w:rsidRPr="00EF78E5">
              <w:rPr>
                <w:i/>
                <w:lang w:eastAsia="lv-LV"/>
              </w:rPr>
              <w:t>euro</w:t>
            </w:r>
            <w:proofErr w:type="spellEnd"/>
            <w:r w:rsidR="00122E7F" w:rsidRPr="00EF78E5">
              <w:rPr>
                <w:lang w:eastAsia="lv-LV"/>
              </w:rPr>
              <w:t xml:space="preserve"> </w:t>
            </w:r>
            <w:r w:rsidRPr="00EF78E5">
              <w:rPr>
                <w:lang w:eastAsia="lv-LV"/>
              </w:rPr>
              <w:t xml:space="preserve">mēnesī x 12 mēneši = 1254 </w:t>
            </w:r>
            <w:r w:rsidR="00122E7F" w:rsidRPr="00EF78E5">
              <w:rPr>
                <w:i/>
                <w:lang w:eastAsia="lv-LV"/>
              </w:rPr>
              <w:t xml:space="preserve"> </w:t>
            </w:r>
            <w:proofErr w:type="spellStart"/>
            <w:r w:rsidR="00122E7F" w:rsidRPr="00EF78E5">
              <w:rPr>
                <w:i/>
                <w:lang w:eastAsia="lv-LV"/>
              </w:rPr>
              <w:t>euro</w:t>
            </w:r>
            <w:proofErr w:type="spellEnd"/>
            <w:r w:rsidR="00122E7F" w:rsidRPr="00EF78E5">
              <w:rPr>
                <w:lang w:eastAsia="lv-LV"/>
              </w:rPr>
              <w:t xml:space="preserve"> </w:t>
            </w:r>
            <w:r w:rsidRPr="00EF78E5">
              <w:rPr>
                <w:lang w:eastAsia="lv-LV"/>
              </w:rPr>
              <w:t xml:space="preserve">gadā, papildus atvaļinājuma pabalsts 691 </w:t>
            </w:r>
            <w:r w:rsidR="00122E7F" w:rsidRPr="00EF78E5">
              <w:rPr>
                <w:i/>
                <w:lang w:eastAsia="lv-LV"/>
              </w:rPr>
              <w:t xml:space="preserve"> </w:t>
            </w:r>
            <w:proofErr w:type="spellStart"/>
            <w:r w:rsidR="00122E7F" w:rsidRPr="00EF78E5">
              <w:rPr>
                <w:i/>
                <w:lang w:eastAsia="lv-LV"/>
              </w:rPr>
              <w:t>euro</w:t>
            </w:r>
            <w:proofErr w:type="spellEnd"/>
            <w:r w:rsidRPr="00EF78E5">
              <w:rPr>
                <w:lang w:eastAsia="lv-LV"/>
              </w:rPr>
              <w:t xml:space="preserve">, kopā 1945 </w:t>
            </w:r>
            <w:r w:rsidR="00122E7F" w:rsidRPr="00EF78E5">
              <w:rPr>
                <w:i/>
                <w:lang w:eastAsia="lv-LV"/>
              </w:rPr>
              <w:t xml:space="preserve"> </w:t>
            </w:r>
            <w:proofErr w:type="spellStart"/>
            <w:r w:rsidR="00122E7F" w:rsidRPr="00EF78E5">
              <w:rPr>
                <w:i/>
                <w:lang w:eastAsia="lv-LV"/>
              </w:rPr>
              <w:t>euro</w:t>
            </w:r>
            <w:proofErr w:type="spellEnd"/>
            <w:r w:rsidRPr="00EF78E5">
              <w:rPr>
                <w:lang w:eastAsia="lv-LV"/>
              </w:rPr>
              <w:t>.</w:t>
            </w:r>
            <w:r w:rsidR="00122E7F" w:rsidRPr="00EF78E5">
              <w:rPr>
                <w:lang w:eastAsia="lv-LV"/>
              </w:rPr>
              <w:t xml:space="preserve"> </w:t>
            </w:r>
            <w:r w:rsidRPr="00EF78E5">
              <w:rPr>
                <w:lang w:eastAsia="lv-LV"/>
              </w:rPr>
              <w:t xml:space="preserve">Atbilstoši atalgojumam  2 darbiniekiem papildus nepieciešami 3890 </w:t>
            </w:r>
            <w:r w:rsidR="00961814" w:rsidRPr="00EF78E5">
              <w:rPr>
                <w:i/>
                <w:lang w:eastAsia="lv-LV"/>
              </w:rPr>
              <w:t xml:space="preserve"> </w:t>
            </w:r>
            <w:proofErr w:type="spellStart"/>
            <w:r w:rsidR="00961814" w:rsidRPr="00EF78E5">
              <w:rPr>
                <w:i/>
                <w:lang w:eastAsia="lv-LV"/>
              </w:rPr>
              <w:t>euro</w:t>
            </w:r>
            <w:proofErr w:type="spellEnd"/>
            <w:r w:rsidR="00961814" w:rsidRPr="00EF78E5">
              <w:rPr>
                <w:lang w:eastAsia="lv-LV"/>
              </w:rPr>
              <w:t xml:space="preserve"> </w:t>
            </w:r>
            <w:r w:rsidRPr="00EF78E5">
              <w:rPr>
                <w:lang w:eastAsia="lv-LV"/>
              </w:rPr>
              <w:t xml:space="preserve">, vai ~ 4000 </w:t>
            </w:r>
            <w:r w:rsidR="00961814" w:rsidRPr="00EF78E5">
              <w:rPr>
                <w:i/>
                <w:lang w:eastAsia="lv-LV"/>
              </w:rPr>
              <w:t xml:space="preserve"> </w:t>
            </w:r>
            <w:proofErr w:type="spellStart"/>
            <w:r w:rsidR="00961814" w:rsidRPr="00EF78E5">
              <w:rPr>
                <w:i/>
                <w:lang w:eastAsia="lv-LV"/>
              </w:rPr>
              <w:t>euro</w:t>
            </w:r>
            <w:proofErr w:type="spellEnd"/>
            <w:r w:rsidRPr="00EF78E5">
              <w:rPr>
                <w:lang w:eastAsia="lv-LV"/>
              </w:rPr>
              <w:t>.</w:t>
            </w:r>
          </w:p>
          <w:p w14:paraId="31B3D946" w14:textId="383ECDB6" w:rsidR="00C25271" w:rsidRPr="00E24F6A" w:rsidRDefault="00831D25">
            <w:pPr>
              <w:jc w:val="both"/>
              <w:rPr>
                <w:lang w:eastAsia="en-US"/>
              </w:rPr>
            </w:pPr>
            <w:r>
              <w:rPr>
                <w:lang w:eastAsia="en-US"/>
              </w:rPr>
              <w:t xml:space="preserve">Projekta ikgadējās IKT risinājuma uzturēšanas izmaksas </w:t>
            </w:r>
            <w:r w:rsidR="00F6040F">
              <w:rPr>
                <w:lang w:eastAsia="en-US"/>
              </w:rPr>
              <w:t xml:space="preserve">pēc projekta pabeigšanas </w:t>
            </w:r>
            <w:r>
              <w:rPr>
                <w:lang w:eastAsia="en-US"/>
              </w:rPr>
              <w:t>tiks finansētas no P</w:t>
            </w:r>
            <w:r w:rsidRPr="008D4A88">
              <w:rPr>
                <w:lang w:eastAsia="en-US"/>
              </w:rPr>
              <w:t>rojekta sociālekonomiskajiem ieguvumiem Latvijas Investīciju un attīstības aģentūrai</w:t>
            </w:r>
            <w:r>
              <w:rPr>
                <w:lang w:eastAsia="en-US"/>
              </w:rPr>
              <w:t xml:space="preserve"> 22 </w:t>
            </w:r>
            <w:r w:rsidRPr="008D4A88">
              <w:rPr>
                <w:lang w:eastAsia="en-US"/>
              </w:rPr>
              <w:t xml:space="preserve">089 </w:t>
            </w:r>
            <w:proofErr w:type="spellStart"/>
            <w:r w:rsidRPr="00170306">
              <w:rPr>
                <w:i/>
                <w:lang w:eastAsia="en-US"/>
              </w:rPr>
              <w:t>euro</w:t>
            </w:r>
            <w:proofErr w:type="spellEnd"/>
            <w:r>
              <w:rPr>
                <w:lang w:eastAsia="en-US"/>
              </w:rPr>
              <w:t xml:space="preserve"> gadā un pieprasot papildu finansējumu līdz 21 911 </w:t>
            </w:r>
            <w:proofErr w:type="spellStart"/>
            <w:r w:rsidRPr="00170306">
              <w:rPr>
                <w:i/>
                <w:lang w:eastAsia="en-US"/>
              </w:rPr>
              <w:t>euro</w:t>
            </w:r>
            <w:proofErr w:type="spellEnd"/>
            <w:r>
              <w:rPr>
                <w:lang w:eastAsia="en-US"/>
              </w:rPr>
              <w:t xml:space="preserve"> gadā normatīvajos aktos noteiktajā kārtībā.</w:t>
            </w:r>
          </w:p>
        </w:tc>
      </w:tr>
      <w:tr w:rsidR="00C25271" w:rsidRPr="002D3245" w14:paraId="31B3D94A"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48" w14:textId="77777777" w:rsidR="00C25271" w:rsidRPr="002D3245" w:rsidRDefault="00C25271">
            <w:pPr>
              <w:rPr>
                <w:lang w:eastAsia="en-US"/>
              </w:rPr>
            </w:pPr>
            <w:r w:rsidRPr="002D3245">
              <w:t>6.1. detalizēts ieņēmumu aprēķins</w:t>
            </w:r>
          </w:p>
        </w:tc>
        <w:tc>
          <w:tcPr>
            <w:tcW w:w="682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3D949" w14:textId="77777777" w:rsidR="00C25271" w:rsidRPr="002D3245" w:rsidRDefault="00C25271">
            <w:pPr>
              <w:rPr>
                <w:lang w:eastAsia="en-US"/>
              </w:rPr>
            </w:pPr>
          </w:p>
        </w:tc>
      </w:tr>
      <w:tr w:rsidR="00C25271" w:rsidRPr="002D3245" w14:paraId="31B3D94D"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4B" w14:textId="77777777" w:rsidR="00C25271" w:rsidRPr="002D3245" w:rsidRDefault="00C25271">
            <w:pPr>
              <w:rPr>
                <w:lang w:eastAsia="en-US"/>
              </w:rPr>
            </w:pPr>
            <w:r w:rsidRPr="002D3245">
              <w:t>6.2. detalizēts izdevumu aprēķins</w:t>
            </w:r>
          </w:p>
        </w:tc>
        <w:tc>
          <w:tcPr>
            <w:tcW w:w="682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3D94C" w14:textId="77777777" w:rsidR="00C25271" w:rsidRPr="002D3245" w:rsidRDefault="00C25271">
            <w:pPr>
              <w:rPr>
                <w:lang w:eastAsia="en-US"/>
              </w:rPr>
            </w:pPr>
          </w:p>
        </w:tc>
      </w:tr>
      <w:tr w:rsidR="00C25271" w:rsidRPr="002D3245" w14:paraId="31B3D952" w14:textId="77777777" w:rsidTr="00934748">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1B3D94E" w14:textId="77777777" w:rsidR="00C25271" w:rsidRPr="002D3245" w:rsidRDefault="00C25271">
            <w:pPr>
              <w:rPr>
                <w:lang w:eastAsia="en-US"/>
              </w:rPr>
            </w:pPr>
            <w:r w:rsidRPr="002D3245">
              <w:t>7. Cita informācija</w:t>
            </w:r>
          </w:p>
        </w:tc>
        <w:tc>
          <w:tcPr>
            <w:tcW w:w="682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B3D951" w14:textId="255C19F5" w:rsidR="007A2F1D" w:rsidRPr="008E38CC" w:rsidRDefault="007A2F1D">
            <w:pPr>
              <w:jc w:val="both"/>
              <w:rPr>
                <w:lang w:eastAsia="en-US"/>
              </w:rPr>
            </w:pPr>
            <w:r w:rsidRPr="007A2F1D">
              <w:rPr>
                <w:lang w:eastAsia="en-US"/>
              </w:rPr>
              <w:t>Projekta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31B3D953" w14:textId="634DB9AA" w:rsidR="00C25271" w:rsidRDefault="00C25271" w:rsidP="0014572D">
      <w:pPr>
        <w:ind w:left="-426"/>
        <w:jc w:val="both"/>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CB3D17" w:rsidRPr="00CB3D17" w14:paraId="506F9160" w14:textId="77777777" w:rsidTr="00CB3D17">
        <w:tc>
          <w:tcPr>
            <w:tcW w:w="9294" w:type="dxa"/>
            <w:shd w:val="clear" w:color="auto" w:fill="auto"/>
          </w:tcPr>
          <w:p w14:paraId="169E42A6" w14:textId="77777777" w:rsidR="00CB3D17" w:rsidRPr="00CB3D17" w:rsidRDefault="00CB3D17" w:rsidP="004C11BD">
            <w:pPr>
              <w:spacing w:before="120" w:after="120"/>
              <w:jc w:val="center"/>
              <w:rPr>
                <w:iCs/>
                <w:color w:val="000000" w:themeColor="text1"/>
                <w:lang w:eastAsia="en-US"/>
              </w:rPr>
            </w:pPr>
            <w:r w:rsidRPr="00CB3D17">
              <w:rPr>
                <w:b/>
                <w:bCs/>
                <w:color w:val="000000" w:themeColor="text1"/>
                <w:shd w:val="clear" w:color="auto" w:fill="FFFFFF"/>
              </w:rPr>
              <w:t>IV. Tiesību akta projekta ietekme uz spēkā esošo tiesību normu sistēmu</w:t>
            </w:r>
          </w:p>
        </w:tc>
      </w:tr>
      <w:tr w:rsidR="00CB3D17" w:rsidRPr="00CB3D17" w14:paraId="368361A8" w14:textId="77777777" w:rsidTr="00CB3D17">
        <w:tc>
          <w:tcPr>
            <w:tcW w:w="9294" w:type="dxa"/>
            <w:shd w:val="clear" w:color="auto" w:fill="auto"/>
          </w:tcPr>
          <w:p w14:paraId="6328FD1E" w14:textId="77777777" w:rsidR="00CB3D17" w:rsidRPr="00CB3D17" w:rsidRDefault="00CB3D17" w:rsidP="004C11BD">
            <w:pPr>
              <w:spacing w:before="120" w:after="120"/>
              <w:jc w:val="center"/>
              <w:rPr>
                <w:iCs/>
                <w:color w:val="000000" w:themeColor="text1"/>
                <w:lang w:eastAsia="en-US"/>
              </w:rPr>
            </w:pPr>
            <w:r w:rsidRPr="00CB3D17">
              <w:rPr>
                <w:color w:val="000000" w:themeColor="text1"/>
                <w:shd w:val="clear" w:color="auto" w:fill="FFFFFF"/>
              </w:rPr>
              <w:t>Projekts šo jomu neskar</w:t>
            </w:r>
          </w:p>
        </w:tc>
      </w:tr>
      <w:tr w:rsidR="00CB3D17" w:rsidRPr="00CB3D17" w14:paraId="489AE8B1" w14:textId="77777777" w:rsidTr="00CB3D17">
        <w:tc>
          <w:tcPr>
            <w:tcW w:w="9294" w:type="dxa"/>
            <w:shd w:val="clear" w:color="auto" w:fill="auto"/>
          </w:tcPr>
          <w:p w14:paraId="69464A3D" w14:textId="77777777" w:rsidR="00CB3D17" w:rsidRPr="00CB3D17" w:rsidRDefault="00CB3D17" w:rsidP="004C11BD">
            <w:pPr>
              <w:spacing w:before="120" w:after="120"/>
              <w:jc w:val="center"/>
              <w:rPr>
                <w:color w:val="000000" w:themeColor="text1"/>
                <w:shd w:val="clear" w:color="auto" w:fill="FFFFFF"/>
              </w:rPr>
            </w:pPr>
            <w:r w:rsidRPr="00CB3D17">
              <w:rPr>
                <w:b/>
                <w:bCs/>
                <w:color w:val="000000" w:themeColor="text1"/>
                <w:shd w:val="clear" w:color="auto" w:fill="FFFFFF"/>
              </w:rPr>
              <w:t>V. Tiesību akta projekta atbilstība Latvijas Republikas starptautiskajām saistībām</w:t>
            </w:r>
          </w:p>
        </w:tc>
      </w:tr>
      <w:tr w:rsidR="00CB3D17" w:rsidRPr="00CB3D17" w14:paraId="46B66831" w14:textId="77777777" w:rsidTr="00CB3D17">
        <w:tc>
          <w:tcPr>
            <w:tcW w:w="9294" w:type="dxa"/>
            <w:shd w:val="clear" w:color="auto" w:fill="auto"/>
          </w:tcPr>
          <w:p w14:paraId="79DDA2AB" w14:textId="77777777" w:rsidR="00CB3D17" w:rsidRPr="00CB3D17" w:rsidRDefault="00CB3D17" w:rsidP="004C11BD">
            <w:pPr>
              <w:spacing w:before="120" w:after="120"/>
              <w:jc w:val="center"/>
              <w:rPr>
                <w:color w:val="000000" w:themeColor="text1"/>
                <w:shd w:val="clear" w:color="auto" w:fill="FFFFFF"/>
              </w:rPr>
            </w:pPr>
            <w:r w:rsidRPr="00CB3D17">
              <w:rPr>
                <w:color w:val="000000" w:themeColor="text1"/>
                <w:shd w:val="clear" w:color="auto" w:fill="FFFFFF"/>
              </w:rPr>
              <w:t>Projekts šo jomu neskar</w:t>
            </w:r>
          </w:p>
        </w:tc>
      </w:tr>
      <w:tr w:rsidR="00CB3D17" w:rsidRPr="00CB3D17" w14:paraId="37C9A55F" w14:textId="77777777" w:rsidTr="00CB3D17">
        <w:tc>
          <w:tcPr>
            <w:tcW w:w="9294" w:type="dxa"/>
            <w:shd w:val="clear" w:color="auto" w:fill="auto"/>
          </w:tcPr>
          <w:p w14:paraId="5EC7F332" w14:textId="77777777" w:rsidR="00CB3D17" w:rsidRPr="00CB3D17" w:rsidRDefault="00CB3D17" w:rsidP="004C11BD">
            <w:pPr>
              <w:spacing w:before="120" w:after="120"/>
              <w:jc w:val="center"/>
              <w:rPr>
                <w:color w:val="000000" w:themeColor="text1"/>
                <w:shd w:val="clear" w:color="auto" w:fill="FFFFFF"/>
              </w:rPr>
            </w:pPr>
            <w:r w:rsidRPr="00CB3D17">
              <w:rPr>
                <w:b/>
                <w:bCs/>
                <w:color w:val="000000" w:themeColor="text1"/>
                <w:shd w:val="clear" w:color="auto" w:fill="FFFFFF"/>
              </w:rPr>
              <w:t>VI. Sabiedrības līdzdalība un komunikācijas aktivitātes</w:t>
            </w:r>
          </w:p>
        </w:tc>
      </w:tr>
      <w:tr w:rsidR="00CB3D17" w:rsidRPr="00CB3D17" w14:paraId="41A64A5E" w14:textId="77777777" w:rsidTr="00CB3D17">
        <w:tc>
          <w:tcPr>
            <w:tcW w:w="9294" w:type="dxa"/>
            <w:shd w:val="clear" w:color="auto" w:fill="auto"/>
          </w:tcPr>
          <w:p w14:paraId="4DDA100B" w14:textId="77777777" w:rsidR="00CB3D17" w:rsidRPr="00CB3D17" w:rsidRDefault="00CB3D17" w:rsidP="004C11BD">
            <w:pPr>
              <w:spacing w:before="120" w:after="120"/>
              <w:jc w:val="center"/>
              <w:rPr>
                <w:color w:val="000000" w:themeColor="text1"/>
                <w:shd w:val="clear" w:color="auto" w:fill="FFFFFF"/>
              </w:rPr>
            </w:pPr>
            <w:r w:rsidRPr="00CB3D17">
              <w:rPr>
                <w:color w:val="000000" w:themeColor="text1"/>
                <w:shd w:val="clear" w:color="auto" w:fill="FFFFFF"/>
              </w:rPr>
              <w:t>Projekts šo jomu neskar</w:t>
            </w:r>
          </w:p>
        </w:tc>
      </w:tr>
    </w:tbl>
    <w:p w14:paraId="37D89F3A" w14:textId="08E6E060" w:rsidR="00CB3D17" w:rsidRDefault="00CB3D17" w:rsidP="0014572D">
      <w:pPr>
        <w:ind w:left="-426"/>
        <w:jc w:val="both"/>
      </w:pPr>
    </w:p>
    <w:p w14:paraId="1C3A85F0" w14:textId="77777777" w:rsidR="00CB3D17" w:rsidRDefault="00CB3D17" w:rsidP="0014572D">
      <w:pPr>
        <w:ind w:left="-426"/>
        <w:jc w:val="both"/>
      </w:pPr>
    </w:p>
    <w:tbl>
      <w:tblPr>
        <w:tblW w:w="93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09"/>
        <w:gridCol w:w="4376"/>
        <w:gridCol w:w="3672"/>
      </w:tblGrid>
      <w:tr w:rsidR="00C25271" w:rsidRPr="005E0196" w14:paraId="31B3D955" w14:textId="77777777" w:rsidTr="00934748">
        <w:tc>
          <w:tcPr>
            <w:tcW w:w="9357" w:type="dxa"/>
            <w:gridSpan w:val="3"/>
            <w:tcBorders>
              <w:top w:val="single" w:sz="4" w:space="0" w:color="auto"/>
            </w:tcBorders>
            <w:tcMar>
              <w:top w:w="57" w:type="dxa"/>
              <w:left w:w="57" w:type="dxa"/>
              <w:bottom w:w="57" w:type="dxa"/>
              <w:right w:w="57" w:type="dxa"/>
            </w:tcMar>
          </w:tcPr>
          <w:p w14:paraId="31B3D954" w14:textId="77777777" w:rsidR="00C25271" w:rsidRPr="005E0196" w:rsidRDefault="00C25271" w:rsidP="001D5472">
            <w:pPr>
              <w:pStyle w:val="naisnod"/>
              <w:spacing w:before="0" w:after="0"/>
              <w:ind w:left="57" w:right="57"/>
            </w:pPr>
            <w:r w:rsidRPr="005E0196">
              <w:t>VII. Tiesību akta projekta izpildes nodrošināšana un tās ietekme uz institūcijām</w:t>
            </w:r>
          </w:p>
        </w:tc>
      </w:tr>
      <w:tr w:rsidR="00C25271" w:rsidRPr="00D54698" w14:paraId="31B3D959" w14:textId="77777777" w:rsidTr="00934748">
        <w:trPr>
          <w:trHeight w:val="427"/>
        </w:trPr>
        <w:tc>
          <w:tcPr>
            <w:tcW w:w="1309" w:type="dxa"/>
            <w:tcMar>
              <w:top w:w="57" w:type="dxa"/>
              <w:left w:w="57" w:type="dxa"/>
              <w:bottom w:w="57" w:type="dxa"/>
              <w:right w:w="57" w:type="dxa"/>
            </w:tcMar>
          </w:tcPr>
          <w:p w14:paraId="31B3D956" w14:textId="77777777" w:rsidR="00C25271" w:rsidRPr="005E0196" w:rsidRDefault="00C25271" w:rsidP="001D5472">
            <w:pPr>
              <w:pStyle w:val="naisnod"/>
              <w:spacing w:before="0" w:after="0"/>
              <w:ind w:left="57" w:right="57"/>
              <w:jc w:val="left"/>
              <w:rPr>
                <w:b w:val="0"/>
              </w:rPr>
            </w:pPr>
            <w:r w:rsidRPr="005E0196">
              <w:rPr>
                <w:b w:val="0"/>
              </w:rPr>
              <w:t>1.</w:t>
            </w:r>
          </w:p>
        </w:tc>
        <w:tc>
          <w:tcPr>
            <w:tcW w:w="4376" w:type="dxa"/>
            <w:tcMar>
              <w:top w:w="57" w:type="dxa"/>
              <w:left w:w="57" w:type="dxa"/>
              <w:bottom w:w="57" w:type="dxa"/>
              <w:right w:w="57" w:type="dxa"/>
            </w:tcMar>
          </w:tcPr>
          <w:p w14:paraId="31B3D957" w14:textId="77777777" w:rsidR="00C25271" w:rsidRPr="009A6781" w:rsidRDefault="00C25271" w:rsidP="001D5472">
            <w:pPr>
              <w:pStyle w:val="naisf"/>
              <w:spacing w:before="0" w:after="0"/>
              <w:ind w:left="57" w:right="57" w:firstLine="0"/>
              <w:jc w:val="left"/>
              <w:rPr>
                <w:highlight w:val="cyan"/>
              </w:rPr>
            </w:pPr>
            <w:r w:rsidRPr="009A6781">
              <w:t xml:space="preserve">Projekta izpildē iesaistītās institūcijas </w:t>
            </w:r>
          </w:p>
        </w:tc>
        <w:tc>
          <w:tcPr>
            <w:tcW w:w="3672" w:type="dxa"/>
            <w:tcMar>
              <w:top w:w="57" w:type="dxa"/>
              <w:left w:w="57" w:type="dxa"/>
              <w:bottom w:w="57" w:type="dxa"/>
              <w:right w:w="57" w:type="dxa"/>
            </w:tcMar>
          </w:tcPr>
          <w:p w14:paraId="31B3D958" w14:textId="4D12675E" w:rsidR="00C25271" w:rsidRPr="005330CF" w:rsidRDefault="005330CF" w:rsidP="001D5472">
            <w:pPr>
              <w:pStyle w:val="naiskr"/>
              <w:spacing w:before="0" w:after="0"/>
              <w:jc w:val="both"/>
              <w:rPr>
                <w:color w:val="000000" w:themeColor="text1"/>
              </w:rPr>
            </w:pPr>
            <w:r w:rsidRPr="007F4055">
              <w:t>Latvijas Investīcijas un attīstības aģentūr</w:t>
            </w:r>
            <w:r>
              <w:t>a,</w:t>
            </w:r>
            <w:r w:rsidRPr="00B55324">
              <w:rPr>
                <w:color w:val="000000" w:themeColor="text1"/>
              </w:rPr>
              <w:t xml:space="preserve"> Ekonomikas ministrija</w:t>
            </w:r>
            <w:r>
              <w:rPr>
                <w:color w:val="000000" w:themeColor="text1"/>
              </w:rPr>
              <w:t xml:space="preserve"> un Ārlietu ministrija</w:t>
            </w:r>
            <w:r>
              <w:t>.</w:t>
            </w:r>
          </w:p>
        </w:tc>
      </w:tr>
      <w:tr w:rsidR="00C25271" w:rsidRPr="005E0196" w14:paraId="31B3D95D" w14:textId="77777777" w:rsidTr="00934748">
        <w:trPr>
          <w:trHeight w:val="463"/>
        </w:trPr>
        <w:tc>
          <w:tcPr>
            <w:tcW w:w="1309" w:type="dxa"/>
            <w:tcMar>
              <w:top w:w="57" w:type="dxa"/>
              <w:left w:w="57" w:type="dxa"/>
              <w:bottom w:w="57" w:type="dxa"/>
              <w:right w:w="57" w:type="dxa"/>
            </w:tcMar>
          </w:tcPr>
          <w:p w14:paraId="31B3D95A" w14:textId="77777777" w:rsidR="00C25271" w:rsidRPr="005E0196" w:rsidRDefault="00C25271" w:rsidP="001D5472">
            <w:pPr>
              <w:pStyle w:val="naisnod"/>
              <w:spacing w:before="0" w:after="0"/>
              <w:ind w:left="57" w:right="57"/>
              <w:jc w:val="left"/>
              <w:rPr>
                <w:b w:val="0"/>
              </w:rPr>
            </w:pPr>
            <w:r w:rsidRPr="005E0196">
              <w:rPr>
                <w:b w:val="0"/>
              </w:rPr>
              <w:t>2.</w:t>
            </w:r>
          </w:p>
        </w:tc>
        <w:tc>
          <w:tcPr>
            <w:tcW w:w="4376" w:type="dxa"/>
            <w:tcMar>
              <w:top w:w="57" w:type="dxa"/>
              <w:left w:w="57" w:type="dxa"/>
              <w:bottom w:w="57" w:type="dxa"/>
              <w:right w:w="57" w:type="dxa"/>
            </w:tcMar>
          </w:tcPr>
          <w:p w14:paraId="7ACFA757" w14:textId="77777777" w:rsidR="00C25271" w:rsidRDefault="00C25271" w:rsidP="001D5472">
            <w:pPr>
              <w:pStyle w:val="naisf"/>
              <w:spacing w:before="0" w:after="0"/>
              <w:ind w:left="57" w:right="57" w:firstLine="0"/>
              <w:jc w:val="left"/>
            </w:pPr>
            <w:r w:rsidRPr="005E0196">
              <w:t>Projekta izpildes ietekme uz pārvaldes funkcijām un institucionālo struktūru</w:t>
            </w:r>
          </w:p>
          <w:p w14:paraId="0B53B064" w14:textId="77777777" w:rsidR="00CD6ED6" w:rsidRDefault="00CD6ED6" w:rsidP="001D5472">
            <w:pPr>
              <w:pStyle w:val="naisf"/>
              <w:spacing w:before="0" w:after="0"/>
              <w:ind w:left="57" w:right="57" w:firstLine="0"/>
              <w:jc w:val="left"/>
            </w:pPr>
          </w:p>
          <w:p w14:paraId="31B3D95B" w14:textId="15A54CE2" w:rsidR="00CD6ED6" w:rsidRPr="005E0196" w:rsidRDefault="00CD6ED6" w:rsidP="001D5472">
            <w:pPr>
              <w:pStyle w:val="naisf"/>
              <w:spacing w:before="0" w:after="0"/>
              <w:ind w:left="57" w:right="57" w:firstLine="0"/>
              <w:jc w:val="left"/>
            </w:pPr>
            <w:r w:rsidRPr="00CD6ED6">
              <w:t>Jaunu institūciju izveide, esošu institūciju likvidācija vai reorganizācija, to ietekme uz institūcijas cilvēkresursiem</w:t>
            </w:r>
          </w:p>
        </w:tc>
        <w:tc>
          <w:tcPr>
            <w:tcW w:w="3672" w:type="dxa"/>
            <w:tcMar>
              <w:top w:w="57" w:type="dxa"/>
              <w:left w:w="57" w:type="dxa"/>
              <w:bottom w:w="57" w:type="dxa"/>
              <w:right w:w="57" w:type="dxa"/>
            </w:tcMar>
          </w:tcPr>
          <w:p w14:paraId="31B3D95C" w14:textId="38FBFA59" w:rsidR="00C25271" w:rsidRPr="005E0196" w:rsidRDefault="00C25271" w:rsidP="001D5472">
            <w:pPr>
              <w:pStyle w:val="naisnod"/>
              <w:spacing w:before="0" w:after="0"/>
              <w:ind w:right="57"/>
              <w:jc w:val="both"/>
              <w:rPr>
                <w:b w:val="0"/>
              </w:rPr>
            </w:pPr>
            <w:r>
              <w:rPr>
                <w:b w:val="0"/>
              </w:rPr>
              <w:t>Nav attiecināms</w:t>
            </w:r>
          </w:p>
        </w:tc>
      </w:tr>
      <w:tr w:rsidR="00C25271" w:rsidRPr="005E0196" w14:paraId="31B3D961" w14:textId="77777777" w:rsidTr="00934748">
        <w:trPr>
          <w:trHeight w:val="476"/>
        </w:trPr>
        <w:tc>
          <w:tcPr>
            <w:tcW w:w="1309" w:type="dxa"/>
            <w:tcMar>
              <w:top w:w="57" w:type="dxa"/>
              <w:left w:w="57" w:type="dxa"/>
              <w:bottom w:w="57" w:type="dxa"/>
              <w:right w:w="57" w:type="dxa"/>
            </w:tcMar>
          </w:tcPr>
          <w:p w14:paraId="31B3D95E" w14:textId="77777777" w:rsidR="00C25271" w:rsidRPr="005E0196" w:rsidRDefault="00C25271" w:rsidP="001D5472">
            <w:pPr>
              <w:pStyle w:val="naiskr"/>
              <w:spacing w:before="0" w:after="0"/>
              <w:ind w:left="57" w:right="57"/>
            </w:pPr>
            <w:r w:rsidRPr="005E0196">
              <w:t>3.</w:t>
            </w:r>
          </w:p>
        </w:tc>
        <w:tc>
          <w:tcPr>
            <w:tcW w:w="4376" w:type="dxa"/>
            <w:tcMar>
              <w:top w:w="57" w:type="dxa"/>
              <w:left w:w="57" w:type="dxa"/>
              <w:bottom w:w="57" w:type="dxa"/>
              <w:right w:w="57" w:type="dxa"/>
            </w:tcMar>
          </w:tcPr>
          <w:p w14:paraId="31B3D95F" w14:textId="77777777" w:rsidR="00C25271" w:rsidRPr="005E0196" w:rsidRDefault="00C25271" w:rsidP="001D5472">
            <w:pPr>
              <w:pStyle w:val="naiskr"/>
              <w:spacing w:before="0" w:after="0"/>
              <w:ind w:left="57" w:right="57"/>
            </w:pPr>
            <w:r w:rsidRPr="005E0196">
              <w:t>Cita informācija</w:t>
            </w:r>
          </w:p>
        </w:tc>
        <w:tc>
          <w:tcPr>
            <w:tcW w:w="3672" w:type="dxa"/>
            <w:tcMar>
              <w:top w:w="57" w:type="dxa"/>
              <w:left w:w="57" w:type="dxa"/>
              <w:bottom w:w="57" w:type="dxa"/>
              <w:right w:w="57" w:type="dxa"/>
            </w:tcMar>
          </w:tcPr>
          <w:p w14:paraId="31B3D960" w14:textId="77777777" w:rsidR="00C25271" w:rsidRPr="005E0196" w:rsidRDefault="00C25271" w:rsidP="001D5472">
            <w:pPr>
              <w:pStyle w:val="naiskr"/>
              <w:spacing w:before="0" w:after="0"/>
              <w:ind w:left="57" w:right="57"/>
            </w:pPr>
            <w:r>
              <w:t>Nav</w:t>
            </w:r>
          </w:p>
        </w:tc>
      </w:tr>
    </w:tbl>
    <w:p w14:paraId="31B3D962" w14:textId="77777777" w:rsidR="00C25271" w:rsidRDefault="00C25271" w:rsidP="0014572D">
      <w:pPr>
        <w:ind w:left="-426"/>
        <w:jc w:val="both"/>
      </w:pPr>
    </w:p>
    <w:p w14:paraId="31B3D965" w14:textId="77777777" w:rsidR="00FF404C" w:rsidRDefault="00FF404C" w:rsidP="006772DB">
      <w:pPr>
        <w:pStyle w:val="Signature"/>
        <w:widowControl/>
        <w:spacing w:before="0"/>
        <w:ind w:firstLine="0"/>
        <w:rPr>
          <w:sz w:val="24"/>
          <w:szCs w:val="24"/>
        </w:rPr>
      </w:pPr>
    </w:p>
    <w:p w14:paraId="31B3D966" w14:textId="77777777" w:rsidR="00FF404C" w:rsidRDefault="00FF404C" w:rsidP="006772DB">
      <w:pPr>
        <w:pStyle w:val="Signature"/>
        <w:widowControl/>
        <w:spacing w:before="0"/>
        <w:ind w:firstLine="0"/>
        <w:rPr>
          <w:sz w:val="24"/>
          <w:szCs w:val="24"/>
        </w:rPr>
      </w:pPr>
    </w:p>
    <w:p w14:paraId="31B3D967" w14:textId="68E258B3" w:rsidR="006772DB" w:rsidRPr="00771AA4" w:rsidRDefault="000A0746" w:rsidP="006772DB">
      <w:pPr>
        <w:pStyle w:val="Signature"/>
        <w:widowControl/>
        <w:spacing w:before="0"/>
        <w:ind w:firstLine="0"/>
        <w:rPr>
          <w:sz w:val="24"/>
          <w:szCs w:val="24"/>
        </w:rPr>
      </w:pPr>
      <w:r>
        <w:rPr>
          <w:sz w:val="24"/>
          <w:szCs w:val="24"/>
        </w:rPr>
        <w:t>Ministru prezidenta biedrs,</w:t>
      </w:r>
    </w:p>
    <w:p w14:paraId="31B3D968" w14:textId="70BE1CE2" w:rsidR="006772DB" w:rsidRPr="00771AA4" w:rsidRDefault="000A0746" w:rsidP="006772DB">
      <w:pPr>
        <w:pStyle w:val="Signature"/>
        <w:widowControl/>
        <w:spacing w:before="0"/>
        <w:ind w:firstLine="0"/>
        <w:rPr>
          <w:sz w:val="24"/>
          <w:szCs w:val="24"/>
        </w:rPr>
      </w:pPr>
      <w:r>
        <w:rPr>
          <w:sz w:val="24"/>
          <w:szCs w:val="24"/>
        </w:rPr>
        <w:t>ekonomikas</w:t>
      </w:r>
      <w:r w:rsidR="007A2F1D" w:rsidRPr="00771AA4">
        <w:rPr>
          <w:sz w:val="24"/>
          <w:szCs w:val="24"/>
        </w:rPr>
        <w:t xml:space="preserve"> ministrs</w:t>
      </w:r>
      <w:r w:rsidR="007A2F1D" w:rsidRPr="00771AA4">
        <w:rPr>
          <w:sz w:val="24"/>
          <w:szCs w:val="24"/>
        </w:rPr>
        <w:tab/>
      </w:r>
      <w:r>
        <w:rPr>
          <w:sz w:val="24"/>
          <w:szCs w:val="24"/>
        </w:rPr>
        <w:t>Arvils Ašeradens</w:t>
      </w:r>
    </w:p>
    <w:p w14:paraId="31B3D969" w14:textId="77777777" w:rsidR="001D5472" w:rsidRPr="00771AA4" w:rsidRDefault="001D5472"/>
    <w:p w14:paraId="31B3D96A" w14:textId="77777777" w:rsidR="006772DB" w:rsidRPr="00771AA4" w:rsidRDefault="006772DB"/>
    <w:p w14:paraId="31B3D96C" w14:textId="31980184" w:rsidR="006772DB" w:rsidRDefault="006772DB" w:rsidP="006772DB">
      <w:r w:rsidRPr="00771AA4">
        <w:t>Vīza:</w:t>
      </w:r>
      <w:r w:rsidR="000A0746">
        <w:t xml:space="preserve"> v</w:t>
      </w:r>
      <w:r w:rsidRPr="00771AA4">
        <w:t xml:space="preserve">alsts sekretārs                                                             </w:t>
      </w:r>
      <w:r w:rsidR="000A0746">
        <w:t xml:space="preserve">                 Juris Stinka</w:t>
      </w:r>
    </w:p>
    <w:p w14:paraId="31B3D96D" w14:textId="77777777" w:rsidR="006772DB" w:rsidRDefault="006772DB" w:rsidP="006772DB"/>
    <w:p w14:paraId="5A7D0C3B" w14:textId="77777777" w:rsidR="00457C9E" w:rsidRDefault="00457C9E" w:rsidP="00457C9E">
      <w:pPr>
        <w:tabs>
          <w:tab w:val="left" w:pos="6096"/>
        </w:tabs>
        <w:jc w:val="both"/>
        <w:rPr>
          <w:sz w:val="20"/>
          <w:szCs w:val="20"/>
        </w:rPr>
      </w:pPr>
    </w:p>
    <w:p w14:paraId="4AA73DBE" w14:textId="193AAFDB" w:rsidR="009F30D0" w:rsidRDefault="009F30D0" w:rsidP="003B4019">
      <w:pPr>
        <w:ind w:right="3969"/>
        <w:jc w:val="both"/>
        <w:rPr>
          <w:sz w:val="20"/>
          <w:szCs w:val="20"/>
        </w:rPr>
      </w:pPr>
      <w:bookmarkStart w:id="1" w:name="_Hlk488054252"/>
      <w:r>
        <w:rPr>
          <w:sz w:val="20"/>
          <w:szCs w:val="20"/>
        </w:rPr>
        <w:t>26.09.2017. 13:36</w:t>
      </w:r>
    </w:p>
    <w:p w14:paraId="7FDEA542" w14:textId="202BC813" w:rsidR="003B4019" w:rsidRPr="00531F0F" w:rsidRDefault="003B4019" w:rsidP="003B4019">
      <w:pPr>
        <w:ind w:right="3969"/>
        <w:jc w:val="both"/>
        <w:rPr>
          <w:sz w:val="20"/>
          <w:szCs w:val="20"/>
        </w:rPr>
      </w:pPr>
      <w:r w:rsidRPr="00531F0F">
        <w:rPr>
          <w:iCs/>
          <w:sz w:val="20"/>
          <w:szCs w:val="20"/>
        </w:rPr>
        <w:t>Jankovskis</w:t>
      </w:r>
      <w:r w:rsidRPr="00531F0F">
        <w:rPr>
          <w:sz w:val="20"/>
          <w:szCs w:val="20"/>
        </w:rPr>
        <w:t xml:space="preserve">, 67013246, </w:t>
      </w:r>
    </w:p>
    <w:p w14:paraId="1B76BFE7" w14:textId="77777777" w:rsidR="003B4019" w:rsidRDefault="00EF78E5" w:rsidP="003B4019">
      <w:pPr>
        <w:tabs>
          <w:tab w:val="left" w:pos="6096"/>
        </w:tabs>
        <w:jc w:val="both"/>
        <w:rPr>
          <w:color w:val="0563C1"/>
          <w:sz w:val="20"/>
          <w:szCs w:val="20"/>
          <w:u w:val="single"/>
        </w:rPr>
      </w:pPr>
      <w:hyperlink r:id="rId11" w:history="1">
        <w:r w:rsidR="003B4019" w:rsidRPr="00E011FF">
          <w:rPr>
            <w:color w:val="0563C1"/>
            <w:sz w:val="20"/>
            <w:szCs w:val="20"/>
            <w:u w:val="single"/>
          </w:rPr>
          <w:t>Andrians.Jankovskis@em.gov.lv</w:t>
        </w:r>
      </w:hyperlink>
    </w:p>
    <w:p w14:paraId="35ACBC30" w14:textId="77777777" w:rsidR="003B4019" w:rsidRDefault="003B4019" w:rsidP="003B4019">
      <w:pPr>
        <w:tabs>
          <w:tab w:val="left" w:pos="6096"/>
        </w:tabs>
        <w:jc w:val="both"/>
        <w:rPr>
          <w:color w:val="0563C1"/>
          <w:sz w:val="20"/>
          <w:szCs w:val="20"/>
          <w:u w:val="single"/>
        </w:rPr>
      </w:pPr>
    </w:p>
    <w:bookmarkEnd w:id="1"/>
    <w:p w14:paraId="3EBC4AEA" w14:textId="77777777" w:rsidR="003B4019" w:rsidRPr="00CC14C2" w:rsidRDefault="003B4019" w:rsidP="003B4019">
      <w:pPr>
        <w:ind w:right="3969"/>
        <w:rPr>
          <w:rFonts w:eastAsia="Calibri"/>
          <w:sz w:val="20"/>
          <w:szCs w:val="20"/>
        </w:rPr>
      </w:pPr>
      <w:r w:rsidRPr="00CC14C2">
        <w:rPr>
          <w:rFonts w:eastAsia="Calibri"/>
          <w:iCs/>
          <w:sz w:val="20"/>
          <w:szCs w:val="20"/>
        </w:rPr>
        <w:t>Pujate</w:t>
      </w:r>
      <w:r w:rsidRPr="00CC14C2">
        <w:rPr>
          <w:rFonts w:eastAsia="Calibri"/>
          <w:sz w:val="20"/>
          <w:szCs w:val="20"/>
        </w:rPr>
        <w:t>, 67039459</w:t>
      </w:r>
    </w:p>
    <w:p w14:paraId="31B3D98D" w14:textId="5230FBDA" w:rsidR="008E5F78" w:rsidRPr="003B4019" w:rsidRDefault="00EF78E5" w:rsidP="003B4019">
      <w:pPr>
        <w:ind w:right="3969"/>
        <w:rPr>
          <w:rFonts w:eastAsia="Calibri"/>
          <w:sz w:val="20"/>
          <w:szCs w:val="20"/>
        </w:rPr>
      </w:pPr>
      <w:hyperlink r:id="rId12" w:history="1">
        <w:r w:rsidR="003B4019" w:rsidRPr="00CC14C2">
          <w:rPr>
            <w:rFonts w:eastAsia="Calibri"/>
            <w:color w:val="0563C1"/>
            <w:sz w:val="20"/>
            <w:szCs w:val="20"/>
            <w:u w:val="single"/>
          </w:rPr>
          <w:t>dina.pujate@liaa.gov.lv</w:t>
        </w:r>
      </w:hyperlink>
    </w:p>
    <w:sectPr w:rsidR="008E5F78" w:rsidRPr="003B4019" w:rsidSect="00E57BAE">
      <w:headerReference w:type="default" r:id="rId13"/>
      <w:footerReference w:type="default" r:id="rId14"/>
      <w:footerReference w:type="first" r:id="rId15"/>
      <w:pgSz w:w="11906" w:h="16838"/>
      <w:pgMar w:top="1440" w:right="1800" w:bottom="1440" w:left="1800" w:header="708" w:footer="8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2AE0" w14:textId="77777777" w:rsidR="004C11BD" w:rsidRDefault="004C11BD" w:rsidP="00CE176E">
      <w:r>
        <w:separator/>
      </w:r>
    </w:p>
  </w:endnote>
  <w:endnote w:type="continuationSeparator" w:id="0">
    <w:p w14:paraId="053A4C34" w14:textId="77777777" w:rsidR="004C11BD" w:rsidRDefault="004C11BD" w:rsidP="00C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D994" w14:textId="595013F3" w:rsidR="004C11BD" w:rsidRPr="0052740F" w:rsidRDefault="0052740F" w:rsidP="0052740F">
    <w:pPr>
      <w:pStyle w:val="Footer"/>
    </w:pPr>
    <w:r w:rsidRPr="0052740F">
      <w:rPr>
        <w:sz w:val="20"/>
        <w:szCs w:val="20"/>
      </w:rPr>
      <w:t>EManot_260917_LIAA_EIIS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171E" w14:textId="378B9A7D" w:rsidR="004C11BD" w:rsidRPr="0052740F" w:rsidRDefault="0052740F" w:rsidP="0052740F">
    <w:pPr>
      <w:pStyle w:val="Footer"/>
    </w:pPr>
    <w:r w:rsidRPr="0052740F">
      <w:rPr>
        <w:sz w:val="20"/>
        <w:szCs w:val="20"/>
      </w:rPr>
      <w:t>EManot_260917_LIAA_EIIS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89F6" w14:textId="77777777" w:rsidR="004C11BD" w:rsidRDefault="004C11BD" w:rsidP="00CE176E">
      <w:r>
        <w:separator/>
      </w:r>
    </w:p>
  </w:footnote>
  <w:footnote w:type="continuationSeparator" w:id="0">
    <w:p w14:paraId="00EDCCDC" w14:textId="77777777" w:rsidR="004C11BD" w:rsidRDefault="004C11BD" w:rsidP="00CE176E">
      <w:r>
        <w:continuationSeparator/>
      </w:r>
    </w:p>
  </w:footnote>
  <w:footnote w:id="1">
    <w:p w14:paraId="20B9E877" w14:textId="223F3FC7" w:rsidR="004C11BD" w:rsidRDefault="004C11BD">
      <w:pPr>
        <w:pStyle w:val="FootnoteText"/>
      </w:pPr>
      <w:r>
        <w:rPr>
          <w:rStyle w:val="FootnoteReference"/>
        </w:rPr>
        <w:footnoteRef/>
      </w:r>
      <w:r>
        <w:t xml:space="preserve"> </w:t>
      </w:r>
      <w:proofErr w:type="spellStart"/>
      <w:r w:rsidRPr="00831D25">
        <w:t>Mašīntulkošanas</w:t>
      </w:r>
      <w:proofErr w:type="spellEnd"/>
      <w:r w:rsidRPr="00831D25">
        <w:t xml:space="preserve"> serviss Hugo.lv - Eiropas Savienības struktūrfondu un Kohēzijas fonda 2007.–2013.gada plānošanas perioda darbības programmas “Infrastruktūra un pakalpojumi” papildinājuma 3.2.2.1.1.apakšaktivitātes “Informācijas sistēmu un elektronisko pakalpojumu attīstība” ietvaros īstenotā projekta Nr.3DP/3.2.2.1.1/12/IPIA/CFLA/005 “</w:t>
      </w:r>
      <w:proofErr w:type="spellStart"/>
      <w:r w:rsidRPr="00831D25">
        <w:t>Daudzvalodu</w:t>
      </w:r>
      <w:proofErr w:type="spellEnd"/>
      <w:r w:rsidRPr="00831D25">
        <w:t xml:space="preserve"> korpusa un </w:t>
      </w:r>
      <w:proofErr w:type="spellStart"/>
      <w:r w:rsidRPr="00831D25">
        <w:t>mašīntulkošanas</w:t>
      </w:r>
      <w:proofErr w:type="spellEnd"/>
      <w:r w:rsidRPr="00831D25">
        <w:t xml:space="preserve"> infrastruktūras izveide e-pakalpojumu pieejamības nodrošināšanai” ietvaros izveidotais </w:t>
      </w:r>
      <w:proofErr w:type="spellStart"/>
      <w:r w:rsidRPr="00831D25">
        <w:t>mašīntulkošanas</w:t>
      </w:r>
      <w:proofErr w:type="spellEnd"/>
      <w:r w:rsidRPr="00831D25">
        <w:t xml:space="preserve"> serviss Hugo.lv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D992" w14:textId="6341BD75" w:rsidR="004C11BD" w:rsidRDefault="004C11BD">
    <w:pPr>
      <w:pStyle w:val="Header"/>
    </w:pPr>
    <w:r>
      <w:tab/>
    </w:r>
    <w:sdt>
      <w:sdtPr>
        <w:id w:val="-6990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78E5">
          <w:rPr>
            <w:noProof/>
          </w:rPr>
          <w:t>11</w:t>
        </w:r>
        <w:r>
          <w:rPr>
            <w:noProof/>
          </w:rPr>
          <w:fldChar w:fldCharType="end"/>
        </w:r>
      </w:sdtContent>
    </w:sdt>
  </w:p>
  <w:p w14:paraId="31B3D993" w14:textId="77777777" w:rsidR="004C11BD" w:rsidRDefault="004C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621"/>
    <w:multiLevelType w:val="hybridMultilevel"/>
    <w:tmpl w:val="52B8CDF2"/>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1" w15:restartNumberingAfterBreak="0">
    <w:nsid w:val="01293A36"/>
    <w:multiLevelType w:val="hybridMultilevel"/>
    <w:tmpl w:val="1A208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E74A68"/>
    <w:multiLevelType w:val="hybridMultilevel"/>
    <w:tmpl w:val="F9108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982851"/>
    <w:multiLevelType w:val="hybridMultilevel"/>
    <w:tmpl w:val="2EC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5C7E37"/>
    <w:multiLevelType w:val="hybridMultilevel"/>
    <w:tmpl w:val="C64A9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434080"/>
    <w:multiLevelType w:val="hybridMultilevel"/>
    <w:tmpl w:val="6E4A8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506706"/>
    <w:multiLevelType w:val="hybridMultilevel"/>
    <w:tmpl w:val="22DCB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073A97"/>
    <w:multiLevelType w:val="hybridMultilevel"/>
    <w:tmpl w:val="DC567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001262"/>
    <w:multiLevelType w:val="hybridMultilevel"/>
    <w:tmpl w:val="363271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31"/>
    <w:rsid w:val="0000503A"/>
    <w:rsid w:val="00011B6C"/>
    <w:rsid w:val="0005773D"/>
    <w:rsid w:val="00065CE4"/>
    <w:rsid w:val="00081D6E"/>
    <w:rsid w:val="0008714C"/>
    <w:rsid w:val="000926B4"/>
    <w:rsid w:val="000A0746"/>
    <w:rsid w:val="000B596B"/>
    <w:rsid w:val="000C3C78"/>
    <w:rsid w:val="000D0553"/>
    <w:rsid w:val="00122E7F"/>
    <w:rsid w:val="001372D2"/>
    <w:rsid w:val="0014572D"/>
    <w:rsid w:val="00150265"/>
    <w:rsid w:val="0015363E"/>
    <w:rsid w:val="00170306"/>
    <w:rsid w:val="00191A91"/>
    <w:rsid w:val="001A30EF"/>
    <w:rsid w:val="001A645D"/>
    <w:rsid w:val="001D5472"/>
    <w:rsid w:val="001F6E61"/>
    <w:rsid w:val="001F7FD4"/>
    <w:rsid w:val="00205DC7"/>
    <w:rsid w:val="00234622"/>
    <w:rsid w:val="002416A3"/>
    <w:rsid w:val="00241A50"/>
    <w:rsid w:val="00241E95"/>
    <w:rsid w:val="00271CAC"/>
    <w:rsid w:val="002B0594"/>
    <w:rsid w:val="002B0715"/>
    <w:rsid w:val="002F481E"/>
    <w:rsid w:val="0030725D"/>
    <w:rsid w:val="003752DF"/>
    <w:rsid w:val="00383ACA"/>
    <w:rsid w:val="003A1AD2"/>
    <w:rsid w:val="003B4019"/>
    <w:rsid w:val="003C04D9"/>
    <w:rsid w:val="003C79E6"/>
    <w:rsid w:val="003D4D00"/>
    <w:rsid w:val="00440224"/>
    <w:rsid w:val="00453E60"/>
    <w:rsid w:val="00457C9E"/>
    <w:rsid w:val="0046746C"/>
    <w:rsid w:val="00480015"/>
    <w:rsid w:val="004909AD"/>
    <w:rsid w:val="00495A2A"/>
    <w:rsid w:val="004B519C"/>
    <w:rsid w:val="004C11BD"/>
    <w:rsid w:val="004E1D0E"/>
    <w:rsid w:val="0052740F"/>
    <w:rsid w:val="005330CF"/>
    <w:rsid w:val="00595EB4"/>
    <w:rsid w:val="005C1BF0"/>
    <w:rsid w:val="005D0C5E"/>
    <w:rsid w:val="006772DB"/>
    <w:rsid w:val="00682BD8"/>
    <w:rsid w:val="006C607A"/>
    <w:rsid w:val="006F6AA9"/>
    <w:rsid w:val="00731158"/>
    <w:rsid w:val="007420D6"/>
    <w:rsid w:val="00753243"/>
    <w:rsid w:val="00771AA4"/>
    <w:rsid w:val="007A2F1D"/>
    <w:rsid w:val="007C0399"/>
    <w:rsid w:val="00813E47"/>
    <w:rsid w:val="00831D25"/>
    <w:rsid w:val="00852D36"/>
    <w:rsid w:val="00890442"/>
    <w:rsid w:val="00892A49"/>
    <w:rsid w:val="008B5431"/>
    <w:rsid w:val="008E5F78"/>
    <w:rsid w:val="00934748"/>
    <w:rsid w:val="00961814"/>
    <w:rsid w:val="00993CEB"/>
    <w:rsid w:val="009B6767"/>
    <w:rsid w:val="009F30D0"/>
    <w:rsid w:val="00A14EE7"/>
    <w:rsid w:val="00A25336"/>
    <w:rsid w:val="00AB2B04"/>
    <w:rsid w:val="00AF35DE"/>
    <w:rsid w:val="00B03163"/>
    <w:rsid w:val="00B1266B"/>
    <w:rsid w:val="00B2015B"/>
    <w:rsid w:val="00B934AF"/>
    <w:rsid w:val="00BA0EDC"/>
    <w:rsid w:val="00BC0CD5"/>
    <w:rsid w:val="00BC53DA"/>
    <w:rsid w:val="00BE7FDF"/>
    <w:rsid w:val="00BF6103"/>
    <w:rsid w:val="00C10326"/>
    <w:rsid w:val="00C25271"/>
    <w:rsid w:val="00C35972"/>
    <w:rsid w:val="00C5174A"/>
    <w:rsid w:val="00C75E0A"/>
    <w:rsid w:val="00C86A71"/>
    <w:rsid w:val="00CB3D17"/>
    <w:rsid w:val="00CD6ED6"/>
    <w:rsid w:val="00CE176E"/>
    <w:rsid w:val="00CE4498"/>
    <w:rsid w:val="00CF0B1A"/>
    <w:rsid w:val="00D15523"/>
    <w:rsid w:val="00D50932"/>
    <w:rsid w:val="00D91A2A"/>
    <w:rsid w:val="00DB5D07"/>
    <w:rsid w:val="00E31830"/>
    <w:rsid w:val="00E35429"/>
    <w:rsid w:val="00E56848"/>
    <w:rsid w:val="00E57BAE"/>
    <w:rsid w:val="00E90390"/>
    <w:rsid w:val="00EA00E7"/>
    <w:rsid w:val="00ED1379"/>
    <w:rsid w:val="00ED5CD3"/>
    <w:rsid w:val="00EE1394"/>
    <w:rsid w:val="00EF5D70"/>
    <w:rsid w:val="00EF78E5"/>
    <w:rsid w:val="00F0256E"/>
    <w:rsid w:val="00F222B2"/>
    <w:rsid w:val="00F569A6"/>
    <w:rsid w:val="00F6040F"/>
    <w:rsid w:val="00F870AE"/>
    <w:rsid w:val="00FA488C"/>
    <w:rsid w:val="00FC38AC"/>
    <w:rsid w:val="00FD7F6C"/>
    <w:rsid w:val="00FF4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B3D854"/>
  <w15:chartTrackingRefBased/>
  <w15:docId w15:val="{A2137AC5-F4DC-4C23-9630-19E39F8F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7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14572D"/>
    <w:pPr>
      <w:spacing w:after="160" w:line="256" w:lineRule="auto"/>
    </w:pPr>
    <w:rPr>
      <w:rFonts w:eastAsia="Calibri"/>
      <w:szCs w:val="22"/>
      <w:lang w:eastAsia="en-US"/>
    </w:rPr>
  </w:style>
  <w:style w:type="paragraph" w:styleId="Signature">
    <w:name w:val="Signature"/>
    <w:basedOn w:val="Normal"/>
    <w:next w:val="EnvelopeReturn"/>
    <w:link w:val="SignatureChar"/>
    <w:rsid w:val="006772DB"/>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6772DB"/>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6772DB"/>
    <w:rPr>
      <w:rFonts w:asciiTheme="majorHAnsi" w:eastAsiaTheme="majorEastAsia" w:hAnsiTheme="majorHAnsi" w:cstheme="majorBidi"/>
      <w:sz w:val="20"/>
      <w:szCs w:val="20"/>
    </w:rPr>
  </w:style>
  <w:style w:type="paragraph" w:customStyle="1" w:styleId="naiskr">
    <w:name w:val="naiskr"/>
    <w:basedOn w:val="Normal"/>
    <w:rsid w:val="00C25271"/>
    <w:pPr>
      <w:spacing w:before="75" w:after="75"/>
    </w:pPr>
  </w:style>
  <w:style w:type="paragraph" w:styleId="ListParagraph">
    <w:name w:val="List Paragraph"/>
    <w:aliases w:val="2,H&amp;P List Paragraph,Strip"/>
    <w:basedOn w:val="Normal"/>
    <w:link w:val="ListParagraphChar"/>
    <w:uiPriority w:val="34"/>
    <w:qFormat/>
    <w:rsid w:val="00C25271"/>
    <w:pPr>
      <w:ind w:left="720"/>
      <w:contextualSpacing/>
    </w:pPr>
    <w:rPr>
      <w:lang w:eastAsia="en-US"/>
    </w:rPr>
  </w:style>
  <w:style w:type="character" w:customStyle="1" w:styleId="ListParagraphChar">
    <w:name w:val="List Paragraph Char"/>
    <w:aliases w:val="2 Char,H&amp;P List Paragraph Char,Strip Char"/>
    <w:link w:val="ListParagraph"/>
    <w:uiPriority w:val="34"/>
    <w:locked/>
    <w:rsid w:val="00C25271"/>
    <w:rPr>
      <w:rFonts w:ascii="Times New Roman" w:eastAsia="Times New Roman" w:hAnsi="Times New Roman" w:cs="Times New Roman"/>
      <w:sz w:val="24"/>
      <w:szCs w:val="24"/>
    </w:rPr>
  </w:style>
  <w:style w:type="paragraph" w:customStyle="1" w:styleId="naisf">
    <w:name w:val="naisf"/>
    <w:basedOn w:val="Normal"/>
    <w:rsid w:val="00C25271"/>
    <w:pPr>
      <w:spacing w:before="75" w:after="75"/>
      <w:ind w:firstLine="375"/>
      <w:jc w:val="both"/>
    </w:pPr>
  </w:style>
  <w:style w:type="paragraph" w:customStyle="1" w:styleId="naisnod">
    <w:name w:val="naisnod"/>
    <w:basedOn w:val="Normal"/>
    <w:rsid w:val="00C25271"/>
    <w:pPr>
      <w:spacing w:before="150" w:after="150"/>
      <w:jc w:val="center"/>
    </w:pPr>
    <w:rPr>
      <w:b/>
      <w:bCs/>
    </w:rPr>
  </w:style>
  <w:style w:type="character" w:styleId="Hyperlink">
    <w:name w:val="Hyperlink"/>
    <w:basedOn w:val="DefaultParagraphFont"/>
    <w:uiPriority w:val="99"/>
    <w:unhideWhenUsed/>
    <w:rsid w:val="008E5F78"/>
    <w:rPr>
      <w:color w:val="0563C1" w:themeColor="hyperlink"/>
      <w:u w:val="single"/>
    </w:rPr>
  </w:style>
  <w:style w:type="paragraph" w:styleId="Header">
    <w:name w:val="header"/>
    <w:basedOn w:val="Normal"/>
    <w:link w:val="HeaderChar"/>
    <w:uiPriority w:val="99"/>
    <w:unhideWhenUsed/>
    <w:rsid w:val="00CE176E"/>
    <w:pPr>
      <w:tabs>
        <w:tab w:val="center" w:pos="4153"/>
        <w:tab w:val="right" w:pos="8306"/>
      </w:tabs>
    </w:pPr>
  </w:style>
  <w:style w:type="character" w:customStyle="1" w:styleId="HeaderChar">
    <w:name w:val="Header Char"/>
    <w:basedOn w:val="DefaultParagraphFont"/>
    <w:link w:val="Header"/>
    <w:uiPriority w:val="99"/>
    <w:rsid w:val="00CE176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E176E"/>
    <w:pPr>
      <w:tabs>
        <w:tab w:val="center" w:pos="4153"/>
        <w:tab w:val="right" w:pos="8306"/>
      </w:tabs>
    </w:pPr>
  </w:style>
  <w:style w:type="character" w:customStyle="1" w:styleId="FooterChar">
    <w:name w:val="Footer Char"/>
    <w:basedOn w:val="DefaultParagraphFont"/>
    <w:link w:val="Footer"/>
    <w:uiPriority w:val="99"/>
    <w:rsid w:val="00CE176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D0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5E"/>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83ACA"/>
    <w:rPr>
      <w:sz w:val="16"/>
      <w:szCs w:val="16"/>
    </w:rPr>
  </w:style>
  <w:style w:type="paragraph" w:styleId="CommentText">
    <w:name w:val="annotation text"/>
    <w:basedOn w:val="Normal"/>
    <w:link w:val="CommentTextChar"/>
    <w:uiPriority w:val="99"/>
    <w:semiHidden/>
    <w:unhideWhenUsed/>
    <w:rsid w:val="00383ACA"/>
    <w:rPr>
      <w:sz w:val="20"/>
      <w:szCs w:val="20"/>
    </w:rPr>
  </w:style>
  <w:style w:type="character" w:customStyle="1" w:styleId="CommentTextChar">
    <w:name w:val="Comment Text Char"/>
    <w:basedOn w:val="DefaultParagraphFont"/>
    <w:link w:val="CommentText"/>
    <w:uiPriority w:val="99"/>
    <w:semiHidden/>
    <w:rsid w:val="00383AC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3ACA"/>
    <w:rPr>
      <w:b/>
      <w:bCs/>
    </w:rPr>
  </w:style>
  <w:style w:type="character" w:customStyle="1" w:styleId="CommentSubjectChar">
    <w:name w:val="Comment Subject Char"/>
    <w:basedOn w:val="CommentTextChar"/>
    <w:link w:val="CommentSubject"/>
    <w:uiPriority w:val="99"/>
    <w:semiHidden/>
    <w:rsid w:val="00383ACA"/>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31D25"/>
    <w:rPr>
      <w:sz w:val="20"/>
      <w:szCs w:val="20"/>
    </w:rPr>
  </w:style>
  <w:style w:type="character" w:customStyle="1" w:styleId="FootnoteTextChar">
    <w:name w:val="Footnote Text Char"/>
    <w:basedOn w:val="DefaultParagraphFont"/>
    <w:link w:val="FootnoteText"/>
    <w:uiPriority w:val="99"/>
    <w:semiHidden/>
    <w:rsid w:val="00831D2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pujate@liaa.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ians.Jankovskis@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3E0ACE49BF3D4DB00570A8F2CA7726" ma:contentTypeVersion="" ma:contentTypeDescription="Create a new document." ma:contentTypeScope="" ma:versionID="25f8c606af228ad4704077a1f141cc84">
  <xsd:schema xmlns:xsd="http://www.w3.org/2001/XMLSchema" xmlns:xs="http://www.w3.org/2001/XMLSchema" xmlns:p="http://schemas.microsoft.com/office/2006/metadata/properties" xmlns:ns2="aeebbc9d-1276-403b-9410-9a93c3793fb9" targetNamespace="http://schemas.microsoft.com/office/2006/metadata/properties" ma:root="true" ma:fieldsID="bdd8a4e00d04cba4c2ffaa1beb2358cb" ns2:_="">
    <xsd:import namespace="aeebbc9d-1276-403b-9410-9a93c3793f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bc9d-1276-403b-9410-9a93c3793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92BF-F1FD-40A6-A3D4-706FC27B952D}">
  <ds:schemaRefs>
    <ds:schemaRef ds:uri="http://schemas.microsoft.com/sharepoint/v3/contenttype/forms"/>
  </ds:schemaRefs>
</ds:datastoreItem>
</file>

<file path=customXml/itemProps2.xml><?xml version="1.0" encoding="utf-8"?>
<ds:datastoreItem xmlns:ds="http://schemas.openxmlformats.org/officeDocument/2006/customXml" ds:itemID="{5869D341-9C24-49E4-AFCC-5C499676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bc9d-1276-403b-9410-9a93c379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F1ED3-1CDD-4B09-BFFF-1A36363462C5}">
  <ds:schemaRefs>
    <ds:schemaRef ds:uri="http://purl.org/dc/dcmitype/"/>
    <ds:schemaRef ds:uri="aeebbc9d-1276-403b-9410-9a93c3793fb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A02ED8-C646-4AD2-B4EB-F4802CF1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16305</Words>
  <Characters>9294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EManot_260917_LIAA_EIIS</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EManot_260917_LIAA_EIIS</dc:title>
  <dc:subject/>
  <dc:creator>Vika Telle</dc:creator>
  <cp:keywords/>
  <dc:description/>
  <cp:lastModifiedBy>Andriāns Jankovskis</cp:lastModifiedBy>
  <cp:revision>20</cp:revision>
  <cp:lastPrinted>2017-07-19T06:08:00Z</cp:lastPrinted>
  <dcterms:created xsi:type="dcterms:W3CDTF">2017-08-30T10:35:00Z</dcterms:created>
  <dcterms:modified xsi:type="dcterms:W3CDTF">2017-09-27T06:18:00Z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0x0101007B3E0ACE49BF3D4DB00570A8F2CA7726</vt:lpwstr>
  </property>
</Properties>
</file>