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01" w:rsidRPr="000B4A9D" w:rsidRDefault="00042401" w:rsidP="000B4A9D">
      <w:pPr>
        <w:jc w:val="right"/>
        <w:rPr>
          <w:sz w:val="24"/>
          <w:szCs w:val="24"/>
          <w:lang w:val="lv-LV"/>
        </w:rPr>
      </w:pPr>
      <w:r w:rsidRPr="000B4A9D">
        <w:rPr>
          <w:sz w:val="24"/>
          <w:szCs w:val="24"/>
          <w:lang w:val="lv-LV"/>
        </w:rPr>
        <w:t xml:space="preserve">Pielikums </w:t>
      </w:r>
    </w:p>
    <w:p w:rsidR="000C2104" w:rsidRDefault="0085557C" w:rsidP="006D6117">
      <w:pPr>
        <w:jc w:val="right"/>
        <w:rPr>
          <w:sz w:val="20"/>
          <w:szCs w:val="20"/>
          <w:lang w:val="lv-LV"/>
        </w:rPr>
      </w:pPr>
      <w:r>
        <w:rPr>
          <w:sz w:val="24"/>
          <w:szCs w:val="24"/>
          <w:lang w:val="lv-LV"/>
        </w:rPr>
        <w:t>s</w:t>
      </w:r>
      <w:r w:rsidR="00042401" w:rsidRPr="000B4A9D">
        <w:rPr>
          <w:sz w:val="24"/>
          <w:szCs w:val="24"/>
          <w:lang w:val="lv-LV"/>
        </w:rPr>
        <w:t>ākotnējās</w:t>
      </w:r>
      <w:r w:rsidR="000B4A9D">
        <w:rPr>
          <w:sz w:val="24"/>
          <w:szCs w:val="24"/>
          <w:lang w:val="lv-LV"/>
        </w:rPr>
        <w:t xml:space="preserve"> </w:t>
      </w:r>
      <w:r w:rsidR="000C2104">
        <w:rPr>
          <w:sz w:val="24"/>
          <w:szCs w:val="24"/>
          <w:lang w:val="lv-LV"/>
        </w:rPr>
        <w:t>ietekmes novērtējuma ziņojumam</w:t>
      </w:r>
      <w:r w:rsidR="000B4A9D">
        <w:rPr>
          <w:sz w:val="24"/>
          <w:szCs w:val="24"/>
          <w:lang w:val="lv-LV"/>
        </w:rPr>
        <w:t xml:space="preserve"> </w:t>
      </w:r>
      <w:r w:rsidR="00042401" w:rsidRPr="000B4A9D">
        <w:rPr>
          <w:sz w:val="24"/>
          <w:szCs w:val="24"/>
          <w:lang w:val="lv-LV"/>
        </w:rPr>
        <w:t>(anotācijai</w:t>
      </w:r>
      <w:r w:rsidR="00042401" w:rsidRPr="00042401">
        <w:rPr>
          <w:sz w:val="20"/>
          <w:szCs w:val="20"/>
          <w:lang w:val="lv-LV"/>
        </w:rPr>
        <w:t>)</w:t>
      </w:r>
      <w:r w:rsidR="000C2104">
        <w:rPr>
          <w:sz w:val="20"/>
          <w:szCs w:val="20"/>
          <w:lang w:val="lv-LV"/>
        </w:rPr>
        <w:t xml:space="preserve"> </w:t>
      </w:r>
    </w:p>
    <w:p w:rsidR="000C2104" w:rsidRDefault="000C2104" w:rsidP="006D6117">
      <w:pPr>
        <w:jc w:val="right"/>
        <w:rPr>
          <w:sz w:val="24"/>
          <w:szCs w:val="24"/>
          <w:lang w:val="lv-LV"/>
        </w:rPr>
      </w:pPr>
      <w:r w:rsidRPr="000C2104">
        <w:rPr>
          <w:sz w:val="24"/>
          <w:szCs w:val="24"/>
          <w:lang w:val="lv-LV"/>
        </w:rPr>
        <w:t>“Par finansējumu Iekšlietu ministrijai (Valsts robežsardzei)</w:t>
      </w:r>
    </w:p>
    <w:p w:rsidR="00042401" w:rsidRPr="000C2104" w:rsidRDefault="000C2104" w:rsidP="006D6117">
      <w:pPr>
        <w:jc w:val="right"/>
        <w:rPr>
          <w:sz w:val="24"/>
          <w:szCs w:val="24"/>
          <w:lang w:val="lv-LV"/>
        </w:rPr>
      </w:pPr>
      <w:r w:rsidRPr="000C2104">
        <w:rPr>
          <w:sz w:val="24"/>
          <w:szCs w:val="24"/>
          <w:lang w:val="lv-LV"/>
        </w:rPr>
        <w:t xml:space="preserve"> helikopteru iegādei</w:t>
      </w:r>
      <w:r>
        <w:rPr>
          <w:sz w:val="24"/>
          <w:szCs w:val="24"/>
          <w:lang w:val="lv-LV"/>
        </w:rPr>
        <w:t>”</w:t>
      </w:r>
    </w:p>
    <w:p w:rsidR="000C2104" w:rsidRDefault="000C2104" w:rsidP="006D6117">
      <w:pPr>
        <w:jc w:val="right"/>
        <w:rPr>
          <w:sz w:val="20"/>
          <w:szCs w:val="20"/>
          <w:lang w:val="lv-LV"/>
        </w:rPr>
      </w:pPr>
    </w:p>
    <w:p w:rsidR="005D32FF" w:rsidRPr="00042401" w:rsidRDefault="005D32FF" w:rsidP="006D6117">
      <w:pPr>
        <w:jc w:val="right"/>
        <w:rPr>
          <w:sz w:val="20"/>
          <w:szCs w:val="20"/>
          <w:lang w:val="lv-LV"/>
        </w:rPr>
      </w:pPr>
    </w:p>
    <w:tbl>
      <w:tblPr>
        <w:tblW w:w="9575" w:type="dxa"/>
        <w:tblInd w:w="-284" w:type="dxa"/>
        <w:tblLook w:val="04A0" w:firstRow="1" w:lastRow="0" w:firstColumn="1" w:lastColumn="0" w:noHBand="0" w:noVBand="1"/>
      </w:tblPr>
      <w:tblGrid>
        <w:gridCol w:w="9575"/>
      </w:tblGrid>
      <w:tr w:rsidR="00042401" w:rsidRPr="00C8406B" w:rsidTr="00F76F5A">
        <w:trPr>
          <w:trHeight w:val="945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42D" w:rsidRDefault="0023483E" w:rsidP="0023483E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Nepieciešamā f</w:t>
            </w:r>
            <w:r w:rsidR="00042401" w:rsidRPr="00042401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inansējuma aprēķins</w:t>
            </w:r>
          </w:p>
          <w:p w:rsidR="00042401" w:rsidRDefault="00726D8F" w:rsidP="0023483E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  <w:r w:rsidRPr="002A20DA">
              <w:rPr>
                <w:sz w:val="24"/>
                <w:szCs w:val="24"/>
                <w:lang w:val="lv-LV"/>
              </w:rPr>
              <w:t>lai segtu izdevumus, kas saistīti ar gaisa kuģu parka atjaunošanu un personāla apmācību</w:t>
            </w:r>
            <w:r w:rsidRPr="002A20DA">
              <w:rPr>
                <w:sz w:val="24"/>
                <w:szCs w:val="24"/>
              </w:rPr>
              <w:t xml:space="preserve"> </w:t>
            </w:r>
            <w:r w:rsidR="000C2104" w:rsidRPr="00726D8F">
              <w:rPr>
                <w:bCs/>
                <w:color w:val="000000"/>
                <w:sz w:val="22"/>
                <w:szCs w:val="22"/>
                <w:lang w:val="lv-LV" w:eastAsia="lv-LV"/>
              </w:rPr>
              <w:t>(</w:t>
            </w:r>
            <w:r w:rsidR="000C2104" w:rsidRPr="007449EC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sākotnēji </w:t>
            </w:r>
            <w:r w:rsidR="007449EC" w:rsidRPr="007449EC">
              <w:rPr>
                <w:bCs/>
                <w:color w:val="000000"/>
                <w:sz w:val="22"/>
                <w:szCs w:val="22"/>
                <w:lang w:val="lv-LV" w:eastAsia="lv-LV"/>
              </w:rPr>
              <w:t xml:space="preserve">plānots </w:t>
            </w:r>
            <w:r w:rsidR="00712497" w:rsidRPr="007449EC">
              <w:rPr>
                <w:bCs/>
                <w:color w:val="000000"/>
                <w:sz w:val="22"/>
                <w:szCs w:val="22"/>
                <w:lang w:val="lv-LV" w:eastAsia="lv-LV"/>
              </w:rPr>
              <w:t>jaunajai politikas iniciatīvai “Plānveida gaisa kuģu parka atjaunošana (divu vieglās klases viendzinēja helikopteru iegāde), personāla apmācība”</w:t>
            </w:r>
            <w:r w:rsidR="000C2104" w:rsidRPr="007449EC">
              <w:rPr>
                <w:bCs/>
                <w:color w:val="000000"/>
                <w:sz w:val="22"/>
                <w:szCs w:val="22"/>
                <w:lang w:val="lv-LV" w:eastAsia="lv-LV"/>
              </w:rPr>
              <w:t>)</w:t>
            </w:r>
          </w:p>
          <w:p w:rsidR="00C8406B" w:rsidRDefault="00C8406B" w:rsidP="0023483E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  <w:tbl>
            <w:tblPr>
              <w:tblW w:w="9310" w:type="dxa"/>
              <w:tblLook w:val="04A0" w:firstRow="1" w:lastRow="0" w:firstColumn="1" w:lastColumn="0" w:noHBand="0" w:noVBand="1"/>
            </w:tblPr>
            <w:tblGrid>
              <w:gridCol w:w="3573"/>
              <w:gridCol w:w="1080"/>
              <w:gridCol w:w="1118"/>
              <w:gridCol w:w="1120"/>
              <w:gridCol w:w="1218"/>
              <w:gridCol w:w="1201"/>
            </w:tblGrid>
            <w:tr w:rsidR="005D32FF" w:rsidRPr="005D32FF" w:rsidTr="00247500">
              <w:trPr>
                <w:trHeight w:val="30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D32FF" w:rsidRPr="005D32FF" w:rsidRDefault="005D32FF" w:rsidP="0024750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Rādītāji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D32FF" w:rsidRPr="005D32FF" w:rsidRDefault="005D32FF" w:rsidP="0024750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2017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D32FF" w:rsidRPr="005D32FF" w:rsidRDefault="005D32FF" w:rsidP="0024750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2018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D32FF" w:rsidRPr="005D32FF" w:rsidRDefault="005D32FF" w:rsidP="0024750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2019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D32FF" w:rsidRPr="005D32FF" w:rsidRDefault="005D32FF" w:rsidP="0024750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2020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5D32FF" w:rsidRPr="005D32FF" w:rsidRDefault="005D32FF" w:rsidP="0024750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KOPĀ:</w:t>
                  </w:r>
                </w:p>
              </w:tc>
            </w:tr>
            <w:tr w:rsidR="003D2E11" w:rsidRPr="005D32FF" w:rsidTr="003D2E11">
              <w:trPr>
                <w:trHeight w:val="30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KOPĀ piešķirtais finansējums t.sk.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lv-LV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2 960 000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2 890 650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2 867 351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8 718 001</w:t>
                  </w:r>
                </w:p>
              </w:tc>
            </w:tr>
            <w:tr w:rsidR="003D2E11" w:rsidRPr="005D32FF" w:rsidTr="003D2E11">
              <w:trPr>
                <w:trHeight w:val="84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EKK 2000 Preces un pakalpojumi</w:t>
                  </w: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br/>
                  </w:r>
                  <w:r w:rsidRPr="005D32FF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Pilotu, gaisakuģu tehniskās apkopes speciālistu apmācības</w:t>
                  </w:r>
                  <w:r w:rsidRPr="005D32FF">
                    <w:rPr>
                      <w:color w:val="000000"/>
                      <w:sz w:val="20"/>
                      <w:szCs w:val="20"/>
                      <w:vertAlign w:val="superscript"/>
                      <w:lang w:val="lv-LV" w:eastAsia="lv-LV"/>
                    </w:rPr>
                    <w:t xml:space="preserve"> 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245 650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222 351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468 001</w:t>
                  </w:r>
                </w:p>
              </w:tc>
            </w:tr>
            <w:tr w:rsidR="003D2E11" w:rsidRPr="005D32FF" w:rsidTr="003D2E11">
              <w:trPr>
                <w:trHeight w:val="78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EKK 5000 Pamatkapitāla veidošana</w:t>
                  </w: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br/>
                  </w:r>
                  <w:r w:rsidRPr="005D32FF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Speciālā aprīkojuma, instrumentu un helikoptera iegāde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2 960 000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2 645 000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2 645 000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8 250 000</w:t>
                  </w:r>
                </w:p>
              </w:tc>
            </w:tr>
            <w:tr w:rsidR="003D2E11" w:rsidRPr="005D32FF" w:rsidTr="003D2E11">
              <w:trPr>
                <w:trHeight w:val="30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KOPĀ nepieciešamais finansējums, tajā skaitā: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4 355 624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2 890 650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3 252 044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1 984 400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12 482 718</w:t>
                  </w:r>
                </w:p>
              </w:tc>
            </w:tr>
            <w:tr w:rsidR="003D2E11" w:rsidRPr="005D32FF" w:rsidTr="003D2E11">
              <w:trPr>
                <w:trHeight w:val="758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EKK 2000 Preces un pakalpojumi</w:t>
                  </w: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br/>
                  </w:r>
                  <w:r w:rsidRPr="005D32FF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 xml:space="preserve">Pilotu, gaisa kuģu tehniskās apkopes speciālistu apmācības </w:t>
                  </w:r>
                  <w:r w:rsidRPr="005D32FF">
                    <w:rPr>
                      <w:color w:val="000000"/>
                      <w:sz w:val="20"/>
                      <w:szCs w:val="20"/>
                      <w:vertAlign w:val="superscript"/>
                      <w:lang w:val="lv-LV" w:eastAsia="lv-LV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202 776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245 650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448 426</w:t>
                  </w:r>
                </w:p>
              </w:tc>
            </w:tr>
            <w:tr w:rsidR="003D2E11" w:rsidRPr="005D32FF" w:rsidTr="001C7E70">
              <w:trPr>
                <w:trHeight w:val="839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EKK 5000 Pamatkapitāla veidošana</w:t>
                  </w: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br/>
                  </w:r>
                  <w:r w:rsidRPr="005D32FF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Speciālā aprīkojuma, instrumentu un helikopteru iegāde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Pr="001C7E70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7E70">
                    <w:rPr>
                      <w:color w:val="000000"/>
                      <w:sz w:val="20"/>
                      <w:szCs w:val="20"/>
                    </w:rPr>
                    <w:t>4 152 848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Pr="001C7E70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7E70">
                    <w:rPr>
                      <w:color w:val="000000"/>
                      <w:sz w:val="20"/>
                      <w:szCs w:val="20"/>
                    </w:rPr>
                    <w:t>2 645 000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Pr="001C7E70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7E70">
                    <w:rPr>
                      <w:color w:val="000000"/>
                      <w:sz w:val="20"/>
                      <w:szCs w:val="20"/>
                    </w:rPr>
                    <w:t>3 252 044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1 984 400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12 034 292</w:t>
                  </w:r>
                </w:p>
              </w:tc>
            </w:tr>
            <w:tr w:rsidR="005D32FF" w:rsidRPr="005D32FF" w:rsidTr="003D2E11">
              <w:trPr>
                <w:trHeight w:val="510"/>
              </w:trPr>
              <w:tc>
                <w:tcPr>
                  <w:tcW w:w="931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32FF" w:rsidRDefault="005D32FF" w:rsidP="00B53E43">
                  <w:pPr>
                    <w:rPr>
                      <w:color w:val="000000"/>
                      <w:sz w:val="18"/>
                      <w:szCs w:val="18"/>
                      <w:lang w:val="lv-LV" w:eastAsia="lv-LV"/>
                    </w:rPr>
                  </w:pPr>
                  <w:r w:rsidRPr="00247500">
                    <w:rPr>
                      <w:color w:val="000000"/>
                      <w:sz w:val="18"/>
                      <w:szCs w:val="18"/>
                      <w:vertAlign w:val="superscript"/>
                      <w:lang w:val="lv-LV" w:eastAsia="lv-LV"/>
                    </w:rPr>
                    <w:t>1</w:t>
                  </w:r>
                  <w:r w:rsidRPr="00247500">
                    <w:rPr>
                      <w:color w:val="000000"/>
                      <w:sz w:val="18"/>
                      <w:szCs w:val="18"/>
                      <w:lang w:val="lv-LV" w:eastAsia="lv-LV"/>
                    </w:rPr>
                    <w:t xml:space="preserve"> apmācību summa precizēta, ņemot vērā finanšu piedāvājumu, </w:t>
                  </w:r>
                  <w:r w:rsidR="00A44732">
                    <w:rPr>
                      <w:color w:val="000000"/>
                      <w:sz w:val="18"/>
                      <w:szCs w:val="18"/>
                      <w:lang w:val="lv-LV" w:eastAsia="lv-LV"/>
                    </w:rPr>
                    <w:t xml:space="preserve">samazināts apmācāmo personu skaits. </w:t>
                  </w:r>
                  <w:r w:rsidRPr="00247500">
                    <w:rPr>
                      <w:color w:val="000000"/>
                      <w:sz w:val="18"/>
                      <w:szCs w:val="18"/>
                      <w:lang w:val="lv-LV" w:eastAsia="lv-LV"/>
                    </w:rPr>
                    <w:t>2017. gadā paredzēts avansa maksājums personāla apmācībām.</w:t>
                  </w:r>
                </w:p>
                <w:p w:rsidR="00F42AAD" w:rsidRDefault="00F42AAD" w:rsidP="00B53E43">
                  <w:pPr>
                    <w:rPr>
                      <w:color w:val="000000"/>
                      <w:sz w:val="18"/>
                      <w:szCs w:val="18"/>
                      <w:lang w:val="lv-LV" w:eastAsia="lv-LV"/>
                    </w:rPr>
                  </w:pPr>
                </w:p>
                <w:p w:rsidR="00247500" w:rsidRPr="00247500" w:rsidRDefault="00247500" w:rsidP="003D2E11">
                  <w:pPr>
                    <w:jc w:val="center"/>
                    <w:rPr>
                      <w:color w:val="000000"/>
                      <w:sz w:val="18"/>
                      <w:szCs w:val="18"/>
                      <w:lang w:val="lv-LV" w:eastAsia="lv-LV"/>
                    </w:rPr>
                  </w:pPr>
                </w:p>
              </w:tc>
            </w:tr>
            <w:tr w:rsidR="003D2E11" w:rsidRPr="005D32FF" w:rsidTr="003D2E11">
              <w:trPr>
                <w:trHeight w:val="78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KOPĀ papildu nepieciešamais finansējums sadalījumā pa finansēšanas avotiem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lv-LV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1 395 624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384 693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1 984 400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3 764 717</w:t>
                  </w:r>
                </w:p>
              </w:tc>
            </w:tr>
            <w:tr w:rsidR="003D2E11" w:rsidRPr="005D32FF" w:rsidTr="003D2E11">
              <w:trPr>
                <w:trHeight w:val="30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EKK 2000 Preces un pakalpojumi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202 776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202 776</w:t>
                  </w:r>
                </w:p>
              </w:tc>
            </w:tr>
            <w:tr w:rsidR="003D2E11" w:rsidRPr="005D32FF" w:rsidTr="003D2E11">
              <w:trPr>
                <w:trHeight w:val="153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2E11" w:rsidRPr="005D32FF" w:rsidRDefault="003D2E11" w:rsidP="003D2E11">
                  <w:pPr>
                    <w:rPr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Finansējuma pārdale Iekšlietu ministrijas budžeta programmas 10.00.00. “Valsts robežsardzes darbība” ietvaros no neatliekamā pasākuma “Latvijas Republikas valsts robežas iekārtošana, uzturēšana un zemes īpašuma tiesību sakārtošana” (robežjoslas uzturēšana</w:t>
                  </w:r>
                  <w:r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; robežas demarkācijas komisijas locekļa darba nodrošinājums</w:t>
                  </w:r>
                  <w:r w:rsidRPr="005D32FF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150 000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150 000</w:t>
                  </w:r>
                </w:p>
              </w:tc>
            </w:tr>
            <w:tr w:rsidR="003D2E11" w:rsidRPr="005D32FF" w:rsidTr="003D2E11">
              <w:trPr>
                <w:trHeight w:val="78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Papildus finansējums no valsts budžeta programmas 02.00.00 „Līdzekļi neparedzētiem gadījumiem”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52 776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52 776</w:t>
                  </w:r>
                </w:p>
              </w:tc>
            </w:tr>
            <w:tr w:rsidR="003D2E11" w:rsidRPr="005D32FF" w:rsidTr="003D2E11">
              <w:trPr>
                <w:trHeight w:val="30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b/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EKK 5000 Pamatkapitāla veidošana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1 192 848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384 693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1 984 400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3 561 941</w:t>
                  </w:r>
                </w:p>
              </w:tc>
            </w:tr>
            <w:tr w:rsidR="003D2E11" w:rsidRPr="005D32FF" w:rsidTr="001C7E70">
              <w:trPr>
                <w:trHeight w:val="780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2E11" w:rsidRPr="005D32FF" w:rsidRDefault="003D2E11" w:rsidP="003D2E11">
                  <w:pPr>
                    <w:rPr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Papildus finansējums no valsts budžeta programmas 02.00.00 „Līdzekļi neparedzētiem gadījumiem”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1 192 848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1 192 848</w:t>
                  </w:r>
                </w:p>
              </w:tc>
            </w:tr>
            <w:tr w:rsidR="003D2E11" w:rsidRPr="005D32FF" w:rsidTr="00F42AAD">
              <w:trPr>
                <w:trHeight w:val="628"/>
              </w:trPr>
              <w:tc>
                <w:tcPr>
                  <w:tcW w:w="3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D2E11" w:rsidRPr="005D32FF" w:rsidRDefault="003D2E11" w:rsidP="003D2E11">
                  <w:pPr>
                    <w:rPr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5D32FF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 xml:space="preserve">Finansējuma pārdale no ilgtermiņa saistību pasākuma “Valsts robežas joslas infrastruktūras izbūve gar Latvijas </w:t>
                  </w:r>
                  <w:r w:rsidRPr="005D32FF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lastRenderedPageBreak/>
                    <w:t>Republikas un Baltkrievijas Republikas robežu” (Ministru kabineta 2017. gada 17. oktobra rīkojums Nr.589).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384 693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1 984 400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2E11" w:rsidRDefault="003D2E11" w:rsidP="003D2E1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2 369 093</w:t>
                  </w:r>
                </w:p>
              </w:tc>
            </w:tr>
          </w:tbl>
          <w:p w:rsidR="00C8406B" w:rsidRDefault="00C8406B" w:rsidP="0023483E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  <w:p w:rsidR="005B1B54" w:rsidRPr="007449EC" w:rsidRDefault="005B1B54" w:rsidP="0023483E">
            <w:pPr>
              <w:jc w:val="center"/>
              <w:rPr>
                <w:bCs/>
                <w:color w:val="000000"/>
                <w:sz w:val="22"/>
                <w:szCs w:val="22"/>
                <w:lang w:val="lv-LV" w:eastAsia="lv-LV"/>
              </w:rPr>
            </w:pPr>
          </w:p>
          <w:p w:rsidR="000C2104" w:rsidRPr="00042401" w:rsidRDefault="000C2104" w:rsidP="0023483E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042401" w:rsidRPr="00042401" w:rsidRDefault="00042401" w:rsidP="00042401">
      <w:pPr>
        <w:rPr>
          <w:sz w:val="24"/>
          <w:szCs w:val="24"/>
        </w:rPr>
      </w:pPr>
      <w:r w:rsidRPr="00042401">
        <w:rPr>
          <w:sz w:val="24"/>
          <w:szCs w:val="24"/>
          <w:lang w:val="lv-LV"/>
        </w:rPr>
        <w:lastRenderedPageBreak/>
        <w:t>Iekšlietu ministrs</w:t>
      </w:r>
      <w:r w:rsidRPr="00042401">
        <w:rPr>
          <w:sz w:val="24"/>
          <w:szCs w:val="24"/>
          <w:lang w:val="lv-LV"/>
        </w:rPr>
        <w:tab/>
        <w:t xml:space="preserve"> </w:t>
      </w:r>
      <w:r w:rsidRPr="00042401">
        <w:rPr>
          <w:sz w:val="24"/>
          <w:szCs w:val="24"/>
          <w:lang w:val="lv-LV"/>
        </w:rPr>
        <w:tab/>
      </w:r>
      <w:r w:rsidRPr="00042401">
        <w:rPr>
          <w:sz w:val="24"/>
          <w:szCs w:val="24"/>
          <w:lang w:val="lv-LV"/>
        </w:rPr>
        <w:tab/>
        <w:t xml:space="preserve"> </w:t>
      </w:r>
      <w:r w:rsidRPr="00042401">
        <w:rPr>
          <w:sz w:val="24"/>
          <w:szCs w:val="24"/>
          <w:lang w:val="lv-LV"/>
        </w:rPr>
        <w:tab/>
      </w:r>
      <w:r w:rsidRPr="00042401">
        <w:rPr>
          <w:sz w:val="24"/>
          <w:szCs w:val="24"/>
          <w:lang w:val="lv-LV"/>
        </w:rPr>
        <w:tab/>
      </w:r>
      <w:r w:rsidRPr="00042401">
        <w:rPr>
          <w:sz w:val="24"/>
          <w:szCs w:val="24"/>
          <w:lang w:val="lv-LV"/>
        </w:rPr>
        <w:tab/>
        <w:t xml:space="preserve">Rihards Kozlovskis </w:t>
      </w:r>
    </w:p>
    <w:p w:rsidR="00042401" w:rsidRDefault="00042401" w:rsidP="00042401">
      <w:pPr>
        <w:pStyle w:val="naisf"/>
        <w:tabs>
          <w:tab w:val="left" w:pos="6521"/>
        </w:tabs>
        <w:spacing w:before="120" w:after="120"/>
        <w:ind w:firstLine="709"/>
        <w:rPr>
          <w:lang w:val="en-US"/>
        </w:rPr>
      </w:pPr>
    </w:p>
    <w:p w:rsidR="00042401" w:rsidRPr="00042401" w:rsidRDefault="00042401" w:rsidP="00042401">
      <w:pPr>
        <w:pStyle w:val="naisf"/>
        <w:tabs>
          <w:tab w:val="left" w:pos="5103"/>
        </w:tabs>
        <w:spacing w:before="0" w:after="0"/>
        <w:ind w:firstLine="0"/>
      </w:pPr>
      <w:r w:rsidRPr="00042401">
        <w:t xml:space="preserve"> Valsts sekretārs </w:t>
      </w:r>
      <w:r w:rsidRPr="00042401">
        <w:tab/>
      </w:r>
      <w:r>
        <w:tab/>
      </w:r>
      <w:r w:rsidRPr="00042401">
        <w:t>Dimitrijs Trofimovs</w:t>
      </w:r>
    </w:p>
    <w:p w:rsidR="00042401" w:rsidRDefault="00042401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0221F5" w:rsidRDefault="000221F5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2A20DA" w:rsidRDefault="002A20DA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2A20DA" w:rsidRDefault="002A20DA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A120E9" w:rsidRPr="00D91D64" w:rsidRDefault="00A120E9" w:rsidP="00042401">
      <w:pPr>
        <w:tabs>
          <w:tab w:val="left" w:pos="6521"/>
        </w:tabs>
        <w:jc w:val="both"/>
        <w:rPr>
          <w:sz w:val="20"/>
          <w:szCs w:val="20"/>
          <w:lang w:val="lv-LV" w:eastAsia="lv-LV"/>
        </w:rPr>
      </w:pPr>
    </w:p>
    <w:p w:rsidR="00042401" w:rsidRPr="00E66005" w:rsidRDefault="00042401" w:rsidP="00042401">
      <w:pPr>
        <w:pStyle w:val="naisf"/>
        <w:spacing w:before="0" w:after="0"/>
        <w:ind w:firstLine="0"/>
        <w:rPr>
          <w:noProof/>
          <w:sz w:val="20"/>
          <w:szCs w:val="20"/>
        </w:rPr>
      </w:pPr>
      <w:r w:rsidRPr="00E66005">
        <w:rPr>
          <w:noProof/>
          <w:sz w:val="20"/>
          <w:szCs w:val="20"/>
        </w:rPr>
        <w:fldChar w:fldCharType="begin"/>
      </w:r>
      <w:r w:rsidRPr="00E66005">
        <w:rPr>
          <w:noProof/>
          <w:sz w:val="20"/>
          <w:szCs w:val="20"/>
        </w:rPr>
        <w:instrText xml:space="preserve"> TIME \@ "dd.MM.yyyy H:mm" </w:instrText>
      </w:r>
      <w:r w:rsidRPr="00E66005">
        <w:rPr>
          <w:noProof/>
          <w:sz w:val="20"/>
          <w:szCs w:val="20"/>
        </w:rPr>
        <w:fldChar w:fldCharType="separate"/>
      </w:r>
      <w:r w:rsidR="00FF4526">
        <w:rPr>
          <w:noProof/>
          <w:sz w:val="20"/>
          <w:szCs w:val="20"/>
        </w:rPr>
        <w:t>04.12.2017 12:21</w:t>
      </w:r>
      <w:r w:rsidRPr="00E66005">
        <w:rPr>
          <w:noProof/>
          <w:sz w:val="20"/>
          <w:szCs w:val="20"/>
        </w:rPr>
        <w:fldChar w:fldCharType="end"/>
      </w:r>
    </w:p>
    <w:p w:rsidR="00042401" w:rsidRDefault="00042401" w:rsidP="00042401">
      <w:pPr>
        <w:jc w:val="both"/>
        <w:rPr>
          <w:sz w:val="20"/>
        </w:rPr>
      </w:pPr>
      <w:r w:rsidRPr="00FC2F9C">
        <w:rPr>
          <w:sz w:val="20"/>
        </w:rPr>
        <w:fldChar w:fldCharType="begin"/>
      </w:r>
      <w:r w:rsidRPr="00FC2F9C">
        <w:rPr>
          <w:sz w:val="20"/>
        </w:rPr>
        <w:instrText xml:space="preserve"> NUMWORDS   \* MERGEFORMAT </w:instrText>
      </w:r>
      <w:r w:rsidRPr="00FC2F9C">
        <w:rPr>
          <w:sz w:val="20"/>
        </w:rPr>
        <w:fldChar w:fldCharType="separate"/>
      </w:r>
      <w:r w:rsidR="00FF4526">
        <w:rPr>
          <w:noProof/>
          <w:sz w:val="20"/>
        </w:rPr>
        <w:t>367</w:t>
      </w:r>
      <w:r w:rsidRPr="00FC2F9C">
        <w:rPr>
          <w:sz w:val="20"/>
        </w:rPr>
        <w:fldChar w:fldCharType="end"/>
      </w:r>
      <w:bookmarkStart w:id="0" w:name="_GoBack"/>
      <w:bookmarkEnd w:id="0"/>
    </w:p>
    <w:p w:rsidR="00042401" w:rsidRPr="00E66005" w:rsidRDefault="00042401" w:rsidP="00042401">
      <w:pPr>
        <w:ind w:right="26"/>
        <w:jc w:val="both"/>
        <w:rPr>
          <w:color w:val="000000"/>
          <w:sz w:val="20"/>
          <w:szCs w:val="20"/>
          <w:lang w:val="lv-LV" w:eastAsia="lv-LV"/>
        </w:rPr>
      </w:pPr>
      <w:r>
        <w:rPr>
          <w:color w:val="000000"/>
          <w:sz w:val="20"/>
          <w:szCs w:val="20"/>
          <w:lang w:val="lv-LV" w:eastAsia="lv-LV"/>
        </w:rPr>
        <w:t>Ivanova</w:t>
      </w:r>
      <w:r w:rsidRPr="00E66005">
        <w:rPr>
          <w:color w:val="000000"/>
          <w:sz w:val="20"/>
          <w:szCs w:val="20"/>
          <w:lang w:val="lv-LV" w:eastAsia="lv-LV"/>
        </w:rPr>
        <w:t xml:space="preserve"> 67075674</w:t>
      </w:r>
    </w:p>
    <w:p w:rsidR="00042401" w:rsidRPr="00042401" w:rsidRDefault="00042401" w:rsidP="00701E54">
      <w:pPr>
        <w:ind w:right="26"/>
        <w:jc w:val="both"/>
        <w:rPr>
          <w:lang w:val="lv-LV"/>
        </w:rPr>
      </w:pPr>
      <w:r w:rsidRPr="00E66005">
        <w:rPr>
          <w:sz w:val="20"/>
          <w:szCs w:val="20"/>
          <w:lang w:val="lv-LV" w:eastAsia="lv-LV"/>
        </w:rPr>
        <w:t xml:space="preserve">jelena.ivanova@rs.gov.lv  </w:t>
      </w:r>
    </w:p>
    <w:sectPr w:rsidR="00042401" w:rsidRPr="00042401" w:rsidSect="00F42AAD">
      <w:footerReference w:type="default" r:id="rId7"/>
      <w:pgSz w:w="11906" w:h="16838"/>
      <w:pgMar w:top="1134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E8" w:rsidRDefault="005818E8" w:rsidP="00F76F5A">
      <w:r>
        <w:separator/>
      </w:r>
    </w:p>
  </w:endnote>
  <w:endnote w:type="continuationSeparator" w:id="0">
    <w:p w:rsidR="005818E8" w:rsidRDefault="005818E8" w:rsidP="00F7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5A" w:rsidRPr="00F76F5A" w:rsidRDefault="00F76F5A">
    <w:pPr>
      <w:pStyle w:val="Footer"/>
      <w:rPr>
        <w:sz w:val="18"/>
        <w:szCs w:val="18"/>
      </w:rPr>
    </w:pPr>
    <w:r w:rsidRPr="00F76F5A">
      <w:rPr>
        <w:sz w:val="18"/>
        <w:szCs w:val="18"/>
      </w:rPr>
      <w:fldChar w:fldCharType="begin"/>
    </w:r>
    <w:r w:rsidRPr="00F76F5A">
      <w:rPr>
        <w:sz w:val="18"/>
        <w:szCs w:val="18"/>
      </w:rPr>
      <w:instrText xml:space="preserve"> FILENAME   \* MERGEFORMAT </w:instrText>
    </w:r>
    <w:r w:rsidRPr="00F76F5A">
      <w:rPr>
        <w:sz w:val="18"/>
        <w:szCs w:val="18"/>
      </w:rPr>
      <w:fldChar w:fldCharType="separate"/>
    </w:r>
    <w:r w:rsidR="00FF4526">
      <w:rPr>
        <w:noProof/>
        <w:sz w:val="18"/>
        <w:szCs w:val="18"/>
      </w:rPr>
      <w:t>IEMAnotp_041217_heli</w:t>
    </w:r>
    <w:r w:rsidRPr="00F76F5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E8" w:rsidRDefault="005818E8" w:rsidP="00F76F5A">
      <w:r>
        <w:separator/>
      </w:r>
    </w:p>
  </w:footnote>
  <w:footnote w:type="continuationSeparator" w:id="0">
    <w:p w:rsidR="005818E8" w:rsidRDefault="005818E8" w:rsidP="00F76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01"/>
    <w:rsid w:val="000221F5"/>
    <w:rsid w:val="00042401"/>
    <w:rsid w:val="00093E07"/>
    <w:rsid w:val="000B4A9D"/>
    <w:rsid w:val="000C2104"/>
    <w:rsid w:val="00137D3E"/>
    <w:rsid w:val="00161394"/>
    <w:rsid w:val="001C7E70"/>
    <w:rsid w:val="001F4ADB"/>
    <w:rsid w:val="0023483E"/>
    <w:rsid w:val="00247500"/>
    <w:rsid w:val="002642E6"/>
    <w:rsid w:val="00287C46"/>
    <w:rsid w:val="002A20DA"/>
    <w:rsid w:val="002A4EED"/>
    <w:rsid w:val="002C1FAF"/>
    <w:rsid w:val="00331ACF"/>
    <w:rsid w:val="00340B76"/>
    <w:rsid w:val="00356C87"/>
    <w:rsid w:val="00395E19"/>
    <w:rsid w:val="003D2E11"/>
    <w:rsid w:val="00442AB1"/>
    <w:rsid w:val="00561AA6"/>
    <w:rsid w:val="00567CE0"/>
    <w:rsid w:val="005755F0"/>
    <w:rsid w:val="005818E8"/>
    <w:rsid w:val="005B1B54"/>
    <w:rsid w:val="005D32FF"/>
    <w:rsid w:val="0063506D"/>
    <w:rsid w:val="006529BE"/>
    <w:rsid w:val="00677939"/>
    <w:rsid w:val="006A4EA7"/>
    <w:rsid w:val="006D6117"/>
    <w:rsid w:val="006F2B7F"/>
    <w:rsid w:val="00701E54"/>
    <w:rsid w:val="00712497"/>
    <w:rsid w:val="00712DCC"/>
    <w:rsid w:val="00726D8F"/>
    <w:rsid w:val="007449EC"/>
    <w:rsid w:val="00785357"/>
    <w:rsid w:val="00792574"/>
    <w:rsid w:val="008071AF"/>
    <w:rsid w:val="008455D5"/>
    <w:rsid w:val="0085557C"/>
    <w:rsid w:val="008B0841"/>
    <w:rsid w:val="00943652"/>
    <w:rsid w:val="00961296"/>
    <w:rsid w:val="00982129"/>
    <w:rsid w:val="009900D5"/>
    <w:rsid w:val="009E2F91"/>
    <w:rsid w:val="00A120E9"/>
    <w:rsid w:val="00A24137"/>
    <w:rsid w:val="00A44732"/>
    <w:rsid w:val="00B53E43"/>
    <w:rsid w:val="00B5542D"/>
    <w:rsid w:val="00B66C23"/>
    <w:rsid w:val="00BB51BA"/>
    <w:rsid w:val="00BC0A89"/>
    <w:rsid w:val="00BE6575"/>
    <w:rsid w:val="00C7702B"/>
    <w:rsid w:val="00C8406B"/>
    <w:rsid w:val="00CC0D36"/>
    <w:rsid w:val="00D306A9"/>
    <w:rsid w:val="00D42C45"/>
    <w:rsid w:val="00DA0806"/>
    <w:rsid w:val="00DC0169"/>
    <w:rsid w:val="00E14E8E"/>
    <w:rsid w:val="00E55647"/>
    <w:rsid w:val="00F42AAD"/>
    <w:rsid w:val="00F76F5A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0C4F-3492-4DE0-B2D5-CA99384B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42401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F76F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F5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F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5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9EFA-DE7A-4BB9-9E73-42DC033C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2261</Characters>
  <Application>Microsoft Office Word</Application>
  <DocSecurity>0</DocSecurity>
  <Lines>205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Ivanova</dc:creator>
  <cp:keywords/>
  <dc:description/>
  <cp:lastModifiedBy>Ieva Potjomkina</cp:lastModifiedBy>
  <cp:revision>11</cp:revision>
  <cp:lastPrinted>2017-11-23T06:28:00Z</cp:lastPrinted>
  <dcterms:created xsi:type="dcterms:W3CDTF">2017-11-22T08:33:00Z</dcterms:created>
  <dcterms:modified xsi:type="dcterms:W3CDTF">2017-12-04T10:21:00Z</dcterms:modified>
</cp:coreProperties>
</file>