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5D083" w14:textId="77777777" w:rsidR="00C23AB8" w:rsidRPr="006055EC" w:rsidRDefault="000546CF" w:rsidP="00FB6261">
      <w:pPr>
        <w:spacing w:after="240" w:line="240" w:lineRule="auto"/>
        <w:jc w:val="center"/>
        <w:rPr>
          <w:b/>
          <w:sz w:val="28"/>
          <w:szCs w:val="28"/>
        </w:rPr>
      </w:pPr>
      <w:r w:rsidRPr="006055EC">
        <w:rPr>
          <w:b/>
          <w:sz w:val="28"/>
          <w:szCs w:val="28"/>
        </w:rPr>
        <w:t>Informatīvais ziņojums</w:t>
      </w:r>
    </w:p>
    <w:p w14:paraId="238D1433" w14:textId="41D1FB46" w:rsidR="000546CF" w:rsidRPr="006055EC" w:rsidRDefault="000546CF" w:rsidP="00BD79FD">
      <w:pPr>
        <w:spacing w:line="240" w:lineRule="auto"/>
        <w:jc w:val="center"/>
        <w:rPr>
          <w:b/>
          <w:sz w:val="28"/>
          <w:szCs w:val="28"/>
        </w:rPr>
      </w:pPr>
      <w:r w:rsidRPr="006055EC">
        <w:rPr>
          <w:b/>
          <w:sz w:val="28"/>
          <w:szCs w:val="28"/>
        </w:rPr>
        <w:t xml:space="preserve">par Eiropas Savienības Tieslietu un iekšlietu ministru padomes </w:t>
      </w:r>
      <w:r w:rsidR="000512A7" w:rsidRPr="006055EC">
        <w:rPr>
          <w:b/>
          <w:sz w:val="28"/>
          <w:szCs w:val="28"/>
        </w:rPr>
        <w:t xml:space="preserve">sanāksmi </w:t>
      </w:r>
      <w:r w:rsidR="00FB6261" w:rsidRPr="006055EC">
        <w:rPr>
          <w:b/>
          <w:sz w:val="28"/>
          <w:szCs w:val="28"/>
        </w:rPr>
        <w:t>201</w:t>
      </w:r>
      <w:r w:rsidR="00FB6261">
        <w:rPr>
          <w:b/>
          <w:sz w:val="28"/>
          <w:szCs w:val="28"/>
        </w:rPr>
        <w:t>7</w:t>
      </w:r>
      <w:r w:rsidR="00FB6261" w:rsidRPr="006055EC">
        <w:rPr>
          <w:b/>
          <w:sz w:val="28"/>
          <w:szCs w:val="28"/>
        </w:rPr>
        <w:t>. gada</w:t>
      </w:r>
      <w:r w:rsidR="000512A7" w:rsidRPr="006055EC">
        <w:rPr>
          <w:b/>
          <w:sz w:val="28"/>
          <w:szCs w:val="28"/>
        </w:rPr>
        <w:t xml:space="preserve"> </w:t>
      </w:r>
      <w:r w:rsidR="00D13557">
        <w:rPr>
          <w:b/>
          <w:sz w:val="28"/>
          <w:szCs w:val="28"/>
        </w:rPr>
        <w:t>7.-</w:t>
      </w:r>
      <w:r w:rsidR="00FB6261">
        <w:rPr>
          <w:b/>
          <w:sz w:val="28"/>
          <w:szCs w:val="28"/>
        </w:rPr>
        <w:t>8. decembrī</w:t>
      </w:r>
    </w:p>
    <w:p w14:paraId="764CA8F6" w14:textId="77777777" w:rsidR="0039011F" w:rsidRPr="006055EC" w:rsidRDefault="0039011F" w:rsidP="004E426D">
      <w:pPr>
        <w:spacing w:line="240" w:lineRule="auto"/>
        <w:rPr>
          <w:sz w:val="28"/>
          <w:szCs w:val="28"/>
        </w:rPr>
      </w:pPr>
    </w:p>
    <w:p w14:paraId="367C55D2" w14:textId="77777777" w:rsidR="000546CF" w:rsidRPr="006055EC" w:rsidRDefault="0047262F" w:rsidP="004E426D">
      <w:pPr>
        <w:spacing w:line="240" w:lineRule="auto"/>
        <w:jc w:val="center"/>
        <w:rPr>
          <w:b/>
          <w:sz w:val="28"/>
          <w:szCs w:val="28"/>
        </w:rPr>
      </w:pPr>
      <w:r w:rsidRPr="006055EC">
        <w:rPr>
          <w:b/>
          <w:sz w:val="28"/>
          <w:szCs w:val="28"/>
        </w:rPr>
        <w:t>I</w:t>
      </w:r>
      <w:r w:rsidR="00C95CD3" w:rsidRPr="006055EC">
        <w:rPr>
          <w:b/>
          <w:sz w:val="28"/>
          <w:szCs w:val="28"/>
        </w:rPr>
        <w:t>.</w:t>
      </w:r>
      <w:r w:rsidR="000546CF" w:rsidRPr="006055EC">
        <w:rPr>
          <w:b/>
          <w:sz w:val="28"/>
          <w:szCs w:val="28"/>
        </w:rPr>
        <w:t xml:space="preserve"> Eiropas Savienības Tieslietu un iekšlietu ministru padomes sanāksmes darba kārtība</w:t>
      </w:r>
    </w:p>
    <w:p w14:paraId="5AF522A4" w14:textId="77777777" w:rsidR="000546CF" w:rsidRPr="006055EC" w:rsidRDefault="000546CF" w:rsidP="000A50C5">
      <w:pPr>
        <w:spacing w:line="240" w:lineRule="auto"/>
        <w:jc w:val="both"/>
        <w:rPr>
          <w:sz w:val="28"/>
          <w:szCs w:val="28"/>
        </w:rPr>
      </w:pPr>
    </w:p>
    <w:p w14:paraId="4D350ED6" w14:textId="21C93109" w:rsidR="003F161E" w:rsidRDefault="00FB6261" w:rsidP="00BD79FD">
      <w:pPr>
        <w:spacing w:line="240" w:lineRule="auto"/>
        <w:ind w:firstLine="567"/>
        <w:jc w:val="both"/>
        <w:rPr>
          <w:sz w:val="28"/>
          <w:szCs w:val="28"/>
        </w:rPr>
      </w:pPr>
      <w:r w:rsidRPr="006055EC">
        <w:rPr>
          <w:sz w:val="28"/>
          <w:szCs w:val="28"/>
        </w:rPr>
        <w:t>201</w:t>
      </w:r>
      <w:r>
        <w:rPr>
          <w:sz w:val="28"/>
          <w:szCs w:val="28"/>
        </w:rPr>
        <w:t>7</w:t>
      </w:r>
      <w:r w:rsidRPr="006055EC">
        <w:rPr>
          <w:sz w:val="28"/>
          <w:szCs w:val="28"/>
        </w:rPr>
        <w:t>. gada</w:t>
      </w:r>
      <w:r w:rsidR="000546CF" w:rsidRPr="006055EC">
        <w:rPr>
          <w:sz w:val="28"/>
          <w:szCs w:val="28"/>
        </w:rPr>
        <w:t xml:space="preserve"> </w:t>
      </w:r>
      <w:r w:rsidR="000E670F">
        <w:rPr>
          <w:sz w:val="28"/>
          <w:szCs w:val="28"/>
        </w:rPr>
        <w:t>7.</w:t>
      </w:r>
      <w:r>
        <w:rPr>
          <w:sz w:val="28"/>
          <w:szCs w:val="28"/>
        </w:rPr>
        <w:t>-</w:t>
      </w:r>
      <w:r w:rsidR="000E670F">
        <w:rPr>
          <w:sz w:val="28"/>
          <w:szCs w:val="28"/>
        </w:rPr>
        <w:t xml:space="preserve"> </w:t>
      </w:r>
      <w:r>
        <w:rPr>
          <w:sz w:val="28"/>
          <w:szCs w:val="28"/>
        </w:rPr>
        <w:t>8. decembrī</w:t>
      </w:r>
      <w:r w:rsidR="000E670F">
        <w:rPr>
          <w:sz w:val="28"/>
          <w:szCs w:val="28"/>
        </w:rPr>
        <w:t xml:space="preserve"> Briselē, Beļģijā,</w:t>
      </w:r>
      <w:r w:rsidR="006A6503" w:rsidRPr="006055EC">
        <w:rPr>
          <w:sz w:val="28"/>
          <w:szCs w:val="28"/>
        </w:rPr>
        <w:t xml:space="preserve"> </w:t>
      </w:r>
      <w:r w:rsidR="000546CF" w:rsidRPr="006055EC">
        <w:rPr>
          <w:sz w:val="28"/>
          <w:szCs w:val="28"/>
        </w:rPr>
        <w:t xml:space="preserve">notiks </w:t>
      </w:r>
      <w:r w:rsidR="000E670F">
        <w:rPr>
          <w:sz w:val="28"/>
          <w:szCs w:val="28"/>
        </w:rPr>
        <w:t xml:space="preserve">kārtējā </w:t>
      </w:r>
      <w:r w:rsidR="000546CF" w:rsidRPr="006055EC">
        <w:rPr>
          <w:sz w:val="28"/>
          <w:szCs w:val="28"/>
        </w:rPr>
        <w:t xml:space="preserve">Eiropas Savienības (turpmāk – ES) Tieslietu un iekšlietu ministru padomes (turpmāk – Padome) sanāksme. </w:t>
      </w:r>
      <w:r w:rsidR="00E05E96">
        <w:rPr>
          <w:sz w:val="28"/>
          <w:szCs w:val="28"/>
        </w:rPr>
        <w:t xml:space="preserve">Sanāksmes darba kārtībā ir iekļauti šādi iekšlietu jomas jautājumi: </w:t>
      </w:r>
    </w:p>
    <w:p w14:paraId="5E95F033" w14:textId="77777777" w:rsidR="00E05E96" w:rsidRDefault="00E05E96" w:rsidP="00E05E96">
      <w:pPr>
        <w:spacing w:line="240" w:lineRule="auto"/>
        <w:jc w:val="both"/>
        <w:rPr>
          <w:sz w:val="28"/>
          <w:szCs w:val="28"/>
        </w:rPr>
      </w:pPr>
    </w:p>
    <w:p w14:paraId="15630D05" w14:textId="2E5020DE" w:rsidR="000E670F" w:rsidRPr="000E670F" w:rsidRDefault="000E670F" w:rsidP="00FB6261">
      <w:pPr>
        <w:pStyle w:val="ListParagraph"/>
        <w:numPr>
          <w:ilvl w:val="0"/>
          <w:numId w:val="36"/>
        </w:numPr>
        <w:spacing w:after="240" w:line="240" w:lineRule="auto"/>
        <w:jc w:val="both"/>
        <w:rPr>
          <w:i/>
          <w:sz w:val="28"/>
          <w:szCs w:val="28"/>
        </w:rPr>
      </w:pPr>
      <w:r>
        <w:rPr>
          <w:b/>
          <w:i/>
          <w:sz w:val="28"/>
          <w:szCs w:val="28"/>
        </w:rPr>
        <w:t>eu-LISA</w:t>
      </w:r>
      <w:r>
        <w:rPr>
          <w:i/>
          <w:sz w:val="28"/>
          <w:szCs w:val="28"/>
        </w:rPr>
        <w:t xml:space="preserve"> regula: </w:t>
      </w:r>
      <w:r w:rsidRPr="000E670F">
        <w:rPr>
          <w:bCs/>
          <w:i/>
          <w:sz w:val="28"/>
          <w:szCs w:val="28"/>
        </w:rPr>
        <w:t>priekšlikum</w:t>
      </w:r>
      <w:r>
        <w:rPr>
          <w:bCs/>
          <w:i/>
          <w:sz w:val="28"/>
          <w:szCs w:val="28"/>
        </w:rPr>
        <w:t>s</w:t>
      </w:r>
      <w:r w:rsidRPr="000E670F">
        <w:rPr>
          <w:bCs/>
          <w:i/>
          <w:sz w:val="28"/>
          <w:szCs w:val="28"/>
        </w:rPr>
        <w:t xml:space="preserve"> Eiropas Parlamenta un Padomes regulai par Eiropas Aģentūru lielapjoma IT sistēmu darbības pārvaldībai brīvības, drošības un tiesiskuma telpā, ar ko groza Regulu (EK) 1987/2006</w:t>
      </w:r>
      <w:r w:rsidRPr="000E670F">
        <w:rPr>
          <w:rStyle w:val="FootnoteReference"/>
          <w:bCs/>
          <w:i/>
          <w:sz w:val="28"/>
          <w:szCs w:val="28"/>
        </w:rPr>
        <w:footnoteReference w:id="1"/>
      </w:r>
      <w:r w:rsidRPr="000E670F">
        <w:rPr>
          <w:bCs/>
          <w:i/>
          <w:sz w:val="28"/>
          <w:szCs w:val="28"/>
        </w:rPr>
        <w:t xml:space="preserve"> un Padomes lēmumu 2007/533/TI</w:t>
      </w:r>
      <w:r w:rsidRPr="000E670F">
        <w:rPr>
          <w:rStyle w:val="FootnoteReference"/>
          <w:bCs/>
          <w:i/>
          <w:sz w:val="28"/>
          <w:szCs w:val="28"/>
        </w:rPr>
        <w:footnoteReference w:id="2"/>
      </w:r>
      <w:r w:rsidRPr="000E670F">
        <w:rPr>
          <w:bCs/>
          <w:i/>
          <w:sz w:val="28"/>
          <w:szCs w:val="28"/>
        </w:rPr>
        <w:t xml:space="preserve"> un ar ko atceļ Regulu (ES) 1077/2011</w:t>
      </w:r>
      <w:r w:rsidRPr="000E670F">
        <w:rPr>
          <w:rStyle w:val="FootnoteReference"/>
          <w:bCs/>
          <w:i/>
          <w:sz w:val="28"/>
          <w:szCs w:val="28"/>
        </w:rPr>
        <w:footnoteReference w:id="3"/>
      </w:r>
    </w:p>
    <w:p w14:paraId="74B43521" w14:textId="2A3DA148" w:rsidR="000E670F" w:rsidRPr="000E670F" w:rsidRDefault="000E670F" w:rsidP="000E670F">
      <w:pPr>
        <w:spacing w:after="120" w:line="240" w:lineRule="auto"/>
        <w:jc w:val="both"/>
        <w:rPr>
          <w:sz w:val="28"/>
          <w:szCs w:val="28"/>
        </w:rPr>
      </w:pPr>
      <w:r w:rsidRPr="000E670F">
        <w:rPr>
          <w:sz w:val="28"/>
          <w:szCs w:val="28"/>
        </w:rPr>
        <w:t>Eiropas Aģentūra lielapjoma IT sistēmu darbības pārvaldībai brīvības, drošības un tiesiskuma telpā (</w:t>
      </w:r>
      <w:r w:rsidRPr="000E670F">
        <w:rPr>
          <w:i/>
          <w:sz w:val="28"/>
          <w:szCs w:val="28"/>
        </w:rPr>
        <w:t>turpmāk – eu-LISA</w:t>
      </w:r>
      <w:r w:rsidR="00675F64">
        <w:rPr>
          <w:i/>
          <w:sz w:val="28"/>
          <w:szCs w:val="28"/>
        </w:rPr>
        <w:t xml:space="preserve"> </w:t>
      </w:r>
      <w:r w:rsidRPr="000E670F">
        <w:rPr>
          <w:i/>
          <w:sz w:val="28"/>
          <w:szCs w:val="28"/>
        </w:rPr>
        <w:t>/</w:t>
      </w:r>
      <w:r w:rsidR="00675F64">
        <w:rPr>
          <w:i/>
          <w:sz w:val="28"/>
          <w:szCs w:val="28"/>
        </w:rPr>
        <w:t xml:space="preserve"> </w:t>
      </w:r>
      <w:r w:rsidRPr="000E670F">
        <w:rPr>
          <w:i/>
          <w:sz w:val="28"/>
          <w:szCs w:val="28"/>
        </w:rPr>
        <w:t xml:space="preserve">Aģentūra) </w:t>
      </w:r>
      <w:r w:rsidRPr="000E670F">
        <w:rPr>
          <w:sz w:val="28"/>
          <w:szCs w:val="28"/>
        </w:rPr>
        <w:t xml:space="preserve">tika izveidota </w:t>
      </w:r>
      <w:r w:rsidR="00FB6261" w:rsidRPr="000E670F">
        <w:rPr>
          <w:sz w:val="28"/>
          <w:szCs w:val="28"/>
        </w:rPr>
        <w:t>2011. gadā</w:t>
      </w:r>
      <w:r w:rsidRPr="000E670F">
        <w:rPr>
          <w:sz w:val="28"/>
          <w:szCs w:val="28"/>
        </w:rPr>
        <w:t xml:space="preserve"> ar mērķi nodrošināt otrās paaudzes Šengenas informācijas sistēmas (</w:t>
      </w:r>
      <w:r w:rsidRPr="000E670F">
        <w:rPr>
          <w:i/>
          <w:sz w:val="28"/>
          <w:szCs w:val="28"/>
        </w:rPr>
        <w:t xml:space="preserve">turpmāk – SIS II), </w:t>
      </w:r>
      <w:r w:rsidRPr="000E670F">
        <w:rPr>
          <w:sz w:val="28"/>
          <w:szCs w:val="28"/>
        </w:rPr>
        <w:t>Vīzu informācijas sistēmas (</w:t>
      </w:r>
      <w:r w:rsidRPr="000E670F">
        <w:rPr>
          <w:i/>
          <w:sz w:val="28"/>
          <w:szCs w:val="28"/>
        </w:rPr>
        <w:t>turpmāk – VIS)</w:t>
      </w:r>
      <w:r w:rsidRPr="000E670F">
        <w:rPr>
          <w:sz w:val="28"/>
          <w:szCs w:val="28"/>
        </w:rPr>
        <w:t xml:space="preserve">, pirkstu nospiedumu salīdzināšanas sistēmas </w:t>
      </w:r>
      <w:proofErr w:type="spellStart"/>
      <w:r w:rsidRPr="000E670F">
        <w:rPr>
          <w:i/>
          <w:sz w:val="28"/>
          <w:szCs w:val="28"/>
        </w:rPr>
        <w:t>Eurodac</w:t>
      </w:r>
      <w:proofErr w:type="spellEnd"/>
      <w:r w:rsidRPr="000E670F">
        <w:rPr>
          <w:i/>
          <w:sz w:val="28"/>
          <w:szCs w:val="28"/>
        </w:rPr>
        <w:t xml:space="preserve"> </w:t>
      </w:r>
      <w:r w:rsidRPr="000E670F">
        <w:rPr>
          <w:sz w:val="28"/>
          <w:szCs w:val="28"/>
        </w:rPr>
        <w:t>(</w:t>
      </w:r>
      <w:r w:rsidRPr="000E670F">
        <w:rPr>
          <w:i/>
          <w:sz w:val="28"/>
          <w:szCs w:val="28"/>
        </w:rPr>
        <w:t xml:space="preserve">turpmāk – </w:t>
      </w:r>
      <w:proofErr w:type="spellStart"/>
      <w:r w:rsidRPr="000E670F">
        <w:rPr>
          <w:i/>
          <w:sz w:val="28"/>
          <w:szCs w:val="28"/>
        </w:rPr>
        <w:t>Eurodac</w:t>
      </w:r>
      <w:proofErr w:type="spellEnd"/>
      <w:r w:rsidRPr="000E670F">
        <w:rPr>
          <w:i/>
          <w:sz w:val="28"/>
          <w:szCs w:val="28"/>
        </w:rPr>
        <w:t>)</w:t>
      </w:r>
      <w:r w:rsidRPr="000E670F">
        <w:rPr>
          <w:sz w:val="28"/>
          <w:szCs w:val="28"/>
        </w:rPr>
        <w:t xml:space="preserve"> un potenciāli citu lielapjoma informācijas tehnoloģiju sistēmu, kā arī to komunikāciju infrastruktūras noteiktu aspektu darbības pārvaldību.</w:t>
      </w:r>
    </w:p>
    <w:p w14:paraId="76A1ADA5" w14:textId="1D5D65F2" w:rsidR="000E670F" w:rsidRPr="000E670F" w:rsidRDefault="003A0D6A" w:rsidP="000E670F">
      <w:pPr>
        <w:spacing w:after="120" w:line="240" w:lineRule="auto"/>
        <w:jc w:val="both"/>
        <w:rPr>
          <w:sz w:val="28"/>
          <w:szCs w:val="28"/>
        </w:rPr>
      </w:pPr>
      <w:r>
        <w:rPr>
          <w:sz w:val="28"/>
          <w:szCs w:val="28"/>
        </w:rPr>
        <w:t>e</w:t>
      </w:r>
      <w:r w:rsidR="000E670F" w:rsidRPr="000E670F">
        <w:rPr>
          <w:sz w:val="28"/>
          <w:szCs w:val="28"/>
        </w:rPr>
        <w:t xml:space="preserve">u-LISA uzsāka savu pamatfunkciju veikšanu </w:t>
      </w:r>
      <w:r w:rsidR="00FB6261" w:rsidRPr="000E670F">
        <w:rPr>
          <w:sz w:val="28"/>
          <w:szCs w:val="28"/>
        </w:rPr>
        <w:t>2012. gada</w:t>
      </w:r>
      <w:r w:rsidR="000E670F" w:rsidRPr="000E670F">
        <w:rPr>
          <w:sz w:val="28"/>
          <w:szCs w:val="28"/>
        </w:rPr>
        <w:t xml:space="preserve"> </w:t>
      </w:r>
      <w:r w:rsidR="00FB6261" w:rsidRPr="000E670F">
        <w:rPr>
          <w:sz w:val="28"/>
          <w:szCs w:val="28"/>
        </w:rPr>
        <w:t>1. decembrī</w:t>
      </w:r>
      <w:r w:rsidR="000E670F" w:rsidRPr="000E670F">
        <w:rPr>
          <w:sz w:val="28"/>
          <w:szCs w:val="28"/>
        </w:rPr>
        <w:t xml:space="preserve">, pārņemot VIS darbības operatīvo pārvaldību. Pašlaik eu-LISA – papildus VIS </w:t>
      </w:r>
      <w:r w:rsidR="00FB6261" w:rsidRPr="000E670F">
        <w:rPr>
          <w:i/>
          <w:sz w:val="28"/>
          <w:szCs w:val="28"/>
        </w:rPr>
        <w:t xml:space="preserve">– </w:t>
      </w:r>
      <w:r w:rsidR="000E670F" w:rsidRPr="000E670F">
        <w:rPr>
          <w:sz w:val="28"/>
          <w:szCs w:val="28"/>
        </w:rPr>
        <w:t>nodrošina arī SIS II (sākot ar 2013.</w:t>
      </w:r>
      <w:r w:rsidR="00FB6261">
        <w:rPr>
          <w:sz w:val="28"/>
          <w:szCs w:val="28"/>
        </w:rPr>
        <w:t xml:space="preserve"> </w:t>
      </w:r>
      <w:r w:rsidR="000E670F" w:rsidRPr="000E670F">
        <w:rPr>
          <w:sz w:val="28"/>
          <w:szCs w:val="28"/>
        </w:rPr>
        <w:t xml:space="preserve">gada maiju) un </w:t>
      </w:r>
      <w:proofErr w:type="spellStart"/>
      <w:r w:rsidR="000E670F" w:rsidRPr="000E670F">
        <w:rPr>
          <w:i/>
          <w:sz w:val="28"/>
          <w:szCs w:val="28"/>
        </w:rPr>
        <w:t>Eurodac</w:t>
      </w:r>
      <w:proofErr w:type="spellEnd"/>
      <w:r w:rsidR="000E670F" w:rsidRPr="000E670F">
        <w:rPr>
          <w:sz w:val="28"/>
          <w:szCs w:val="28"/>
        </w:rPr>
        <w:t xml:space="preserve"> (sākot ar 2013.</w:t>
      </w:r>
      <w:r w:rsidR="00FB6261">
        <w:rPr>
          <w:sz w:val="28"/>
          <w:szCs w:val="28"/>
        </w:rPr>
        <w:t xml:space="preserve"> </w:t>
      </w:r>
      <w:r w:rsidR="000E670F" w:rsidRPr="000E670F">
        <w:rPr>
          <w:sz w:val="28"/>
          <w:szCs w:val="28"/>
        </w:rPr>
        <w:t xml:space="preserve">gada jūniju) darbības operatīvo pārvaldību. </w:t>
      </w:r>
      <w:r>
        <w:rPr>
          <w:sz w:val="28"/>
          <w:szCs w:val="28"/>
        </w:rPr>
        <w:t>e</w:t>
      </w:r>
      <w:r w:rsidR="000E670F" w:rsidRPr="000E670F">
        <w:rPr>
          <w:sz w:val="28"/>
          <w:szCs w:val="28"/>
        </w:rPr>
        <w:t>u-LISA mītnes vieta ir Tallinā, Igaunijā. Tās pārvaldībā esošo informācijas sistēmu tehniskais birojs atrodas Strasbūrā, Francijā, un to sistēma</w:t>
      </w:r>
      <w:r w:rsidR="00B465CD">
        <w:rPr>
          <w:sz w:val="28"/>
          <w:szCs w:val="28"/>
        </w:rPr>
        <w:t xml:space="preserve">s dublējuma birojs - </w:t>
      </w:r>
      <w:proofErr w:type="spellStart"/>
      <w:r w:rsidR="00B465CD">
        <w:rPr>
          <w:sz w:val="28"/>
          <w:szCs w:val="28"/>
        </w:rPr>
        <w:t>Sanktjohann</w:t>
      </w:r>
      <w:r w:rsidR="000E670F" w:rsidRPr="000E670F">
        <w:rPr>
          <w:sz w:val="28"/>
          <w:szCs w:val="28"/>
        </w:rPr>
        <w:t>ā</w:t>
      </w:r>
      <w:proofErr w:type="spellEnd"/>
      <w:r w:rsidR="000E670F" w:rsidRPr="000E670F">
        <w:rPr>
          <w:sz w:val="28"/>
          <w:szCs w:val="28"/>
        </w:rPr>
        <w:t xml:space="preserve"> (</w:t>
      </w:r>
      <w:proofErr w:type="spellStart"/>
      <w:r w:rsidR="000E670F" w:rsidRPr="000E670F">
        <w:rPr>
          <w:i/>
          <w:sz w:val="28"/>
          <w:szCs w:val="28"/>
        </w:rPr>
        <w:t>Sankt</w:t>
      </w:r>
      <w:proofErr w:type="spellEnd"/>
      <w:r w:rsidR="000E670F" w:rsidRPr="000E670F">
        <w:rPr>
          <w:i/>
          <w:sz w:val="28"/>
          <w:szCs w:val="28"/>
        </w:rPr>
        <w:t xml:space="preserve"> </w:t>
      </w:r>
      <w:proofErr w:type="spellStart"/>
      <w:r w:rsidR="000E670F" w:rsidRPr="000E670F">
        <w:rPr>
          <w:i/>
          <w:sz w:val="28"/>
          <w:szCs w:val="28"/>
        </w:rPr>
        <w:t>Johann</w:t>
      </w:r>
      <w:proofErr w:type="spellEnd"/>
      <w:r w:rsidR="000E670F" w:rsidRPr="000E670F">
        <w:rPr>
          <w:i/>
          <w:sz w:val="28"/>
          <w:szCs w:val="28"/>
        </w:rPr>
        <w:t xml:space="preserve"> </w:t>
      </w:r>
      <w:proofErr w:type="spellStart"/>
      <w:r w:rsidR="000E670F" w:rsidRPr="000E670F">
        <w:rPr>
          <w:i/>
          <w:sz w:val="28"/>
          <w:szCs w:val="28"/>
        </w:rPr>
        <w:t>im</w:t>
      </w:r>
      <w:proofErr w:type="spellEnd"/>
      <w:r w:rsidR="000E670F" w:rsidRPr="000E670F">
        <w:rPr>
          <w:i/>
          <w:sz w:val="28"/>
          <w:szCs w:val="28"/>
        </w:rPr>
        <w:t xml:space="preserve"> </w:t>
      </w:r>
      <w:proofErr w:type="spellStart"/>
      <w:r w:rsidR="000E670F" w:rsidRPr="000E670F">
        <w:rPr>
          <w:i/>
          <w:sz w:val="28"/>
          <w:szCs w:val="28"/>
        </w:rPr>
        <w:t>Pongau</w:t>
      </w:r>
      <w:proofErr w:type="spellEnd"/>
      <w:r w:rsidR="000E670F" w:rsidRPr="000E670F">
        <w:rPr>
          <w:sz w:val="28"/>
          <w:szCs w:val="28"/>
        </w:rPr>
        <w:t>), Austrijā.</w:t>
      </w:r>
    </w:p>
    <w:p w14:paraId="26899E33" w14:textId="7D0232BD" w:rsidR="000E670F" w:rsidRPr="003A0D6A" w:rsidRDefault="00FB6261" w:rsidP="000E670F">
      <w:pPr>
        <w:spacing w:after="120" w:line="240" w:lineRule="auto"/>
        <w:jc w:val="both"/>
        <w:rPr>
          <w:sz w:val="28"/>
          <w:szCs w:val="28"/>
        </w:rPr>
      </w:pPr>
      <w:r w:rsidRPr="003A0D6A">
        <w:rPr>
          <w:sz w:val="28"/>
          <w:szCs w:val="28"/>
        </w:rPr>
        <w:t>2017. gada</w:t>
      </w:r>
      <w:r w:rsidR="000E670F" w:rsidRPr="003A0D6A">
        <w:rPr>
          <w:sz w:val="28"/>
          <w:szCs w:val="28"/>
        </w:rPr>
        <w:t xml:space="preserve"> </w:t>
      </w:r>
      <w:r w:rsidRPr="003A0D6A">
        <w:rPr>
          <w:sz w:val="28"/>
          <w:szCs w:val="28"/>
        </w:rPr>
        <w:t>29. jūnijā</w:t>
      </w:r>
      <w:r w:rsidR="000E670F" w:rsidRPr="003A0D6A">
        <w:rPr>
          <w:sz w:val="28"/>
          <w:szCs w:val="28"/>
        </w:rPr>
        <w:t xml:space="preserve"> Eiropas Komisija nāca klajā ar priekšlikumu pārskatīt eu-LISA regulu (</w:t>
      </w:r>
      <w:r w:rsidR="000E670F" w:rsidRPr="003A0D6A">
        <w:rPr>
          <w:i/>
          <w:sz w:val="28"/>
          <w:szCs w:val="28"/>
        </w:rPr>
        <w:t>turpmāk – Regulas projekts</w:t>
      </w:r>
      <w:r w:rsidR="000E670F" w:rsidRPr="003A0D6A">
        <w:rPr>
          <w:sz w:val="28"/>
          <w:szCs w:val="28"/>
        </w:rPr>
        <w:t>).</w:t>
      </w:r>
      <w:r w:rsidR="003A0D6A">
        <w:rPr>
          <w:sz w:val="28"/>
          <w:szCs w:val="28"/>
        </w:rPr>
        <w:t xml:space="preserve"> R</w:t>
      </w:r>
      <w:r w:rsidR="000E670F" w:rsidRPr="003A0D6A">
        <w:rPr>
          <w:sz w:val="28"/>
          <w:szCs w:val="28"/>
        </w:rPr>
        <w:t xml:space="preserve">egulas projekta </w:t>
      </w:r>
      <w:r w:rsidR="000E670F" w:rsidRPr="003A0D6A">
        <w:rPr>
          <w:sz w:val="28"/>
          <w:szCs w:val="28"/>
          <w:u w:val="single"/>
        </w:rPr>
        <w:t>mērķis</w:t>
      </w:r>
      <w:r w:rsidR="000E670F" w:rsidRPr="003A0D6A">
        <w:rPr>
          <w:sz w:val="28"/>
          <w:szCs w:val="28"/>
        </w:rPr>
        <w:t xml:space="preserve"> ir uzlabot eu-LISA darbību, kā arī palielināt un stiprināt tās lomu, lai nodrošinātu eu-LISA mandāta atbilstību mūsdienu ES līmeņa izaicinājumiem brīvības, drošības un tiesiskuma telpā.</w:t>
      </w:r>
    </w:p>
    <w:p w14:paraId="3B85C192" w14:textId="05FC62A6" w:rsidR="000E670F" w:rsidRDefault="003A0D6A" w:rsidP="003A0D6A">
      <w:pPr>
        <w:spacing w:after="120" w:line="240" w:lineRule="auto"/>
        <w:jc w:val="both"/>
        <w:rPr>
          <w:bCs/>
        </w:rPr>
      </w:pPr>
      <w:r>
        <w:rPr>
          <w:sz w:val="28"/>
          <w:szCs w:val="28"/>
        </w:rPr>
        <w:t xml:space="preserve">Sanāksmē plānots </w:t>
      </w:r>
      <w:r w:rsidR="000E670F" w:rsidRPr="000E670F">
        <w:rPr>
          <w:sz w:val="28"/>
          <w:szCs w:val="28"/>
        </w:rPr>
        <w:t>apstiprināt Padomes vispārējo pieeju par Regulas projektu.</w:t>
      </w:r>
      <w:r>
        <w:rPr>
          <w:sz w:val="28"/>
          <w:szCs w:val="28"/>
        </w:rPr>
        <w:t xml:space="preserve"> Dalībai sanāksmē ir sagatavota nacionālā pozīcija.</w:t>
      </w:r>
    </w:p>
    <w:p w14:paraId="180FD5F7" w14:textId="7A1F06AC" w:rsidR="003A0D6A" w:rsidRPr="003A0D6A" w:rsidRDefault="003A0D6A" w:rsidP="003A0D6A">
      <w:pPr>
        <w:pStyle w:val="ListParagraph"/>
        <w:numPr>
          <w:ilvl w:val="0"/>
          <w:numId w:val="36"/>
        </w:numPr>
        <w:spacing w:after="120" w:line="240" w:lineRule="auto"/>
        <w:ind w:right="227"/>
        <w:jc w:val="both"/>
        <w:rPr>
          <w:i/>
          <w:sz w:val="28"/>
          <w:szCs w:val="28"/>
        </w:rPr>
      </w:pPr>
      <w:r w:rsidRPr="003A0D6A">
        <w:rPr>
          <w:b/>
          <w:bCs/>
          <w:i/>
          <w:sz w:val="28"/>
          <w:szCs w:val="28"/>
        </w:rPr>
        <w:lastRenderedPageBreak/>
        <w:t>Eiropas Sodāmības reģistra informācijas sistēma (ECRIS)</w:t>
      </w:r>
      <w:r w:rsidR="00320862" w:rsidRPr="003A0D6A">
        <w:rPr>
          <w:b/>
          <w:bCs/>
          <w:sz w:val="28"/>
          <w:szCs w:val="28"/>
        </w:rPr>
        <w:t>:</w:t>
      </w:r>
      <w:r w:rsidR="00320862" w:rsidRPr="003A0D6A">
        <w:rPr>
          <w:sz w:val="28"/>
          <w:szCs w:val="28"/>
        </w:rPr>
        <w:t xml:space="preserve"> </w:t>
      </w:r>
      <w:r w:rsidRPr="003A0D6A">
        <w:rPr>
          <w:i/>
          <w:sz w:val="28"/>
          <w:szCs w:val="28"/>
        </w:rPr>
        <w:t xml:space="preserve">priekšlikums Eiropas Parlamenta un Padomes regulai, ar ko Eiropas Sodāmības reģistru informācijas sistēmas (ECRIS-TCN sistēma) papildināšanai un atbalstam izveido centralizētu sistēmu tādu dalībvalstu identificēšanai, kurām ir informācija par notiesājošiem spriedumiem par trešo valstu valstspiederīgajiem un bezvalstniekiem </w:t>
      </w:r>
      <w:proofErr w:type="gramStart"/>
      <w:r w:rsidRPr="003A0D6A">
        <w:rPr>
          <w:i/>
          <w:sz w:val="28"/>
          <w:szCs w:val="28"/>
        </w:rPr>
        <w:t>(</w:t>
      </w:r>
      <w:proofErr w:type="gramEnd"/>
      <w:r w:rsidRPr="003A0D6A">
        <w:rPr>
          <w:i/>
          <w:sz w:val="28"/>
          <w:szCs w:val="28"/>
        </w:rPr>
        <w:t>TCN), un ar ko groza Regulu (ES) 1077/2011</w:t>
      </w:r>
      <w:r w:rsidRPr="003A0D6A">
        <w:rPr>
          <w:rStyle w:val="FootnoteReference"/>
          <w:i/>
          <w:color w:val="000000"/>
          <w:sz w:val="28"/>
          <w:szCs w:val="28"/>
        </w:rPr>
        <w:footnoteReference w:id="4"/>
      </w:r>
      <w:r w:rsidRPr="003A0D6A">
        <w:rPr>
          <w:i/>
          <w:sz w:val="28"/>
          <w:szCs w:val="28"/>
        </w:rPr>
        <w:t>, un priekšlikums Eiropas Parlamenta un Padomes direktīvai, ar ko groza Padomes Pamatlēmumu 2009/315/TI</w:t>
      </w:r>
      <w:r w:rsidRPr="003A0D6A">
        <w:rPr>
          <w:rStyle w:val="FootnoteReference"/>
          <w:i/>
          <w:sz w:val="28"/>
          <w:szCs w:val="28"/>
        </w:rPr>
        <w:footnoteReference w:id="5"/>
      </w:r>
      <w:r w:rsidRPr="003A0D6A">
        <w:rPr>
          <w:i/>
          <w:sz w:val="28"/>
          <w:szCs w:val="28"/>
        </w:rPr>
        <w:t xml:space="preserve"> attiecībā uz informācijas apmaiņu par trešo valstu pilsoņiem un attiecībā uz Eiropas sodāmības reģistru informācijas sistēmu (ECRIS) un aizstāj Padomes Lēmumu 2009/316/TI</w:t>
      </w:r>
      <w:r w:rsidRPr="003A0D6A">
        <w:rPr>
          <w:rStyle w:val="FootnoteReference"/>
          <w:i/>
          <w:sz w:val="28"/>
          <w:szCs w:val="28"/>
        </w:rPr>
        <w:footnoteReference w:id="6"/>
      </w:r>
    </w:p>
    <w:p w14:paraId="2719ABDA" w14:textId="77777777" w:rsidR="003A0D6A" w:rsidRDefault="003A0D6A" w:rsidP="00320862">
      <w:pPr>
        <w:spacing w:line="240" w:lineRule="auto"/>
        <w:jc w:val="both"/>
        <w:rPr>
          <w:sz w:val="28"/>
          <w:szCs w:val="28"/>
        </w:rPr>
        <w:sectPr w:rsidR="003A0D6A" w:rsidSect="003A0D6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134" w:right="1134" w:bottom="1134" w:left="1701" w:header="567" w:footer="567" w:gutter="0"/>
          <w:cols w:space="720"/>
          <w:titlePg/>
        </w:sectPr>
      </w:pPr>
    </w:p>
    <w:p w14:paraId="1B8CCEF0" w14:textId="77777777" w:rsidR="00320862" w:rsidRPr="00320862" w:rsidRDefault="00320862" w:rsidP="00FB6261">
      <w:pPr>
        <w:spacing w:after="240" w:line="240" w:lineRule="auto"/>
        <w:jc w:val="both"/>
        <w:rPr>
          <w:sz w:val="28"/>
          <w:szCs w:val="28"/>
        </w:rPr>
      </w:pPr>
      <w:r w:rsidRPr="00320862">
        <w:rPr>
          <w:sz w:val="28"/>
          <w:szCs w:val="28"/>
        </w:rPr>
        <w:t xml:space="preserve">2016. gada 19. janvārī Eiropas Komisija (turpmāk – Komisija) nāca klajā ar priekšlikumu Eiropas Parlamenta (turpmāk – EP) un Padomes direktīvai, ar ko groza Padomes Pamatlēmumu 2009/315/TI attiecībā uz informācijas apmaiņu par trešo valstu valstspiederīgajiem un attiecībā uz Eiropas sodāmības reģistru informācijas sistēmu </w:t>
      </w:r>
      <w:proofErr w:type="gramStart"/>
      <w:r w:rsidRPr="00320862">
        <w:rPr>
          <w:sz w:val="28"/>
          <w:szCs w:val="28"/>
        </w:rPr>
        <w:t>(</w:t>
      </w:r>
      <w:proofErr w:type="gramEnd"/>
      <w:r w:rsidRPr="00320862">
        <w:rPr>
          <w:sz w:val="28"/>
          <w:szCs w:val="28"/>
        </w:rPr>
        <w:t xml:space="preserve">ECRIS) un ar ko aizstāj Padomes Lēmumu 2009/3016/TI (turpmāk – direktīvas priekšlikums). Direktīvas priekšlikumā, kuras mērķis ir palielināt apmaiņu ar sodāmības reģistru informāciju attiecībā uz trešo valstu pilsoņiem, tika paredzēts izveidot decentralizētu sistēmu, kas attiecīgi identificētu to dalībvalsti, kura glabā informāciju par trešo valstu pilsoņu sodāmību (pamatojoties uz </w:t>
      </w:r>
      <w:proofErr w:type="spellStart"/>
      <w:r w:rsidRPr="00320862">
        <w:rPr>
          <w:sz w:val="28"/>
          <w:szCs w:val="28"/>
        </w:rPr>
        <w:t>indeksfiltru</w:t>
      </w:r>
      <w:proofErr w:type="spellEnd"/>
      <w:r w:rsidRPr="00320862">
        <w:rPr>
          <w:sz w:val="28"/>
          <w:szCs w:val="28"/>
        </w:rPr>
        <w:t xml:space="preserve"> un “ir/nav trāpījums” (</w:t>
      </w:r>
      <w:proofErr w:type="spellStart"/>
      <w:r w:rsidRPr="00320862">
        <w:rPr>
          <w:i/>
          <w:sz w:val="28"/>
          <w:szCs w:val="28"/>
        </w:rPr>
        <w:t>hit</w:t>
      </w:r>
      <w:proofErr w:type="spellEnd"/>
      <w:r w:rsidRPr="00320862">
        <w:rPr>
          <w:i/>
          <w:sz w:val="28"/>
          <w:szCs w:val="28"/>
        </w:rPr>
        <w:t xml:space="preserve">/no </w:t>
      </w:r>
      <w:proofErr w:type="spellStart"/>
      <w:r w:rsidRPr="00320862">
        <w:rPr>
          <w:i/>
          <w:sz w:val="28"/>
          <w:szCs w:val="28"/>
        </w:rPr>
        <w:t>hit</w:t>
      </w:r>
      <w:proofErr w:type="spellEnd"/>
      <w:r w:rsidRPr="00320862">
        <w:rPr>
          <w:sz w:val="28"/>
          <w:szCs w:val="28"/>
        </w:rPr>
        <w:t>) meklēšanas mehānismu).</w:t>
      </w:r>
    </w:p>
    <w:p w14:paraId="00FDDA08" w14:textId="2243A0FB" w:rsidR="00320862" w:rsidRDefault="00320862" w:rsidP="00FB6261">
      <w:pPr>
        <w:spacing w:after="240" w:line="240" w:lineRule="auto"/>
        <w:jc w:val="both"/>
        <w:rPr>
          <w:sz w:val="28"/>
          <w:szCs w:val="28"/>
        </w:rPr>
      </w:pPr>
      <w:r w:rsidRPr="00320862">
        <w:rPr>
          <w:sz w:val="28"/>
          <w:szCs w:val="28"/>
        </w:rPr>
        <w:t xml:space="preserve">Ņemot vērā 2016. gada 9. jūnija </w:t>
      </w:r>
      <w:r w:rsidR="00675F64">
        <w:rPr>
          <w:sz w:val="28"/>
          <w:szCs w:val="28"/>
        </w:rPr>
        <w:t xml:space="preserve">Padomes </w:t>
      </w:r>
      <w:r w:rsidRPr="00320862">
        <w:rPr>
          <w:sz w:val="28"/>
          <w:szCs w:val="28"/>
        </w:rPr>
        <w:t xml:space="preserve">uzstādījumu par centralizēta risinājuma (nevis decentralizēta risinājuma, kā to sākotnēji paredzēja direktīvas priekšlikums) nepieciešamību, 2017. gada 29. jūnijā Komisija </w:t>
      </w:r>
      <w:r>
        <w:rPr>
          <w:sz w:val="28"/>
          <w:szCs w:val="28"/>
        </w:rPr>
        <w:t>nāca</w:t>
      </w:r>
      <w:r w:rsidRPr="00320862">
        <w:rPr>
          <w:sz w:val="28"/>
          <w:szCs w:val="28"/>
        </w:rPr>
        <w:t xml:space="preserve"> klajā ar priekšlikumu EP un Padomes regulai, </w:t>
      </w:r>
      <w:r w:rsidRPr="00320862">
        <w:rPr>
          <w:color w:val="000000"/>
          <w:sz w:val="28"/>
          <w:szCs w:val="28"/>
          <w:lang w:eastAsia="lv-LV"/>
        </w:rPr>
        <w:t>ar ko ECRIS papildināšanai un atbalstam izveido centralizētu sistēmu tādu dalībvalstu identificēšanai, kurām ir informācija par notiesājošiem spriedumiem par trešo valstu valstspiederīgajiem un bezvalstniekiem, un ar ko groza Regulu (ES) 1077/2011</w:t>
      </w:r>
      <w:r w:rsidRPr="00320862">
        <w:rPr>
          <w:sz w:val="28"/>
          <w:szCs w:val="28"/>
        </w:rPr>
        <w:t xml:space="preserve"> (turpmāk – regulas priekšlikums).</w:t>
      </w:r>
    </w:p>
    <w:p w14:paraId="1D59F39C" w14:textId="62FE2072" w:rsidR="0075212F" w:rsidRPr="0075212F" w:rsidRDefault="0075212F" w:rsidP="0075212F">
      <w:pPr>
        <w:spacing w:after="120" w:line="240" w:lineRule="auto"/>
        <w:jc w:val="both"/>
        <w:rPr>
          <w:sz w:val="28"/>
          <w:szCs w:val="28"/>
        </w:rPr>
      </w:pPr>
      <w:r w:rsidRPr="0075212F">
        <w:rPr>
          <w:sz w:val="28"/>
          <w:szCs w:val="28"/>
        </w:rPr>
        <w:t xml:space="preserve">Diskusijas par regulas priekšlikumu un precizēto direktīvas priekšlikumu tika uzsāktas </w:t>
      </w:r>
      <w:r>
        <w:rPr>
          <w:sz w:val="28"/>
          <w:szCs w:val="28"/>
        </w:rPr>
        <w:t>Igaunijas prezidentūras (EE PRES) laikā</w:t>
      </w:r>
      <w:r w:rsidRPr="0075212F">
        <w:rPr>
          <w:sz w:val="28"/>
          <w:szCs w:val="28"/>
        </w:rPr>
        <w:t>, un abi tiesību aktu projekti tika skatīti vienā pakotnē. EE PRES ir nodrošinājusi intensīvu regulas priekšlikuma un precizētā direktīvas priekšlikuma virzību gan politiskā</w:t>
      </w:r>
      <w:r w:rsidRPr="0075212F">
        <w:rPr>
          <w:rStyle w:val="FootnoteReference"/>
          <w:sz w:val="28"/>
          <w:szCs w:val="28"/>
        </w:rPr>
        <w:footnoteReference w:id="7"/>
      </w:r>
      <w:r w:rsidRPr="0075212F">
        <w:rPr>
          <w:sz w:val="28"/>
          <w:szCs w:val="28"/>
        </w:rPr>
        <w:t xml:space="preserve">, gan arī jo īpaši </w:t>
      </w:r>
      <w:r w:rsidRPr="0075212F">
        <w:rPr>
          <w:sz w:val="28"/>
          <w:szCs w:val="28"/>
        </w:rPr>
        <w:lastRenderedPageBreak/>
        <w:t>tehniskā līmenī</w:t>
      </w:r>
      <w:r w:rsidRPr="0075212F">
        <w:rPr>
          <w:rStyle w:val="FootnoteReference"/>
          <w:sz w:val="28"/>
          <w:szCs w:val="28"/>
        </w:rPr>
        <w:footnoteReference w:id="8"/>
      </w:r>
      <w:r w:rsidRPr="0075212F">
        <w:rPr>
          <w:sz w:val="28"/>
          <w:szCs w:val="28"/>
        </w:rPr>
        <w:t xml:space="preserve">. </w:t>
      </w:r>
    </w:p>
    <w:p w14:paraId="33D21ED2" w14:textId="5BC46877" w:rsidR="00A3510C" w:rsidRDefault="0075212F" w:rsidP="00FB6261">
      <w:pPr>
        <w:spacing w:after="120" w:line="240" w:lineRule="auto"/>
        <w:jc w:val="both"/>
        <w:rPr>
          <w:sz w:val="28"/>
          <w:szCs w:val="28"/>
        </w:rPr>
      </w:pPr>
      <w:r>
        <w:rPr>
          <w:sz w:val="28"/>
          <w:szCs w:val="28"/>
        </w:rPr>
        <w:t xml:space="preserve">Sanāksmē plānots apstiprināt Padomes vispārējo nostāju par abiem tiesību aktu projektiem. </w:t>
      </w:r>
      <w:r w:rsidR="00A3510C">
        <w:rPr>
          <w:sz w:val="28"/>
          <w:szCs w:val="28"/>
        </w:rPr>
        <w:t>Dalībai sanāksmē sagatavota nacionālā pozīcija.</w:t>
      </w:r>
    </w:p>
    <w:p w14:paraId="41B1B4DC" w14:textId="1D731A98" w:rsidR="00063485" w:rsidRPr="00063485" w:rsidRDefault="00063485" w:rsidP="00063485">
      <w:pPr>
        <w:spacing w:line="240" w:lineRule="auto"/>
        <w:jc w:val="both"/>
        <w:rPr>
          <w:sz w:val="28"/>
          <w:szCs w:val="28"/>
        </w:rPr>
      </w:pPr>
      <w:r>
        <w:rPr>
          <w:sz w:val="28"/>
          <w:szCs w:val="28"/>
        </w:rPr>
        <w:t xml:space="preserve">Līdztekus šiem jautājumiem ministri tiks informēti par panākto progresu diskusijās par Kopējās Eiropas Patvēruma sistēmas reformu, aktualitātēm </w:t>
      </w:r>
      <w:r w:rsidR="0075212F">
        <w:rPr>
          <w:sz w:val="28"/>
          <w:szCs w:val="28"/>
        </w:rPr>
        <w:t>pretterorisma jomā, ES Pasažieru datu reģistra direktīvas</w:t>
      </w:r>
      <w:r w:rsidR="0075212F">
        <w:rPr>
          <w:rStyle w:val="FootnoteReference"/>
          <w:sz w:val="28"/>
          <w:szCs w:val="28"/>
        </w:rPr>
        <w:footnoteReference w:id="9"/>
      </w:r>
      <w:r w:rsidR="0075212F">
        <w:rPr>
          <w:sz w:val="28"/>
          <w:szCs w:val="28"/>
        </w:rPr>
        <w:t xml:space="preserve"> ieviešanas gaitu</w:t>
      </w:r>
      <w:r w:rsidR="00525346">
        <w:rPr>
          <w:sz w:val="28"/>
          <w:szCs w:val="28"/>
        </w:rPr>
        <w:t>, kā arī aktuālo situāciju saistībā ar ES informācijas sistēmu sadarbspēju</w:t>
      </w:r>
      <w:r>
        <w:rPr>
          <w:sz w:val="28"/>
          <w:szCs w:val="28"/>
        </w:rPr>
        <w:t xml:space="preserve">. </w:t>
      </w:r>
    </w:p>
    <w:p w14:paraId="429A71B1" w14:textId="3A086C04" w:rsidR="00063485" w:rsidRDefault="00063485" w:rsidP="00063485">
      <w:pPr>
        <w:spacing w:line="240" w:lineRule="auto"/>
        <w:jc w:val="both"/>
        <w:rPr>
          <w:sz w:val="26"/>
          <w:szCs w:val="26"/>
        </w:rPr>
      </w:pPr>
      <w:r>
        <w:rPr>
          <w:sz w:val="26"/>
          <w:szCs w:val="26"/>
        </w:rPr>
        <w:tab/>
      </w:r>
    </w:p>
    <w:p w14:paraId="58F2598D" w14:textId="77777777" w:rsidR="0039011F" w:rsidRPr="006055EC" w:rsidRDefault="0047262F" w:rsidP="000A50C5">
      <w:pPr>
        <w:spacing w:line="240" w:lineRule="auto"/>
        <w:jc w:val="center"/>
        <w:rPr>
          <w:b/>
          <w:sz w:val="28"/>
          <w:szCs w:val="28"/>
        </w:rPr>
      </w:pPr>
      <w:r w:rsidRPr="006055EC">
        <w:rPr>
          <w:b/>
          <w:sz w:val="28"/>
          <w:szCs w:val="28"/>
        </w:rPr>
        <w:t>II</w:t>
      </w:r>
      <w:r w:rsidR="000508DF" w:rsidRPr="006055EC">
        <w:rPr>
          <w:b/>
          <w:sz w:val="28"/>
          <w:szCs w:val="28"/>
        </w:rPr>
        <w:t>.</w:t>
      </w:r>
      <w:r w:rsidR="0039011F" w:rsidRPr="006055EC">
        <w:rPr>
          <w:b/>
          <w:sz w:val="28"/>
          <w:szCs w:val="28"/>
        </w:rPr>
        <w:t xml:space="preserve"> Latvijas delegācija</w:t>
      </w:r>
    </w:p>
    <w:p w14:paraId="64626650" w14:textId="77777777" w:rsidR="00C76C4E" w:rsidRPr="006055EC" w:rsidRDefault="00C76C4E" w:rsidP="000A50C5">
      <w:pPr>
        <w:spacing w:line="240" w:lineRule="auto"/>
        <w:jc w:val="center"/>
        <w:rPr>
          <w:b/>
          <w:sz w:val="28"/>
          <w:szCs w:val="28"/>
        </w:rPr>
      </w:pPr>
    </w:p>
    <w:p w14:paraId="2DFC0113" w14:textId="2C181D96" w:rsidR="00632633" w:rsidRPr="006055EC" w:rsidRDefault="0039011F" w:rsidP="00BD79FD">
      <w:pPr>
        <w:spacing w:line="240" w:lineRule="auto"/>
        <w:ind w:firstLine="567"/>
        <w:jc w:val="both"/>
        <w:rPr>
          <w:sz w:val="28"/>
          <w:szCs w:val="28"/>
        </w:rPr>
      </w:pPr>
      <w:r w:rsidRPr="006055EC">
        <w:rPr>
          <w:sz w:val="28"/>
          <w:szCs w:val="28"/>
        </w:rPr>
        <w:t xml:space="preserve">Latvijas delegāciju </w:t>
      </w:r>
      <w:r w:rsidR="009E04B6" w:rsidRPr="006055EC">
        <w:rPr>
          <w:sz w:val="28"/>
          <w:szCs w:val="28"/>
        </w:rPr>
        <w:t>P</w:t>
      </w:r>
      <w:r w:rsidRPr="006055EC">
        <w:rPr>
          <w:sz w:val="28"/>
          <w:szCs w:val="28"/>
        </w:rPr>
        <w:t xml:space="preserve">adomes sanāksmes laikā vadīs </w:t>
      </w:r>
      <w:r w:rsidR="007A1D05" w:rsidRPr="006055EC">
        <w:rPr>
          <w:sz w:val="28"/>
          <w:szCs w:val="28"/>
        </w:rPr>
        <w:t xml:space="preserve">iekšlietu ministrs </w:t>
      </w:r>
      <w:r w:rsidR="00FB6261">
        <w:rPr>
          <w:sz w:val="28"/>
          <w:szCs w:val="28"/>
        </w:rPr>
        <w:t xml:space="preserve">Rihards </w:t>
      </w:r>
      <w:r w:rsidR="007A1D05" w:rsidRPr="006055EC">
        <w:rPr>
          <w:sz w:val="28"/>
          <w:szCs w:val="28"/>
        </w:rPr>
        <w:t>Kozlovskis.</w:t>
      </w:r>
    </w:p>
    <w:p w14:paraId="37C212F7" w14:textId="77777777" w:rsidR="0039011F" w:rsidRPr="006055EC" w:rsidRDefault="0039011F" w:rsidP="004E426D">
      <w:pPr>
        <w:spacing w:line="240" w:lineRule="auto"/>
        <w:jc w:val="both"/>
        <w:rPr>
          <w:sz w:val="28"/>
          <w:szCs w:val="28"/>
        </w:rPr>
      </w:pPr>
    </w:p>
    <w:p w14:paraId="2B5E5823" w14:textId="77777777" w:rsidR="005C5B9F" w:rsidRPr="006055EC" w:rsidRDefault="005C5B9F" w:rsidP="004E426D">
      <w:pPr>
        <w:spacing w:line="240" w:lineRule="auto"/>
        <w:jc w:val="both"/>
        <w:rPr>
          <w:sz w:val="28"/>
          <w:szCs w:val="28"/>
        </w:rPr>
      </w:pPr>
    </w:p>
    <w:p w14:paraId="7DDCC7AE" w14:textId="158A36D0" w:rsidR="00FC7706" w:rsidRPr="006055EC" w:rsidRDefault="00A30826" w:rsidP="004E426D">
      <w:pPr>
        <w:spacing w:line="240" w:lineRule="auto"/>
        <w:rPr>
          <w:sz w:val="28"/>
          <w:szCs w:val="28"/>
        </w:rPr>
      </w:pPr>
      <w:r w:rsidRPr="006055EC">
        <w:rPr>
          <w:sz w:val="28"/>
          <w:szCs w:val="28"/>
        </w:rPr>
        <w:t>Iekšlietu ministrs</w:t>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39011F" w:rsidRPr="006055EC">
        <w:rPr>
          <w:sz w:val="28"/>
          <w:szCs w:val="28"/>
        </w:rPr>
        <w:tab/>
      </w:r>
      <w:r w:rsidR="00F101D4" w:rsidRPr="006055EC">
        <w:rPr>
          <w:sz w:val="28"/>
          <w:szCs w:val="28"/>
        </w:rPr>
        <w:tab/>
      </w:r>
      <w:r w:rsidR="00F101D4" w:rsidRPr="006055EC">
        <w:rPr>
          <w:sz w:val="28"/>
          <w:szCs w:val="28"/>
        </w:rPr>
        <w:tab/>
      </w:r>
      <w:r w:rsidR="00117D5C" w:rsidRPr="006055EC">
        <w:rPr>
          <w:sz w:val="28"/>
          <w:szCs w:val="28"/>
        </w:rPr>
        <w:tab/>
      </w:r>
      <w:r w:rsidR="00117D5C" w:rsidRPr="006055EC">
        <w:rPr>
          <w:sz w:val="28"/>
          <w:szCs w:val="28"/>
        </w:rPr>
        <w:tab/>
      </w:r>
      <w:r w:rsidR="00D13557">
        <w:rPr>
          <w:sz w:val="28"/>
          <w:szCs w:val="28"/>
        </w:rPr>
        <w:t>Rihards</w:t>
      </w:r>
      <w:r w:rsidR="00FB6261">
        <w:rPr>
          <w:sz w:val="28"/>
          <w:szCs w:val="28"/>
        </w:rPr>
        <w:t xml:space="preserve"> </w:t>
      </w:r>
      <w:r w:rsidRPr="006055EC">
        <w:rPr>
          <w:sz w:val="28"/>
          <w:szCs w:val="28"/>
        </w:rPr>
        <w:t>Kozlovskis</w:t>
      </w:r>
    </w:p>
    <w:p w14:paraId="13AD6FBB" w14:textId="77777777" w:rsidR="000C12F5" w:rsidRPr="006055EC" w:rsidRDefault="000C12F5" w:rsidP="004E426D">
      <w:pPr>
        <w:spacing w:line="240" w:lineRule="auto"/>
        <w:rPr>
          <w:sz w:val="28"/>
          <w:szCs w:val="28"/>
        </w:rPr>
      </w:pPr>
    </w:p>
    <w:p w14:paraId="7FA40CA1" w14:textId="77777777" w:rsidR="000C12F5" w:rsidRDefault="000C12F5" w:rsidP="00C8408E">
      <w:pPr>
        <w:spacing w:line="240" w:lineRule="auto"/>
        <w:rPr>
          <w:sz w:val="20"/>
        </w:rPr>
      </w:pPr>
    </w:p>
    <w:p w14:paraId="654F494E" w14:textId="77777777" w:rsidR="00FB6261" w:rsidRDefault="00FB6261" w:rsidP="00C8408E">
      <w:pPr>
        <w:spacing w:line="240" w:lineRule="auto"/>
        <w:rPr>
          <w:sz w:val="20"/>
        </w:rPr>
      </w:pPr>
    </w:p>
    <w:p w14:paraId="2DBC316B" w14:textId="77777777" w:rsidR="00FB6261" w:rsidRDefault="00FB6261" w:rsidP="00C8408E">
      <w:pPr>
        <w:spacing w:line="240" w:lineRule="auto"/>
        <w:rPr>
          <w:sz w:val="20"/>
        </w:rPr>
      </w:pPr>
    </w:p>
    <w:p w14:paraId="67F24D71" w14:textId="77777777" w:rsidR="00FB6261" w:rsidRDefault="00FB6261" w:rsidP="00C8408E">
      <w:pPr>
        <w:spacing w:line="240" w:lineRule="auto"/>
        <w:rPr>
          <w:sz w:val="20"/>
        </w:rPr>
      </w:pPr>
    </w:p>
    <w:p w14:paraId="5591C3E9" w14:textId="77777777" w:rsidR="00FB6261" w:rsidRDefault="00FB6261" w:rsidP="00C8408E">
      <w:pPr>
        <w:spacing w:line="240" w:lineRule="auto"/>
        <w:rPr>
          <w:sz w:val="20"/>
        </w:rPr>
      </w:pPr>
    </w:p>
    <w:p w14:paraId="27C0A7EB" w14:textId="77777777" w:rsidR="00FB6261" w:rsidRDefault="00FB6261" w:rsidP="00C8408E">
      <w:pPr>
        <w:spacing w:line="240" w:lineRule="auto"/>
        <w:rPr>
          <w:sz w:val="20"/>
        </w:rPr>
      </w:pPr>
    </w:p>
    <w:p w14:paraId="3FCF54EB" w14:textId="77777777" w:rsidR="00D13557" w:rsidRDefault="00D13557" w:rsidP="00D13557">
      <w:pPr>
        <w:widowControl/>
        <w:spacing w:line="240" w:lineRule="auto"/>
        <w:rPr>
          <w:bCs/>
          <w:sz w:val="20"/>
          <w:lang w:eastAsia="lv-LV"/>
        </w:rPr>
      </w:pPr>
    </w:p>
    <w:p w14:paraId="2EF6BC2D" w14:textId="77777777" w:rsidR="00B465CD" w:rsidRDefault="00B465CD" w:rsidP="00D13557">
      <w:pPr>
        <w:widowControl/>
        <w:spacing w:line="240" w:lineRule="auto"/>
        <w:rPr>
          <w:bCs/>
          <w:sz w:val="20"/>
          <w:lang w:eastAsia="lv-LV"/>
        </w:rPr>
      </w:pPr>
    </w:p>
    <w:p w14:paraId="4A9DE9CE" w14:textId="77777777" w:rsidR="00B465CD" w:rsidRDefault="00B465CD" w:rsidP="00D13557">
      <w:pPr>
        <w:widowControl/>
        <w:spacing w:line="240" w:lineRule="auto"/>
        <w:rPr>
          <w:bCs/>
          <w:sz w:val="20"/>
          <w:lang w:eastAsia="lv-LV"/>
        </w:rPr>
      </w:pPr>
    </w:p>
    <w:p w14:paraId="271F6D69" w14:textId="77777777" w:rsidR="00B465CD" w:rsidRDefault="00B465CD" w:rsidP="00D13557">
      <w:pPr>
        <w:widowControl/>
        <w:spacing w:line="240" w:lineRule="auto"/>
        <w:rPr>
          <w:bCs/>
          <w:sz w:val="20"/>
          <w:lang w:eastAsia="lv-LV"/>
        </w:rPr>
      </w:pPr>
    </w:p>
    <w:p w14:paraId="7BB52C5C" w14:textId="77777777" w:rsidR="00B465CD" w:rsidRDefault="00B465CD" w:rsidP="00D13557">
      <w:pPr>
        <w:widowControl/>
        <w:spacing w:line="240" w:lineRule="auto"/>
        <w:rPr>
          <w:bCs/>
          <w:sz w:val="20"/>
          <w:lang w:eastAsia="lv-LV"/>
        </w:rPr>
      </w:pPr>
    </w:p>
    <w:p w14:paraId="7073AFBE" w14:textId="77777777" w:rsidR="00B465CD" w:rsidRDefault="00B465CD" w:rsidP="00D13557">
      <w:pPr>
        <w:widowControl/>
        <w:spacing w:line="240" w:lineRule="auto"/>
        <w:rPr>
          <w:bCs/>
          <w:sz w:val="20"/>
          <w:lang w:eastAsia="lv-LV"/>
        </w:rPr>
      </w:pPr>
    </w:p>
    <w:p w14:paraId="2837A75C" w14:textId="77777777" w:rsidR="00B465CD" w:rsidRDefault="00B465CD" w:rsidP="00D13557">
      <w:pPr>
        <w:widowControl/>
        <w:spacing w:line="240" w:lineRule="auto"/>
        <w:rPr>
          <w:bCs/>
          <w:sz w:val="20"/>
          <w:lang w:eastAsia="lv-LV"/>
        </w:rPr>
      </w:pPr>
    </w:p>
    <w:p w14:paraId="7A1C2E0A" w14:textId="77777777" w:rsidR="00B465CD" w:rsidRDefault="00B465CD" w:rsidP="00D13557">
      <w:pPr>
        <w:widowControl/>
        <w:spacing w:line="240" w:lineRule="auto"/>
        <w:rPr>
          <w:bCs/>
          <w:sz w:val="20"/>
          <w:lang w:eastAsia="lv-LV"/>
        </w:rPr>
      </w:pPr>
    </w:p>
    <w:p w14:paraId="261F29A0" w14:textId="77777777" w:rsidR="00B465CD" w:rsidRDefault="00B465CD" w:rsidP="00D13557">
      <w:pPr>
        <w:widowControl/>
        <w:spacing w:line="240" w:lineRule="auto"/>
        <w:rPr>
          <w:bCs/>
          <w:sz w:val="20"/>
          <w:lang w:eastAsia="lv-LV"/>
        </w:rPr>
      </w:pPr>
    </w:p>
    <w:p w14:paraId="148C997F" w14:textId="77777777" w:rsidR="00B465CD" w:rsidRDefault="00B465CD" w:rsidP="00D13557">
      <w:pPr>
        <w:widowControl/>
        <w:spacing w:line="240" w:lineRule="auto"/>
        <w:rPr>
          <w:bCs/>
          <w:sz w:val="20"/>
          <w:lang w:eastAsia="lv-LV"/>
        </w:rPr>
      </w:pPr>
    </w:p>
    <w:p w14:paraId="212A02A3" w14:textId="77777777" w:rsidR="00B465CD" w:rsidRDefault="00B465CD" w:rsidP="00D13557">
      <w:pPr>
        <w:widowControl/>
        <w:spacing w:line="240" w:lineRule="auto"/>
        <w:rPr>
          <w:bCs/>
          <w:sz w:val="20"/>
          <w:lang w:eastAsia="lv-LV"/>
        </w:rPr>
      </w:pPr>
    </w:p>
    <w:p w14:paraId="63D00798" w14:textId="77777777" w:rsidR="00675F64" w:rsidRDefault="00675F64" w:rsidP="00D13557">
      <w:pPr>
        <w:widowControl/>
        <w:spacing w:line="240" w:lineRule="auto"/>
        <w:rPr>
          <w:bCs/>
          <w:sz w:val="20"/>
          <w:lang w:eastAsia="lv-LV"/>
        </w:rPr>
      </w:pPr>
    </w:p>
    <w:p w14:paraId="3EC042E9" w14:textId="77777777" w:rsidR="00675F64" w:rsidRDefault="00675F64" w:rsidP="00D13557">
      <w:pPr>
        <w:widowControl/>
        <w:spacing w:line="240" w:lineRule="auto"/>
        <w:rPr>
          <w:bCs/>
          <w:sz w:val="20"/>
          <w:lang w:eastAsia="lv-LV"/>
        </w:rPr>
      </w:pPr>
    </w:p>
    <w:p w14:paraId="70D3C5AD" w14:textId="77777777" w:rsidR="00675F64" w:rsidRDefault="00675F64" w:rsidP="00D13557">
      <w:pPr>
        <w:widowControl/>
        <w:spacing w:line="240" w:lineRule="auto"/>
        <w:rPr>
          <w:bCs/>
          <w:sz w:val="20"/>
          <w:lang w:eastAsia="lv-LV"/>
        </w:rPr>
      </w:pPr>
    </w:p>
    <w:p w14:paraId="63B3EF5E" w14:textId="77777777" w:rsidR="00B465CD" w:rsidRDefault="00B465CD" w:rsidP="00D13557">
      <w:pPr>
        <w:widowControl/>
        <w:spacing w:line="240" w:lineRule="auto"/>
        <w:rPr>
          <w:bCs/>
          <w:sz w:val="20"/>
          <w:lang w:eastAsia="lv-LV"/>
        </w:rPr>
      </w:pPr>
    </w:p>
    <w:p w14:paraId="0FF998BC" w14:textId="77777777" w:rsidR="00D13557" w:rsidRDefault="00D13557" w:rsidP="00D13557">
      <w:pPr>
        <w:widowControl/>
        <w:spacing w:line="240" w:lineRule="auto"/>
        <w:rPr>
          <w:bCs/>
          <w:sz w:val="20"/>
          <w:lang w:eastAsia="lv-LV"/>
        </w:rPr>
      </w:pPr>
    </w:p>
    <w:p w14:paraId="3D7ABE07" w14:textId="77777777" w:rsidR="00D13557" w:rsidRPr="00D13557" w:rsidRDefault="00D13557" w:rsidP="00D13557">
      <w:pPr>
        <w:widowControl/>
        <w:spacing w:line="240" w:lineRule="auto"/>
        <w:rPr>
          <w:bCs/>
          <w:sz w:val="20"/>
          <w:lang w:eastAsia="lv-LV"/>
        </w:rPr>
      </w:pPr>
      <w:r w:rsidRPr="00D13557">
        <w:rPr>
          <w:bCs/>
          <w:sz w:val="20"/>
          <w:lang w:eastAsia="lv-LV"/>
        </w:rPr>
        <w:t>30.11.2017. 15:47</w:t>
      </w:r>
    </w:p>
    <w:p w14:paraId="28D8DA8D" w14:textId="77777777" w:rsidR="00D13557" w:rsidRPr="00D13557" w:rsidRDefault="00D13557" w:rsidP="00D13557">
      <w:pPr>
        <w:widowControl/>
        <w:tabs>
          <w:tab w:val="center" w:pos="4535"/>
        </w:tabs>
        <w:spacing w:line="240" w:lineRule="auto"/>
        <w:rPr>
          <w:sz w:val="20"/>
          <w:lang w:eastAsia="lv-LV"/>
        </w:rPr>
      </w:pPr>
      <w:r w:rsidRPr="00D13557">
        <w:rPr>
          <w:sz w:val="20"/>
          <w:lang w:eastAsia="lv-LV"/>
        </w:rPr>
        <w:fldChar w:fldCharType="begin"/>
      </w:r>
      <w:r w:rsidRPr="00D13557">
        <w:rPr>
          <w:sz w:val="20"/>
          <w:lang w:eastAsia="lv-LV"/>
        </w:rPr>
        <w:instrText xml:space="preserve"> NUMWORDS   \* MERGEFORMAT </w:instrText>
      </w:r>
      <w:r w:rsidRPr="00D13557">
        <w:rPr>
          <w:sz w:val="20"/>
          <w:lang w:eastAsia="lv-LV"/>
        </w:rPr>
        <w:fldChar w:fldCharType="separate"/>
      </w:r>
      <w:r w:rsidR="00566C8E">
        <w:rPr>
          <w:noProof/>
          <w:sz w:val="20"/>
          <w:lang w:eastAsia="lv-LV"/>
        </w:rPr>
        <w:t>660</w:t>
      </w:r>
      <w:r w:rsidRPr="00D13557">
        <w:rPr>
          <w:noProof/>
          <w:sz w:val="20"/>
          <w:lang w:eastAsia="lv-LV"/>
        </w:rPr>
        <w:fldChar w:fldCharType="end"/>
      </w:r>
      <w:bookmarkStart w:id="0" w:name="_GoBack"/>
      <w:bookmarkEnd w:id="0"/>
      <w:r w:rsidRPr="00D13557">
        <w:rPr>
          <w:noProof/>
          <w:sz w:val="20"/>
          <w:lang w:eastAsia="lv-LV"/>
        </w:rPr>
        <w:tab/>
      </w:r>
    </w:p>
    <w:p w14:paraId="22451C0E" w14:textId="77777777" w:rsidR="00D13557" w:rsidRPr="00D13557" w:rsidRDefault="00D13557" w:rsidP="00D13557">
      <w:pPr>
        <w:widowControl/>
        <w:spacing w:line="240" w:lineRule="auto"/>
        <w:rPr>
          <w:sz w:val="20"/>
          <w:lang w:eastAsia="en-US"/>
        </w:rPr>
      </w:pPr>
      <w:r w:rsidRPr="00D13557">
        <w:rPr>
          <w:sz w:val="20"/>
          <w:lang w:eastAsia="en-US"/>
        </w:rPr>
        <w:t>Eiropas lietu un starptautiskās sadarbības departamenta</w:t>
      </w:r>
    </w:p>
    <w:p w14:paraId="50520DD7" w14:textId="6062AEBF" w:rsidR="00D13557" w:rsidRPr="00D13557" w:rsidRDefault="00D13557" w:rsidP="00D13557">
      <w:pPr>
        <w:widowControl/>
        <w:spacing w:line="240" w:lineRule="auto"/>
        <w:jc w:val="both"/>
        <w:rPr>
          <w:sz w:val="20"/>
          <w:lang w:eastAsia="en-US"/>
        </w:rPr>
      </w:pPr>
      <w:r w:rsidRPr="00D13557">
        <w:rPr>
          <w:sz w:val="20"/>
          <w:lang w:eastAsia="en-US"/>
        </w:rPr>
        <w:t xml:space="preserve">Eiropas lietu nodaļas </w:t>
      </w:r>
      <w:r>
        <w:rPr>
          <w:sz w:val="20"/>
          <w:lang w:eastAsia="en-US"/>
        </w:rPr>
        <w:t>vadītāja</w:t>
      </w:r>
    </w:p>
    <w:p w14:paraId="76E9D941" w14:textId="2134D95F" w:rsidR="00D13557" w:rsidRPr="00D13557" w:rsidRDefault="00D13557" w:rsidP="00D13557">
      <w:pPr>
        <w:widowControl/>
        <w:spacing w:line="240" w:lineRule="auto"/>
        <w:jc w:val="both"/>
        <w:rPr>
          <w:sz w:val="20"/>
          <w:lang w:eastAsia="lv-LV"/>
        </w:rPr>
      </w:pPr>
      <w:r>
        <w:rPr>
          <w:sz w:val="20"/>
          <w:lang w:eastAsia="en-US"/>
        </w:rPr>
        <w:t>I.Muceniece</w:t>
      </w:r>
      <w:r w:rsidRPr="00D13557">
        <w:rPr>
          <w:sz w:val="20"/>
          <w:lang w:eastAsia="en-US"/>
        </w:rPr>
        <w:t>, 6</w:t>
      </w:r>
      <w:r>
        <w:rPr>
          <w:sz w:val="20"/>
          <w:lang w:eastAsia="en-US"/>
        </w:rPr>
        <w:t>219170</w:t>
      </w:r>
    </w:p>
    <w:p w14:paraId="27BE644A" w14:textId="09E1748A" w:rsidR="00063485" w:rsidRPr="00063485" w:rsidRDefault="008E3BB2" w:rsidP="00C8408E">
      <w:pPr>
        <w:spacing w:line="240" w:lineRule="auto"/>
        <w:rPr>
          <w:sz w:val="20"/>
        </w:rPr>
      </w:pPr>
      <w:hyperlink r:id="rId14" w:history="1">
        <w:r w:rsidR="00D13557" w:rsidRPr="0099246B">
          <w:rPr>
            <w:rStyle w:val="Hyperlink"/>
            <w:sz w:val="20"/>
            <w:lang w:eastAsia="en-US"/>
          </w:rPr>
          <w:t>iveta.muceniece@iem.gov.lv</w:t>
        </w:r>
      </w:hyperlink>
    </w:p>
    <w:sectPr w:rsidR="00063485" w:rsidRPr="00063485" w:rsidSect="003A0D6A">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E64AB" w14:textId="77777777" w:rsidR="008E3BB2" w:rsidRDefault="008E3BB2">
      <w:r>
        <w:separator/>
      </w:r>
    </w:p>
  </w:endnote>
  <w:endnote w:type="continuationSeparator" w:id="0">
    <w:p w14:paraId="72CFADEA" w14:textId="77777777" w:rsidR="008E3BB2" w:rsidRDefault="008E3BB2">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0554" w14:textId="77777777" w:rsidR="00F1303B" w:rsidRDefault="00F1303B"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53FA1" w14:textId="77777777" w:rsidR="00F1303B" w:rsidRDefault="00F1303B" w:rsidP="001166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8156" w14:textId="77777777" w:rsidR="00FB6261" w:rsidRDefault="00E05E96" w:rsidP="00FB6261">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675F64">
      <w:rPr>
        <w:i/>
        <w:iCs/>
        <w:noProof/>
        <w:sz w:val="20"/>
      </w:rPr>
      <w:t>IEMzino_301117</w:t>
    </w:r>
    <w:r>
      <w:rPr>
        <w:i/>
        <w:iCs/>
        <w:sz w:val="20"/>
      </w:rPr>
      <w:fldChar w:fldCharType="end"/>
    </w:r>
    <w:r w:rsidRPr="004342B2">
      <w:rPr>
        <w:i/>
        <w:iCs/>
        <w:sz w:val="20"/>
      </w:rPr>
      <w:t xml:space="preserve">; Par Eiropas Savienības Tieslietu un iekšlietu ministru padomes sanāksmi </w:t>
    </w:r>
    <w:r w:rsidR="00FB6261" w:rsidRPr="004342B2">
      <w:rPr>
        <w:i/>
        <w:iCs/>
        <w:sz w:val="20"/>
      </w:rPr>
      <w:t>201</w:t>
    </w:r>
    <w:r w:rsidR="00FB6261">
      <w:rPr>
        <w:i/>
        <w:iCs/>
        <w:sz w:val="20"/>
      </w:rPr>
      <w:t>7</w:t>
    </w:r>
    <w:r w:rsidR="00FB6261" w:rsidRPr="004342B2">
      <w:rPr>
        <w:i/>
        <w:iCs/>
        <w:sz w:val="20"/>
      </w:rPr>
      <w:t>. gada</w:t>
    </w:r>
    <w:r w:rsidRPr="004342B2">
      <w:rPr>
        <w:i/>
        <w:iCs/>
        <w:sz w:val="20"/>
      </w:rPr>
      <w:t xml:space="preserve"> </w:t>
    </w:r>
  </w:p>
  <w:p w14:paraId="735688D6" w14:textId="3D037AE9" w:rsidR="00F1303B" w:rsidRPr="00E05E96" w:rsidRDefault="00525346" w:rsidP="00FB6261">
    <w:pPr>
      <w:pStyle w:val="Footer"/>
      <w:jc w:val="both"/>
      <w:rPr>
        <w:i/>
        <w:iCs/>
        <w:sz w:val="20"/>
      </w:rPr>
    </w:pPr>
    <w:r>
      <w:rPr>
        <w:i/>
        <w:iCs/>
        <w:sz w:val="20"/>
      </w:rPr>
      <w:t>7</w:t>
    </w:r>
    <w:r w:rsidR="00FB6261">
      <w:rPr>
        <w:i/>
        <w:iCs/>
        <w:sz w:val="20"/>
      </w:rPr>
      <w:t>.-8. decembrī</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079" w14:textId="5E34441D" w:rsidR="00F1303B" w:rsidRPr="006055EC" w:rsidRDefault="006055EC" w:rsidP="006055EC">
    <w:pPr>
      <w:pStyle w:val="Footer"/>
      <w:spacing w:before="120"/>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675F64">
      <w:rPr>
        <w:i/>
        <w:iCs/>
        <w:noProof/>
        <w:sz w:val="20"/>
      </w:rPr>
      <w:t>IEMzino_301117</w:t>
    </w:r>
    <w:r>
      <w:rPr>
        <w:i/>
        <w:iCs/>
        <w:sz w:val="20"/>
      </w:rPr>
      <w:fldChar w:fldCharType="end"/>
    </w:r>
    <w:r w:rsidR="005C1798" w:rsidRPr="004342B2">
      <w:rPr>
        <w:i/>
        <w:iCs/>
        <w:sz w:val="20"/>
      </w:rPr>
      <w:t xml:space="preserve">; Par Eiropas Savienības Tieslietu un iekšlietu ministru padomes sanāksmi </w:t>
    </w:r>
    <w:r w:rsidR="00FB6261" w:rsidRPr="004342B2">
      <w:rPr>
        <w:i/>
        <w:iCs/>
        <w:sz w:val="20"/>
      </w:rPr>
      <w:t>201</w:t>
    </w:r>
    <w:r w:rsidR="00FB6261">
      <w:rPr>
        <w:i/>
        <w:iCs/>
        <w:sz w:val="20"/>
      </w:rPr>
      <w:t>7</w:t>
    </w:r>
    <w:r w:rsidR="00FB6261" w:rsidRPr="004342B2">
      <w:rPr>
        <w:i/>
        <w:iCs/>
        <w:sz w:val="20"/>
      </w:rPr>
      <w:t>. gada</w:t>
    </w:r>
    <w:r w:rsidR="005C1798" w:rsidRPr="004342B2">
      <w:rPr>
        <w:i/>
        <w:iCs/>
        <w:sz w:val="20"/>
      </w:rPr>
      <w:t xml:space="preserve"> </w:t>
    </w:r>
    <w:r w:rsidR="00525346">
      <w:rPr>
        <w:i/>
        <w:iCs/>
        <w:sz w:val="20"/>
      </w:rPr>
      <w:t>7.</w:t>
    </w:r>
    <w:r w:rsidR="00FB6261">
      <w:rPr>
        <w:i/>
        <w:iCs/>
        <w:sz w:val="20"/>
      </w:rPr>
      <w:t>-</w:t>
    </w:r>
    <w:r w:rsidR="00525346">
      <w:rPr>
        <w:i/>
        <w:iCs/>
        <w:sz w:val="20"/>
      </w:rPr>
      <w:t xml:space="preserve"> </w:t>
    </w:r>
    <w:r w:rsidR="00FB6261">
      <w:rPr>
        <w:i/>
        <w:iCs/>
        <w:sz w:val="20"/>
      </w:rPr>
      <w:t>8. decembrī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B49AA" w14:textId="77777777" w:rsidR="008E3BB2" w:rsidRDefault="008E3BB2">
      <w:pPr>
        <w:pStyle w:val="FootnoteText"/>
      </w:pPr>
      <w:r>
        <w:separator/>
      </w:r>
    </w:p>
  </w:footnote>
  <w:footnote w:type="continuationSeparator" w:id="0">
    <w:p w14:paraId="33A97360" w14:textId="77777777" w:rsidR="008E3BB2" w:rsidRDefault="008E3BB2">
      <w:pPr>
        <w:pStyle w:val="FootnoteText"/>
      </w:pPr>
      <w:r>
        <w:separator/>
      </w:r>
    </w:p>
  </w:footnote>
  <w:footnote w:id="1">
    <w:p w14:paraId="7B641579" w14:textId="6CC49B8D" w:rsidR="000E670F" w:rsidRPr="00B465CD" w:rsidRDefault="000E670F" w:rsidP="000E670F">
      <w:pPr>
        <w:pStyle w:val="FootnoteText"/>
        <w:ind w:left="0" w:firstLine="0"/>
        <w:jc w:val="both"/>
        <w:rPr>
          <w:sz w:val="20"/>
        </w:rPr>
      </w:pPr>
      <w:r w:rsidRPr="00B465CD">
        <w:rPr>
          <w:rStyle w:val="FootnoteReference"/>
          <w:sz w:val="20"/>
        </w:rPr>
        <w:footnoteRef/>
      </w:r>
      <w:r w:rsidR="00B465CD">
        <w:rPr>
          <w:sz w:val="20"/>
        </w:rPr>
        <w:t xml:space="preserve"> </w:t>
      </w:r>
      <w:r w:rsidRPr="00B465CD">
        <w:rPr>
          <w:sz w:val="20"/>
        </w:rPr>
        <w:t>Eiropas Parlamenta un Padomes Regula (EK) Nr. 1987/2006 (</w:t>
      </w:r>
      <w:r w:rsidR="00B465CD" w:rsidRPr="00B465CD">
        <w:rPr>
          <w:sz w:val="20"/>
        </w:rPr>
        <w:t>2006. gada</w:t>
      </w:r>
      <w:r w:rsidRPr="00B465CD">
        <w:rPr>
          <w:sz w:val="20"/>
        </w:rPr>
        <w:t xml:space="preserve"> </w:t>
      </w:r>
      <w:r w:rsidR="00B465CD" w:rsidRPr="00B465CD">
        <w:rPr>
          <w:sz w:val="20"/>
        </w:rPr>
        <w:t>20. decembris</w:t>
      </w:r>
      <w:r w:rsidRPr="00B465CD">
        <w:rPr>
          <w:sz w:val="20"/>
        </w:rPr>
        <w:t>) par otrās paaudzes Šengenas Informācijas sistēmas (SIS II) izveidi, darbību un izmantošanu. OV L 381, 28.12.2006., 4.lpp.</w:t>
      </w:r>
    </w:p>
  </w:footnote>
  <w:footnote w:id="2">
    <w:p w14:paraId="4998CB1A" w14:textId="4D905AFF" w:rsidR="000E670F" w:rsidRPr="00B465CD" w:rsidRDefault="000E670F" w:rsidP="000E670F">
      <w:pPr>
        <w:pStyle w:val="FootnoteText"/>
        <w:ind w:left="0" w:firstLine="0"/>
        <w:jc w:val="both"/>
        <w:rPr>
          <w:sz w:val="20"/>
        </w:rPr>
      </w:pPr>
      <w:r w:rsidRPr="00B465CD">
        <w:rPr>
          <w:rStyle w:val="FootnoteReference"/>
          <w:sz w:val="20"/>
        </w:rPr>
        <w:footnoteRef/>
      </w:r>
      <w:r w:rsidR="00B465CD">
        <w:rPr>
          <w:sz w:val="20"/>
        </w:rPr>
        <w:t xml:space="preserve"> </w:t>
      </w:r>
      <w:r w:rsidRPr="00B465CD">
        <w:rPr>
          <w:sz w:val="20"/>
        </w:rPr>
        <w:t>Padomes lēmums 2007/533/TI (2007. gada 12. jūnijs) par otrās paaudzes Šengenas Informācijas sistēmas (SIS II) izveidi, darbību un izmantošanu (2013/157/ES). OV L 205, 7.8.2007., 63.lpp.</w:t>
      </w:r>
    </w:p>
  </w:footnote>
  <w:footnote w:id="3">
    <w:p w14:paraId="05B47FF0" w14:textId="36B065A1" w:rsidR="000E670F" w:rsidRPr="00B465CD" w:rsidRDefault="00B465CD" w:rsidP="000E670F">
      <w:pPr>
        <w:pStyle w:val="FootnoteText"/>
        <w:ind w:left="0" w:firstLine="0"/>
        <w:jc w:val="both"/>
        <w:rPr>
          <w:sz w:val="20"/>
        </w:rPr>
      </w:pPr>
      <w:r>
        <w:rPr>
          <w:sz w:val="20"/>
        </w:rPr>
        <w:t xml:space="preserve"> </w:t>
      </w:r>
      <w:r w:rsidR="000E670F" w:rsidRPr="00B465CD">
        <w:rPr>
          <w:rStyle w:val="FootnoteReference"/>
          <w:sz w:val="20"/>
        </w:rPr>
        <w:footnoteRef/>
      </w:r>
      <w:r>
        <w:rPr>
          <w:sz w:val="20"/>
        </w:rPr>
        <w:t xml:space="preserve"> </w:t>
      </w:r>
      <w:r w:rsidR="000E670F" w:rsidRPr="00B465CD">
        <w:rPr>
          <w:sz w:val="20"/>
        </w:rPr>
        <w:t>Eiropas Parlamenta un Padomes Regula (ES) Nr. 1077/2011(2011. gada 25. oktobris),</w:t>
      </w:r>
      <w:r>
        <w:rPr>
          <w:sz w:val="20"/>
        </w:rPr>
        <w:t xml:space="preserve"> </w:t>
      </w:r>
      <w:r w:rsidR="000E670F" w:rsidRPr="00B465CD">
        <w:rPr>
          <w:sz w:val="20"/>
        </w:rPr>
        <w:t>ar ko izveido Eiropas Aģentūru lielapjoma IT sistēmu darbības pārvaldībai brīvības, drošības un tiesiskuma telpā. OV L 286, 1.11.2011., 1.lpp.</w:t>
      </w:r>
    </w:p>
  </w:footnote>
  <w:footnote w:id="4">
    <w:p w14:paraId="329033A2" w14:textId="7E88212D" w:rsidR="003A0D6A" w:rsidRPr="00B465CD" w:rsidRDefault="003A0D6A" w:rsidP="003A0D6A">
      <w:pPr>
        <w:pStyle w:val="FootnoteText"/>
        <w:ind w:left="0" w:firstLine="0"/>
        <w:jc w:val="both"/>
        <w:rPr>
          <w:sz w:val="20"/>
        </w:rPr>
      </w:pPr>
      <w:r w:rsidRPr="00B465CD">
        <w:rPr>
          <w:rStyle w:val="FootnoteReference"/>
          <w:sz w:val="20"/>
        </w:rPr>
        <w:footnoteRef/>
      </w:r>
      <w:r w:rsidR="00B465CD">
        <w:rPr>
          <w:sz w:val="20"/>
        </w:rPr>
        <w:t xml:space="preserve"> </w:t>
      </w:r>
      <w:r w:rsidRPr="00B465CD">
        <w:rPr>
          <w:sz w:val="20"/>
        </w:rPr>
        <w:t xml:space="preserve">EP un Padomes </w:t>
      </w:r>
      <w:hyperlink r:id="rId1" w:history="1">
        <w:r w:rsidRPr="00B465CD">
          <w:rPr>
            <w:rStyle w:val="Hyperlink"/>
            <w:sz w:val="20"/>
          </w:rPr>
          <w:t>Regula (ES) Nr. 1077/2011</w:t>
        </w:r>
      </w:hyperlink>
      <w:r w:rsidRPr="00B465CD">
        <w:rPr>
          <w:rStyle w:val="Hyperlink"/>
          <w:sz w:val="20"/>
          <w:u w:val="none"/>
        </w:rPr>
        <w:t xml:space="preserve"> </w:t>
      </w:r>
      <w:r w:rsidRPr="00B465CD">
        <w:rPr>
          <w:sz w:val="20"/>
        </w:rPr>
        <w:t xml:space="preserve">(2011. gada 25. oktobris), ar ko izveido Eiropas Aģentūru lielapjoma IT sistēmu darbības pārvaldībai brīvības, drošības un tiesiskuma telpā, ES OV L 286, 1.11.2011., 1.lpp. </w:t>
      </w:r>
    </w:p>
  </w:footnote>
  <w:footnote w:id="5">
    <w:p w14:paraId="61198B97" w14:textId="13673D62" w:rsidR="003A0D6A" w:rsidRPr="00B465CD" w:rsidRDefault="003A0D6A" w:rsidP="003A0D6A">
      <w:pPr>
        <w:pStyle w:val="FootnoteText"/>
        <w:ind w:left="0" w:firstLine="0"/>
        <w:jc w:val="both"/>
        <w:rPr>
          <w:b/>
          <w:sz w:val="20"/>
        </w:rPr>
      </w:pPr>
      <w:r w:rsidRPr="00B465CD">
        <w:rPr>
          <w:rStyle w:val="FootnoteReference"/>
          <w:sz w:val="20"/>
        </w:rPr>
        <w:footnoteRef/>
      </w:r>
      <w:r w:rsidR="00B465CD">
        <w:rPr>
          <w:sz w:val="20"/>
        </w:rPr>
        <w:t xml:space="preserve"> </w:t>
      </w:r>
      <w:r w:rsidRPr="00B465CD">
        <w:rPr>
          <w:sz w:val="20"/>
        </w:rPr>
        <w:t xml:space="preserve">Padomes </w:t>
      </w:r>
      <w:hyperlink r:id="rId2" w:history="1">
        <w:r w:rsidRPr="00B465CD">
          <w:rPr>
            <w:rStyle w:val="Hyperlink"/>
            <w:sz w:val="20"/>
          </w:rPr>
          <w:t>Pamatlēmums 2009/315/TI</w:t>
        </w:r>
      </w:hyperlink>
      <w:r w:rsidRPr="00B465CD">
        <w:rPr>
          <w:sz w:val="20"/>
        </w:rPr>
        <w:t xml:space="preserve"> (2009.</w:t>
      </w:r>
      <w:r w:rsidR="00B465CD">
        <w:rPr>
          <w:sz w:val="20"/>
        </w:rPr>
        <w:t xml:space="preserve"> </w:t>
      </w:r>
      <w:r w:rsidRPr="00B465CD">
        <w:rPr>
          <w:sz w:val="20"/>
        </w:rPr>
        <w:t xml:space="preserve">gada </w:t>
      </w:r>
      <w:r w:rsidR="00B465CD" w:rsidRPr="00B465CD">
        <w:rPr>
          <w:sz w:val="20"/>
        </w:rPr>
        <w:t>26. februāris</w:t>
      </w:r>
      <w:r w:rsidRPr="00B465CD">
        <w:rPr>
          <w:sz w:val="20"/>
        </w:rPr>
        <w:t>) par organizatoriskiem pasākumiem un saturu no sodāmības reģistra iegūtas informācijas apmaiņai starp dalībvalstīm, ES OV L 93, 7.4.2009., 23.lpp.</w:t>
      </w:r>
    </w:p>
  </w:footnote>
  <w:footnote w:id="6">
    <w:p w14:paraId="2C0D1379" w14:textId="259DF187" w:rsidR="003A0D6A" w:rsidRPr="00B465CD" w:rsidRDefault="003A0D6A" w:rsidP="003A0D6A">
      <w:pPr>
        <w:pStyle w:val="FootnoteText"/>
        <w:ind w:left="0" w:firstLine="0"/>
        <w:jc w:val="both"/>
        <w:rPr>
          <w:b/>
          <w:sz w:val="20"/>
        </w:rPr>
      </w:pPr>
      <w:r w:rsidRPr="00B465CD">
        <w:rPr>
          <w:rStyle w:val="FootnoteReference"/>
          <w:sz w:val="20"/>
        </w:rPr>
        <w:footnoteRef/>
      </w:r>
      <w:r w:rsidR="00B465CD">
        <w:rPr>
          <w:sz w:val="20"/>
        </w:rPr>
        <w:t xml:space="preserve"> </w:t>
      </w:r>
      <w:r w:rsidRPr="00B465CD">
        <w:rPr>
          <w:sz w:val="20"/>
        </w:rPr>
        <w:t xml:space="preserve">Padomes </w:t>
      </w:r>
      <w:hyperlink r:id="rId3" w:history="1">
        <w:r w:rsidRPr="00B465CD">
          <w:rPr>
            <w:rStyle w:val="Hyperlink"/>
            <w:sz w:val="20"/>
          </w:rPr>
          <w:t>Lēmums 2009/316/TI</w:t>
        </w:r>
      </w:hyperlink>
      <w:r w:rsidRPr="00B465CD">
        <w:rPr>
          <w:rStyle w:val="Hyperlink"/>
          <w:sz w:val="20"/>
          <w:u w:val="none"/>
        </w:rPr>
        <w:t xml:space="preserve"> </w:t>
      </w:r>
      <w:r w:rsidRPr="00B465CD">
        <w:rPr>
          <w:sz w:val="20"/>
        </w:rPr>
        <w:t>(</w:t>
      </w:r>
      <w:r w:rsidR="00B465CD" w:rsidRPr="00B465CD">
        <w:rPr>
          <w:sz w:val="20"/>
        </w:rPr>
        <w:t>2009. gada</w:t>
      </w:r>
      <w:r w:rsidRPr="00B465CD">
        <w:rPr>
          <w:sz w:val="20"/>
        </w:rPr>
        <w:t xml:space="preserve"> 6</w:t>
      </w:r>
      <w:r w:rsidR="00B465CD">
        <w:rPr>
          <w:sz w:val="20"/>
        </w:rPr>
        <w:t>.</w:t>
      </w:r>
      <w:r w:rsidRPr="00B465CD">
        <w:rPr>
          <w:sz w:val="20"/>
        </w:rPr>
        <w:t xml:space="preserve"> aprīlis) par Eiropas Sodāmības reģistru informācijas sistēmas (ECRIS) izveidi, piemērojot Pamatlēmuma 2009/315/TI 11. pantu, ES OV L 93, 7.4.2009., 33.lpp.</w:t>
      </w:r>
    </w:p>
  </w:footnote>
  <w:footnote w:id="7">
    <w:p w14:paraId="16938B4B" w14:textId="6CB7FF20" w:rsidR="0075212F" w:rsidRPr="00FB6261" w:rsidRDefault="0075212F" w:rsidP="0075212F">
      <w:pPr>
        <w:pStyle w:val="FootnoteText"/>
        <w:ind w:left="0" w:firstLine="0"/>
        <w:jc w:val="both"/>
        <w:rPr>
          <w:sz w:val="20"/>
        </w:rPr>
      </w:pPr>
      <w:r w:rsidRPr="00C17075">
        <w:rPr>
          <w:rStyle w:val="FootnoteReference"/>
        </w:rPr>
        <w:footnoteRef/>
      </w:r>
      <w:r w:rsidR="00B465CD" w:rsidRPr="00B465CD">
        <w:rPr>
          <w:sz w:val="20"/>
        </w:rPr>
        <w:t xml:space="preserve"> </w:t>
      </w:r>
      <w:r w:rsidRPr="00FB6261">
        <w:rPr>
          <w:sz w:val="20"/>
          <w:u w:val="single"/>
        </w:rPr>
        <w:t>Sanāksmes:</w:t>
      </w:r>
      <w:r w:rsidRPr="00FB6261">
        <w:rPr>
          <w:sz w:val="20"/>
        </w:rPr>
        <w:t xml:space="preserve"> Sadarbībai krimināllietās izveidotā policijas un tiesu iestāžu darba grupa (</w:t>
      </w:r>
      <w:r w:rsidRPr="00FB6261">
        <w:rPr>
          <w:sz w:val="20"/>
          <w:u w:val="single"/>
        </w:rPr>
        <w:t>CATS</w:t>
      </w:r>
      <w:r w:rsidRPr="00FB6261">
        <w:rPr>
          <w:sz w:val="20"/>
        </w:rPr>
        <w:t xml:space="preserve">) – 22.09.2017. un 13.11.2017., </w:t>
      </w:r>
      <w:r w:rsidRPr="00FB6261">
        <w:rPr>
          <w:sz w:val="20"/>
          <w:u w:val="single"/>
        </w:rPr>
        <w:t>COREPER II</w:t>
      </w:r>
      <w:r w:rsidRPr="00FB6261">
        <w:rPr>
          <w:sz w:val="20"/>
        </w:rPr>
        <w:t xml:space="preserve"> – 29.11.2017. un </w:t>
      </w:r>
      <w:r w:rsidRPr="00FB6261">
        <w:rPr>
          <w:sz w:val="20"/>
          <w:u w:val="single"/>
        </w:rPr>
        <w:t>Padome</w:t>
      </w:r>
      <w:r w:rsidRPr="00FB6261">
        <w:rPr>
          <w:sz w:val="20"/>
        </w:rPr>
        <w:t xml:space="preserve"> – 12.-13.10.2017.  </w:t>
      </w:r>
    </w:p>
  </w:footnote>
  <w:footnote w:id="8">
    <w:p w14:paraId="35538095" w14:textId="7E312CAF" w:rsidR="0075212F" w:rsidRPr="00FB6261" w:rsidRDefault="0075212F" w:rsidP="00525346">
      <w:pPr>
        <w:pStyle w:val="FootnoteText"/>
        <w:ind w:left="0" w:firstLine="0"/>
        <w:jc w:val="both"/>
        <w:rPr>
          <w:sz w:val="20"/>
        </w:rPr>
      </w:pPr>
      <w:r w:rsidRPr="00FB6261">
        <w:rPr>
          <w:rStyle w:val="FootnoteReference"/>
          <w:sz w:val="20"/>
        </w:rPr>
        <w:footnoteRef/>
      </w:r>
      <w:r w:rsidR="00B465CD" w:rsidRPr="00B465CD">
        <w:rPr>
          <w:sz w:val="20"/>
        </w:rPr>
        <w:t xml:space="preserve"> </w:t>
      </w:r>
      <w:r w:rsidRPr="00FB6261">
        <w:rPr>
          <w:sz w:val="20"/>
          <w:u w:val="single"/>
        </w:rPr>
        <w:t>Sanāksmes:</w:t>
      </w:r>
      <w:r w:rsidRPr="00FB6261">
        <w:rPr>
          <w:sz w:val="20"/>
        </w:rPr>
        <w:t xml:space="preserve"> Ar sadarbību krimināllietās saistītu jautājumu darba grupa (</w:t>
      </w:r>
      <w:r w:rsidRPr="00FB6261">
        <w:rPr>
          <w:sz w:val="20"/>
          <w:u w:val="single"/>
        </w:rPr>
        <w:t>COPEN</w:t>
      </w:r>
      <w:r w:rsidRPr="00FB6261">
        <w:rPr>
          <w:sz w:val="20"/>
        </w:rPr>
        <w:t>)– 18.07.2017., 11.09.2017., 25.09.2017., 09.17.2017., Prezidentūras draugu grupa (</w:t>
      </w:r>
      <w:r w:rsidR="00FB6261" w:rsidRPr="00FB6261">
        <w:rPr>
          <w:sz w:val="20"/>
          <w:u w:val="single"/>
        </w:rPr>
        <w:t xml:space="preserve">FoP </w:t>
      </w:r>
      <w:r w:rsidRPr="00FB6261">
        <w:rPr>
          <w:sz w:val="20"/>
          <w:u w:val="single"/>
        </w:rPr>
        <w:t>COPEN</w:t>
      </w:r>
      <w:r w:rsidRPr="00FB6261">
        <w:rPr>
          <w:sz w:val="20"/>
        </w:rPr>
        <w:t xml:space="preserve">) – 12.09.2017., 26.09.2017., 10.10.2017., 25.10.2017. un 10.11.2017. un </w:t>
      </w:r>
      <w:r w:rsidRPr="00FB6261">
        <w:rPr>
          <w:sz w:val="20"/>
          <w:u w:val="single"/>
        </w:rPr>
        <w:t>Tieslietu un iekšlietu padomnieku grupa</w:t>
      </w:r>
      <w:r w:rsidRPr="00FB6261">
        <w:rPr>
          <w:sz w:val="20"/>
        </w:rPr>
        <w:t xml:space="preserve"> – 30.10.2017., 15.11.2017., 21.11.2017., 22.11.2017. un 27.11.2017.</w:t>
      </w:r>
    </w:p>
  </w:footnote>
  <w:footnote w:id="9">
    <w:p w14:paraId="52B5968F" w14:textId="3F8C2584" w:rsidR="0075212F" w:rsidRPr="00FB6261" w:rsidRDefault="0075212F" w:rsidP="00525346">
      <w:pPr>
        <w:pStyle w:val="doc-ti"/>
        <w:spacing w:before="0" w:beforeAutospacing="0" w:after="0" w:afterAutospacing="0"/>
        <w:jc w:val="both"/>
        <w:rPr>
          <w:sz w:val="20"/>
          <w:szCs w:val="20"/>
        </w:rPr>
      </w:pPr>
      <w:r w:rsidRPr="00FB6261">
        <w:rPr>
          <w:rStyle w:val="FootnoteReference"/>
          <w:sz w:val="20"/>
          <w:szCs w:val="20"/>
        </w:rPr>
        <w:footnoteRef/>
      </w:r>
      <w:r w:rsidR="00B465CD">
        <w:rPr>
          <w:sz w:val="20"/>
          <w:szCs w:val="20"/>
        </w:rPr>
        <w:t xml:space="preserve"> </w:t>
      </w:r>
      <w:r w:rsidR="00525346" w:rsidRPr="00FB6261">
        <w:rPr>
          <w:sz w:val="20"/>
          <w:szCs w:val="20"/>
        </w:rPr>
        <w:t xml:space="preserve">Eiropas Parlamenta un Padomes direktīva </w:t>
      </w:r>
      <w:r w:rsidRPr="00FB6261">
        <w:rPr>
          <w:sz w:val="20"/>
          <w:szCs w:val="20"/>
        </w:rPr>
        <w:t>(ES) 2016/681</w:t>
      </w:r>
      <w:r w:rsidR="00525346" w:rsidRPr="00FB6261">
        <w:rPr>
          <w:sz w:val="20"/>
          <w:szCs w:val="20"/>
        </w:rPr>
        <w:t xml:space="preserve"> </w:t>
      </w:r>
      <w:r w:rsidRPr="00FB6261">
        <w:rPr>
          <w:sz w:val="20"/>
          <w:szCs w:val="20"/>
        </w:rPr>
        <w:t>(2016. gada 27. aprīlis)</w:t>
      </w:r>
      <w:r w:rsidR="00525346" w:rsidRPr="00FB6261">
        <w:rPr>
          <w:sz w:val="20"/>
          <w:szCs w:val="20"/>
        </w:rPr>
        <w:t xml:space="preserve"> </w:t>
      </w:r>
      <w:r w:rsidRPr="00FB6261">
        <w:rPr>
          <w:sz w:val="20"/>
          <w:szCs w:val="20"/>
        </w:rPr>
        <w:t>par pasažieru datu reģistra (PDR) datu izmantošanu teroristu nodarījumu un smagu noziegumu novēršanai, atklāšanai, izmeklēšanai un saukšanai pie atbildības par tiem</w:t>
      </w:r>
      <w:r w:rsidR="00525346" w:rsidRPr="00FB6261">
        <w:rPr>
          <w:sz w:val="20"/>
          <w:szCs w:val="20"/>
        </w:rPr>
        <w:t>, OV 04.12.2016., L119/132</w:t>
      </w:r>
    </w:p>
    <w:p w14:paraId="243DF264" w14:textId="51CB7F9D" w:rsidR="0075212F" w:rsidRDefault="007521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87E5"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D1B5B" w14:textId="77777777" w:rsidR="00F1303B" w:rsidRDefault="00F13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A014" w14:textId="77777777" w:rsidR="00F1303B" w:rsidRDefault="00F1303B"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8E">
      <w:rPr>
        <w:rStyle w:val="PageNumber"/>
        <w:noProof/>
      </w:rPr>
      <w:t>2</w:t>
    </w:r>
    <w:r>
      <w:rPr>
        <w:rStyle w:val="PageNumber"/>
      </w:rPr>
      <w:fldChar w:fldCharType="end"/>
    </w:r>
  </w:p>
  <w:p w14:paraId="6B5E0192" w14:textId="77777777" w:rsidR="00202D00" w:rsidRDefault="00202D00" w:rsidP="00765F86">
    <w:pPr>
      <w:pStyle w:val="Header"/>
      <w:jc w:val="right"/>
    </w:pPr>
  </w:p>
  <w:p w14:paraId="106F23DF" w14:textId="77777777" w:rsidR="00202D00" w:rsidRDefault="00202D00" w:rsidP="00765F86">
    <w:pPr>
      <w:pStyle w:val="Header"/>
      <w:jc w:val="right"/>
      <w:rPr>
        <w:i/>
      </w:rPr>
    </w:pPr>
  </w:p>
  <w:p w14:paraId="7164825F" w14:textId="37EA6542" w:rsidR="00D13557" w:rsidRDefault="00D13557" w:rsidP="00765F86">
    <w:pPr>
      <w:pStyle w:val="Header"/>
      <w:jc w:val="right"/>
      <w:rPr>
        <w:i/>
      </w:rPr>
    </w:pPr>
    <w:r>
      <w:rPr>
        <w:i/>
      </w:rPr>
      <w:t>Pielikums Nr. 1</w:t>
    </w:r>
  </w:p>
  <w:p w14:paraId="363B5A70" w14:textId="77777777" w:rsidR="00D13557" w:rsidRDefault="00D13557" w:rsidP="00765F86">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0D9B" w14:textId="517ADC5B" w:rsidR="00D13557" w:rsidRPr="00D13557" w:rsidRDefault="00D13557" w:rsidP="00D13557">
    <w:pPr>
      <w:pStyle w:val="Header"/>
      <w:jc w:val="right"/>
      <w:rPr>
        <w:i/>
      </w:rPr>
    </w:pPr>
    <w:r>
      <w:rPr>
        <w:i/>
      </w:rPr>
      <w:t>Pielikums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D35"/>
    <w:multiLevelType w:val="hybridMultilevel"/>
    <w:tmpl w:val="EEF6DB5E"/>
    <w:lvl w:ilvl="0" w:tplc="95183A6A">
      <w:start w:val="2016"/>
      <w:numFmt w:val="bullet"/>
      <w:lvlText w:val="-"/>
      <w:lvlJc w:val="left"/>
      <w:pPr>
        <w:ind w:left="1440" w:hanging="360"/>
      </w:pPr>
      <w:rPr>
        <w:rFonts w:ascii="Times New Roman" w:eastAsia="Times New Roman" w:hAnsi="Times New Roman" w:cs="Times New Roman" w:hint="default"/>
        <w:i/>
        <w:sz w:val="26"/>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AF3355"/>
    <w:multiLevelType w:val="hybridMultilevel"/>
    <w:tmpl w:val="2B78FCC6"/>
    <w:lvl w:ilvl="0" w:tplc="471A42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6C6181F"/>
    <w:multiLevelType w:val="hybridMultilevel"/>
    <w:tmpl w:val="14F41D14"/>
    <w:lvl w:ilvl="0" w:tplc="4F7CA5D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4" w15:restartNumberingAfterBreak="0">
    <w:nsid w:val="20867E65"/>
    <w:multiLevelType w:val="hybridMultilevel"/>
    <w:tmpl w:val="78025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6"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15:restartNumberingAfterBreak="0">
    <w:nsid w:val="24853B96"/>
    <w:multiLevelType w:val="hybridMultilevel"/>
    <w:tmpl w:val="5D24C7B0"/>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294E46"/>
    <w:multiLevelType w:val="hybridMultilevel"/>
    <w:tmpl w:val="2C52A3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0"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1" w15:restartNumberingAfterBreak="0">
    <w:nsid w:val="2FBF784E"/>
    <w:multiLevelType w:val="hybridMultilevel"/>
    <w:tmpl w:val="00CCDDD8"/>
    <w:lvl w:ilvl="0" w:tplc="05DE77B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 w15:restartNumberingAfterBreak="0">
    <w:nsid w:val="3D9E113F"/>
    <w:multiLevelType w:val="hybridMultilevel"/>
    <w:tmpl w:val="3DC07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5"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6"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7" w15:restartNumberingAfterBreak="0">
    <w:nsid w:val="40D8588B"/>
    <w:multiLevelType w:val="hybridMultilevel"/>
    <w:tmpl w:val="A3E06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CA715E"/>
    <w:multiLevelType w:val="hybridMultilevel"/>
    <w:tmpl w:val="400C6140"/>
    <w:lvl w:ilvl="0" w:tplc="47109E7E">
      <w:start w:val="1"/>
      <w:numFmt w:val="upperLetter"/>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0" w15:restartNumberingAfterBreak="0">
    <w:nsid w:val="558815A5"/>
    <w:multiLevelType w:val="hybridMultilevel"/>
    <w:tmpl w:val="CD0AA2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CE5D7A"/>
    <w:multiLevelType w:val="hybridMultilevel"/>
    <w:tmpl w:val="DED409D0"/>
    <w:lvl w:ilvl="0" w:tplc="7380819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57337B"/>
    <w:multiLevelType w:val="hybridMultilevel"/>
    <w:tmpl w:val="C6589388"/>
    <w:lvl w:ilvl="0" w:tplc="41967CD0">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995650"/>
    <w:multiLevelType w:val="hybridMultilevel"/>
    <w:tmpl w:val="31F84062"/>
    <w:lvl w:ilvl="0" w:tplc="095A336C">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C20123"/>
    <w:multiLevelType w:val="hybridMultilevel"/>
    <w:tmpl w:val="4EDCB2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025EBF"/>
    <w:multiLevelType w:val="hybridMultilevel"/>
    <w:tmpl w:val="53D81268"/>
    <w:lvl w:ilvl="0" w:tplc="95183A6A">
      <w:start w:val="2016"/>
      <w:numFmt w:val="bullet"/>
      <w:lvlText w:val="-"/>
      <w:lvlJc w:val="left"/>
      <w:pPr>
        <w:ind w:left="720" w:hanging="360"/>
      </w:pPr>
      <w:rPr>
        <w:rFonts w:ascii="Times New Roman" w:eastAsia="Times New Roman" w:hAnsi="Times New Roman" w:cs="Times New Roman" w:hint="default"/>
        <w:i/>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726F0D"/>
    <w:multiLevelType w:val="hybridMultilevel"/>
    <w:tmpl w:val="0F382A4A"/>
    <w:lvl w:ilvl="0" w:tplc="037CF86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66CD2366"/>
    <w:multiLevelType w:val="hybridMultilevel"/>
    <w:tmpl w:val="23B2BE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285BD8"/>
    <w:multiLevelType w:val="hybridMultilevel"/>
    <w:tmpl w:val="5A40C0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0" w15:restartNumberingAfterBreak="0">
    <w:nsid w:val="72B2699A"/>
    <w:multiLevelType w:val="hybridMultilevel"/>
    <w:tmpl w:val="11007F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2"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num w:numId="1">
    <w:abstractNumId w:val="10"/>
  </w:num>
  <w:num w:numId="2">
    <w:abstractNumId w:val="14"/>
  </w:num>
  <w:num w:numId="3">
    <w:abstractNumId w:val="31"/>
  </w:num>
  <w:num w:numId="4">
    <w:abstractNumId w:val="5"/>
  </w:num>
  <w:num w:numId="5">
    <w:abstractNumId w:val="19"/>
  </w:num>
  <w:num w:numId="6">
    <w:abstractNumId w:val="12"/>
  </w:num>
  <w:num w:numId="7">
    <w:abstractNumId w:val="16"/>
  </w:num>
  <w:num w:numId="8">
    <w:abstractNumId w:val="29"/>
  </w:num>
  <w:num w:numId="9">
    <w:abstractNumId w:val="9"/>
  </w:num>
  <w:num w:numId="10">
    <w:abstractNumId w:val="3"/>
  </w:num>
  <w:num w:numId="11">
    <w:abstractNumId w:val="6"/>
  </w:num>
  <w:num w:numId="12">
    <w:abstractNumId w:val="6"/>
  </w:num>
  <w:num w:numId="13">
    <w:abstractNumId w:val="6"/>
  </w:num>
  <w:num w:numId="14">
    <w:abstractNumId w:val="6"/>
  </w:num>
  <w:num w:numId="15">
    <w:abstractNumId w:val="15"/>
  </w:num>
  <w:num w:numId="16">
    <w:abstractNumId w:val="32"/>
  </w:num>
  <w:num w:numId="17">
    <w:abstractNumId w:val="25"/>
  </w:num>
  <w:num w:numId="18">
    <w:abstractNumId w:val="28"/>
  </w:num>
  <w:num w:numId="19">
    <w:abstractNumId w:val="1"/>
  </w:num>
  <w:num w:numId="20">
    <w:abstractNumId w:val="30"/>
  </w:num>
  <w:num w:numId="21">
    <w:abstractNumId w:val="17"/>
  </w:num>
  <w:num w:numId="22">
    <w:abstractNumId w:val="0"/>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23"/>
  </w:num>
  <w:num w:numId="28">
    <w:abstractNumId w:val="4"/>
  </w:num>
  <w:num w:numId="29">
    <w:abstractNumId w:val="24"/>
  </w:num>
  <w:num w:numId="30">
    <w:abstractNumId w:val="21"/>
  </w:num>
  <w:num w:numId="31">
    <w:abstractNumId w:val="22"/>
  </w:num>
  <w:num w:numId="32">
    <w:abstractNumId w:val="20"/>
  </w:num>
  <w:num w:numId="33">
    <w:abstractNumId w:val="13"/>
  </w:num>
  <w:num w:numId="34">
    <w:abstractNumId w:val="11"/>
  </w:num>
  <w:num w:numId="35">
    <w:abstractNumId w:val="8"/>
  </w:num>
  <w:num w:numId="36">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74DC"/>
    <w:rsid w:val="00007AFF"/>
    <w:rsid w:val="000153D4"/>
    <w:rsid w:val="000235B0"/>
    <w:rsid w:val="00026E7B"/>
    <w:rsid w:val="0003073A"/>
    <w:rsid w:val="00034647"/>
    <w:rsid w:val="00035046"/>
    <w:rsid w:val="0004068A"/>
    <w:rsid w:val="0004441B"/>
    <w:rsid w:val="00046435"/>
    <w:rsid w:val="0005009A"/>
    <w:rsid w:val="000508DF"/>
    <w:rsid w:val="0005090E"/>
    <w:rsid w:val="000512A7"/>
    <w:rsid w:val="0005201A"/>
    <w:rsid w:val="000546CF"/>
    <w:rsid w:val="00063485"/>
    <w:rsid w:val="00064E49"/>
    <w:rsid w:val="00064EEA"/>
    <w:rsid w:val="00065C39"/>
    <w:rsid w:val="000705DB"/>
    <w:rsid w:val="000815DB"/>
    <w:rsid w:val="00082AC7"/>
    <w:rsid w:val="0009065D"/>
    <w:rsid w:val="000908D5"/>
    <w:rsid w:val="00090BD4"/>
    <w:rsid w:val="00095A0C"/>
    <w:rsid w:val="000A50C5"/>
    <w:rsid w:val="000C12F5"/>
    <w:rsid w:val="000C2380"/>
    <w:rsid w:val="000C24C6"/>
    <w:rsid w:val="000C475B"/>
    <w:rsid w:val="000D1AF5"/>
    <w:rsid w:val="000D6963"/>
    <w:rsid w:val="000E44AA"/>
    <w:rsid w:val="000E670F"/>
    <w:rsid w:val="000E6DA8"/>
    <w:rsid w:val="000E7205"/>
    <w:rsid w:val="000F674E"/>
    <w:rsid w:val="00100CBA"/>
    <w:rsid w:val="00105F08"/>
    <w:rsid w:val="00116662"/>
    <w:rsid w:val="00117D5C"/>
    <w:rsid w:val="0012198D"/>
    <w:rsid w:val="00125B10"/>
    <w:rsid w:val="00130329"/>
    <w:rsid w:val="0014365B"/>
    <w:rsid w:val="00144045"/>
    <w:rsid w:val="00151747"/>
    <w:rsid w:val="001524D3"/>
    <w:rsid w:val="0015379F"/>
    <w:rsid w:val="001542A5"/>
    <w:rsid w:val="00154EBB"/>
    <w:rsid w:val="00163771"/>
    <w:rsid w:val="00177AE3"/>
    <w:rsid w:val="00195B4E"/>
    <w:rsid w:val="00196150"/>
    <w:rsid w:val="00197B88"/>
    <w:rsid w:val="001B3088"/>
    <w:rsid w:val="001C018E"/>
    <w:rsid w:val="001C18C8"/>
    <w:rsid w:val="001C5B3D"/>
    <w:rsid w:val="001E0ADB"/>
    <w:rsid w:val="001F0178"/>
    <w:rsid w:val="001F41E6"/>
    <w:rsid w:val="001F5054"/>
    <w:rsid w:val="001F6D1A"/>
    <w:rsid w:val="0020244F"/>
    <w:rsid w:val="00202D00"/>
    <w:rsid w:val="002136AA"/>
    <w:rsid w:val="002144BD"/>
    <w:rsid w:val="00225403"/>
    <w:rsid w:val="00225617"/>
    <w:rsid w:val="002306F8"/>
    <w:rsid w:val="0023513E"/>
    <w:rsid w:val="0023532E"/>
    <w:rsid w:val="00241F6E"/>
    <w:rsid w:val="00243CA8"/>
    <w:rsid w:val="00252B94"/>
    <w:rsid w:val="00256AB4"/>
    <w:rsid w:val="00257A3D"/>
    <w:rsid w:val="00261B3E"/>
    <w:rsid w:val="00261F1E"/>
    <w:rsid w:val="002622BB"/>
    <w:rsid w:val="00273028"/>
    <w:rsid w:val="00274536"/>
    <w:rsid w:val="00285E2E"/>
    <w:rsid w:val="00287508"/>
    <w:rsid w:val="002940A0"/>
    <w:rsid w:val="00294308"/>
    <w:rsid w:val="0029453A"/>
    <w:rsid w:val="002955CA"/>
    <w:rsid w:val="00297219"/>
    <w:rsid w:val="002A23A3"/>
    <w:rsid w:val="002A6D5D"/>
    <w:rsid w:val="002A730F"/>
    <w:rsid w:val="002A7E6A"/>
    <w:rsid w:val="002B322C"/>
    <w:rsid w:val="002C6460"/>
    <w:rsid w:val="002D2ED6"/>
    <w:rsid w:val="002E1A90"/>
    <w:rsid w:val="002E48E6"/>
    <w:rsid w:val="002F1616"/>
    <w:rsid w:val="002F1A0F"/>
    <w:rsid w:val="002F29A2"/>
    <w:rsid w:val="002F4B59"/>
    <w:rsid w:val="002F553F"/>
    <w:rsid w:val="00302799"/>
    <w:rsid w:val="00302D3E"/>
    <w:rsid w:val="003054A3"/>
    <w:rsid w:val="00307E10"/>
    <w:rsid w:val="00313374"/>
    <w:rsid w:val="00314732"/>
    <w:rsid w:val="00320862"/>
    <w:rsid w:val="003213C9"/>
    <w:rsid w:val="003327FD"/>
    <w:rsid w:val="00334DB9"/>
    <w:rsid w:val="003368D5"/>
    <w:rsid w:val="003406AA"/>
    <w:rsid w:val="00343CDD"/>
    <w:rsid w:val="00352795"/>
    <w:rsid w:val="00352BE9"/>
    <w:rsid w:val="00354ABC"/>
    <w:rsid w:val="00356DE3"/>
    <w:rsid w:val="003575E3"/>
    <w:rsid w:val="00363C24"/>
    <w:rsid w:val="003668AA"/>
    <w:rsid w:val="0037397D"/>
    <w:rsid w:val="003813BF"/>
    <w:rsid w:val="0038200B"/>
    <w:rsid w:val="0038336C"/>
    <w:rsid w:val="00386D47"/>
    <w:rsid w:val="0039011F"/>
    <w:rsid w:val="00390236"/>
    <w:rsid w:val="00390E80"/>
    <w:rsid w:val="00393211"/>
    <w:rsid w:val="003A0D6A"/>
    <w:rsid w:val="003A3712"/>
    <w:rsid w:val="003A6F67"/>
    <w:rsid w:val="003B2166"/>
    <w:rsid w:val="003C5014"/>
    <w:rsid w:val="003C6383"/>
    <w:rsid w:val="003F161E"/>
    <w:rsid w:val="00400464"/>
    <w:rsid w:val="00410786"/>
    <w:rsid w:val="004137C1"/>
    <w:rsid w:val="0042552E"/>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2B59"/>
    <w:rsid w:val="00463B94"/>
    <w:rsid w:val="0047262F"/>
    <w:rsid w:val="0047511F"/>
    <w:rsid w:val="0047529A"/>
    <w:rsid w:val="0047653E"/>
    <w:rsid w:val="00483AB1"/>
    <w:rsid w:val="00490E28"/>
    <w:rsid w:val="004A68A2"/>
    <w:rsid w:val="004A69B5"/>
    <w:rsid w:val="004A7E01"/>
    <w:rsid w:val="004B3CFE"/>
    <w:rsid w:val="004C0842"/>
    <w:rsid w:val="004C2F4C"/>
    <w:rsid w:val="004C5413"/>
    <w:rsid w:val="004C7F52"/>
    <w:rsid w:val="004D108B"/>
    <w:rsid w:val="004D4D45"/>
    <w:rsid w:val="004D609B"/>
    <w:rsid w:val="004E2037"/>
    <w:rsid w:val="004E426D"/>
    <w:rsid w:val="004E78F3"/>
    <w:rsid w:val="004F63DE"/>
    <w:rsid w:val="00501ECF"/>
    <w:rsid w:val="0050227C"/>
    <w:rsid w:val="00514345"/>
    <w:rsid w:val="00525346"/>
    <w:rsid w:val="00533248"/>
    <w:rsid w:val="0054080C"/>
    <w:rsid w:val="00566C8E"/>
    <w:rsid w:val="00567A91"/>
    <w:rsid w:val="00572600"/>
    <w:rsid w:val="0058356F"/>
    <w:rsid w:val="00594A9A"/>
    <w:rsid w:val="005A0835"/>
    <w:rsid w:val="005A3418"/>
    <w:rsid w:val="005A6D01"/>
    <w:rsid w:val="005B2A01"/>
    <w:rsid w:val="005B3AB5"/>
    <w:rsid w:val="005C068D"/>
    <w:rsid w:val="005C1798"/>
    <w:rsid w:val="005C5B9F"/>
    <w:rsid w:val="005C6353"/>
    <w:rsid w:val="005D02E8"/>
    <w:rsid w:val="005D0D96"/>
    <w:rsid w:val="005D3041"/>
    <w:rsid w:val="005D6A72"/>
    <w:rsid w:val="005E3659"/>
    <w:rsid w:val="005E60EC"/>
    <w:rsid w:val="005E70F0"/>
    <w:rsid w:val="005E775E"/>
    <w:rsid w:val="005F3163"/>
    <w:rsid w:val="00603C8C"/>
    <w:rsid w:val="006055EC"/>
    <w:rsid w:val="00612818"/>
    <w:rsid w:val="00632633"/>
    <w:rsid w:val="00642BE1"/>
    <w:rsid w:val="006520D4"/>
    <w:rsid w:val="0065704C"/>
    <w:rsid w:val="00660290"/>
    <w:rsid w:val="00671142"/>
    <w:rsid w:val="00675F64"/>
    <w:rsid w:val="00677FFD"/>
    <w:rsid w:val="00680189"/>
    <w:rsid w:val="00682408"/>
    <w:rsid w:val="0068381C"/>
    <w:rsid w:val="00691D07"/>
    <w:rsid w:val="00692514"/>
    <w:rsid w:val="006A2486"/>
    <w:rsid w:val="006A26CE"/>
    <w:rsid w:val="006A6503"/>
    <w:rsid w:val="006B130C"/>
    <w:rsid w:val="006B5CD3"/>
    <w:rsid w:val="006B6770"/>
    <w:rsid w:val="006B7E26"/>
    <w:rsid w:val="006C01B3"/>
    <w:rsid w:val="006D5D34"/>
    <w:rsid w:val="006D65A4"/>
    <w:rsid w:val="006D7296"/>
    <w:rsid w:val="006E3610"/>
    <w:rsid w:val="006E3F27"/>
    <w:rsid w:val="006E5222"/>
    <w:rsid w:val="006F0DF1"/>
    <w:rsid w:val="00706CAD"/>
    <w:rsid w:val="00710F3A"/>
    <w:rsid w:val="00723526"/>
    <w:rsid w:val="00734C27"/>
    <w:rsid w:val="00734EBB"/>
    <w:rsid w:val="00744BAC"/>
    <w:rsid w:val="0075212F"/>
    <w:rsid w:val="00763A78"/>
    <w:rsid w:val="00765088"/>
    <w:rsid w:val="00765F86"/>
    <w:rsid w:val="00772B9B"/>
    <w:rsid w:val="00775A61"/>
    <w:rsid w:val="00777E93"/>
    <w:rsid w:val="007804A2"/>
    <w:rsid w:val="00780572"/>
    <w:rsid w:val="007A1D05"/>
    <w:rsid w:val="007A24E1"/>
    <w:rsid w:val="007A5310"/>
    <w:rsid w:val="007A5956"/>
    <w:rsid w:val="007B37CF"/>
    <w:rsid w:val="007B748D"/>
    <w:rsid w:val="007C4036"/>
    <w:rsid w:val="007F69FD"/>
    <w:rsid w:val="00824668"/>
    <w:rsid w:val="00827F8E"/>
    <w:rsid w:val="00831548"/>
    <w:rsid w:val="00834B30"/>
    <w:rsid w:val="0084351B"/>
    <w:rsid w:val="008437F7"/>
    <w:rsid w:val="0084385F"/>
    <w:rsid w:val="00854ABE"/>
    <w:rsid w:val="00854DDE"/>
    <w:rsid w:val="00855794"/>
    <w:rsid w:val="00857CB4"/>
    <w:rsid w:val="00865608"/>
    <w:rsid w:val="008731CF"/>
    <w:rsid w:val="00884562"/>
    <w:rsid w:val="008A129E"/>
    <w:rsid w:val="008A48E4"/>
    <w:rsid w:val="008A5956"/>
    <w:rsid w:val="008A6938"/>
    <w:rsid w:val="008A69D9"/>
    <w:rsid w:val="008A6C74"/>
    <w:rsid w:val="008B0D36"/>
    <w:rsid w:val="008B2C94"/>
    <w:rsid w:val="008C48BE"/>
    <w:rsid w:val="008C6506"/>
    <w:rsid w:val="008C78E8"/>
    <w:rsid w:val="008D4A7E"/>
    <w:rsid w:val="008D589F"/>
    <w:rsid w:val="008E3BB2"/>
    <w:rsid w:val="008E6C8C"/>
    <w:rsid w:val="008E77A4"/>
    <w:rsid w:val="008F45E5"/>
    <w:rsid w:val="0092219F"/>
    <w:rsid w:val="0092223B"/>
    <w:rsid w:val="00924076"/>
    <w:rsid w:val="009340C2"/>
    <w:rsid w:val="00936B18"/>
    <w:rsid w:val="00973929"/>
    <w:rsid w:val="0098447F"/>
    <w:rsid w:val="009B05B3"/>
    <w:rsid w:val="009B3D6A"/>
    <w:rsid w:val="009B538E"/>
    <w:rsid w:val="009B6BFD"/>
    <w:rsid w:val="009B70BF"/>
    <w:rsid w:val="009D0C07"/>
    <w:rsid w:val="009D43F6"/>
    <w:rsid w:val="009D71BA"/>
    <w:rsid w:val="009D7546"/>
    <w:rsid w:val="009E04B6"/>
    <w:rsid w:val="009E3991"/>
    <w:rsid w:val="009E4126"/>
    <w:rsid w:val="009E5E1A"/>
    <w:rsid w:val="009F36E2"/>
    <w:rsid w:val="009F38F3"/>
    <w:rsid w:val="00A0301E"/>
    <w:rsid w:val="00A20F92"/>
    <w:rsid w:val="00A30826"/>
    <w:rsid w:val="00A3331E"/>
    <w:rsid w:val="00A33FB3"/>
    <w:rsid w:val="00A3510C"/>
    <w:rsid w:val="00A40D7F"/>
    <w:rsid w:val="00A4194D"/>
    <w:rsid w:val="00A42B87"/>
    <w:rsid w:val="00A42E55"/>
    <w:rsid w:val="00A44EE6"/>
    <w:rsid w:val="00A45DC2"/>
    <w:rsid w:val="00A501E3"/>
    <w:rsid w:val="00A55D18"/>
    <w:rsid w:val="00A63B07"/>
    <w:rsid w:val="00A65C51"/>
    <w:rsid w:val="00A704D2"/>
    <w:rsid w:val="00A84A46"/>
    <w:rsid w:val="00A84F05"/>
    <w:rsid w:val="00AB1754"/>
    <w:rsid w:val="00AB70E7"/>
    <w:rsid w:val="00AC358B"/>
    <w:rsid w:val="00AC3D3F"/>
    <w:rsid w:val="00AC4F10"/>
    <w:rsid w:val="00AE19C5"/>
    <w:rsid w:val="00AF6A24"/>
    <w:rsid w:val="00AF6C0D"/>
    <w:rsid w:val="00B02A0C"/>
    <w:rsid w:val="00B0457A"/>
    <w:rsid w:val="00B04694"/>
    <w:rsid w:val="00B06EDE"/>
    <w:rsid w:val="00B077C7"/>
    <w:rsid w:val="00B17AFA"/>
    <w:rsid w:val="00B2159B"/>
    <w:rsid w:val="00B24A5A"/>
    <w:rsid w:val="00B31D8D"/>
    <w:rsid w:val="00B364BE"/>
    <w:rsid w:val="00B410F1"/>
    <w:rsid w:val="00B465CD"/>
    <w:rsid w:val="00B47F45"/>
    <w:rsid w:val="00B55C00"/>
    <w:rsid w:val="00B63AB6"/>
    <w:rsid w:val="00B70CAE"/>
    <w:rsid w:val="00B83F3E"/>
    <w:rsid w:val="00B87DE8"/>
    <w:rsid w:val="00BC4EC7"/>
    <w:rsid w:val="00BC7E05"/>
    <w:rsid w:val="00BD18C6"/>
    <w:rsid w:val="00BD4E18"/>
    <w:rsid w:val="00BD79FD"/>
    <w:rsid w:val="00BE254B"/>
    <w:rsid w:val="00BE2FB8"/>
    <w:rsid w:val="00C008E7"/>
    <w:rsid w:val="00C068A7"/>
    <w:rsid w:val="00C22FFA"/>
    <w:rsid w:val="00C23AB8"/>
    <w:rsid w:val="00C303BE"/>
    <w:rsid w:val="00C321AD"/>
    <w:rsid w:val="00C41AFF"/>
    <w:rsid w:val="00C56E75"/>
    <w:rsid w:val="00C57846"/>
    <w:rsid w:val="00C707FB"/>
    <w:rsid w:val="00C70FDD"/>
    <w:rsid w:val="00C76761"/>
    <w:rsid w:val="00C76C4E"/>
    <w:rsid w:val="00C80A2B"/>
    <w:rsid w:val="00C816E5"/>
    <w:rsid w:val="00C8408E"/>
    <w:rsid w:val="00C926B4"/>
    <w:rsid w:val="00C95CD3"/>
    <w:rsid w:val="00CA2896"/>
    <w:rsid w:val="00CB6654"/>
    <w:rsid w:val="00CC4B1C"/>
    <w:rsid w:val="00CD08C1"/>
    <w:rsid w:val="00CD2CF7"/>
    <w:rsid w:val="00CE70C9"/>
    <w:rsid w:val="00CF7C15"/>
    <w:rsid w:val="00D019E9"/>
    <w:rsid w:val="00D07AA3"/>
    <w:rsid w:val="00D13557"/>
    <w:rsid w:val="00D14A97"/>
    <w:rsid w:val="00D1541F"/>
    <w:rsid w:val="00D155CA"/>
    <w:rsid w:val="00D16C30"/>
    <w:rsid w:val="00D248F8"/>
    <w:rsid w:val="00D32913"/>
    <w:rsid w:val="00D33899"/>
    <w:rsid w:val="00D3396C"/>
    <w:rsid w:val="00D44622"/>
    <w:rsid w:val="00D57867"/>
    <w:rsid w:val="00D61825"/>
    <w:rsid w:val="00D6529B"/>
    <w:rsid w:val="00D66259"/>
    <w:rsid w:val="00D94C84"/>
    <w:rsid w:val="00DA0C30"/>
    <w:rsid w:val="00DA2705"/>
    <w:rsid w:val="00DA676A"/>
    <w:rsid w:val="00DB16EB"/>
    <w:rsid w:val="00DB33E2"/>
    <w:rsid w:val="00DC0368"/>
    <w:rsid w:val="00DC1626"/>
    <w:rsid w:val="00DD179D"/>
    <w:rsid w:val="00DF7AEB"/>
    <w:rsid w:val="00E05E96"/>
    <w:rsid w:val="00E102CC"/>
    <w:rsid w:val="00E1595E"/>
    <w:rsid w:val="00E15E82"/>
    <w:rsid w:val="00E41E0C"/>
    <w:rsid w:val="00E43675"/>
    <w:rsid w:val="00E44319"/>
    <w:rsid w:val="00E44333"/>
    <w:rsid w:val="00E531EF"/>
    <w:rsid w:val="00E65231"/>
    <w:rsid w:val="00E65685"/>
    <w:rsid w:val="00E65A0E"/>
    <w:rsid w:val="00E701F6"/>
    <w:rsid w:val="00EB315E"/>
    <w:rsid w:val="00EB43AA"/>
    <w:rsid w:val="00EB4B1E"/>
    <w:rsid w:val="00EC1F33"/>
    <w:rsid w:val="00EC79F7"/>
    <w:rsid w:val="00ED2970"/>
    <w:rsid w:val="00EF24B8"/>
    <w:rsid w:val="00EF4CAB"/>
    <w:rsid w:val="00F0245F"/>
    <w:rsid w:val="00F02E2A"/>
    <w:rsid w:val="00F06151"/>
    <w:rsid w:val="00F101D4"/>
    <w:rsid w:val="00F1303B"/>
    <w:rsid w:val="00F15383"/>
    <w:rsid w:val="00F1770E"/>
    <w:rsid w:val="00F22562"/>
    <w:rsid w:val="00F2384B"/>
    <w:rsid w:val="00F302B9"/>
    <w:rsid w:val="00F32E2B"/>
    <w:rsid w:val="00F33F0D"/>
    <w:rsid w:val="00F35423"/>
    <w:rsid w:val="00F35AFD"/>
    <w:rsid w:val="00F4342F"/>
    <w:rsid w:val="00F51AE1"/>
    <w:rsid w:val="00F52E5D"/>
    <w:rsid w:val="00F55696"/>
    <w:rsid w:val="00F679F0"/>
    <w:rsid w:val="00F73A93"/>
    <w:rsid w:val="00F74706"/>
    <w:rsid w:val="00F76DD1"/>
    <w:rsid w:val="00F9138F"/>
    <w:rsid w:val="00F96CA1"/>
    <w:rsid w:val="00FA1669"/>
    <w:rsid w:val="00FB17CE"/>
    <w:rsid w:val="00FB6261"/>
    <w:rsid w:val="00FB69B0"/>
    <w:rsid w:val="00FC0436"/>
    <w:rsid w:val="00FC7706"/>
    <w:rsid w:val="00FD18EB"/>
    <w:rsid w:val="00FE0D0A"/>
    <w:rsid w:val="00FE3483"/>
    <w:rsid w:val="00FE47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E43B2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uiPriority w:val="99"/>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rsid w:val="00CD08C1"/>
    <w:rPr>
      <w:color w:val="0000FF"/>
      <w:u w:val="single"/>
    </w:rPr>
  </w:style>
  <w:style w:type="character" w:styleId="Emphasis">
    <w:name w:val="Emphasis"/>
    <w:qFormat/>
    <w:rsid w:val="00827F8E"/>
    <w:rPr>
      <w:i/>
      <w:iCs/>
    </w:rPr>
  </w:style>
  <w:style w:type="character" w:customStyle="1" w:styleId="CommentTextChar">
    <w:name w:val="Comment Text Char"/>
    <w:link w:val="CommentText"/>
    <w:uiPriority w:val="99"/>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semiHidden/>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eta.muceniece@i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uri=CELEX%3A32009D0316" TargetMode="External"/><Relationship Id="rId2" Type="http://schemas.openxmlformats.org/officeDocument/2006/relationships/hyperlink" Target="http://eur-lex.europa.eu/legal-content/LV/TXT/?uri=CELEX%3A32009F0315" TargetMode="External"/><Relationship Id="rId1" Type="http://schemas.openxmlformats.org/officeDocument/2006/relationships/hyperlink" Target="http://eur-lex.europa.eu/legal-content/LV/TXT/?uri=celex%3A32011R10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1BE8-39E8-4F8A-BCB2-85B938E9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676</Words>
  <Characters>4702</Characters>
  <Application>Microsoft Office Word</Application>
  <DocSecurity>0</DocSecurity>
  <Lines>120</Lines>
  <Paragraphs>28</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Igors Silantjevs</cp:lastModifiedBy>
  <cp:revision>5</cp:revision>
  <cp:lastPrinted>2017-12-01T07:44:00Z</cp:lastPrinted>
  <dcterms:created xsi:type="dcterms:W3CDTF">2017-12-01T06:38:00Z</dcterms:created>
  <dcterms:modified xsi:type="dcterms:W3CDTF">2017-12-01T09:21:00Z</dcterms:modified>
</cp:coreProperties>
</file>