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8834" w14:textId="77777777" w:rsidR="00386C2D" w:rsidRPr="00332CA3" w:rsidRDefault="00386C2D" w:rsidP="0038026A">
      <w:pPr>
        <w:spacing w:after="0" w:line="240" w:lineRule="auto"/>
        <w:jc w:val="center"/>
        <w:rPr>
          <w:rFonts w:ascii="Times New Roman" w:hAnsi="Times New Roman" w:cs="Times New Roman"/>
          <w:b/>
          <w:sz w:val="28"/>
          <w:szCs w:val="28"/>
        </w:rPr>
      </w:pPr>
      <w:r w:rsidRPr="00332CA3">
        <w:rPr>
          <w:rFonts w:ascii="Times New Roman" w:hAnsi="Times New Roman" w:cs="Times New Roman"/>
          <w:b/>
          <w:sz w:val="28"/>
          <w:szCs w:val="28"/>
        </w:rPr>
        <w:t>Ministru kabineta noteikumu projekta</w:t>
      </w:r>
    </w:p>
    <w:p w14:paraId="7EF7FF77" w14:textId="78C08A3C" w:rsidR="0009426E" w:rsidRPr="00332CA3" w:rsidRDefault="0009426E" w:rsidP="0009426E">
      <w:pPr>
        <w:pStyle w:val="Footer"/>
        <w:tabs>
          <w:tab w:val="left" w:pos="720"/>
        </w:tabs>
        <w:jc w:val="center"/>
        <w:rPr>
          <w:rFonts w:ascii="Times New Roman" w:hAnsi="Times New Roman" w:cs="Times New Roman"/>
          <w:b/>
          <w:sz w:val="28"/>
          <w:szCs w:val="28"/>
        </w:rPr>
      </w:pPr>
      <w:r w:rsidRPr="00332CA3">
        <w:rPr>
          <w:rFonts w:ascii="Times New Roman" w:hAnsi="Times New Roman" w:cs="Times New Roman"/>
          <w:b/>
          <w:sz w:val="28"/>
          <w:szCs w:val="28"/>
        </w:rPr>
        <w:t xml:space="preserve"> </w:t>
      </w:r>
      <w:r w:rsidR="0070353A" w:rsidRPr="00332CA3">
        <w:rPr>
          <w:rFonts w:ascii="Times New Roman" w:hAnsi="Times New Roman" w:cs="Times New Roman"/>
          <w:b/>
          <w:sz w:val="28"/>
          <w:szCs w:val="28"/>
        </w:rPr>
        <w:t>“</w:t>
      </w:r>
      <w:r w:rsidRPr="00332CA3">
        <w:rPr>
          <w:rFonts w:ascii="Times New Roman" w:eastAsia="Times New Roman" w:hAnsi="Times New Roman" w:cs="Helv"/>
          <w:b/>
          <w:sz w:val="28"/>
          <w:szCs w:val="28"/>
          <w:lang w:eastAsia="lv-LV"/>
        </w:rPr>
        <w:t xml:space="preserve">Noteikumi par Latvijas Zinātnes padomes ekspertu kvalifikācijas kritērijiem, ekspertu komisiju izveidošanu un </w:t>
      </w:r>
      <w:r w:rsidR="00E27D98" w:rsidRPr="00332CA3">
        <w:rPr>
          <w:rFonts w:ascii="Times New Roman" w:eastAsia="Times New Roman" w:hAnsi="Times New Roman" w:cs="Helv"/>
          <w:b/>
          <w:sz w:val="28"/>
          <w:szCs w:val="28"/>
          <w:lang w:eastAsia="lv-LV"/>
        </w:rPr>
        <w:t>to darbības organizēšanu</w:t>
      </w:r>
      <w:r w:rsidR="00386C2D" w:rsidRPr="00332CA3">
        <w:rPr>
          <w:rFonts w:ascii="Times New Roman" w:hAnsi="Times New Roman" w:cs="Times New Roman"/>
          <w:b/>
          <w:sz w:val="28"/>
          <w:szCs w:val="28"/>
        </w:rPr>
        <w:t>”</w:t>
      </w:r>
      <w:r w:rsidR="0070353A" w:rsidRPr="00332CA3">
        <w:rPr>
          <w:rFonts w:ascii="Times New Roman" w:hAnsi="Times New Roman" w:cs="Times New Roman"/>
          <w:b/>
          <w:sz w:val="28"/>
          <w:szCs w:val="28"/>
        </w:rPr>
        <w:t xml:space="preserve"> </w:t>
      </w:r>
    </w:p>
    <w:p w14:paraId="1E304251" w14:textId="0B10864C" w:rsidR="00261F37" w:rsidRPr="00332CA3" w:rsidRDefault="00C14D9E" w:rsidP="0009426E">
      <w:pPr>
        <w:pStyle w:val="Footer"/>
        <w:tabs>
          <w:tab w:val="left" w:pos="720"/>
        </w:tabs>
        <w:jc w:val="center"/>
        <w:rPr>
          <w:rFonts w:ascii="Times New Roman" w:eastAsia="Times New Roman" w:hAnsi="Times New Roman" w:cs="Helv"/>
          <w:b/>
          <w:sz w:val="28"/>
          <w:szCs w:val="28"/>
          <w:lang w:eastAsia="lv-LV"/>
        </w:rPr>
      </w:pPr>
      <w:r w:rsidRPr="00332CA3">
        <w:rPr>
          <w:rFonts w:ascii="Times New Roman" w:hAnsi="Times New Roman" w:cs="Times New Roman"/>
          <w:b/>
          <w:bCs/>
          <w:sz w:val="28"/>
          <w:szCs w:val="28"/>
        </w:rPr>
        <w:t>sākotnējās ietekmes novērtējuma ziņojums (anotācija)</w:t>
      </w:r>
    </w:p>
    <w:p w14:paraId="3C6CE788" w14:textId="77777777" w:rsidR="0038026A" w:rsidRPr="00332CA3" w:rsidRDefault="0038026A" w:rsidP="00705845">
      <w:pPr>
        <w:spacing w:after="0" w:line="240" w:lineRule="auto"/>
        <w:jc w:val="both"/>
        <w:rPr>
          <w:rFonts w:ascii="Times New Roman" w:hAnsi="Times New Roman" w:cs="Times New Roman"/>
          <w:sz w:val="28"/>
          <w:szCs w:val="28"/>
        </w:rPr>
      </w:pP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2"/>
        <w:gridCol w:w="2731"/>
        <w:gridCol w:w="6428"/>
      </w:tblGrid>
      <w:tr w:rsidR="002E0F29" w:rsidRPr="00332CA3" w14:paraId="13E9083A" w14:textId="77777777" w:rsidTr="007E7FF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B1889" w14:textId="77777777" w:rsidR="00C14D9E" w:rsidRPr="00332CA3" w:rsidRDefault="00C14D9E" w:rsidP="00C14D9E">
            <w:pPr>
              <w:jc w:val="center"/>
              <w:rPr>
                <w:rFonts w:ascii="Times New Roman" w:hAnsi="Times New Roman" w:cs="Times New Roman"/>
                <w:b/>
                <w:bCs/>
                <w:sz w:val="28"/>
                <w:szCs w:val="28"/>
              </w:rPr>
            </w:pPr>
            <w:r w:rsidRPr="00332CA3">
              <w:rPr>
                <w:rFonts w:ascii="Times New Roman" w:hAnsi="Times New Roman" w:cs="Times New Roman"/>
                <w:b/>
                <w:bCs/>
                <w:sz w:val="28"/>
                <w:szCs w:val="28"/>
              </w:rPr>
              <w:t>I. Tiesību akta projekta izstrādes nepieciešamība</w:t>
            </w:r>
          </w:p>
        </w:tc>
      </w:tr>
      <w:tr w:rsidR="002E0F29" w:rsidRPr="00332CA3" w14:paraId="4AAFAD52" w14:textId="77777777" w:rsidTr="007E7FFB">
        <w:trPr>
          <w:trHeight w:val="405"/>
        </w:trPr>
        <w:tc>
          <w:tcPr>
            <w:tcW w:w="292" w:type="pct"/>
            <w:tcBorders>
              <w:top w:val="outset" w:sz="6" w:space="0" w:color="414142"/>
              <w:left w:val="outset" w:sz="6" w:space="0" w:color="414142"/>
              <w:bottom w:val="outset" w:sz="6" w:space="0" w:color="414142"/>
              <w:right w:val="outset" w:sz="6" w:space="0" w:color="414142"/>
            </w:tcBorders>
            <w:hideMark/>
          </w:tcPr>
          <w:p w14:paraId="6DED6558"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1.</w:t>
            </w:r>
          </w:p>
        </w:tc>
        <w:tc>
          <w:tcPr>
            <w:tcW w:w="1464" w:type="pct"/>
            <w:tcBorders>
              <w:top w:val="outset" w:sz="6" w:space="0" w:color="414142"/>
              <w:left w:val="outset" w:sz="6" w:space="0" w:color="414142"/>
              <w:bottom w:val="outset" w:sz="6" w:space="0" w:color="414142"/>
              <w:right w:val="outset" w:sz="6" w:space="0" w:color="414142"/>
            </w:tcBorders>
            <w:hideMark/>
          </w:tcPr>
          <w:p w14:paraId="4755DDB9"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Pamatojums</w:t>
            </w:r>
          </w:p>
        </w:tc>
        <w:tc>
          <w:tcPr>
            <w:tcW w:w="3244" w:type="pct"/>
            <w:tcBorders>
              <w:top w:val="outset" w:sz="6" w:space="0" w:color="414142"/>
              <w:left w:val="outset" w:sz="6" w:space="0" w:color="414142"/>
              <w:bottom w:val="outset" w:sz="6" w:space="0" w:color="414142"/>
              <w:right w:val="outset" w:sz="6" w:space="0" w:color="414142"/>
            </w:tcBorders>
            <w:hideMark/>
          </w:tcPr>
          <w:p w14:paraId="299CD8D1" w14:textId="66DED2CF" w:rsidR="0050611D" w:rsidRPr="00332CA3" w:rsidRDefault="0074133E" w:rsidP="006B0B42">
            <w:pPr>
              <w:spacing w:after="0" w:line="240" w:lineRule="auto"/>
              <w:ind w:right="113"/>
              <w:jc w:val="both"/>
              <w:rPr>
                <w:rFonts w:ascii="Times New Roman" w:hAnsi="Times New Roman" w:cs="Times New Roman"/>
                <w:sz w:val="28"/>
                <w:szCs w:val="28"/>
              </w:rPr>
            </w:pPr>
            <w:r w:rsidRPr="00332CA3">
              <w:rPr>
                <w:rFonts w:ascii="Times New Roman" w:hAnsi="Times New Roman" w:cs="Times New Roman"/>
                <w:sz w:val="28"/>
                <w:szCs w:val="28"/>
              </w:rPr>
              <w:t>Minis</w:t>
            </w:r>
            <w:r w:rsidR="00A265C2" w:rsidRPr="00332CA3">
              <w:rPr>
                <w:rFonts w:ascii="Times New Roman" w:hAnsi="Times New Roman" w:cs="Times New Roman"/>
                <w:sz w:val="28"/>
                <w:szCs w:val="28"/>
              </w:rPr>
              <w:t xml:space="preserve">tru kabineta noteikumu projekts </w:t>
            </w:r>
            <w:r w:rsidRPr="00332CA3">
              <w:rPr>
                <w:rFonts w:ascii="Times New Roman" w:hAnsi="Times New Roman" w:cs="Times New Roman"/>
                <w:sz w:val="28"/>
                <w:szCs w:val="28"/>
              </w:rPr>
              <w:t>“</w:t>
            </w:r>
            <w:r w:rsidR="00282120" w:rsidRPr="00332CA3">
              <w:rPr>
                <w:rFonts w:ascii="Times New Roman" w:hAnsi="Times New Roman" w:cs="Times New Roman"/>
                <w:sz w:val="28"/>
                <w:szCs w:val="28"/>
              </w:rPr>
              <w:t xml:space="preserve">Noteikumi par Latvijas Zinātnes padomes ekspertu kvalifikācijas kritērijiem, ekspertu komisiju izveidošanu un </w:t>
            </w:r>
            <w:r w:rsidR="00E27D98" w:rsidRPr="00332CA3">
              <w:rPr>
                <w:rFonts w:ascii="Times New Roman" w:hAnsi="Times New Roman" w:cs="Times New Roman"/>
                <w:sz w:val="28"/>
                <w:szCs w:val="28"/>
              </w:rPr>
              <w:t>to darbības organizēšanu</w:t>
            </w:r>
            <w:r w:rsidR="00A265C2" w:rsidRPr="00332CA3">
              <w:rPr>
                <w:rFonts w:ascii="Times New Roman" w:hAnsi="Times New Roman" w:cs="Times New Roman"/>
                <w:sz w:val="28"/>
                <w:szCs w:val="28"/>
              </w:rPr>
              <w:t xml:space="preserve">” (turpmāk – </w:t>
            </w:r>
            <w:r w:rsidR="00BA15CC" w:rsidRPr="00332CA3">
              <w:rPr>
                <w:rFonts w:ascii="Times New Roman" w:hAnsi="Times New Roman" w:cs="Times New Roman"/>
                <w:sz w:val="28"/>
                <w:szCs w:val="28"/>
              </w:rPr>
              <w:t xml:space="preserve">noteikumu </w:t>
            </w:r>
            <w:r w:rsidR="00A265C2" w:rsidRPr="00332CA3">
              <w:rPr>
                <w:rFonts w:ascii="Times New Roman" w:hAnsi="Times New Roman" w:cs="Times New Roman"/>
                <w:sz w:val="28"/>
                <w:szCs w:val="28"/>
              </w:rPr>
              <w:t>projekts)</w:t>
            </w:r>
            <w:r w:rsidR="00F1595C" w:rsidRPr="00332CA3">
              <w:rPr>
                <w:rFonts w:ascii="Times New Roman" w:hAnsi="Times New Roman" w:cs="Times New Roman"/>
                <w:sz w:val="28"/>
                <w:szCs w:val="28"/>
              </w:rPr>
              <w:t xml:space="preserve"> ir izstrādāts</w:t>
            </w:r>
            <w:r w:rsidR="000476CF" w:rsidRPr="00332CA3">
              <w:rPr>
                <w:rFonts w:ascii="Times New Roman" w:hAnsi="Times New Roman" w:cs="Times New Roman"/>
                <w:sz w:val="28"/>
                <w:szCs w:val="28"/>
              </w:rPr>
              <w:t xml:space="preserve"> saskaņā ar Zinātniskās darbības likuma 18. panta piekto daļu</w:t>
            </w:r>
            <w:r w:rsidR="00F1595C" w:rsidRPr="00332CA3">
              <w:rPr>
                <w:rFonts w:ascii="Times New Roman" w:hAnsi="Times New Roman" w:cs="Times New Roman"/>
                <w:sz w:val="28"/>
                <w:szCs w:val="28"/>
              </w:rPr>
              <w:t>, kas noteic, ka</w:t>
            </w:r>
            <w:r w:rsidR="0058178F" w:rsidRPr="00332CA3">
              <w:rPr>
                <w:rFonts w:ascii="Times New Roman" w:hAnsi="Times New Roman" w:cs="Times New Roman"/>
                <w:sz w:val="28"/>
                <w:szCs w:val="28"/>
              </w:rPr>
              <w:t xml:space="preserve"> ekspertu kvalifikācijas kritērijus nosaka un pārējos ar ekspertu komisiju izveidošanu un darbību saistītos jautājums regulē Ministru kabinets</w:t>
            </w:r>
            <w:r w:rsidR="00F87020" w:rsidRPr="00332CA3">
              <w:rPr>
                <w:rFonts w:ascii="Times New Roman" w:hAnsi="Times New Roman" w:cs="Times New Roman"/>
                <w:sz w:val="28"/>
                <w:szCs w:val="28"/>
              </w:rPr>
              <w:t xml:space="preserve"> un pamatojoties uz </w:t>
            </w:r>
            <w:r w:rsidR="003A0FB8" w:rsidRPr="00332CA3">
              <w:rPr>
                <w:rFonts w:ascii="Times New Roman" w:hAnsi="Times New Roman" w:cs="Times New Roman"/>
                <w:bCs/>
                <w:sz w:val="28"/>
                <w:szCs w:val="28"/>
              </w:rPr>
              <w:t>Zinātniskās darbības likuma 16. panta 8. </w:t>
            </w:r>
            <w:r w:rsidR="00F87020" w:rsidRPr="00332CA3">
              <w:rPr>
                <w:rFonts w:ascii="Times New Roman" w:hAnsi="Times New Roman" w:cs="Times New Roman"/>
                <w:bCs/>
                <w:sz w:val="28"/>
                <w:szCs w:val="28"/>
              </w:rPr>
              <w:t>punkta, kurš nosaka, ka Latvijas zinātnes padomes kompetencē ietilpst ekspertu komisiju izveidošana, to darbības kārtība un kontrole.</w:t>
            </w:r>
          </w:p>
          <w:p w14:paraId="4427ECAE" w14:textId="142D1C82" w:rsidR="00ED2A35" w:rsidRPr="00332CA3" w:rsidRDefault="00ED2A35" w:rsidP="008C041B">
            <w:pPr>
              <w:spacing w:after="0" w:line="240" w:lineRule="auto"/>
              <w:ind w:right="113"/>
              <w:jc w:val="both"/>
              <w:rPr>
                <w:rFonts w:ascii="Times New Roman" w:hAnsi="Times New Roman" w:cs="Times New Roman"/>
                <w:sz w:val="28"/>
                <w:szCs w:val="28"/>
              </w:rPr>
            </w:pPr>
            <w:r w:rsidRPr="00332CA3">
              <w:rPr>
                <w:rFonts w:ascii="Times New Roman" w:hAnsi="Times New Roman" w:cs="Times New Roman"/>
                <w:sz w:val="28"/>
                <w:szCs w:val="28"/>
              </w:rPr>
              <w:t xml:space="preserve">Noteikumu projekts ir izstrādāts ar mērķi </w:t>
            </w:r>
            <w:r w:rsidR="00821DA4" w:rsidRPr="00332CA3">
              <w:rPr>
                <w:rFonts w:ascii="Times New Roman" w:hAnsi="Times New Roman" w:cs="Times New Roman"/>
                <w:sz w:val="28"/>
                <w:szCs w:val="28"/>
              </w:rPr>
              <w:t>noteikt eksp</w:t>
            </w:r>
            <w:r w:rsidR="004C361A" w:rsidRPr="00332CA3">
              <w:rPr>
                <w:rFonts w:ascii="Times New Roman" w:hAnsi="Times New Roman" w:cs="Times New Roman"/>
                <w:sz w:val="28"/>
                <w:szCs w:val="28"/>
              </w:rPr>
              <w:t>ertu kvalifikācijas kritērijus, ekspertu komisiju izveidošanas kārtību</w:t>
            </w:r>
            <w:r w:rsidR="00821DA4" w:rsidRPr="00332CA3">
              <w:rPr>
                <w:rFonts w:ascii="Times New Roman" w:hAnsi="Times New Roman" w:cs="Times New Roman"/>
                <w:sz w:val="28"/>
                <w:szCs w:val="28"/>
              </w:rPr>
              <w:t xml:space="preserve"> un </w:t>
            </w:r>
            <w:r w:rsidR="004C361A" w:rsidRPr="00332CA3">
              <w:rPr>
                <w:rFonts w:ascii="Times New Roman" w:hAnsi="Times New Roman" w:cs="Times New Roman"/>
                <w:sz w:val="28"/>
                <w:szCs w:val="28"/>
              </w:rPr>
              <w:t xml:space="preserve">nodrošināt </w:t>
            </w:r>
            <w:r w:rsidR="00821DA4" w:rsidRPr="00332CA3">
              <w:rPr>
                <w:rFonts w:ascii="Times New Roman" w:hAnsi="Times New Roman" w:cs="Times New Roman"/>
                <w:sz w:val="28"/>
                <w:szCs w:val="28"/>
              </w:rPr>
              <w:t xml:space="preserve">to </w:t>
            </w:r>
            <w:r w:rsidR="008C041B" w:rsidRPr="00332CA3">
              <w:rPr>
                <w:rFonts w:ascii="Times New Roman" w:hAnsi="Times New Roman" w:cs="Times New Roman"/>
                <w:sz w:val="28"/>
                <w:szCs w:val="28"/>
              </w:rPr>
              <w:t>darbību</w:t>
            </w:r>
            <w:r w:rsidRPr="00332CA3">
              <w:rPr>
                <w:rFonts w:ascii="Times New Roman" w:hAnsi="Times New Roman" w:cs="Times New Roman"/>
                <w:bCs/>
                <w:sz w:val="28"/>
                <w:szCs w:val="28"/>
              </w:rPr>
              <w:t>.</w:t>
            </w:r>
          </w:p>
        </w:tc>
      </w:tr>
      <w:tr w:rsidR="002E0F29" w:rsidRPr="00332CA3" w14:paraId="44E561BC" w14:textId="77777777" w:rsidTr="007E7FFB">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50990206"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2.</w:t>
            </w:r>
          </w:p>
        </w:tc>
        <w:tc>
          <w:tcPr>
            <w:tcW w:w="1464" w:type="pct"/>
            <w:tcBorders>
              <w:top w:val="outset" w:sz="6" w:space="0" w:color="414142"/>
              <w:left w:val="outset" w:sz="6" w:space="0" w:color="414142"/>
              <w:bottom w:val="outset" w:sz="6" w:space="0" w:color="414142"/>
              <w:right w:val="outset" w:sz="6" w:space="0" w:color="414142"/>
            </w:tcBorders>
            <w:hideMark/>
          </w:tcPr>
          <w:p w14:paraId="18EF74DA" w14:textId="77777777" w:rsidR="00C14D9E" w:rsidRPr="00332CA3" w:rsidRDefault="00C14D9E" w:rsidP="00D312A8">
            <w:pPr>
              <w:rPr>
                <w:rFonts w:ascii="Times New Roman" w:hAnsi="Times New Roman" w:cs="Times New Roman"/>
                <w:sz w:val="28"/>
                <w:szCs w:val="28"/>
              </w:rPr>
            </w:pPr>
            <w:r w:rsidRPr="00332CA3">
              <w:rPr>
                <w:rFonts w:ascii="Times New Roman" w:hAnsi="Times New Roman" w:cs="Times New Roman"/>
                <w:sz w:val="28"/>
                <w:szCs w:val="28"/>
              </w:rPr>
              <w:t>Pašreizējā situācija un problēmas, kuru risināšanai tiesību akta projekts izstrādāts, tiesiskā regulējuma mērķis un būtība</w:t>
            </w:r>
          </w:p>
        </w:tc>
        <w:tc>
          <w:tcPr>
            <w:tcW w:w="3244" w:type="pct"/>
            <w:tcBorders>
              <w:top w:val="outset" w:sz="6" w:space="0" w:color="414142"/>
              <w:left w:val="outset" w:sz="6" w:space="0" w:color="414142"/>
              <w:bottom w:val="outset" w:sz="6" w:space="0" w:color="414142"/>
              <w:right w:val="outset" w:sz="6" w:space="0" w:color="414142"/>
            </w:tcBorders>
            <w:hideMark/>
          </w:tcPr>
          <w:p w14:paraId="15F5AC79" w14:textId="136828FA" w:rsidR="003445FD" w:rsidRPr="00332CA3" w:rsidRDefault="002674F1" w:rsidP="003445FD">
            <w:pPr>
              <w:spacing w:after="0" w:line="240" w:lineRule="auto"/>
              <w:ind w:right="113"/>
              <w:jc w:val="both"/>
              <w:rPr>
                <w:rFonts w:ascii="Times New Roman" w:hAnsi="Times New Roman" w:cs="Times New Roman"/>
                <w:sz w:val="28"/>
                <w:szCs w:val="28"/>
              </w:rPr>
            </w:pPr>
            <w:r w:rsidRPr="00332CA3">
              <w:rPr>
                <w:rFonts w:ascii="Times New Roman" w:hAnsi="Times New Roman" w:cs="Times New Roman"/>
                <w:bCs/>
                <w:sz w:val="28"/>
                <w:szCs w:val="28"/>
              </w:rPr>
              <w:t xml:space="preserve">1) </w:t>
            </w:r>
            <w:r w:rsidR="00FA6071" w:rsidRPr="00332CA3">
              <w:rPr>
                <w:rFonts w:ascii="Times New Roman" w:hAnsi="Times New Roman" w:cs="Times New Roman"/>
                <w:bCs/>
                <w:sz w:val="28"/>
                <w:szCs w:val="28"/>
              </w:rPr>
              <w:t xml:space="preserve">Šobrīd Latvijas Zinātnes padomes (turpmāk – LZP) ekspertu komisiju izveidošanu un darbību </w:t>
            </w:r>
            <w:r w:rsidR="00FA6071" w:rsidRPr="00332CA3">
              <w:rPr>
                <w:rFonts w:ascii="Times New Roman" w:hAnsi="Times New Roman" w:cs="Times New Roman"/>
                <w:sz w:val="28"/>
                <w:szCs w:val="28"/>
              </w:rPr>
              <w:t>nosaka</w:t>
            </w:r>
            <w:r w:rsidR="00FA6071" w:rsidRPr="00332CA3">
              <w:rPr>
                <w:rFonts w:ascii="Times New Roman" w:hAnsi="Times New Roman" w:cs="Times New Roman"/>
                <w:bCs/>
                <w:sz w:val="28"/>
                <w:szCs w:val="28"/>
              </w:rPr>
              <w:t xml:space="preserve"> Ministru kabineta 2006. gada 20. jūnija noteikumi Nr.</w:t>
            </w:r>
            <w:r w:rsidR="006C7F4F" w:rsidRPr="00332CA3">
              <w:rPr>
                <w:rFonts w:ascii="Times New Roman" w:hAnsi="Times New Roman" w:cs="Times New Roman"/>
                <w:bCs/>
                <w:sz w:val="28"/>
                <w:szCs w:val="28"/>
              </w:rPr>
              <w:t> </w:t>
            </w:r>
            <w:r w:rsidR="00FA6071" w:rsidRPr="00332CA3">
              <w:rPr>
                <w:rFonts w:ascii="Times New Roman" w:hAnsi="Times New Roman" w:cs="Times New Roman"/>
                <w:bCs/>
                <w:sz w:val="28"/>
                <w:szCs w:val="28"/>
              </w:rPr>
              <w:t>497 “Noteikumi par Latvijas Zinātnes padomes ekspertu komisiju izveidošanu un darbību” (turpmāk – MK noteikumi Nr.</w:t>
            </w:r>
            <w:r w:rsidR="006C7F4F" w:rsidRPr="00332CA3">
              <w:rPr>
                <w:rFonts w:ascii="Times New Roman" w:hAnsi="Times New Roman" w:cs="Times New Roman"/>
                <w:bCs/>
                <w:sz w:val="28"/>
                <w:szCs w:val="28"/>
              </w:rPr>
              <w:t> </w:t>
            </w:r>
            <w:r w:rsidR="00FA6071" w:rsidRPr="00332CA3">
              <w:rPr>
                <w:rFonts w:ascii="Times New Roman" w:hAnsi="Times New Roman" w:cs="Times New Roman"/>
                <w:bCs/>
                <w:sz w:val="28"/>
                <w:szCs w:val="28"/>
              </w:rPr>
              <w:t>497).</w:t>
            </w:r>
            <w:r w:rsidR="003445FD" w:rsidRPr="00332CA3">
              <w:rPr>
                <w:rFonts w:ascii="Times New Roman" w:hAnsi="Times New Roman" w:cs="Times New Roman"/>
                <w:sz w:val="28"/>
                <w:szCs w:val="28"/>
              </w:rPr>
              <w:t xml:space="preserve"> </w:t>
            </w:r>
          </w:p>
          <w:p w14:paraId="39D5D7F4" w14:textId="022DE57F" w:rsidR="00BE2ED4" w:rsidRPr="00332CA3" w:rsidRDefault="00F65E8D" w:rsidP="003445FD">
            <w:pPr>
              <w:spacing w:after="0" w:line="240" w:lineRule="auto"/>
              <w:ind w:right="113"/>
              <w:jc w:val="both"/>
              <w:rPr>
                <w:rFonts w:ascii="Times New Roman" w:hAnsi="Times New Roman" w:cs="Times New Roman"/>
                <w:sz w:val="28"/>
                <w:szCs w:val="28"/>
              </w:rPr>
            </w:pPr>
            <w:r w:rsidRPr="00332CA3">
              <w:rPr>
                <w:rFonts w:ascii="Times New Roman" w:hAnsi="Times New Roman" w:cs="Times New Roman"/>
                <w:sz w:val="28"/>
                <w:szCs w:val="28"/>
              </w:rPr>
              <w:t xml:space="preserve">1) </w:t>
            </w:r>
            <w:r w:rsidR="00672970" w:rsidRPr="00332CA3">
              <w:rPr>
                <w:rFonts w:ascii="Times New Roman" w:hAnsi="Times New Roman" w:cs="Times New Roman"/>
                <w:bCs/>
                <w:sz w:val="28"/>
                <w:szCs w:val="28"/>
              </w:rPr>
              <w:t>MK noteikumu Nr. 497</w:t>
            </w:r>
            <w:r w:rsidR="00000AB6" w:rsidRPr="00332CA3">
              <w:rPr>
                <w:rFonts w:ascii="Times New Roman" w:hAnsi="Times New Roman" w:cs="Times New Roman"/>
                <w:bCs/>
                <w:sz w:val="28"/>
                <w:szCs w:val="28"/>
              </w:rPr>
              <w:t xml:space="preserve"> 1. punktā noteikts, ka šie noteikumi nosaka LZP ekspertu komisiju locekļu kandidātu kvalifikācijas kritērijus, ekspertu komisiju izveidošanas kārtību, to darbības principus un galvenos uzdevumus, kas neatbilsts </w:t>
            </w:r>
            <w:r w:rsidR="00000AB6" w:rsidRPr="00332CA3">
              <w:rPr>
                <w:rFonts w:ascii="Times New Roman" w:hAnsi="Times New Roman" w:cs="Times New Roman"/>
                <w:sz w:val="28"/>
                <w:szCs w:val="28"/>
              </w:rPr>
              <w:t xml:space="preserve">Zinātniskās darbības likuma 18. panta piektajā daļā dotajam deleģējumam kas noteic, ka ekspertu kvalifikācijas kritērijus nosaka un pārējos ar ekspertu komisiju izveidošanu un darbību saistītos jautājums regulē Ministru kabinets. </w:t>
            </w:r>
            <w:r w:rsidR="00855F14" w:rsidRPr="00332CA3">
              <w:rPr>
                <w:rFonts w:ascii="Times New Roman" w:hAnsi="Times New Roman" w:cs="Times New Roman"/>
                <w:sz w:val="28"/>
                <w:szCs w:val="28"/>
              </w:rPr>
              <w:t>Lai izpildītu Zinātniskās darbības likuma 18. panta piektajā daļā noteikto, IZM izstrādāja noteikumu projek</w:t>
            </w:r>
            <w:r w:rsidR="00BA15CC" w:rsidRPr="00332CA3">
              <w:rPr>
                <w:rFonts w:ascii="Times New Roman" w:hAnsi="Times New Roman" w:cs="Times New Roman"/>
                <w:sz w:val="28"/>
                <w:szCs w:val="28"/>
              </w:rPr>
              <w:t xml:space="preserve">tu, kurš tika </w:t>
            </w:r>
            <w:r w:rsidR="00855F14" w:rsidRPr="00332CA3">
              <w:rPr>
                <w:rFonts w:ascii="Times New Roman" w:hAnsi="Times New Roman" w:cs="Times New Roman"/>
                <w:sz w:val="28"/>
                <w:szCs w:val="28"/>
              </w:rPr>
              <w:t>struktur</w:t>
            </w:r>
            <w:r w:rsidR="00BA15CC" w:rsidRPr="00332CA3">
              <w:rPr>
                <w:rFonts w:ascii="Times New Roman" w:hAnsi="Times New Roman" w:cs="Times New Roman"/>
                <w:sz w:val="28"/>
                <w:szCs w:val="28"/>
              </w:rPr>
              <w:t>ēts</w:t>
            </w:r>
            <w:r w:rsidR="00855F14" w:rsidRPr="00332CA3">
              <w:rPr>
                <w:rFonts w:ascii="Times New Roman" w:hAnsi="Times New Roman" w:cs="Times New Roman"/>
                <w:sz w:val="28"/>
                <w:szCs w:val="28"/>
              </w:rPr>
              <w:t xml:space="preserve"> atbilstoši deleģējumam, nosakot noteikumu </w:t>
            </w:r>
            <w:r w:rsidR="00855F14" w:rsidRPr="00332CA3">
              <w:rPr>
                <w:rFonts w:ascii="Times New Roman" w:hAnsi="Times New Roman" w:cs="Times New Roman"/>
                <w:sz w:val="28"/>
                <w:szCs w:val="28"/>
              </w:rPr>
              <w:lastRenderedPageBreak/>
              <w:t>projektā ekspertu kvalifikācijas kritērijus, ekspertu komisiju izveidošanas kārtīb</w:t>
            </w:r>
            <w:r w:rsidR="0033149C" w:rsidRPr="00332CA3">
              <w:rPr>
                <w:rFonts w:ascii="Times New Roman" w:hAnsi="Times New Roman" w:cs="Times New Roman"/>
                <w:sz w:val="28"/>
                <w:szCs w:val="28"/>
              </w:rPr>
              <w:t>u un to darbības organizāciju</w:t>
            </w:r>
            <w:r w:rsidR="004911CF" w:rsidRPr="00332CA3">
              <w:rPr>
                <w:rFonts w:ascii="Times New Roman" w:hAnsi="Times New Roman" w:cs="Times New Roman"/>
                <w:sz w:val="28"/>
                <w:szCs w:val="28"/>
              </w:rPr>
              <w:t xml:space="preserve"> (noteikumu projekta 1. punkts; noteikumu projekts)</w:t>
            </w:r>
            <w:r w:rsidR="00855F14" w:rsidRPr="00332CA3">
              <w:rPr>
                <w:rFonts w:ascii="Times New Roman" w:hAnsi="Times New Roman" w:cs="Times New Roman"/>
                <w:sz w:val="28"/>
                <w:szCs w:val="28"/>
              </w:rPr>
              <w:t>.</w:t>
            </w:r>
            <w:r w:rsidR="00BF018C" w:rsidRPr="00332CA3">
              <w:rPr>
                <w:rFonts w:ascii="Times New Roman" w:hAnsi="Times New Roman" w:cs="Times New Roman"/>
                <w:sz w:val="28"/>
                <w:szCs w:val="28"/>
              </w:rPr>
              <w:t xml:space="preserve"> Latvijas Zināntes padomes ekspertu </w:t>
            </w:r>
            <w:r w:rsidR="00332CA3">
              <w:rPr>
                <w:rFonts w:ascii="Times New Roman" w:hAnsi="Times New Roman" w:cs="Times New Roman"/>
                <w:sz w:val="28"/>
                <w:szCs w:val="28"/>
              </w:rPr>
              <w:t>tiesību piešķiršanas izvērtēšana un piešķiršanas kārtība ir Latvijas Zinātnes padomes kompetencē (Zinātniskās darbības likuma 16. panta 8.</w:t>
            </w:r>
            <w:r w:rsidR="00332CA3" w:rsidRPr="00332CA3">
              <w:rPr>
                <w:rFonts w:ascii="Times New Roman" w:hAnsi="Times New Roman" w:cs="Times New Roman"/>
                <w:sz w:val="28"/>
                <w:szCs w:val="28"/>
                <w:vertAlign w:val="superscript"/>
              </w:rPr>
              <w:t>1</w:t>
            </w:r>
            <w:r w:rsidR="00332CA3">
              <w:rPr>
                <w:rFonts w:ascii="Times New Roman" w:hAnsi="Times New Roman" w:cs="Times New Roman"/>
                <w:sz w:val="28"/>
                <w:szCs w:val="28"/>
              </w:rPr>
              <w:t xml:space="preserve"> punkts).</w:t>
            </w:r>
          </w:p>
          <w:p w14:paraId="704D103B" w14:textId="2948FC24" w:rsidR="00102826" w:rsidRPr="00332CA3" w:rsidRDefault="00672970" w:rsidP="003445FD">
            <w:pPr>
              <w:spacing w:after="0" w:line="240" w:lineRule="auto"/>
              <w:ind w:right="113"/>
              <w:jc w:val="both"/>
              <w:rPr>
                <w:rFonts w:ascii="Times New Roman" w:hAnsi="Times New Roman" w:cs="Times New Roman"/>
                <w:sz w:val="28"/>
                <w:szCs w:val="28"/>
              </w:rPr>
            </w:pPr>
            <w:r w:rsidRPr="00332CA3">
              <w:rPr>
                <w:rFonts w:ascii="Times New Roman" w:hAnsi="Times New Roman" w:cs="Times New Roman"/>
                <w:sz w:val="28"/>
                <w:szCs w:val="28"/>
              </w:rPr>
              <w:t xml:space="preserve">2) </w:t>
            </w:r>
            <w:r w:rsidR="00CF1A54" w:rsidRPr="00332CA3">
              <w:rPr>
                <w:rFonts w:ascii="Times New Roman" w:hAnsi="Times New Roman" w:cs="Times New Roman"/>
                <w:sz w:val="28"/>
                <w:szCs w:val="28"/>
              </w:rPr>
              <w:t>Spēkā esošie</w:t>
            </w:r>
            <w:r w:rsidR="00CF1A54" w:rsidRPr="00332CA3">
              <w:rPr>
                <w:rFonts w:ascii="Times New Roman" w:hAnsi="Times New Roman" w:cs="Times New Roman"/>
                <w:bCs/>
                <w:sz w:val="28"/>
                <w:szCs w:val="28"/>
              </w:rPr>
              <w:t xml:space="preserve"> MK noteikumi Nr. 497 neatbilst</w:t>
            </w:r>
            <w:r w:rsidR="00CF1A54" w:rsidRPr="00332CA3">
              <w:rPr>
                <w:rFonts w:ascii="Times New Roman" w:hAnsi="Times New Roman" w:cs="Times New Roman"/>
                <w:sz w:val="28"/>
                <w:szCs w:val="28"/>
              </w:rPr>
              <w:t xml:space="preserve"> Zinātniskās darbības likuma 18. panta piektajā daļā dotajam deleģējumam pilnā apjomā, kas noteic, ka ekspertu kvalifikācijas kritērijus nosaka Ministru kabinets. Proti, </w:t>
            </w:r>
            <w:r w:rsidR="00CF1A54" w:rsidRPr="00332CA3">
              <w:rPr>
                <w:rFonts w:ascii="Times New Roman" w:hAnsi="Times New Roman" w:cs="Times New Roman"/>
                <w:bCs/>
                <w:sz w:val="28"/>
                <w:szCs w:val="28"/>
              </w:rPr>
              <w:t xml:space="preserve">MK noteikumos Nr. 497 nav noteikti  </w:t>
            </w:r>
            <w:r w:rsidR="00CF1A54" w:rsidRPr="00332CA3">
              <w:rPr>
                <w:rFonts w:ascii="Times New Roman" w:hAnsi="Times New Roman" w:cs="Times New Roman"/>
                <w:sz w:val="28"/>
                <w:szCs w:val="28"/>
              </w:rPr>
              <w:t>eks</w:t>
            </w:r>
            <w:r w:rsidR="00F65E8D" w:rsidRPr="00332CA3">
              <w:rPr>
                <w:rFonts w:ascii="Times New Roman" w:hAnsi="Times New Roman" w:cs="Times New Roman"/>
                <w:sz w:val="28"/>
                <w:szCs w:val="28"/>
              </w:rPr>
              <w:t>pertu kvalifikācijas kritēriji</w:t>
            </w:r>
            <w:r w:rsidR="001F0FAF" w:rsidRPr="00332CA3">
              <w:rPr>
                <w:rFonts w:ascii="Times New Roman" w:hAnsi="Times New Roman" w:cs="Times New Roman"/>
                <w:sz w:val="28"/>
                <w:szCs w:val="28"/>
              </w:rPr>
              <w:t xml:space="preserve">, bet </w:t>
            </w:r>
            <w:r w:rsidR="00E847BD" w:rsidRPr="00332CA3">
              <w:rPr>
                <w:rFonts w:ascii="Times New Roman" w:hAnsi="Times New Roman" w:cs="Times New Roman"/>
                <w:sz w:val="28"/>
                <w:szCs w:val="28"/>
              </w:rPr>
              <w:t xml:space="preserve">ir </w:t>
            </w:r>
            <w:r w:rsidR="001F0FAF" w:rsidRPr="00332CA3">
              <w:rPr>
                <w:rFonts w:ascii="Times New Roman" w:hAnsi="Times New Roman" w:cs="Times New Roman"/>
                <w:sz w:val="28"/>
                <w:szCs w:val="28"/>
              </w:rPr>
              <w:t>noteiktas prasības ekspertu komisiju locek</w:t>
            </w:r>
            <w:r w:rsidR="00E847BD" w:rsidRPr="00332CA3">
              <w:rPr>
                <w:rFonts w:ascii="Times New Roman" w:hAnsi="Times New Roman" w:cs="Times New Roman"/>
                <w:sz w:val="28"/>
                <w:szCs w:val="28"/>
              </w:rPr>
              <w:t>ļu kandid</w:t>
            </w:r>
            <w:r w:rsidR="001F0FAF" w:rsidRPr="00332CA3">
              <w:rPr>
                <w:rFonts w:ascii="Times New Roman" w:hAnsi="Times New Roman" w:cs="Times New Roman"/>
                <w:sz w:val="28"/>
                <w:szCs w:val="28"/>
              </w:rPr>
              <w:t>ātiem</w:t>
            </w:r>
            <w:r w:rsidR="00F65E8D" w:rsidRPr="00332CA3">
              <w:rPr>
                <w:rFonts w:ascii="Times New Roman" w:hAnsi="Times New Roman" w:cs="Times New Roman"/>
                <w:sz w:val="28"/>
                <w:szCs w:val="28"/>
              </w:rPr>
              <w:t xml:space="preserve">. </w:t>
            </w:r>
          </w:p>
          <w:p w14:paraId="45D367C0" w14:textId="35C9DF6D" w:rsidR="00EA09E8" w:rsidRDefault="00920022" w:rsidP="008F265B">
            <w:pPr>
              <w:spacing w:after="0" w:line="240" w:lineRule="auto"/>
              <w:ind w:right="113"/>
              <w:jc w:val="both"/>
              <w:rPr>
                <w:rFonts w:ascii="Times New Roman" w:hAnsi="Times New Roman" w:cs="Times New Roman"/>
                <w:sz w:val="28"/>
                <w:szCs w:val="28"/>
              </w:rPr>
            </w:pPr>
            <w:r w:rsidRPr="00332CA3">
              <w:rPr>
                <w:rFonts w:ascii="Times New Roman" w:hAnsi="Times New Roman" w:cs="Times New Roman"/>
                <w:sz w:val="28"/>
                <w:szCs w:val="28"/>
              </w:rPr>
              <w:t>Lai izpildīt</w:t>
            </w:r>
            <w:r w:rsidR="00332CA3">
              <w:rPr>
                <w:rFonts w:ascii="Times New Roman" w:hAnsi="Times New Roman" w:cs="Times New Roman"/>
                <w:sz w:val="28"/>
                <w:szCs w:val="28"/>
              </w:rPr>
              <w:t>u</w:t>
            </w:r>
            <w:r w:rsidRPr="00332CA3">
              <w:rPr>
                <w:rFonts w:ascii="Times New Roman" w:hAnsi="Times New Roman" w:cs="Times New Roman"/>
                <w:sz w:val="28"/>
                <w:szCs w:val="28"/>
              </w:rPr>
              <w:t xml:space="preserve"> Zinātniskās darbības likuma 18. panta piektajā daļa noteikto, p</w:t>
            </w:r>
            <w:r w:rsidR="00F65E8D" w:rsidRPr="00332CA3">
              <w:rPr>
                <w:rFonts w:ascii="Times New Roman" w:hAnsi="Times New Roman" w:cs="Times New Roman"/>
                <w:sz w:val="28"/>
                <w:szCs w:val="28"/>
              </w:rPr>
              <w:t>rojekta II nodaļa “</w:t>
            </w:r>
            <w:r w:rsidR="003A3B5C" w:rsidRPr="00332CA3">
              <w:rPr>
                <w:rFonts w:ascii="Times New Roman" w:hAnsi="Times New Roman" w:cs="Times New Roman"/>
                <w:sz w:val="28"/>
                <w:szCs w:val="28"/>
              </w:rPr>
              <w:t>Ekspertu kvalifikācijas kritēriji</w:t>
            </w:r>
            <w:r w:rsidR="00F65E8D" w:rsidRPr="00332CA3">
              <w:rPr>
                <w:rFonts w:ascii="Times New Roman" w:hAnsi="Times New Roman" w:cs="Times New Roman"/>
                <w:sz w:val="28"/>
                <w:szCs w:val="28"/>
              </w:rPr>
              <w:t>”</w:t>
            </w:r>
            <w:r w:rsidR="003A3B5C" w:rsidRPr="00332CA3">
              <w:rPr>
                <w:rFonts w:ascii="Times New Roman" w:hAnsi="Times New Roman" w:cs="Times New Roman"/>
                <w:sz w:val="28"/>
                <w:szCs w:val="28"/>
              </w:rPr>
              <w:t xml:space="preserve"> ir paredzētas prasības zinātniekiem, kuri vēlas pretendēt uz eksperta statusu un papildus kritēriji tiem ekspertiem, kuri vēlas pretendēt uz LZP ekspertu komisijas locekļa statusu. Projekts paredz, ka zinātniskās darbības rezultāta kvalitātes kritērijus pa zinātnes nozarēm un minēto kritēriju izvērtēšanas kārtību </w:t>
            </w:r>
            <w:r w:rsidR="003B741A" w:rsidRPr="00332CA3">
              <w:rPr>
                <w:rFonts w:ascii="Times New Roman" w:hAnsi="Times New Roman" w:cs="Times New Roman"/>
                <w:sz w:val="28"/>
                <w:szCs w:val="28"/>
              </w:rPr>
              <w:t>nosaka LZP</w:t>
            </w:r>
            <w:r w:rsidR="003A3B5C" w:rsidRPr="00332CA3">
              <w:rPr>
                <w:rFonts w:ascii="Times New Roman" w:hAnsi="Times New Roman" w:cs="Times New Roman"/>
                <w:sz w:val="28"/>
                <w:szCs w:val="28"/>
              </w:rPr>
              <w:t>, bet</w:t>
            </w:r>
            <w:r w:rsidR="003A3B5C" w:rsidRPr="00332CA3">
              <w:rPr>
                <w:rFonts w:ascii="Times New Roman" w:hAnsi="Times New Roman" w:cs="Helv"/>
                <w:color w:val="000000"/>
                <w:sz w:val="28"/>
                <w:szCs w:val="28"/>
              </w:rPr>
              <w:t xml:space="preserve"> </w:t>
            </w:r>
            <w:r w:rsidR="003A3B5C" w:rsidRPr="00332CA3">
              <w:rPr>
                <w:rFonts w:ascii="Times New Roman" w:hAnsi="Times New Roman" w:cs="Times New Roman"/>
                <w:sz w:val="28"/>
                <w:szCs w:val="28"/>
              </w:rPr>
              <w:t xml:space="preserve">ekspertu kandidātu un ekspertu komisiju locekļu kandidātu atbilstības pārbaudei </w:t>
            </w:r>
            <w:r w:rsidR="001F0FAF" w:rsidRPr="00332CA3">
              <w:rPr>
                <w:rFonts w:ascii="Times New Roman" w:hAnsi="Times New Roman" w:cs="Times New Roman"/>
                <w:sz w:val="28"/>
                <w:szCs w:val="28"/>
              </w:rPr>
              <w:t xml:space="preserve">LZP </w:t>
            </w:r>
            <w:r w:rsidR="003A3B5C" w:rsidRPr="00332CA3">
              <w:rPr>
                <w:rFonts w:ascii="Times New Roman" w:hAnsi="Times New Roman" w:cs="Times New Roman"/>
                <w:sz w:val="28"/>
                <w:szCs w:val="28"/>
              </w:rPr>
              <w:t xml:space="preserve">izveido Zinātniskās ekspertīzes komisiju, kuras sastāvu un pārējos ar tās darbību saistītos jautājums nosaka </w:t>
            </w:r>
            <w:r w:rsidR="003B741A" w:rsidRPr="00332CA3">
              <w:rPr>
                <w:rFonts w:ascii="Times New Roman" w:hAnsi="Times New Roman" w:cs="Times New Roman"/>
                <w:sz w:val="28"/>
                <w:szCs w:val="28"/>
              </w:rPr>
              <w:t>LZ</w:t>
            </w:r>
            <w:r w:rsidR="003A3B5C" w:rsidRPr="00332CA3">
              <w:rPr>
                <w:rFonts w:ascii="Times New Roman" w:hAnsi="Times New Roman" w:cs="Times New Roman"/>
                <w:sz w:val="28"/>
                <w:szCs w:val="28"/>
              </w:rPr>
              <w:t xml:space="preserve">P </w:t>
            </w:r>
            <w:r w:rsidR="00F65E8D" w:rsidRPr="00332CA3">
              <w:rPr>
                <w:rFonts w:ascii="Times New Roman" w:hAnsi="Times New Roman" w:cs="Times New Roman"/>
                <w:sz w:val="28"/>
                <w:szCs w:val="28"/>
              </w:rPr>
              <w:t>(</w:t>
            </w:r>
            <w:r w:rsidR="00401E97" w:rsidRPr="00332CA3">
              <w:rPr>
                <w:rFonts w:ascii="Times New Roman" w:hAnsi="Times New Roman" w:cs="Times New Roman"/>
                <w:sz w:val="28"/>
                <w:szCs w:val="28"/>
              </w:rPr>
              <w:t xml:space="preserve">noteikumu </w:t>
            </w:r>
            <w:r w:rsidR="00F65E8D" w:rsidRPr="00332CA3">
              <w:rPr>
                <w:rFonts w:ascii="Times New Roman" w:hAnsi="Times New Roman" w:cs="Times New Roman"/>
                <w:sz w:val="28"/>
                <w:szCs w:val="28"/>
              </w:rPr>
              <w:t>projekta II nodaļa)</w:t>
            </w:r>
            <w:r w:rsidR="003A3B5C" w:rsidRPr="00332CA3">
              <w:rPr>
                <w:rFonts w:ascii="Times New Roman" w:hAnsi="Times New Roman" w:cs="Times New Roman"/>
                <w:sz w:val="28"/>
                <w:szCs w:val="28"/>
              </w:rPr>
              <w:t>.</w:t>
            </w:r>
            <w:r w:rsidR="00BE2ED4" w:rsidRPr="00332CA3">
              <w:rPr>
                <w:rFonts w:ascii="Times New Roman" w:hAnsi="Times New Roman" w:cs="Times New Roman"/>
                <w:sz w:val="28"/>
                <w:szCs w:val="28"/>
              </w:rPr>
              <w:t xml:space="preserve"> Projektā paredzētie ekspertu kvalifikācijas kritēriji ir augstāki par ekspertu kvalifikācijas kritērijiem, kurus Latvijas Zinātnes padome izmanto pašlaik (atbilstoši “Latvijas Zinātnes padomes eksperta tiesību piešķiršanas kārtībai”, kas apstiprināta ar Latvijas Zinātnes padomes 30.03.2010. lēmumu Nr. 3-4-1, pieejama Latvijas Zinātnes padomes mājas lapā: http://www.lzp.lv/index.php? option=com_content&amp;task=view&amp;id=235&amp;Itemid=96). Tas saskan Latvijas Zinātnes padomes 2017. gada septembrī pausto viedokli, ka ekspertu kvalifikācijas kritēriji ir jāceļ. </w:t>
            </w:r>
          </w:p>
          <w:p w14:paraId="3309639D" w14:textId="4B9459BF" w:rsidR="00580180" w:rsidRDefault="003F1C7E" w:rsidP="00580180">
            <w:pPr>
              <w:spacing w:after="0" w:line="240" w:lineRule="auto"/>
              <w:ind w:right="113"/>
              <w:jc w:val="both"/>
              <w:rPr>
                <w:rFonts w:ascii="Times New Roman" w:hAnsi="Times New Roman" w:cs="Times New Roman"/>
                <w:sz w:val="28"/>
                <w:szCs w:val="28"/>
              </w:rPr>
            </w:pPr>
            <w:r w:rsidRPr="00580180">
              <w:rPr>
                <w:rFonts w:ascii="Times New Roman" w:hAnsi="Times New Roman" w:cs="Times New Roman"/>
                <w:sz w:val="28"/>
                <w:szCs w:val="28"/>
              </w:rPr>
              <w:lastRenderedPageBreak/>
              <w:t>Kā iemesli Latvijas Zinātnieku kvalifikācijas kritēriju celšanai tie norādīti</w:t>
            </w:r>
            <w:r w:rsidR="00580180" w:rsidRPr="00580180">
              <w:rPr>
                <w:rFonts w:ascii="Times New Roman" w:hAnsi="Times New Roman" w:cs="Times New Roman"/>
                <w:sz w:val="28"/>
                <w:szCs w:val="28"/>
              </w:rPr>
              <w:t>,</w:t>
            </w:r>
            <w:r w:rsidR="00580180">
              <w:rPr>
                <w:rFonts w:ascii="Times New Roman" w:hAnsi="Times New Roman" w:cs="Times New Roman"/>
                <w:sz w:val="28"/>
                <w:szCs w:val="28"/>
              </w:rPr>
              <w:t xml:space="preserve"> ka LZP eksperta tiesības zinātniekam dod tiesības iesasitīties jauno doktorantu sagatvošanā, jo minētās tiesības ir nepieciešamss gan doktora (promocijas) darba </w:t>
            </w:r>
            <w:r w:rsidR="00580180" w:rsidRPr="00580180">
              <w:rPr>
                <w:rFonts w:ascii="Times New Roman" w:hAnsi="Times New Roman" w:cs="Times New Roman"/>
                <w:sz w:val="28"/>
                <w:szCs w:val="28"/>
              </w:rPr>
              <w:t>vadītājam, gan daļai promocijas padomes, kas piešķir doktora grādu. Līdz šim kritēriji, lai kļūtu par ekspertu bija salīdzinoši zemi</w:t>
            </w:r>
            <w:r w:rsidR="00580180">
              <w:rPr>
                <w:rFonts w:ascii="Times New Roman" w:hAnsi="Times New Roman" w:cs="Times New Roman"/>
                <w:sz w:val="28"/>
                <w:szCs w:val="28"/>
              </w:rPr>
              <w:t xml:space="preserve"> un šādi kritēriji ļāva</w:t>
            </w:r>
            <w:r w:rsidR="00580180" w:rsidRPr="00580180">
              <w:rPr>
                <w:rFonts w:ascii="Times New Roman" w:hAnsi="Times New Roman" w:cs="Times New Roman"/>
                <w:sz w:val="28"/>
                <w:szCs w:val="28"/>
              </w:rPr>
              <w:t xml:space="preserve"> daļai jauno doktoru uzreiz pēc grāda iegūšanas kļūt par LZP ekspertiem.</w:t>
            </w:r>
            <w:r w:rsidR="00580180">
              <w:rPr>
                <w:rFonts w:ascii="Times New Roman" w:hAnsi="Times New Roman" w:cs="Times New Roman"/>
                <w:sz w:val="28"/>
                <w:szCs w:val="28"/>
              </w:rPr>
              <w:t xml:space="preserve"> </w:t>
            </w:r>
            <w:r w:rsidR="00580180" w:rsidRPr="00580180">
              <w:rPr>
                <w:rFonts w:ascii="Times New Roman" w:hAnsi="Times New Roman" w:cs="Times New Roman"/>
                <w:sz w:val="28"/>
                <w:szCs w:val="28"/>
              </w:rPr>
              <w:t>Saprotot, ka šādas prasības ir zemas, LZP 2017. gada sākumā darba grupā diskutē</w:t>
            </w:r>
            <w:r w:rsidR="00580180">
              <w:rPr>
                <w:rFonts w:ascii="Times New Roman" w:hAnsi="Times New Roman" w:cs="Times New Roman"/>
                <w:sz w:val="28"/>
                <w:szCs w:val="28"/>
              </w:rPr>
              <w:t>ja par kritēriju paaugstināšanu</w:t>
            </w:r>
            <w:r w:rsidR="009A5E3E">
              <w:rPr>
                <w:rFonts w:ascii="Times New Roman" w:hAnsi="Times New Roman" w:cs="Times New Roman"/>
                <w:sz w:val="28"/>
                <w:szCs w:val="28"/>
              </w:rPr>
              <w:t>, ko publiski atbalsta arī Latvijas Jauno zinātnieku apvienība</w:t>
            </w:r>
            <w:r w:rsidR="00580180">
              <w:rPr>
                <w:rFonts w:ascii="Times New Roman" w:hAnsi="Times New Roman" w:cs="Times New Roman"/>
                <w:sz w:val="28"/>
                <w:szCs w:val="28"/>
              </w:rPr>
              <w:t>, jo lai celtu promocijas (doktorantūras) kvalitāti personām, kas piedalās doktoranta sagatavošanā</w:t>
            </w:r>
            <w:r w:rsidR="00580180" w:rsidRPr="00580180">
              <w:rPr>
                <w:rFonts w:ascii="Times New Roman" w:hAnsi="Times New Roman" w:cs="Times New Roman"/>
                <w:sz w:val="28"/>
                <w:szCs w:val="28"/>
              </w:rPr>
              <w:t>,</w:t>
            </w:r>
            <w:r w:rsidR="009D74B0">
              <w:rPr>
                <w:rFonts w:ascii="Times New Roman" w:hAnsi="Times New Roman" w:cs="Times New Roman"/>
                <w:sz w:val="28"/>
                <w:szCs w:val="28"/>
              </w:rPr>
              <w:t xml:space="preserve"> </w:t>
            </w:r>
            <w:r w:rsidR="00580180">
              <w:rPr>
                <w:rFonts w:ascii="Times New Roman" w:hAnsi="Times New Roman" w:cs="Times New Roman"/>
                <w:sz w:val="28"/>
                <w:szCs w:val="28"/>
              </w:rPr>
              <w:t>būtu jābūt</w:t>
            </w:r>
            <w:r w:rsidR="00580180" w:rsidRPr="00580180">
              <w:rPr>
                <w:rFonts w:ascii="Times New Roman" w:hAnsi="Times New Roman" w:cs="Times New Roman"/>
                <w:sz w:val="28"/>
                <w:szCs w:val="28"/>
              </w:rPr>
              <w:t xml:space="preserve"> starptautiski atzītam un virs nozares vidējā</w:t>
            </w:r>
            <w:r w:rsidR="00580180">
              <w:rPr>
                <w:rFonts w:ascii="Times New Roman" w:hAnsi="Times New Roman" w:cs="Times New Roman"/>
                <w:sz w:val="28"/>
                <w:szCs w:val="28"/>
              </w:rPr>
              <w:t xml:space="preserve"> </w:t>
            </w:r>
            <w:r w:rsidR="00580180" w:rsidRPr="00580180">
              <w:rPr>
                <w:rFonts w:ascii="Times New Roman" w:hAnsi="Times New Roman" w:cs="Times New Roman"/>
                <w:sz w:val="28"/>
                <w:szCs w:val="28"/>
              </w:rPr>
              <w:t>novērtētam speciālistam</w:t>
            </w:r>
            <w:r w:rsidR="00580180">
              <w:rPr>
                <w:rFonts w:ascii="Times New Roman" w:hAnsi="Times New Roman" w:cs="Times New Roman"/>
                <w:sz w:val="28"/>
                <w:szCs w:val="28"/>
              </w:rPr>
              <w:t xml:space="preserve">. </w:t>
            </w:r>
            <w:r w:rsidR="00580180" w:rsidRPr="00580180">
              <w:rPr>
                <w:rFonts w:ascii="Times New Roman" w:hAnsi="Times New Roman" w:cs="Times New Roman"/>
                <w:sz w:val="28"/>
                <w:szCs w:val="28"/>
              </w:rPr>
              <w:t xml:space="preserve">Kombinējot </w:t>
            </w:r>
            <w:r w:rsidR="00580180">
              <w:rPr>
                <w:rFonts w:ascii="Times New Roman" w:hAnsi="Times New Roman" w:cs="Times New Roman"/>
                <w:sz w:val="28"/>
                <w:szCs w:val="28"/>
              </w:rPr>
              <w:t xml:space="preserve">noteikumu projektā iekļautos zinātniskās darbības rezultātus atbilstoši LZP noteiktajiem kritērijiem </w:t>
            </w:r>
            <w:r w:rsidR="00580180" w:rsidRPr="00580180">
              <w:rPr>
                <w:rFonts w:ascii="Times New Roman" w:hAnsi="Times New Roman" w:cs="Times New Roman"/>
                <w:sz w:val="28"/>
                <w:szCs w:val="28"/>
              </w:rPr>
              <w:t>par ekspertiem varēs</w:t>
            </w:r>
            <w:r w:rsidR="00580180">
              <w:rPr>
                <w:rFonts w:ascii="Times New Roman" w:hAnsi="Times New Roman" w:cs="Times New Roman"/>
                <w:sz w:val="28"/>
                <w:szCs w:val="28"/>
              </w:rPr>
              <w:t xml:space="preserve"> </w:t>
            </w:r>
            <w:r w:rsidR="00580180" w:rsidRPr="00580180">
              <w:rPr>
                <w:rFonts w:ascii="Times New Roman" w:hAnsi="Times New Roman" w:cs="Times New Roman"/>
                <w:sz w:val="28"/>
                <w:szCs w:val="28"/>
              </w:rPr>
              <w:t>kļūt tikai tie zinātnieki, kas ir aktīvi pētniecībā un jau guvuši starptautisku novērtējumu, proti,</w:t>
            </w:r>
            <w:r w:rsidR="00580180">
              <w:rPr>
                <w:rFonts w:ascii="Times New Roman" w:hAnsi="Times New Roman" w:cs="Times New Roman"/>
                <w:sz w:val="28"/>
                <w:szCs w:val="28"/>
              </w:rPr>
              <w:t xml:space="preserve"> </w:t>
            </w:r>
            <w:r w:rsidR="00580180" w:rsidRPr="00580180">
              <w:rPr>
                <w:rFonts w:ascii="Times New Roman" w:hAnsi="Times New Roman" w:cs="Times New Roman"/>
                <w:sz w:val="28"/>
                <w:szCs w:val="28"/>
              </w:rPr>
              <w:t>tiešām eksperti. Uzskatām, ka eksperta statusa</w:t>
            </w:r>
            <w:r w:rsidR="00580180">
              <w:rPr>
                <w:rFonts w:ascii="Times New Roman" w:hAnsi="Times New Roman" w:cs="Times New Roman"/>
                <w:sz w:val="28"/>
                <w:szCs w:val="28"/>
              </w:rPr>
              <w:t xml:space="preserve"> </w:t>
            </w:r>
            <w:r w:rsidR="00580180" w:rsidRPr="00580180">
              <w:rPr>
                <w:rFonts w:ascii="Times New Roman" w:hAnsi="Times New Roman" w:cs="Times New Roman"/>
                <w:sz w:val="28"/>
                <w:szCs w:val="28"/>
              </w:rPr>
              <w:t>piešķiršana speciālistiem, kuri spēj izpildīt iepriekšminētās prasības un pakāpeniska šo prasību</w:t>
            </w:r>
            <w:r w:rsidR="00580180">
              <w:rPr>
                <w:rFonts w:ascii="Times New Roman" w:hAnsi="Times New Roman" w:cs="Times New Roman"/>
                <w:sz w:val="28"/>
                <w:szCs w:val="28"/>
              </w:rPr>
              <w:t xml:space="preserve"> </w:t>
            </w:r>
            <w:r w:rsidR="00580180" w:rsidRPr="00580180">
              <w:rPr>
                <w:rFonts w:ascii="Times New Roman" w:hAnsi="Times New Roman" w:cs="Times New Roman"/>
                <w:sz w:val="28"/>
                <w:szCs w:val="28"/>
              </w:rPr>
              <w:t>paaugstināšana cels zinātnes līmeni Latvijā, un pilnveidos pašus zinātniekus</w:t>
            </w:r>
            <w:r w:rsidR="00580180">
              <w:rPr>
                <w:rFonts w:ascii="Times New Roman" w:hAnsi="Times New Roman" w:cs="Times New Roman"/>
                <w:sz w:val="28"/>
                <w:szCs w:val="28"/>
              </w:rPr>
              <w:t xml:space="preserve">. </w:t>
            </w:r>
          </w:p>
          <w:p w14:paraId="1DA5B27A" w14:textId="2E7AF87F" w:rsidR="005362A2" w:rsidRDefault="005362A2" w:rsidP="00580180">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Ņemot vērā, ka Zinātniskās darbības likuma 18.panta 1. daļa nosaka ekspertu komisiju un tātad arī to locekļu pien</w:t>
            </w:r>
            <w:r w:rsidR="00F0687B">
              <w:rPr>
                <w:rFonts w:ascii="Times New Roman" w:hAnsi="Times New Roman" w:cs="Times New Roman"/>
                <w:sz w:val="28"/>
                <w:szCs w:val="28"/>
              </w:rPr>
              <w:t xml:space="preserve">ākumus, kas ir plašāki par zinātnieka ikdienas pienākumiem, tad arī prasībām šādiem zinātniekiem būtu jābūt augstākām, kā arī jāsaņem nozarē strādājošo zinātnieku atbalsts (nodrošina vēlēšanu procedūra). Šādam viedoklim, ka ekspertu komisiju locekļiem ir augstākas kvalifikācijas prasības kā LZP ekspertiem piekrīt arī Latvijas Zinātnes padome. </w:t>
            </w:r>
          </w:p>
          <w:p w14:paraId="3E0027A0" w14:textId="5A3FF9E1" w:rsidR="008F265B" w:rsidRPr="00332CA3" w:rsidRDefault="002D2295" w:rsidP="008F265B">
            <w:pPr>
              <w:spacing w:after="0" w:line="240" w:lineRule="auto"/>
              <w:ind w:right="113"/>
              <w:jc w:val="both"/>
              <w:rPr>
                <w:rFonts w:ascii="Times New Roman" w:hAnsi="Times New Roman" w:cs="Times New Roman"/>
                <w:sz w:val="28"/>
                <w:szCs w:val="28"/>
              </w:rPr>
            </w:pPr>
            <w:r w:rsidRPr="00332CA3">
              <w:rPr>
                <w:rFonts w:ascii="Times New Roman" w:hAnsi="Times New Roman" w:cs="Times New Roman"/>
                <w:sz w:val="28"/>
                <w:szCs w:val="28"/>
              </w:rPr>
              <w:t>Projekts paredz, ka par ekspertu var kļūt zin</w:t>
            </w:r>
            <w:r w:rsidR="008F265B" w:rsidRPr="00332CA3">
              <w:rPr>
                <w:rFonts w:ascii="Times New Roman" w:hAnsi="Times New Roman" w:cs="Times New Roman"/>
                <w:sz w:val="28"/>
                <w:szCs w:val="28"/>
              </w:rPr>
              <w:t>ātnieks, kurš</w:t>
            </w:r>
            <w:r w:rsidRPr="00332CA3">
              <w:rPr>
                <w:rFonts w:ascii="Times New Roman" w:hAnsi="Times New Roman" w:cs="Times New Roman"/>
                <w:sz w:val="28"/>
                <w:szCs w:val="28"/>
              </w:rPr>
              <w:t xml:space="preserve"> pēdējo triju gadu laikā ir </w:t>
            </w:r>
            <w:r w:rsidR="008F265B" w:rsidRPr="00332CA3">
              <w:rPr>
                <w:rFonts w:ascii="Times New Roman" w:hAnsi="Times New Roman" w:cs="Times New Roman"/>
                <w:sz w:val="28"/>
                <w:szCs w:val="28"/>
              </w:rPr>
              <w:t>autors vismaz trim zinātniskās darbības rezultātiem attiecīgajā zinātnes nozarē rezultātus skaitot kopā pa šādiem rezultātu veidiem: anonīmi recenzētas zinātniskās publikācijas; zinātniskā publikācija, kura ir pieejamas atvērtajā piekļuvē (</w:t>
            </w:r>
            <w:r w:rsidR="008F265B" w:rsidRPr="00332CA3">
              <w:rPr>
                <w:rFonts w:ascii="Times New Roman" w:hAnsi="Times New Roman" w:cs="Times New Roman"/>
                <w:i/>
                <w:sz w:val="28"/>
                <w:szCs w:val="28"/>
              </w:rPr>
              <w:t>Open Access</w:t>
            </w:r>
            <w:r w:rsidR="008F265B" w:rsidRPr="00332CA3">
              <w:rPr>
                <w:rFonts w:ascii="Times New Roman" w:hAnsi="Times New Roman" w:cs="Times New Roman"/>
                <w:sz w:val="28"/>
                <w:szCs w:val="28"/>
              </w:rPr>
              <w:t xml:space="preserve">); recenzēta zinātniskā monogrāfija. Zinātniskās </w:t>
            </w:r>
            <w:r w:rsidR="008F265B" w:rsidRPr="00332CA3">
              <w:rPr>
                <w:rFonts w:ascii="Times New Roman" w:hAnsi="Times New Roman" w:cs="Times New Roman"/>
                <w:sz w:val="28"/>
                <w:szCs w:val="28"/>
              </w:rPr>
              <w:lastRenderedPageBreak/>
              <w:t>publikācijas un zinātniskās monogrāfijas ir galvenais zinātniskās darbības rezultātu veids, kas pašlaik tiek norādīts piesakoties ekspertu tiesību saņemšanai. Zinātniskās publikācijas, kas pieejamas atvērtajā piekļuvē (</w:t>
            </w:r>
            <w:r w:rsidR="008F265B" w:rsidRPr="00332CA3">
              <w:rPr>
                <w:rFonts w:ascii="Times New Roman" w:hAnsi="Times New Roman" w:cs="Times New Roman"/>
                <w:i/>
                <w:sz w:val="28"/>
                <w:szCs w:val="28"/>
              </w:rPr>
              <w:t>Open Access</w:t>
            </w:r>
            <w:r w:rsidR="008F265B" w:rsidRPr="00332CA3">
              <w:rPr>
                <w:rFonts w:ascii="Times New Roman" w:hAnsi="Times New Roman" w:cs="Times New Roman"/>
                <w:sz w:val="28"/>
                <w:szCs w:val="28"/>
              </w:rPr>
              <w:t xml:space="preserve">) ir izdalītas kā atsevišķs zinātniskās darbības rezultātu veids, jo pašlaik Latvijā dominē publicēšanās slēgtās piekļuves žurnālos. Atvērtā piekļuvē ir publicēti tikai 20% (atbilstoši Eiropas Komisijas veiktam pētījumam) no Latvijas zinātnieku publikācijām, kas ir viens no zemākajiem rādītājiem Eiropas Savienībā. </w:t>
            </w:r>
          </w:p>
          <w:p w14:paraId="7D323429" w14:textId="4957BBFB" w:rsidR="002A5F44" w:rsidRPr="00332CA3" w:rsidRDefault="008F265B" w:rsidP="00B23B28">
            <w:pPr>
              <w:spacing w:after="0" w:line="240" w:lineRule="auto"/>
              <w:ind w:right="113"/>
              <w:jc w:val="both"/>
              <w:rPr>
                <w:rFonts w:ascii="Times New Roman" w:hAnsi="Times New Roman" w:cs="Times New Roman"/>
                <w:sz w:val="28"/>
                <w:szCs w:val="28"/>
              </w:rPr>
            </w:pPr>
            <w:r w:rsidRPr="00332CA3">
              <w:rPr>
                <w:rFonts w:ascii="Times New Roman" w:hAnsi="Times New Roman" w:cs="Times New Roman"/>
                <w:sz w:val="28"/>
                <w:szCs w:val="28"/>
              </w:rPr>
              <w:t xml:space="preserve">Ņemot vērā, ka Eiropas Savienības </w:t>
            </w:r>
            <w:r w:rsidR="00A6747A" w:rsidRPr="00332CA3">
              <w:rPr>
                <w:rFonts w:ascii="Times New Roman" w:hAnsi="Times New Roman" w:cs="Times New Roman"/>
                <w:sz w:val="28"/>
                <w:szCs w:val="28"/>
              </w:rPr>
              <w:t>dalīb</w:t>
            </w:r>
            <w:r w:rsidRPr="00332CA3">
              <w:rPr>
                <w:rFonts w:ascii="Times New Roman" w:hAnsi="Times New Roman" w:cs="Times New Roman"/>
                <w:sz w:val="28"/>
                <w:szCs w:val="28"/>
              </w:rPr>
              <w:t xml:space="preserve">valstu ministri </w:t>
            </w:r>
            <w:r w:rsidR="00EA09E8" w:rsidRPr="00332CA3">
              <w:rPr>
                <w:rFonts w:ascii="Times New Roman" w:hAnsi="Times New Roman" w:cs="Times New Roman"/>
                <w:sz w:val="28"/>
                <w:szCs w:val="28"/>
              </w:rPr>
              <w:t xml:space="preserve">par atbalstu </w:t>
            </w:r>
            <w:r w:rsidR="00F4583B" w:rsidRPr="00332CA3">
              <w:rPr>
                <w:rFonts w:ascii="Times New Roman" w:hAnsi="Times New Roman" w:cs="Times New Roman"/>
                <w:sz w:val="28"/>
                <w:szCs w:val="28"/>
              </w:rPr>
              <w:t>“Amsterdamas rīcības plānā” (</w:t>
            </w:r>
            <w:r w:rsidR="00F4583B" w:rsidRPr="00332CA3">
              <w:rPr>
                <w:rFonts w:ascii="Times New Roman" w:hAnsi="Times New Roman" w:cs="Times New Roman"/>
                <w:i/>
                <w:sz w:val="28"/>
                <w:szCs w:val="28"/>
              </w:rPr>
              <w:t>The Amsterdam call for action</w:t>
            </w:r>
            <w:r w:rsidR="00F4583B" w:rsidRPr="00332CA3">
              <w:rPr>
                <w:rFonts w:ascii="Times New Roman" w:hAnsi="Times New Roman" w:cs="Times New Roman"/>
                <w:sz w:val="28"/>
                <w:szCs w:val="28"/>
              </w:rPr>
              <w:t xml:space="preserve">, pieejams: https://www.government.nl /documents/reports/2016/04/04/amsterdam-call-for-action-on-open-science) </w:t>
            </w:r>
            <w:r w:rsidR="00EA09E8" w:rsidRPr="00332CA3">
              <w:rPr>
                <w:rFonts w:ascii="Times New Roman" w:hAnsi="Times New Roman" w:cs="Times New Roman"/>
                <w:sz w:val="28"/>
                <w:szCs w:val="28"/>
              </w:rPr>
              <w:t xml:space="preserve">noteiktajiem principiem un </w:t>
            </w:r>
            <w:r w:rsidRPr="00332CA3">
              <w:rPr>
                <w:rFonts w:ascii="Times New Roman" w:hAnsi="Times New Roman" w:cs="Times New Roman"/>
                <w:sz w:val="28"/>
                <w:szCs w:val="28"/>
              </w:rPr>
              <w:t>100% zinātnisko publikāciju publicēšanu atvērtajā piekļuvē, ja publikāciju sagatavošanā izmantots publiskais finansējums</w:t>
            </w:r>
            <w:r w:rsidR="00F4583B" w:rsidRPr="00332CA3">
              <w:rPr>
                <w:rFonts w:ascii="Times New Roman" w:hAnsi="Times New Roman" w:cs="Times New Roman"/>
                <w:sz w:val="28"/>
                <w:szCs w:val="28"/>
              </w:rPr>
              <w:t xml:space="preserve">. Papildus norādām, ka </w:t>
            </w:r>
            <w:r w:rsidRPr="00332CA3">
              <w:rPr>
                <w:rFonts w:ascii="Times New Roman" w:hAnsi="Times New Roman" w:cs="Times New Roman"/>
                <w:sz w:val="28"/>
                <w:szCs w:val="28"/>
              </w:rPr>
              <w:t>atvērtā zinātne un atvērtā piekļuve (</w:t>
            </w:r>
            <w:r w:rsidRPr="00332CA3">
              <w:rPr>
                <w:rFonts w:ascii="Times New Roman" w:hAnsi="Times New Roman" w:cs="Times New Roman"/>
                <w:i/>
                <w:sz w:val="28"/>
                <w:szCs w:val="28"/>
              </w:rPr>
              <w:t xml:space="preserve">Open Science </w:t>
            </w:r>
            <w:r w:rsidRPr="00332CA3">
              <w:rPr>
                <w:rFonts w:ascii="Times New Roman" w:hAnsi="Times New Roman" w:cs="Times New Roman"/>
                <w:sz w:val="28"/>
                <w:szCs w:val="28"/>
              </w:rPr>
              <w:t>un</w:t>
            </w:r>
            <w:r w:rsidRPr="00332CA3">
              <w:rPr>
                <w:rFonts w:ascii="Times New Roman" w:hAnsi="Times New Roman" w:cs="Times New Roman"/>
                <w:i/>
                <w:sz w:val="28"/>
                <w:szCs w:val="28"/>
              </w:rPr>
              <w:t xml:space="preserve"> Open Access</w:t>
            </w:r>
            <w:r w:rsidRPr="00332CA3">
              <w:rPr>
                <w:rFonts w:ascii="Times New Roman" w:hAnsi="Times New Roman" w:cs="Times New Roman"/>
                <w:sz w:val="28"/>
                <w:szCs w:val="28"/>
              </w:rPr>
              <w:t xml:space="preserve">) ir vienas no Eiropas Komisijas </w:t>
            </w:r>
            <w:r w:rsidR="00F4583B" w:rsidRPr="00332CA3">
              <w:rPr>
                <w:rFonts w:ascii="Times New Roman" w:hAnsi="Times New Roman" w:cs="Times New Roman"/>
                <w:sz w:val="28"/>
                <w:szCs w:val="28"/>
              </w:rPr>
              <w:t xml:space="preserve">politikas </w:t>
            </w:r>
            <w:r w:rsidRPr="00332CA3">
              <w:rPr>
                <w:rFonts w:ascii="Times New Roman" w:hAnsi="Times New Roman" w:cs="Times New Roman"/>
                <w:sz w:val="28"/>
                <w:szCs w:val="28"/>
              </w:rPr>
              <w:t>prioritātēm</w:t>
            </w:r>
            <w:r w:rsidR="00F4583B" w:rsidRPr="00332CA3">
              <w:rPr>
                <w:rFonts w:ascii="Times New Roman" w:hAnsi="Times New Roman" w:cs="Times New Roman"/>
                <w:sz w:val="28"/>
                <w:szCs w:val="28"/>
              </w:rPr>
              <w:t xml:space="preserve">.  Tādējādi projekts paredz stimulu publicēšanās kultūras maiņai, pakāpeniski pārejot no publicēšanās slēgtas </w:t>
            </w:r>
            <w:r w:rsidR="006E4EA2" w:rsidRPr="00332CA3">
              <w:rPr>
                <w:rFonts w:ascii="Times New Roman" w:hAnsi="Times New Roman" w:cs="Times New Roman"/>
                <w:sz w:val="28"/>
                <w:szCs w:val="28"/>
              </w:rPr>
              <w:t>p</w:t>
            </w:r>
            <w:r w:rsidR="00F4583B" w:rsidRPr="00332CA3">
              <w:rPr>
                <w:rFonts w:ascii="Times New Roman" w:hAnsi="Times New Roman" w:cs="Times New Roman"/>
                <w:sz w:val="28"/>
                <w:szCs w:val="28"/>
              </w:rPr>
              <w:t xml:space="preserve">iekļuves žurnālos uz publicēšanos atvērtas piekļuves žurnālos, bet vienlaikus neierobežo zinātnieka tiesības izvēlēties publicēšanas vietu atbilstoši </w:t>
            </w:r>
            <w:r w:rsidR="006E4EA2" w:rsidRPr="00332CA3">
              <w:rPr>
                <w:rFonts w:ascii="Times New Roman" w:hAnsi="Times New Roman" w:cs="Times New Roman"/>
                <w:sz w:val="28"/>
                <w:szCs w:val="28"/>
              </w:rPr>
              <w:t xml:space="preserve">zinātniskās darbības rezultāta tēmai. Visu zinātniskās darbības rezultātu kvalitātes kritērijus (tai skaitā kvalitātes kritērijus zinātniskajām publikācijām, kas publicētas atvērtajā piekļuvē) pa zinātnes nozarēm un minēto kritēriju izvērtēšanas kārtību nosaka LZP. </w:t>
            </w:r>
          </w:p>
          <w:p w14:paraId="735DE974" w14:textId="54EE024B" w:rsidR="00672970" w:rsidRPr="00332CA3" w:rsidRDefault="00606BB6" w:rsidP="003445FD">
            <w:pPr>
              <w:spacing w:after="0" w:line="240" w:lineRule="auto"/>
              <w:ind w:right="113"/>
              <w:jc w:val="both"/>
              <w:rPr>
                <w:rFonts w:ascii="Times New Roman" w:hAnsi="Times New Roman" w:cs="Times New Roman"/>
                <w:bCs/>
                <w:sz w:val="28"/>
                <w:szCs w:val="28"/>
              </w:rPr>
            </w:pPr>
            <w:r w:rsidRPr="00332CA3">
              <w:rPr>
                <w:rFonts w:ascii="Times New Roman" w:hAnsi="Times New Roman" w:cs="Times New Roman"/>
                <w:sz w:val="28"/>
                <w:szCs w:val="28"/>
              </w:rPr>
              <w:t>3</w:t>
            </w:r>
            <w:r w:rsidR="00F65E8D" w:rsidRPr="00332CA3">
              <w:rPr>
                <w:rFonts w:ascii="Times New Roman" w:hAnsi="Times New Roman" w:cs="Times New Roman"/>
                <w:sz w:val="28"/>
                <w:szCs w:val="28"/>
              </w:rPr>
              <w:t xml:space="preserve">) </w:t>
            </w:r>
            <w:r w:rsidR="00F65E8D" w:rsidRPr="00332CA3">
              <w:rPr>
                <w:rFonts w:ascii="Times New Roman" w:hAnsi="Times New Roman" w:cs="Times New Roman"/>
                <w:bCs/>
                <w:sz w:val="28"/>
                <w:szCs w:val="28"/>
              </w:rPr>
              <w:t>MK note</w:t>
            </w:r>
            <w:r w:rsidR="00672970" w:rsidRPr="00332CA3">
              <w:rPr>
                <w:rFonts w:ascii="Times New Roman" w:hAnsi="Times New Roman" w:cs="Times New Roman"/>
                <w:bCs/>
                <w:sz w:val="28"/>
                <w:szCs w:val="28"/>
              </w:rPr>
              <w:t>ikumu</w:t>
            </w:r>
            <w:r w:rsidR="00F65E8D" w:rsidRPr="00332CA3">
              <w:rPr>
                <w:rFonts w:ascii="Times New Roman" w:hAnsi="Times New Roman" w:cs="Times New Roman"/>
                <w:bCs/>
                <w:sz w:val="28"/>
                <w:szCs w:val="28"/>
              </w:rPr>
              <w:t xml:space="preserve"> Nr. 497 </w:t>
            </w:r>
            <w:r w:rsidR="00672970" w:rsidRPr="00332CA3">
              <w:rPr>
                <w:rFonts w:ascii="Times New Roman" w:hAnsi="Times New Roman" w:cs="Times New Roman"/>
                <w:sz w:val="28"/>
                <w:szCs w:val="28"/>
              </w:rPr>
              <w:t>2., 3., 4. un 5. punkts, kā arī II nodaļa “Ekspertu komisiju locekļu kandidātu un vēlētāju sarakstu veidošana” un III nodaļa “Ekspertu komisiju vēlēšanas” noteic ekspertu komisiju izveidošanas kārtību. Esošais regulējums ir visai haotisks</w:t>
            </w:r>
            <w:r w:rsidRPr="00332CA3">
              <w:rPr>
                <w:rFonts w:ascii="Times New Roman" w:hAnsi="Times New Roman" w:cs="Times New Roman"/>
                <w:sz w:val="28"/>
                <w:szCs w:val="28"/>
              </w:rPr>
              <w:t xml:space="preserve">, vairākas normas dublē citus normatīvus aktus, bet ekspertu komisiju vēlēšanas procedūra ir sarežģīta, laikietilpīga un morāli novecojusi. </w:t>
            </w:r>
            <w:r w:rsidR="000973B9" w:rsidRPr="00332CA3">
              <w:rPr>
                <w:rFonts w:ascii="Times New Roman" w:hAnsi="Times New Roman" w:cs="Times New Roman"/>
                <w:sz w:val="28"/>
                <w:szCs w:val="28"/>
              </w:rPr>
              <w:t xml:space="preserve">Lai LZP ekspertu </w:t>
            </w:r>
            <w:r w:rsidR="000973B9" w:rsidRPr="00332CA3">
              <w:rPr>
                <w:rFonts w:ascii="Times New Roman" w:hAnsi="Times New Roman" w:cs="Times New Roman"/>
                <w:sz w:val="28"/>
                <w:szCs w:val="28"/>
              </w:rPr>
              <w:lastRenderedPageBreak/>
              <w:t>komisiju izveidošanas kārtību padarīt skaidrāku, vieglāku un mūsdienām atbilstošu, visi jautājumi, kas saistīti ar ekspertu komisiju izveidošanu ir ietverti vienā nodaļā, paredzot, ka ekspertu komisijas locekļus ievēlē elektroniskās vēlēšanās (noteikumu projekta III nodaļa).</w:t>
            </w:r>
            <w:r w:rsidR="003F1C7E">
              <w:rPr>
                <w:rFonts w:ascii="Times New Roman" w:hAnsi="Times New Roman" w:cs="Times New Roman"/>
                <w:sz w:val="28"/>
                <w:szCs w:val="28"/>
              </w:rPr>
              <w:t xml:space="preserve"> Pāreja uz elektroniskajām vēlēšanām samazinās administratīvo slogu Latvijas Zinātnes padomei, kā arī zinātniekiem, kuriem vairs nebūs jāierodas uz balsošanu klātienē.</w:t>
            </w:r>
            <w:r w:rsidR="00C707E7">
              <w:rPr>
                <w:rFonts w:ascii="Times New Roman" w:hAnsi="Times New Roman" w:cs="Times New Roman"/>
                <w:sz w:val="28"/>
                <w:szCs w:val="28"/>
              </w:rPr>
              <w:t xml:space="preserve"> Elektroniskās vēlēšanas nodrošinās LZP ar esošajiem cilvēkresursiem</w:t>
            </w:r>
            <w:r w:rsidR="009A445F">
              <w:rPr>
                <w:rFonts w:ascii="Times New Roman" w:hAnsi="Times New Roman" w:cs="Times New Roman"/>
                <w:sz w:val="28"/>
                <w:szCs w:val="28"/>
              </w:rPr>
              <w:t xml:space="preserve"> (līdzīgi kā pašreizējā situācijā)</w:t>
            </w:r>
            <w:r w:rsidR="00C707E7">
              <w:rPr>
                <w:rFonts w:ascii="Times New Roman" w:hAnsi="Times New Roman" w:cs="Times New Roman"/>
                <w:sz w:val="28"/>
                <w:szCs w:val="28"/>
              </w:rPr>
              <w:t xml:space="preserve">, Nacionālās zinātniskās darbības informācijas sistēmas uzturēšanu un darbības nodrošināšanu veiks Izglītības un zinātnes ministrija (sistēmas pārzinis). </w:t>
            </w:r>
          </w:p>
          <w:p w14:paraId="3C4D7A10" w14:textId="51585BEE" w:rsidR="003445FD" w:rsidRPr="00332CA3" w:rsidRDefault="000973B9" w:rsidP="003445FD">
            <w:pPr>
              <w:spacing w:after="0" w:line="240" w:lineRule="auto"/>
              <w:ind w:right="113"/>
              <w:jc w:val="both"/>
              <w:rPr>
                <w:rFonts w:ascii="Times New Roman" w:hAnsi="Times New Roman" w:cs="Times New Roman"/>
                <w:sz w:val="28"/>
                <w:szCs w:val="28"/>
              </w:rPr>
            </w:pPr>
            <w:r w:rsidRPr="00332CA3">
              <w:rPr>
                <w:rFonts w:ascii="Times New Roman" w:hAnsi="Times New Roman" w:cs="Times New Roman"/>
                <w:bCs/>
                <w:sz w:val="28"/>
                <w:szCs w:val="28"/>
              </w:rPr>
              <w:t xml:space="preserve">4) MK noteikumu Nr. 497 </w:t>
            </w:r>
            <w:r w:rsidR="00F65E8D" w:rsidRPr="00332CA3">
              <w:rPr>
                <w:rFonts w:ascii="Times New Roman" w:hAnsi="Times New Roman" w:cs="Times New Roman"/>
                <w:bCs/>
                <w:sz w:val="28"/>
                <w:szCs w:val="28"/>
              </w:rPr>
              <w:t>3. punktā ir noteikt</w:t>
            </w:r>
            <w:r w:rsidR="003F1C7E">
              <w:rPr>
                <w:rFonts w:ascii="Times New Roman" w:hAnsi="Times New Roman" w:cs="Times New Roman"/>
                <w:bCs/>
                <w:sz w:val="28"/>
                <w:szCs w:val="28"/>
              </w:rPr>
              <w:t>s</w:t>
            </w:r>
            <w:r w:rsidR="00F65E8D" w:rsidRPr="00332CA3">
              <w:rPr>
                <w:rFonts w:ascii="Times New Roman" w:hAnsi="Times New Roman" w:cs="Times New Roman"/>
                <w:bCs/>
                <w:sz w:val="28"/>
                <w:szCs w:val="28"/>
              </w:rPr>
              <w:t xml:space="preserve">, ka </w:t>
            </w:r>
            <w:r w:rsidR="00F87020" w:rsidRPr="00332CA3">
              <w:rPr>
                <w:rFonts w:ascii="Times New Roman" w:hAnsi="Times New Roman" w:cs="Times New Roman"/>
                <w:sz w:val="28"/>
                <w:szCs w:val="28"/>
              </w:rPr>
              <w:t>LZP ir piecas</w:t>
            </w:r>
            <w:r w:rsidR="003445FD" w:rsidRPr="00332CA3">
              <w:rPr>
                <w:rFonts w:ascii="Times New Roman" w:hAnsi="Times New Roman" w:cs="Times New Roman"/>
                <w:sz w:val="28"/>
                <w:szCs w:val="28"/>
              </w:rPr>
              <w:t xml:space="preserve"> ekspertu komisijas: </w:t>
            </w:r>
          </w:p>
          <w:p w14:paraId="035097CD" w14:textId="77777777" w:rsidR="003445FD" w:rsidRPr="00332CA3" w:rsidRDefault="003445FD" w:rsidP="003445FD">
            <w:pPr>
              <w:pStyle w:val="tv213"/>
              <w:spacing w:before="0" w:beforeAutospacing="0" w:after="0" w:afterAutospacing="0"/>
              <w:jc w:val="both"/>
              <w:rPr>
                <w:sz w:val="28"/>
                <w:szCs w:val="28"/>
                <w:lang w:val="lv-LV"/>
              </w:rPr>
            </w:pPr>
            <w:r w:rsidRPr="00332CA3">
              <w:rPr>
                <w:sz w:val="28"/>
                <w:szCs w:val="28"/>
                <w:lang w:val="lv-LV"/>
              </w:rPr>
              <w:t>1. dabaszinātņu un matemātikas ekspertu komisija;</w:t>
            </w:r>
          </w:p>
          <w:p w14:paraId="45DC3ABC" w14:textId="77777777" w:rsidR="003445FD" w:rsidRPr="00332CA3" w:rsidRDefault="003445FD" w:rsidP="003445FD">
            <w:pPr>
              <w:pStyle w:val="tv213"/>
              <w:spacing w:before="0" w:beforeAutospacing="0" w:after="0" w:afterAutospacing="0"/>
              <w:jc w:val="both"/>
              <w:rPr>
                <w:sz w:val="28"/>
                <w:szCs w:val="28"/>
                <w:lang w:val="lv-LV"/>
              </w:rPr>
            </w:pPr>
            <w:r w:rsidRPr="00332CA3">
              <w:rPr>
                <w:sz w:val="28"/>
                <w:szCs w:val="28"/>
                <w:lang w:val="lv-LV"/>
              </w:rPr>
              <w:t>2. inženierzinātņu un datorzinātnes ekspertu komisija;</w:t>
            </w:r>
          </w:p>
          <w:p w14:paraId="2CC61F08" w14:textId="77777777" w:rsidR="003445FD" w:rsidRPr="00332CA3" w:rsidRDefault="003445FD" w:rsidP="003445FD">
            <w:pPr>
              <w:pStyle w:val="tv213"/>
              <w:spacing w:before="0" w:beforeAutospacing="0" w:after="0" w:afterAutospacing="0"/>
              <w:jc w:val="both"/>
              <w:rPr>
                <w:sz w:val="28"/>
                <w:szCs w:val="28"/>
                <w:lang w:val="lv-LV"/>
              </w:rPr>
            </w:pPr>
            <w:r w:rsidRPr="00332CA3">
              <w:rPr>
                <w:sz w:val="28"/>
                <w:szCs w:val="28"/>
                <w:lang w:val="lv-LV"/>
              </w:rPr>
              <w:t>3. bioloģijas un medicīnas zinātnes ekspertu komisija;</w:t>
            </w:r>
          </w:p>
          <w:p w14:paraId="47A1537E" w14:textId="034DF5E3" w:rsidR="003445FD" w:rsidRPr="00332CA3" w:rsidRDefault="001068C7" w:rsidP="003445FD">
            <w:pPr>
              <w:pStyle w:val="tv213"/>
              <w:spacing w:before="0" w:beforeAutospacing="0" w:after="0" w:afterAutospacing="0"/>
              <w:jc w:val="both"/>
              <w:rPr>
                <w:sz w:val="28"/>
                <w:szCs w:val="28"/>
                <w:lang w:val="lv-LV"/>
              </w:rPr>
            </w:pPr>
            <w:r w:rsidRPr="00332CA3">
              <w:rPr>
                <w:sz w:val="28"/>
                <w:szCs w:val="28"/>
                <w:lang w:val="lv-LV"/>
              </w:rPr>
              <w:t xml:space="preserve">4. </w:t>
            </w:r>
            <w:r w:rsidR="003445FD" w:rsidRPr="00332CA3">
              <w:rPr>
                <w:sz w:val="28"/>
                <w:szCs w:val="28"/>
                <w:lang w:val="lv-LV"/>
              </w:rPr>
              <w:t>lauksaimniecības, vides, zemes un meža zinātņu ekspertu komisija;</w:t>
            </w:r>
          </w:p>
          <w:p w14:paraId="59FEDE26" w14:textId="7B13DDE4" w:rsidR="00FA6071" w:rsidRPr="00332CA3" w:rsidRDefault="003445FD" w:rsidP="003445FD">
            <w:pPr>
              <w:pStyle w:val="tv213"/>
              <w:spacing w:before="0" w:beforeAutospacing="0" w:after="0" w:afterAutospacing="0"/>
              <w:jc w:val="both"/>
              <w:rPr>
                <w:sz w:val="28"/>
                <w:szCs w:val="28"/>
                <w:lang w:val="lv-LV"/>
              </w:rPr>
            </w:pPr>
            <w:r w:rsidRPr="00332CA3">
              <w:rPr>
                <w:sz w:val="28"/>
                <w:szCs w:val="28"/>
                <w:lang w:val="lv-LV"/>
              </w:rPr>
              <w:t>5. humanitāro un sociālo zinātņu ekspertu komisija.</w:t>
            </w:r>
          </w:p>
          <w:p w14:paraId="36FBB824" w14:textId="72680AF7" w:rsidR="00443E04" w:rsidRPr="00332CA3" w:rsidRDefault="000C4EDD" w:rsidP="003F1C7E">
            <w:pPr>
              <w:pStyle w:val="tv213"/>
              <w:spacing w:before="0" w:beforeAutospacing="0" w:after="0" w:afterAutospacing="0"/>
              <w:jc w:val="both"/>
              <w:rPr>
                <w:sz w:val="28"/>
                <w:szCs w:val="28"/>
                <w:lang w:val="lv-LV"/>
              </w:rPr>
            </w:pPr>
            <w:r w:rsidRPr="00332CA3">
              <w:rPr>
                <w:sz w:val="28"/>
                <w:szCs w:val="28"/>
                <w:lang w:val="lv-LV"/>
              </w:rPr>
              <w:t xml:space="preserve">Pašreizējais ekspertu iedalījums komisijās nesakrīt ar Ekonomiskās sadarbības un attīstības organizācijas (turpmāk – OECD) zinātnes statistikas metodoloģijas krājumā </w:t>
            </w:r>
            <w:r w:rsidRPr="00332CA3">
              <w:rPr>
                <w:i/>
                <w:sz w:val="28"/>
                <w:szCs w:val="28"/>
                <w:lang w:val="lv-LV"/>
              </w:rPr>
              <w:t>Frascati Manual</w:t>
            </w:r>
            <w:r w:rsidRPr="00332CA3">
              <w:rPr>
                <w:sz w:val="28"/>
                <w:szCs w:val="28"/>
                <w:lang w:val="lv-LV"/>
              </w:rPr>
              <w:t xml:space="preserve"> esošo zinātņu nozaru aprakstu, kuru IZM izmantoja, gatavojot  2017. gada 6. jūlijā </w:t>
            </w:r>
            <w:r w:rsidRPr="00332CA3">
              <w:rPr>
                <w:bCs/>
                <w:sz w:val="28"/>
                <w:szCs w:val="28"/>
                <w:lang w:val="lv-LV"/>
              </w:rPr>
              <w:t>Valsts sekretāru sanāksmē izsludināto</w:t>
            </w:r>
            <w:r w:rsidRPr="00332CA3">
              <w:rPr>
                <w:sz w:val="28"/>
                <w:szCs w:val="28"/>
                <w:lang w:val="lv-LV"/>
              </w:rPr>
              <w:t xml:space="preserve"> Ministru kabineta noteikumu projektu “Noteikumi par Latvijas zinātnes nozarēm un apakšnozarēm””</w:t>
            </w:r>
            <w:r w:rsidR="00346D1C" w:rsidRPr="00332CA3">
              <w:rPr>
                <w:sz w:val="28"/>
                <w:szCs w:val="28"/>
                <w:lang w:val="lv-LV"/>
              </w:rPr>
              <w:t xml:space="preserve"> (VSS-724),</w:t>
            </w:r>
            <w:r w:rsidRPr="00332CA3">
              <w:rPr>
                <w:sz w:val="28"/>
                <w:szCs w:val="28"/>
                <w:lang w:val="lv-LV"/>
              </w:rPr>
              <w:t xml:space="preserve"> kas nosaka Latvijas zinātnes nozares un apakšnozares.</w:t>
            </w:r>
            <w:r w:rsidR="007167C2" w:rsidRPr="00332CA3">
              <w:rPr>
                <w:sz w:val="28"/>
                <w:szCs w:val="28"/>
                <w:lang w:val="lv-LV"/>
              </w:rPr>
              <w:t xml:space="preserve"> </w:t>
            </w:r>
            <w:r w:rsidR="006A4BF0" w:rsidRPr="00332CA3">
              <w:rPr>
                <w:sz w:val="28"/>
                <w:szCs w:val="28"/>
                <w:lang w:val="lv-LV"/>
              </w:rPr>
              <w:t>Vienlaikus strikts dalījums komisijās būtiski pasliktina ekspertu komunikāciju starp grupām, kas negatīvi ietekmē to darbību, it īpaši starpdisciplināro pētījumu organizēšanā. Ar mērķi veidot tādas LZP ekspertu komisijas, kuras efektīvi un kvalitatīvi varēs pildīt tām normatīvajos aktos noteiktos uzdevumus, kā arī, lai LZP vidējam plānošanas termiņam (3 gadi – un ekspertu komisiju pilnvaru termiņš ir 3 gadi) varētu izveidot atbilstošu ekspertu komisiju skaitu un noteikt to sastāvu, kā arī p</w:t>
            </w:r>
            <w:r w:rsidR="003C16A3" w:rsidRPr="00332CA3">
              <w:rPr>
                <w:bCs/>
                <w:sz w:val="28"/>
                <w:szCs w:val="28"/>
                <w:lang w:val="lv-LV"/>
              </w:rPr>
              <w:t xml:space="preserve">amatojoties uz </w:t>
            </w:r>
            <w:r w:rsidR="00764C96" w:rsidRPr="00332CA3">
              <w:rPr>
                <w:bCs/>
                <w:sz w:val="28"/>
                <w:szCs w:val="28"/>
                <w:lang w:val="lv-LV"/>
              </w:rPr>
              <w:t>Zinātn</w:t>
            </w:r>
            <w:r w:rsidR="001068C7" w:rsidRPr="00332CA3">
              <w:rPr>
                <w:bCs/>
                <w:sz w:val="28"/>
                <w:szCs w:val="28"/>
                <w:lang w:val="lv-LV"/>
              </w:rPr>
              <w:t xml:space="preserve">iskās darbības likuma </w:t>
            </w:r>
            <w:r w:rsidR="003C16A3" w:rsidRPr="00332CA3">
              <w:rPr>
                <w:bCs/>
                <w:sz w:val="28"/>
                <w:szCs w:val="28"/>
                <w:lang w:val="lv-LV"/>
              </w:rPr>
              <w:t>18. </w:t>
            </w:r>
            <w:r w:rsidR="00FF4288" w:rsidRPr="00332CA3">
              <w:rPr>
                <w:bCs/>
                <w:sz w:val="28"/>
                <w:szCs w:val="28"/>
                <w:lang w:val="lv-LV"/>
              </w:rPr>
              <w:t xml:space="preserve">panta piektās daļas kurā </w:t>
            </w:r>
            <w:r w:rsidR="00FF4288" w:rsidRPr="00332CA3">
              <w:rPr>
                <w:bCs/>
                <w:sz w:val="28"/>
                <w:szCs w:val="28"/>
                <w:lang w:val="lv-LV"/>
              </w:rPr>
              <w:lastRenderedPageBreak/>
              <w:t>teikts, ka ar ekspertu komisiju izveidošanu un darbību saistītos jaut</w:t>
            </w:r>
            <w:r w:rsidR="001068C7" w:rsidRPr="00332CA3">
              <w:rPr>
                <w:bCs/>
                <w:sz w:val="28"/>
                <w:szCs w:val="28"/>
                <w:lang w:val="lv-LV"/>
              </w:rPr>
              <w:t xml:space="preserve">ājums regulē Ministru kabinets un saskaņā ar Zinātniskās darbības likuma </w:t>
            </w:r>
            <w:r w:rsidR="002820C2" w:rsidRPr="00332CA3">
              <w:rPr>
                <w:bCs/>
                <w:sz w:val="28"/>
                <w:szCs w:val="28"/>
                <w:lang w:val="lv-LV"/>
              </w:rPr>
              <w:t>16. </w:t>
            </w:r>
            <w:r w:rsidR="00FF4288" w:rsidRPr="00332CA3">
              <w:rPr>
                <w:bCs/>
                <w:sz w:val="28"/>
                <w:szCs w:val="28"/>
                <w:lang w:val="lv-LV"/>
              </w:rPr>
              <w:t>panta 8.</w:t>
            </w:r>
            <w:r w:rsidR="002820C2" w:rsidRPr="00332CA3">
              <w:rPr>
                <w:bCs/>
                <w:sz w:val="28"/>
                <w:szCs w:val="28"/>
                <w:lang w:val="lv-LV"/>
              </w:rPr>
              <w:t> </w:t>
            </w:r>
            <w:r w:rsidR="001068C7" w:rsidRPr="00332CA3">
              <w:rPr>
                <w:bCs/>
                <w:sz w:val="28"/>
                <w:szCs w:val="28"/>
                <w:lang w:val="lv-LV"/>
              </w:rPr>
              <w:t>punktu, kurā</w:t>
            </w:r>
            <w:r w:rsidR="00FF4288" w:rsidRPr="00332CA3">
              <w:rPr>
                <w:bCs/>
                <w:sz w:val="28"/>
                <w:szCs w:val="28"/>
                <w:lang w:val="lv-LV"/>
              </w:rPr>
              <w:t xml:space="preserve"> </w:t>
            </w:r>
            <w:r w:rsidR="001068C7" w:rsidRPr="00332CA3">
              <w:rPr>
                <w:bCs/>
                <w:sz w:val="28"/>
                <w:szCs w:val="28"/>
                <w:lang w:val="lv-LV"/>
              </w:rPr>
              <w:t>noteikts</w:t>
            </w:r>
            <w:r w:rsidR="00D14BAA" w:rsidRPr="00332CA3">
              <w:rPr>
                <w:bCs/>
                <w:sz w:val="28"/>
                <w:szCs w:val="28"/>
                <w:lang w:val="lv-LV"/>
              </w:rPr>
              <w:t>, ka LZP kompetencē ietilpst ekspertu komisiju izveidošana, t</w:t>
            </w:r>
            <w:r w:rsidR="001068C7" w:rsidRPr="00332CA3">
              <w:rPr>
                <w:bCs/>
                <w:sz w:val="28"/>
                <w:szCs w:val="28"/>
                <w:lang w:val="lv-LV"/>
              </w:rPr>
              <w:t xml:space="preserve">o darbības kārtība un kontrole, </w:t>
            </w:r>
            <w:r w:rsidR="000973B9" w:rsidRPr="00332CA3">
              <w:rPr>
                <w:sz w:val="28"/>
                <w:szCs w:val="28"/>
                <w:lang w:val="lv-LV"/>
              </w:rPr>
              <w:t xml:space="preserve">noteikumu </w:t>
            </w:r>
            <w:r w:rsidR="001E6C4B" w:rsidRPr="00332CA3">
              <w:rPr>
                <w:bCs/>
                <w:sz w:val="28"/>
                <w:szCs w:val="28"/>
                <w:lang w:val="lv-LV"/>
              </w:rPr>
              <w:t>projekta</w:t>
            </w:r>
            <w:r w:rsidR="000973B9" w:rsidRPr="00332CA3">
              <w:rPr>
                <w:bCs/>
                <w:sz w:val="28"/>
                <w:szCs w:val="28"/>
                <w:lang w:val="lv-LV"/>
              </w:rPr>
              <w:t xml:space="preserve"> 12</w:t>
            </w:r>
            <w:r w:rsidR="002820C2" w:rsidRPr="00332CA3">
              <w:rPr>
                <w:bCs/>
                <w:sz w:val="28"/>
                <w:szCs w:val="28"/>
                <w:lang w:val="lv-LV"/>
              </w:rPr>
              <w:t>. </w:t>
            </w:r>
            <w:r w:rsidR="000973B9" w:rsidRPr="00332CA3">
              <w:rPr>
                <w:bCs/>
                <w:sz w:val="28"/>
                <w:szCs w:val="28"/>
                <w:lang w:val="lv-LV"/>
              </w:rPr>
              <w:t xml:space="preserve">punktā paredzēts, ka ekspertu komisiju skaitu un to sastāvu, </w:t>
            </w:r>
            <w:r w:rsidR="003F1C7E">
              <w:rPr>
                <w:bCs/>
                <w:sz w:val="28"/>
                <w:szCs w:val="28"/>
                <w:lang w:val="lv-LV"/>
              </w:rPr>
              <w:t>nodrošinot</w:t>
            </w:r>
            <w:r w:rsidR="000973B9" w:rsidRPr="00332CA3">
              <w:rPr>
                <w:bCs/>
                <w:sz w:val="28"/>
                <w:szCs w:val="28"/>
                <w:lang w:val="lv-LV"/>
              </w:rPr>
              <w:t>, ka komisijās ir līdzvērtīgi pārstāvēti visu zinātņu nozaru eksperti</w:t>
            </w:r>
            <w:r w:rsidR="00D66A51" w:rsidRPr="00332CA3">
              <w:rPr>
                <w:bCs/>
                <w:sz w:val="28"/>
                <w:szCs w:val="28"/>
                <w:lang w:val="lv-LV"/>
              </w:rPr>
              <w:t xml:space="preserve">, </w:t>
            </w:r>
            <w:r w:rsidR="000973B9" w:rsidRPr="00332CA3">
              <w:rPr>
                <w:bCs/>
                <w:sz w:val="28"/>
                <w:szCs w:val="28"/>
                <w:lang w:val="lv-LV"/>
              </w:rPr>
              <w:t xml:space="preserve">nosaka </w:t>
            </w:r>
            <w:r w:rsidR="009600E6" w:rsidRPr="00332CA3">
              <w:rPr>
                <w:bCs/>
                <w:sz w:val="28"/>
                <w:szCs w:val="28"/>
                <w:lang w:val="lv-LV"/>
              </w:rPr>
              <w:t>LZP. Savukārt, noteikumu projekta</w:t>
            </w:r>
            <w:r w:rsidR="000973B9" w:rsidRPr="00332CA3">
              <w:rPr>
                <w:bCs/>
                <w:sz w:val="28"/>
                <w:szCs w:val="28"/>
                <w:lang w:val="lv-LV"/>
              </w:rPr>
              <w:t xml:space="preserve"> 3</w:t>
            </w:r>
            <w:r w:rsidR="003F1C7E">
              <w:rPr>
                <w:bCs/>
                <w:sz w:val="28"/>
                <w:szCs w:val="28"/>
                <w:lang w:val="lv-LV"/>
              </w:rPr>
              <w:t>1</w:t>
            </w:r>
            <w:r w:rsidR="002820C2" w:rsidRPr="00332CA3">
              <w:rPr>
                <w:bCs/>
                <w:sz w:val="28"/>
                <w:szCs w:val="28"/>
                <w:lang w:val="lv-LV"/>
              </w:rPr>
              <w:t>. </w:t>
            </w:r>
            <w:r w:rsidR="001E6C4B" w:rsidRPr="00332CA3">
              <w:rPr>
                <w:bCs/>
                <w:sz w:val="28"/>
                <w:szCs w:val="28"/>
                <w:lang w:val="lv-LV"/>
              </w:rPr>
              <w:t xml:space="preserve">punkts nosaka </w:t>
            </w:r>
            <w:r w:rsidR="00D66A51" w:rsidRPr="00332CA3">
              <w:rPr>
                <w:bCs/>
                <w:sz w:val="28"/>
                <w:szCs w:val="28"/>
                <w:lang w:val="lv-LV"/>
              </w:rPr>
              <w:t xml:space="preserve">to, ka </w:t>
            </w:r>
            <w:r w:rsidR="003F1C7E">
              <w:rPr>
                <w:bCs/>
                <w:sz w:val="28"/>
                <w:szCs w:val="28"/>
                <w:lang w:val="lv-LV"/>
              </w:rPr>
              <w:t xml:space="preserve">LZP </w:t>
            </w:r>
            <w:r w:rsidR="003F1C7E" w:rsidRPr="003F1C7E">
              <w:rPr>
                <w:bCs/>
                <w:sz w:val="28"/>
                <w:szCs w:val="28"/>
                <w:lang w:val="lv-LV"/>
              </w:rPr>
              <w:t>ekspertu komisijas, kas izveidotas uz Ministru kabineta 2006. gada 20. jūnija noteikumu Nr. 497 “Noteikumi par Latvijas Zinātnes padomes ekspertu komisiju izveidošanu un darbību” pamata, turpina savu dar</w:t>
            </w:r>
            <w:r w:rsidR="003F1C7E">
              <w:rPr>
                <w:bCs/>
                <w:sz w:val="28"/>
                <w:szCs w:val="28"/>
                <w:lang w:val="lv-LV"/>
              </w:rPr>
              <w:t>bību līdz 2019. gada 2. jūnijam jeb līdz esošo pilnvaru beigām. Pēc noteikumu projekta stāšanās spēkā LZP atbilstoši projekta 7. punktam</w:t>
            </w:r>
            <w:r w:rsidR="00872B48" w:rsidRPr="00332CA3">
              <w:rPr>
                <w:sz w:val="28"/>
                <w:szCs w:val="28"/>
                <w:lang w:val="lv-LV"/>
              </w:rPr>
              <w:t xml:space="preserve"> </w:t>
            </w:r>
            <w:r w:rsidR="00464529" w:rsidRPr="00332CA3">
              <w:rPr>
                <w:sz w:val="28"/>
                <w:szCs w:val="28"/>
                <w:lang w:val="lv-LV"/>
              </w:rPr>
              <w:t xml:space="preserve">LZP </w:t>
            </w:r>
            <w:r w:rsidR="000973B9" w:rsidRPr="00332CA3">
              <w:rPr>
                <w:sz w:val="28"/>
                <w:szCs w:val="28"/>
                <w:lang w:val="lv-LV"/>
              </w:rPr>
              <w:t xml:space="preserve">būs nepieciešams </w:t>
            </w:r>
            <w:r w:rsidR="00464529" w:rsidRPr="00332CA3">
              <w:rPr>
                <w:sz w:val="28"/>
                <w:szCs w:val="28"/>
                <w:lang w:val="lv-LV"/>
              </w:rPr>
              <w:t>nodrošināt</w:t>
            </w:r>
            <w:r w:rsidR="004816DA" w:rsidRPr="00332CA3">
              <w:rPr>
                <w:sz w:val="28"/>
                <w:szCs w:val="28"/>
                <w:lang w:val="lv-LV"/>
              </w:rPr>
              <w:t xml:space="preserve"> </w:t>
            </w:r>
            <w:r w:rsidR="00D30A5E" w:rsidRPr="00332CA3">
              <w:rPr>
                <w:sz w:val="28"/>
                <w:szCs w:val="28"/>
                <w:lang w:val="lv-LV"/>
              </w:rPr>
              <w:t xml:space="preserve">LZP </w:t>
            </w:r>
            <w:r w:rsidR="004816DA" w:rsidRPr="00332CA3">
              <w:rPr>
                <w:sz w:val="28"/>
                <w:szCs w:val="28"/>
                <w:lang w:val="lv-LV"/>
              </w:rPr>
              <w:t xml:space="preserve">ekspertu komisiju </w:t>
            </w:r>
            <w:r w:rsidR="006C7674" w:rsidRPr="00332CA3">
              <w:rPr>
                <w:sz w:val="28"/>
                <w:szCs w:val="28"/>
                <w:lang w:val="lv-LV"/>
              </w:rPr>
              <w:t>izveidošanu</w:t>
            </w:r>
            <w:r w:rsidR="000973B9" w:rsidRPr="00332CA3">
              <w:rPr>
                <w:sz w:val="28"/>
                <w:szCs w:val="28"/>
                <w:lang w:val="lv-LV"/>
              </w:rPr>
              <w:t>, atbilstoši spēkā esošajam regulējumam</w:t>
            </w:r>
            <w:r w:rsidR="002D5485" w:rsidRPr="00332CA3">
              <w:rPr>
                <w:sz w:val="28"/>
                <w:szCs w:val="28"/>
                <w:lang w:val="lv-LV"/>
              </w:rPr>
              <w:t xml:space="preserve">. </w:t>
            </w:r>
            <w:r w:rsidR="003F1C7E">
              <w:rPr>
                <w:sz w:val="28"/>
                <w:szCs w:val="28"/>
                <w:lang w:val="lv-LV"/>
              </w:rPr>
              <w:t>Komisijas, kas izveidotas atbilstoši LZP noteiktajam sāks darbu ne ātrāk kā 2019. gada 3. jūnijā. Pirms tam atbilstoši šajā noteikumu projektā noteiktajam tiks rīkotas ekspertu komisiju locekļu vēlēšanas.</w:t>
            </w:r>
          </w:p>
          <w:p w14:paraId="399EEF32" w14:textId="5C122D67" w:rsidR="00E27D98" w:rsidRPr="00332CA3" w:rsidRDefault="00E27D98" w:rsidP="00D66A51">
            <w:pPr>
              <w:spacing w:after="0" w:line="240" w:lineRule="auto"/>
              <w:ind w:right="113"/>
              <w:jc w:val="both"/>
              <w:rPr>
                <w:rFonts w:ascii="Times New Roman" w:hAnsi="Times New Roman" w:cs="Times New Roman"/>
                <w:bCs/>
                <w:sz w:val="28"/>
                <w:szCs w:val="28"/>
              </w:rPr>
            </w:pPr>
            <w:r w:rsidRPr="00332CA3">
              <w:rPr>
                <w:rFonts w:ascii="Times New Roman" w:hAnsi="Times New Roman" w:cs="Times New Roman"/>
                <w:sz w:val="28"/>
                <w:szCs w:val="28"/>
              </w:rPr>
              <w:t xml:space="preserve">5) </w:t>
            </w:r>
            <w:r w:rsidRPr="00332CA3">
              <w:rPr>
                <w:rFonts w:ascii="Times New Roman" w:hAnsi="Times New Roman" w:cs="Times New Roman"/>
                <w:bCs/>
                <w:sz w:val="28"/>
                <w:szCs w:val="28"/>
              </w:rPr>
              <w:t>MK noteikumu Nr. 497 IV nodaļa “Ekspertu komisiju darbība” 31., 32. un 33. punkts dublē Zinātniskās darbības likuma un Ministru kabineta 2006. gada 9. maija noteikumu Nr. 383 “Latvijas Zinātnes padomes nolikums” normas</w:t>
            </w:r>
            <w:r w:rsidR="00D71915" w:rsidRPr="00332CA3">
              <w:rPr>
                <w:rFonts w:ascii="Times New Roman" w:hAnsi="Times New Roman" w:cs="Times New Roman"/>
                <w:bCs/>
                <w:sz w:val="28"/>
                <w:szCs w:val="28"/>
              </w:rPr>
              <w:t>, līdz ar ko noteikumu projekta IV nodaļā tika noteikta kārtība, kā tiek organizēts ekspertu komisiju darbs</w:t>
            </w:r>
            <w:r w:rsidR="00106183" w:rsidRPr="00332CA3">
              <w:rPr>
                <w:rFonts w:ascii="Times New Roman" w:hAnsi="Times New Roman" w:cs="Times New Roman"/>
                <w:bCs/>
                <w:sz w:val="28"/>
                <w:szCs w:val="28"/>
              </w:rPr>
              <w:t xml:space="preserve"> – precizētas ekspertu komisiju tiesības, noteikta sēžu norises kārtība,</w:t>
            </w:r>
            <w:r w:rsidR="00D71915" w:rsidRPr="00332CA3">
              <w:rPr>
                <w:rFonts w:ascii="Times New Roman" w:hAnsi="Times New Roman" w:cs="Times New Roman"/>
                <w:bCs/>
                <w:sz w:val="28"/>
                <w:szCs w:val="28"/>
              </w:rPr>
              <w:t xml:space="preserve"> un ekspertu komisiju priekšsēdētaja, viņa vietnieka ievēlēšanas un pārstāvju  LZP izvirzīšanas kārtību noteiks LZP (noteikumu projekta IV nodaļa).</w:t>
            </w:r>
          </w:p>
          <w:p w14:paraId="3FC9AEFA" w14:textId="0549841F" w:rsidR="00B74737" w:rsidRPr="00332CA3" w:rsidRDefault="00E27D98" w:rsidP="00FA556F">
            <w:pPr>
              <w:spacing w:after="0" w:line="240" w:lineRule="auto"/>
              <w:jc w:val="both"/>
              <w:rPr>
                <w:rFonts w:ascii="Times New Roman" w:hAnsi="Times New Roman" w:cs="Times New Roman"/>
                <w:sz w:val="28"/>
                <w:szCs w:val="28"/>
              </w:rPr>
            </w:pPr>
            <w:r w:rsidRPr="00332CA3">
              <w:rPr>
                <w:rFonts w:ascii="Times New Roman" w:hAnsi="Times New Roman" w:cs="Times New Roman"/>
                <w:sz w:val="28"/>
                <w:szCs w:val="28"/>
              </w:rPr>
              <w:t>6</w:t>
            </w:r>
            <w:r w:rsidR="002674F1" w:rsidRPr="00332CA3">
              <w:rPr>
                <w:rFonts w:ascii="Times New Roman" w:hAnsi="Times New Roman" w:cs="Times New Roman"/>
                <w:sz w:val="28"/>
                <w:szCs w:val="28"/>
              </w:rPr>
              <w:t>)</w:t>
            </w:r>
            <w:r w:rsidR="003115F1" w:rsidRPr="00332CA3">
              <w:rPr>
                <w:rFonts w:ascii="Times New Roman" w:hAnsi="Times New Roman" w:cs="Times New Roman"/>
                <w:sz w:val="28"/>
                <w:szCs w:val="28"/>
              </w:rPr>
              <w:t xml:space="preserve"> Pašlaik </w:t>
            </w:r>
            <w:r w:rsidR="002674F1" w:rsidRPr="00332CA3">
              <w:rPr>
                <w:rFonts w:ascii="Times New Roman" w:hAnsi="Times New Roman" w:cs="Times New Roman"/>
                <w:sz w:val="28"/>
                <w:szCs w:val="28"/>
              </w:rPr>
              <w:t xml:space="preserve"> </w:t>
            </w:r>
            <w:r w:rsidR="00FA556F" w:rsidRPr="00332CA3">
              <w:rPr>
                <w:rFonts w:ascii="Times New Roman" w:hAnsi="Times New Roman" w:cs="Times New Roman"/>
                <w:sz w:val="28"/>
                <w:szCs w:val="28"/>
              </w:rPr>
              <w:t>LZP ekspertu komisijas</w:t>
            </w:r>
            <w:r w:rsidR="003115F1" w:rsidRPr="00332CA3">
              <w:rPr>
                <w:rFonts w:ascii="Times New Roman" w:hAnsi="Times New Roman" w:cs="Times New Roman"/>
                <w:sz w:val="28"/>
                <w:szCs w:val="28"/>
              </w:rPr>
              <w:t>, saskaņā ar Zinātniskās darbības likuma 18. panta pirmās daļas 1.</w:t>
            </w:r>
            <w:r w:rsidR="004774D6" w:rsidRPr="00332CA3">
              <w:rPr>
                <w:rFonts w:ascii="Times New Roman" w:hAnsi="Times New Roman" w:cs="Times New Roman"/>
                <w:sz w:val="28"/>
                <w:szCs w:val="28"/>
              </w:rPr>
              <w:t xml:space="preserve"> </w:t>
            </w:r>
            <w:r w:rsidR="003115F1" w:rsidRPr="00332CA3">
              <w:rPr>
                <w:rFonts w:ascii="Times New Roman" w:hAnsi="Times New Roman" w:cs="Times New Roman"/>
                <w:sz w:val="28"/>
                <w:szCs w:val="28"/>
              </w:rPr>
              <w:t xml:space="preserve">punktā noteikto, </w:t>
            </w:r>
            <w:r w:rsidR="00FA556F" w:rsidRPr="00332CA3">
              <w:rPr>
                <w:rFonts w:ascii="Times New Roman" w:hAnsi="Times New Roman" w:cs="Times New Roman"/>
                <w:sz w:val="28"/>
                <w:szCs w:val="28"/>
              </w:rPr>
              <w:t xml:space="preserve">tiek iesaistītas dažāda veida zinātnisko pētījumu projektu un programmu konkursu izvērtēšanā. </w:t>
            </w:r>
            <w:r w:rsidR="00B74737" w:rsidRPr="00332CA3">
              <w:rPr>
                <w:rFonts w:ascii="Times New Roman" w:hAnsi="Times New Roman" w:cs="Times New Roman"/>
                <w:sz w:val="28"/>
                <w:szCs w:val="28"/>
              </w:rPr>
              <w:t xml:space="preserve">Vērtēšanas procedūra noteikta </w:t>
            </w:r>
            <w:r w:rsidR="00B74737" w:rsidRPr="00332CA3">
              <w:rPr>
                <w:rFonts w:ascii="Times New Roman" w:hAnsi="Times New Roman" w:cs="Times New Roman"/>
                <w:bCs/>
                <w:sz w:val="28"/>
                <w:szCs w:val="28"/>
              </w:rPr>
              <w:t>MK noteikumu Nr. 497 V nodaļā</w:t>
            </w:r>
            <w:r w:rsidR="00167A69" w:rsidRPr="00332CA3">
              <w:rPr>
                <w:rFonts w:ascii="Times New Roman" w:hAnsi="Times New Roman" w:cs="Times New Roman"/>
                <w:bCs/>
                <w:sz w:val="28"/>
                <w:szCs w:val="28"/>
              </w:rPr>
              <w:t xml:space="preserve"> “Ekspertu komisijās iesniegto projektu vērtēšana</w:t>
            </w:r>
            <w:r w:rsidR="00B74737" w:rsidRPr="00332CA3">
              <w:rPr>
                <w:rFonts w:ascii="Times New Roman" w:hAnsi="Times New Roman" w:cs="Times New Roman"/>
                <w:bCs/>
                <w:sz w:val="28"/>
                <w:szCs w:val="28"/>
              </w:rPr>
              <w:t>”</w:t>
            </w:r>
            <w:r w:rsidR="00167A69" w:rsidRPr="00332CA3">
              <w:rPr>
                <w:rFonts w:ascii="Times New Roman" w:hAnsi="Times New Roman" w:cs="Times New Roman"/>
                <w:bCs/>
                <w:sz w:val="28"/>
                <w:szCs w:val="28"/>
              </w:rPr>
              <w:t>.</w:t>
            </w:r>
          </w:p>
          <w:p w14:paraId="0CA0A2CC" w14:textId="4BE93932" w:rsidR="00FA556F" w:rsidRPr="00332CA3" w:rsidRDefault="00F5269E" w:rsidP="00FA556F">
            <w:pPr>
              <w:spacing w:after="0" w:line="240" w:lineRule="auto"/>
              <w:jc w:val="both"/>
              <w:rPr>
                <w:rFonts w:ascii="Times New Roman" w:hAnsi="Times New Roman" w:cs="Times New Roman"/>
                <w:sz w:val="28"/>
                <w:szCs w:val="28"/>
              </w:rPr>
            </w:pPr>
            <w:r w:rsidRPr="00332CA3">
              <w:rPr>
                <w:rFonts w:ascii="Times New Roman" w:hAnsi="Times New Roman" w:cs="Times New Roman"/>
                <w:sz w:val="28"/>
                <w:szCs w:val="28"/>
              </w:rPr>
              <w:lastRenderedPageBreak/>
              <w:t>Informējam, ka i</w:t>
            </w:r>
            <w:r w:rsidR="00FA556F" w:rsidRPr="00332CA3">
              <w:rPr>
                <w:rFonts w:ascii="Times New Roman" w:hAnsi="Times New Roman" w:cs="Times New Roman"/>
                <w:sz w:val="28"/>
                <w:szCs w:val="28"/>
              </w:rPr>
              <w:t xml:space="preserve">zvērtējamie pētījumu projekti un programmas ir atšķirīgas pēc tiem noteiktajiem uzdevumiem un mērķa, paredzamā finansējuma apjoma un avota, paredzamā iesaistītā  subjektu loka un pētījuma rakstura: fundamentālie vai lietišķie pētījumi, </w:t>
            </w:r>
            <w:r w:rsidR="00CD3889" w:rsidRPr="00332CA3">
              <w:rPr>
                <w:rFonts w:ascii="Times New Roman" w:hAnsi="Times New Roman" w:cs="Times New Roman"/>
                <w:bCs/>
                <w:sz w:val="28"/>
                <w:szCs w:val="28"/>
              </w:rPr>
              <w:t xml:space="preserve">Latvijas-Lietuvas-Taivānas zinātniskās sadarbības projekti, Latvijas-Ukrainas sadarbības projekti; Francijas-Latvijas </w:t>
            </w:r>
            <w:r w:rsidR="00CD3889" w:rsidRPr="00332CA3">
              <w:rPr>
                <w:rFonts w:ascii="Times New Roman" w:hAnsi="Times New Roman" w:cs="Times New Roman"/>
                <w:bCs/>
                <w:i/>
                <w:sz w:val="28"/>
                <w:szCs w:val="28"/>
              </w:rPr>
              <w:t>Hubert Curien</w:t>
            </w:r>
            <w:r w:rsidR="00CD3889" w:rsidRPr="00332CA3">
              <w:rPr>
                <w:rFonts w:ascii="Times New Roman" w:hAnsi="Times New Roman" w:cs="Times New Roman"/>
                <w:bCs/>
                <w:sz w:val="28"/>
                <w:szCs w:val="28"/>
              </w:rPr>
              <w:t xml:space="preserve"> partnerības programmas </w:t>
            </w:r>
            <w:r w:rsidR="00CD3889" w:rsidRPr="00332CA3">
              <w:rPr>
                <w:rFonts w:ascii="Times New Roman" w:hAnsi="Times New Roman" w:cs="Times New Roman"/>
                <w:sz w:val="28"/>
                <w:szCs w:val="28"/>
              </w:rPr>
              <w:t>“</w:t>
            </w:r>
            <w:r w:rsidR="00CD3889" w:rsidRPr="00332CA3">
              <w:rPr>
                <w:rFonts w:ascii="Times New Roman" w:hAnsi="Times New Roman" w:cs="Times New Roman"/>
                <w:bCs/>
                <w:sz w:val="28"/>
                <w:szCs w:val="28"/>
              </w:rPr>
              <w:t xml:space="preserve">OSMOZE” projekti, </w:t>
            </w:r>
            <w:r w:rsidR="00FA556F" w:rsidRPr="00332CA3">
              <w:rPr>
                <w:rFonts w:ascii="Times New Roman" w:hAnsi="Times New Roman" w:cs="Times New Roman"/>
                <w:sz w:val="28"/>
                <w:szCs w:val="28"/>
              </w:rPr>
              <w:t xml:space="preserve">pētījumi vienas zinātņu nozares ietvaros, multi- vai starpdisciplināri pētījumi; pētījumi vienas zinātniskās institūcijas ietvaros vai pētījumi, kas paredz sadarbību starp diviem vai vairākiem zinātniskās sadarbības partneriem nacionālā vai starptautiskā mērogā. Pētījumu finansēšanā un administrēšanā var būt iesaistītas dažādas institūcijas, kā arī citu valstu privātās un publiskās institūcijas, ar kurām ir noslēgti starptautiskās sadarbības līgumi par šādu sadarbības pētniecības projektu organizēšanu. </w:t>
            </w:r>
            <w:r w:rsidRPr="00332CA3">
              <w:rPr>
                <w:rFonts w:ascii="Times New Roman" w:hAnsi="Times New Roman" w:cs="Times New Roman"/>
                <w:sz w:val="28"/>
                <w:szCs w:val="28"/>
              </w:rPr>
              <w:t xml:space="preserve"> Praksē ir pierādīts</w:t>
            </w:r>
            <w:r w:rsidR="00FA556F" w:rsidRPr="00332CA3">
              <w:rPr>
                <w:rFonts w:ascii="Times New Roman" w:hAnsi="Times New Roman" w:cs="Times New Roman"/>
                <w:sz w:val="28"/>
                <w:szCs w:val="28"/>
              </w:rPr>
              <w:t>, ka nav efektīvi un lietderīgi noteikt un piemērot vienotu izvērtēšanas procedūru un kritērijus plašam pētniecības projektu un programmu lokam. Šādu vienotu procedūru un kritēriju piemērošana visos gadījumos  nevar būt efektīva un ir apgrūtinoša, bet atsevišķos gadījumos šāda procedūra un kritēriji var neatbilst sadarbības partneru izvirzītajām prasībām un realizētajai praksei vai pat būt pretrunā ar līgumu nosacījumiem starp pētījumu finansējošajiem partneriem.</w:t>
            </w:r>
          </w:p>
          <w:p w14:paraId="1AA8CA6F" w14:textId="77777777" w:rsidR="00A0387B" w:rsidRPr="00332CA3" w:rsidRDefault="00FA556F" w:rsidP="00FA556F">
            <w:pPr>
              <w:spacing w:after="0" w:line="240" w:lineRule="auto"/>
              <w:jc w:val="both"/>
              <w:rPr>
                <w:rFonts w:ascii="Times New Roman" w:hAnsi="Times New Roman" w:cs="Times New Roman"/>
                <w:sz w:val="28"/>
                <w:szCs w:val="28"/>
              </w:rPr>
            </w:pPr>
            <w:r w:rsidRPr="00332CA3">
              <w:rPr>
                <w:rFonts w:ascii="Times New Roman" w:hAnsi="Times New Roman" w:cs="Times New Roman"/>
                <w:sz w:val="28"/>
                <w:szCs w:val="28"/>
              </w:rPr>
              <w:t xml:space="preserve">Līdz ar to nepieciešams, ka katram pētījumu projektu un programmu konkursam tiktu piemērota atsevišķa izvērtēšanas procedūra, kas ņemtu vērā iepriekš minētās atšķirības. Šādas atsevišķam konkursam adaptētas prasības varētu būt noteiktas normatīvajos aktos, kas nosaka attiecīgā pētījumu projektu vai programmu konkursa īstenošanu, vai </w:t>
            </w:r>
            <w:r w:rsidR="00A144ED" w:rsidRPr="00332CA3">
              <w:rPr>
                <w:rFonts w:ascii="Times New Roman" w:hAnsi="Times New Roman" w:cs="Times New Roman"/>
                <w:sz w:val="28"/>
                <w:szCs w:val="28"/>
              </w:rPr>
              <w:t xml:space="preserve">konkursu </w:t>
            </w:r>
            <w:r w:rsidRPr="00332CA3">
              <w:rPr>
                <w:rFonts w:ascii="Times New Roman" w:hAnsi="Times New Roman" w:cs="Times New Roman"/>
                <w:sz w:val="28"/>
                <w:szCs w:val="28"/>
              </w:rPr>
              <w:t xml:space="preserve">nolikumā, kas tiek saskaņots </w:t>
            </w:r>
            <w:r w:rsidR="002674F1" w:rsidRPr="00332CA3">
              <w:rPr>
                <w:rFonts w:ascii="Times New Roman" w:hAnsi="Times New Roman" w:cs="Times New Roman"/>
                <w:sz w:val="28"/>
                <w:szCs w:val="28"/>
              </w:rPr>
              <w:t xml:space="preserve">ar </w:t>
            </w:r>
            <w:r w:rsidR="00F5269E" w:rsidRPr="00332CA3">
              <w:rPr>
                <w:rFonts w:ascii="Times New Roman" w:hAnsi="Times New Roman" w:cs="Times New Roman"/>
                <w:sz w:val="28"/>
                <w:szCs w:val="28"/>
              </w:rPr>
              <w:t xml:space="preserve">LZP </w:t>
            </w:r>
            <w:r w:rsidRPr="00332CA3">
              <w:rPr>
                <w:rFonts w:ascii="Times New Roman" w:hAnsi="Times New Roman" w:cs="Times New Roman"/>
                <w:sz w:val="28"/>
                <w:szCs w:val="28"/>
              </w:rPr>
              <w:t xml:space="preserve">un attiecīgo institūciju, kas ir iesaistīta pētījumu finansēšanā un konkursa organizācijā. </w:t>
            </w:r>
            <w:r w:rsidR="006C7F4F" w:rsidRPr="00332CA3">
              <w:rPr>
                <w:rFonts w:ascii="Times New Roman" w:hAnsi="Times New Roman" w:cs="Times New Roman"/>
                <w:sz w:val="28"/>
                <w:szCs w:val="28"/>
              </w:rPr>
              <w:t>Normatīvo aktu un k</w:t>
            </w:r>
            <w:r w:rsidR="00A144ED" w:rsidRPr="00332CA3">
              <w:rPr>
                <w:rFonts w:ascii="Times New Roman" w:hAnsi="Times New Roman" w:cs="Times New Roman"/>
                <w:sz w:val="28"/>
                <w:szCs w:val="28"/>
              </w:rPr>
              <w:t>onkursu n</w:t>
            </w:r>
            <w:r w:rsidRPr="00332CA3">
              <w:rPr>
                <w:rFonts w:ascii="Times New Roman" w:hAnsi="Times New Roman" w:cs="Times New Roman"/>
                <w:sz w:val="28"/>
                <w:szCs w:val="28"/>
              </w:rPr>
              <w:t xml:space="preserve">olikumu piemērošana pētījumu projektu un programmu izvērtēšanā ļautu ņemt vērā iepriekšējo pieredzi līdzīgu konkursu organizēšanā un izvērtēšanā, novērst iepriekš </w:t>
            </w:r>
            <w:r w:rsidR="00A144ED" w:rsidRPr="00332CA3">
              <w:rPr>
                <w:rFonts w:ascii="Times New Roman" w:hAnsi="Times New Roman" w:cs="Times New Roman"/>
                <w:sz w:val="28"/>
                <w:szCs w:val="28"/>
              </w:rPr>
              <w:t xml:space="preserve">minētos </w:t>
            </w:r>
            <w:r w:rsidRPr="00332CA3">
              <w:rPr>
                <w:rFonts w:ascii="Times New Roman" w:hAnsi="Times New Roman" w:cs="Times New Roman"/>
                <w:sz w:val="28"/>
                <w:szCs w:val="28"/>
              </w:rPr>
              <w:t xml:space="preserve">trūkumus, kā arī </w:t>
            </w:r>
            <w:r w:rsidRPr="00332CA3">
              <w:rPr>
                <w:rFonts w:ascii="Times New Roman" w:hAnsi="Times New Roman" w:cs="Times New Roman"/>
                <w:sz w:val="28"/>
                <w:szCs w:val="28"/>
              </w:rPr>
              <w:lastRenderedPageBreak/>
              <w:t>piemērot labāko starptautisko praksi un pieredzi pētījumu projektu un programmu konkursu organizācijā un izvērtēšanā.</w:t>
            </w:r>
            <w:r w:rsidR="00644643" w:rsidRPr="00332CA3">
              <w:rPr>
                <w:rFonts w:ascii="Times New Roman" w:hAnsi="Times New Roman" w:cs="Times New Roman"/>
                <w:sz w:val="28"/>
                <w:szCs w:val="28"/>
              </w:rPr>
              <w:t xml:space="preserve"> </w:t>
            </w:r>
          </w:p>
          <w:p w14:paraId="09922775" w14:textId="586AD46C" w:rsidR="00FA556F" w:rsidRPr="00332CA3" w:rsidRDefault="00644643" w:rsidP="00FA556F">
            <w:pPr>
              <w:spacing w:after="0" w:line="240" w:lineRule="auto"/>
              <w:jc w:val="both"/>
              <w:rPr>
                <w:rFonts w:ascii="Times New Roman" w:hAnsi="Times New Roman" w:cs="Times New Roman"/>
                <w:sz w:val="28"/>
                <w:szCs w:val="28"/>
              </w:rPr>
            </w:pPr>
            <w:r w:rsidRPr="00332CA3">
              <w:rPr>
                <w:rFonts w:ascii="Times New Roman" w:hAnsi="Times New Roman" w:cs="Times New Roman"/>
                <w:sz w:val="28"/>
                <w:szCs w:val="28"/>
              </w:rPr>
              <w:t>Visiem</w:t>
            </w:r>
            <w:r w:rsidR="00F5269E" w:rsidRPr="00332CA3">
              <w:rPr>
                <w:rFonts w:ascii="Times New Roman" w:hAnsi="Times New Roman" w:cs="Times New Roman"/>
                <w:sz w:val="28"/>
                <w:szCs w:val="28"/>
              </w:rPr>
              <w:t xml:space="preserve"> LZP</w:t>
            </w:r>
            <w:r w:rsidRPr="00332CA3">
              <w:rPr>
                <w:rFonts w:ascii="Times New Roman" w:hAnsi="Times New Roman" w:cs="Times New Roman"/>
                <w:sz w:val="28"/>
                <w:szCs w:val="28"/>
              </w:rPr>
              <w:t xml:space="preserve"> organizētajiem projektu konkursiem ir izstrādāti normatīvie akti un konkursu nolikumi, </w:t>
            </w:r>
            <w:r w:rsidR="00F5269E" w:rsidRPr="00332CA3">
              <w:rPr>
                <w:rFonts w:ascii="Times New Roman" w:hAnsi="Times New Roman" w:cs="Times New Roman"/>
                <w:sz w:val="28"/>
                <w:szCs w:val="28"/>
              </w:rPr>
              <w:t>saskaņā ar kuriem tiek</w:t>
            </w:r>
            <w:r w:rsidR="00F5269E" w:rsidRPr="00332CA3">
              <w:rPr>
                <w:rFonts w:ascii="Times New Roman" w:hAnsi="Times New Roman" w:cs="Times New Roman"/>
                <w:bCs/>
                <w:sz w:val="28"/>
                <w:szCs w:val="28"/>
              </w:rPr>
              <w:t xml:space="preserve"> nodrošināta</w:t>
            </w:r>
            <w:r w:rsidRPr="00332CA3">
              <w:rPr>
                <w:rFonts w:ascii="Times New Roman" w:hAnsi="Times New Roman" w:cs="Times New Roman"/>
                <w:bCs/>
                <w:sz w:val="28"/>
                <w:szCs w:val="28"/>
              </w:rPr>
              <w:t xml:space="preserve"> vērtēšan</w:t>
            </w:r>
            <w:r w:rsidR="00F5269E" w:rsidRPr="00332CA3">
              <w:rPr>
                <w:rFonts w:ascii="Times New Roman" w:hAnsi="Times New Roman" w:cs="Times New Roman"/>
                <w:bCs/>
                <w:sz w:val="28"/>
                <w:szCs w:val="28"/>
              </w:rPr>
              <w:t>as procesa nepārtraukta norise</w:t>
            </w:r>
            <w:r w:rsidR="002820C2" w:rsidRPr="00332CA3">
              <w:rPr>
                <w:rFonts w:ascii="Times New Roman" w:hAnsi="Times New Roman" w:cs="Times New Roman"/>
                <w:bCs/>
                <w:sz w:val="28"/>
                <w:szCs w:val="28"/>
              </w:rPr>
              <w:t>.</w:t>
            </w:r>
            <w:r w:rsidR="00A0387B" w:rsidRPr="00332CA3">
              <w:rPr>
                <w:rFonts w:ascii="Times New Roman" w:hAnsi="Times New Roman" w:cs="Times New Roman"/>
                <w:bCs/>
                <w:sz w:val="28"/>
                <w:szCs w:val="28"/>
              </w:rPr>
              <w:t xml:space="preserve"> saskaņā ar Zinātniskās darbības likuma 35. panta otro daļu, kurā noteikts, ka valsts pētījumu programmu pieteikšanas, ekspertīzes un finansēšanas kārtību nosaka Ministru kabinets.  Ministru kabineta 2006. gada 30. maijā noteikumu Nr. 443 “Valsts pētījumu programmu pieteikšanas, ekspertīzes un finansēšanas kārtība” 31. punkts nosaka, ka projekta zinātnisko ekspertīzi veic padome, iesaistot vismaz trīs attiecīgās zinātnes nozares ekspertus un 32. punkts nosaka, ka projekta tautsaimniecisko ekspertīzi veic divi attiecīgās nozares eksperti, kurus deleģē attiecīgās nozares asociācija vai konfederācija. Tātad, attiecībā uz valsts pētījumu programmu izvērtēšanu Ministru kabinets arī ir izstrādājis īpašo kārtību projektu vērtēšanai, ņemot vērā to specifiku. LZP tiek iesniegti un izskatīti arī starptautiskie zinātniskie pētījumu projekti, piemēram, Latvijas-Francijas “Osmoze”, Latvijas-Ukrainas un Latvijas-Baltkrievijas (līdz 2015. gadam),  Latvijas-Lietuvas-Taivānas, kuru vērtēšana tiek organizēta atbilstoši starp dalībvalstīm noslēgtajiem līgumiem. Šie līgumi nosaka kopējās nostādnes projektu konkursu izsludināšanas, izvērtēšanas un realizācijas kārtību, kas tiek saskaņota starp projektā iesaistītajām valstīm un valsts institūcijām. Katrā valstī projektus administrējošā institūcija izstrādā projektu konkursa nolikumu, kurā ietver arī prasības ekspertu izvēlei, vērtēšanas kritērijus un vērtēšanas kārtību, jo projektu iesniegumu izvērtēšanas kārtībai jābūt saskaņotai un vienveidīgai starp iesaistītajām dalībvalstīm, lai varētu tikt pieņemts kopējs dalībvalstu lēmums par atbalstāmajiem projektiem pieejamā finansējuma ietvaros, kurš savukārt balstītos uz katrā valstī veikto projektu pieteikumu izvērtējuma. Iepazīstoties ar “Latvijas Republikas Izglītības un zinātnes ministrijas un </w:t>
            </w:r>
            <w:r w:rsidR="00A0387B" w:rsidRPr="00332CA3">
              <w:rPr>
                <w:rFonts w:ascii="Times New Roman" w:hAnsi="Times New Roman" w:cs="Times New Roman"/>
                <w:bCs/>
                <w:sz w:val="28"/>
                <w:szCs w:val="28"/>
              </w:rPr>
              <w:lastRenderedPageBreak/>
              <w:t xml:space="preserve">Francijas Republikas Ārlietu un starptautiskās attīstības ministrijas </w:t>
            </w:r>
            <w:r w:rsidR="00A0387B" w:rsidRPr="00332CA3">
              <w:rPr>
                <w:rFonts w:ascii="Times New Roman" w:hAnsi="Times New Roman" w:cs="Times New Roman"/>
                <w:bCs/>
                <w:i/>
                <w:sz w:val="28"/>
                <w:szCs w:val="28"/>
              </w:rPr>
              <w:t>Hubert Curien</w:t>
            </w:r>
            <w:r w:rsidR="00A0387B" w:rsidRPr="00332CA3">
              <w:rPr>
                <w:rFonts w:ascii="Times New Roman" w:hAnsi="Times New Roman" w:cs="Times New Roman"/>
                <w:bCs/>
                <w:sz w:val="28"/>
                <w:szCs w:val="28"/>
              </w:rPr>
              <w:t xml:space="preserve"> partnerības programmas “Osmoze”  2017. gada zinātniskās pētniecības sadarbības projektu pieteikumu konkursa nolikums” (apstiprināts ar IZM  2017. gada 20. februāra rīkojumu Nr. 88) un “Latvijas Republikas Izglītības un zinātnes ministrijas, Lietuvas Republikas Izglītības un zinātnes ministrijas un Ķīnas Republikas (Taivānas) Zinātnes un tehnoloģijas ministrijas zinātniskās sadarbības atbalsta fonda 2017. gada projektu konkursa nolikums” (apstiprināts ar 2017. gada 1. marta Valsts izglītības attīstības aģentūras rīkojumu Nr. 1.-30.2/19) un, attiecīgi uz to pamata tika apstiprinātas vērtēšanas metodikas, kur ekspertu iesaistīšana tika noteikta savādāka veidā, nekā tas noteikts noteikumos Nr. 497 , piemēram, padome atbild par ekspertu atlasi, to skaits ir 2 un sākotnēji tie tiek atlasīti pēc metodikā noteiktajiem kritērijiem, pēc kā tiek izvēlēti 5 labākie un tikai pēc tam notiek izloze. Ekspertu atlase bez ekspertu komisijas iesaistes būtiski samazina laiku, ko padome patērē projekta izvērtēšanai, jo ekspertu komisijām arī nepieciešams laiks savu procedūru veikšanai, saskaņā ar noteikumu Nr. 497 noteikto.</w:t>
            </w:r>
          </w:p>
          <w:p w14:paraId="41F09087" w14:textId="47B76BFD" w:rsidR="006C32C8" w:rsidRPr="00332CA3" w:rsidRDefault="002674F1" w:rsidP="00546E11">
            <w:pPr>
              <w:spacing w:after="0" w:line="240" w:lineRule="auto"/>
              <w:jc w:val="both"/>
              <w:rPr>
                <w:rFonts w:ascii="Times New Roman" w:hAnsi="Times New Roman" w:cs="Times New Roman"/>
                <w:sz w:val="28"/>
                <w:szCs w:val="28"/>
              </w:rPr>
            </w:pPr>
            <w:r w:rsidRPr="00332CA3">
              <w:rPr>
                <w:rFonts w:ascii="Times New Roman" w:hAnsi="Times New Roman" w:cs="Times New Roman"/>
                <w:sz w:val="28"/>
                <w:szCs w:val="28"/>
              </w:rPr>
              <w:t>Ņemot vērā minēto</w:t>
            </w:r>
            <w:r w:rsidR="002820C2" w:rsidRPr="00332CA3">
              <w:rPr>
                <w:rFonts w:ascii="Times New Roman" w:hAnsi="Times New Roman" w:cs="Times New Roman"/>
                <w:sz w:val="28"/>
                <w:szCs w:val="28"/>
              </w:rPr>
              <w:t>,</w:t>
            </w:r>
            <w:r w:rsidR="00F5269E" w:rsidRPr="00332CA3">
              <w:rPr>
                <w:rFonts w:ascii="Times New Roman" w:hAnsi="Times New Roman" w:cs="Times New Roman"/>
                <w:sz w:val="28"/>
                <w:szCs w:val="28"/>
              </w:rPr>
              <w:t xml:space="preserve"> un, lai izpildīt</w:t>
            </w:r>
            <w:r w:rsidR="005B5B21">
              <w:rPr>
                <w:rFonts w:ascii="Times New Roman" w:hAnsi="Times New Roman" w:cs="Times New Roman"/>
                <w:sz w:val="28"/>
                <w:szCs w:val="28"/>
              </w:rPr>
              <w:t>u</w:t>
            </w:r>
            <w:r w:rsidR="00F5269E" w:rsidRPr="00332CA3">
              <w:rPr>
                <w:rFonts w:ascii="Times New Roman" w:hAnsi="Times New Roman" w:cs="Times New Roman"/>
                <w:sz w:val="28"/>
                <w:szCs w:val="28"/>
              </w:rPr>
              <w:t xml:space="preserve"> Zinātniskās darbības likuma 18. panta piektajā daļā otrajā teikumā noteikto: “Latvijas Zinātnes padome ir atbildīga par noteiktās ekspertīzes kārtības ievērošanu”,</w:t>
            </w:r>
            <w:r w:rsidRPr="00332CA3">
              <w:rPr>
                <w:rFonts w:ascii="Times New Roman" w:hAnsi="Times New Roman" w:cs="Times New Roman"/>
                <w:sz w:val="28"/>
                <w:szCs w:val="28"/>
              </w:rPr>
              <w:t xml:space="preserve"> </w:t>
            </w:r>
            <w:r w:rsidR="00F5269E" w:rsidRPr="00332CA3">
              <w:rPr>
                <w:rFonts w:ascii="Times New Roman" w:hAnsi="Times New Roman" w:cs="Times New Roman"/>
                <w:sz w:val="28"/>
                <w:szCs w:val="28"/>
              </w:rPr>
              <w:t xml:space="preserve">noteikumu </w:t>
            </w:r>
            <w:r w:rsidR="00B35E15" w:rsidRPr="00332CA3">
              <w:rPr>
                <w:rFonts w:ascii="Times New Roman" w:hAnsi="Times New Roman" w:cs="Times New Roman"/>
                <w:sz w:val="28"/>
                <w:szCs w:val="28"/>
              </w:rPr>
              <w:t xml:space="preserve">projekts </w:t>
            </w:r>
            <w:r w:rsidR="00F5269E" w:rsidRPr="00332CA3">
              <w:rPr>
                <w:rFonts w:ascii="Times New Roman" w:hAnsi="Times New Roman" w:cs="Times New Roman"/>
                <w:sz w:val="28"/>
                <w:szCs w:val="28"/>
              </w:rPr>
              <w:t>ne</w:t>
            </w:r>
            <w:r w:rsidR="00B35E15" w:rsidRPr="00332CA3">
              <w:rPr>
                <w:rFonts w:ascii="Times New Roman" w:hAnsi="Times New Roman" w:cs="Times New Roman"/>
                <w:sz w:val="28"/>
                <w:szCs w:val="28"/>
              </w:rPr>
              <w:t xml:space="preserve">paredz </w:t>
            </w:r>
            <w:r w:rsidR="00F5269E" w:rsidRPr="00332CA3">
              <w:rPr>
                <w:rFonts w:ascii="Times New Roman" w:hAnsi="Times New Roman" w:cs="Times New Roman"/>
                <w:sz w:val="28"/>
                <w:szCs w:val="28"/>
              </w:rPr>
              <w:t>noteikt vienotu projektu un programmu vērtēšanas procedūru</w:t>
            </w:r>
            <w:r w:rsidR="00546E11" w:rsidRPr="00332CA3">
              <w:rPr>
                <w:rFonts w:ascii="Times New Roman" w:hAnsi="Times New Roman" w:cs="Times New Roman"/>
                <w:sz w:val="28"/>
                <w:szCs w:val="28"/>
              </w:rPr>
              <w:t>, bet katram pētījumu projektu un programmu konkursam tikts izstrādāta un šo projektu vai programmu reglamentējošos normatīvajos  aktos tiks noteikta tieši šim projektu vai programmu konkursam piemērota izvērtēšanas procedūra</w:t>
            </w:r>
            <w:r w:rsidR="0053586A" w:rsidRPr="00332CA3">
              <w:rPr>
                <w:rFonts w:ascii="Times New Roman" w:hAnsi="Times New Roman" w:cs="Times New Roman"/>
                <w:sz w:val="28"/>
                <w:szCs w:val="28"/>
              </w:rPr>
              <w:t xml:space="preserve"> un kurā tiks noteikta LZP ekspertu komisiju iesaiste</w:t>
            </w:r>
            <w:r w:rsidR="00F5269E" w:rsidRPr="00332CA3">
              <w:rPr>
                <w:rFonts w:ascii="Times New Roman" w:hAnsi="Times New Roman" w:cs="Times New Roman"/>
                <w:sz w:val="28"/>
                <w:szCs w:val="28"/>
              </w:rPr>
              <w:t>.</w:t>
            </w:r>
          </w:p>
        </w:tc>
      </w:tr>
      <w:tr w:rsidR="002E0F29" w:rsidRPr="00332CA3" w14:paraId="520F43B5" w14:textId="77777777" w:rsidTr="007E7FFB">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2EE34935" w14:textId="657F7149"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lastRenderedPageBreak/>
              <w:t>3.</w:t>
            </w:r>
          </w:p>
        </w:tc>
        <w:tc>
          <w:tcPr>
            <w:tcW w:w="1464" w:type="pct"/>
            <w:tcBorders>
              <w:top w:val="outset" w:sz="6" w:space="0" w:color="414142"/>
              <w:left w:val="outset" w:sz="6" w:space="0" w:color="414142"/>
              <w:bottom w:val="outset" w:sz="6" w:space="0" w:color="414142"/>
              <w:right w:val="outset" w:sz="6" w:space="0" w:color="414142"/>
            </w:tcBorders>
            <w:hideMark/>
          </w:tcPr>
          <w:p w14:paraId="607C3CE9"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Projekta izstrādē iesaistītās institūcijas</w:t>
            </w:r>
          </w:p>
        </w:tc>
        <w:tc>
          <w:tcPr>
            <w:tcW w:w="3244" w:type="pct"/>
            <w:tcBorders>
              <w:top w:val="outset" w:sz="6" w:space="0" w:color="414142"/>
              <w:left w:val="outset" w:sz="6" w:space="0" w:color="414142"/>
              <w:bottom w:val="outset" w:sz="6" w:space="0" w:color="414142"/>
              <w:right w:val="outset" w:sz="6" w:space="0" w:color="414142"/>
            </w:tcBorders>
            <w:hideMark/>
          </w:tcPr>
          <w:p w14:paraId="19399B80" w14:textId="5100C378" w:rsidR="00C14D9E" w:rsidRPr="00332CA3" w:rsidRDefault="00136D62" w:rsidP="00FD783A">
            <w:pPr>
              <w:rPr>
                <w:rFonts w:ascii="Times New Roman" w:hAnsi="Times New Roman" w:cs="Times New Roman"/>
                <w:sz w:val="28"/>
                <w:szCs w:val="28"/>
              </w:rPr>
            </w:pPr>
            <w:r w:rsidRPr="00332CA3">
              <w:rPr>
                <w:rFonts w:ascii="Times New Roman" w:hAnsi="Times New Roman" w:cs="Times New Roman"/>
                <w:sz w:val="28"/>
                <w:szCs w:val="28"/>
              </w:rPr>
              <w:t>IZM</w:t>
            </w:r>
            <w:r w:rsidR="00A144ED" w:rsidRPr="00332CA3">
              <w:rPr>
                <w:rFonts w:ascii="Times New Roman" w:hAnsi="Times New Roman" w:cs="Times New Roman"/>
                <w:sz w:val="28"/>
                <w:szCs w:val="28"/>
              </w:rPr>
              <w:t>, LZP</w:t>
            </w:r>
            <w:r w:rsidR="00852851" w:rsidRPr="00332CA3">
              <w:rPr>
                <w:rFonts w:ascii="Times New Roman" w:hAnsi="Times New Roman" w:cs="Times New Roman"/>
                <w:sz w:val="28"/>
                <w:szCs w:val="28"/>
              </w:rPr>
              <w:t>.</w:t>
            </w:r>
            <w:r w:rsidR="00C73AF0" w:rsidRPr="00332CA3">
              <w:rPr>
                <w:rFonts w:ascii="Times New Roman" w:hAnsi="Times New Roman" w:cs="Times New Roman"/>
                <w:sz w:val="28"/>
                <w:szCs w:val="28"/>
              </w:rPr>
              <w:t xml:space="preserve"> </w:t>
            </w:r>
          </w:p>
        </w:tc>
      </w:tr>
      <w:tr w:rsidR="002E0F29" w:rsidRPr="00332CA3" w14:paraId="40C2330C" w14:textId="77777777" w:rsidTr="007E7FFB">
        <w:tc>
          <w:tcPr>
            <w:tcW w:w="292" w:type="pct"/>
            <w:tcBorders>
              <w:top w:val="outset" w:sz="6" w:space="0" w:color="414142"/>
              <w:left w:val="outset" w:sz="6" w:space="0" w:color="414142"/>
              <w:bottom w:val="outset" w:sz="6" w:space="0" w:color="414142"/>
              <w:right w:val="outset" w:sz="6" w:space="0" w:color="414142"/>
            </w:tcBorders>
            <w:hideMark/>
          </w:tcPr>
          <w:p w14:paraId="2EA55829" w14:textId="77777777" w:rsidR="00C14D9E" w:rsidRPr="00332CA3" w:rsidRDefault="00B4732D" w:rsidP="00B4732D">
            <w:pPr>
              <w:rPr>
                <w:rFonts w:ascii="Times New Roman" w:hAnsi="Times New Roman" w:cs="Times New Roman"/>
                <w:sz w:val="28"/>
                <w:szCs w:val="28"/>
              </w:rPr>
            </w:pPr>
            <w:r w:rsidRPr="00332CA3">
              <w:rPr>
                <w:rFonts w:ascii="Times New Roman" w:hAnsi="Times New Roman" w:cs="Times New Roman"/>
                <w:sz w:val="28"/>
                <w:szCs w:val="28"/>
              </w:rPr>
              <w:t>4.</w:t>
            </w:r>
          </w:p>
        </w:tc>
        <w:tc>
          <w:tcPr>
            <w:tcW w:w="1464" w:type="pct"/>
            <w:tcBorders>
              <w:top w:val="outset" w:sz="6" w:space="0" w:color="414142"/>
              <w:left w:val="outset" w:sz="6" w:space="0" w:color="414142"/>
              <w:bottom w:val="outset" w:sz="6" w:space="0" w:color="414142"/>
              <w:right w:val="outset" w:sz="6" w:space="0" w:color="414142"/>
            </w:tcBorders>
            <w:hideMark/>
          </w:tcPr>
          <w:p w14:paraId="1833FBD5"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1D50D32D" w14:textId="77777777" w:rsidR="00C14D9E" w:rsidRPr="00332CA3" w:rsidRDefault="00386C2D" w:rsidP="00C14D9E">
            <w:pPr>
              <w:rPr>
                <w:rFonts w:ascii="Times New Roman" w:hAnsi="Times New Roman" w:cs="Times New Roman"/>
                <w:sz w:val="28"/>
                <w:szCs w:val="28"/>
              </w:rPr>
            </w:pPr>
            <w:r w:rsidRPr="00332CA3">
              <w:rPr>
                <w:rFonts w:ascii="Times New Roman" w:hAnsi="Times New Roman" w:cs="Times New Roman"/>
                <w:sz w:val="28"/>
                <w:szCs w:val="28"/>
              </w:rPr>
              <w:t>Nav</w:t>
            </w:r>
            <w:r w:rsidR="00C73AF0" w:rsidRPr="00332CA3">
              <w:rPr>
                <w:rFonts w:ascii="Times New Roman" w:hAnsi="Times New Roman" w:cs="Times New Roman"/>
                <w:sz w:val="28"/>
                <w:szCs w:val="28"/>
              </w:rPr>
              <w:t>.</w:t>
            </w:r>
          </w:p>
        </w:tc>
      </w:tr>
    </w:tbl>
    <w:p w14:paraId="752D3B0F"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 </w:t>
      </w: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20"/>
        <w:gridCol w:w="6114"/>
        <w:gridCol w:w="135"/>
      </w:tblGrid>
      <w:tr w:rsidR="002E0F29" w:rsidRPr="00332CA3" w14:paraId="199B36C4" w14:textId="77777777" w:rsidTr="00C44C1C">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33F9746" w14:textId="77777777" w:rsidR="00C14D9E" w:rsidRPr="00332CA3" w:rsidRDefault="00C14D9E" w:rsidP="001067FA">
            <w:pPr>
              <w:jc w:val="center"/>
              <w:rPr>
                <w:rFonts w:ascii="Times New Roman" w:hAnsi="Times New Roman" w:cs="Times New Roman"/>
                <w:b/>
                <w:bCs/>
                <w:sz w:val="28"/>
                <w:szCs w:val="28"/>
              </w:rPr>
            </w:pPr>
            <w:r w:rsidRPr="00332CA3">
              <w:rPr>
                <w:rFonts w:ascii="Times New Roman" w:hAnsi="Times New Roman" w:cs="Times New Roman"/>
                <w:b/>
                <w:bCs/>
                <w:sz w:val="28"/>
                <w:szCs w:val="28"/>
              </w:rPr>
              <w:lastRenderedPageBreak/>
              <w:t>II. Tiesību akta projekta ietekme uz sabiedrību, tautsaimniecības attīstību un administratīvo slogu</w:t>
            </w:r>
          </w:p>
        </w:tc>
      </w:tr>
      <w:tr w:rsidR="002E0F29" w:rsidRPr="00332CA3" w14:paraId="6A17760A" w14:textId="77777777" w:rsidTr="00C44C1C">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7290CAFA"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1.</w:t>
            </w:r>
          </w:p>
        </w:tc>
        <w:tc>
          <w:tcPr>
            <w:tcW w:w="1464" w:type="pct"/>
            <w:tcBorders>
              <w:top w:val="outset" w:sz="6" w:space="0" w:color="414142"/>
              <w:left w:val="outset" w:sz="6" w:space="0" w:color="414142"/>
              <w:bottom w:val="outset" w:sz="6" w:space="0" w:color="414142"/>
              <w:right w:val="outset" w:sz="6" w:space="0" w:color="414142"/>
            </w:tcBorders>
            <w:hideMark/>
          </w:tcPr>
          <w:p w14:paraId="37C7C77D"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Sabiedrības mērķgrupas, kuras tiesiskais regulējums ietekmē vai varētu ietekmēt</w:t>
            </w:r>
          </w:p>
        </w:tc>
        <w:tc>
          <w:tcPr>
            <w:tcW w:w="3244" w:type="pct"/>
            <w:gridSpan w:val="2"/>
            <w:tcBorders>
              <w:top w:val="outset" w:sz="6" w:space="0" w:color="414142"/>
              <w:left w:val="outset" w:sz="6" w:space="0" w:color="414142"/>
              <w:bottom w:val="outset" w:sz="6" w:space="0" w:color="414142"/>
              <w:right w:val="outset" w:sz="6" w:space="0" w:color="414142"/>
            </w:tcBorders>
            <w:hideMark/>
          </w:tcPr>
          <w:p w14:paraId="063CEB31" w14:textId="50F1E3F1" w:rsidR="00C14D9E" w:rsidRPr="00332CA3" w:rsidRDefault="00456848" w:rsidP="00B8076C">
            <w:pPr>
              <w:spacing w:after="0" w:line="240" w:lineRule="auto"/>
              <w:rPr>
                <w:rFonts w:ascii="Times New Roman" w:hAnsi="Times New Roman" w:cs="Times New Roman"/>
                <w:sz w:val="28"/>
                <w:szCs w:val="28"/>
              </w:rPr>
            </w:pPr>
            <w:r w:rsidRPr="00332CA3">
              <w:rPr>
                <w:rFonts w:ascii="Times New Roman" w:hAnsi="Times New Roman" w:cs="Times New Roman"/>
                <w:sz w:val="28"/>
                <w:szCs w:val="28"/>
              </w:rPr>
              <w:t>IZM</w:t>
            </w:r>
            <w:r w:rsidR="00A144ED" w:rsidRPr="00332CA3">
              <w:rPr>
                <w:rFonts w:ascii="Times New Roman" w:hAnsi="Times New Roman" w:cs="Times New Roman"/>
                <w:sz w:val="28"/>
                <w:szCs w:val="28"/>
              </w:rPr>
              <w:t>,</w:t>
            </w:r>
            <w:r w:rsidR="00D8444E" w:rsidRPr="00332CA3">
              <w:rPr>
                <w:rFonts w:ascii="Times New Roman" w:hAnsi="Times New Roman" w:cs="Times New Roman"/>
                <w:sz w:val="28"/>
                <w:szCs w:val="28"/>
              </w:rPr>
              <w:t xml:space="preserve"> LZP</w:t>
            </w:r>
            <w:r w:rsidR="00E47B9F" w:rsidRPr="00332CA3">
              <w:rPr>
                <w:rFonts w:ascii="Times New Roman" w:hAnsi="Times New Roman" w:cs="Times New Roman"/>
                <w:sz w:val="28"/>
                <w:szCs w:val="28"/>
              </w:rPr>
              <w:t xml:space="preserve">, </w:t>
            </w:r>
            <w:r w:rsidR="00A144ED" w:rsidRPr="00332CA3">
              <w:rPr>
                <w:rFonts w:ascii="Times New Roman" w:hAnsi="Times New Roman" w:cs="Times New Roman"/>
                <w:sz w:val="28"/>
                <w:szCs w:val="28"/>
              </w:rPr>
              <w:t xml:space="preserve">LZP ekspertu komisijas, </w:t>
            </w:r>
            <w:r w:rsidR="00E47B9F" w:rsidRPr="00332CA3">
              <w:rPr>
                <w:rFonts w:ascii="Times New Roman" w:hAnsi="Times New Roman" w:cs="Times New Roman"/>
                <w:sz w:val="28"/>
                <w:szCs w:val="28"/>
              </w:rPr>
              <w:t>zinātnieki</w:t>
            </w:r>
            <w:r w:rsidR="0033149C" w:rsidRPr="00332CA3">
              <w:rPr>
                <w:rFonts w:ascii="Times New Roman" w:hAnsi="Times New Roman" w:cs="Times New Roman"/>
                <w:sz w:val="28"/>
                <w:szCs w:val="28"/>
              </w:rPr>
              <w:t>, valsts pārvaldes iestādes</w:t>
            </w:r>
            <w:r w:rsidR="00B8076C" w:rsidRPr="00332CA3">
              <w:rPr>
                <w:rFonts w:ascii="Times New Roman" w:hAnsi="Times New Roman" w:cs="Times New Roman"/>
                <w:sz w:val="28"/>
                <w:szCs w:val="28"/>
              </w:rPr>
              <w:t>.</w:t>
            </w:r>
          </w:p>
        </w:tc>
      </w:tr>
      <w:tr w:rsidR="002E0F29" w:rsidRPr="00332CA3" w14:paraId="4E38B898" w14:textId="77777777" w:rsidTr="00C44C1C">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2118432A"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2.</w:t>
            </w:r>
          </w:p>
        </w:tc>
        <w:tc>
          <w:tcPr>
            <w:tcW w:w="1464" w:type="pct"/>
            <w:tcBorders>
              <w:top w:val="outset" w:sz="6" w:space="0" w:color="414142"/>
              <w:left w:val="outset" w:sz="6" w:space="0" w:color="414142"/>
              <w:bottom w:val="outset" w:sz="6" w:space="0" w:color="414142"/>
              <w:right w:val="outset" w:sz="6" w:space="0" w:color="414142"/>
            </w:tcBorders>
            <w:hideMark/>
          </w:tcPr>
          <w:p w14:paraId="3AD55A74"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Tiesiskā regulējuma ietekme uz tautsaimniecību un administratīvo slogu</w:t>
            </w:r>
          </w:p>
        </w:tc>
        <w:tc>
          <w:tcPr>
            <w:tcW w:w="3244" w:type="pct"/>
            <w:gridSpan w:val="2"/>
            <w:tcBorders>
              <w:top w:val="outset" w:sz="6" w:space="0" w:color="414142"/>
              <w:left w:val="outset" w:sz="6" w:space="0" w:color="414142"/>
              <w:bottom w:val="outset" w:sz="6" w:space="0" w:color="414142"/>
              <w:right w:val="outset" w:sz="6" w:space="0" w:color="414142"/>
            </w:tcBorders>
            <w:hideMark/>
          </w:tcPr>
          <w:p w14:paraId="1A51582B" w14:textId="77777777" w:rsidR="00C14D9E" w:rsidRDefault="00A06548" w:rsidP="00A06548">
            <w:pPr>
              <w:spacing w:after="0" w:line="240" w:lineRule="auto"/>
              <w:rPr>
                <w:rFonts w:ascii="Times New Roman" w:hAnsi="Times New Roman" w:cs="Times New Roman"/>
                <w:sz w:val="28"/>
                <w:szCs w:val="28"/>
              </w:rPr>
            </w:pPr>
            <w:r>
              <w:rPr>
                <w:rFonts w:ascii="Times New Roman" w:hAnsi="Times New Roman" w:cs="Times New Roman"/>
                <w:sz w:val="28"/>
                <w:szCs w:val="28"/>
              </w:rPr>
              <w:t>N</w:t>
            </w:r>
            <w:r w:rsidRPr="00A06548">
              <w:rPr>
                <w:rFonts w:ascii="Times New Roman" w:hAnsi="Times New Roman" w:cs="Times New Roman"/>
                <w:sz w:val="28"/>
                <w:szCs w:val="28"/>
              </w:rPr>
              <w:t>oteikumu projekts p</w:t>
            </w:r>
            <w:r>
              <w:rPr>
                <w:rFonts w:ascii="Times New Roman" w:hAnsi="Times New Roman" w:cs="Times New Roman"/>
                <w:sz w:val="28"/>
                <w:szCs w:val="28"/>
              </w:rPr>
              <w:t xml:space="preserve">aredz jaunu tiesisko regulējumu, </w:t>
            </w:r>
            <w:r w:rsidRPr="00A06548">
              <w:rPr>
                <w:rFonts w:ascii="Times New Roman" w:hAnsi="Times New Roman" w:cs="Times New Roman"/>
                <w:sz w:val="28"/>
                <w:szCs w:val="28"/>
              </w:rPr>
              <w:t>salīdzinot ar tiesisko regulējumu Ministru kabineta 2006.gada 20.jūnija noteikumos Nr.497 "Noteikumi par Latvijas Zinātnes padomes ekspertu k</w:t>
            </w:r>
            <w:r>
              <w:rPr>
                <w:rFonts w:ascii="Times New Roman" w:hAnsi="Times New Roman" w:cs="Times New Roman"/>
                <w:sz w:val="28"/>
                <w:szCs w:val="28"/>
              </w:rPr>
              <w:t>omisiju izveidošanu un darbību", kā rezultātā:</w:t>
            </w:r>
          </w:p>
          <w:p w14:paraId="4944134D" w14:textId="7531CA21" w:rsidR="00A65E24" w:rsidRDefault="00A65E24" w:rsidP="00A065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samazināsies administratīvais slogs LZP attiecībā uz </w:t>
            </w:r>
            <w:r w:rsidR="002B2327">
              <w:rPr>
                <w:rFonts w:ascii="Times New Roman" w:hAnsi="Times New Roman" w:cs="Times New Roman"/>
                <w:sz w:val="28"/>
                <w:szCs w:val="28"/>
              </w:rPr>
              <w:t xml:space="preserve">dalību ekspertu komisiju </w:t>
            </w:r>
            <w:r>
              <w:rPr>
                <w:rFonts w:ascii="Times New Roman" w:hAnsi="Times New Roman" w:cs="Times New Roman"/>
                <w:sz w:val="28"/>
                <w:szCs w:val="28"/>
              </w:rPr>
              <w:t xml:space="preserve">vēlēšanu rīkošanu, vēlēšanu zīmju drukāšanu un klātienes vēlēšanu nodrošināšanu, balsu skaitīšanu; </w:t>
            </w:r>
          </w:p>
          <w:p w14:paraId="078EAF01" w14:textId="1AAD3EAB" w:rsidR="00A65E24" w:rsidRDefault="00A65E24" w:rsidP="00A06548">
            <w:pPr>
              <w:spacing w:after="0" w:line="240" w:lineRule="auto"/>
              <w:rPr>
                <w:rFonts w:ascii="Times New Roman" w:hAnsi="Times New Roman" w:cs="Times New Roman"/>
                <w:sz w:val="28"/>
                <w:szCs w:val="28"/>
              </w:rPr>
            </w:pPr>
            <w:r>
              <w:rPr>
                <w:rFonts w:ascii="Times New Roman" w:hAnsi="Times New Roman" w:cs="Times New Roman"/>
                <w:sz w:val="28"/>
                <w:szCs w:val="28"/>
              </w:rPr>
              <w:t>2) samazināsies administratīvais slogs zinātniekiem attiecībā uz dalību vēlēšanās</w:t>
            </w:r>
            <w:r w:rsidR="002B2327">
              <w:rPr>
                <w:rFonts w:ascii="Times New Roman" w:hAnsi="Times New Roman" w:cs="Times New Roman"/>
                <w:sz w:val="28"/>
                <w:szCs w:val="28"/>
              </w:rPr>
              <w:t xml:space="preserve"> un reģistrāciju dalībai vēlēšan</w:t>
            </w:r>
            <w:r w:rsidR="00CC01EB">
              <w:rPr>
                <w:rFonts w:ascii="Times New Roman" w:hAnsi="Times New Roman" w:cs="Times New Roman"/>
                <w:sz w:val="28"/>
                <w:szCs w:val="28"/>
              </w:rPr>
              <w:t>ās, to varēs izdarīt attālināti nevis ierodoties klātienē;</w:t>
            </w:r>
          </w:p>
          <w:p w14:paraId="25FBF6D3" w14:textId="0283FEC9" w:rsidR="00A06548" w:rsidRPr="00332CA3" w:rsidRDefault="00CC01EB" w:rsidP="00CC01EB">
            <w:pPr>
              <w:spacing w:after="0" w:line="240" w:lineRule="auto"/>
              <w:rPr>
                <w:rFonts w:ascii="Times New Roman" w:hAnsi="Times New Roman" w:cs="Times New Roman"/>
                <w:sz w:val="28"/>
                <w:szCs w:val="28"/>
              </w:rPr>
            </w:pPr>
            <w:r>
              <w:rPr>
                <w:rFonts w:ascii="Times New Roman" w:hAnsi="Times New Roman" w:cs="Times New Roman"/>
                <w:sz w:val="28"/>
                <w:szCs w:val="28"/>
              </w:rPr>
              <w:t>3) administratīvais slogs attiecībā uz pieteikšanos LZP eksperta tiesību saņemšanai un eksperta tiesību pieteikuma izvērtēšanu praktiski nemainīsies, jo mainās tikai iesniegšanas veids (elektroniski), piebilstot, gan ka ziņas, kas jau būs ievadītas Nacionālās zinātniskās darbības informācijas sistēmas reģistros atkārti nebūs jāiesniedz (jāievada).</w:t>
            </w:r>
          </w:p>
        </w:tc>
      </w:tr>
      <w:tr w:rsidR="002E0F29" w:rsidRPr="00332CA3" w14:paraId="651E3113" w14:textId="77777777" w:rsidTr="00C44C1C">
        <w:trPr>
          <w:trHeight w:val="510"/>
        </w:trPr>
        <w:tc>
          <w:tcPr>
            <w:tcW w:w="292" w:type="pct"/>
            <w:tcBorders>
              <w:top w:val="outset" w:sz="6" w:space="0" w:color="414142"/>
              <w:left w:val="outset" w:sz="6" w:space="0" w:color="414142"/>
              <w:bottom w:val="outset" w:sz="6" w:space="0" w:color="414142"/>
              <w:right w:val="outset" w:sz="6" w:space="0" w:color="414142"/>
            </w:tcBorders>
            <w:hideMark/>
          </w:tcPr>
          <w:p w14:paraId="710E850B" w14:textId="747C1760"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3.</w:t>
            </w:r>
          </w:p>
        </w:tc>
        <w:tc>
          <w:tcPr>
            <w:tcW w:w="1464" w:type="pct"/>
            <w:tcBorders>
              <w:top w:val="outset" w:sz="6" w:space="0" w:color="414142"/>
              <w:left w:val="outset" w:sz="6" w:space="0" w:color="414142"/>
              <w:bottom w:val="outset" w:sz="6" w:space="0" w:color="414142"/>
              <w:right w:val="outset" w:sz="6" w:space="0" w:color="414142"/>
            </w:tcBorders>
            <w:hideMark/>
          </w:tcPr>
          <w:p w14:paraId="5512F16E"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Administratīvo izmaksu monetārs novērtējums</w:t>
            </w:r>
          </w:p>
        </w:tc>
        <w:tc>
          <w:tcPr>
            <w:tcW w:w="3244" w:type="pct"/>
            <w:gridSpan w:val="2"/>
            <w:tcBorders>
              <w:top w:val="outset" w:sz="6" w:space="0" w:color="414142"/>
              <w:left w:val="outset" w:sz="6" w:space="0" w:color="414142"/>
              <w:bottom w:val="outset" w:sz="6" w:space="0" w:color="414142"/>
              <w:right w:val="outset" w:sz="6" w:space="0" w:color="414142"/>
            </w:tcBorders>
            <w:hideMark/>
          </w:tcPr>
          <w:p w14:paraId="52C4DB4E" w14:textId="77777777" w:rsidR="00C14D9E" w:rsidRPr="00332CA3" w:rsidRDefault="00641B21" w:rsidP="0076419D">
            <w:pPr>
              <w:ind w:hanging="1"/>
              <w:rPr>
                <w:rFonts w:ascii="Times New Roman" w:hAnsi="Times New Roman" w:cs="Times New Roman"/>
                <w:sz w:val="28"/>
                <w:szCs w:val="28"/>
              </w:rPr>
            </w:pPr>
            <w:r w:rsidRPr="00332CA3">
              <w:rPr>
                <w:rFonts w:ascii="Times New Roman" w:hAnsi="Times New Roman" w:cs="Times New Roman"/>
                <w:sz w:val="28"/>
                <w:szCs w:val="28"/>
              </w:rPr>
              <w:t>Projekts šo jomu neskar</w:t>
            </w:r>
            <w:r w:rsidR="008107DF" w:rsidRPr="00332CA3">
              <w:rPr>
                <w:rFonts w:ascii="Times New Roman" w:hAnsi="Times New Roman" w:cs="Times New Roman"/>
                <w:sz w:val="28"/>
                <w:szCs w:val="28"/>
              </w:rPr>
              <w:t>.</w:t>
            </w:r>
          </w:p>
        </w:tc>
      </w:tr>
      <w:tr w:rsidR="002E0F29" w:rsidRPr="00332CA3" w14:paraId="00945626" w14:textId="77777777" w:rsidTr="00C44C1C">
        <w:trPr>
          <w:trHeight w:val="345"/>
        </w:trPr>
        <w:tc>
          <w:tcPr>
            <w:tcW w:w="292" w:type="pct"/>
            <w:tcBorders>
              <w:top w:val="outset" w:sz="6" w:space="0" w:color="414142"/>
              <w:left w:val="outset" w:sz="6" w:space="0" w:color="414142"/>
              <w:bottom w:val="outset" w:sz="6" w:space="0" w:color="414142"/>
              <w:right w:val="outset" w:sz="6" w:space="0" w:color="414142"/>
            </w:tcBorders>
            <w:hideMark/>
          </w:tcPr>
          <w:p w14:paraId="524D9BC4"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4.</w:t>
            </w:r>
          </w:p>
        </w:tc>
        <w:tc>
          <w:tcPr>
            <w:tcW w:w="1464" w:type="pct"/>
            <w:tcBorders>
              <w:top w:val="outset" w:sz="6" w:space="0" w:color="414142"/>
              <w:left w:val="outset" w:sz="6" w:space="0" w:color="414142"/>
              <w:bottom w:val="outset" w:sz="6" w:space="0" w:color="414142"/>
              <w:right w:val="outset" w:sz="6" w:space="0" w:color="414142"/>
            </w:tcBorders>
            <w:hideMark/>
          </w:tcPr>
          <w:p w14:paraId="065D7D55" w14:textId="77777777" w:rsidR="00C14D9E" w:rsidRPr="00332CA3" w:rsidRDefault="00C14D9E" w:rsidP="00C14D9E">
            <w:pPr>
              <w:rPr>
                <w:rFonts w:ascii="Times New Roman" w:hAnsi="Times New Roman" w:cs="Times New Roman"/>
                <w:sz w:val="28"/>
                <w:szCs w:val="28"/>
              </w:rPr>
            </w:pPr>
            <w:r w:rsidRPr="00332CA3">
              <w:rPr>
                <w:rFonts w:ascii="Times New Roman" w:hAnsi="Times New Roman" w:cs="Times New Roman"/>
                <w:sz w:val="28"/>
                <w:szCs w:val="28"/>
              </w:rPr>
              <w:t>Cita informācija</w:t>
            </w:r>
          </w:p>
        </w:tc>
        <w:tc>
          <w:tcPr>
            <w:tcW w:w="3244" w:type="pct"/>
            <w:gridSpan w:val="2"/>
            <w:tcBorders>
              <w:top w:val="outset" w:sz="6" w:space="0" w:color="414142"/>
              <w:left w:val="outset" w:sz="6" w:space="0" w:color="414142"/>
              <w:bottom w:val="outset" w:sz="6" w:space="0" w:color="414142"/>
              <w:right w:val="outset" w:sz="6" w:space="0" w:color="414142"/>
            </w:tcBorders>
            <w:hideMark/>
          </w:tcPr>
          <w:p w14:paraId="4B9DD229" w14:textId="77777777" w:rsidR="00C14D9E" w:rsidRPr="00332CA3" w:rsidRDefault="00D10AAF" w:rsidP="00C14D9E">
            <w:pPr>
              <w:rPr>
                <w:rFonts w:ascii="Times New Roman" w:hAnsi="Times New Roman" w:cs="Times New Roman"/>
                <w:sz w:val="28"/>
                <w:szCs w:val="28"/>
              </w:rPr>
            </w:pPr>
            <w:r w:rsidRPr="00332CA3">
              <w:rPr>
                <w:rFonts w:ascii="Times New Roman" w:hAnsi="Times New Roman" w:cs="Times New Roman"/>
                <w:sz w:val="28"/>
                <w:szCs w:val="28"/>
              </w:rPr>
              <w:t>Nav</w:t>
            </w:r>
            <w:r w:rsidR="00C73AF0" w:rsidRPr="00332CA3">
              <w:rPr>
                <w:rFonts w:ascii="Times New Roman" w:hAnsi="Times New Roman" w:cs="Times New Roman"/>
                <w:sz w:val="28"/>
                <w:szCs w:val="28"/>
              </w:rPr>
              <w:t>.</w:t>
            </w:r>
          </w:p>
        </w:tc>
      </w:tr>
      <w:tr w:rsidR="00653C2F" w:rsidRPr="00332CA3" w14:paraId="598DD14E" w14:textId="77777777" w:rsidTr="00C44C1C">
        <w:tblPrEx>
          <w:jc w:val="center"/>
          <w:tblCellMar>
            <w:top w:w="24" w:type="dxa"/>
            <w:left w:w="24" w:type="dxa"/>
            <w:bottom w:w="24" w:type="dxa"/>
            <w:right w:w="24" w:type="dxa"/>
          </w:tblCellMar>
        </w:tblPrEx>
        <w:trPr>
          <w:gridAfter w:val="1"/>
          <w:wAfter w:w="70" w:type="pct"/>
          <w:trHeight w:val="288"/>
          <w:jc w:val="center"/>
        </w:trPr>
        <w:tc>
          <w:tcPr>
            <w:tcW w:w="4930" w:type="pct"/>
            <w:gridSpan w:val="3"/>
            <w:tcBorders>
              <w:top w:val="outset" w:sz="6" w:space="0" w:color="414142"/>
              <w:left w:val="outset" w:sz="6" w:space="0" w:color="414142"/>
              <w:bottom w:val="outset" w:sz="6" w:space="0" w:color="414142"/>
              <w:right w:val="outset" w:sz="6" w:space="0" w:color="414142"/>
            </w:tcBorders>
            <w:vAlign w:val="center"/>
            <w:hideMark/>
          </w:tcPr>
          <w:p w14:paraId="51B2F5D5" w14:textId="10F99142" w:rsidR="00653C2F" w:rsidRPr="00332CA3" w:rsidRDefault="00C14D9E" w:rsidP="000E173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332CA3">
              <w:rPr>
                <w:rFonts w:ascii="Times New Roman" w:hAnsi="Times New Roman" w:cs="Times New Roman"/>
                <w:sz w:val="28"/>
                <w:szCs w:val="28"/>
              </w:rPr>
              <w:t> </w:t>
            </w:r>
            <w:r w:rsidR="00653C2F" w:rsidRPr="00332CA3">
              <w:rPr>
                <w:rFonts w:ascii="Times New Roman" w:eastAsia="Times New Roman" w:hAnsi="Times New Roman" w:cs="Times New Roman"/>
                <w:b/>
                <w:bCs/>
                <w:sz w:val="28"/>
                <w:szCs w:val="28"/>
                <w:lang w:eastAsia="lv-LV"/>
              </w:rPr>
              <w:t>III. Tiesību akta projekta ietekme uz valsts budžetu un pašvaldību budžetiem</w:t>
            </w:r>
          </w:p>
        </w:tc>
      </w:tr>
      <w:tr w:rsidR="00653C2F" w:rsidRPr="00332CA3" w14:paraId="411438B4" w14:textId="77777777" w:rsidTr="00C44C1C">
        <w:tblPrEx>
          <w:jc w:val="center"/>
          <w:tblCellMar>
            <w:top w:w="24" w:type="dxa"/>
            <w:left w:w="24" w:type="dxa"/>
            <w:bottom w:w="24" w:type="dxa"/>
            <w:right w:w="24" w:type="dxa"/>
          </w:tblCellMar>
        </w:tblPrEx>
        <w:trPr>
          <w:gridAfter w:val="1"/>
          <w:wAfter w:w="70" w:type="pct"/>
          <w:trHeight w:val="288"/>
          <w:jc w:val="center"/>
        </w:trPr>
        <w:tc>
          <w:tcPr>
            <w:tcW w:w="4930" w:type="pct"/>
            <w:gridSpan w:val="3"/>
            <w:tcBorders>
              <w:top w:val="outset" w:sz="6" w:space="0" w:color="414142"/>
              <w:left w:val="outset" w:sz="6" w:space="0" w:color="414142"/>
              <w:bottom w:val="outset" w:sz="6" w:space="0" w:color="414142"/>
              <w:right w:val="outset" w:sz="6" w:space="0" w:color="414142"/>
            </w:tcBorders>
            <w:vAlign w:val="center"/>
          </w:tcPr>
          <w:p w14:paraId="0DF9BEAA" w14:textId="26A087B9" w:rsidR="00653C2F" w:rsidRPr="00332CA3" w:rsidRDefault="00653C2F" w:rsidP="000E1736">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332CA3">
              <w:rPr>
                <w:rFonts w:ascii="Times New Roman" w:eastAsia="Times New Roman" w:hAnsi="Times New Roman" w:cs="Times New Roman"/>
                <w:bCs/>
                <w:sz w:val="28"/>
                <w:szCs w:val="28"/>
                <w:lang w:eastAsia="lv-LV"/>
              </w:rPr>
              <w:t>Projekts šo jomu neskar.</w:t>
            </w:r>
          </w:p>
        </w:tc>
      </w:tr>
    </w:tbl>
    <w:p w14:paraId="747BEFFF" w14:textId="77777777" w:rsidR="00653C2F" w:rsidRPr="00332CA3" w:rsidRDefault="00653C2F" w:rsidP="00C14D9E">
      <w:pPr>
        <w:rPr>
          <w:rFonts w:ascii="Times New Roman" w:hAnsi="Times New Roman" w:cs="Times New Roman"/>
          <w:sz w:val="28"/>
          <w:szCs w:val="28"/>
        </w:rPr>
      </w:pPr>
    </w:p>
    <w:tbl>
      <w:tblPr>
        <w:tblStyle w:val="TableGrid"/>
        <w:tblW w:w="963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34"/>
        <w:gridCol w:w="2863"/>
        <w:gridCol w:w="6237"/>
      </w:tblGrid>
      <w:tr w:rsidR="002E0F29" w:rsidRPr="00332CA3" w14:paraId="4335A708" w14:textId="77777777" w:rsidTr="007E7FFB">
        <w:tc>
          <w:tcPr>
            <w:tcW w:w="9634" w:type="dxa"/>
            <w:gridSpan w:val="3"/>
            <w:tcBorders>
              <w:top w:val="single" w:sz="4" w:space="0" w:color="auto"/>
              <w:left w:val="single" w:sz="4" w:space="0" w:color="auto"/>
              <w:bottom w:val="single" w:sz="4" w:space="0" w:color="auto"/>
              <w:right w:val="single" w:sz="4" w:space="0" w:color="auto"/>
            </w:tcBorders>
            <w:hideMark/>
          </w:tcPr>
          <w:p w14:paraId="4F747EEA" w14:textId="77777777" w:rsidR="006A6A7D" w:rsidRPr="00332CA3" w:rsidRDefault="006A6A7D" w:rsidP="001067FA">
            <w:pPr>
              <w:jc w:val="center"/>
              <w:rPr>
                <w:b/>
                <w:bCs/>
                <w:sz w:val="28"/>
                <w:szCs w:val="28"/>
              </w:rPr>
            </w:pPr>
            <w:r w:rsidRPr="00332CA3">
              <w:rPr>
                <w:b/>
                <w:bCs/>
                <w:sz w:val="28"/>
                <w:szCs w:val="28"/>
              </w:rPr>
              <w:t>IV. Tiesību akta projekta ietekme uz</w:t>
            </w:r>
            <w:r w:rsidR="00586839" w:rsidRPr="00332CA3">
              <w:rPr>
                <w:b/>
                <w:bCs/>
                <w:sz w:val="28"/>
                <w:szCs w:val="28"/>
              </w:rPr>
              <w:t xml:space="preserve"> </w:t>
            </w:r>
            <w:r w:rsidRPr="00332CA3">
              <w:rPr>
                <w:b/>
                <w:bCs/>
                <w:sz w:val="28"/>
                <w:szCs w:val="28"/>
              </w:rPr>
              <w:t>spēkā esošo tiesību normu sistēmu</w:t>
            </w:r>
          </w:p>
        </w:tc>
      </w:tr>
      <w:tr w:rsidR="002E0F29" w:rsidRPr="00332CA3" w14:paraId="625ADA90" w14:textId="77777777" w:rsidTr="007E7FFB">
        <w:tc>
          <w:tcPr>
            <w:tcW w:w="534" w:type="dxa"/>
            <w:tcBorders>
              <w:top w:val="single" w:sz="4" w:space="0" w:color="auto"/>
              <w:left w:val="single" w:sz="4" w:space="0" w:color="auto"/>
              <w:bottom w:val="single" w:sz="4" w:space="0" w:color="auto"/>
              <w:right w:val="single" w:sz="4" w:space="0" w:color="auto"/>
            </w:tcBorders>
            <w:hideMark/>
          </w:tcPr>
          <w:p w14:paraId="7C55B771" w14:textId="77777777" w:rsidR="006A6A7D" w:rsidRPr="00332CA3" w:rsidRDefault="006A6A7D" w:rsidP="007E7FFB">
            <w:pPr>
              <w:spacing w:before="100" w:beforeAutospacing="1" w:after="100" w:afterAutospacing="1"/>
              <w:rPr>
                <w:bCs/>
                <w:sz w:val="28"/>
                <w:szCs w:val="28"/>
              </w:rPr>
            </w:pPr>
            <w:r w:rsidRPr="00332CA3">
              <w:rPr>
                <w:bCs/>
                <w:sz w:val="28"/>
                <w:szCs w:val="28"/>
              </w:rPr>
              <w:lastRenderedPageBreak/>
              <w:t>1.</w:t>
            </w:r>
          </w:p>
        </w:tc>
        <w:tc>
          <w:tcPr>
            <w:tcW w:w="2863" w:type="dxa"/>
            <w:tcBorders>
              <w:top w:val="single" w:sz="4" w:space="0" w:color="auto"/>
              <w:left w:val="single" w:sz="4" w:space="0" w:color="auto"/>
              <w:bottom w:val="single" w:sz="4" w:space="0" w:color="auto"/>
              <w:right w:val="single" w:sz="4" w:space="0" w:color="auto"/>
            </w:tcBorders>
            <w:hideMark/>
          </w:tcPr>
          <w:p w14:paraId="7F6B6C93" w14:textId="77777777" w:rsidR="006A6A7D" w:rsidRPr="00332CA3" w:rsidRDefault="006A6A7D">
            <w:pPr>
              <w:spacing w:before="100" w:beforeAutospacing="1" w:after="100" w:afterAutospacing="1"/>
              <w:rPr>
                <w:bCs/>
                <w:sz w:val="28"/>
                <w:szCs w:val="28"/>
              </w:rPr>
            </w:pPr>
            <w:r w:rsidRPr="00332CA3">
              <w:rPr>
                <w:sz w:val="28"/>
                <w:szCs w:val="28"/>
              </w:rPr>
              <w:t>Nepieciešamie saistītie tiesību akta projekti</w:t>
            </w:r>
          </w:p>
        </w:tc>
        <w:tc>
          <w:tcPr>
            <w:tcW w:w="6237" w:type="dxa"/>
            <w:tcBorders>
              <w:top w:val="single" w:sz="4" w:space="0" w:color="auto"/>
              <w:left w:val="single" w:sz="4" w:space="0" w:color="auto"/>
              <w:bottom w:val="single" w:sz="4" w:space="0" w:color="auto"/>
              <w:right w:val="single" w:sz="4" w:space="0" w:color="auto"/>
            </w:tcBorders>
          </w:tcPr>
          <w:p w14:paraId="43F32839" w14:textId="68FCDBA4" w:rsidR="00D9501B" w:rsidRPr="00332CA3" w:rsidRDefault="00D9501B" w:rsidP="003911D8">
            <w:pPr>
              <w:jc w:val="both"/>
              <w:rPr>
                <w:sz w:val="28"/>
                <w:szCs w:val="28"/>
              </w:rPr>
            </w:pPr>
            <w:r w:rsidRPr="00332CA3">
              <w:rPr>
                <w:sz w:val="28"/>
                <w:szCs w:val="28"/>
              </w:rPr>
              <w:t>S</w:t>
            </w:r>
            <w:r w:rsidR="00A144ED" w:rsidRPr="00332CA3">
              <w:rPr>
                <w:sz w:val="28"/>
                <w:szCs w:val="28"/>
              </w:rPr>
              <w:t>askaņā ar Zinātniskās darbības likuma 18.</w:t>
            </w:r>
            <w:r w:rsidR="00A144ED" w:rsidRPr="00332CA3">
              <w:rPr>
                <w:sz w:val="28"/>
                <w:szCs w:val="28"/>
                <w:vertAlign w:val="superscript"/>
              </w:rPr>
              <w:t>1</w:t>
            </w:r>
            <w:r w:rsidR="002820C2" w:rsidRPr="00332CA3">
              <w:rPr>
                <w:sz w:val="28"/>
                <w:szCs w:val="28"/>
              </w:rPr>
              <w:t> </w:t>
            </w:r>
            <w:r w:rsidR="00A144ED" w:rsidRPr="00332CA3">
              <w:rPr>
                <w:sz w:val="28"/>
                <w:szCs w:val="28"/>
              </w:rPr>
              <w:t>panta otrās daļas 2.</w:t>
            </w:r>
            <w:r w:rsidR="002820C2" w:rsidRPr="00332CA3">
              <w:rPr>
                <w:sz w:val="28"/>
                <w:szCs w:val="28"/>
              </w:rPr>
              <w:t> </w:t>
            </w:r>
            <w:r w:rsidR="00A144ED" w:rsidRPr="00332CA3">
              <w:rPr>
                <w:sz w:val="28"/>
                <w:szCs w:val="28"/>
              </w:rPr>
              <w:t>punktu un 34.</w:t>
            </w:r>
            <w:r w:rsidR="002820C2" w:rsidRPr="00332CA3">
              <w:rPr>
                <w:sz w:val="28"/>
                <w:szCs w:val="28"/>
              </w:rPr>
              <w:t> </w:t>
            </w:r>
            <w:r w:rsidR="00A144ED" w:rsidRPr="00332CA3">
              <w:rPr>
                <w:sz w:val="28"/>
                <w:szCs w:val="28"/>
              </w:rPr>
              <w:t xml:space="preserve">panta trešo daļu </w:t>
            </w:r>
            <w:r w:rsidR="002674F1" w:rsidRPr="00332CA3">
              <w:rPr>
                <w:sz w:val="28"/>
                <w:szCs w:val="28"/>
              </w:rPr>
              <w:t xml:space="preserve">ministrijā ir </w:t>
            </w:r>
            <w:r w:rsidR="00A144ED" w:rsidRPr="00332CA3">
              <w:rPr>
                <w:sz w:val="28"/>
                <w:szCs w:val="28"/>
              </w:rPr>
              <w:t>sagatavots noteikumu projekts “Fundamentālo un lietišķo pētījumu projektu izvērtēšanas, finansēša</w:t>
            </w:r>
            <w:r w:rsidRPr="00332CA3">
              <w:rPr>
                <w:sz w:val="28"/>
                <w:szCs w:val="28"/>
              </w:rPr>
              <w:t xml:space="preserve">nas un administrēšanas kārtība”, kas 2017. gada 7. septembrī ir izsludināts valsts sekretāru sanāksmē (VSS-925). </w:t>
            </w:r>
          </w:p>
        </w:tc>
      </w:tr>
      <w:tr w:rsidR="002E0F29" w:rsidRPr="00332CA3" w14:paraId="4271D870" w14:textId="77777777" w:rsidTr="007E7FFB">
        <w:tc>
          <w:tcPr>
            <w:tcW w:w="534" w:type="dxa"/>
            <w:tcBorders>
              <w:top w:val="single" w:sz="4" w:space="0" w:color="auto"/>
              <w:left w:val="single" w:sz="4" w:space="0" w:color="auto"/>
              <w:bottom w:val="single" w:sz="4" w:space="0" w:color="auto"/>
              <w:right w:val="single" w:sz="4" w:space="0" w:color="auto"/>
            </w:tcBorders>
            <w:hideMark/>
          </w:tcPr>
          <w:p w14:paraId="527FA792" w14:textId="77777777" w:rsidR="006A6A7D" w:rsidRPr="00332CA3" w:rsidRDefault="006A6A7D" w:rsidP="007E7FFB">
            <w:pPr>
              <w:spacing w:before="100" w:beforeAutospacing="1" w:after="100" w:afterAutospacing="1"/>
              <w:jc w:val="both"/>
              <w:rPr>
                <w:bCs/>
                <w:sz w:val="28"/>
                <w:szCs w:val="28"/>
              </w:rPr>
            </w:pPr>
            <w:r w:rsidRPr="00332CA3">
              <w:rPr>
                <w:bCs/>
                <w:sz w:val="28"/>
                <w:szCs w:val="28"/>
              </w:rPr>
              <w:t>2.</w:t>
            </w:r>
          </w:p>
        </w:tc>
        <w:tc>
          <w:tcPr>
            <w:tcW w:w="2863" w:type="dxa"/>
            <w:tcBorders>
              <w:top w:val="single" w:sz="4" w:space="0" w:color="auto"/>
              <w:left w:val="single" w:sz="4" w:space="0" w:color="auto"/>
              <w:bottom w:val="single" w:sz="4" w:space="0" w:color="auto"/>
              <w:right w:val="single" w:sz="4" w:space="0" w:color="auto"/>
            </w:tcBorders>
            <w:hideMark/>
          </w:tcPr>
          <w:p w14:paraId="064C5D0A" w14:textId="77777777" w:rsidR="006A6A7D" w:rsidRPr="00332CA3" w:rsidRDefault="006A6A7D">
            <w:pPr>
              <w:spacing w:before="100" w:beforeAutospacing="1" w:after="100" w:afterAutospacing="1"/>
              <w:rPr>
                <w:bCs/>
                <w:sz w:val="28"/>
                <w:szCs w:val="28"/>
              </w:rPr>
            </w:pPr>
            <w:r w:rsidRPr="00332CA3">
              <w:rPr>
                <w:sz w:val="28"/>
                <w:szCs w:val="28"/>
              </w:rPr>
              <w:t>Atbildīgā institūcija</w:t>
            </w:r>
          </w:p>
        </w:tc>
        <w:tc>
          <w:tcPr>
            <w:tcW w:w="6237" w:type="dxa"/>
            <w:tcBorders>
              <w:top w:val="single" w:sz="4" w:space="0" w:color="auto"/>
              <w:left w:val="single" w:sz="4" w:space="0" w:color="auto"/>
              <w:bottom w:val="single" w:sz="4" w:space="0" w:color="auto"/>
              <w:right w:val="single" w:sz="4" w:space="0" w:color="auto"/>
            </w:tcBorders>
            <w:hideMark/>
          </w:tcPr>
          <w:p w14:paraId="3A9A09AC" w14:textId="5CE9E07B" w:rsidR="00152E70" w:rsidRPr="00332CA3" w:rsidRDefault="00321872" w:rsidP="00C8687D">
            <w:pPr>
              <w:spacing w:before="100" w:beforeAutospacing="1" w:after="100" w:afterAutospacing="1"/>
              <w:jc w:val="both"/>
              <w:rPr>
                <w:bCs/>
                <w:sz w:val="28"/>
                <w:szCs w:val="28"/>
              </w:rPr>
            </w:pPr>
            <w:r w:rsidRPr="00332CA3">
              <w:rPr>
                <w:bCs/>
                <w:sz w:val="28"/>
                <w:szCs w:val="28"/>
              </w:rPr>
              <w:t>IZM</w:t>
            </w:r>
            <w:r w:rsidR="0059518D" w:rsidRPr="00332CA3">
              <w:rPr>
                <w:bCs/>
                <w:sz w:val="28"/>
                <w:szCs w:val="28"/>
              </w:rPr>
              <w:t>, LZP</w:t>
            </w:r>
            <w:r w:rsidR="00152E70" w:rsidRPr="00332CA3">
              <w:rPr>
                <w:bCs/>
                <w:sz w:val="28"/>
                <w:szCs w:val="28"/>
              </w:rPr>
              <w:t>.</w:t>
            </w:r>
          </w:p>
        </w:tc>
      </w:tr>
      <w:tr w:rsidR="00AB16CF" w:rsidRPr="00332CA3" w14:paraId="5A6438FE" w14:textId="77777777" w:rsidTr="007E7FFB">
        <w:tc>
          <w:tcPr>
            <w:tcW w:w="534" w:type="dxa"/>
            <w:tcBorders>
              <w:top w:val="single" w:sz="4" w:space="0" w:color="auto"/>
              <w:left w:val="single" w:sz="4" w:space="0" w:color="auto"/>
              <w:bottom w:val="single" w:sz="4" w:space="0" w:color="auto"/>
              <w:right w:val="single" w:sz="4" w:space="0" w:color="auto"/>
            </w:tcBorders>
            <w:hideMark/>
          </w:tcPr>
          <w:p w14:paraId="24890912" w14:textId="77777777" w:rsidR="006A6A7D" w:rsidRPr="00332CA3" w:rsidRDefault="006A6A7D" w:rsidP="007E7FFB">
            <w:pPr>
              <w:spacing w:before="100" w:beforeAutospacing="1" w:after="100" w:afterAutospacing="1"/>
              <w:jc w:val="both"/>
              <w:rPr>
                <w:bCs/>
                <w:sz w:val="28"/>
                <w:szCs w:val="28"/>
              </w:rPr>
            </w:pPr>
            <w:r w:rsidRPr="00332CA3">
              <w:rPr>
                <w:bCs/>
                <w:sz w:val="28"/>
                <w:szCs w:val="28"/>
              </w:rPr>
              <w:t>3.</w:t>
            </w:r>
          </w:p>
        </w:tc>
        <w:tc>
          <w:tcPr>
            <w:tcW w:w="2863" w:type="dxa"/>
            <w:tcBorders>
              <w:top w:val="single" w:sz="4" w:space="0" w:color="auto"/>
              <w:left w:val="single" w:sz="4" w:space="0" w:color="auto"/>
              <w:bottom w:val="single" w:sz="4" w:space="0" w:color="auto"/>
              <w:right w:val="single" w:sz="4" w:space="0" w:color="auto"/>
            </w:tcBorders>
            <w:hideMark/>
          </w:tcPr>
          <w:p w14:paraId="382DBCD9" w14:textId="77777777" w:rsidR="006A6A7D" w:rsidRPr="00332CA3" w:rsidRDefault="006A6A7D">
            <w:pPr>
              <w:spacing w:before="100" w:beforeAutospacing="1" w:after="100" w:afterAutospacing="1"/>
              <w:rPr>
                <w:bCs/>
                <w:sz w:val="28"/>
                <w:szCs w:val="28"/>
              </w:rPr>
            </w:pPr>
            <w:r w:rsidRPr="00332CA3">
              <w:rPr>
                <w:sz w:val="28"/>
                <w:szCs w:val="28"/>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2014F3A7" w14:textId="77777777" w:rsidR="006A6A7D" w:rsidRDefault="0054238D" w:rsidP="00E725C1">
            <w:pPr>
              <w:jc w:val="both"/>
              <w:rPr>
                <w:sz w:val="28"/>
                <w:szCs w:val="28"/>
              </w:rPr>
            </w:pPr>
            <w:r w:rsidRPr="00332CA3">
              <w:rPr>
                <w:sz w:val="28"/>
                <w:szCs w:val="28"/>
              </w:rPr>
              <w:t xml:space="preserve">2017. gada 6. jūlijā </w:t>
            </w:r>
            <w:r w:rsidRPr="00332CA3">
              <w:rPr>
                <w:bCs/>
                <w:sz w:val="28"/>
                <w:szCs w:val="28"/>
              </w:rPr>
              <w:t>Valsts sekretāru sanāksmē tika</w:t>
            </w:r>
            <w:r w:rsidRPr="00332CA3">
              <w:rPr>
                <w:sz w:val="28"/>
                <w:szCs w:val="28"/>
              </w:rPr>
              <w:t xml:space="preserve"> </w:t>
            </w:r>
            <w:r w:rsidRPr="00332CA3">
              <w:rPr>
                <w:bCs/>
                <w:sz w:val="28"/>
                <w:szCs w:val="28"/>
              </w:rPr>
              <w:t>izsludināts</w:t>
            </w:r>
            <w:r w:rsidRPr="00332CA3">
              <w:rPr>
                <w:sz w:val="28"/>
                <w:szCs w:val="28"/>
              </w:rPr>
              <w:t xml:space="preserve"> Ministru kabineta noteikumu projekts “Noteikumi par Latvijas zinātnes nozarēm un apakšnozarēm”” (VSS-724, prot. Nr. 26, 14. §), kas nosaka Latvijas zinātnes nozares un apakšnozares, pamatojoties uz Zinātniskās darbības likuma 13. panta otrās daļas 3.</w:t>
            </w:r>
            <w:r w:rsidRPr="00332CA3">
              <w:rPr>
                <w:sz w:val="28"/>
                <w:szCs w:val="28"/>
                <w:vertAlign w:val="superscript"/>
              </w:rPr>
              <w:t xml:space="preserve">1 </w:t>
            </w:r>
            <w:r w:rsidRPr="00332CA3">
              <w:rPr>
                <w:sz w:val="28"/>
                <w:szCs w:val="28"/>
              </w:rPr>
              <w:t>punktā doto deleģējumu.</w:t>
            </w:r>
          </w:p>
          <w:p w14:paraId="4DB2AB58" w14:textId="6095DE94" w:rsidR="0054238D" w:rsidRPr="00332CA3" w:rsidRDefault="0054238D" w:rsidP="0054238D">
            <w:pPr>
              <w:jc w:val="both"/>
              <w:rPr>
                <w:sz w:val="28"/>
                <w:szCs w:val="28"/>
              </w:rPr>
            </w:pPr>
            <w:r>
              <w:rPr>
                <w:sz w:val="28"/>
                <w:szCs w:val="28"/>
              </w:rPr>
              <w:t>Minētais noteikumu projekts pēc saskaņošanas tiks virzīts uz Ministru kabinetu.</w:t>
            </w:r>
          </w:p>
        </w:tc>
      </w:tr>
    </w:tbl>
    <w:p w14:paraId="51EB42F0" w14:textId="77777777" w:rsidR="00B8581E" w:rsidRPr="00332CA3" w:rsidRDefault="00B8581E" w:rsidP="00C14D9E">
      <w:pP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89"/>
      </w:tblGrid>
      <w:tr w:rsidR="00B66016" w:rsidRPr="00332CA3" w14:paraId="53B3E260" w14:textId="77777777" w:rsidTr="000E1736">
        <w:tc>
          <w:tcPr>
            <w:tcW w:w="0" w:type="auto"/>
            <w:tcBorders>
              <w:top w:val="outset" w:sz="6" w:space="0" w:color="414142"/>
              <w:left w:val="outset" w:sz="6" w:space="0" w:color="414142"/>
              <w:bottom w:val="outset" w:sz="6" w:space="0" w:color="414142"/>
              <w:right w:val="outset" w:sz="6" w:space="0" w:color="414142"/>
            </w:tcBorders>
            <w:vAlign w:val="center"/>
            <w:hideMark/>
          </w:tcPr>
          <w:p w14:paraId="228E99ED" w14:textId="77777777" w:rsidR="00B66016" w:rsidRPr="00332CA3" w:rsidRDefault="00B66016" w:rsidP="000E1736">
            <w:pPr>
              <w:spacing w:before="100" w:beforeAutospacing="1" w:after="100" w:afterAutospacing="1" w:line="293" w:lineRule="atLeast"/>
              <w:jc w:val="center"/>
              <w:rPr>
                <w:rFonts w:ascii="Times New Roman" w:eastAsia="Times New Roman" w:hAnsi="Times New Roman" w:cs="Times New Roman"/>
                <w:b/>
                <w:bCs/>
                <w:sz w:val="28"/>
                <w:szCs w:val="24"/>
                <w:lang w:eastAsia="lv-LV"/>
              </w:rPr>
            </w:pPr>
            <w:r w:rsidRPr="00332CA3">
              <w:rPr>
                <w:rFonts w:ascii="Times New Roman" w:eastAsia="Times New Roman" w:hAnsi="Times New Roman" w:cs="Times New Roman"/>
                <w:b/>
                <w:bCs/>
                <w:sz w:val="28"/>
                <w:szCs w:val="24"/>
                <w:lang w:eastAsia="lv-LV"/>
              </w:rPr>
              <w:t>V. Tiesību akta projekta atbilstība Latvijas Republikas starptautiskajām saistībām</w:t>
            </w:r>
          </w:p>
        </w:tc>
      </w:tr>
      <w:tr w:rsidR="00B66016" w:rsidRPr="00332CA3" w14:paraId="316B3D7A" w14:textId="77777777" w:rsidTr="000E1736">
        <w:tc>
          <w:tcPr>
            <w:tcW w:w="0" w:type="auto"/>
            <w:tcBorders>
              <w:top w:val="outset" w:sz="6" w:space="0" w:color="414142"/>
              <w:left w:val="outset" w:sz="6" w:space="0" w:color="414142"/>
              <w:bottom w:val="outset" w:sz="6" w:space="0" w:color="414142"/>
              <w:right w:val="outset" w:sz="6" w:space="0" w:color="414142"/>
            </w:tcBorders>
            <w:vAlign w:val="center"/>
          </w:tcPr>
          <w:p w14:paraId="26C0117A" w14:textId="10345ADF" w:rsidR="00B66016" w:rsidRPr="00332CA3" w:rsidRDefault="00B66016" w:rsidP="000E1736">
            <w:pPr>
              <w:spacing w:before="100" w:beforeAutospacing="1" w:after="100" w:afterAutospacing="1" w:line="293" w:lineRule="atLeast"/>
              <w:jc w:val="cente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Projekts šo jomu neskar.</w:t>
            </w:r>
          </w:p>
        </w:tc>
      </w:tr>
    </w:tbl>
    <w:p w14:paraId="244B2F1F" w14:textId="77777777" w:rsidR="00B66016" w:rsidRPr="00332CA3" w:rsidRDefault="00B66016" w:rsidP="00C14D9E">
      <w:pPr>
        <w:rPr>
          <w:rFonts w:ascii="Times New Roman" w:hAnsi="Times New Roman" w:cs="Times New Roman"/>
          <w:sz w:val="28"/>
          <w:szCs w:val="28"/>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
        <w:gridCol w:w="653"/>
        <w:gridCol w:w="3157"/>
        <w:gridCol w:w="5570"/>
      </w:tblGrid>
      <w:tr w:rsidR="0059518D" w:rsidRPr="00332CA3" w14:paraId="590CF87C" w14:textId="77777777" w:rsidTr="00DA34E7">
        <w:trPr>
          <w:trHeight w:val="37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8CCEF81" w14:textId="77777777" w:rsidR="0059518D" w:rsidRPr="00332CA3" w:rsidRDefault="0059518D" w:rsidP="00E2658E">
            <w:pPr>
              <w:jc w:val="center"/>
              <w:rPr>
                <w:rFonts w:ascii="Times New Roman" w:hAnsi="Times New Roman" w:cs="Times New Roman"/>
                <w:b/>
                <w:bCs/>
                <w:sz w:val="28"/>
                <w:szCs w:val="28"/>
              </w:rPr>
            </w:pPr>
            <w:r w:rsidRPr="00332CA3">
              <w:rPr>
                <w:rFonts w:ascii="Times New Roman" w:hAnsi="Times New Roman" w:cs="Times New Roman"/>
                <w:b/>
                <w:bCs/>
                <w:sz w:val="28"/>
                <w:szCs w:val="28"/>
              </w:rPr>
              <w:t>VI. Sabiedrības līdzdalība un komunikācijas aktivitātes</w:t>
            </w:r>
          </w:p>
        </w:tc>
      </w:tr>
      <w:tr w:rsidR="0059518D" w:rsidRPr="00332CA3" w14:paraId="50DAA444" w14:textId="77777777" w:rsidTr="00DA34E7">
        <w:tblPrEx>
          <w:jc w:val="center"/>
          <w:tblInd w:w="0" w:type="dxa"/>
        </w:tblPrEx>
        <w:trPr>
          <w:gridBefore w:val="1"/>
          <w:wBefore w:w="5" w:type="pct"/>
          <w:trHeight w:val="540"/>
          <w:jc w:val="center"/>
        </w:trPr>
        <w:tc>
          <w:tcPr>
            <w:tcW w:w="348" w:type="pct"/>
            <w:tcBorders>
              <w:top w:val="outset" w:sz="6" w:space="0" w:color="414142"/>
              <w:left w:val="outset" w:sz="6" w:space="0" w:color="414142"/>
              <w:bottom w:val="outset" w:sz="6" w:space="0" w:color="414142"/>
              <w:right w:val="outset" w:sz="6" w:space="0" w:color="414142"/>
            </w:tcBorders>
            <w:hideMark/>
          </w:tcPr>
          <w:p w14:paraId="61A597F8" w14:textId="77777777" w:rsidR="0059518D" w:rsidRPr="00332CA3" w:rsidRDefault="0059518D" w:rsidP="00E2658E">
            <w:pP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1.</w:t>
            </w:r>
          </w:p>
        </w:tc>
        <w:tc>
          <w:tcPr>
            <w:tcW w:w="1681" w:type="pct"/>
            <w:tcBorders>
              <w:top w:val="outset" w:sz="6" w:space="0" w:color="414142"/>
              <w:left w:val="outset" w:sz="6" w:space="0" w:color="414142"/>
              <w:bottom w:val="outset" w:sz="6" w:space="0" w:color="414142"/>
              <w:right w:val="outset" w:sz="6" w:space="0" w:color="414142"/>
            </w:tcBorders>
            <w:hideMark/>
          </w:tcPr>
          <w:p w14:paraId="28C3E6A7" w14:textId="77777777" w:rsidR="0059518D" w:rsidRPr="00332CA3" w:rsidRDefault="0059518D" w:rsidP="00E2658E">
            <w:pP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Plānotās sabiedrības līdzdalības un komunikācijas aktivitātes saistībā ar projektu</w:t>
            </w:r>
          </w:p>
        </w:tc>
        <w:tc>
          <w:tcPr>
            <w:tcW w:w="2966" w:type="pct"/>
            <w:tcBorders>
              <w:top w:val="outset" w:sz="6" w:space="0" w:color="414142"/>
              <w:left w:val="outset" w:sz="6" w:space="0" w:color="414142"/>
              <w:bottom w:val="outset" w:sz="6" w:space="0" w:color="414142"/>
              <w:right w:val="outset" w:sz="6" w:space="0" w:color="414142"/>
            </w:tcBorders>
            <w:hideMark/>
          </w:tcPr>
          <w:p w14:paraId="7E745B2C" w14:textId="6A517F37" w:rsidR="0059518D" w:rsidRPr="00332CA3" w:rsidRDefault="0059518D" w:rsidP="00112B8B">
            <w:pPr>
              <w:jc w:val="both"/>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Noteikumu projekts ir publicēts IZM mājaslapā (</w:t>
            </w:r>
            <w:hyperlink r:id="rId8" w:history="1">
              <w:r w:rsidR="00112B8B" w:rsidRPr="00332CA3">
                <w:rPr>
                  <w:rStyle w:val="Hyperlink"/>
                  <w:rFonts w:ascii="Times New Roman" w:eastAsia="Times New Roman" w:hAnsi="Times New Roman" w:cs="Times New Roman"/>
                  <w:bCs/>
                  <w:sz w:val="28"/>
                  <w:szCs w:val="24"/>
                  <w:lang w:eastAsia="lv-LV"/>
                </w:rPr>
                <w:t>http://www.izm.gov.lv/lv/normativie-akti/normativo-aktu-projekti</w:t>
              </w:r>
            </w:hyperlink>
            <w:r w:rsidRPr="00332CA3">
              <w:rPr>
                <w:rFonts w:ascii="Times New Roman" w:eastAsia="Times New Roman" w:hAnsi="Times New Roman" w:cs="Times New Roman"/>
                <w:bCs/>
                <w:sz w:val="28"/>
                <w:szCs w:val="24"/>
                <w:lang w:eastAsia="lv-LV"/>
              </w:rPr>
              <w:t>).</w:t>
            </w:r>
            <w:r w:rsidR="00112B8B" w:rsidRPr="00332CA3">
              <w:rPr>
                <w:rFonts w:ascii="Times New Roman" w:eastAsia="Times New Roman" w:hAnsi="Times New Roman" w:cs="Times New Roman"/>
                <w:bCs/>
                <w:sz w:val="28"/>
                <w:szCs w:val="24"/>
                <w:lang w:eastAsia="lv-LV"/>
              </w:rPr>
              <w:t xml:space="preserve"> </w:t>
            </w:r>
          </w:p>
        </w:tc>
      </w:tr>
      <w:tr w:rsidR="0059518D" w:rsidRPr="00332CA3" w14:paraId="17A00D3D" w14:textId="77777777" w:rsidTr="00DA34E7">
        <w:tblPrEx>
          <w:jc w:val="center"/>
          <w:tblInd w:w="0" w:type="dxa"/>
        </w:tblPrEx>
        <w:trPr>
          <w:gridBefore w:val="1"/>
          <w:wBefore w:w="5" w:type="pct"/>
          <w:trHeight w:val="330"/>
          <w:jc w:val="center"/>
        </w:trPr>
        <w:tc>
          <w:tcPr>
            <w:tcW w:w="348" w:type="pct"/>
            <w:tcBorders>
              <w:top w:val="outset" w:sz="6" w:space="0" w:color="414142"/>
              <w:left w:val="outset" w:sz="6" w:space="0" w:color="414142"/>
              <w:bottom w:val="outset" w:sz="6" w:space="0" w:color="414142"/>
              <w:right w:val="outset" w:sz="6" w:space="0" w:color="414142"/>
            </w:tcBorders>
            <w:hideMark/>
          </w:tcPr>
          <w:p w14:paraId="6EDC9327" w14:textId="77777777" w:rsidR="0059518D" w:rsidRPr="00332CA3" w:rsidRDefault="0059518D" w:rsidP="00E2658E">
            <w:pP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2.</w:t>
            </w:r>
          </w:p>
        </w:tc>
        <w:tc>
          <w:tcPr>
            <w:tcW w:w="1681" w:type="pct"/>
            <w:tcBorders>
              <w:top w:val="outset" w:sz="6" w:space="0" w:color="414142"/>
              <w:left w:val="outset" w:sz="6" w:space="0" w:color="414142"/>
              <w:bottom w:val="outset" w:sz="6" w:space="0" w:color="414142"/>
              <w:right w:val="outset" w:sz="6" w:space="0" w:color="414142"/>
            </w:tcBorders>
            <w:hideMark/>
          </w:tcPr>
          <w:p w14:paraId="1F061FD4" w14:textId="77777777" w:rsidR="0059518D" w:rsidRPr="00332CA3" w:rsidRDefault="0059518D" w:rsidP="00E2658E">
            <w:pP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Sabiedrības līdzdalība projekta izstrādē</w:t>
            </w:r>
          </w:p>
        </w:tc>
        <w:tc>
          <w:tcPr>
            <w:tcW w:w="2966" w:type="pct"/>
            <w:tcBorders>
              <w:top w:val="outset" w:sz="6" w:space="0" w:color="414142"/>
              <w:left w:val="outset" w:sz="6" w:space="0" w:color="414142"/>
              <w:bottom w:val="outset" w:sz="6" w:space="0" w:color="414142"/>
              <w:right w:val="outset" w:sz="6" w:space="0" w:color="414142"/>
            </w:tcBorders>
            <w:hideMark/>
          </w:tcPr>
          <w:p w14:paraId="48FFC7C8" w14:textId="593BDE79" w:rsidR="009B6948" w:rsidRPr="00332CA3" w:rsidRDefault="005C742C" w:rsidP="00EB7DDE">
            <w:pPr>
              <w:rPr>
                <w:rFonts w:ascii="Times New Roman" w:eastAsia="Times New Roman" w:hAnsi="Times New Roman" w:cs="Times New Roman"/>
                <w:bCs/>
                <w:sz w:val="28"/>
                <w:szCs w:val="24"/>
                <w:lang w:eastAsia="lv-LV"/>
              </w:rPr>
            </w:pPr>
            <w:r>
              <w:rPr>
                <w:rFonts w:ascii="Times New Roman" w:eastAsia="Times New Roman" w:hAnsi="Times New Roman" w:cs="Times New Roman"/>
                <w:bCs/>
                <w:sz w:val="28"/>
                <w:szCs w:val="24"/>
                <w:lang w:eastAsia="lv-LV"/>
              </w:rPr>
              <w:t xml:space="preserve">Viedokļi saņemti no </w:t>
            </w:r>
            <w:r w:rsidRPr="005C742C">
              <w:rPr>
                <w:rFonts w:ascii="Times New Roman" w:eastAsia="Times New Roman" w:hAnsi="Times New Roman" w:cs="Times New Roman"/>
                <w:bCs/>
                <w:sz w:val="28"/>
                <w:szCs w:val="24"/>
                <w:lang w:eastAsia="lv-LV"/>
              </w:rPr>
              <w:t>Latvijas Zinātnes padomes, Latvijas Rektoru padomes, Valsts zinātnisko institūciju asociācijas</w:t>
            </w:r>
            <w:r>
              <w:rPr>
                <w:rFonts w:ascii="Times New Roman" w:eastAsia="Times New Roman" w:hAnsi="Times New Roman" w:cs="Times New Roman"/>
                <w:bCs/>
                <w:sz w:val="28"/>
                <w:szCs w:val="24"/>
                <w:lang w:eastAsia="lv-LV"/>
              </w:rPr>
              <w:t xml:space="preserve"> </w:t>
            </w:r>
          </w:p>
        </w:tc>
      </w:tr>
      <w:tr w:rsidR="0059518D" w:rsidRPr="00332CA3" w14:paraId="0EF3ED50" w14:textId="77777777" w:rsidTr="00DA34E7">
        <w:tblPrEx>
          <w:jc w:val="center"/>
          <w:tblInd w:w="0" w:type="dxa"/>
        </w:tblPrEx>
        <w:trPr>
          <w:gridBefore w:val="1"/>
          <w:wBefore w:w="5" w:type="pct"/>
          <w:trHeight w:val="465"/>
          <w:jc w:val="center"/>
        </w:trPr>
        <w:tc>
          <w:tcPr>
            <w:tcW w:w="348" w:type="pct"/>
            <w:tcBorders>
              <w:top w:val="outset" w:sz="6" w:space="0" w:color="414142"/>
              <w:left w:val="outset" w:sz="6" w:space="0" w:color="414142"/>
              <w:bottom w:val="outset" w:sz="6" w:space="0" w:color="414142"/>
              <w:right w:val="outset" w:sz="6" w:space="0" w:color="414142"/>
            </w:tcBorders>
            <w:hideMark/>
          </w:tcPr>
          <w:p w14:paraId="72289EDF" w14:textId="5DAC2707" w:rsidR="0059518D" w:rsidRPr="00332CA3" w:rsidRDefault="0059518D" w:rsidP="00E2658E">
            <w:pP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3.</w:t>
            </w:r>
          </w:p>
        </w:tc>
        <w:tc>
          <w:tcPr>
            <w:tcW w:w="1681" w:type="pct"/>
            <w:tcBorders>
              <w:top w:val="outset" w:sz="6" w:space="0" w:color="414142"/>
              <w:left w:val="outset" w:sz="6" w:space="0" w:color="414142"/>
              <w:bottom w:val="outset" w:sz="6" w:space="0" w:color="414142"/>
              <w:right w:val="outset" w:sz="6" w:space="0" w:color="414142"/>
            </w:tcBorders>
            <w:hideMark/>
          </w:tcPr>
          <w:p w14:paraId="1B63B651" w14:textId="77777777" w:rsidR="0059518D" w:rsidRPr="00332CA3" w:rsidRDefault="0059518D" w:rsidP="00E2658E">
            <w:pP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Sabiedrības līdzdalības rezultāti</w:t>
            </w:r>
          </w:p>
        </w:tc>
        <w:tc>
          <w:tcPr>
            <w:tcW w:w="2966" w:type="pct"/>
            <w:tcBorders>
              <w:top w:val="outset" w:sz="6" w:space="0" w:color="414142"/>
              <w:left w:val="outset" w:sz="6" w:space="0" w:color="414142"/>
              <w:bottom w:val="outset" w:sz="6" w:space="0" w:color="414142"/>
              <w:right w:val="outset" w:sz="6" w:space="0" w:color="414142"/>
            </w:tcBorders>
            <w:hideMark/>
          </w:tcPr>
          <w:p w14:paraId="5B560B14" w14:textId="6B5CAC70" w:rsidR="0059518D" w:rsidRPr="00332CA3" w:rsidRDefault="00EB7DDE" w:rsidP="006F7F97">
            <w:pPr>
              <w:rPr>
                <w:rFonts w:ascii="Times New Roman" w:eastAsia="Times New Roman" w:hAnsi="Times New Roman" w:cs="Times New Roman"/>
                <w:bCs/>
                <w:sz w:val="28"/>
                <w:szCs w:val="24"/>
                <w:lang w:eastAsia="lv-LV"/>
              </w:rPr>
            </w:pPr>
            <w:r>
              <w:rPr>
                <w:rFonts w:ascii="Times New Roman" w:eastAsia="Times New Roman" w:hAnsi="Times New Roman" w:cs="Times New Roman"/>
                <w:bCs/>
                <w:sz w:val="28"/>
                <w:szCs w:val="24"/>
                <w:lang w:eastAsia="lv-LV"/>
              </w:rPr>
              <w:t>Sniegtie iebildumi, projekta precizējumi iekļauti izziņā.</w:t>
            </w:r>
          </w:p>
        </w:tc>
      </w:tr>
      <w:tr w:rsidR="0059518D" w:rsidRPr="00332CA3" w14:paraId="5E08AF2A" w14:textId="77777777" w:rsidTr="00DA34E7">
        <w:tblPrEx>
          <w:jc w:val="center"/>
          <w:tblInd w:w="0" w:type="dxa"/>
        </w:tblPrEx>
        <w:trPr>
          <w:gridBefore w:val="1"/>
          <w:wBefore w:w="5" w:type="pct"/>
          <w:trHeight w:val="465"/>
          <w:jc w:val="center"/>
        </w:trPr>
        <w:tc>
          <w:tcPr>
            <w:tcW w:w="348" w:type="pct"/>
            <w:tcBorders>
              <w:top w:val="outset" w:sz="6" w:space="0" w:color="414142"/>
              <w:left w:val="outset" w:sz="6" w:space="0" w:color="414142"/>
              <w:bottom w:val="outset" w:sz="6" w:space="0" w:color="414142"/>
              <w:right w:val="outset" w:sz="6" w:space="0" w:color="414142"/>
            </w:tcBorders>
            <w:hideMark/>
          </w:tcPr>
          <w:p w14:paraId="3EE3D0E2" w14:textId="77777777" w:rsidR="0059518D" w:rsidRPr="00332CA3" w:rsidRDefault="0059518D" w:rsidP="00E2658E">
            <w:pP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4.</w:t>
            </w:r>
          </w:p>
        </w:tc>
        <w:tc>
          <w:tcPr>
            <w:tcW w:w="1681" w:type="pct"/>
            <w:tcBorders>
              <w:top w:val="outset" w:sz="6" w:space="0" w:color="414142"/>
              <w:left w:val="outset" w:sz="6" w:space="0" w:color="414142"/>
              <w:bottom w:val="outset" w:sz="6" w:space="0" w:color="414142"/>
              <w:right w:val="outset" w:sz="6" w:space="0" w:color="414142"/>
            </w:tcBorders>
            <w:hideMark/>
          </w:tcPr>
          <w:p w14:paraId="44D13821" w14:textId="77777777" w:rsidR="0059518D" w:rsidRPr="00332CA3" w:rsidRDefault="0059518D" w:rsidP="00E2658E">
            <w:pP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Cita informācija</w:t>
            </w:r>
          </w:p>
        </w:tc>
        <w:tc>
          <w:tcPr>
            <w:tcW w:w="2966" w:type="pct"/>
            <w:tcBorders>
              <w:top w:val="outset" w:sz="6" w:space="0" w:color="414142"/>
              <w:left w:val="outset" w:sz="6" w:space="0" w:color="414142"/>
              <w:bottom w:val="outset" w:sz="6" w:space="0" w:color="414142"/>
              <w:right w:val="outset" w:sz="6" w:space="0" w:color="414142"/>
            </w:tcBorders>
            <w:hideMark/>
          </w:tcPr>
          <w:p w14:paraId="29633583" w14:textId="77777777" w:rsidR="0059518D" w:rsidRPr="00332CA3" w:rsidRDefault="0059518D" w:rsidP="00E2658E">
            <w:pPr>
              <w:rPr>
                <w:rFonts w:ascii="Times New Roman" w:eastAsia="Times New Roman" w:hAnsi="Times New Roman" w:cs="Times New Roman"/>
                <w:bCs/>
                <w:sz w:val="28"/>
                <w:szCs w:val="24"/>
                <w:lang w:eastAsia="lv-LV"/>
              </w:rPr>
            </w:pPr>
            <w:r w:rsidRPr="00332CA3">
              <w:rPr>
                <w:rFonts w:ascii="Times New Roman" w:eastAsia="Times New Roman" w:hAnsi="Times New Roman" w:cs="Times New Roman"/>
                <w:bCs/>
                <w:sz w:val="28"/>
                <w:szCs w:val="24"/>
                <w:lang w:eastAsia="lv-LV"/>
              </w:rPr>
              <w:t>Nav.</w:t>
            </w:r>
          </w:p>
        </w:tc>
      </w:tr>
    </w:tbl>
    <w:p w14:paraId="3FFF4815" w14:textId="77777777" w:rsidR="007E7FFB" w:rsidRPr="00332CA3" w:rsidRDefault="007E7FFB" w:rsidP="007236C9">
      <w:pPr>
        <w:spacing w:after="0" w:line="240" w:lineRule="auto"/>
        <w:jc w:val="center"/>
        <w:rPr>
          <w:rFonts w:ascii="Times New Roman" w:eastAsia="Times New Roman" w:hAnsi="Times New Roman" w:cs="Times New Roman"/>
          <w:i/>
          <w:sz w:val="28"/>
          <w:szCs w:val="28"/>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802"/>
        <w:gridCol w:w="6024"/>
      </w:tblGrid>
      <w:tr w:rsidR="00DA34E7" w:rsidRPr="00332CA3" w14:paraId="77803D37" w14:textId="77777777" w:rsidTr="005414F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FF1BA2D" w14:textId="77777777" w:rsidR="00DA34E7" w:rsidRPr="00332CA3" w:rsidRDefault="00DA34E7" w:rsidP="005414FB">
            <w:pPr>
              <w:jc w:val="center"/>
              <w:rPr>
                <w:rFonts w:ascii="Times New Roman" w:hAnsi="Times New Roman" w:cs="Times New Roman"/>
                <w:b/>
                <w:bCs/>
                <w:sz w:val="28"/>
                <w:szCs w:val="28"/>
              </w:rPr>
            </w:pPr>
            <w:r w:rsidRPr="00332CA3">
              <w:rPr>
                <w:rFonts w:ascii="Times New Roman" w:hAnsi="Times New Roman" w:cs="Times New Roman"/>
                <w:b/>
                <w:bCs/>
                <w:sz w:val="28"/>
                <w:szCs w:val="28"/>
              </w:rPr>
              <w:lastRenderedPageBreak/>
              <w:t>VII. Tiesību akta projekta izpildes nodrošināšana un tās ietekme uz institūcijām</w:t>
            </w:r>
          </w:p>
        </w:tc>
      </w:tr>
      <w:tr w:rsidR="00DA34E7" w:rsidRPr="00332CA3" w14:paraId="241879B5" w14:textId="77777777" w:rsidTr="005414FB">
        <w:trPr>
          <w:trHeight w:val="420"/>
        </w:trPr>
        <w:tc>
          <w:tcPr>
            <w:tcW w:w="300" w:type="pct"/>
            <w:tcBorders>
              <w:top w:val="outset" w:sz="6" w:space="0" w:color="414142"/>
              <w:left w:val="outset" w:sz="6" w:space="0" w:color="414142"/>
              <w:bottom w:val="outset" w:sz="6" w:space="0" w:color="414142"/>
              <w:right w:val="outset" w:sz="6" w:space="0" w:color="414142"/>
            </w:tcBorders>
            <w:hideMark/>
          </w:tcPr>
          <w:p w14:paraId="0DB96457" w14:textId="77777777" w:rsidR="00DA34E7" w:rsidRPr="00332CA3" w:rsidRDefault="00DA34E7" w:rsidP="005414FB">
            <w:pPr>
              <w:rPr>
                <w:rFonts w:ascii="Times New Roman" w:hAnsi="Times New Roman" w:cs="Times New Roman"/>
                <w:sz w:val="28"/>
                <w:szCs w:val="28"/>
              </w:rPr>
            </w:pPr>
            <w:r w:rsidRPr="00332CA3">
              <w:rPr>
                <w:rFonts w:ascii="Times New Roman" w:hAnsi="Times New Roman" w:cs="Times New Roman"/>
                <w:sz w:val="28"/>
                <w:szCs w:val="28"/>
              </w:rPr>
              <w:t>1.</w:t>
            </w:r>
          </w:p>
        </w:tc>
        <w:tc>
          <w:tcPr>
            <w:tcW w:w="1492" w:type="pct"/>
            <w:tcBorders>
              <w:top w:val="outset" w:sz="6" w:space="0" w:color="414142"/>
              <w:left w:val="outset" w:sz="6" w:space="0" w:color="414142"/>
              <w:bottom w:val="outset" w:sz="6" w:space="0" w:color="414142"/>
              <w:right w:val="outset" w:sz="6" w:space="0" w:color="414142"/>
            </w:tcBorders>
            <w:hideMark/>
          </w:tcPr>
          <w:p w14:paraId="1C4B0CBD" w14:textId="77777777" w:rsidR="00DA34E7" w:rsidRPr="00332CA3" w:rsidRDefault="00DA34E7" w:rsidP="005414FB">
            <w:pPr>
              <w:rPr>
                <w:rFonts w:ascii="Times New Roman" w:hAnsi="Times New Roman" w:cs="Times New Roman"/>
                <w:sz w:val="28"/>
                <w:szCs w:val="28"/>
              </w:rPr>
            </w:pPr>
            <w:r w:rsidRPr="00332CA3">
              <w:rPr>
                <w:rFonts w:ascii="Times New Roman" w:hAnsi="Times New Roman" w:cs="Times New Roman"/>
                <w:sz w:val="28"/>
                <w:szCs w:val="28"/>
              </w:rPr>
              <w:t>Projekta izpildē iesaistītās institūcijas</w:t>
            </w:r>
          </w:p>
        </w:tc>
        <w:tc>
          <w:tcPr>
            <w:tcW w:w="3208" w:type="pct"/>
            <w:tcBorders>
              <w:top w:val="outset" w:sz="6" w:space="0" w:color="414142"/>
              <w:left w:val="outset" w:sz="6" w:space="0" w:color="414142"/>
              <w:bottom w:val="outset" w:sz="6" w:space="0" w:color="414142"/>
              <w:right w:val="outset" w:sz="6" w:space="0" w:color="414142"/>
            </w:tcBorders>
            <w:hideMark/>
          </w:tcPr>
          <w:p w14:paraId="06346BCE" w14:textId="0C360D8B" w:rsidR="00DA34E7" w:rsidRPr="00332CA3" w:rsidRDefault="003F393B" w:rsidP="005414FB">
            <w:pPr>
              <w:spacing w:after="0" w:line="240" w:lineRule="auto"/>
              <w:rPr>
                <w:rFonts w:ascii="Times New Roman" w:hAnsi="Times New Roman" w:cs="Times New Roman"/>
                <w:sz w:val="28"/>
                <w:szCs w:val="28"/>
              </w:rPr>
            </w:pPr>
            <w:r w:rsidRPr="00332CA3">
              <w:rPr>
                <w:rFonts w:ascii="Times New Roman" w:hAnsi="Times New Roman" w:cs="Times New Roman"/>
                <w:sz w:val="28"/>
                <w:szCs w:val="28"/>
              </w:rPr>
              <w:t>IZM</w:t>
            </w:r>
            <w:r w:rsidR="00DA34E7" w:rsidRPr="00332CA3">
              <w:rPr>
                <w:rFonts w:ascii="Times New Roman" w:hAnsi="Times New Roman" w:cs="Times New Roman"/>
                <w:sz w:val="28"/>
                <w:szCs w:val="28"/>
              </w:rPr>
              <w:t>, LZP.</w:t>
            </w:r>
          </w:p>
        </w:tc>
      </w:tr>
      <w:tr w:rsidR="00DA34E7" w:rsidRPr="00332CA3" w14:paraId="3C50E197" w14:textId="77777777" w:rsidTr="005414FB">
        <w:trPr>
          <w:trHeight w:val="450"/>
        </w:trPr>
        <w:tc>
          <w:tcPr>
            <w:tcW w:w="300" w:type="pct"/>
            <w:tcBorders>
              <w:top w:val="outset" w:sz="6" w:space="0" w:color="414142"/>
              <w:left w:val="outset" w:sz="6" w:space="0" w:color="414142"/>
              <w:bottom w:val="outset" w:sz="6" w:space="0" w:color="414142"/>
              <w:right w:val="outset" w:sz="6" w:space="0" w:color="414142"/>
            </w:tcBorders>
            <w:hideMark/>
          </w:tcPr>
          <w:p w14:paraId="5A01CD40" w14:textId="77777777" w:rsidR="00DA34E7" w:rsidRPr="00332CA3" w:rsidRDefault="00DA34E7" w:rsidP="005414FB">
            <w:pPr>
              <w:rPr>
                <w:rFonts w:ascii="Times New Roman" w:hAnsi="Times New Roman" w:cs="Times New Roman"/>
                <w:sz w:val="28"/>
                <w:szCs w:val="28"/>
              </w:rPr>
            </w:pPr>
            <w:r w:rsidRPr="00332CA3">
              <w:rPr>
                <w:rFonts w:ascii="Times New Roman" w:hAnsi="Times New Roman" w:cs="Times New Roman"/>
                <w:sz w:val="28"/>
                <w:szCs w:val="28"/>
              </w:rPr>
              <w:t>2.</w:t>
            </w:r>
          </w:p>
        </w:tc>
        <w:tc>
          <w:tcPr>
            <w:tcW w:w="1492" w:type="pct"/>
            <w:tcBorders>
              <w:top w:val="outset" w:sz="6" w:space="0" w:color="414142"/>
              <w:left w:val="outset" w:sz="6" w:space="0" w:color="414142"/>
              <w:bottom w:val="outset" w:sz="6" w:space="0" w:color="414142"/>
              <w:right w:val="outset" w:sz="6" w:space="0" w:color="414142"/>
            </w:tcBorders>
            <w:hideMark/>
          </w:tcPr>
          <w:p w14:paraId="122BE872" w14:textId="77777777" w:rsidR="00DA34E7" w:rsidRPr="00332CA3" w:rsidRDefault="00DA34E7" w:rsidP="005414FB">
            <w:pPr>
              <w:spacing w:after="0" w:line="240" w:lineRule="auto"/>
              <w:rPr>
                <w:rFonts w:ascii="Times New Roman" w:hAnsi="Times New Roman" w:cs="Times New Roman"/>
                <w:sz w:val="28"/>
                <w:szCs w:val="28"/>
              </w:rPr>
            </w:pPr>
            <w:r w:rsidRPr="00332CA3">
              <w:rPr>
                <w:rFonts w:ascii="Times New Roman" w:hAnsi="Times New Roman" w:cs="Times New Roman"/>
                <w:sz w:val="28"/>
                <w:szCs w:val="28"/>
              </w:rPr>
              <w:t>Projekta izpildes ietekme uz pārvaldes funkcijām un institucionālo struktūru.</w:t>
            </w:r>
          </w:p>
          <w:p w14:paraId="398108E0" w14:textId="77777777" w:rsidR="00DA34E7" w:rsidRPr="00332CA3" w:rsidRDefault="00DA34E7" w:rsidP="005414FB">
            <w:pPr>
              <w:spacing w:after="0" w:line="240" w:lineRule="auto"/>
              <w:rPr>
                <w:rFonts w:ascii="Times New Roman" w:hAnsi="Times New Roman" w:cs="Times New Roman"/>
                <w:sz w:val="28"/>
                <w:szCs w:val="28"/>
              </w:rPr>
            </w:pPr>
            <w:r w:rsidRPr="00332CA3">
              <w:rPr>
                <w:rFonts w:ascii="Times New Roman" w:hAnsi="Times New Roman" w:cs="Times New Roman"/>
                <w:sz w:val="28"/>
                <w:szCs w:val="28"/>
              </w:rPr>
              <w:t>Jaunu institūciju izveide, esošu institūciju likvidācija vai reorganizācija, to ietekme uz institūcijas cilvēkresursiem</w:t>
            </w:r>
          </w:p>
        </w:tc>
        <w:tc>
          <w:tcPr>
            <w:tcW w:w="3208" w:type="pct"/>
            <w:tcBorders>
              <w:top w:val="outset" w:sz="6" w:space="0" w:color="414142"/>
              <w:left w:val="outset" w:sz="6" w:space="0" w:color="414142"/>
              <w:bottom w:val="outset" w:sz="6" w:space="0" w:color="414142"/>
              <w:right w:val="outset" w:sz="6" w:space="0" w:color="414142"/>
            </w:tcBorders>
            <w:hideMark/>
          </w:tcPr>
          <w:p w14:paraId="263E3A57" w14:textId="77777777" w:rsidR="00DA34E7" w:rsidRPr="00332CA3" w:rsidRDefault="00DA34E7" w:rsidP="005414FB">
            <w:pPr>
              <w:jc w:val="both"/>
              <w:rPr>
                <w:rFonts w:ascii="Times New Roman" w:hAnsi="Times New Roman" w:cs="Times New Roman"/>
                <w:sz w:val="28"/>
                <w:szCs w:val="28"/>
              </w:rPr>
            </w:pPr>
            <w:r w:rsidRPr="00332CA3">
              <w:rPr>
                <w:rFonts w:ascii="Times New Roman" w:hAnsi="Times New Roman" w:cs="Times New Roman"/>
                <w:sz w:val="28"/>
                <w:szCs w:val="28"/>
              </w:rPr>
              <w:t>Projekts šo jomu neskar.</w:t>
            </w:r>
          </w:p>
        </w:tc>
      </w:tr>
      <w:tr w:rsidR="00DA34E7" w:rsidRPr="00332CA3" w14:paraId="2BEE9DFC" w14:textId="77777777" w:rsidTr="005414FB">
        <w:trPr>
          <w:trHeight w:val="390"/>
        </w:trPr>
        <w:tc>
          <w:tcPr>
            <w:tcW w:w="300" w:type="pct"/>
            <w:tcBorders>
              <w:top w:val="outset" w:sz="6" w:space="0" w:color="414142"/>
              <w:left w:val="outset" w:sz="6" w:space="0" w:color="414142"/>
              <w:bottom w:val="outset" w:sz="6" w:space="0" w:color="414142"/>
              <w:right w:val="outset" w:sz="6" w:space="0" w:color="414142"/>
            </w:tcBorders>
            <w:hideMark/>
          </w:tcPr>
          <w:p w14:paraId="05EB2A5C" w14:textId="77777777" w:rsidR="00DA34E7" w:rsidRPr="00332CA3" w:rsidRDefault="00DA34E7" w:rsidP="005414FB">
            <w:pPr>
              <w:rPr>
                <w:rFonts w:ascii="Times New Roman" w:hAnsi="Times New Roman" w:cs="Times New Roman"/>
                <w:sz w:val="28"/>
                <w:szCs w:val="28"/>
              </w:rPr>
            </w:pPr>
            <w:r w:rsidRPr="00332CA3">
              <w:rPr>
                <w:rFonts w:ascii="Times New Roman" w:hAnsi="Times New Roman" w:cs="Times New Roman"/>
                <w:sz w:val="28"/>
                <w:szCs w:val="28"/>
              </w:rPr>
              <w:t>3.</w:t>
            </w:r>
          </w:p>
        </w:tc>
        <w:tc>
          <w:tcPr>
            <w:tcW w:w="1492" w:type="pct"/>
            <w:tcBorders>
              <w:top w:val="outset" w:sz="6" w:space="0" w:color="414142"/>
              <w:left w:val="outset" w:sz="6" w:space="0" w:color="414142"/>
              <w:bottom w:val="outset" w:sz="6" w:space="0" w:color="414142"/>
              <w:right w:val="outset" w:sz="6" w:space="0" w:color="414142"/>
            </w:tcBorders>
            <w:hideMark/>
          </w:tcPr>
          <w:p w14:paraId="29C4D05C" w14:textId="77777777" w:rsidR="00DA34E7" w:rsidRPr="00332CA3" w:rsidRDefault="00DA34E7" w:rsidP="005414FB">
            <w:pPr>
              <w:rPr>
                <w:rFonts w:ascii="Times New Roman" w:hAnsi="Times New Roman" w:cs="Times New Roman"/>
                <w:sz w:val="28"/>
                <w:szCs w:val="28"/>
              </w:rPr>
            </w:pPr>
            <w:r w:rsidRPr="00332CA3">
              <w:rPr>
                <w:rFonts w:ascii="Times New Roman" w:hAnsi="Times New Roman" w:cs="Times New Roman"/>
                <w:sz w:val="28"/>
                <w:szCs w:val="28"/>
              </w:rPr>
              <w:t>Cita informācija</w:t>
            </w:r>
          </w:p>
        </w:tc>
        <w:tc>
          <w:tcPr>
            <w:tcW w:w="3208" w:type="pct"/>
            <w:tcBorders>
              <w:top w:val="outset" w:sz="6" w:space="0" w:color="414142"/>
              <w:left w:val="outset" w:sz="6" w:space="0" w:color="414142"/>
              <w:bottom w:val="outset" w:sz="6" w:space="0" w:color="414142"/>
              <w:right w:val="outset" w:sz="6" w:space="0" w:color="414142"/>
            </w:tcBorders>
          </w:tcPr>
          <w:p w14:paraId="7E7A1117" w14:textId="77777777" w:rsidR="00DA34E7" w:rsidRPr="00332CA3" w:rsidRDefault="00DA34E7" w:rsidP="005414FB">
            <w:pPr>
              <w:spacing w:after="0" w:line="240" w:lineRule="auto"/>
              <w:jc w:val="both"/>
              <w:rPr>
                <w:rFonts w:ascii="Times New Roman" w:hAnsi="Times New Roman" w:cs="Times New Roman"/>
                <w:sz w:val="28"/>
                <w:szCs w:val="28"/>
              </w:rPr>
            </w:pPr>
            <w:r w:rsidRPr="00332CA3">
              <w:rPr>
                <w:rFonts w:ascii="Times New Roman" w:hAnsi="Times New Roman" w:cs="Times New Roman"/>
                <w:sz w:val="28"/>
                <w:szCs w:val="28"/>
              </w:rPr>
              <w:t>Nav.</w:t>
            </w:r>
          </w:p>
        </w:tc>
      </w:tr>
    </w:tbl>
    <w:p w14:paraId="6B99A23C" w14:textId="77777777" w:rsidR="00DA34E7" w:rsidRPr="00332CA3" w:rsidRDefault="00DA34E7" w:rsidP="007236C9">
      <w:pPr>
        <w:spacing w:after="0" w:line="240" w:lineRule="auto"/>
        <w:jc w:val="center"/>
        <w:rPr>
          <w:rFonts w:ascii="Times New Roman" w:eastAsia="Times New Roman" w:hAnsi="Times New Roman" w:cs="Times New Roman"/>
          <w:i/>
          <w:sz w:val="28"/>
          <w:szCs w:val="28"/>
          <w:lang w:eastAsia="lv-LV"/>
        </w:rPr>
      </w:pPr>
    </w:p>
    <w:p w14:paraId="249852CA" w14:textId="77777777" w:rsidR="005C0E71" w:rsidRPr="00332CA3" w:rsidRDefault="00DB698C" w:rsidP="008C1B34">
      <w:pPr>
        <w:pStyle w:val="naisf"/>
        <w:tabs>
          <w:tab w:val="left" w:pos="6804"/>
        </w:tabs>
        <w:spacing w:before="0" w:after="0"/>
        <w:ind w:firstLine="0"/>
        <w:rPr>
          <w:sz w:val="28"/>
          <w:szCs w:val="28"/>
        </w:rPr>
      </w:pPr>
      <w:r w:rsidRPr="00332CA3">
        <w:rPr>
          <w:sz w:val="28"/>
          <w:szCs w:val="28"/>
        </w:rPr>
        <w:t xml:space="preserve">   </w:t>
      </w:r>
      <w:r w:rsidR="005C0E71" w:rsidRPr="00332CA3">
        <w:rPr>
          <w:sz w:val="28"/>
          <w:szCs w:val="28"/>
        </w:rPr>
        <w:t>Izglītības un zinātnes ministrs</w:t>
      </w:r>
      <w:r w:rsidR="005C0E71" w:rsidRPr="00332CA3">
        <w:rPr>
          <w:sz w:val="28"/>
          <w:szCs w:val="28"/>
        </w:rPr>
        <w:tab/>
      </w:r>
      <w:r w:rsidR="005C0E71" w:rsidRPr="00332CA3">
        <w:rPr>
          <w:sz w:val="28"/>
          <w:szCs w:val="28"/>
        </w:rPr>
        <w:tab/>
        <w:t>Kārlis Šadurskis</w:t>
      </w:r>
    </w:p>
    <w:p w14:paraId="3BEC9EDE" w14:textId="77777777" w:rsidR="002E0F29" w:rsidRPr="00332CA3" w:rsidRDefault="002E0F29" w:rsidP="005C0E71">
      <w:pPr>
        <w:pStyle w:val="naisf"/>
        <w:tabs>
          <w:tab w:val="left" w:pos="6804"/>
        </w:tabs>
        <w:spacing w:before="0" w:after="0"/>
        <w:ind w:firstLine="0"/>
        <w:rPr>
          <w:sz w:val="28"/>
          <w:szCs w:val="28"/>
        </w:rPr>
      </w:pPr>
    </w:p>
    <w:p w14:paraId="7F97708E" w14:textId="77777777" w:rsidR="005C0E71" w:rsidRPr="00332CA3" w:rsidRDefault="00DB698C" w:rsidP="005C0E71">
      <w:pPr>
        <w:pStyle w:val="naisf"/>
        <w:tabs>
          <w:tab w:val="left" w:pos="6804"/>
        </w:tabs>
        <w:spacing w:before="0" w:after="0"/>
        <w:ind w:firstLine="0"/>
        <w:rPr>
          <w:sz w:val="28"/>
          <w:szCs w:val="28"/>
        </w:rPr>
      </w:pPr>
      <w:r w:rsidRPr="00332CA3">
        <w:rPr>
          <w:sz w:val="28"/>
          <w:szCs w:val="28"/>
        </w:rPr>
        <w:t xml:space="preserve">   </w:t>
      </w:r>
      <w:r w:rsidR="009508E0" w:rsidRPr="00332CA3">
        <w:rPr>
          <w:sz w:val="28"/>
          <w:szCs w:val="28"/>
        </w:rPr>
        <w:t>V</w:t>
      </w:r>
      <w:r w:rsidR="00191BF4" w:rsidRPr="00332CA3">
        <w:rPr>
          <w:sz w:val="28"/>
          <w:szCs w:val="28"/>
        </w:rPr>
        <w:t>īza</w:t>
      </w:r>
      <w:r w:rsidR="005C0E71" w:rsidRPr="00332CA3">
        <w:rPr>
          <w:sz w:val="28"/>
          <w:szCs w:val="28"/>
        </w:rPr>
        <w:t>:</w:t>
      </w:r>
    </w:p>
    <w:p w14:paraId="6FC5FA7C" w14:textId="77777777" w:rsidR="005C0E71" w:rsidRPr="00332CA3" w:rsidRDefault="00DB698C" w:rsidP="005C0E71">
      <w:pPr>
        <w:pStyle w:val="naisf"/>
        <w:tabs>
          <w:tab w:val="left" w:pos="6804"/>
        </w:tabs>
        <w:spacing w:before="0" w:after="0"/>
        <w:ind w:firstLine="0"/>
        <w:rPr>
          <w:sz w:val="28"/>
          <w:szCs w:val="28"/>
        </w:rPr>
      </w:pPr>
      <w:r w:rsidRPr="00332CA3">
        <w:rPr>
          <w:sz w:val="28"/>
          <w:szCs w:val="28"/>
        </w:rPr>
        <w:t xml:space="preserve">   V</w:t>
      </w:r>
      <w:r w:rsidR="005C0E71" w:rsidRPr="00332CA3">
        <w:rPr>
          <w:sz w:val="28"/>
          <w:szCs w:val="28"/>
        </w:rPr>
        <w:t>alsts sekretāre</w:t>
      </w:r>
      <w:r w:rsidR="005C0E71" w:rsidRPr="00332CA3">
        <w:rPr>
          <w:sz w:val="28"/>
          <w:szCs w:val="28"/>
        </w:rPr>
        <w:tab/>
      </w:r>
      <w:r w:rsidR="005C0E71" w:rsidRPr="00332CA3">
        <w:rPr>
          <w:sz w:val="28"/>
          <w:szCs w:val="28"/>
        </w:rPr>
        <w:tab/>
        <w:t>Līga Lejiņa</w:t>
      </w:r>
    </w:p>
    <w:p w14:paraId="19274D7A" w14:textId="77777777" w:rsidR="00EF7B16" w:rsidRPr="00332CA3" w:rsidRDefault="00EF7B16" w:rsidP="009508E0">
      <w:pPr>
        <w:spacing w:after="0" w:line="240" w:lineRule="auto"/>
        <w:jc w:val="both"/>
        <w:rPr>
          <w:rFonts w:ascii="Times New Roman" w:hAnsi="Times New Roman" w:cs="Times New Roman"/>
          <w:sz w:val="26"/>
          <w:szCs w:val="26"/>
        </w:rPr>
      </w:pPr>
    </w:p>
    <w:p w14:paraId="110CC844" w14:textId="6B9DE681" w:rsidR="005C0E71" w:rsidRPr="00332CA3" w:rsidRDefault="000C2691" w:rsidP="009508E0">
      <w:pPr>
        <w:spacing w:after="0" w:line="240" w:lineRule="auto"/>
        <w:jc w:val="both"/>
        <w:rPr>
          <w:rFonts w:ascii="Times New Roman" w:hAnsi="Times New Roman" w:cs="Times New Roman"/>
        </w:rPr>
      </w:pPr>
      <w:r>
        <w:rPr>
          <w:rFonts w:ascii="Times New Roman" w:hAnsi="Times New Roman" w:cs="Times New Roman"/>
        </w:rPr>
        <w:t>09</w:t>
      </w:r>
      <w:r w:rsidR="000F4105" w:rsidRPr="00332CA3">
        <w:rPr>
          <w:rFonts w:ascii="Times New Roman" w:hAnsi="Times New Roman" w:cs="Times New Roman"/>
        </w:rPr>
        <w:t>.</w:t>
      </w:r>
      <w:r w:rsidR="00C7555E" w:rsidRPr="00332CA3">
        <w:rPr>
          <w:rFonts w:ascii="Times New Roman" w:hAnsi="Times New Roman" w:cs="Times New Roman"/>
        </w:rPr>
        <w:t>1</w:t>
      </w:r>
      <w:r>
        <w:rPr>
          <w:rFonts w:ascii="Times New Roman" w:hAnsi="Times New Roman" w:cs="Times New Roman"/>
        </w:rPr>
        <w:t>1</w:t>
      </w:r>
      <w:r w:rsidR="00EF7B16" w:rsidRPr="00332CA3">
        <w:rPr>
          <w:rFonts w:ascii="Times New Roman" w:hAnsi="Times New Roman" w:cs="Times New Roman"/>
        </w:rPr>
        <w:t>.2017</w:t>
      </w:r>
      <w:r w:rsidR="005C0E71" w:rsidRPr="00332CA3">
        <w:rPr>
          <w:rFonts w:ascii="Times New Roman" w:hAnsi="Times New Roman" w:cs="Times New Roman"/>
        </w:rPr>
        <w:t>.</w:t>
      </w:r>
      <w:r w:rsidR="00145956" w:rsidRPr="00332CA3">
        <w:rPr>
          <w:rFonts w:ascii="Times New Roman" w:hAnsi="Times New Roman" w:cs="Times New Roman"/>
        </w:rPr>
        <w:t xml:space="preserve"> </w:t>
      </w:r>
      <w:r>
        <w:rPr>
          <w:rFonts w:ascii="Times New Roman" w:hAnsi="Times New Roman" w:cs="Times New Roman"/>
        </w:rPr>
        <w:t>19</w:t>
      </w:r>
      <w:r w:rsidR="00145956" w:rsidRPr="00332CA3">
        <w:rPr>
          <w:rFonts w:ascii="Times New Roman" w:hAnsi="Times New Roman" w:cs="Times New Roman"/>
        </w:rPr>
        <w:t>:</w:t>
      </w:r>
      <w:r w:rsidR="008673C8" w:rsidRPr="00332CA3">
        <w:rPr>
          <w:rFonts w:ascii="Times New Roman" w:hAnsi="Times New Roman" w:cs="Times New Roman"/>
        </w:rPr>
        <w:t>59</w:t>
      </w:r>
    </w:p>
    <w:p w14:paraId="326B9625" w14:textId="46D20C6F" w:rsidR="00915755" w:rsidRPr="00332CA3" w:rsidRDefault="000C2691" w:rsidP="009508E0">
      <w:pPr>
        <w:spacing w:after="0" w:line="240" w:lineRule="auto"/>
        <w:jc w:val="both"/>
        <w:rPr>
          <w:rFonts w:ascii="Times New Roman" w:hAnsi="Times New Roman" w:cs="Times New Roman"/>
        </w:rPr>
      </w:pPr>
      <w:r>
        <w:rPr>
          <w:rFonts w:ascii="Times New Roman" w:hAnsi="Times New Roman" w:cs="Times New Roman"/>
        </w:rPr>
        <w:t>2</w:t>
      </w:r>
      <w:r w:rsidR="0054238D">
        <w:rPr>
          <w:rFonts w:ascii="Times New Roman" w:hAnsi="Times New Roman" w:cs="Times New Roman"/>
        </w:rPr>
        <w:t>721</w:t>
      </w:r>
      <w:bookmarkStart w:id="0" w:name="_GoBack"/>
      <w:bookmarkEnd w:id="0"/>
    </w:p>
    <w:p w14:paraId="646BE12E" w14:textId="77777777" w:rsidR="005C0E71" w:rsidRPr="00332CA3" w:rsidRDefault="00B87B6B" w:rsidP="009508E0">
      <w:pPr>
        <w:spacing w:after="0" w:line="240" w:lineRule="auto"/>
        <w:jc w:val="both"/>
        <w:rPr>
          <w:rFonts w:ascii="Times New Roman" w:hAnsi="Times New Roman" w:cs="Times New Roman"/>
        </w:rPr>
      </w:pPr>
      <w:r w:rsidRPr="00332CA3">
        <w:rPr>
          <w:rFonts w:ascii="Times New Roman" w:hAnsi="Times New Roman" w:cs="Times New Roman"/>
        </w:rPr>
        <w:t>K.</w:t>
      </w:r>
      <w:r w:rsidR="0078243E" w:rsidRPr="00332CA3">
        <w:rPr>
          <w:rFonts w:ascii="Times New Roman" w:hAnsi="Times New Roman" w:cs="Times New Roman"/>
        </w:rPr>
        <w:t xml:space="preserve"> </w:t>
      </w:r>
      <w:r w:rsidRPr="00332CA3">
        <w:rPr>
          <w:rFonts w:ascii="Times New Roman" w:hAnsi="Times New Roman" w:cs="Times New Roman"/>
        </w:rPr>
        <w:t>Veldre, 67047857</w:t>
      </w:r>
    </w:p>
    <w:p w14:paraId="19AA9674" w14:textId="77777777" w:rsidR="005C0E71" w:rsidRPr="00332CA3" w:rsidRDefault="001658C2" w:rsidP="009508E0">
      <w:pPr>
        <w:spacing w:after="0" w:line="240" w:lineRule="auto"/>
        <w:jc w:val="both"/>
        <w:rPr>
          <w:rFonts w:ascii="Times New Roman" w:hAnsi="Times New Roman" w:cs="Times New Roman"/>
        </w:rPr>
      </w:pPr>
      <w:hyperlink r:id="rId9" w:history="1">
        <w:r w:rsidR="00B87B6B" w:rsidRPr="00332CA3">
          <w:rPr>
            <w:rStyle w:val="Hyperlink"/>
            <w:rFonts w:ascii="Times New Roman" w:hAnsi="Times New Roman" w:cs="Times New Roman"/>
            <w:color w:val="auto"/>
            <w:u w:val="none"/>
          </w:rPr>
          <w:t>kaspars.veldre@izm.gov.lv</w:t>
        </w:r>
      </w:hyperlink>
    </w:p>
    <w:p w14:paraId="405A9378" w14:textId="77777777" w:rsidR="00B87B6B" w:rsidRPr="00332CA3" w:rsidRDefault="00B87B6B" w:rsidP="009508E0">
      <w:pPr>
        <w:spacing w:after="0" w:line="240" w:lineRule="auto"/>
        <w:jc w:val="both"/>
        <w:rPr>
          <w:rFonts w:ascii="Times New Roman" w:hAnsi="Times New Roman" w:cs="Times New Roman"/>
        </w:rPr>
      </w:pPr>
      <w:r w:rsidRPr="00332CA3">
        <w:rPr>
          <w:rFonts w:ascii="Times New Roman" w:hAnsi="Times New Roman" w:cs="Times New Roman"/>
        </w:rPr>
        <w:t>N.</w:t>
      </w:r>
      <w:r w:rsidR="0078243E" w:rsidRPr="00332CA3">
        <w:rPr>
          <w:rFonts w:ascii="Times New Roman" w:hAnsi="Times New Roman" w:cs="Times New Roman"/>
        </w:rPr>
        <w:t xml:space="preserve"> </w:t>
      </w:r>
      <w:r w:rsidRPr="00332CA3">
        <w:rPr>
          <w:rFonts w:ascii="Times New Roman" w:hAnsi="Times New Roman" w:cs="Times New Roman"/>
        </w:rPr>
        <w:t>Mazure, 6704</w:t>
      </w:r>
      <w:r w:rsidR="009508E0" w:rsidRPr="00332CA3">
        <w:rPr>
          <w:rFonts w:ascii="Times New Roman" w:hAnsi="Times New Roman" w:cs="Times New Roman"/>
        </w:rPr>
        <w:t>7940</w:t>
      </w:r>
    </w:p>
    <w:p w14:paraId="6DD82654" w14:textId="77777777" w:rsidR="00EF7B16" w:rsidRPr="00332CA3" w:rsidRDefault="001658C2" w:rsidP="008D160B">
      <w:pPr>
        <w:spacing w:after="0" w:line="240" w:lineRule="auto"/>
        <w:jc w:val="both"/>
        <w:rPr>
          <w:rFonts w:ascii="Times New Roman" w:hAnsi="Times New Roman" w:cs="Times New Roman"/>
        </w:rPr>
      </w:pPr>
      <w:hyperlink r:id="rId10" w:history="1">
        <w:r w:rsidR="001D3EB9" w:rsidRPr="00332CA3">
          <w:rPr>
            <w:rStyle w:val="Hyperlink"/>
            <w:rFonts w:ascii="Times New Roman" w:hAnsi="Times New Roman" w:cs="Times New Roman"/>
            <w:color w:val="auto"/>
            <w:u w:val="none"/>
          </w:rPr>
          <w:t>nadezda.mazure@izm.gov.lv</w:t>
        </w:r>
      </w:hyperlink>
    </w:p>
    <w:sectPr w:rsidR="00EF7B16" w:rsidRPr="00332CA3" w:rsidSect="00010ED2">
      <w:headerReference w:type="default" r:id="rId11"/>
      <w:footerReference w:type="default" r:id="rId12"/>
      <w:footerReference w:type="first" r:id="rId13"/>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BDAE1" w14:textId="77777777" w:rsidR="001658C2" w:rsidRDefault="001658C2" w:rsidP="0074133E">
      <w:pPr>
        <w:spacing w:after="0" w:line="240" w:lineRule="auto"/>
      </w:pPr>
      <w:r>
        <w:separator/>
      </w:r>
    </w:p>
  </w:endnote>
  <w:endnote w:type="continuationSeparator" w:id="0">
    <w:p w14:paraId="513EB86F" w14:textId="77777777" w:rsidR="001658C2" w:rsidRDefault="001658C2" w:rsidP="0074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D279" w14:textId="49C38EA4" w:rsidR="0074133E" w:rsidRPr="00DB698C" w:rsidRDefault="00126460" w:rsidP="00DB698C">
    <w:pPr>
      <w:pStyle w:val="tv20787921"/>
      <w:spacing w:after="0" w:line="240" w:lineRule="auto"/>
      <w:jc w:val="both"/>
      <w:rPr>
        <w:rFonts w:ascii="Times New Roman" w:hAnsi="Times New Roman"/>
        <w:b w:val="0"/>
        <w:bCs w:val="0"/>
        <w:sz w:val="22"/>
        <w:szCs w:val="22"/>
      </w:rPr>
    </w:pPr>
    <w:r w:rsidRPr="00DB698C">
      <w:rPr>
        <w:rFonts w:ascii="Times New Roman" w:hAnsi="Times New Roman"/>
        <w:b w:val="0"/>
        <w:bCs w:val="0"/>
        <w:sz w:val="22"/>
        <w:szCs w:val="22"/>
      </w:rPr>
      <w:t>I</w:t>
    </w:r>
    <w:r w:rsidR="00D24909">
      <w:rPr>
        <w:rFonts w:ascii="Times New Roman" w:hAnsi="Times New Roman"/>
        <w:b w:val="0"/>
        <w:bCs w:val="0"/>
        <w:sz w:val="22"/>
        <w:szCs w:val="22"/>
      </w:rPr>
      <w:t>ZMAnot_</w:t>
    </w:r>
    <w:r w:rsidR="00D200B8">
      <w:rPr>
        <w:rFonts w:ascii="Times New Roman" w:hAnsi="Times New Roman"/>
        <w:b w:val="0"/>
        <w:bCs w:val="0"/>
        <w:sz w:val="22"/>
        <w:szCs w:val="22"/>
      </w:rPr>
      <w:t>0911</w:t>
    </w:r>
    <w:r w:rsidR="00B7563F" w:rsidRPr="00B7563F">
      <w:rPr>
        <w:rFonts w:ascii="Times New Roman" w:hAnsi="Times New Roman"/>
        <w:b w:val="0"/>
        <w:bCs w:val="0"/>
        <w:sz w:val="22"/>
        <w:szCs w:val="22"/>
      </w:rPr>
      <w:t xml:space="preserve">17_LZPeksperti; Ministru kabineta noteikumu projekta “Noteikumi par Latvijas Zinātnes padomes ekspertu kvalifikācijas kritērijiem, ekspertu komisiju izveidošanu un </w:t>
    </w:r>
    <w:r w:rsidR="00843B7A">
      <w:rPr>
        <w:rFonts w:ascii="Times New Roman" w:hAnsi="Times New Roman"/>
        <w:b w:val="0"/>
        <w:bCs w:val="0"/>
        <w:sz w:val="22"/>
        <w:szCs w:val="22"/>
      </w:rPr>
      <w:t>to darbības organizēšanu</w:t>
    </w:r>
    <w:r w:rsidR="00B7563F" w:rsidRPr="00B7563F">
      <w:rPr>
        <w:rFonts w:ascii="Times New Roman" w:hAnsi="Times New Roman"/>
        <w:b w:val="0"/>
        <w:bCs w:val="0"/>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D560" w14:textId="3E8CF83E" w:rsidR="00CF0C59" w:rsidRPr="00125469" w:rsidRDefault="00CF0C59" w:rsidP="00952C9B">
    <w:pPr>
      <w:pStyle w:val="tv20787921"/>
      <w:spacing w:after="0" w:line="240" w:lineRule="auto"/>
      <w:jc w:val="both"/>
      <w:rPr>
        <w:rFonts w:ascii="Times New Roman" w:hAnsi="Times New Roman"/>
        <w:b w:val="0"/>
        <w:bCs w:val="0"/>
        <w:sz w:val="22"/>
        <w:szCs w:val="22"/>
      </w:rPr>
    </w:pPr>
    <w:r w:rsidRPr="00DB698C">
      <w:rPr>
        <w:rFonts w:ascii="Times New Roman" w:hAnsi="Times New Roman"/>
        <w:b w:val="0"/>
        <w:bCs w:val="0"/>
        <w:sz w:val="22"/>
        <w:szCs w:val="22"/>
      </w:rPr>
      <w:t>I</w:t>
    </w:r>
    <w:r w:rsidR="008A3094">
      <w:rPr>
        <w:rFonts w:ascii="Times New Roman" w:hAnsi="Times New Roman"/>
        <w:b w:val="0"/>
        <w:bCs w:val="0"/>
        <w:sz w:val="22"/>
        <w:szCs w:val="22"/>
      </w:rPr>
      <w:t>ZMAnot_</w:t>
    </w:r>
    <w:r w:rsidR="00D200B8">
      <w:rPr>
        <w:rFonts w:ascii="Times New Roman" w:hAnsi="Times New Roman"/>
        <w:b w:val="0"/>
        <w:bCs w:val="0"/>
        <w:sz w:val="22"/>
        <w:szCs w:val="22"/>
      </w:rPr>
      <w:t>0911</w:t>
    </w:r>
    <w:r w:rsidR="00B7563F">
      <w:rPr>
        <w:rFonts w:ascii="Times New Roman" w:hAnsi="Times New Roman"/>
        <w:b w:val="0"/>
        <w:bCs w:val="0"/>
        <w:sz w:val="22"/>
        <w:szCs w:val="22"/>
      </w:rPr>
      <w:t>17_LZPeksperti</w:t>
    </w:r>
    <w:r w:rsidRPr="00DB698C">
      <w:rPr>
        <w:rFonts w:ascii="Times New Roman" w:hAnsi="Times New Roman"/>
        <w:b w:val="0"/>
        <w:bCs w:val="0"/>
        <w:sz w:val="22"/>
        <w:szCs w:val="22"/>
      </w:rPr>
      <w:t>; Ministru kabine</w:t>
    </w:r>
    <w:r w:rsidR="008A3094">
      <w:rPr>
        <w:rFonts w:ascii="Times New Roman" w:hAnsi="Times New Roman"/>
        <w:b w:val="0"/>
        <w:bCs w:val="0"/>
        <w:sz w:val="22"/>
        <w:szCs w:val="22"/>
      </w:rPr>
      <w:t>ta noteikumu projekta “</w:t>
    </w:r>
    <w:r w:rsidR="00B7563F" w:rsidRPr="00B7563F">
      <w:rPr>
        <w:rFonts w:ascii="Times New Roman" w:hAnsi="Times New Roman"/>
        <w:b w:val="0"/>
        <w:bCs w:val="0"/>
        <w:sz w:val="22"/>
        <w:szCs w:val="22"/>
      </w:rPr>
      <w:t xml:space="preserve">Noteikumi par Latvijas Zinātnes padomes ekspertu kvalifikācijas kritērijiem, ekspertu komisiju izveidošanu un </w:t>
    </w:r>
    <w:r w:rsidR="00843B7A">
      <w:rPr>
        <w:rFonts w:ascii="Times New Roman" w:hAnsi="Times New Roman"/>
        <w:b w:val="0"/>
        <w:bCs w:val="0"/>
        <w:sz w:val="22"/>
        <w:szCs w:val="22"/>
      </w:rPr>
      <w:t>to darbības organizēšanu</w:t>
    </w:r>
    <w:r w:rsidRPr="00DB698C">
      <w:rPr>
        <w:rFonts w:ascii="Times New Roman" w:hAnsi="Times New Roman"/>
        <w:b w:val="0"/>
        <w:bCs w:val="0"/>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9966E" w14:textId="77777777" w:rsidR="001658C2" w:rsidRDefault="001658C2" w:rsidP="0074133E">
      <w:pPr>
        <w:spacing w:after="0" w:line="240" w:lineRule="auto"/>
      </w:pPr>
      <w:r>
        <w:separator/>
      </w:r>
    </w:p>
  </w:footnote>
  <w:footnote w:type="continuationSeparator" w:id="0">
    <w:p w14:paraId="5375A436" w14:textId="77777777" w:rsidR="001658C2" w:rsidRDefault="001658C2" w:rsidP="00741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8587041"/>
      <w:docPartObj>
        <w:docPartGallery w:val="Page Numbers (Top of Page)"/>
        <w:docPartUnique/>
      </w:docPartObj>
    </w:sdtPr>
    <w:sdtEndPr>
      <w:rPr>
        <w:noProof/>
      </w:rPr>
    </w:sdtEndPr>
    <w:sdtContent>
      <w:p w14:paraId="496A4981" w14:textId="77777777" w:rsidR="00705845" w:rsidRPr="00705845" w:rsidRDefault="00705845">
        <w:pPr>
          <w:pStyle w:val="Header"/>
          <w:jc w:val="center"/>
          <w:rPr>
            <w:rFonts w:ascii="Times New Roman" w:hAnsi="Times New Roman" w:cs="Times New Roman"/>
            <w:sz w:val="24"/>
            <w:szCs w:val="24"/>
          </w:rPr>
        </w:pPr>
        <w:r w:rsidRPr="00705845">
          <w:rPr>
            <w:rFonts w:ascii="Times New Roman" w:hAnsi="Times New Roman" w:cs="Times New Roman"/>
            <w:sz w:val="24"/>
            <w:szCs w:val="24"/>
          </w:rPr>
          <w:fldChar w:fldCharType="begin"/>
        </w:r>
        <w:r w:rsidRPr="00705845">
          <w:rPr>
            <w:rFonts w:ascii="Times New Roman" w:hAnsi="Times New Roman" w:cs="Times New Roman"/>
            <w:sz w:val="24"/>
            <w:szCs w:val="24"/>
          </w:rPr>
          <w:instrText xml:space="preserve"> PAGE   \* MERGEFORMAT </w:instrText>
        </w:r>
        <w:r w:rsidRPr="00705845">
          <w:rPr>
            <w:rFonts w:ascii="Times New Roman" w:hAnsi="Times New Roman" w:cs="Times New Roman"/>
            <w:sz w:val="24"/>
            <w:szCs w:val="24"/>
          </w:rPr>
          <w:fldChar w:fldCharType="separate"/>
        </w:r>
        <w:r w:rsidR="0054238D">
          <w:rPr>
            <w:rFonts w:ascii="Times New Roman" w:hAnsi="Times New Roman" w:cs="Times New Roman"/>
            <w:noProof/>
            <w:sz w:val="24"/>
            <w:szCs w:val="24"/>
          </w:rPr>
          <w:t>9</w:t>
        </w:r>
        <w:r w:rsidRPr="00705845">
          <w:rPr>
            <w:rFonts w:ascii="Times New Roman" w:hAnsi="Times New Roman" w:cs="Times New Roman"/>
            <w:noProof/>
            <w:sz w:val="24"/>
            <w:szCs w:val="24"/>
          </w:rPr>
          <w:fldChar w:fldCharType="end"/>
        </w:r>
      </w:p>
    </w:sdtContent>
  </w:sdt>
  <w:p w14:paraId="0D92BF2B" w14:textId="77777777" w:rsidR="00705845" w:rsidRDefault="00705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6DD6"/>
    <w:multiLevelType w:val="hybridMultilevel"/>
    <w:tmpl w:val="E81E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65450"/>
    <w:multiLevelType w:val="hybridMultilevel"/>
    <w:tmpl w:val="DC92760C"/>
    <w:lvl w:ilvl="0" w:tplc="1936974C">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9E24F07"/>
    <w:multiLevelType w:val="hybridMultilevel"/>
    <w:tmpl w:val="A75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9E"/>
    <w:rsid w:val="00000AB6"/>
    <w:rsid w:val="000030A9"/>
    <w:rsid w:val="000043C8"/>
    <w:rsid w:val="00005E45"/>
    <w:rsid w:val="00010ED2"/>
    <w:rsid w:val="00011DB6"/>
    <w:rsid w:val="00024EA1"/>
    <w:rsid w:val="00041F7A"/>
    <w:rsid w:val="000421B6"/>
    <w:rsid w:val="0004581A"/>
    <w:rsid w:val="000474B9"/>
    <w:rsid w:val="000476CF"/>
    <w:rsid w:val="00064EBE"/>
    <w:rsid w:val="00070064"/>
    <w:rsid w:val="00074600"/>
    <w:rsid w:val="00081559"/>
    <w:rsid w:val="00084863"/>
    <w:rsid w:val="000857F6"/>
    <w:rsid w:val="0009426E"/>
    <w:rsid w:val="000973B9"/>
    <w:rsid w:val="00097B57"/>
    <w:rsid w:val="000A0C96"/>
    <w:rsid w:val="000B1A68"/>
    <w:rsid w:val="000B6289"/>
    <w:rsid w:val="000C2691"/>
    <w:rsid w:val="000C4EDD"/>
    <w:rsid w:val="000E48B6"/>
    <w:rsid w:val="000E7135"/>
    <w:rsid w:val="000F4105"/>
    <w:rsid w:val="000F51D7"/>
    <w:rsid w:val="00102826"/>
    <w:rsid w:val="00104C6B"/>
    <w:rsid w:val="0010559C"/>
    <w:rsid w:val="00106183"/>
    <w:rsid w:val="001063A9"/>
    <w:rsid w:val="001067FA"/>
    <w:rsid w:val="001068C7"/>
    <w:rsid w:val="00111939"/>
    <w:rsid w:val="00112B8B"/>
    <w:rsid w:val="00124ABF"/>
    <w:rsid w:val="00125469"/>
    <w:rsid w:val="00126460"/>
    <w:rsid w:val="00132BBF"/>
    <w:rsid w:val="00136D62"/>
    <w:rsid w:val="001377CC"/>
    <w:rsid w:val="001404B5"/>
    <w:rsid w:val="00145956"/>
    <w:rsid w:val="00147E9C"/>
    <w:rsid w:val="00152E70"/>
    <w:rsid w:val="00153EE8"/>
    <w:rsid w:val="00155BD4"/>
    <w:rsid w:val="001570EF"/>
    <w:rsid w:val="00161BA7"/>
    <w:rsid w:val="001658C2"/>
    <w:rsid w:val="001659E8"/>
    <w:rsid w:val="00167A69"/>
    <w:rsid w:val="001751E5"/>
    <w:rsid w:val="00176998"/>
    <w:rsid w:val="00176EFE"/>
    <w:rsid w:val="00191BF4"/>
    <w:rsid w:val="00192CB7"/>
    <w:rsid w:val="00193C81"/>
    <w:rsid w:val="0019462E"/>
    <w:rsid w:val="00196B34"/>
    <w:rsid w:val="0019765E"/>
    <w:rsid w:val="001A2268"/>
    <w:rsid w:val="001B6E72"/>
    <w:rsid w:val="001C11A0"/>
    <w:rsid w:val="001C1AF6"/>
    <w:rsid w:val="001C5436"/>
    <w:rsid w:val="001D3EB9"/>
    <w:rsid w:val="001E2D20"/>
    <w:rsid w:val="001E39D2"/>
    <w:rsid w:val="001E525E"/>
    <w:rsid w:val="001E68BE"/>
    <w:rsid w:val="001E6C4B"/>
    <w:rsid w:val="001F0FAF"/>
    <w:rsid w:val="001F28B5"/>
    <w:rsid w:val="001F2C1A"/>
    <w:rsid w:val="001F6D45"/>
    <w:rsid w:val="0022194E"/>
    <w:rsid w:val="00221EC4"/>
    <w:rsid w:val="00222F68"/>
    <w:rsid w:val="00225A10"/>
    <w:rsid w:val="00242D22"/>
    <w:rsid w:val="002440AB"/>
    <w:rsid w:val="00244E89"/>
    <w:rsid w:val="00250C0B"/>
    <w:rsid w:val="00255449"/>
    <w:rsid w:val="00260B2D"/>
    <w:rsid w:val="00261E59"/>
    <w:rsid w:val="00261F37"/>
    <w:rsid w:val="002674F1"/>
    <w:rsid w:val="002744F4"/>
    <w:rsid w:val="00274538"/>
    <w:rsid w:val="00276929"/>
    <w:rsid w:val="002820C2"/>
    <w:rsid w:val="00282120"/>
    <w:rsid w:val="00283470"/>
    <w:rsid w:val="00283643"/>
    <w:rsid w:val="00287C67"/>
    <w:rsid w:val="00290B3E"/>
    <w:rsid w:val="002A5F44"/>
    <w:rsid w:val="002B2327"/>
    <w:rsid w:val="002B3CED"/>
    <w:rsid w:val="002B5AE0"/>
    <w:rsid w:val="002C07EC"/>
    <w:rsid w:val="002C689D"/>
    <w:rsid w:val="002D2295"/>
    <w:rsid w:val="002D3B8A"/>
    <w:rsid w:val="002D5485"/>
    <w:rsid w:val="002D6187"/>
    <w:rsid w:val="002E0F29"/>
    <w:rsid w:val="002E798B"/>
    <w:rsid w:val="002F0A79"/>
    <w:rsid w:val="002F6D7E"/>
    <w:rsid w:val="00303024"/>
    <w:rsid w:val="00303574"/>
    <w:rsid w:val="003043C0"/>
    <w:rsid w:val="003115F1"/>
    <w:rsid w:val="00321872"/>
    <w:rsid w:val="00324A53"/>
    <w:rsid w:val="003278AC"/>
    <w:rsid w:val="0033149C"/>
    <w:rsid w:val="00332336"/>
    <w:rsid w:val="00332CA3"/>
    <w:rsid w:val="00333AE0"/>
    <w:rsid w:val="0033463E"/>
    <w:rsid w:val="003360B0"/>
    <w:rsid w:val="003445FD"/>
    <w:rsid w:val="00346D1C"/>
    <w:rsid w:val="00351328"/>
    <w:rsid w:val="00351C7E"/>
    <w:rsid w:val="00360D88"/>
    <w:rsid w:val="00361B74"/>
    <w:rsid w:val="00363E4A"/>
    <w:rsid w:val="00372D81"/>
    <w:rsid w:val="003754B8"/>
    <w:rsid w:val="00376F72"/>
    <w:rsid w:val="00377A1E"/>
    <w:rsid w:val="0038026A"/>
    <w:rsid w:val="00386C2D"/>
    <w:rsid w:val="003911D8"/>
    <w:rsid w:val="00395D54"/>
    <w:rsid w:val="003A0661"/>
    <w:rsid w:val="003A0FB8"/>
    <w:rsid w:val="003A2344"/>
    <w:rsid w:val="003A3B5C"/>
    <w:rsid w:val="003A4F87"/>
    <w:rsid w:val="003B2B6A"/>
    <w:rsid w:val="003B741A"/>
    <w:rsid w:val="003C1111"/>
    <w:rsid w:val="003C16A3"/>
    <w:rsid w:val="003C1C08"/>
    <w:rsid w:val="003C1DF0"/>
    <w:rsid w:val="003C5D11"/>
    <w:rsid w:val="003D0FC2"/>
    <w:rsid w:val="003E3AE5"/>
    <w:rsid w:val="003E469C"/>
    <w:rsid w:val="003F013D"/>
    <w:rsid w:val="003F1C7E"/>
    <w:rsid w:val="003F2705"/>
    <w:rsid w:val="003F393B"/>
    <w:rsid w:val="00401E97"/>
    <w:rsid w:val="004176F4"/>
    <w:rsid w:val="00423471"/>
    <w:rsid w:val="00431226"/>
    <w:rsid w:val="00437372"/>
    <w:rsid w:val="00442F8A"/>
    <w:rsid w:val="00443E04"/>
    <w:rsid w:val="004446F6"/>
    <w:rsid w:val="00445F34"/>
    <w:rsid w:val="00446769"/>
    <w:rsid w:val="00450BFE"/>
    <w:rsid w:val="00450E35"/>
    <w:rsid w:val="004547FE"/>
    <w:rsid w:val="00456848"/>
    <w:rsid w:val="00464529"/>
    <w:rsid w:val="00470B47"/>
    <w:rsid w:val="00475D4E"/>
    <w:rsid w:val="004774D6"/>
    <w:rsid w:val="00477756"/>
    <w:rsid w:val="00477D09"/>
    <w:rsid w:val="00480514"/>
    <w:rsid w:val="004816DA"/>
    <w:rsid w:val="004863BF"/>
    <w:rsid w:val="004911CF"/>
    <w:rsid w:val="004A5335"/>
    <w:rsid w:val="004A7EE2"/>
    <w:rsid w:val="004C361A"/>
    <w:rsid w:val="004D2DF3"/>
    <w:rsid w:val="004D631B"/>
    <w:rsid w:val="004E19BF"/>
    <w:rsid w:val="004E2F5C"/>
    <w:rsid w:val="00502EA4"/>
    <w:rsid w:val="0050611D"/>
    <w:rsid w:val="0050740F"/>
    <w:rsid w:val="005118E2"/>
    <w:rsid w:val="00513E66"/>
    <w:rsid w:val="005148CC"/>
    <w:rsid w:val="00523EC1"/>
    <w:rsid w:val="0053586A"/>
    <w:rsid w:val="005362A2"/>
    <w:rsid w:val="00540FAD"/>
    <w:rsid w:val="0054238D"/>
    <w:rsid w:val="0054683D"/>
    <w:rsid w:val="00546E11"/>
    <w:rsid w:val="00550788"/>
    <w:rsid w:val="00556569"/>
    <w:rsid w:val="00580180"/>
    <w:rsid w:val="0058178F"/>
    <w:rsid w:val="0058371F"/>
    <w:rsid w:val="00586839"/>
    <w:rsid w:val="00593EC9"/>
    <w:rsid w:val="0059518D"/>
    <w:rsid w:val="00597673"/>
    <w:rsid w:val="0059791E"/>
    <w:rsid w:val="005A2777"/>
    <w:rsid w:val="005A31C3"/>
    <w:rsid w:val="005A6425"/>
    <w:rsid w:val="005B24A9"/>
    <w:rsid w:val="005B5AE1"/>
    <w:rsid w:val="005B5B21"/>
    <w:rsid w:val="005C0E71"/>
    <w:rsid w:val="005C2ADF"/>
    <w:rsid w:val="005C4F3B"/>
    <w:rsid w:val="005C4F45"/>
    <w:rsid w:val="005C742C"/>
    <w:rsid w:val="005D5BED"/>
    <w:rsid w:val="005D61F5"/>
    <w:rsid w:val="005E0F5F"/>
    <w:rsid w:val="005E42CF"/>
    <w:rsid w:val="005E56AF"/>
    <w:rsid w:val="005E6DBB"/>
    <w:rsid w:val="005F29CD"/>
    <w:rsid w:val="005F7BFD"/>
    <w:rsid w:val="00602D35"/>
    <w:rsid w:val="00605B44"/>
    <w:rsid w:val="00606BB6"/>
    <w:rsid w:val="0062177E"/>
    <w:rsid w:val="0062205C"/>
    <w:rsid w:val="00623F9D"/>
    <w:rsid w:val="00624883"/>
    <w:rsid w:val="00634756"/>
    <w:rsid w:val="00637519"/>
    <w:rsid w:val="00641B21"/>
    <w:rsid w:val="00644643"/>
    <w:rsid w:val="00653C2F"/>
    <w:rsid w:val="00660645"/>
    <w:rsid w:val="00665A2D"/>
    <w:rsid w:val="00670528"/>
    <w:rsid w:val="00672970"/>
    <w:rsid w:val="00675364"/>
    <w:rsid w:val="0068102C"/>
    <w:rsid w:val="00682960"/>
    <w:rsid w:val="00684058"/>
    <w:rsid w:val="0068729A"/>
    <w:rsid w:val="006962B0"/>
    <w:rsid w:val="00696A19"/>
    <w:rsid w:val="006A4BF0"/>
    <w:rsid w:val="006A6A7D"/>
    <w:rsid w:val="006B0B42"/>
    <w:rsid w:val="006B4F11"/>
    <w:rsid w:val="006B6334"/>
    <w:rsid w:val="006C32C8"/>
    <w:rsid w:val="006C32DF"/>
    <w:rsid w:val="006C7674"/>
    <w:rsid w:val="006C7F4F"/>
    <w:rsid w:val="006D0972"/>
    <w:rsid w:val="006E4EA2"/>
    <w:rsid w:val="006E4F7E"/>
    <w:rsid w:val="006E62ED"/>
    <w:rsid w:val="006F5D9E"/>
    <w:rsid w:val="006F7EC2"/>
    <w:rsid w:val="006F7F97"/>
    <w:rsid w:val="0070353A"/>
    <w:rsid w:val="00705845"/>
    <w:rsid w:val="00711CAF"/>
    <w:rsid w:val="00713156"/>
    <w:rsid w:val="007167C2"/>
    <w:rsid w:val="007204F7"/>
    <w:rsid w:val="007236C9"/>
    <w:rsid w:val="0072390A"/>
    <w:rsid w:val="00737555"/>
    <w:rsid w:val="0074133E"/>
    <w:rsid w:val="00757591"/>
    <w:rsid w:val="0076419D"/>
    <w:rsid w:val="00764C96"/>
    <w:rsid w:val="00764EF2"/>
    <w:rsid w:val="00767342"/>
    <w:rsid w:val="007766EA"/>
    <w:rsid w:val="0078243E"/>
    <w:rsid w:val="0078679D"/>
    <w:rsid w:val="00794B81"/>
    <w:rsid w:val="007960EA"/>
    <w:rsid w:val="007A5F62"/>
    <w:rsid w:val="007B4483"/>
    <w:rsid w:val="007B58B6"/>
    <w:rsid w:val="007C01BF"/>
    <w:rsid w:val="007D3B1F"/>
    <w:rsid w:val="007E42F0"/>
    <w:rsid w:val="007E4C18"/>
    <w:rsid w:val="007E7553"/>
    <w:rsid w:val="007E7FFB"/>
    <w:rsid w:val="007F46A5"/>
    <w:rsid w:val="008011E9"/>
    <w:rsid w:val="00802C46"/>
    <w:rsid w:val="008107DF"/>
    <w:rsid w:val="0081284F"/>
    <w:rsid w:val="00815CA7"/>
    <w:rsid w:val="00816E78"/>
    <w:rsid w:val="00820142"/>
    <w:rsid w:val="008201BC"/>
    <w:rsid w:val="00820994"/>
    <w:rsid w:val="00821DA4"/>
    <w:rsid w:val="008325A2"/>
    <w:rsid w:val="008336F1"/>
    <w:rsid w:val="00835132"/>
    <w:rsid w:val="008424DD"/>
    <w:rsid w:val="00843B7A"/>
    <w:rsid w:val="00845218"/>
    <w:rsid w:val="0084758E"/>
    <w:rsid w:val="00852851"/>
    <w:rsid w:val="008542A8"/>
    <w:rsid w:val="008554C3"/>
    <w:rsid w:val="00855F14"/>
    <w:rsid w:val="008561EB"/>
    <w:rsid w:val="008673C8"/>
    <w:rsid w:val="00871B81"/>
    <w:rsid w:val="00872B48"/>
    <w:rsid w:val="008739D6"/>
    <w:rsid w:val="00873A80"/>
    <w:rsid w:val="00881FA5"/>
    <w:rsid w:val="00887410"/>
    <w:rsid w:val="008A3094"/>
    <w:rsid w:val="008A34B9"/>
    <w:rsid w:val="008B0E03"/>
    <w:rsid w:val="008B26B0"/>
    <w:rsid w:val="008B2FF9"/>
    <w:rsid w:val="008C041B"/>
    <w:rsid w:val="008C1B34"/>
    <w:rsid w:val="008C3FD8"/>
    <w:rsid w:val="008C41CA"/>
    <w:rsid w:val="008C4ED3"/>
    <w:rsid w:val="008C7D32"/>
    <w:rsid w:val="008D160B"/>
    <w:rsid w:val="008E178A"/>
    <w:rsid w:val="008E76A6"/>
    <w:rsid w:val="008F0C3A"/>
    <w:rsid w:val="008F265B"/>
    <w:rsid w:val="00904047"/>
    <w:rsid w:val="009040D3"/>
    <w:rsid w:val="00904796"/>
    <w:rsid w:val="0090548F"/>
    <w:rsid w:val="00910943"/>
    <w:rsid w:val="009114C7"/>
    <w:rsid w:val="00915755"/>
    <w:rsid w:val="00920022"/>
    <w:rsid w:val="00922B91"/>
    <w:rsid w:val="0092772F"/>
    <w:rsid w:val="00927732"/>
    <w:rsid w:val="009371C6"/>
    <w:rsid w:val="00941394"/>
    <w:rsid w:val="00944079"/>
    <w:rsid w:val="00944732"/>
    <w:rsid w:val="009508E0"/>
    <w:rsid w:val="00951AF7"/>
    <w:rsid w:val="00952C9B"/>
    <w:rsid w:val="00954373"/>
    <w:rsid w:val="00955193"/>
    <w:rsid w:val="00957E7D"/>
    <w:rsid w:val="009600E6"/>
    <w:rsid w:val="00960945"/>
    <w:rsid w:val="00962F69"/>
    <w:rsid w:val="009659AA"/>
    <w:rsid w:val="009714F8"/>
    <w:rsid w:val="00973C5B"/>
    <w:rsid w:val="00973D3E"/>
    <w:rsid w:val="009763D1"/>
    <w:rsid w:val="0098126F"/>
    <w:rsid w:val="009833A5"/>
    <w:rsid w:val="009953BF"/>
    <w:rsid w:val="009A110E"/>
    <w:rsid w:val="009A445F"/>
    <w:rsid w:val="009A5E3E"/>
    <w:rsid w:val="009B6948"/>
    <w:rsid w:val="009B7534"/>
    <w:rsid w:val="009C0477"/>
    <w:rsid w:val="009C4800"/>
    <w:rsid w:val="009D0350"/>
    <w:rsid w:val="009D2664"/>
    <w:rsid w:val="009D6D1F"/>
    <w:rsid w:val="009D74B0"/>
    <w:rsid w:val="009E6DCB"/>
    <w:rsid w:val="009E7B15"/>
    <w:rsid w:val="00A03188"/>
    <w:rsid w:val="00A0387B"/>
    <w:rsid w:val="00A03CA8"/>
    <w:rsid w:val="00A06548"/>
    <w:rsid w:val="00A06637"/>
    <w:rsid w:val="00A144ED"/>
    <w:rsid w:val="00A16CC2"/>
    <w:rsid w:val="00A208AA"/>
    <w:rsid w:val="00A265C2"/>
    <w:rsid w:val="00A26E8C"/>
    <w:rsid w:val="00A26F11"/>
    <w:rsid w:val="00A3427E"/>
    <w:rsid w:val="00A404F0"/>
    <w:rsid w:val="00A43B96"/>
    <w:rsid w:val="00A46393"/>
    <w:rsid w:val="00A46D21"/>
    <w:rsid w:val="00A53E69"/>
    <w:rsid w:val="00A56EF3"/>
    <w:rsid w:val="00A64303"/>
    <w:rsid w:val="00A64C2B"/>
    <w:rsid w:val="00A65E24"/>
    <w:rsid w:val="00A6747A"/>
    <w:rsid w:val="00A70BFC"/>
    <w:rsid w:val="00A735E7"/>
    <w:rsid w:val="00A73870"/>
    <w:rsid w:val="00A87C4C"/>
    <w:rsid w:val="00A9522A"/>
    <w:rsid w:val="00A9762D"/>
    <w:rsid w:val="00AA11F7"/>
    <w:rsid w:val="00AA475A"/>
    <w:rsid w:val="00AB16CF"/>
    <w:rsid w:val="00AC3450"/>
    <w:rsid w:val="00AC6313"/>
    <w:rsid w:val="00AD49B8"/>
    <w:rsid w:val="00AD4A43"/>
    <w:rsid w:val="00AE49FA"/>
    <w:rsid w:val="00AF1944"/>
    <w:rsid w:val="00AF41DC"/>
    <w:rsid w:val="00AF4773"/>
    <w:rsid w:val="00B1576D"/>
    <w:rsid w:val="00B15EE3"/>
    <w:rsid w:val="00B1619A"/>
    <w:rsid w:val="00B23A07"/>
    <w:rsid w:val="00B23B28"/>
    <w:rsid w:val="00B27036"/>
    <w:rsid w:val="00B335E8"/>
    <w:rsid w:val="00B35E15"/>
    <w:rsid w:val="00B37E2C"/>
    <w:rsid w:val="00B40102"/>
    <w:rsid w:val="00B4732D"/>
    <w:rsid w:val="00B53B70"/>
    <w:rsid w:val="00B55496"/>
    <w:rsid w:val="00B570DA"/>
    <w:rsid w:val="00B644C0"/>
    <w:rsid w:val="00B66016"/>
    <w:rsid w:val="00B67BAC"/>
    <w:rsid w:val="00B737EA"/>
    <w:rsid w:val="00B74737"/>
    <w:rsid w:val="00B7563F"/>
    <w:rsid w:val="00B765DA"/>
    <w:rsid w:val="00B8076C"/>
    <w:rsid w:val="00B82084"/>
    <w:rsid w:val="00B85041"/>
    <w:rsid w:val="00B8581E"/>
    <w:rsid w:val="00B87B6B"/>
    <w:rsid w:val="00B96824"/>
    <w:rsid w:val="00BA07F8"/>
    <w:rsid w:val="00BA15CC"/>
    <w:rsid w:val="00BA1789"/>
    <w:rsid w:val="00BA4306"/>
    <w:rsid w:val="00BA76B7"/>
    <w:rsid w:val="00BB089C"/>
    <w:rsid w:val="00BC1508"/>
    <w:rsid w:val="00BC7E35"/>
    <w:rsid w:val="00BD67C7"/>
    <w:rsid w:val="00BE2ED4"/>
    <w:rsid w:val="00BF018C"/>
    <w:rsid w:val="00BF50C5"/>
    <w:rsid w:val="00C00256"/>
    <w:rsid w:val="00C14D9E"/>
    <w:rsid w:val="00C16857"/>
    <w:rsid w:val="00C37738"/>
    <w:rsid w:val="00C44C1C"/>
    <w:rsid w:val="00C46316"/>
    <w:rsid w:val="00C47F66"/>
    <w:rsid w:val="00C5201D"/>
    <w:rsid w:val="00C55775"/>
    <w:rsid w:val="00C60A67"/>
    <w:rsid w:val="00C62115"/>
    <w:rsid w:val="00C64114"/>
    <w:rsid w:val="00C643E4"/>
    <w:rsid w:val="00C64856"/>
    <w:rsid w:val="00C707E7"/>
    <w:rsid w:val="00C73AF0"/>
    <w:rsid w:val="00C7555E"/>
    <w:rsid w:val="00C813A7"/>
    <w:rsid w:val="00C8177C"/>
    <w:rsid w:val="00C836A4"/>
    <w:rsid w:val="00C83723"/>
    <w:rsid w:val="00C8687D"/>
    <w:rsid w:val="00CA1E4C"/>
    <w:rsid w:val="00CA6CB8"/>
    <w:rsid w:val="00CB2B7B"/>
    <w:rsid w:val="00CC01EB"/>
    <w:rsid w:val="00CC0FE0"/>
    <w:rsid w:val="00CC31D5"/>
    <w:rsid w:val="00CC577E"/>
    <w:rsid w:val="00CD1976"/>
    <w:rsid w:val="00CD3574"/>
    <w:rsid w:val="00CD3889"/>
    <w:rsid w:val="00CD4B9C"/>
    <w:rsid w:val="00CE4661"/>
    <w:rsid w:val="00CF0C59"/>
    <w:rsid w:val="00CF1A54"/>
    <w:rsid w:val="00CF4148"/>
    <w:rsid w:val="00D01D47"/>
    <w:rsid w:val="00D03FE3"/>
    <w:rsid w:val="00D10AAF"/>
    <w:rsid w:val="00D1231B"/>
    <w:rsid w:val="00D14BAA"/>
    <w:rsid w:val="00D1546D"/>
    <w:rsid w:val="00D200B8"/>
    <w:rsid w:val="00D24909"/>
    <w:rsid w:val="00D25048"/>
    <w:rsid w:val="00D26343"/>
    <w:rsid w:val="00D27A43"/>
    <w:rsid w:val="00D30A5E"/>
    <w:rsid w:val="00D312A8"/>
    <w:rsid w:val="00D321B5"/>
    <w:rsid w:val="00D33593"/>
    <w:rsid w:val="00D6062E"/>
    <w:rsid w:val="00D6069B"/>
    <w:rsid w:val="00D66A51"/>
    <w:rsid w:val="00D70D5B"/>
    <w:rsid w:val="00D71915"/>
    <w:rsid w:val="00D777AF"/>
    <w:rsid w:val="00D77F3A"/>
    <w:rsid w:val="00D8444E"/>
    <w:rsid w:val="00D92994"/>
    <w:rsid w:val="00D93A07"/>
    <w:rsid w:val="00D9501B"/>
    <w:rsid w:val="00DA3012"/>
    <w:rsid w:val="00DA34E7"/>
    <w:rsid w:val="00DA782C"/>
    <w:rsid w:val="00DA7904"/>
    <w:rsid w:val="00DA7F35"/>
    <w:rsid w:val="00DB157C"/>
    <w:rsid w:val="00DB1F52"/>
    <w:rsid w:val="00DB35EC"/>
    <w:rsid w:val="00DB384A"/>
    <w:rsid w:val="00DB52F7"/>
    <w:rsid w:val="00DB698C"/>
    <w:rsid w:val="00DB77F9"/>
    <w:rsid w:val="00DC3B20"/>
    <w:rsid w:val="00DD6B04"/>
    <w:rsid w:val="00DE0281"/>
    <w:rsid w:val="00DF0830"/>
    <w:rsid w:val="00E02161"/>
    <w:rsid w:val="00E05E0C"/>
    <w:rsid w:val="00E119A3"/>
    <w:rsid w:val="00E25034"/>
    <w:rsid w:val="00E27D98"/>
    <w:rsid w:val="00E31842"/>
    <w:rsid w:val="00E345D7"/>
    <w:rsid w:val="00E36B7C"/>
    <w:rsid w:val="00E408FA"/>
    <w:rsid w:val="00E4251A"/>
    <w:rsid w:val="00E4697E"/>
    <w:rsid w:val="00E47B9F"/>
    <w:rsid w:val="00E57735"/>
    <w:rsid w:val="00E646E2"/>
    <w:rsid w:val="00E65D14"/>
    <w:rsid w:val="00E65F2C"/>
    <w:rsid w:val="00E673C1"/>
    <w:rsid w:val="00E725C1"/>
    <w:rsid w:val="00E72934"/>
    <w:rsid w:val="00E8362E"/>
    <w:rsid w:val="00E847BD"/>
    <w:rsid w:val="00E85236"/>
    <w:rsid w:val="00E91B74"/>
    <w:rsid w:val="00EA03B4"/>
    <w:rsid w:val="00EA09E8"/>
    <w:rsid w:val="00EA2748"/>
    <w:rsid w:val="00EA2790"/>
    <w:rsid w:val="00EA4538"/>
    <w:rsid w:val="00EB4E83"/>
    <w:rsid w:val="00EB5830"/>
    <w:rsid w:val="00EB7DDE"/>
    <w:rsid w:val="00EC1CCD"/>
    <w:rsid w:val="00ED2A35"/>
    <w:rsid w:val="00ED514D"/>
    <w:rsid w:val="00ED5C83"/>
    <w:rsid w:val="00EE0716"/>
    <w:rsid w:val="00EE494D"/>
    <w:rsid w:val="00EF1C51"/>
    <w:rsid w:val="00EF7B16"/>
    <w:rsid w:val="00F00DAE"/>
    <w:rsid w:val="00F0687B"/>
    <w:rsid w:val="00F1595C"/>
    <w:rsid w:val="00F17F6E"/>
    <w:rsid w:val="00F21DAD"/>
    <w:rsid w:val="00F226C5"/>
    <w:rsid w:val="00F36A45"/>
    <w:rsid w:val="00F40B18"/>
    <w:rsid w:val="00F41F49"/>
    <w:rsid w:val="00F4583B"/>
    <w:rsid w:val="00F473DF"/>
    <w:rsid w:val="00F5100C"/>
    <w:rsid w:val="00F5269E"/>
    <w:rsid w:val="00F64E6E"/>
    <w:rsid w:val="00F65663"/>
    <w:rsid w:val="00F65E8D"/>
    <w:rsid w:val="00F715ED"/>
    <w:rsid w:val="00F86C1A"/>
    <w:rsid w:val="00F87020"/>
    <w:rsid w:val="00F908E4"/>
    <w:rsid w:val="00F97BBF"/>
    <w:rsid w:val="00FA04E7"/>
    <w:rsid w:val="00FA2C0A"/>
    <w:rsid w:val="00FA556F"/>
    <w:rsid w:val="00FA6071"/>
    <w:rsid w:val="00FB78EC"/>
    <w:rsid w:val="00FC191E"/>
    <w:rsid w:val="00FC35B9"/>
    <w:rsid w:val="00FD1D66"/>
    <w:rsid w:val="00FD3345"/>
    <w:rsid w:val="00FD783A"/>
    <w:rsid w:val="00FE34CE"/>
    <w:rsid w:val="00FE4092"/>
    <w:rsid w:val="00FE4EAD"/>
    <w:rsid w:val="00FF29F8"/>
    <w:rsid w:val="00FF4017"/>
    <w:rsid w:val="00FF4288"/>
    <w:rsid w:val="00FF43CB"/>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3AC76"/>
  <w15:docId w15:val="{19996742-776D-4C63-A782-75A41258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 w:type="paragraph" w:customStyle="1" w:styleId="tv20787921">
    <w:name w:val="tv207_87_921"/>
    <w:basedOn w:val="Normal"/>
    <w:rsid w:val="00126460"/>
    <w:pPr>
      <w:spacing w:after="567" w:line="360" w:lineRule="auto"/>
      <w:jc w:val="center"/>
    </w:pPr>
    <w:rPr>
      <w:rFonts w:ascii="Verdana" w:eastAsia="Times New Roman" w:hAnsi="Verdana" w:cs="Times New Roman"/>
      <w:b/>
      <w:bCs/>
      <w:sz w:val="28"/>
      <w:szCs w:val="28"/>
      <w:lang w:eastAsia="lv-LV"/>
    </w:rPr>
  </w:style>
  <w:style w:type="paragraph" w:customStyle="1" w:styleId="tv213">
    <w:name w:val="tv213"/>
    <w:basedOn w:val="Normal"/>
    <w:rsid w:val="000746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FA55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556F"/>
    <w:rPr>
      <w:sz w:val="20"/>
      <w:szCs w:val="20"/>
      <w:lang w:val="lv-LV"/>
    </w:rPr>
  </w:style>
  <w:style w:type="character" w:styleId="EndnoteReference">
    <w:name w:val="endnote reference"/>
    <w:basedOn w:val="DefaultParagraphFont"/>
    <w:uiPriority w:val="99"/>
    <w:semiHidden/>
    <w:unhideWhenUsed/>
    <w:rsid w:val="00FA5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768">
      <w:bodyDiv w:val="1"/>
      <w:marLeft w:val="0"/>
      <w:marRight w:val="0"/>
      <w:marTop w:val="0"/>
      <w:marBottom w:val="0"/>
      <w:divBdr>
        <w:top w:val="none" w:sz="0" w:space="0" w:color="auto"/>
        <w:left w:val="none" w:sz="0" w:space="0" w:color="auto"/>
        <w:bottom w:val="none" w:sz="0" w:space="0" w:color="auto"/>
        <w:right w:val="none" w:sz="0" w:space="0" w:color="auto"/>
      </w:divBdr>
      <w:divsChild>
        <w:div w:id="227765492">
          <w:marLeft w:val="0"/>
          <w:marRight w:val="0"/>
          <w:marTop w:val="240"/>
          <w:marBottom w:val="0"/>
          <w:divBdr>
            <w:top w:val="none" w:sz="0" w:space="0" w:color="auto"/>
            <w:left w:val="none" w:sz="0" w:space="0" w:color="auto"/>
            <w:bottom w:val="none" w:sz="0" w:space="0" w:color="auto"/>
            <w:right w:val="none" w:sz="0" w:space="0" w:color="auto"/>
          </w:divBdr>
        </w:div>
        <w:div w:id="642394162">
          <w:marLeft w:val="0"/>
          <w:marRight w:val="0"/>
          <w:marTop w:val="400"/>
          <w:marBottom w:val="0"/>
          <w:divBdr>
            <w:top w:val="none" w:sz="0" w:space="0" w:color="auto"/>
            <w:left w:val="none" w:sz="0" w:space="0" w:color="auto"/>
            <w:bottom w:val="none" w:sz="0" w:space="0" w:color="auto"/>
            <w:right w:val="none" w:sz="0" w:space="0" w:color="auto"/>
          </w:divBdr>
        </w:div>
      </w:divsChild>
    </w:div>
    <w:div w:id="309599126">
      <w:bodyDiv w:val="1"/>
      <w:marLeft w:val="0"/>
      <w:marRight w:val="0"/>
      <w:marTop w:val="0"/>
      <w:marBottom w:val="0"/>
      <w:divBdr>
        <w:top w:val="none" w:sz="0" w:space="0" w:color="auto"/>
        <w:left w:val="none" w:sz="0" w:space="0" w:color="auto"/>
        <w:bottom w:val="none" w:sz="0" w:space="0" w:color="auto"/>
        <w:right w:val="none" w:sz="0" w:space="0" w:color="auto"/>
      </w:divBdr>
    </w:div>
    <w:div w:id="1334263467">
      <w:bodyDiv w:val="1"/>
      <w:marLeft w:val="0"/>
      <w:marRight w:val="0"/>
      <w:marTop w:val="0"/>
      <w:marBottom w:val="0"/>
      <w:divBdr>
        <w:top w:val="none" w:sz="0" w:space="0" w:color="auto"/>
        <w:left w:val="none" w:sz="0" w:space="0" w:color="auto"/>
        <w:bottom w:val="none" w:sz="0" w:space="0" w:color="auto"/>
        <w:right w:val="none" w:sz="0" w:space="0" w:color="auto"/>
      </w:divBdr>
    </w:div>
    <w:div w:id="1520698559">
      <w:bodyDiv w:val="1"/>
      <w:marLeft w:val="0"/>
      <w:marRight w:val="0"/>
      <w:marTop w:val="0"/>
      <w:marBottom w:val="0"/>
      <w:divBdr>
        <w:top w:val="none" w:sz="0" w:space="0" w:color="auto"/>
        <w:left w:val="none" w:sz="0" w:space="0" w:color="auto"/>
        <w:bottom w:val="none" w:sz="0" w:space="0" w:color="auto"/>
        <w:right w:val="none" w:sz="0" w:space="0" w:color="auto"/>
      </w:divBdr>
    </w:div>
    <w:div w:id="17640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normativie-akti/normativo-aktu-projek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dezda.mazure@izm.gov.lv" TargetMode="External"/><Relationship Id="rId4" Type="http://schemas.openxmlformats.org/officeDocument/2006/relationships/settings" Target="settings.xml"/><Relationship Id="rId9" Type="http://schemas.openxmlformats.org/officeDocument/2006/relationships/hyperlink" Target="mailto:kaspars.veldr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A3C27-21AF-48AA-BEA9-80CC3B5D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14161</Words>
  <Characters>8073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Izglitibas Ministrija</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Atis Migals</cp:lastModifiedBy>
  <cp:revision>20</cp:revision>
  <dcterms:created xsi:type="dcterms:W3CDTF">2017-10-25T05:47:00Z</dcterms:created>
  <dcterms:modified xsi:type="dcterms:W3CDTF">2017-11-28T15:16:00Z</dcterms:modified>
</cp:coreProperties>
</file>