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531"/>
        <w:gridCol w:w="567"/>
        <w:gridCol w:w="2155"/>
      </w:tblGrid>
      <w:tr w:rsidR="00412762" w:rsidRPr="00431FA4" w:rsidTr="00412762">
        <w:trPr>
          <w:trHeight w:val="284"/>
        </w:trPr>
        <w:tc>
          <w:tcPr>
            <w:tcW w:w="680" w:type="dxa"/>
            <w:hideMark/>
          </w:tcPr>
          <w:p w:rsidR="00412762" w:rsidRPr="00431FA4" w:rsidRDefault="00412762">
            <w:pPr>
              <w:pStyle w:val="Header"/>
              <w:rPr>
                <w:rFonts w:ascii="Times New Roman" w:eastAsia="Times New Roman" w:hAnsi="Times New Roman"/>
                <w:spacing w:val="20"/>
                <w:sz w:val="16"/>
                <w:szCs w:val="16"/>
                <w:lang w:val="lv-LV"/>
              </w:rPr>
            </w:pPr>
            <w:r w:rsidRPr="00431FA4">
              <w:rPr>
                <w:rFonts w:ascii="Times New Roman" w:eastAsia="Times New Roman" w:hAnsi="Times New Roman"/>
                <w:lang w:val="lv-LV"/>
              </w:rPr>
              <w:t>Rīgā</w:t>
            </w:r>
          </w:p>
        </w:tc>
        <w:tc>
          <w:tcPr>
            <w:tcW w:w="1531" w:type="dxa"/>
            <w:tcBorders>
              <w:top w:val="nil"/>
              <w:left w:val="nil"/>
              <w:bottom w:val="dashed" w:sz="4" w:space="0" w:color="auto"/>
              <w:right w:val="nil"/>
            </w:tcBorders>
            <w:hideMark/>
          </w:tcPr>
          <w:p w:rsidR="00412762" w:rsidRPr="00431FA4" w:rsidRDefault="00E35608">
            <w:pPr>
              <w:rPr>
                <w:rFonts w:ascii="Times New Roman" w:eastAsia="Times New Roman" w:hAnsi="Times New Roman"/>
                <w:spacing w:val="20"/>
                <w:sz w:val="16"/>
                <w:szCs w:val="16"/>
                <w:lang w:val="lv-LV"/>
              </w:rPr>
            </w:pPr>
            <w:r>
              <w:rPr>
                <w:rFonts w:ascii="Times New Roman" w:eastAsia="Times New Roman" w:hAnsi="Times New Roman"/>
                <w:spacing w:val="20"/>
                <w:sz w:val="16"/>
                <w:szCs w:val="16"/>
                <w:lang w:val="lv-LV"/>
              </w:rPr>
              <w:t>07.11.2017.</w:t>
            </w:r>
          </w:p>
        </w:tc>
        <w:tc>
          <w:tcPr>
            <w:tcW w:w="567" w:type="dxa"/>
            <w:hideMark/>
          </w:tcPr>
          <w:p w:rsidR="00412762" w:rsidRPr="00431FA4" w:rsidRDefault="00412762">
            <w:pPr>
              <w:pStyle w:val="Header"/>
              <w:rPr>
                <w:rFonts w:ascii="Times New Roman" w:eastAsia="Times New Roman" w:hAnsi="Times New Roman"/>
                <w:spacing w:val="20"/>
                <w:sz w:val="16"/>
                <w:szCs w:val="16"/>
                <w:lang w:val="lv-LV"/>
              </w:rPr>
            </w:pPr>
            <w:r w:rsidRPr="00431FA4">
              <w:rPr>
                <w:rFonts w:ascii="Times New Roman" w:eastAsia="Times New Roman" w:hAnsi="Times New Roman"/>
                <w:lang w:val="lv-LV"/>
              </w:rPr>
              <w:t>Nr.</w:t>
            </w:r>
          </w:p>
        </w:tc>
        <w:tc>
          <w:tcPr>
            <w:tcW w:w="2155" w:type="dxa"/>
            <w:tcBorders>
              <w:top w:val="nil"/>
              <w:left w:val="nil"/>
              <w:bottom w:val="dashed" w:sz="4" w:space="0" w:color="auto"/>
              <w:right w:val="nil"/>
            </w:tcBorders>
            <w:hideMark/>
          </w:tcPr>
          <w:p w:rsidR="00412762" w:rsidRPr="00431FA4" w:rsidRDefault="00E35608">
            <w:pPr>
              <w:rPr>
                <w:rFonts w:ascii="Times New Roman" w:eastAsia="Times New Roman" w:hAnsi="Times New Roman"/>
                <w:spacing w:val="20"/>
                <w:sz w:val="16"/>
                <w:szCs w:val="16"/>
                <w:lang w:val="lv-LV"/>
              </w:rPr>
            </w:pPr>
            <w:r>
              <w:rPr>
                <w:rFonts w:ascii="Times New Roman" w:eastAsia="Times New Roman" w:hAnsi="Times New Roman"/>
                <w:spacing w:val="20"/>
                <w:sz w:val="16"/>
                <w:szCs w:val="16"/>
                <w:lang w:val="lv-LV"/>
              </w:rPr>
              <w:t>01-05/4144</w:t>
            </w:r>
          </w:p>
        </w:tc>
      </w:tr>
      <w:tr w:rsidR="00412762" w:rsidRPr="00431FA4" w:rsidTr="00412762">
        <w:trPr>
          <w:trHeight w:val="284"/>
        </w:trPr>
        <w:tc>
          <w:tcPr>
            <w:tcW w:w="680" w:type="dxa"/>
            <w:hideMark/>
          </w:tcPr>
          <w:p w:rsidR="00412762" w:rsidRPr="00EB6632" w:rsidRDefault="00412762">
            <w:pPr>
              <w:pStyle w:val="Header"/>
              <w:rPr>
                <w:rFonts w:ascii="Times New Roman" w:eastAsia="Times New Roman" w:hAnsi="Times New Roman"/>
                <w:spacing w:val="20"/>
                <w:lang w:val="lv-LV"/>
              </w:rPr>
            </w:pPr>
            <w:r w:rsidRPr="00EB6632">
              <w:rPr>
                <w:rFonts w:ascii="Times New Roman" w:eastAsia="Times New Roman" w:hAnsi="Times New Roman"/>
                <w:lang w:val="lv-LV"/>
              </w:rPr>
              <w:t>Uz</w:t>
            </w:r>
          </w:p>
        </w:tc>
        <w:tc>
          <w:tcPr>
            <w:tcW w:w="1531" w:type="dxa"/>
            <w:tcBorders>
              <w:top w:val="dashed" w:sz="4" w:space="0" w:color="auto"/>
              <w:left w:val="nil"/>
              <w:bottom w:val="dashed" w:sz="4" w:space="0" w:color="auto"/>
              <w:right w:val="nil"/>
            </w:tcBorders>
          </w:tcPr>
          <w:p w:rsidR="00412762" w:rsidRPr="00EB6632" w:rsidRDefault="00412762">
            <w:pPr>
              <w:pStyle w:val="Header"/>
              <w:rPr>
                <w:rFonts w:ascii="Times New Roman" w:eastAsia="Times New Roman" w:hAnsi="Times New Roman"/>
                <w:spacing w:val="20"/>
                <w:lang w:val="lv-LV"/>
              </w:rPr>
            </w:pPr>
          </w:p>
        </w:tc>
        <w:tc>
          <w:tcPr>
            <w:tcW w:w="567" w:type="dxa"/>
            <w:hideMark/>
          </w:tcPr>
          <w:p w:rsidR="00412762" w:rsidRPr="00EB6632" w:rsidRDefault="00412762">
            <w:pPr>
              <w:pStyle w:val="Header"/>
              <w:rPr>
                <w:rFonts w:ascii="Times New Roman" w:eastAsia="Times New Roman" w:hAnsi="Times New Roman"/>
                <w:spacing w:val="20"/>
                <w:lang w:val="lv-LV"/>
              </w:rPr>
            </w:pPr>
            <w:r w:rsidRPr="00EB6632">
              <w:rPr>
                <w:rFonts w:ascii="Times New Roman" w:eastAsia="Times New Roman" w:hAnsi="Times New Roman"/>
                <w:lang w:val="lv-LV"/>
              </w:rPr>
              <w:t>Nr.</w:t>
            </w:r>
          </w:p>
        </w:tc>
        <w:tc>
          <w:tcPr>
            <w:tcW w:w="2155" w:type="dxa"/>
            <w:tcBorders>
              <w:top w:val="dashed" w:sz="4" w:space="0" w:color="auto"/>
              <w:left w:val="nil"/>
              <w:bottom w:val="dashed" w:sz="4" w:space="0" w:color="auto"/>
              <w:right w:val="nil"/>
            </w:tcBorders>
          </w:tcPr>
          <w:p w:rsidR="00412762" w:rsidRPr="00EB6632" w:rsidRDefault="00412762" w:rsidP="00EB6632">
            <w:pPr>
              <w:pStyle w:val="Header"/>
              <w:rPr>
                <w:rFonts w:ascii="Times New Roman" w:eastAsia="Times New Roman" w:hAnsi="Times New Roman"/>
                <w:spacing w:val="20"/>
                <w:lang w:val="lv-LV"/>
              </w:rPr>
            </w:pPr>
          </w:p>
        </w:tc>
      </w:tr>
    </w:tbl>
    <w:p w:rsidR="00412762" w:rsidRPr="00431FA4" w:rsidRDefault="00412762" w:rsidP="00412762">
      <w:pPr>
        <w:tabs>
          <w:tab w:val="left" w:pos="1515"/>
        </w:tabs>
        <w:rPr>
          <w:rFonts w:ascii="Times New Roman" w:hAnsi="Times New Roman"/>
          <w:sz w:val="24"/>
          <w:szCs w:val="24"/>
          <w:lang w:val="lv-LV"/>
        </w:rPr>
      </w:pPr>
    </w:p>
    <w:p w:rsidR="004E3C68" w:rsidRPr="00431FA4" w:rsidRDefault="004E3C68" w:rsidP="004E3C68">
      <w:pPr>
        <w:jc w:val="right"/>
        <w:rPr>
          <w:rFonts w:ascii="Times New Roman" w:hAnsi="Times New Roman"/>
          <w:b/>
          <w:sz w:val="28"/>
          <w:szCs w:val="28"/>
          <w:lang w:val="lv-LV"/>
        </w:rPr>
      </w:pPr>
      <w:r w:rsidRPr="00431FA4">
        <w:rPr>
          <w:rFonts w:ascii="Times New Roman" w:hAnsi="Times New Roman"/>
          <w:b/>
          <w:sz w:val="28"/>
          <w:szCs w:val="28"/>
          <w:lang w:val="lv-LV"/>
        </w:rPr>
        <w:t>Valsts kancelejai</w:t>
      </w:r>
    </w:p>
    <w:p w:rsidR="004E3C68" w:rsidRPr="00431FA4" w:rsidRDefault="004E3C68" w:rsidP="00D206D9">
      <w:pPr>
        <w:pStyle w:val="naislab"/>
        <w:tabs>
          <w:tab w:val="left" w:pos="4962"/>
          <w:tab w:val="left" w:pos="5103"/>
        </w:tabs>
        <w:spacing w:before="0" w:after="0"/>
        <w:ind w:right="4265"/>
        <w:jc w:val="both"/>
        <w:rPr>
          <w:bCs/>
          <w:sz w:val="28"/>
          <w:szCs w:val="28"/>
        </w:rPr>
      </w:pPr>
      <w:bookmarkStart w:id="0" w:name="_GoBack"/>
      <w:r w:rsidRPr="00431FA4">
        <w:rPr>
          <w:bCs/>
          <w:sz w:val="28"/>
          <w:szCs w:val="28"/>
        </w:rPr>
        <w:t xml:space="preserve">Par </w:t>
      </w:r>
      <w:r w:rsidR="00964DF6">
        <w:rPr>
          <w:bCs/>
          <w:sz w:val="28"/>
          <w:szCs w:val="28"/>
        </w:rPr>
        <w:t xml:space="preserve">Ministru kabineta sēdes </w:t>
      </w:r>
      <w:proofErr w:type="spellStart"/>
      <w:r w:rsidR="00964DF6">
        <w:rPr>
          <w:bCs/>
          <w:sz w:val="28"/>
          <w:szCs w:val="28"/>
        </w:rPr>
        <w:t>protokollēmuma</w:t>
      </w:r>
      <w:proofErr w:type="spellEnd"/>
      <w:r w:rsidR="00964DF6">
        <w:rPr>
          <w:bCs/>
          <w:sz w:val="28"/>
          <w:szCs w:val="28"/>
        </w:rPr>
        <w:t xml:space="preserve"> “Par </w:t>
      </w:r>
      <w:r w:rsidRPr="00431FA4">
        <w:rPr>
          <w:bCs/>
          <w:sz w:val="28"/>
          <w:szCs w:val="28"/>
        </w:rPr>
        <w:t>Ministru kabineta 201</w:t>
      </w:r>
      <w:r w:rsidR="00F56E6A">
        <w:rPr>
          <w:bCs/>
          <w:sz w:val="28"/>
          <w:szCs w:val="28"/>
        </w:rPr>
        <w:t>5</w:t>
      </w:r>
      <w:r w:rsidRPr="00431FA4">
        <w:rPr>
          <w:bCs/>
          <w:sz w:val="28"/>
          <w:szCs w:val="28"/>
        </w:rPr>
        <w:t>.</w:t>
      </w:r>
      <w:r w:rsidR="00431FA4" w:rsidRPr="00431FA4">
        <w:rPr>
          <w:bCs/>
          <w:sz w:val="28"/>
          <w:szCs w:val="28"/>
        </w:rPr>
        <w:t> </w:t>
      </w:r>
      <w:r w:rsidRPr="00431FA4">
        <w:rPr>
          <w:bCs/>
          <w:sz w:val="28"/>
          <w:szCs w:val="28"/>
        </w:rPr>
        <w:t xml:space="preserve">gada </w:t>
      </w:r>
      <w:r w:rsidR="00F56E6A">
        <w:rPr>
          <w:bCs/>
          <w:sz w:val="28"/>
          <w:szCs w:val="28"/>
        </w:rPr>
        <w:t>11</w:t>
      </w:r>
      <w:r w:rsidRPr="00431FA4">
        <w:rPr>
          <w:bCs/>
          <w:sz w:val="28"/>
          <w:szCs w:val="28"/>
        </w:rPr>
        <w:t>.</w:t>
      </w:r>
      <w:r w:rsidR="00431FA4" w:rsidRPr="00431FA4">
        <w:rPr>
          <w:bCs/>
          <w:sz w:val="28"/>
          <w:szCs w:val="28"/>
        </w:rPr>
        <w:t> </w:t>
      </w:r>
      <w:r w:rsidR="00F56E6A">
        <w:rPr>
          <w:bCs/>
          <w:sz w:val="28"/>
          <w:szCs w:val="28"/>
        </w:rPr>
        <w:t>augusta</w:t>
      </w:r>
      <w:r w:rsidRPr="00431FA4">
        <w:rPr>
          <w:bCs/>
          <w:sz w:val="28"/>
          <w:szCs w:val="28"/>
        </w:rPr>
        <w:t xml:space="preserve"> sēdes </w:t>
      </w:r>
      <w:proofErr w:type="spellStart"/>
      <w:r w:rsidRPr="00431FA4">
        <w:rPr>
          <w:bCs/>
          <w:sz w:val="28"/>
          <w:szCs w:val="28"/>
        </w:rPr>
        <w:t>protokollēmuma</w:t>
      </w:r>
      <w:proofErr w:type="spellEnd"/>
      <w:r w:rsidRPr="00431FA4">
        <w:rPr>
          <w:bCs/>
          <w:sz w:val="28"/>
          <w:szCs w:val="28"/>
        </w:rPr>
        <w:t xml:space="preserve"> (prot. Nr.3</w:t>
      </w:r>
      <w:r w:rsidR="00F56E6A">
        <w:rPr>
          <w:bCs/>
          <w:sz w:val="28"/>
          <w:szCs w:val="28"/>
        </w:rPr>
        <w:t>8</w:t>
      </w:r>
      <w:r w:rsidRPr="00431FA4">
        <w:rPr>
          <w:bCs/>
          <w:sz w:val="28"/>
          <w:szCs w:val="28"/>
        </w:rPr>
        <w:t xml:space="preserve"> 3</w:t>
      </w:r>
      <w:r w:rsidR="00F56E6A">
        <w:rPr>
          <w:bCs/>
          <w:sz w:val="28"/>
          <w:szCs w:val="28"/>
        </w:rPr>
        <w:t>9</w:t>
      </w:r>
      <w:r w:rsidRPr="00431FA4">
        <w:rPr>
          <w:bCs/>
          <w:sz w:val="28"/>
          <w:szCs w:val="28"/>
        </w:rPr>
        <w:t>.§) „</w:t>
      </w:r>
      <w:r w:rsidR="00F56E6A">
        <w:rPr>
          <w:bCs/>
          <w:sz w:val="28"/>
          <w:szCs w:val="28"/>
        </w:rPr>
        <w:t xml:space="preserve">Noteikumu projekts “Grozījums Ministru kabineta 2010.gada 28.decembra noteikumos Nr.1206 </w:t>
      </w:r>
      <w:r w:rsidRPr="00431FA4">
        <w:rPr>
          <w:bCs/>
          <w:sz w:val="28"/>
          <w:szCs w:val="28"/>
        </w:rPr>
        <w:t>„</w:t>
      </w:r>
      <w:r w:rsidR="00F56E6A">
        <w:rPr>
          <w:bCs/>
          <w:sz w:val="28"/>
          <w:szCs w:val="28"/>
        </w:rPr>
        <w:t>Kārtība, kādā aprēķina, piešķir un izlieto valsts budžetā paredzētos līdzekļus pašvaldībām</w:t>
      </w:r>
      <w:r w:rsidR="00AA39D5">
        <w:rPr>
          <w:bCs/>
          <w:sz w:val="28"/>
          <w:szCs w:val="28"/>
        </w:rPr>
        <w:t xml:space="preserve"> pamatizglītības iestādes skolēnu ēdināšanai</w:t>
      </w:r>
      <w:r w:rsidRPr="00431FA4">
        <w:rPr>
          <w:bCs/>
          <w:sz w:val="28"/>
          <w:szCs w:val="28"/>
        </w:rPr>
        <w:t>””</w:t>
      </w:r>
      <w:r w:rsidR="00E35608">
        <w:rPr>
          <w:bCs/>
          <w:sz w:val="28"/>
          <w:szCs w:val="28"/>
        </w:rPr>
        <w:t>””</w:t>
      </w:r>
      <w:r w:rsidRPr="00431FA4">
        <w:rPr>
          <w:bCs/>
          <w:sz w:val="28"/>
          <w:szCs w:val="28"/>
        </w:rPr>
        <w:t xml:space="preserve"> </w:t>
      </w:r>
      <w:r w:rsidR="00AA39D5">
        <w:rPr>
          <w:bCs/>
          <w:sz w:val="28"/>
          <w:szCs w:val="28"/>
        </w:rPr>
        <w:t>7</w:t>
      </w:r>
      <w:r w:rsidR="00BE7556">
        <w:rPr>
          <w:bCs/>
          <w:sz w:val="28"/>
          <w:szCs w:val="28"/>
        </w:rPr>
        <w:t>.punkt</w:t>
      </w:r>
      <w:r w:rsidR="00964DF6">
        <w:rPr>
          <w:bCs/>
          <w:sz w:val="28"/>
          <w:szCs w:val="28"/>
        </w:rPr>
        <w:t xml:space="preserve">ā dotā uzdevuma atzīšanu </w:t>
      </w:r>
      <w:r w:rsidR="00BE7556">
        <w:rPr>
          <w:bCs/>
          <w:sz w:val="28"/>
          <w:szCs w:val="28"/>
        </w:rPr>
        <w:t xml:space="preserve">par </w:t>
      </w:r>
      <w:r w:rsidR="00964DF6">
        <w:rPr>
          <w:bCs/>
          <w:sz w:val="28"/>
          <w:szCs w:val="28"/>
        </w:rPr>
        <w:t xml:space="preserve">aktualitāti </w:t>
      </w:r>
      <w:r w:rsidR="00BE7556">
        <w:rPr>
          <w:bCs/>
          <w:sz w:val="28"/>
          <w:szCs w:val="28"/>
        </w:rPr>
        <w:t>zaudējušu</w:t>
      </w:r>
      <w:r w:rsidR="00794BF9">
        <w:rPr>
          <w:bCs/>
          <w:sz w:val="28"/>
          <w:szCs w:val="28"/>
        </w:rPr>
        <w:t>” projektu</w:t>
      </w:r>
    </w:p>
    <w:bookmarkEnd w:id="0"/>
    <w:p w:rsidR="004E3C68" w:rsidRPr="00431FA4" w:rsidRDefault="004E3C68" w:rsidP="004E3C68">
      <w:pPr>
        <w:pStyle w:val="naislab"/>
        <w:spacing w:before="0" w:after="0"/>
        <w:ind w:right="4548"/>
        <w:jc w:val="both"/>
        <w:rPr>
          <w:bCs/>
          <w:sz w:val="28"/>
          <w:szCs w:val="28"/>
        </w:rPr>
      </w:pPr>
    </w:p>
    <w:p w:rsidR="004E3C68" w:rsidRPr="00E72FDD" w:rsidRDefault="004E3C68" w:rsidP="00D31D5B">
      <w:pPr>
        <w:widowControl/>
        <w:spacing w:after="0" w:line="240" w:lineRule="auto"/>
        <w:ind w:firstLine="720"/>
        <w:jc w:val="both"/>
        <w:outlineLvl w:val="0"/>
        <w:rPr>
          <w:rFonts w:ascii="Times New Roman" w:hAnsi="Times New Roman"/>
          <w:bCs/>
          <w:sz w:val="28"/>
          <w:szCs w:val="28"/>
          <w:lang w:val="lv-LV"/>
        </w:rPr>
      </w:pPr>
      <w:r w:rsidRPr="0021169D">
        <w:rPr>
          <w:rFonts w:ascii="Times New Roman" w:hAnsi="Times New Roman"/>
          <w:sz w:val="28"/>
          <w:szCs w:val="28"/>
          <w:lang w:val="lv-LV" w:eastAsia="lv-LV"/>
        </w:rPr>
        <w:t>Pamatojoties uz Ministru kabineta 2009.</w:t>
      </w:r>
      <w:r w:rsidR="00431FA4" w:rsidRPr="0021169D">
        <w:rPr>
          <w:rFonts w:ascii="Times New Roman" w:hAnsi="Times New Roman"/>
          <w:sz w:val="28"/>
          <w:szCs w:val="28"/>
          <w:lang w:val="lv-LV" w:eastAsia="lv-LV"/>
        </w:rPr>
        <w:t> </w:t>
      </w:r>
      <w:r w:rsidRPr="0021169D">
        <w:rPr>
          <w:rFonts w:ascii="Times New Roman" w:hAnsi="Times New Roman"/>
          <w:sz w:val="28"/>
          <w:szCs w:val="28"/>
          <w:lang w:val="lv-LV" w:eastAsia="lv-LV"/>
        </w:rPr>
        <w:t xml:space="preserve">gada 7.aprīļa noteikumu Nr.300 „Ministru kabineta kārtības rullis” </w:t>
      </w:r>
      <w:r w:rsidR="008F15FD">
        <w:rPr>
          <w:rFonts w:ascii="Times New Roman" w:hAnsi="Times New Roman"/>
          <w:sz w:val="28"/>
          <w:szCs w:val="28"/>
          <w:lang w:val="lv-LV" w:eastAsia="lv-LV"/>
        </w:rPr>
        <w:t>144.punktu</w:t>
      </w:r>
      <w:r w:rsidRPr="00CA68D4">
        <w:rPr>
          <w:rFonts w:ascii="Times New Roman" w:hAnsi="Times New Roman"/>
          <w:sz w:val="28"/>
          <w:szCs w:val="28"/>
          <w:lang w:val="lv-LV" w:eastAsia="lv-LV"/>
        </w:rPr>
        <w:t>, iesniedzu izskatīšanai</w:t>
      </w:r>
      <w:r w:rsidRPr="0021169D">
        <w:rPr>
          <w:rFonts w:ascii="Times New Roman" w:hAnsi="Times New Roman"/>
          <w:sz w:val="28"/>
          <w:szCs w:val="28"/>
          <w:lang w:val="lv-LV" w:eastAsia="lv-LV"/>
        </w:rPr>
        <w:t xml:space="preserve"> </w:t>
      </w:r>
      <w:r w:rsidR="00964DF6">
        <w:rPr>
          <w:rFonts w:ascii="Times New Roman" w:hAnsi="Times New Roman"/>
          <w:sz w:val="28"/>
          <w:szCs w:val="28"/>
          <w:lang w:val="lv-LV" w:eastAsia="lv-LV"/>
        </w:rPr>
        <w:t>Ministru kabineta</w:t>
      </w:r>
      <w:r w:rsidR="008F15FD">
        <w:rPr>
          <w:rFonts w:ascii="Times New Roman" w:hAnsi="Times New Roman"/>
          <w:sz w:val="28"/>
          <w:szCs w:val="28"/>
          <w:lang w:val="lv-LV" w:eastAsia="lv-LV"/>
        </w:rPr>
        <w:t xml:space="preserve"> komitejas</w:t>
      </w:r>
      <w:r w:rsidR="00964DF6">
        <w:rPr>
          <w:rFonts w:ascii="Times New Roman" w:hAnsi="Times New Roman"/>
          <w:sz w:val="28"/>
          <w:szCs w:val="28"/>
          <w:lang w:val="lv-LV" w:eastAsia="lv-LV"/>
        </w:rPr>
        <w:t xml:space="preserve"> sēdē </w:t>
      </w:r>
      <w:r w:rsidR="0021169D" w:rsidRPr="0021169D">
        <w:rPr>
          <w:rFonts w:ascii="Times New Roman" w:hAnsi="Times New Roman"/>
          <w:bCs/>
          <w:sz w:val="28"/>
          <w:szCs w:val="28"/>
          <w:lang w:val="lv-LV"/>
        </w:rPr>
        <w:t xml:space="preserve">Ministru kabineta sēdes </w:t>
      </w:r>
      <w:proofErr w:type="spellStart"/>
      <w:r w:rsidR="0021169D" w:rsidRPr="0021169D">
        <w:rPr>
          <w:rFonts w:ascii="Times New Roman" w:hAnsi="Times New Roman"/>
          <w:bCs/>
          <w:sz w:val="28"/>
          <w:szCs w:val="28"/>
          <w:lang w:val="lv-LV"/>
        </w:rPr>
        <w:t>protokollēmuma</w:t>
      </w:r>
      <w:proofErr w:type="spellEnd"/>
      <w:r w:rsidR="0021169D" w:rsidRPr="0021169D">
        <w:rPr>
          <w:rFonts w:ascii="Times New Roman" w:hAnsi="Times New Roman"/>
          <w:bCs/>
          <w:sz w:val="28"/>
          <w:szCs w:val="28"/>
          <w:lang w:val="lv-LV"/>
        </w:rPr>
        <w:t xml:space="preserve"> „Par Ministru kabineta 2015. gada 11. augusta sēdes </w:t>
      </w:r>
      <w:proofErr w:type="spellStart"/>
      <w:r w:rsidR="0021169D" w:rsidRPr="0021169D">
        <w:rPr>
          <w:rFonts w:ascii="Times New Roman" w:hAnsi="Times New Roman"/>
          <w:bCs/>
          <w:sz w:val="28"/>
          <w:szCs w:val="28"/>
          <w:lang w:val="lv-LV"/>
        </w:rPr>
        <w:t>protokollēmuma</w:t>
      </w:r>
      <w:proofErr w:type="spellEnd"/>
      <w:r w:rsidR="0021169D" w:rsidRPr="0021169D">
        <w:rPr>
          <w:rFonts w:ascii="Times New Roman" w:hAnsi="Times New Roman"/>
          <w:bCs/>
          <w:sz w:val="28"/>
          <w:szCs w:val="28"/>
          <w:lang w:val="lv-LV"/>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964DF6">
        <w:rPr>
          <w:rFonts w:ascii="Times New Roman" w:hAnsi="Times New Roman"/>
          <w:bCs/>
          <w:sz w:val="28"/>
          <w:szCs w:val="28"/>
          <w:lang w:val="lv-LV"/>
        </w:rPr>
        <w:t>”</w:t>
      </w:r>
      <w:r w:rsidR="0021169D" w:rsidRPr="0021169D">
        <w:rPr>
          <w:rFonts w:ascii="Times New Roman" w:hAnsi="Times New Roman"/>
          <w:bCs/>
          <w:sz w:val="28"/>
          <w:szCs w:val="28"/>
          <w:lang w:val="lv-LV"/>
        </w:rPr>
        <w:t xml:space="preserve"> 7.punktā dotā uzdevuma</w:t>
      </w:r>
      <w:r w:rsidR="00E72FDD">
        <w:rPr>
          <w:rFonts w:ascii="Times New Roman" w:hAnsi="Times New Roman"/>
          <w:bCs/>
          <w:sz w:val="28"/>
          <w:szCs w:val="28"/>
          <w:lang w:val="lv-LV"/>
        </w:rPr>
        <w:t xml:space="preserve"> </w:t>
      </w:r>
      <w:r w:rsidR="0021169D" w:rsidRPr="0021169D">
        <w:rPr>
          <w:rFonts w:ascii="Times New Roman" w:hAnsi="Times New Roman"/>
          <w:sz w:val="28"/>
          <w:szCs w:val="28"/>
          <w:lang w:val="lv-LV"/>
        </w:rPr>
        <w:t>atzīšanu par aktualitāti zaudējušu</w:t>
      </w:r>
      <w:r w:rsidR="0021169D" w:rsidRPr="0021169D">
        <w:rPr>
          <w:rFonts w:ascii="Times New Roman" w:hAnsi="Times New Roman"/>
          <w:bCs/>
          <w:sz w:val="28"/>
          <w:szCs w:val="28"/>
          <w:lang w:val="lv-LV"/>
        </w:rPr>
        <w:t>”</w:t>
      </w:r>
      <w:r w:rsidR="00794BF9">
        <w:rPr>
          <w:rFonts w:ascii="Times New Roman" w:hAnsi="Times New Roman"/>
          <w:bCs/>
          <w:sz w:val="28"/>
          <w:szCs w:val="28"/>
          <w:lang w:val="lv-LV"/>
        </w:rPr>
        <w:t xml:space="preserve"> projektu</w:t>
      </w:r>
      <w:r w:rsidR="0021169D" w:rsidRPr="0021169D">
        <w:rPr>
          <w:rFonts w:ascii="Times New Roman" w:hAnsi="Times New Roman"/>
          <w:bCs/>
          <w:sz w:val="28"/>
          <w:szCs w:val="28"/>
          <w:lang w:val="lv-LV"/>
        </w:rPr>
        <w:t xml:space="preserve"> </w:t>
      </w:r>
      <w:r w:rsidRPr="0021169D">
        <w:rPr>
          <w:rFonts w:ascii="Times New Roman" w:hAnsi="Times New Roman"/>
          <w:sz w:val="28"/>
          <w:szCs w:val="28"/>
          <w:lang w:val="lv-LV" w:eastAsia="lv-LV"/>
        </w:rPr>
        <w:t xml:space="preserve"> (tur</w:t>
      </w:r>
      <w:r w:rsidR="00BE7556">
        <w:rPr>
          <w:rFonts w:ascii="Times New Roman" w:hAnsi="Times New Roman"/>
          <w:sz w:val="28"/>
          <w:szCs w:val="28"/>
          <w:lang w:val="lv-LV" w:eastAsia="lv-LV"/>
        </w:rPr>
        <w:t>pmāk – </w:t>
      </w:r>
      <w:proofErr w:type="spellStart"/>
      <w:r w:rsidR="00BE7556">
        <w:rPr>
          <w:rFonts w:ascii="Times New Roman" w:hAnsi="Times New Roman"/>
          <w:sz w:val="28"/>
          <w:szCs w:val="28"/>
          <w:lang w:val="lv-LV" w:eastAsia="lv-LV"/>
        </w:rPr>
        <w:t>protokollēmuma</w:t>
      </w:r>
      <w:proofErr w:type="spellEnd"/>
      <w:r w:rsidR="00BE7556">
        <w:rPr>
          <w:rFonts w:ascii="Times New Roman" w:hAnsi="Times New Roman"/>
          <w:sz w:val="28"/>
          <w:szCs w:val="28"/>
          <w:lang w:val="lv-LV" w:eastAsia="lv-LV"/>
        </w:rPr>
        <w:t xml:space="preserve"> projekts)</w:t>
      </w:r>
      <w:r w:rsidR="00964DF6">
        <w:rPr>
          <w:rFonts w:ascii="Times New Roman" w:hAnsi="Times New Roman"/>
          <w:sz w:val="28"/>
          <w:szCs w:val="28"/>
          <w:lang w:val="lv-LV" w:eastAsia="lv-LV"/>
        </w:rPr>
        <w:t>.</w:t>
      </w:r>
    </w:p>
    <w:p w:rsidR="004E3C68" w:rsidRPr="00431FA4" w:rsidRDefault="004E3C68" w:rsidP="004E3C68">
      <w:pPr>
        <w:pStyle w:val="NoSpacing"/>
        <w:ind w:firstLine="709"/>
        <w:jc w:val="both"/>
        <w:rPr>
          <w:rFonts w:ascii="Times New Roman" w:hAnsi="Times New Roman"/>
          <w:sz w:val="24"/>
          <w:szCs w:val="24"/>
          <w:lang w:val="lv-LV"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703"/>
        <w:gridCol w:w="6088"/>
      </w:tblGrid>
      <w:tr w:rsidR="004E3C68" w:rsidRPr="00E35608"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1.</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Iesniegšanas pamatojums</w:t>
            </w:r>
          </w:p>
        </w:tc>
        <w:tc>
          <w:tcPr>
            <w:tcW w:w="3255" w:type="pct"/>
            <w:tcBorders>
              <w:top w:val="outset" w:sz="6" w:space="0" w:color="auto"/>
              <w:left w:val="outset" w:sz="6" w:space="0" w:color="auto"/>
              <w:bottom w:val="outset" w:sz="6" w:space="0" w:color="auto"/>
              <w:right w:val="outset" w:sz="6" w:space="0" w:color="auto"/>
            </w:tcBorders>
            <w:hideMark/>
          </w:tcPr>
          <w:p w:rsidR="00F84396" w:rsidRPr="00372CF7" w:rsidRDefault="004E3C68" w:rsidP="002D6A69">
            <w:pPr>
              <w:pStyle w:val="NoSpacing"/>
              <w:ind w:firstLine="528"/>
              <w:jc w:val="both"/>
              <w:rPr>
                <w:rFonts w:ascii="Times New Roman" w:eastAsia="Times New Roman" w:hAnsi="Times New Roman"/>
                <w:sz w:val="28"/>
                <w:szCs w:val="28"/>
                <w:lang w:val="lv-LV" w:eastAsia="lv-LV"/>
              </w:rPr>
            </w:pPr>
            <w:r w:rsidRPr="00431FA4">
              <w:rPr>
                <w:rFonts w:ascii="Times New Roman" w:hAnsi="Times New Roman"/>
                <w:sz w:val="28"/>
                <w:szCs w:val="28"/>
                <w:lang w:val="lv-LV"/>
              </w:rPr>
              <w:t xml:space="preserve">Saskaņā ar </w:t>
            </w:r>
            <w:r w:rsidR="00AF45EF" w:rsidRPr="0021169D">
              <w:rPr>
                <w:rFonts w:ascii="Times New Roman" w:hAnsi="Times New Roman"/>
                <w:bCs/>
                <w:sz w:val="28"/>
                <w:szCs w:val="28"/>
                <w:lang w:val="lv-LV"/>
              </w:rPr>
              <w:t xml:space="preserve">Ministru kabineta 2015. gada 11. augusta sēdes </w:t>
            </w:r>
            <w:proofErr w:type="spellStart"/>
            <w:r w:rsidR="00AF45EF" w:rsidRPr="0021169D">
              <w:rPr>
                <w:rFonts w:ascii="Times New Roman" w:hAnsi="Times New Roman"/>
                <w:bCs/>
                <w:sz w:val="28"/>
                <w:szCs w:val="28"/>
                <w:lang w:val="lv-LV"/>
              </w:rPr>
              <w:t>protokollēmuma</w:t>
            </w:r>
            <w:proofErr w:type="spellEnd"/>
            <w:r w:rsidR="00AF45EF" w:rsidRPr="0021169D">
              <w:rPr>
                <w:rFonts w:ascii="Times New Roman" w:hAnsi="Times New Roman"/>
                <w:bCs/>
                <w:sz w:val="28"/>
                <w:szCs w:val="28"/>
                <w:lang w:val="lv-LV"/>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794BF9">
              <w:rPr>
                <w:rFonts w:ascii="Times New Roman" w:hAnsi="Times New Roman"/>
                <w:bCs/>
                <w:sz w:val="28"/>
                <w:szCs w:val="28"/>
                <w:lang w:val="lv-LV"/>
              </w:rPr>
              <w:t>”</w:t>
            </w:r>
            <w:r w:rsidR="00AF45EF" w:rsidRPr="00431FA4">
              <w:rPr>
                <w:rFonts w:ascii="Times New Roman" w:hAnsi="Times New Roman"/>
                <w:sz w:val="28"/>
                <w:szCs w:val="28"/>
                <w:lang w:val="lv-LV"/>
              </w:rPr>
              <w:t xml:space="preserve"> </w:t>
            </w:r>
            <w:r w:rsidRPr="00431FA4">
              <w:rPr>
                <w:rFonts w:ascii="Times New Roman" w:hAnsi="Times New Roman"/>
                <w:sz w:val="28"/>
                <w:szCs w:val="28"/>
                <w:lang w:val="lv-LV"/>
              </w:rPr>
              <w:lastRenderedPageBreak/>
              <w:t xml:space="preserve">(turpmāk – </w:t>
            </w:r>
            <w:proofErr w:type="spellStart"/>
            <w:r w:rsidRPr="00431FA4">
              <w:rPr>
                <w:rFonts w:ascii="Times New Roman" w:hAnsi="Times New Roman"/>
                <w:sz w:val="28"/>
                <w:szCs w:val="28"/>
                <w:lang w:val="lv-LV"/>
              </w:rPr>
              <w:t>protokollēmums</w:t>
            </w:r>
            <w:proofErr w:type="spellEnd"/>
            <w:r w:rsidRPr="00431FA4">
              <w:rPr>
                <w:rFonts w:ascii="Times New Roman" w:hAnsi="Times New Roman"/>
                <w:sz w:val="28"/>
                <w:szCs w:val="28"/>
                <w:lang w:val="lv-LV"/>
              </w:rPr>
              <w:t xml:space="preserve">) </w:t>
            </w:r>
            <w:r w:rsidR="00AF45EF">
              <w:rPr>
                <w:rFonts w:ascii="Times New Roman" w:hAnsi="Times New Roman"/>
                <w:sz w:val="28"/>
                <w:szCs w:val="28"/>
                <w:lang w:val="lv-LV"/>
              </w:rPr>
              <w:t>7</w:t>
            </w:r>
            <w:r w:rsidRPr="00431FA4">
              <w:rPr>
                <w:rFonts w:ascii="Times New Roman" w:hAnsi="Times New Roman"/>
                <w:sz w:val="28"/>
                <w:szCs w:val="28"/>
                <w:lang w:val="lv-LV"/>
              </w:rPr>
              <w:t xml:space="preserve">.punktā noteikto Izglītības un zinātnes ministrijai (turpmāk – </w:t>
            </w:r>
            <w:r w:rsidR="00AE4A9B">
              <w:rPr>
                <w:rFonts w:ascii="Times New Roman" w:hAnsi="Times New Roman"/>
                <w:sz w:val="28"/>
                <w:szCs w:val="28"/>
                <w:lang w:val="lv-LV"/>
              </w:rPr>
              <w:t>ministrija</w:t>
            </w:r>
            <w:r w:rsidRPr="00431FA4">
              <w:rPr>
                <w:rFonts w:ascii="Times New Roman" w:hAnsi="Times New Roman"/>
                <w:sz w:val="28"/>
                <w:szCs w:val="28"/>
                <w:lang w:val="lv-LV"/>
              </w:rPr>
              <w:t>) līdz 201</w:t>
            </w:r>
            <w:r w:rsidR="00AF45EF">
              <w:rPr>
                <w:rFonts w:ascii="Times New Roman" w:hAnsi="Times New Roman"/>
                <w:sz w:val="28"/>
                <w:szCs w:val="28"/>
                <w:lang w:val="lv-LV"/>
              </w:rPr>
              <w:t>5</w:t>
            </w:r>
            <w:r w:rsidRPr="00431FA4">
              <w:rPr>
                <w:rFonts w:ascii="Times New Roman" w:hAnsi="Times New Roman"/>
                <w:sz w:val="28"/>
                <w:szCs w:val="28"/>
                <w:lang w:val="lv-LV"/>
              </w:rPr>
              <w:t>. gada 1. </w:t>
            </w:r>
            <w:r w:rsidR="00AF45EF">
              <w:rPr>
                <w:rFonts w:ascii="Times New Roman" w:hAnsi="Times New Roman"/>
                <w:sz w:val="28"/>
                <w:szCs w:val="28"/>
                <w:lang w:val="lv-LV"/>
              </w:rPr>
              <w:t>decembrim sadarbībā ar Veselības ministriju, Finanšu ministriju, Labklājības ministriju, Vides aizsardzības un reģionālās attīstības ministriju un Latvijas Pašvaldību savienību</w:t>
            </w:r>
            <w:r w:rsidRPr="00431FA4">
              <w:rPr>
                <w:rFonts w:ascii="Times New Roman" w:hAnsi="Times New Roman"/>
                <w:sz w:val="28"/>
                <w:szCs w:val="28"/>
                <w:lang w:val="lv-LV"/>
              </w:rPr>
              <w:t xml:space="preserve"> tika uzdots </w:t>
            </w:r>
            <w:r w:rsidR="00AF45EF">
              <w:rPr>
                <w:rFonts w:ascii="Times New Roman" w:hAnsi="Times New Roman"/>
                <w:sz w:val="28"/>
                <w:szCs w:val="28"/>
                <w:lang w:val="lv-LV"/>
              </w:rPr>
              <w:t>izstrādāt iespējamos risinājumus valsts piešķirtās dotācijas finansējuma apmēra noteikšanai viena izglītojamā ēdināšanai</w:t>
            </w:r>
            <w:r w:rsidR="00377684">
              <w:rPr>
                <w:rFonts w:ascii="Times New Roman" w:hAnsi="Times New Roman"/>
                <w:sz w:val="28"/>
                <w:szCs w:val="28"/>
                <w:lang w:val="lv-LV"/>
              </w:rPr>
              <w:t xml:space="preserve">, </w:t>
            </w:r>
            <w:r w:rsidR="004C0067">
              <w:rPr>
                <w:rFonts w:ascii="Times New Roman" w:hAnsi="Times New Roman"/>
                <w:sz w:val="28"/>
                <w:szCs w:val="28"/>
                <w:lang w:val="lv-LV"/>
              </w:rPr>
              <w:t>kas</w:t>
            </w:r>
            <w:r w:rsidR="00377684">
              <w:rPr>
                <w:rFonts w:ascii="Times New Roman" w:hAnsi="Times New Roman"/>
                <w:sz w:val="28"/>
                <w:szCs w:val="28"/>
                <w:lang w:val="lv-LV"/>
              </w:rPr>
              <w:t xml:space="preserve"> tiek novirzīts pārtikas produktu iegādei, lai nodrošinātu bērniem izglītības iestādēs kvalitatīvu un uzturvielām bagātu ēdināšanu.</w:t>
            </w:r>
            <w:r w:rsidR="00372CF7">
              <w:rPr>
                <w:rFonts w:ascii="Times New Roman" w:hAnsi="Times New Roman"/>
                <w:sz w:val="28"/>
                <w:szCs w:val="28"/>
                <w:lang w:val="lv-LV"/>
              </w:rPr>
              <w:t xml:space="preserve"> Ar </w:t>
            </w:r>
            <w:r w:rsidR="00372CF7">
              <w:rPr>
                <w:rFonts w:ascii="Times New Roman" w:hAnsi="Times New Roman"/>
                <w:iCs/>
                <w:sz w:val="28"/>
                <w:szCs w:val="28"/>
                <w:lang w:val="lv-LV"/>
              </w:rPr>
              <w:t xml:space="preserve">Ministru kabineta </w:t>
            </w:r>
            <w:r w:rsidR="00372CF7">
              <w:rPr>
                <w:rFonts w:ascii="Times New Roman" w:eastAsia="Times New Roman" w:hAnsi="Times New Roman"/>
                <w:sz w:val="28"/>
                <w:szCs w:val="28"/>
                <w:lang w:val="lv-LV" w:eastAsia="lv-LV"/>
              </w:rPr>
              <w:t xml:space="preserve">2016. gada 9. februāra sēdes </w:t>
            </w:r>
            <w:r w:rsidR="00372CF7">
              <w:rPr>
                <w:rFonts w:ascii="Times New Roman" w:hAnsi="Times New Roman"/>
                <w:sz w:val="28"/>
                <w:szCs w:val="28"/>
                <w:lang w:val="lv-LV"/>
              </w:rPr>
              <w:t xml:space="preserve">protokolu </w:t>
            </w:r>
            <w:bookmarkStart w:id="1" w:name="10"/>
            <w:r w:rsidR="00372CF7">
              <w:rPr>
                <w:rFonts w:ascii="Times New Roman" w:eastAsia="Times New Roman" w:hAnsi="Times New Roman"/>
                <w:sz w:val="28"/>
                <w:szCs w:val="28"/>
                <w:lang w:val="lv-LV" w:eastAsia="lv-LV"/>
              </w:rPr>
              <w:t>Nr.6 14.§</w:t>
            </w:r>
            <w:bookmarkEnd w:id="1"/>
            <w:r w:rsidR="00372CF7">
              <w:rPr>
                <w:rFonts w:ascii="Times New Roman" w:eastAsia="Times New Roman" w:hAnsi="Times New Roman"/>
                <w:sz w:val="28"/>
                <w:szCs w:val="28"/>
                <w:lang w:val="lv-LV" w:eastAsia="lv-LV"/>
              </w:rPr>
              <w:t xml:space="preserve"> minētā uzdevuma termiņš tika pagarināts līdz 2016. gada 31. martam</w:t>
            </w:r>
            <w:r w:rsidR="00220DC1">
              <w:rPr>
                <w:rFonts w:ascii="Times New Roman" w:eastAsia="Times New Roman" w:hAnsi="Times New Roman"/>
                <w:sz w:val="28"/>
                <w:szCs w:val="28"/>
                <w:lang w:val="lv-LV" w:eastAsia="lv-LV"/>
              </w:rPr>
              <w:t xml:space="preserve">. </w:t>
            </w:r>
            <w:r w:rsidR="002D6A69">
              <w:rPr>
                <w:rFonts w:ascii="Times New Roman" w:eastAsia="Times New Roman" w:hAnsi="Times New Roman"/>
                <w:sz w:val="28"/>
                <w:szCs w:val="28"/>
                <w:lang w:val="lv-LV" w:eastAsia="lv-LV"/>
              </w:rPr>
              <w:t>(</w:t>
            </w:r>
            <w:r w:rsidR="00C2329C">
              <w:rPr>
                <w:rFonts w:ascii="Times New Roman" w:eastAsia="Times New Roman" w:hAnsi="Times New Roman"/>
                <w:sz w:val="28"/>
                <w:szCs w:val="28"/>
                <w:lang w:val="lv-LV" w:eastAsia="lv-LV"/>
              </w:rPr>
              <w:t xml:space="preserve">2017.gada 30.marta </w:t>
            </w:r>
            <w:r w:rsidR="002D6A69">
              <w:rPr>
                <w:rFonts w:ascii="Times New Roman" w:eastAsia="Times New Roman" w:hAnsi="Times New Roman"/>
                <w:sz w:val="28"/>
                <w:szCs w:val="28"/>
                <w:lang w:val="lv-LV"/>
              </w:rPr>
              <w:t>Valsts kancelejas dot</w:t>
            </w:r>
            <w:r w:rsidR="00F43C03">
              <w:rPr>
                <w:rFonts w:ascii="Times New Roman" w:eastAsia="Times New Roman" w:hAnsi="Times New Roman"/>
                <w:sz w:val="28"/>
                <w:szCs w:val="28"/>
                <w:lang w:val="lv-LV"/>
              </w:rPr>
              <w:t>ais</w:t>
            </w:r>
            <w:r w:rsidR="002D6A69">
              <w:rPr>
                <w:rFonts w:ascii="Times New Roman" w:eastAsia="Times New Roman" w:hAnsi="Times New Roman"/>
                <w:sz w:val="28"/>
                <w:szCs w:val="28"/>
                <w:lang w:val="lv-LV"/>
              </w:rPr>
              <w:t xml:space="preserve"> uzdevums Nr.</w:t>
            </w:r>
            <w:r w:rsidR="00F84396" w:rsidRPr="00B24A6D">
              <w:rPr>
                <w:rFonts w:ascii="Times New Roman" w:eastAsia="Times New Roman" w:hAnsi="Times New Roman"/>
                <w:sz w:val="28"/>
                <w:szCs w:val="28"/>
                <w:lang w:val="lv-LV"/>
              </w:rPr>
              <w:t>2017-UZD-92</w:t>
            </w:r>
            <w:r w:rsidR="002D6A69" w:rsidRPr="00B24A6D">
              <w:rPr>
                <w:rFonts w:ascii="Times New Roman" w:eastAsia="Times New Roman" w:hAnsi="Times New Roman"/>
                <w:sz w:val="28"/>
                <w:szCs w:val="28"/>
                <w:lang w:val="lv-LV"/>
              </w:rPr>
              <w:t>8</w:t>
            </w:r>
            <w:r w:rsidR="00F43C03">
              <w:rPr>
                <w:rFonts w:ascii="Times New Roman" w:eastAsia="Times New Roman" w:hAnsi="Times New Roman"/>
                <w:sz w:val="28"/>
                <w:szCs w:val="28"/>
                <w:lang w:val="lv-LV"/>
              </w:rPr>
              <w:t xml:space="preserve">. </w:t>
            </w:r>
            <w:r w:rsidR="00C2329C">
              <w:rPr>
                <w:rFonts w:ascii="Times New Roman" w:eastAsia="Times New Roman" w:hAnsi="Times New Roman"/>
                <w:sz w:val="28"/>
                <w:szCs w:val="28"/>
                <w:lang w:val="lv-LV"/>
              </w:rPr>
              <w:t>2017.gada 21.marta n</w:t>
            </w:r>
            <w:r w:rsidR="00F43C03">
              <w:rPr>
                <w:rFonts w:ascii="Times New Roman" w:eastAsia="Times New Roman" w:hAnsi="Times New Roman"/>
                <w:sz w:val="28"/>
                <w:szCs w:val="28"/>
                <w:lang w:val="lv-LV"/>
              </w:rPr>
              <w:t>ormatīvā akta projekts Nr.2017-TA-607.  2017.gada 30.marta Ministru prezidenta rezolūcija Nr.18/TA-607</w:t>
            </w:r>
            <w:r w:rsidR="002D6A69">
              <w:rPr>
                <w:rFonts w:ascii="Times New Roman" w:eastAsia="Times New Roman" w:hAnsi="Times New Roman"/>
                <w:sz w:val="28"/>
                <w:szCs w:val="28"/>
                <w:lang w:val="lv-LV"/>
              </w:rPr>
              <w:t>).</w:t>
            </w:r>
          </w:p>
          <w:p w:rsidR="009B2670" w:rsidRDefault="008310CB" w:rsidP="00C64F5F">
            <w:pPr>
              <w:pStyle w:val="NoSpacing"/>
              <w:ind w:firstLine="528"/>
              <w:jc w:val="both"/>
              <w:rPr>
                <w:rFonts w:ascii="Times New Roman" w:hAnsi="Times New Roman"/>
                <w:sz w:val="28"/>
                <w:szCs w:val="28"/>
                <w:lang w:val="lv-LV"/>
              </w:rPr>
            </w:pPr>
            <w:r>
              <w:rPr>
                <w:rFonts w:ascii="Times New Roman" w:hAnsi="Times New Roman"/>
                <w:sz w:val="28"/>
                <w:szCs w:val="28"/>
                <w:lang w:val="lv-LV"/>
              </w:rPr>
              <w:t>Min</w:t>
            </w:r>
            <w:r w:rsidR="00AE4A9B">
              <w:rPr>
                <w:rFonts w:ascii="Times New Roman" w:hAnsi="Times New Roman"/>
                <w:sz w:val="28"/>
                <w:szCs w:val="28"/>
                <w:lang w:val="lv-LV"/>
              </w:rPr>
              <w:t>istrija</w:t>
            </w:r>
            <w:r w:rsidR="007544AC">
              <w:rPr>
                <w:rFonts w:ascii="Times New Roman" w:hAnsi="Times New Roman"/>
                <w:sz w:val="28"/>
                <w:szCs w:val="28"/>
                <w:lang w:val="lv-LV"/>
              </w:rPr>
              <w:t>, 2015.gadā uzsākot darbu pie iepriekš minētā uzdevuma izpildes,</w:t>
            </w:r>
            <w:r w:rsidR="009B2670" w:rsidRPr="009B2670">
              <w:rPr>
                <w:rFonts w:ascii="Times New Roman" w:hAnsi="Times New Roman"/>
                <w:sz w:val="28"/>
                <w:szCs w:val="28"/>
                <w:lang w:val="lv-LV"/>
              </w:rPr>
              <w:t xml:space="preserve"> pašvaldībām lūdza iesniegt informāciju par valsts budžeta līdzekļu izlietojumu izglītojamo ēdināšanai pamatizglītības iestādēs no 1.</w:t>
            </w:r>
            <w:r w:rsidR="004C0067">
              <w:rPr>
                <w:rFonts w:ascii="Times New Roman" w:hAnsi="Times New Roman"/>
                <w:sz w:val="28"/>
                <w:szCs w:val="28"/>
                <w:lang w:val="lv-LV"/>
              </w:rPr>
              <w:t xml:space="preserve">klases līdz </w:t>
            </w:r>
            <w:r w:rsidR="009B2670" w:rsidRPr="009B2670">
              <w:rPr>
                <w:rFonts w:ascii="Times New Roman" w:hAnsi="Times New Roman"/>
                <w:sz w:val="28"/>
                <w:szCs w:val="28"/>
                <w:lang w:val="lv-LV"/>
              </w:rPr>
              <w:t xml:space="preserve">3. klasei </w:t>
            </w:r>
            <w:r w:rsidR="007544AC">
              <w:rPr>
                <w:rFonts w:ascii="Times New Roman" w:hAnsi="Times New Roman"/>
                <w:sz w:val="28"/>
                <w:szCs w:val="28"/>
                <w:lang w:val="lv-LV"/>
              </w:rPr>
              <w:t>par situāciju uz</w:t>
            </w:r>
            <w:r w:rsidR="007544AC" w:rsidRPr="009B2670">
              <w:rPr>
                <w:rFonts w:ascii="Times New Roman" w:hAnsi="Times New Roman"/>
                <w:sz w:val="28"/>
                <w:szCs w:val="28"/>
                <w:lang w:val="lv-LV"/>
              </w:rPr>
              <w:t xml:space="preserve"> </w:t>
            </w:r>
            <w:r w:rsidR="009B2670" w:rsidRPr="009B2670">
              <w:rPr>
                <w:rFonts w:ascii="Times New Roman" w:hAnsi="Times New Roman"/>
                <w:sz w:val="28"/>
                <w:szCs w:val="28"/>
                <w:lang w:val="lv-LV"/>
              </w:rPr>
              <w:t xml:space="preserve">2015.gada 31.maiju. </w:t>
            </w:r>
            <w:r w:rsidR="00CA2610">
              <w:rPr>
                <w:rFonts w:ascii="Times New Roman" w:hAnsi="Times New Roman"/>
                <w:sz w:val="28"/>
                <w:szCs w:val="28"/>
                <w:lang w:val="lv-LV"/>
              </w:rPr>
              <w:t>A</w:t>
            </w:r>
            <w:r w:rsidR="00B27691">
              <w:rPr>
                <w:rFonts w:ascii="Times New Roman" w:hAnsi="Times New Roman"/>
                <w:sz w:val="28"/>
                <w:szCs w:val="28"/>
                <w:lang w:val="lv-LV"/>
              </w:rPr>
              <w:t>tbildes</w:t>
            </w:r>
            <w:r w:rsidR="00B27691" w:rsidRPr="009B2670">
              <w:rPr>
                <w:rFonts w:ascii="Times New Roman" w:hAnsi="Times New Roman"/>
                <w:sz w:val="28"/>
                <w:szCs w:val="28"/>
                <w:lang w:val="lv-LV"/>
              </w:rPr>
              <w:t xml:space="preserve"> </w:t>
            </w:r>
            <w:r w:rsidR="009B2670" w:rsidRPr="009B2670">
              <w:rPr>
                <w:rFonts w:ascii="Times New Roman" w:hAnsi="Times New Roman"/>
                <w:sz w:val="28"/>
                <w:szCs w:val="28"/>
                <w:lang w:val="lv-LV"/>
              </w:rPr>
              <w:t>tika saņemta</w:t>
            </w:r>
            <w:r w:rsidR="00431572">
              <w:rPr>
                <w:rFonts w:ascii="Times New Roman" w:hAnsi="Times New Roman"/>
                <w:sz w:val="28"/>
                <w:szCs w:val="28"/>
                <w:lang w:val="lv-LV"/>
              </w:rPr>
              <w:t>s</w:t>
            </w:r>
            <w:r w:rsidR="009B2670" w:rsidRPr="009B2670">
              <w:rPr>
                <w:rFonts w:ascii="Times New Roman" w:hAnsi="Times New Roman"/>
                <w:sz w:val="28"/>
                <w:szCs w:val="28"/>
                <w:lang w:val="lv-LV"/>
              </w:rPr>
              <w:t xml:space="preserve"> par 570 pašv</w:t>
            </w:r>
            <w:r w:rsidR="008D7502">
              <w:rPr>
                <w:rFonts w:ascii="Times New Roman" w:hAnsi="Times New Roman"/>
                <w:sz w:val="28"/>
                <w:szCs w:val="28"/>
                <w:lang w:val="lv-LV"/>
              </w:rPr>
              <w:t>aldību izglītības iestādēm</w:t>
            </w:r>
            <w:r w:rsidR="004C0067">
              <w:rPr>
                <w:rFonts w:ascii="Times New Roman" w:hAnsi="Times New Roman"/>
                <w:sz w:val="28"/>
                <w:szCs w:val="28"/>
                <w:lang w:val="lv-LV"/>
              </w:rPr>
              <w:t>,</w:t>
            </w:r>
            <w:r w:rsidR="009B2670" w:rsidRPr="009B2670">
              <w:rPr>
                <w:rFonts w:ascii="Times New Roman" w:hAnsi="Times New Roman"/>
                <w:sz w:val="28"/>
                <w:szCs w:val="28"/>
                <w:lang w:val="lv-LV"/>
              </w:rPr>
              <w:t xml:space="preserve"> filiālēm un privātajām izglītības iestādēm. </w:t>
            </w:r>
          </w:p>
          <w:p w:rsidR="009B2670" w:rsidRPr="009B2670" w:rsidRDefault="00B27691" w:rsidP="00303583">
            <w:pPr>
              <w:pStyle w:val="NoSpacing"/>
              <w:ind w:firstLine="528"/>
              <w:jc w:val="both"/>
              <w:rPr>
                <w:rFonts w:ascii="Times New Roman" w:hAnsi="Times New Roman"/>
                <w:sz w:val="28"/>
                <w:szCs w:val="28"/>
                <w:lang w:val="lv-LV"/>
              </w:rPr>
            </w:pPr>
            <w:r w:rsidRPr="00303583">
              <w:rPr>
                <w:rFonts w:ascii="Times New Roman" w:hAnsi="Times New Roman"/>
                <w:sz w:val="28"/>
                <w:szCs w:val="28"/>
                <w:lang w:val="lv-LV"/>
              </w:rPr>
              <w:t xml:space="preserve">Apkopojot un </w:t>
            </w:r>
            <w:r w:rsidR="009F7DCC">
              <w:rPr>
                <w:rFonts w:ascii="Times New Roman" w:hAnsi="Times New Roman"/>
                <w:sz w:val="28"/>
                <w:szCs w:val="28"/>
                <w:lang w:val="lv-LV"/>
              </w:rPr>
              <w:t>iz</w:t>
            </w:r>
            <w:r w:rsidRPr="00303583">
              <w:rPr>
                <w:rFonts w:ascii="Times New Roman" w:hAnsi="Times New Roman"/>
                <w:sz w:val="28"/>
                <w:szCs w:val="28"/>
                <w:lang w:val="lv-LV"/>
              </w:rPr>
              <w:t>analizējot informāciju</w:t>
            </w:r>
            <w:r w:rsidR="00F952CD">
              <w:rPr>
                <w:rFonts w:ascii="Times New Roman" w:hAnsi="Times New Roman"/>
                <w:sz w:val="28"/>
                <w:szCs w:val="28"/>
                <w:lang w:val="lv-LV"/>
              </w:rPr>
              <w:t>,</w:t>
            </w:r>
            <w:r w:rsidRPr="00303583">
              <w:rPr>
                <w:rFonts w:ascii="Times New Roman" w:hAnsi="Times New Roman"/>
                <w:sz w:val="28"/>
                <w:szCs w:val="28"/>
                <w:lang w:val="lv-LV"/>
              </w:rPr>
              <w:t xml:space="preserve"> tika konstatēts</w:t>
            </w:r>
            <w:r>
              <w:rPr>
                <w:rFonts w:ascii="Times New Roman" w:hAnsi="Times New Roman"/>
                <w:sz w:val="28"/>
                <w:szCs w:val="28"/>
                <w:lang w:val="lv-LV"/>
              </w:rPr>
              <w:t xml:space="preserve"> un secināts</w:t>
            </w:r>
            <w:r w:rsidR="009B2670" w:rsidRPr="009B2670">
              <w:rPr>
                <w:rFonts w:ascii="Times New Roman" w:hAnsi="Times New Roman"/>
                <w:sz w:val="28"/>
                <w:szCs w:val="28"/>
                <w:lang w:val="lv-LV"/>
              </w:rPr>
              <w:t>:</w:t>
            </w:r>
          </w:p>
          <w:p w:rsidR="006A56B1" w:rsidRPr="00303583" w:rsidRDefault="00BF0FF9" w:rsidP="00303583">
            <w:pPr>
              <w:pStyle w:val="ListParagraph"/>
              <w:numPr>
                <w:ilvl w:val="0"/>
                <w:numId w:val="16"/>
              </w:numPr>
              <w:spacing w:after="0" w:line="240" w:lineRule="auto"/>
              <w:jc w:val="both"/>
              <w:rPr>
                <w:rFonts w:ascii="Times New Roman" w:hAnsi="Times New Roman"/>
                <w:sz w:val="28"/>
                <w:szCs w:val="28"/>
              </w:rPr>
            </w:pPr>
            <w:r w:rsidRPr="00303583">
              <w:rPr>
                <w:rFonts w:ascii="Times New Roman" w:hAnsi="Times New Roman"/>
                <w:sz w:val="28"/>
                <w:szCs w:val="28"/>
              </w:rPr>
              <w:t xml:space="preserve">kopš </w:t>
            </w:r>
            <w:r w:rsidR="009B2670" w:rsidRPr="00303583">
              <w:rPr>
                <w:rFonts w:ascii="Times New Roman" w:hAnsi="Times New Roman"/>
                <w:sz w:val="28"/>
                <w:szCs w:val="28"/>
              </w:rPr>
              <w:t>programmas ieviešanas 2008.gad</w:t>
            </w:r>
            <w:r w:rsidR="00F952CD">
              <w:rPr>
                <w:rFonts w:ascii="Times New Roman" w:hAnsi="Times New Roman"/>
                <w:sz w:val="28"/>
                <w:szCs w:val="28"/>
              </w:rPr>
              <w:t>ā</w:t>
            </w:r>
            <w:r w:rsidR="009B2670" w:rsidRPr="00303583">
              <w:rPr>
                <w:rFonts w:ascii="Times New Roman" w:hAnsi="Times New Roman"/>
                <w:sz w:val="28"/>
                <w:szCs w:val="28"/>
              </w:rPr>
              <w:t xml:space="preserve"> valsts budžeta līdzekļi vienam izglī</w:t>
            </w:r>
            <w:r w:rsidR="004C0067">
              <w:rPr>
                <w:rFonts w:ascii="Times New Roman" w:hAnsi="Times New Roman"/>
                <w:sz w:val="28"/>
                <w:szCs w:val="28"/>
              </w:rPr>
              <w:t xml:space="preserve">tojamam dienā ir </w:t>
            </w:r>
            <w:r w:rsidR="00F952CD">
              <w:rPr>
                <w:rFonts w:ascii="Times New Roman" w:hAnsi="Times New Roman"/>
                <w:sz w:val="28"/>
                <w:szCs w:val="28"/>
              </w:rPr>
              <w:t xml:space="preserve">palielinājušies </w:t>
            </w:r>
            <w:r w:rsidR="004C0067">
              <w:rPr>
                <w:rFonts w:ascii="Times New Roman" w:hAnsi="Times New Roman"/>
                <w:sz w:val="28"/>
                <w:szCs w:val="28"/>
              </w:rPr>
              <w:t>no 1,</w:t>
            </w:r>
            <w:r w:rsidR="009B2670" w:rsidRPr="00303583">
              <w:rPr>
                <w:rFonts w:ascii="Times New Roman" w:hAnsi="Times New Roman"/>
                <w:sz w:val="28"/>
                <w:szCs w:val="28"/>
              </w:rPr>
              <w:t xml:space="preserve">14 </w:t>
            </w:r>
            <w:proofErr w:type="spellStart"/>
            <w:r w:rsidR="009B2670" w:rsidRPr="00303583">
              <w:rPr>
                <w:rFonts w:ascii="Times New Roman" w:hAnsi="Times New Roman"/>
                <w:i/>
                <w:sz w:val="28"/>
                <w:szCs w:val="28"/>
              </w:rPr>
              <w:t>euro</w:t>
            </w:r>
            <w:proofErr w:type="spellEnd"/>
            <w:r w:rsidR="004C0067">
              <w:rPr>
                <w:rFonts w:ascii="Times New Roman" w:hAnsi="Times New Roman"/>
                <w:sz w:val="28"/>
                <w:szCs w:val="28"/>
              </w:rPr>
              <w:t xml:space="preserve"> uz 1,</w:t>
            </w:r>
            <w:r w:rsidR="009B2670" w:rsidRPr="00303583">
              <w:rPr>
                <w:rFonts w:ascii="Times New Roman" w:hAnsi="Times New Roman"/>
                <w:sz w:val="28"/>
                <w:szCs w:val="28"/>
              </w:rPr>
              <w:t xml:space="preserve">42 </w:t>
            </w:r>
            <w:proofErr w:type="spellStart"/>
            <w:r w:rsidR="009B2670" w:rsidRPr="00303583">
              <w:rPr>
                <w:rFonts w:ascii="Times New Roman" w:hAnsi="Times New Roman"/>
                <w:i/>
                <w:sz w:val="28"/>
                <w:szCs w:val="28"/>
              </w:rPr>
              <w:t>euro</w:t>
            </w:r>
            <w:proofErr w:type="spellEnd"/>
            <w:r w:rsidR="009B2670" w:rsidRPr="00303583">
              <w:rPr>
                <w:rFonts w:ascii="Times New Roman" w:hAnsi="Times New Roman"/>
                <w:sz w:val="28"/>
                <w:szCs w:val="28"/>
              </w:rPr>
              <w:t>;</w:t>
            </w:r>
          </w:p>
          <w:p w:rsidR="006A56B1" w:rsidRPr="00303583" w:rsidRDefault="009B2670" w:rsidP="00303583">
            <w:pPr>
              <w:pStyle w:val="ListParagraph"/>
              <w:numPr>
                <w:ilvl w:val="0"/>
                <w:numId w:val="16"/>
              </w:numPr>
              <w:spacing w:after="0" w:line="240" w:lineRule="auto"/>
              <w:jc w:val="both"/>
              <w:rPr>
                <w:rFonts w:ascii="Times New Roman" w:hAnsi="Times New Roman"/>
                <w:sz w:val="28"/>
                <w:szCs w:val="28"/>
              </w:rPr>
            </w:pPr>
            <w:r w:rsidRPr="00303583">
              <w:rPr>
                <w:rFonts w:ascii="Times New Roman" w:hAnsi="Times New Roman"/>
                <w:sz w:val="28"/>
                <w:szCs w:val="28"/>
              </w:rPr>
              <w:t>50</w:t>
            </w:r>
            <w:r w:rsidR="0097626E" w:rsidRPr="00303583">
              <w:rPr>
                <w:rFonts w:ascii="Times New Roman" w:hAnsi="Times New Roman"/>
                <w:sz w:val="28"/>
                <w:szCs w:val="28"/>
              </w:rPr>
              <w:t>,2</w:t>
            </w:r>
            <w:r w:rsidRPr="00303583">
              <w:rPr>
                <w:rFonts w:ascii="Times New Roman" w:hAnsi="Times New Roman"/>
                <w:sz w:val="28"/>
                <w:szCs w:val="28"/>
              </w:rPr>
              <w:t>% pašvaldībām un juridisko personu dibinātajām izglītības iestādēm piešķirtais</w:t>
            </w:r>
            <w:r w:rsidR="00D51281" w:rsidRPr="00303583">
              <w:rPr>
                <w:rFonts w:ascii="Times New Roman" w:hAnsi="Times New Roman"/>
                <w:sz w:val="28"/>
                <w:szCs w:val="28"/>
              </w:rPr>
              <w:t xml:space="preserve"> valsts</w:t>
            </w:r>
            <w:r w:rsidRPr="00303583">
              <w:rPr>
                <w:rFonts w:ascii="Times New Roman" w:hAnsi="Times New Roman"/>
                <w:sz w:val="28"/>
                <w:szCs w:val="28"/>
              </w:rPr>
              <w:t xml:space="preserve"> dotācijas apjoms ir pietiekošs ēdināšanas pakalpojuma nodrošināšanai;</w:t>
            </w:r>
          </w:p>
          <w:p w:rsidR="006A56B1" w:rsidRPr="00303583" w:rsidRDefault="00BF0FF9" w:rsidP="00303583">
            <w:pPr>
              <w:pStyle w:val="ListParagraph"/>
              <w:numPr>
                <w:ilvl w:val="0"/>
                <w:numId w:val="16"/>
              </w:numPr>
              <w:spacing w:after="0" w:line="240" w:lineRule="auto"/>
              <w:jc w:val="both"/>
              <w:rPr>
                <w:rFonts w:ascii="Times New Roman" w:hAnsi="Times New Roman"/>
                <w:sz w:val="28"/>
                <w:szCs w:val="28"/>
              </w:rPr>
            </w:pPr>
            <w:r w:rsidRPr="00303583">
              <w:rPr>
                <w:rFonts w:ascii="Times New Roman" w:hAnsi="Times New Roman"/>
                <w:sz w:val="28"/>
                <w:szCs w:val="28"/>
              </w:rPr>
              <w:t xml:space="preserve">no </w:t>
            </w:r>
            <w:r w:rsidR="009B2670" w:rsidRPr="00303583">
              <w:rPr>
                <w:rFonts w:ascii="Times New Roman" w:hAnsi="Times New Roman"/>
                <w:sz w:val="28"/>
                <w:szCs w:val="28"/>
              </w:rPr>
              <w:t>iesniegtajiem izglītīb</w:t>
            </w:r>
            <w:r w:rsidR="00076749">
              <w:rPr>
                <w:rFonts w:ascii="Times New Roman" w:hAnsi="Times New Roman"/>
                <w:sz w:val="28"/>
                <w:szCs w:val="28"/>
              </w:rPr>
              <w:t xml:space="preserve">as iestāžu un to filiāļu datiem </w:t>
            </w:r>
            <w:r w:rsidR="009B2670" w:rsidRPr="00303583">
              <w:rPr>
                <w:rFonts w:ascii="Times New Roman" w:hAnsi="Times New Roman"/>
                <w:sz w:val="28"/>
                <w:szCs w:val="28"/>
              </w:rPr>
              <w:t>secinā</w:t>
            </w:r>
            <w:r w:rsidR="00076749">
              <w:rPr>
                <w:rFonts w:ascii="Times New Roman" w:hAnsi="Times New Roman"/>
                <w:sz w:val="28"/>
                <w:szCs w:val="28"/>
              </w:rPr>
              <w:t>ms</w:t>
            </w:r>
            <w:r w:rsidR="009B2670" w:rsidRPr="00303583">
              <w:rPr>
                <w:rFonts w:ascii="Times New Roman" w:hAnsi="Times New Roman"/>
                <w:sz w:val="28"/>
                <w:szCs w:val="28"/>
              </w:rPr>
              <w:t>, ka vidēji no visiem viena izglītojamā ēdināšanas izdevumiem pārtikas produktu iegādei tiek izlietoti 54%, atalgojumam</w:t>
            </w:r>
            <w:r w:rsidR="00F952CD">
              <w:rPr>
                <w:rFonts w:ascii="Times New Roman" w:hAnsi="Times New Roman"/>
                <w:sz w:val="28"/>
                <w:szCs w:val="28"/>
              </w:rPr>
              <w:t xml:space="preserve"> </w:t>
            </w:r>
            <w:r w:rsidR="001D403C">
              <w:rPr>
                <w:rFonts w:ascii="Times New Roman" w:hAnsi="Times New Roman"/>
                <w:sz w:val="28"/>
                <w:szCs w:val="28"/>
              </w:rPr>
              <w:t>–</w:t>
            </w:r>
            <w:r w:rsidR="009B2670" w:rsidRPr="00303583">
              <w:rPr>
                <w:rFonts w:ascii="Times New Roman" w:hAnsi="Times New Roman"/>
                <w:sz w:val="28"/>
                <w:szCs w:val="28"/>
              </w:rPr>
              <w:t xml:space="preserve"> 28%, komunālajiem pakalpojumiem</w:t>
            </w:r>
            <w:r w:rsidR="00F952CD">
              <w:rPr>
                <w:rFonts w:ascii="Times New Roman" w:hAnsi="Times New Roman"/>
                <w:sz w:val="28"/>
                <w:szCs w:val="28"/>
              </w:rPr>
              <w:t xml:space="preserve"> </w:t>
            </w:r>
            <w:r w:rsidR="001D403C">
              <w:rPr>
                <w:rFonts w:ascii="Times New Roman" w:hAnsi="Times New Roman"/>
                <w:sz w:val="28"/>
                <w:szCs w:val="28"/>
              </w:rPr>
              <w:t>–</w:t>
            </w:r>
            <w:r w:rsidR="009B2670" w:rsidRPr="00303583">
              <w:rPr>
                <w:rFonts w:ascii="Times New Roman" w:hAnsi="Times New Roman"/>
                <w:sz w:val="28"/>
                <w:szCs w:val="28"/>
              </w:rPr>
              <w:t xml:space="preserve"> 9%, materiāltehniskajam </w:t>
            </w:r>
            <w:r w:rsidR="009B2670" w:rsidRPr="00303583">
              <w:rPr>
                <w:rFonts w:ascii="Times New Roman" w:hAnsi="Times New Roman"/>
                <w:sz w:val="28"/>
                <w:szCs w:val="28"/>
              </w:rPr>
              <w:lastRenderedPageBreak/>
              <w:t>nodrošinājumam</w:t>
            </w:r>
            <w:r w:rsidR="00F952CD">
              <w:rPr>
                <w:rFonts w:ascii="Times New Roman" w:hAnsi="Times New Roman"/>
                <w:sz w:val="28"/>
                <w:szCs w:val="28"/>
              </w:rPr>
              <w:t xml:space="preserve"> </w:t>
            </w:r>
            <w:r w:rsidR="001D403C">
              <w:rPr>
                <w:rFonts w:ascii="Times New Roman" w:hAnsi="Times New Roman"/>
                <w:sz w:val="28"/>
                <w:szCs w:val="28"/>
              </w:rPr>
              <w:t>–</w:t>
            </w:r>
            <w:r w:rsidR="009B2670" w:rsidRPr="00303583">
              <w:rPr>
                <w:rFonts w:ascii="Times New Roman" w:hAnsi="Times New Roman"/>
                <w:sz w:val="28"/>
                <w:szCs w:val="28"/>
              </w:rPr>
              <w:t xml:space="preserve"> 4%, bet pārējiem izdevumiem</w:t>
            </w:r>
            <w:r w:rsidR="00F952CD">
              <w:rPr>
                <w:rFonts w:ascii="Times New Roman" w:hAnsi="Times New Roman"/>
                <w:sz w:val="28"/>
                <w:szCs w:val="28"/>
              </w:rPr>
              <w:t xml:space="preserve"> </w:t>
            </w:r>
            <w:r w:rsidR="001D403C">
              <w:rPr>
                <w:rFonts w:ascii="Times New Roman" w:hAnsi="Times New Roman"/>
                <w:sz w:val="28"/>
                <w:szCs w:val="28"/>
              </w:rPr>
              <w:t>–</w:t>
            </w:r>
            <w:r w:rsidR="009B2670" w:rsidRPr="00303583">
              <w:rPr>
                <w:rFonts w:ascii="Times New Roman" w:hAnsi="Times New Roman"/>
                <w:sz w:val="28"/>
                <w:szCs w:val="28"/>
              </w:rPr>
              <w:t xml:space="preserve"> 5%;</w:t>
            </w:r>
          </w:p>
          <w:p w:rsidR="00D51281" w:rsidRDefault="00873926" w:rsidP="00FB6099">
            <w:pPr>
              <w:pStyle w:val="ListParagraph"/>
              <w:numPr>
                <w:ilvl w:val="0"/>
                <w:numId w:val="16"/>
              </w:numPr>
              <w:spacing w:after="0" w:line="240" w:lineRule="auto"/>
              <w:jc w:val="both"/>
            </w:pPr>
            <w:r w:rsidRPr="00303583">
              <w:rPr>
                <w:rFonts w:ascii="Times New Roman" w:hAnsi="Times New Roman"/>
                <w:sz w:val="28"/>
                <w:szCs w:val="28"/>
              </w:rPr>
              <w:t>pastāv risks,</w:t>
            </w:r>
            <w:r>
              <w:rPr>
                <w:rFonts w:ascii="Times New Roman" w:hAnsi="Times New Roman"/>
                <w:sz w:val="28"/>
                <w:szCs w:val="28"/>
              </w:rPr>
              <w:t xml:space="preserve"> ka</w:t>
            </w:r>
            <w:r w:rsidRPr="00303583">
              <w:rPr>
                <w:rFonts w:ascii="Times New Roman" w:hAnsi="Times New Roman"/>
                <w:sz w:val="28"/>
                <w:szCs w:val="28"/>
              </w:rPr>
              <w:t xml:space="preserve"> </w:t>
            </w:r>
            <w:r>
              <w:rPr>
                <w:rFonts w:ascii="Times New Roman" w:hAnsi="Times New Roman"/>
                <w:sz w:val="28"/>
                <w:szCs w:val="28"/>
              </w:rPr>
              <w:t>kontrolējošām institūcijām</w:t>
            </w:r>
            <w:r w:rsidR="00FD37E9">
              <w:rPr>
                <w:rFonts w:ascii="Times New Roman" w:hAnsi="Times New Roman"/>
                <w:sz w:val="28"/>
                <w:szCs w:val="28"/>
              </w:rPr>
              <w:t>,</w:t>
            </w:r>
            <w:r w:rsidRPr="00303583">
              <w:rPr>
                <w:rFonts w:ascii="Times New Roman" w:hAnsi="Times New Roman"/>
                <w:sz w:val="28"/>
                <w:szCs w:val="28"/>
              </w:rPr>
              <w:t xml:space="preserve"> </w:t>
            </w:r>
            <w:r>
              <w:rPr>
                <w:rFonts w:ascii="Times New Roman" w:hAnsi="Times New Roman"/>
                <w:sz w:val="28"/>
                <w:szCs w:val="28"/>
              </w:rPr>
              <w:t>veicot</w:t>
            </w:r>
            <w:r w:rsidRPr="00303583">
              <w:rPr>
                <w:rFonts w:ascii="Times New Roman" w:hAnsi="Times New Roman"/>
                <w:sz w:val="28"/>
                <w:szCs w:val="28"/>
              </w:rPr>
              <w:t xml:space="preserve"> kontroli par </w:t>
            </w:r>
            <w:r>
              <w:rPr>
                <w:rFonts w:ascii="Times New Roman" w:hAnsi="Times New Roman"/>
                <w:sz w:val="28"/>
                <w:szCs w:val="28"/>
              </w:rPr>
              <w:t>normu, kura</w:t>
            </w:r>
            <w:r w:rsidRPr="00303583">
              <w:rPr>
                <w:rFonts w:ascii="Times New Roman" w:hAnsi="Times New Roman"/>
                <w:sz w:val="28"/>
                <w:szCs w:val="28"/>
              </w:rPr>
              <w:t xml:space="preserve"> noteikt</w:t>
            </w:r>
            <w:r>
              <w:rPr>
                <w:rFonts w:ascii="Times New Roman" w:hAnsi="Times New Roman"/>
                <w:sz w:val="28"/>
                <w:szCs w:val="28"/>
              </w:rPr>
              <w:t>u</w:t>
            </w:r>
            <w:r w:rsidRPr="00303583">
              <w:rPr>
                <w:rFonts w:ascii="Times New Roman" w:hAnsi="Times New Roman"/>
                <w:sz w:val="28"/>
                <w:szCs w:val="28"/>
              </w:rPr>
              <w:t xml:space="preserve"> %</w:t>
            </w:r>
            <w:r>
              <w:rPr>
                <w:rFonts w:ascii="Times New Roman" w:hAnsi="Times New Roman"/>
                <w:sz w:val="28"/>
                <w:szCs w:val="28"/>
              </w:rPr>
              <w:t>,</w:t>
            </w:r>
            <w:r w:rsidRPr="00303583">
              <w:rPr>
                <w:rFonts w:ascii="Times New Roman" w:hAnsi="Times New Roman"/>
                <w:sz w:val="28"/>
                <w:szCs w:val="28"/>
              </w:rPr>
              <w:t xml:space="preserve"> cik no valsts piešķirtā finansējuma tiek novi</w:t>
            </w:r>
            <w:r>
              <w:rPr>
                <w:rFonts w:ascii="Times New Roman" w:hAnsi="Times New Roman"/>
                <w:sz w:val="28"/>
                <w:szCs w:val="28"/>
              </w:rPr>
              <w:t xml:space="preserve">rzīti pārtikas produktu iegādei, </w:t>
            </w:r>
            <w:r w:rsidRPr="00303583">
              <w:rPr>
                <w:rFonts w:ascii="Times New Roman" w:hAnsi="Times New Roman"/>
                <w:sz w:val="28"/>
                <w:szCs w:val="28"/>
              </w:rPr>
              <w:t>nebūtu iespējams</w:t>
            </w:r>
            <w:r w:rsidR="00FB6099">
              <w:rPr>
                <w:rFonts w:ascii="Times New Roman" w:hAnsi="Times New Roman"/>
                <w:sz w:val="28"/>
                <w:szCs w:val="28"/>
              </w:rPr>
              <w:t xml:space="preserve"> to</w:t>
            </w:r>
            <w:r w:rsidRPr="00303583">
              <w:rPr>
                <w:rFonts w:ascii="Times New Roman" w:hAnsi="Times New Roman"/>
                <w:sz w:val="28"/>
                <w:szCs w:val="28"/>
              </w:rPr>
              <w:t xml:space="preserve"> izdarīt, jo </w:t>
            </w:r>
            <w:r w:rsidR="00FB6099" w:rsidRPr="00303583">
              <w:rPr>
                <w:rFonts w:ascii="Times New Roman" w:hAnsi="Times New Roman"/>
                <w:sz w:val="28"/>
                <w:szCs w:val="28"/>
              </w:rPr>
              <w:t>nav bijis</w:t>
            </w:r>
            <w:r w:rsidRPr="00303583">
              <w:rPr>
                <w:rFonts w:ascii="Times New Roman" w:hAnsi="Times New Roman"/>
                <w:sz w:val="28"/>
                <w:szCs w:val="28"/>
              </w:rPr>
              <w:t xml:space="preserve"> iespējams iegūt informāciju no ēdināšanas pakalpojuma snied</w:t>
            </w:r>
            <w:r w:rsidR="00FD37E9">
              <w:rPr>
                <w:rFonts w:ascii="Times New Roman" w:hAnsi="Times New Roman"/>
                <w:sz w:val="28"/>
                <w:szCs w:val="28"/>
              </w:rPr>
              <w:t>zēja</w:t>
            </w:r>
            <w:r w:rsidRPr="00303583">
              <w:rPr>
                <w:rFonts w:ascii="Times New Roman" w:hAnsi="Times New Roman"/>
                <w:sz w:val="28"/>
                <w:szCs w:val="28"/>
              </w:rPr>
              <w:t xml:space="preserve"> par izmaksu kalkulāciju.</w:t>
            </w:r>
            <w:r w:rsidR="00FB6099">
              <w:rPr>
                <w:rFonts w:ascii="Times New Roman" w:hAnsi="Times New Roman"/>
                <w:sz w:val="28"/>
                <w:szCs w:val="28"/>
              </w:rPr>
              <w:t xml:space="preserve"> </w:t>
            </w:r>
            <w:r w:rsidR="009B2670" w:rsidRPr="00FB6099">
              <w:rPr>
                <w:rFonts w:ascii="Times New Roman" w:hAnsi="Times New Roman"/>
                <w:sz w:val="28"/>
                <w:szCs w:val="28"/>
              </w:rPr>
              <w:t>Saskaņā ar Informācijas atklātības likuma 5.panta otrās daļas 3.punktu par ierobežotas pieejamības informāciju uzskatāma informācija, kas ir komercnoslēpums, izņemot gadījumus, kad ir noslēgts iepirkumu līgums saskaņā ar Publisko iepirkumu likumu vai cita veida līgums par rīcību ar valsts vai pašvaldību finanšu līdzekļiem un mantu. Pamatojoties uz Komerclikuma 19.pantu</w:t>
            </w:r>
            <w:r w:rsidR="00BF0FF9" w:rsidRPr="00FB6099">
              <w:rPr>
                <w:rFonts w:ascii="Times New Roman" w:hAnsi="Times New Roman"/>
                <w:sz w:val="28"/>
                <w:szCs w:val="28"/>
              </w:rPr>
              <w:t>,</w:t>
            </w:r>
            <w:r w:rsidR="009B2670" w:rsidRPr="00FB6099">
              <w:rPr>
                <w:rFonts w:ascii="Times New Roman" w:hAnsi="Times New Roman"/>
                <w:sz w:val="28"/>
                <w:szCs w:val="28"/>
              </w:rPr>
              <w:t xml:space="preserve"> komersants var noteikt, kāda informācija (ziņas vai ziņu kopums jebkurā tehniski iespējamā fiksēšanas, uzglabāšanas vai nodošanas veidā) atzīstama par komercnoslēpumu.</w:t>
            </w:r>
          </w:p>
          <w:p w:rsidR="00BA1BC4" w:rsidRPr="00E35608" w:rsidRDefault="00BA1BC4" w:rsidP="00042678">
            <w:pPr>
              <w:spacing w:after="0" w:line="240" w:lineRule="auto"/>
              <w:ind w:firstLine="720"/>
              <w:jc w:val="both"/>
              <w:rPr>
                <w:rFonts w:ascii="Times New Roman" w:hAnsi="Times New Roman"/>
                <w:sz w:val="28"/>
                <w:szCs w:val="28"/>
                <w:lang w:val="lv-LV"/>
              </w:rPr>
            </w:pPr>
            <w:r w:rsidRPr="00303583">
              <w:rPr>
                <w:rFonts w:ascii="Times New Roman" w:hAnsi="Times New Roman"/>
                <w:sz w:val="28"/>
                <w:szCs w:val="28"/>
                <w:lang w:val="lv-LV"/>
              </w:rPr>
              <w:t>Katrai pašvaldībai iespējas un nepieciešamība nodrošināt ēdināšanas pakalpojumu izglītības iestādēs ir dažādas. Līdz ar to pakalpojumu kategorijas, kas tiek iekļautas ēdināšanas pakalpojuma nodrošināšanai no valsts vai no pašvaldību finansējuma ir atšķirīg</w:t>
            </w:r>
            <w:r w:rsidR="00076749">
              <w:rPr>
                <w:rFonts w:ascii="Times New Roman" w:hAnsi="Times New Roman"/>
                <w:sz w:val="28"/>
                <w:szCs w:val="28"/>
                <w:lang w:val="lv-LV"/>
              </w:rPr>
              <w:t>a</w:t>
            </w:r>
            <w:r w:rsidRPr="00303583">
              <w:rPr>
                <w:rFonts w:ascii="Times New Roman" w:hAnsi="Times New Roman"/>
                <w:sz w:val="28"/>
                <w:szCs w:val="28"/>
                <w:lang w:val="lv-LV"/>
              </w:rPr>
              <w:t>s. P</w:t>
            </w:r>
            <w:r w:rsidR="00364EEE" w:rsidRPr="00364EEE">
              <w:rPr>
                <w:rFonts w:ascii="Times New Roman" w:hAnsi="Times New Roman"/>
                <w:sz w:val="28"/>
                <w:szCs w:val="28"/>
                <w:lang w:val="lv-LV"/>
              </w:rPr>
              <w:t>akalpojuma izmaksu struktūru</w:t>
            </w:r>
            <w:r w:rsidRPr="00303583">
              <w:rPr>
                <w:rFonts w:ascii="Times New Roman" w:hAnsi="Times New Roman"/>
                <w:sz w:val="28"/>
                <w:szCs w:val="28"/>
                <w:lang w:val="lv-LV"/>
              </w:rPr>
              <w:t xml:space="preserve"> ietekmē gan konk</w:t>
            </w:r>
            <w:r w:rsidR="00364EEE" w:rsidRPr="00364EEE">
              <w:rPr>
                <w:rFonts w:ascii="Times New Roman" w:hAnsi="Times New Roman"/>
                <w:sz w:val="28"/>
                <w:szCs w:val="28"/>
                <w:lang w:val="lv-LV"/>
              </w:rPr>
              <w:t>rētās pašvaldības teritorij</w:t>
            </w:r>
            <w:r w:rsidR="00364EEE">
              <w:rPr>
                <w:rFonts w:ascii="Times New Roman" w:hAnsi="Times New Roman"/>
                <w:sz w:val="28"/>
                <w:szCs w:val="28"/>
                <w:lang w:val="lv-LV"/>
              </w:rPr>
              <w:t>ā esošo</w:t>
            </w:r>
            <w:r w:rsidRPr="00303583">
              <w:rPr>
                <w:rFonts w:ascii="Times New Roman" w:hAnsi="Times New Roman"/>
                <w:sz w:val="28"/>
                <w:szCs w:val="28"/>
                <w:lang w:val="lv-LV"/>
              </w:rPr>
              <w:t xml:space="preserve"> izglītības iestāžu </w:t>
            </w:r>
            <w:r w:rsidR="00364EEE">
              <w:rPr>
                <w:rFonts w:ascii="Times New Roman" w:hAnsi="Times New Roman"/>
                <w:sz w:val="28"/>
                <w:szCs w:val="28"/>
                <w:lang w:val="lv-LV"/>
              </w:rPr>
              <w:t xml:space="preserve">un </w:t>
            </w:r>
            <w:r w:rsidR="00364EEE" w:rsidRPr="00364EEE">
              <w:rPr>
                <w:rFonts w:ascii="Times New Roman" w:hAnsi="Times New Roman"/>
                <w:sz w:val="28"/>
                <w:szCs w:val="28"/>
                <w:lang w:val="lv-LV"/>
              </w:rPr>
              <w:t xml:space="preserve">izglītojamo skaits, gan </w:t>
            </w:r>
            <w:r w:rsidRPr="00303583">
              <w:rPr>
                <w:rFonts w:ascii="Times New Roman" w:hAnsi="Times New Roman"/>
                <w:sz w:val="28"/>
                <w:szCs w:val="28"/>
                <w:lang w:val="lv-LV"/>
              </w:rPr>
              <w:t>ģeogrāfiskais novietojums.</w:t>
            </w:r>
            <w:r w:rsidR="00A1632D">
              <w:rPr>
                <w:rFonts w:ascii="Times New Roman" w:hAnsi="Times New Roman"/>
                <w:sz w:val="28"/>
                <w:szCs w:val="28"/>
                <w:lang w:val="lv-LV"/>
              </w:rPr>
              <w:t xml:space="preserve"> </w:t>
            </w:r>
            <w:r w:rsidR="00577995" w:rsidRPr="00042678">
              <w:rPr>
                <w:rFonts w:ascii="Times New Roman" w:hAnsi="Times New Roman"/>
                <w:sz w:val="28"/>
                <w:szCs w:val="28"/>
                <w:lang w:val="lv-LV"/>
              </w:rPr>
              <w:t>Tomēr tie nav faktori, kuri traucētu pašvaldībām nodrošināt vienlīdzīgus apstākļus un kvalitatīvu ēdināšanas pakalpojumu visiem izglītojamajiem.</w:t>
            </w:r>
          </w:p>
          <w:p w:rsidR="00A1632D" w:rsidRDefault="0009382D" w:rsidP="00A1632D">
            <w:pPr>
              <w:pStyle w:val="NoSpacing"/>
              <w:ind w:firstLine="528"/>
              <w:jc w:val="both"/>
              <w:rPr>
                <w:rFonts w:ascii="Times New Roman" w:hAnsi="Times New Roman"/>
                <w:iCs/>
                <w:sz w:val="28"/>
                <w:szCs w:val="28"/>
                <w:lang w:val="lv-LV"/>
              </w:rPr>
            </w:pPr>
            <w:r>
              <w:rPr>
                <w:rFonts w:ascii="Times New Roman" w:hAnsi="Times New Roman"/>
                <w:iCs/>
                <w:sz w:val="28"/>
                <w:szCs w:val="28"/>
                <w:lang w:val="lv-LV"/>
              </w:rPr>
              <w:t>B</w:t>
            </w:r>
            <w:r w:rsidR="00A1632D">
              <w:rPr>
                <w:rFonts w:ascii="Times New Roman" w:hAnsi="Times New Roman"/>
                <w:iCs/>
                <w:sz w:val="28"/>
                <w:szCs w:val="28"/>
                <w:lang w:val="lv-LV"/>
              </w:rPr>
              <w:t xml:space="preserve">rīvpusdienas izglītojamajiem tiek nodrošinātas gan no valsts budžeta 1,42 </w:t>
            </w:r>
            <w:proofErr w:type="spellStart"/>
            <w:r w:rsidR="00A1632D" w:rsidRPr="0059312A">
              <w:rPr>
                <w:rFonts w:ascii="Times New Roman" w:hAnsi="Times New Roman"/>
                <w:i/>
                <w:iCs/>
                <w:sz w:val="28"/>
                <w:szCs w:val="28"/>
                <w:lang w:val="lv-LV"/>
              </w:rPr>
              <w:t>euro</w:t>
            </w:r>
            <w:proofErr w:type="spellEnd"/>
            <w:r w:rsidR="00A1632D">
              <w:rPr>
                <w:rFonts w:ascii="Times New Roman" w:hAnsi="Times New Roman"/>
                <w:iCs/>
                <w:sz w:val="28"/>
                <w:szCs w:val="28"/>
                <w:lang w:val="lv-LV"/>
              </w:rPr>
              <w:t xml:space="preserve"> apmērā par vienu izglītojamo dienā, gan no pašvaldību budžeta, kuru finansējuma apjoms ir atbilstošs katras pašvaldības iespējām un vajadzībām.</w:t>
            </w:r>
          </w:p>
          <w:p w:rsidR="00344E7F" w:rsidRDefault="0009382D" w:rsidP="00A1632D">
            <w:pPr>
              <w:spacing w:after="0" w:line="240" w:lineRule="auto"/>
              <w:ind w:firstLine="720"/>
              <w:jc w:val="both"/>
              <w:rPr>
                <w:rFonts w:ascii="Times New Roman" w:hAnsi="Times New Roman"/>
                <w:iCs/>
                <w:sz w:val="28"/>
                <w:szCs w:val="28"/>
                <w:lang w:val="lv-LV"/>
              </w:rPr>
            </w:pPr>
            <w:r>
              <w:rPr>
                <w:rFonts w:ascii="Times New Roman" w:hAnsi="Times New Roman"/>
                <w:iCs/>
                <w:sz w:val="28"/>
                <w:szCs w:val="28"/>
                <w:lang w:val="lv-LV"/>
              </w:rPr>
              <w:t>Lai izvērtētu aktuālo situāciju, kāda ir šobrīd saistībā ar brīvpusdienu nodrošināšanu pašvaldībās, m</w:t>
            </w:r>
            <w:r w:rsidR="00A1632D" w:rsidRPr="00A1632D">
              <w:rPr>
                <w:rFonts w:ascii="Times New Roman" w:hAnsi="Times New Roman"/>
                <w:iCs/>
                <w:sz w:val="28"/>
                <w:szCs w:val="28"/>
                <w:lang w:val="lv-LV"/>
              </w:rPr>
              <w:t xml:space="preserve">inistrija </w:t>
            </w:r>
            <w:r w:rsidR="00A1632D" w:rsidRPr="00C419FB">
              <w:rPr>
                <w:rFonts w:ascii="Times New Roman" w:hAnsi="Times New Roman"/>
                <w:iCs/>
                <w:sz w:val="28"/>
                <w:szCs w:val="28"/>
                <w:lang w:val="lv-LV"/>
              </w:rPr>
              <w:t>lūdz</w:t>
            </w:r>
            <w:r>
              <w:rPr>
                <w:rFonts w:ascii="Times New Roman" w:hAnsi="Times New Roman"/>
                <w:iCs/>
                <w:sz w:val="28"/>
                <w:szCs w:val="28"/>
                <w:lang w:val="lv-LV"/>
              </w:rPr>
              <w:t>a</w:t>
            </w:r>
            <w:r w:rsidR="00A1632D" w:rsidRPr="00A1632D">
              <w:rPr>
                <w:rFonts w:ascii="Times New Roman" w:hAnsi="Times New Roman"/>
                <w:iCs/>
                <w:sz w:val="28"/>
                <w:szCs w:val="28"/>
                <w:lang w:val="lv-LV"/>
              </w:rPr>
              <w:t xml:space="preserve"> pašvaldībām </w:t>
            </w:r>
            <w:r w:rsidR="00A1632D" w:rsidRPr="0098195B">
              <w:rPr>
                <w:rFonts w:ascii="Times New Roman" w:hAnsi="Times New Roman"/>
                <w:iCs/>
                <w:sz w:val="28"/>
                <w:szCs w:val="28"/>
                <w:lang w:val="lv-LV"/>
              </w:rPr>
              <w:t xml:space="preserve">līdz </w:t>
            </w:r>
            <w:r>
              <w:rPr>
                <w:rFonts w:ascii="Times New Roman" w:hAnsi="Times New Roman"/>
                <w:iCs/>
                <w:sz w:val="28"/>
                <w:szCs w:val="28"/>
                <w:lang w:val="lv-LV"/>
              </w:rPr>
              <w:t>2017.gada</w:t>
            </w:r>
            <w:r w:rsidR="00A1632D" w:rsidRPr="0098195B">
              <w:rPr>
                <w:rFonts w:ascii="Times New Roman" w:hAnsi="Times New Roman"/>
                <w:iCs/>
                <w:sz w:val="28"/>
                <w:szCs w:val="28"/>
                <w:lang w:val="lv-LV"/>
              </w:rPr>
              <w:t xml:space="preserve"> </w:t>
            </w:r>
            <w:r w:rsidR="00A1632D" w:rsidRPr="0098195B">
              <w:rPr>
                <w:rFonts w:ascii="Times New Roman" w:hAnsi="Times New Roman"/>
                <w:iCs/>
                <w:sz w:val="28"/>
                <w:szCs w:val="28"/>
                <w:lang w:val="lv-LV"/>
              </w:rPr>
              <w:lastRenderedPageBreak/>
              <w:t>13.oktobrim</w:t>
            </w:r>
            <w:r w:rsidR="00A1632D">
              <w:rPr>
                <w:rFonts w:ascii="Times New Roman" w:hAnsi="Times New Roman"/>
                <w:iCs/>
                <w:sz w:val="28"/>
                <w:szCs w:val="28"/>
                <w:lang w:val="lv-LV"/>
              </w:rPr>
              <w:t xml:space="preserve"> </w:t>
            </w:r>
            <w:r w:rsidR="00A1632D" w:rsidRPr="00042678">
              <w:rPr>
                <w:rFonts w:ascii="Times New Roman" w:hAnsi="Times New Roman"/>
                <w:iCs/>
                <w:sz w:val="28"/>
                <w:szCs w:val="28"/>
                <w:lang w:val="lv-LV"/>
              </w:rPr>
              <w:t>iesniegt informāciju</w:t>
            </w:r>
            <w:r w:rsidR="00A1632D">
              <w:rPr>
                <w:rFonts w:ascii="Times New Roman" w:hAnsi="Times New Roman"/>
                <w:iCs/>
                <w:sz w:val="28"/>
                <w:szCs w:val="28"/>
                <w:lang w:val="lv-LV"/>
              </w:rPr>
              <w:t xml:space="preserve"> par brīvpusdienu nodrošināšanas</w:t>
            </w:r>
            <w:r w:rsidR="00344E7F">
              <w:rPr>
                <w:rFonts w:ascii="Times New Roman" w:hAnsi="Times New Roman"/>
                <w:iCs/>
                <w:sz w:val="28"/>
                <w:szCs w:val="28"/>
                <w:lang w:val="lv-LV"/>
              </w:rPr>
              <w:t xml:space="preserve"> kopējām</w:t>
            </w:r>
            <w:r w:rsidR="00A1632D">
              <w:rPr>
                <w:rFonts w:ascii="Times New Roman" w:hAnsi="Times New Roman"/>
                <w:iCs/>
                <w:sz w:val="28"/>
                <w:szCs w:val="28"/>
                <w:lang w:val="lv-LV"/>
              </w:rPr>
              <w:t xml:space="preserve"> izmaksām</w:t>
            </w:r>
            <w:r w:rsidR="00344E7F">
              <w:rPr>
                <w:rFonts w:ascii="Times New Roman" w:hAnsi="Times New Roman"/>
                <w:iCs/>
                <w:sz w:val="28"/>
                <w:szCs w:val="28"/>
                <w:lang w:val="lv-LV"/>
              </w:rPr>
              <w:t xml:space="preserve"> uz vienu izglītojamo vienā dienā</w:t>
            </w:r>
            <w:r w:rsidR="00A1632D">
              <w:rPr>
                <w:rFonts w:ascii="Times New Roman" w:hAnsi="Times New Roman"/>
                <w:iCs/>
                <w:sz w:val="28"/>
                <w:szCs w:val="28"/>
                <w:lang w:val="lv-LV"/>
              </w:rPr>
              <w:t xml:space="preserve"> un </w:t>
            </w:r>
            <w:r w:rsidR="00344E7F">
              <w:rPr>
                <w:rFonts w:ascii="Times New Roman" w:hAnsi="Times New Roman"/>
                <w:iCs/>
                <w:sz w:val="28"/>
                <w:szCs w:val="28"/>
                <w:lang w:val="lv-LV"/>
              </w:rPr>
              <w:t xml:space="preserve">norādīt klašu grupas, kurām pašvaldība </w:t>
            </w:r>
            <w:r w:rsidR="00A1632D">
              <w:rPr>
                <w:rFonts w:ascii="Times New Roman" w:hAnsi="Times New Roman"/>
                <w:iCs/>
                <w:sz w:val="28"/>
                <w:szCs w:val="28"/>
                <w:lang w:val="lv-LV"/>
              </w:rPr>
              <w:t xml:space="preserve"> </w:t>
            </w:r>
            <w:r w:rsidR="00344E7F">
              <w:rPr>
                <w:rFonts w:ascii="Times New Roman" w:hAnsi="Times New Roman"/>
                <w:iCs/>
                <w:sz w:val="28"/>
                <w:szCs w:val="28"/>
                <w:lang w:val="lv-LV"/>
              </w:rPr>
              <w:t>piešķir brīvpusdienas no saviem līdzekļiem.</w:t>
            </w:r>
            <w:r w:rsidR="00B117D4">
              <w:rPr>
                <w:rFonts w:ascii="Times New Roman" w:hAnsi="Times New Roman"/>
                <w:iCs/>
                <w:sz w:val="28"/>
                <w:szCs w:val="28"/>
                <w:lang w:val="lv-LV"/>
              </w:rPr>
              <w:t xml:space="preserve"> Dati tika lūgti iesniegt par situāciju uz 2017.gada 1.septembri.</w:t>
            </w:r>
          </w:p>
          <w:p w:rsidR="00986DA9" w:rsidRDefault="00B117D4" w:rsidP="00A1632D">
            <w:pPr>
              <w:spacing w:after="0" w:line="240" w:lineRule="auto"/>
              <w:ind w:firstLine="720"/>
              <w:jc w:val="both"/>
              <w:rPr>
                <w:rFonts w:ascii="Times New Roman" w:hAnsi="Times New Roman"/>
                <w:iCs/>
                <w:sz w:val="28"/>
                <w:szCs w:val="28"/>
                <w:lang w:val="lv-LV"/>
              </w:rPr>
            </w:pPr>
            <w:r>
              <w:rPr>
                <w:rFonts w:ascii="Times New Roman" w:hAnsi="Times New Roman"/>
                <w:iCs/>
                <w:sz w:val="28"/>
                <w:szCs w:val="28"/>
                <w:lang w:val="lv-LV"/>
              </w:rPr>
              <w:t>Atbildes iesniedza</w:t>
            </w:r>
            <w:r w:rsidR="00986DA9">
              <w:rPr>
                <w:rFonts w:ascii="Times New Roman" w:hAnsi="Times New Roman"/>
                <w:iCs/>
                <w:sz w:val="28"/>
                <w:szCs w:val="28"/>
                <w:lang w:val="lv-LV"/>
              </w:rPr>
              <w:t xml:space="preserve"> </w:t>
            </w:r>
            <w:r w:rsidR="00F952CD">
              <w:rPr>
                <w:rFonts w:ascii="Times New Roman" w:hAnsi="Times New Roman"/>
                <w:iCs/>
                <w:sz w:val="28"/>
                <w:szCs w:val="28"/>
                <w:lang w:val="lv-LV"/>
              </w:rPr>
              <w:t xml:space="preserve">deviņas </w:t>
            </w:r>
            <w:r w:rsidR="00986DA9">
              <w:rPr>
                <w:rFonts w:ascii="Times New Roman" w:hAnsi="Times New Roman"/>
                <w:iCs/>
                <w:sz w:val="28"/>
                <w:szCs w:val="28"/>
                <w:lang w:val="lv-LV"/>
              </w:rPr>
              <w:t>republikas pilsētas un 95 novadu pašvaldības</w:t>
            </w:r>
            <w:r w:rsidR="00A93F76">
              <w:rPr>
                <w:rFonts w:ascii="Times New Roman" w:hAnsi="Times New Roman"/>
                <w:iCs/>
                <w:sz w:val="28"/>
                <w:szCs w:val="28"/>
                <w:lang w:val="lv-LV"/>
              </w:rPr>
              <w:t>. Līdz ar to</w:t>
            </w:r>
            <w:r>
              <w:rPr>
                <w:rFonts w:ascii="Times New Roman" w:hAnsi="Times New Roman"/>
                <w:iCs/>
                <w:sz w:val="28"/>
                <w:szCs w:val="28"/>
                <w:lang w:val="lv-LV"/>
              </w:rPr>
              <w:t xml:space="preserve"> dati tika apkopot</w:t>
            </w:r>
            <w:r w:rsidR="00F952CD">
              <w:rPr>
                <w:rFonts w:ascii="Times New Roman" w:hAnsi="Times New Roman"/>
                <w:iCs/>
                <w:sz w:val="28"/>
                <w:szCs w:val="28"/>
                <w:lang w:val="lv-LV"/>
              </w:rPr>
              <w:t>i</w:t>
            </w:r>
            <w:r>
              <w:rPr>
                <w:rFonts w:ascii="Times New Roman" w:hAnsi="Times New Roman"/>
                <w:iCs/>
                <w:sz w:val="28"/>
                <w:szCs w:val="28"/>
                <w:lang w:val="lv-LV"/>
              </w:rPr>
              <w:t xml:space="preserve"> par 91% </w:t>
            </w:r>
            <w:r w:rsidRPr="0033290E">
              <w:rPr>
                <w:rFonts w:ascii="Times New Roman" w:hAnsi="Times New Roman"/>
                <w:iCs/>
                <w:sz w:val="28"/>
                <w:szCs w:val="28"/>
                <w:lang w:val="lv-LV"/>
              </w:rPr>
              <w:t>izglītojamo</w:t>
            </w:r>
            <w:r>
              <w:rPr>
                <w:rFonts w:ascii="Times New Roman" w:hAnsi="Times New Roman"/>
                <w:iCs/>
                <w:sz w:val="28"/>
                <w:szCs w:val="28"/>
                <w:lang w:val="lv-LV"/>
              </w:rPr>
              <w:t xml:space="preserve"> no </w:t>
            </w:r>
            <w:r w:rsidRPr="00042678">
              <w:rPr>
                <w:rFonts w:ascii="Times New Roman" w:hAnsi="Times New Roman"/>
                <w:iCs/>
                <w:sz w:val="28"/>
                <w:szCs w:val="28"/>
                <w:lang w:val="lv-LV"/>
              </w:rPr>
              <w:t>1.</w:t>
            </w:r>
            <w:r w:rsidR="00F952CD">
              <w:rPr>
                <w:rFonts w:ascii="Times New Roman" w:hAnsi="Times New Roman"/>
                <w:iCs/>
                <w:sz w:val="28"/>
                <w:szCs w:val="28"/>
                <w:lang w:val="lv-LV"/>
              </w:rPr>
              <w:t xml:space="preserve"> klases līdz </w:t>
            </w:r>
            <w:r w:rsidRPr="00042678">
              <w:rPr>
                <w:rFonts w:ascii="Times New Roman" w:hAnsi="Times New Roman"/>
                <w:iCs/>
                <w:sz w:val="28"/>
                <w:szCs w:val="28"/>
                <w:lang w:val="lv-LV"/>
              </w:rPr>
              <w:t>4.klasei, kuriem</w:t>
            </w:r>
            <w:r>
              <w:rPr>
                <w:rFonts w:ascii="Times New Roman" w:hAnsi="Times New Roman"/>
                <w:iCs/>
                <w:sz w:val="28"/>
                <w:szCs w:val="28"/>
                <w:lang w:val="lv-LV"/>
              </w:rPr>
              <w:t xml:space="preserve"> tiek</w:t>
            </w:r>
            <w:r w:rsidRPr="00042678">
              <w:rPr>
                <w:rFonts w:ascii="Times New Roman" w:hAnsi="Times New Roman"/>
                <w:iCs/>
                <w:sz w:val="28"/>
                <w:szCs w:val="28"/>
                <w:lang w:val="lv-LV"/>
              </w:rPr>
              <w:t xml:space="preserve"> nodrošinātas brīvpusdienas uz 2017.gada 1.septembri</w:t>
            </w:r>
            <w:r>
              <w:rPr>
                <w:rFonts w:ascii="Times New Roman" w:hAnsi="Times New Roman"/>
                <w:iCs/>
                <w:sz w:val="28"/>
                <w:szCs w:val="28"/>
                <w:lang w:val="lv-LV"/>
              </w:rPr>
              <w:t>.</w:t>
            </w:r>
          </w:p>
          <w:p w:rsidR="00A93F76" w:rsidRPr="00A93F76" w:rsidRDefault="004B66B0" w:rsidP="00A93F76">
            <w:pPr>
              <w:pStyle w:val="NoSpacing"/>
              <w:ind w:firstLine="528"/>
              <w:jc w:val="both"/>
              <w:rPr>
                <w:rFonts w:ascii="Times New Roman" w:hAnsi="Times New Roman"/>
                <w:sz w:val="28"/>
                <w:szCs w:val="28"/>
                <w:lang w:val="lv-LV"/>
              </w:rPr>
            </w:pPr>
            <w:r>
              <w:rPr>
                <w:rFonts w:ascii="Times New Roman" w:hAnsi="Times New Roman"/>
                <w:sz w:val="28"/>
                <w:szCs w:val="28"/>
                <w:lang w:val="lv-LV"/>
              </w:rPr>
              <w:t>Analizējot iegūtos datus</w:t>
            </w:r>
            <w:r w:rsidR="00F952CD">
              <w:rPr>
                <w:rFonts w:ascii="Times New Roman" w:hAnsi="Times New Roman"/>
                <w:sz w:val="28"/>
                <w:szCs w:val="28"/>
                <w:lang w:val="lv-LV"/>
              </w:rPr>
              <w:t>,</w:t>
            </w:r>
            <w:r>
              <w:rPr>
                <w:rFonts w:ascii="Times New Roman" w:hAnsi="Times New Roman"/>
                <w:sz w:val="28"/>
                <w:szCs w:val="28"/>
                <w:lang w:val="lv-LV"/>
              </w:rPr>
              <w:t xml:space="preserve"> tika konstatēts</w:t>
            </w:r>
            <w:r w:rsidR="00A93F76">
              <w:rPr>
                <w:rFonts w:ascii="Times New Roman" w:hAnsi="Times New Roman"/>
                <w:sz w:val="28"/>
                <w:szCs w:val="28"/>
                <w:lang w:val="lv-LV"/>
              </w:rPr>
              <w:t>:</w:t>
            </w:r>
          </w:p>
          <w:p w:rsidR="00A93F76" w:rsidRPr="00A93F76" w:rsidRDefault="00A1632D" w:rsidP="00042678">
            <w:pPr>
              <w:pStyle w:val="NoSpacing"/>
              <w:numPr>
                <w:ilvl w:val="0"/>
                <w:numId w:val="18"/>
              </w:numPr>
              <w:jc w:val="both"/>
              <w:rPr>
                <w:rFonts w:ascii="Times New Roman" w:hAnsi="Times New Roman"/>
                <w:sz w:val="28"/>
                <w:szCs w:val="28"/>
                <w:lang w:val="lv-LV"/>
              </w:rPr>
            </w:pPr>
            <w:r w:rsidRPr="009E1321">
              <w:rPr>
                <w:rFonts w:ascii="Times New Roman" w:hAnsi="Times New Roman"/>
                <w:sz w:val="28"/>
                <w:szCs w:val="28"/>
                <w:lang w:val="lv-LV"/>
              </w:rPr>
              <w:t>73%  izglītojamajiem no 1.</w:t>
            </w:r>
            <w:r w:rsidR="00F952CD">
              <w:rPr>
                <w:rFonts w:ascii="Times New Roman" w:hAnsi="Times New Roman"/>
                <w:sz w:val="28"/>
                <w:szCs w:val="28"/>
                <w:lang w:val="lv-LV"/>
              </w:rPr>
              <w:t xml:space="preserve">klases </w:t>
            </w:r>
            <w:r w:rsidRPr="009E1321">
              <w:rPr>
                <w:rFonts w:ascii="Times New Roman" w:hAnsi="Times New Roman"/>
                <w:sz w:val="28"/>
                <w:szCs w:val="28"/>
                <w:lang w:val="lv-LV"/>
              </w:rPr>
              <w:t xml:space="preserve">līdz 4.klasei </w:t>
            </w:r>
            <w:r w:rsidR="00F952CD" w:rsidRPr="009E1321">
              <w:rPr>
                <w:rFonts w:ascii="Times New Roman" w:hAnsi="Times New Roman"/>
                <w:sz w:val="28"/>
                <w:szCs w:val="28"/>
                <w:lang w:val="lv-LV"/>
              </w:rPr>
              <w:t>brīvpusdien</w:t>
            </w:r>
            <w:r w:rsidR="00F952CD">
              <w:rPr>
                <w:rFonts w:ascii="Times New Roman" w:hAnsi="Times New Roman"/>
                <w:sz w:val="28"/>
                <w:szCs w:val="28"/>
                <w:lang w:val="lv-LV"/>
              </w:rPr>
              <w:t>as dienā vienā ēdienreizē</w:t>
            </w:r>
            <w:r w:rsidR="00F952CD" w:rsidRPr="009E1321">
              <w:rPr>
                <w:rFonts w:ascii="Times New Roman" w:hAnsi="Times New Roman"/>
                <w:sz w:val="28"/>
                <w:szCs w:val="28"/>
                <w:lang w:val="lv-LV"/>
              </w:rPr>
              <w:t xml:space="preserve"> </w:t>
            </w:r>
            <w:r w:rsidRPr="009E1321">
              <w:rPr>
                <w:rFonts w:ascii="Times New Roman" w:hAnsi="Times New Roman"/>
                <w:sz w:val="28"/>
                <w:szCs w:val="28"/>
                <w:lang w:val="lv-LV"/>
              </w:rPr>
              <w:t>izmaks</w:t>
            </w:r>
            <w:r w:rsidR="00A93F76">
              <w:rPr>
                <w:rFonts w:ascii="Times New Roman" w:hAnsi="Times New Roman"/>
                <w:sz w:val="28"/>
                <w:szCs w:val="28"/>
                <w:lang w:val="lv-LV"/>
              </w:rPr>
              <w:t>ā</w:t>
            </w:r>
            <w:r w:rsidRPr="009E1321">
              <w:rPr>
                <w:rFonts w:ascii="Times New Roman" w:hAnsi="Times New Roman"/>
                <w:sz w:val="28"/>
                <w:szCs w:val="28"/>
                <w:lang w:val="lv-LV"/>
              </w:rPr>
              <w:t xml:space="preserve"> līdz 1,42 </w:t>
            </w:r>
            <w:proofErr w:type="spellStart"/>
            <w:r w:rsidRPr="0009382D">
              <w:rPr>
                <w:rFonts w:ascii="Times New Roman" w:hAnsi="Times New Roman"/>
                <w:i/>
                <w:sz w:val="28"/>
                <w:szCs w:val="28"/>
                <w:lang w:val="lv-LV"/>
              </w:rPr>
              <w:t>euro</w:t>
            </w:r>
            <w:proofErr w:type="spellEnd"/>
            <w:r w:rsidR="00A93F76">
              <w:rPr>
                <w:rFonts w:ascii="Times New Roman" w:hAnsi="Times New Roman"/>
                <w:sz w:val="28"/>
                <w:szCs w:val="28"/>
                <w:lang w:val="lv-LV"/>
              </w:rPr>
              <w:t>;</w:t>
            </w:r>
          </w:p>
          <w:p w:rsidR="00EF5138" w:rsidRDefault="00A1632D" w:rsidP="00042678">
            <w:pPr>
              <w:pStyle w:val="NoSpacing"/>
              <w:numPr>
                <w:ilvl w:val="0"/>
                <w:numId w:val="18"/>
              </w:numPr>
              <w:jc w:val="both"/>
              <w:rPr>
                <w:rFonts w:ascii="Times New Roman" w:hAnsi="Times New Roman"/>
                <w:sz w:val="28"/>
                <w:szCs w:val="28"/>
                <w:lang w:val="lv-LV"/>
              </w:rPr>
            </w:pPr>
            <w:r w:rsidRPr="009E1321">
              <w:rPr>
                <w:rFonts w:ascii="Times New Roman" w:hAnsi="Times New Roman"/>
                <w:sz w:val="28"/>
                <w:szCs w:val="28"/>
                <w:lang w:val="lv-LV"/>
              </w:rPr>
              <w:t xml:space="preserve"> </w:t>
            </w:r>
            <w:r w:rsidR="00F952CD">
              <w:rPr>
                <w:rFonts w:ascii="Times New Roman" w:hAnsi="Times New Roman"/>
                <w:sz w:val="28"/>
                <w:szCs w:val="28"/>
                <w:lang w:val="lv-LV"/>
              </w:rPr>
              <w:t>p</w:t>
            </w:r>
            <w:r w:rsidRPr="009E1321">
              <w:rPr>
                <w:rFonts w:ascii="Times New Roman" w:hAnsi="Times New Roman"/>
                <w:sz w:val="28"/>
                <w:szCs w:val="28"/>
                <w:lang w:val="lv-LV"/>
              </w:rPr>
              <w:t xml:space="preserve">ašvaldības </w:t>
            </w:r>
            <w:r w:rsidR="00EF5138">
              <w:rPr>
                <w:rFonts w:ascii="Times New Roman" w:hAnsi="Times New Roman"/>
                <w:sz w:val="28"/>
                <w:szCs w:val="28"/>
                <w:lang w:val="lv-LV"/>
              </w:rPr>
              <w:t xml:space="preserve">no saviem līdzekļiem </w:t>
            </w:r>
            <w:r w:rsidR="00A93F76" w:rsidRPr="009E1321">
              <w:rPr>
                <w:rFonts w:ascii="Times New Roman" w:hAnsi="Times New Roman"/>
                <w:sz w:val="28"/>
                <w:szCs w:val="28"/>
                <w:lang w:val="lv-LV"/>
              </w:rPr>
              <w:t>nodrošina</w:t>
            </w:r>
            <w:r w:rsidR="00D34376">
              <w:rPr>
                <w:rFonts w:ascii="Times New Roman" w:hAnsi="Times New Roman"/>
                <w:sz w:val="28"/>
                <w:szCs w:val="28"/>
                <w:lang w:val="lv-LV"/>
              </w:rPr>
              <w:t xml:space="preserve"> arī</w:t>
            </w:r>
            <w:r w:rsidR="00A93F76" w:rsidRPr="009E1321">
              <w:rPr>
                <w:rFonts w:ascii="Times New Roman" w:hAnsi="Times New Roman"/>
                <w:sz w:val="28"/>
                <w:szCs w:val="28"/>
                <w:lang w:val="lv-LV"/>
              </w:rPr>
              <w:t xml:space="preserve"> </w:t>
            </w:r>
            <w:r w:rsidR="00EF5138" w:rsidRPr="009E1321">
              <w:rPr>
                <w:rFonts w:ascii="Times New Roman" w:hAnsi="Times New Roman"/>
                <w:sz w:val="28"/>
                <w:szCs w:val="28"/>
                <w:lang w:val="lv-LV"/>
              </w:rPr>
              <w:t xml:space="preserve">brīvpusdienas </w:t>
            </w:r>
            <w:r w:rsidR="00D34376">
              <w:rPr>
                <w:rFonts w:ascii="Times New Roman" w:hAnsi="Times New Roman"/>
                <w:sz w:val="28"/>
                <w:szCs w:val="28"/>
                <w:lang w:val="lv-LV"/>
              </w:rPr>
              <w:t xml:space="preserve">visiem </w:t>
            </w:r>
            <w:r w:rsidR="00F952CD">
              <w:rPr>
                <w:rFonts w:ascii="Times New Roman" w:hAnsi="Times New Roman"/>
                <w:sz w:val="28"/>
                <w:szCs w:val="28"/>
                <w:lang w:val="lv-LV"/>
              </w:rPr>
              <w:t>pārējo</w:t>
            </w:r>
            <w:r w:rsidR="00F952CD" w:rsidRPr="009E1321">
              <w:rPr>
                <w:rFonts w:ascii="Times New Roman" w:hAnsi="Times New Roman"/>
                <w:sz w:val="28"/>
                <w:szCs w:val="28"/>
                <w:lang w:val="lv-LV"/>
              </w:rPr>
              <w:t xml:space="preserve"> </w:t>
            </w:r>
            <w:r w:rsidRPr="009E1321">
              <w:rPr>
                <w:rFonts w:ascii="Times New Roman" w:hAnsi="Times New Roman"/>
                <w:sz w:val="28"/>
                <w:szCs w:val="28"/>
                <w:lang w:val="lv-LV"/>
              </w:rPr>
              <w:t>klašu izglītojamajiem</w:t>
            </w:r>
            <w:r w:rsidR="00EF5138">
              <w:rPr>
                <w:rFonts w:ascii="Times New Roman" w:hAnsi="Times New Roman"/>
                <w:sz w:val="28"/>
                <w:szCs w:val="28"/>
                <w:lang w:val="lv-LV"/>
              </w:rPr>
              <w:t>. To apjoms ir</w:t>
            </w:r>
            <w:r w:rsidRPr="009E1321">
              <w:rPr>
                <w:rFonts w:ascii="Times New Roman" w:hAnsi="Times New Roman"/>
                <w:sz w:val="28"/>
                <w:szCs w:val="28"/>
                <w:lang w:val="lv-LV"/>
              </w:rPr>
              <w:t xml:space="preserve"> </w:t>
            </w:r>
            <w:r w:rsidR="00F952CD">
              <w:rPr>
                <w:rFonts w:ascii="Times New Roman" w:hAnsi="Times New Roman"/>
                <w:sz w:val="28"/>
                <w:szCs w:val="28"/>
                <w:lang w:val="lv-LV"/>
              </w:rPr>
              <w:t>šāds</w:t>
            </w:r>
            <w:r w:rsidRPr="009E1321">
              <w:rPr>
                <w:rFonts w:ascii="Times New Roman" w:hAnsi="Times New Roman"/>
                <w:sz w:val="28"/>
                <w:szCs w:val="28"/>
                <w:lang w:val="lv-LV"/>
              </w:rPr>
              <w:t xml:space="preserve">: </w:t>
            </w:r>
          </w:p>
          <w:p w:rsidR="00EF5138" w:rsidRDefault="00EF5138" w:rsidP="00042678">
            <w:pPr>
              <w:pStyle w:val="NoSpacing"/>
              <w:numPr>
                <w:ilvl w:val="0"/>
                <w:numId w:val="19"/>
              </w:numPr>
              <w:jc w:val="both"/>
              <w:rPr>
                <w:rFonts w:ascii="Times New Roman" w:hAnsi="Times New Roman"/>
                <w:sz w:val="28"/>
                <w:szCs w:val="28"/>
                <w:lang w:val="lv-LV"/>
              </w:rPr>
            </w:pPr>
            <w:r>
              <w:rPr>
                <w:rFonts w:ascii="Times New Roman" w:hAnsi="Times New Roman"/>
                <w:sz w:val="28"/>
                <w:szCs w:val="28"/>
                <w:lang w:val="lv-LV"/>
              </w:rPr>
              <w:t>5.klasēm</w:t>
            </w:r>
            <w:r w:rsidR="001D403C">
              <w:rPr>
                <w:rFonts w:ascii="Times New Roman" w:hAnsi="Times New Roman"/>
                <w:sz w:val="28"/>
                <w:szCs w:val="28"/>
                <w:lang w:val="lv-LV"/>
              </w:rPr>
              <w:t xml:space="preserve"> –</w:t>
            </w:r>
            <w:r w:rsidR="00A1632D" w:rsidRPr="009E1321">
              <w:rPr>
                <w:rFonts w:ascii="Times New Roman" w:hAnsi="Times New Roman"/>
                <w:sz w:val="28"/>
                <w:szCs w:val="28"/>
                <w:lang w:val="lv-LV"/>
              </w:rPr>
              <w:t xml:space="preserve"> </w:t>
            </w:r>
            <w:r w:rsidR="00F44E2C">
              <w:rPr>
                <w:rFonts w:ascii="Times New Roman" w:hAnsi="Times New Roman"/>
                <w:sz w:val="28"/>
                <w:szCs w:val="28"/>
                <w:lang w:val="lv-LV"/>
              </w:rPr>
              <w:t>74</w:t>
            </w:r>
            <w:r w:rsidR="00A1632D" w:rsidRPr="009E1321">
              <w:rPr>
                <w:rFonts w:ascii="Times New Roman" w:hAnsi="Times New Roman"/>
                <w:sz w:val="28"/>
                <w:szCs w:val="28"/>
                <w:lang w:val="lv-LV"/>
              </w:rPr>
              <w:t xml:space="preserve">% pašvaldību, </w:t>
            </w:r>
          </w:p>
          <w:p w:rsidR="00EF5138" w:rsidRDefault="00EF5138" w:rsidP="00042678">
            <w:pPr>
              <w:pStyle w:val="NoSpacing"/>
              <w:numPr>
                <w:ilvl w:val="0"/>
                <w:numId w:val="19"/>
              </w:numPr>
              <w:jc w:val="both"/>
              <w:rPr>
                <w:rFonts w:ascii="Times New Roman" w:hAnsi="Times New Roman"/>
                <w:sz w:val="28"/>
                <w:szCs w:val="28"/>
                <w:lang w:val="lv-LV"/>
              </w:rPr>
            </w:pPr>
            <w:r>
              <w:rPr>
                <w:rFonts w:ascii="Times New Roman" w:hAnsi="Times New Roman"/>
                <w:sz w:val="28"/>
                <w:szCs w:val="28"/>
                <w:lang w:val="lv-LV"/>
              </w:rPr>
              <w:t>6.klasēm</w:t>
            </w:r>
            <w:r w:rsidR="00F952CD">
              <w:rPr>
                <w:rFonts w:ascii="Times New Roman" w:hAnsi="Times New Roman"/>
                <w:sz w:val="28"/>
                <w:szCs w:val="28"/>
                <w:lang w:val="lv-LV"/>
              </w:rPr>
              <w:t xml:space="preserve"> </w:t>
            </w:r>
            <w:r w:rsidR="001D403C">
              <w:rPr>
                <w:rFonts w:ascii="Times New Roman" w:hAnsi="Times New Roman"/>
                <w:sz w:val="28"/>
                <w:szCs w:val="28"/>
                <w:lang w:val="lv-LV"/>
              </w:rPr>
              <w:t>–</w:t>
            </w:r>
            <w:r w:rsidR="00A1632D" w:rsidRPr="009E1321">
              <w:rPr>
                <w:rFonts w:ascii="Times New Roman" w:hAnsi="Times New Roman"/>
                <w:sz w:val="28"/>
                <w:szCs w:val="28"/>
                <w:lang w:val="lv-LV"/>
              </w:rPr>
              <w:t xml:space="preserve"> </w:t>
            </w:r>
            <w:r w:rsidR="00F44E2C">
              <w:rPr>
                <w:rFonts w:ascii="Times New Roman" w:hAnsi="Times New Roman"/>
                <w:sz w:val="28"/>
                <w:szCs w:val="28"/>
                <w:lang w:val="lv-LV"/>
              </w:rPr>
              <w:t>71</w:t>
            </w:r>
            <w:r w:rsidR="00A1632D" w:rsidRPr="009E1321">
              <w:rPr>
                <w:rFonts w:ascii="Times New Roman" w:hAnsi="Times New Roman"/>
                <w:sz w:val="28"/>
                <w:szCs w:val="28"/>
                <w:lang w:val="lv-LV"/>
              </w:rPr>
              <w:t xml:space="preserve">% pašvaldību, </w:t>
            </w:r>
          </w:p>
          <w:p w:rsidR="00EF5138" w:rsidRDefault="00A1632D" w:rsidP="00042678">
            <w:pPr>
              <w:pStyle w:val="NoSpacing"/>
              <w:numPr>
                <w:ilvl w:val="0"/>
                <w:numId w:val="19"/>
              </w:numPr>
              <w:jc w:val="both"/>
              <w:rPr>
                <w:rFonts w:ascii="Times New Roman" w:hAnsi="Times New Roman"/>
                <w:sz w:val="28"/>
                <w:szCs w:val="28"/>
                <w:lang w:val="lv-LV"/>
              </w:rPr>
            </w:pPr>
            <w:r w:rsidRPr="009E1321">
              <w:rPr>
                <w:rFonts w:ascii="Times New Roman" w:hAnsi="Times New Roman"/>
                <w:sz w:val="28"/>
                <w:szCs w:val="28"/>
                <w:lang w:val="lv-LV"/>
              </w:rPr>
              <w:t>7.klas</w:t>
            </w:r>
            <w:r w:rsidR="00EF5138">
              <w:rPr>
                <w:rFonts w:ascii="Times New Roman" w:hAnsi="Times New Roman"/>
                <w:sz w:val="28"/>
                <w:szCs w:val="28"/>
                <w:lang w:val="lv-LV"/>
              </w:rPr>
              <w:t>ēm</w:t>
            </w:r>
            <w:r w:rsidR="00F952CD">
              <w:rPr>
                <w:rFonts w:ascii="Times New Roman" w:hAnsi="Times New Roman"/>
                <w:sz w:val="28"/>
                <w:szCs w:val="28"/>
                <w:lang w:val="lv-LV"/>
              </w:rPr>
              <w:t xml:space="preserve"> </w:t>
            </w:r>
            <w:r w:rsidR="001D403C">
              <w:rPr>
                <w:rFonts w:ascii="Times New Roman" w:hAnsi="Times New Roman"/>
                <w:sz w:val="28"/>
                <w:szCs w:val="28"/>
                <w:lang w:val="lv-LV"/>
              </w:rPr>
              <w:t>–</w:t>
            </w:r>
            <w:r w:rsidRPr="009E1321">
              <w:rPr>
                <w:rFonts w:ascii="Times New Roman" w:hAnsi="Times New Roman"/>
                <w:sz w:val="28"/>
                <w:szCs w:val="28"/>
                <w:lang w:val="lv-LV"/>
              </w:rPr>
              <w:t xml:space="preserve"> </w:t>
            </w:r>
            <w:r w:rsidR="00F44E2C">
              <w:rPr>
                <w:rFonts w:ascii="Times New Roman" w:hAnsi="Times New Roman"/>
                <w:sz w:val="28"/>
                <w:szCs w:val="28"/>
                <w:lang w:val="lv-LV"/>
              </w:rPr>
              <w:t>63</w:t>
            </w:r>
            <w:r w:rsidRPr="009E1321">
              <w:rPr>
                <w:rFonts w:ascii="Times New Roman" w:hAnsi="Times New Roman"/>
                <w:sz w:val="28"/>
                <w:szCs w:val="28"/>
                <w:lang w:val="lv-LV"/>
              </w:rPr>
              <w:t xml:space="preserve">% pašvaldību, </w:t>
            </w:r>
          </w:p>
          <w:p w:rsidR="00EF5138" w:rsidRDefault="00A1632D" w:rsidP="00042678">
            <w:pPr>
              <w:pStyle w:val="NoSpacing"/>
              <w:numPr>
                <w:ilvl w:val="0"/>
                <w:numId w:val="19"/>
              </w:numPr>
              <w:jc w:val="both"/>
              <w:rPr>
                <w:rFonts w:ascii="Times New Roman" w:hAnsi="Times New Roman"/>
                <w:sz w:val="28"/>
                <w:szCs w:val="28"/>
                <w:lang w:val="lv-LV"/>
              </w:rPr>
            </w:pPr>
            <w:r w:rsidRPr="009E1321">
              <w:rPr>
                <w:rFonts w:ascii="Times New Roman" w:hAnsi="Times New Roman"/>
                <w:sz w:val="28"/>
                <w:szCs w:val="28"/>
                <w:lang w:val="lv-LV"/>
              </w:rPr>
              <w:t>8.klas</w:t>
            </w:r>
            <w:r w:rsidR="00EF5138">
              <w:rPr>
                <w:rFonts w:ascii="Times New Roman" w:hAnsi="Times New Roman"/>
                <w:sz w:val="28"/>
                <w:szCs w:val="28"/>
                <w:lang w:val="lv-LV"/>
              </w:rPr>
              <w:t>ēm</w:t>
            </w:r>
            <w:r w:rsidR="00F952CD">
              <w:rPr>
                <w:rFonts w:ascii="Times New Roman" w:hAnsi="Times New Roman"/>
                <w:sz w:val="28"/>
                <w:szCs w:val="28"/>
                <w:lang w:val="lv-LV"/>
              </w:rPr>
              <w:t xml:space="preserve"> </w:t>
            </w:r>
            <w:r w:rsidR="001D403C">
              <w:rPr>
                <w:rFonts w:ascii="Times New Roman" w:hAnsi="Times New Roman"/>
                <w:sz w:val="28"/>
                <w:szCs w:val="28"/>
                <w:lang w:val="lv-LV"/>
              </w:rPr>
              <w:t>–</w:t>
            </w:r>
            <w:r w:rsidRPr="009E1321">
              <w:rPr>
                <w:rFonts w:ascii="Times New Roman" w:hAnsi="Times New Roman"/>
                <w:sz w:val="28"/>
                <w:szCs w:val="28"/>
                <w:lang w:val="lv-LV"/>
              </w:rPr>
              <w:t xml:space="preserve"> </w:t>
            </w:r>
            <w:r w:rsidR="00F44E2C">
              <w:rPr>
                <w:rFonts w:ascii="Times New Roman" w:hAnsi="Times New Roman"/>
                <w:sz w:val="28"/>
                <w:szCs w:val="28"/>
                <w:lang w:val="lv-LV"/>
              </w:rPr>
              <w:t>58</w:t>
            </w:r>
            <w:r w:rsidRPr="009E1321">
              <w:rPr>
                <w:rFonts w:ascii="Times New Roman" w:hAnsi="Times New Roman"/>
                <w:sz w:val="28"/>
                <w:szCs w:val="28"/>
                <w:lang w:val="lv-LV"/>
              </w:rPr>
              <w:t xml:space="preserve">% pašvaldību, </w:t>
            </w:r>
          </w:p>
          <w:p w:rsidR="00EF5138" w:rsidRDefault="00EF5138" w:rsidP="00042678">
            <w:pPr>
              <w:pStyle w:val="NoSpacing"/>
              <w:numPr>
                <w:ilvl w:val="0"/>
                <w:numId w:val="19"/>
              </w:numPr>
              <w:jc w:val="both"/>
              <w:rPr>
                <w:rFonts w:ascii="Times New Roman" w:hAnsi="Times New Roman"/>
                <w:sz w:val="28"/>
                <w:szCs w:val="28"/>
                <w:lang w:val="lv-LV"/>
              </w:rPr>
            </w:pPr>
            <w:r>
              <w:rPr>
                <w:rFonts w:ascii="Times New Roman" w:hAnsi="Times New Roman"/>
                <w:sz w:val="28"/>
                <w:szCs w:val="28"/>
                <w:lang w:val="lv-LV"/>
              </w:rPr>
              <w:t>9.klasēm</w:t>
            </w:r>
            <w:r w:rsidR="00F952CD">
              <w:rPr>
                <w:rFonts w:ascii="Times New Roman" w:hAnsi="Times New Roman"/>
                <w:sz w:val="28"/>
                <w:szCs w:val="28"/>
                <w:lang w:val="lv-LV"/>
              </w:rPr>
              <w:t xml:space="preserve"> </w:t>
            </w:r>
            <w:r w:rsidR="001D403C">
              <w:rPr>
                <w:rFonts w:ascii="Times New Roman" w:hAnsi="Times New Roman"/>
                <w:sz w:val="28"/>
                <w:szCs w:val="28"/>
                <w:lang w:val="lv-LV"/>
              </w:rPr>
              <w:t>–</w:t>
            </w:r>
            <w:r w:rsidR="00A1632D" w:rsidRPr="009E1321">
              <w:rPr>
                <w:rFonts w:ascii="Times New Roman" w:hAnsi="Times New Roman"/>
                <w:sz w:val="28"/>
                <w:szCs w:val="28"/>
                <w:lang w:val="lv-LV"/>
              </w:rPr>
              <w:t xml:space="preserve"> </w:t>
            </w:r>
            <w:r w:rsidR="00F44E2C">
              <w:rPr>
                <w:rFonts w:ascii="Times New Roman" w:hAnsi="Times New Roman"/>
                <w:sz w:val="28"/>
                <w:szCs w:val="28"/>
                <w:lang w:val="lv-LV"/>
              </w:rPr>
              <w:t>58</w:t>
            </w:r>
            <w:r w:rsidR="00A1632D" w:rsidRPr="009E1321">
              <w:rPr>
                <w:rFonts w:ascii="Times New Roman" w:hAnsi="Times New Roman"/>
                <w:sz w:val="28"/>
                <w:szCs w:val="28"/>
                <w:lang w:val="lv-LV"/>
              </w:rPr>
              <w:t xml:space="preserve">% pašvaldību, </w:t>
            </w:r>
          </w:p>
          <w:p w:rsidR="00181AEB" w:rsidRPr="00181AEB" w:rsidRDefault="00EF5138" w:rsidP="00042678">
            <w:pPr>
              <w:pStyle w:val="NoSpacing"/>
              <w:numPr>
                <w:ilvl w:val="0"/>
                <w:numId w:val="19"/>
              </w:numPr>
              <w:jc w:val="both"/>
              <w:rPr>
                <w:rFonts w:ascii="Times New Roman" w:hAnsi="Times New Roman"/>
                <w:sz w:val="28"/>
                <w:szCs w:val="28"/>
                <w:lang w:val="lv-LV"/>
              </w:rPr>
            </w:pPr>
            <w:r>
              <w:rPr>
                <w:rFonts w:ascii="Times New Roman" w:hAnsi="Times New Roman"/>
                <w:sz w:val="28"/>
                <w:szCs w:val="28"/>
                <w:lang w:val="lv-LV"/>
              </w:rPr>
              <w:t xml:space="preserve">no </w:t>
            </w:r>
            <w:r w:rsidR="00A1632D" w:rsidRPr="009E1321">
              <w:rPr>
                <w:rFonts w:ascii="Times New Roman" w:hAnsi="Times New Roman"/>
                <w:sz w:val="28"/>
                <w:szCs w:val="28"/>
                <w:lang w:val="lv-LV"/>
              </w:rPr>
              <w:t>10.</w:t>
            </w:r>
            <w:r w:rsidR="00F952CD">
              <w:rPr>
                <w:rFonts w:ascii="Times New Roman" w:hAnsi="Times New Roman"/>
                <w:sz w:val="28"/>
                <w:szCs w:val="28"/>
                <w:lang w:val="lv-LV"/>
              </w:rPr>
              <w:t>klases</w:t>
            </w:r>
            <w:r w:rsidR="00A1632D" w:rsidRPr="009E1321">
              <w:rPr>
                <w:rFonts w:ascii="Times New Roman" w:hAnsi="Times New Roman"/>
                <w:sz w:val="28"/>
                <w:szCs w:val="28"/>
                <w:lang w:val="lv-LV"/>
              </w:rPr>
              <w:t xml:space="preserve"> līdz 12.klasei</w:t>
            </w:r>
            <w:r w:rsidR="00F952CD">
              <w:rPr>
                <w:rFonts w:ascii="Times New Roman" w:hAnsi="Times New Roman"/>
                <w:sz w:val="28"/>
                <w:szCs w:val="28"/>
                <w:lang w:val="lv-LV"/>
              </w:rPr>
              <w:t xml:space="preserve"> </w:t>
            </w:r>
            <w:r w:rsidR="00A1632D" w:rsidRPr="009E1321">
              <w:rPr>
                <w:rFonts w:ascii="Times New Roman" w:hAnsi="Times New Roman"/>
                <w:sz w:val="28"/>
                <w:szCs w:val="28"/>
                <w:lang w:val="lv-LV"/>
              </w:rPr>
              <w:t>- 42% pašvaldību.</w:t>
            </w:r>
          </w:p>
          <w:p w:rsidR="00A1632D" w:rsidRDefault="00EF5138" w:rsidP="00EF5138">
            <w:pPr>
              <w:pStyle w:val="NoSpacing"/>
              <w:ind w:firstLine="528"/>
              <w:jc w:val="both"/>
              <w:rPr>
                <w:rFonts w:ascii="Times New Roman" w:hAnsi="Times New Roman"/>
                <w:sz w:val="28"/>
                <w:szCs w:val="28"/>
                <w:lang w:val="lv-LV"/>
              </w:rPr>
            </w:pPr>
            <w:r>
              <w:rPr>
                <w:rFonts w:ascii="Times New Roman" w:hAnsi="Times New Roman"/>
                <w:sz w:val="28"/>
                <w:szCs w:val="28"/>
                <w:lang w:val="lv-LV"/>
              </w:rPr>
              <w:t>Tāpat p</w:t>
            </w:r>
            <w:r w:rsidRPr="008A1FCC">
              <w:rPr>
                <w:rFonts w:ascii="Times New Roman" w:hAnsi="Times New Roman"/>
                <w:sz w:val="28"/>
                <w:szCs w:val="28"/>
                <w:lang w:val="lv-LV"/>
              </w:rPr>
              <w:t xml:space="preserve">ašvaldību iesniegtie dati par izglītojamo ēdināšanai izlietotajiem valsts budžeta līdzekļiem </w:t>
            </w:r>
            <w:r w:rsidR="00F952CD">
              <w:rPr>
                <w:rFonts w:ascii="Times New Roman" w:hAnsi="Times New Roman"/>
                <w:sz w:val="28"/>
                <w:szCs w:val="28"/>
                <w:lang w:val="lv-LV"/>
              </w:rPr>
              <w:t>laika periodā</w:t>
            </w:r>
            <w:r w:rsidRPr="008A1FCC">
              <w:rPr>
                <w:rFonts w:ascii="Times New Roman" w:hAnsi="Times New Roman"/>
                <w:sz w:val="28"/>
                <w:szCs w:val="28"/>
                <w:lang w:val="lv-LV"/>
              </w:rPr>
              <w:t xml:space="preserve"> no 2016.gada 1.janvāra līdz 2016.gada 31.decembrim liecina, ka pašvaldības no valsts piešķirtā finansējuma 1. – 4.klašu izglītojamo ēdināšanai citu klašu izglītojamo ēdināšanai novirza 1 581 217 </w:t>
            </w:r>
            <w:proofErr w:type="spellStart"/>
            <w:r w:rsidRPr="00042678">
              <w:rPr>
                <w:rFonts w:ascii="Times New Roman" w:hAnsi="Times New Roman"/>
                <w:i/>
                <w:sz w:val="28"/>
                <w:szCs w:val="28"/>
                <w:lang w:val="lv-LV"/>
              </w:rPr>
              <w:t>euro</w:t>
            </w:r>
            <w:proofErr w:type="spellEnd"/>
            <w:r w:rsidRPr="008A1FCC">
              <w:rPr>
                <w:rFonts w:ascii="Times New Roman" w:hAnsi="Times New Roman"/>
                <w:sz w:val="28"/>
                <w:szCs w:val="28"/>
                <w:lang w:val="lv-LV"/>
              </w:rPr>
              <w:t xml:space="preserve"> jeb 8,6 % no piešķirtā valsts finansējuma.</w:t>
            </w:r>
          </w:p>
          <w:p w:rsidR="00037F9A" w:rsidRDefault="00037F9A" w:rsidP="00037F9A">
            <w:pPr>
              <w:pStyle w:val="NoSpacing"/>
              <w:ind w:firstLine="528"/>
              <w:jc w:val="both"/>
              <w:rPr>
                <w:rFonts w:ascii="Times New Roman" w:hAnsi="Times New Roman"/>
                <w:sz w:val="28"/>
                <w:szCs w:val="28"/>
                <w:lang w:val="lv-LV"/>
              </w:rPr>
            </w:pPr>
            <w:r w:rsidRPr="00042678">
              <w:rPr>
                <w:rFonts w:ascii="Times New Roman" w:hAnsi="Times New Roman"/>
                <w:sz w:val="28"/>
                <w:szCs w:val="28"/>
                <w:lang w:val="lv-LV"/>
              </w:rPr>
              <w:t>Atbilstoši spēkā esošajam normatīvajam regulējumam ikvienai izglītības iestādei ir jāievēro Ministru kabineta 2012.gada 13.marta noteikumi Nr.172 “Noteikumi par uztura normām izglītības iestāžu izglītojamiem, sociālās aprūpes un sociālās rehabilitācijas institūciju klientiem un ārstniecības iestāžu pacien</w:t>
            </w:r>
            <w:r w:rsidRPr="00037F9A">
              <w:rPr>
                <w:rFonts w:ascii="Times New Roman" w:hAnsi="Times New Roman"/>
                <w:sz w:val="28"/>
                <w:szCs w:val="28"/>
                <w:lang w:val="lv-LV"/>
              </w:rPr>
              <w:t xml:space="preserve">tiem”. </w:t>
            </w:r>
            <w:r w:rsidRPr="00042678">
              <w:rPr>
                <w:rFonts w:ascii="Times New Roman" w:hAnsi="Times New Roman"/>
                <w:sz w:val="28"/>
                <w:szCs w:val="28"/>
                <w:lang w:val="lv-LV"/>
              </w:rPr>
              <w:t xml:space="preserve">To mērķis ir nodrošināt veselīgu un līdzsvarotu uzturu izglītojamajiem un radīt </w:t>
            </w:r>
            <w:r w:rsidRPr="00042678">
              <w:rPr>
                <w:rFonts w:ascii="Times New Roman" w:hAnsi="Times New Roman"/>
                <w:sz w:val="28"/>
                <w:szCs w:val="28"/>
                <w:lang w:val="lv-LV"/>
              </w:rPr>
              <w:lastRenderedPageBreak/>
              <w:t>vienlīdzīgus apstākļus kvalitatīva ēdināšanas pakalpojuma saņemšanai visiem izglītojamiem neatkarīgi no izglītojamā dzīves vietas.</w:t>
            </w:r>
          </w:p>
          <w:p w:rsidR="00EE1E2B" w:rsidRPr="00303583" w:rsidRDefault="00EE1E2B" w:rsidP="0009382D">
            <w:pPr>
              <w:pStyle w:val="NoSpacing"/>
              <w:ind w:firstLine="528"/>
              <w:jc w:val="both"/>
              <w:rPr>
                <w:rFonts w:ascii="Times New Roman" w:hAnsi="Times New Roman"/>
                <w:sz w:val="28"/>
                <w:szCs w:val="28"/>
                <w:lang w:val="lv-LV"/>
              </w:rPr>
            </w:pPr>
            <w:r>
              <w:rPr>
                <w:rFonts w:ascii="Times New Roman" w:hAnsi="Times New Roman"/>
                <w:iCs/>
                <w:sz w:val="28"/>
                <w:szCs w:val="28"/>
                <w:lang w:val="lv-LV"/>
              </w:rPr>
              <w:t xml:space="preserve">Normu noteikšana būtiski palielinātu </w:t>
            </w:r>
            <w:r w:rsidRPr="00EE462C">
              <w:rPr>
                <w:rFonts w:ascii="Times New Roman" w:hAnsi="Times New Roman"/>
                <w:iCs/>
                <w:sz w:val="28"/>
                <w:szCs w:val="28"/>
                <w:lang w:val="lv-LV"/>
              </w:rPr>
              <w:t>administratīvo slogu</w:t>
            </w:r>
            <w:r>
              <w:rPr>
                <w:rFonts w:ascii="Times New Roman" w:hAnsi="Times New Roman"/>
                <w:iCs/>
                <w:sz w:val="28"/>
                <w:szCs w:val="28"/>
                <w:lang w:val="lv-LV"/>
              </w:rPr>
              <w:t xml:space="preserve"> dažādās valsts un pašvaldību iestādēs. </w:t>
            </w:r>
          </w:p>
          <w:p w:rsidR="0059312A" w:rsidRPr="006B0250" w:rsidRDefault="00EE1E2B" w:rsidP="00D872D7">
            <w:pPr>
              <w:pStyle w:val="NoSpacing"/>
              <w:ind w:firstLine="528"/>
              <w:jc w:val="both"/>
              <w:rPr>
                <w:rFonts w:ascii="Times New Roman" w:hAnsi="Times New Roman"/>
                <w:sz w:val="28"/>
                <w:szCs w:val="28"/>
                <w:lang w:val="lv-LV"/>
              </w:rPr>
            </w:pPr>
            <w:r>
              <w:rPr>
                <w:rFonts w:ascii="Times New Roman" w:hAnsi="Times New Roman"/>
                <w:iCs/>
                <w:sz w:val="28"/>
                <w:szCs w:val="28"/>
                <w:lang w:val="lv-LV"/>
              </w:rPr>
              <w:t>Ņemot vērā iepriekš minēto</w:t>
            </w:r>
            <w:r w:rsidR="00F952CD">
              <w:rPr>
                <w:rFonts w:ascii="Times New Roman" w:hAnsi="Times New Roman"/>
                <w:iCs/>
                <w:sz w:val="28"/>
                <w:szCs w:val="28"/>
                <w:lang w:val="lv-LV"/>
              </w:rPr>
              <w:t xml:space="preserve"> informāciju,</w:t>
            </w:r>
            <w:r w:rsidR="00F952CD" w:rsidRPr="0009382D">
              <w:rPr>
                <w:rFonts w:ascii="Times New Roman" w:hAnsi="Times New Roman"/>
                <w:iCs/>
                <w:sz w:val="28"/>
                <w:szCs w:val="28"/>
                <w:lang w:val="lv-LV"/>
              </w:rPr>
              <w:t xml:space="preserve"> </w:t>
            </w:r>
            <w:proofErr w:type="spellStart"/>
            <w:r w:rsidR="00F952CD" w:rsidRPr="0009382D">
              <w:rPr>
                <w:rFonts w:ascii="Times New Roman" w:hAnsi="Times New Roman"/>
                <w:iCs/>
                <w:sz w:val="28"/>
                <w:szCs w:val="28"/>
                <w:lang w:val="lv-LV"/>
              </w:rPr>
              <w:t>protokollēmuma</w:t>
            </w:r>
            <w:proofErr w:type="spellEnd"/>
            <w:r w:rsidR="00F952CD" w:rsidRPr="0009382D">
              <w:rPr>
                <w:rFonts w:ascii="Times New Roman" w:hAnsi="Times New Roman"/>
                <w:iCs/>
                <w:sz w:val="28"/>
                <w:szCs w:val="28"/>
                <w:lang w:val="lv-LV"/>
              </w:rPr>
              <w:t xml:space="preserve"> 7.punktā dotais uzdevums ir atzīstams par aktualitāti zaudējušu</w:t>
            </w:r>
            <w:r>
              <w:rPr>
                <w:rFonts w:ascii="Times New Roman" w:hAnsi="Times New Roman"/>
                <w:iCs/>
                <w:sz w:val="28"/>
                <w:szCs w:val="28"/>
                <w:lang w:val="lv-LV"/>
              </w:rPr>
              <w:t>,</w:t>
            </w:r>
            <w:r w:rsidR="00F952CD">
              <w:rPr>
                <w:rFonts w:ascii="Times New Roman" w:hAnsi="Times New Roman"/>
                <w:iCs/>
                <w:sz w:val="28"/>
                <w:szCs w:val="28"/>
                <w:lang w:val="lv-LV"/>
              </w:rPr>
              <w:t xml:space="preserve"> jo</w:t>
            </w:r>
            <w:r>
              <w:rPr>
                <w:rFonts w:ascii="Times New Roman" w:hAnsi="Times New Roman"/>
                <w:iCs/>
                <w:sz w:val="28"/>
                <w:szCs w:val="28"/>
                <w:lang w:val="lv-LV"/>
              </w:rPr>
              <w:t xml:space="preserve"> r</w:t>
            </w:r>
            <w:r w:rsidR="00EB2B95">
              <w:rPr>
                <w:rFonts w:ascii="Times New Roman" w:hAnsi="Times New Roman"/>
                <w:iCs/>
                <w:sz w:val="28"/>
                <w:szCs w:val="28"/>
                <w:lang w:val="lv-LV"/>
              </w:rPr>
              <w:t>eglamentējošo</w:t>
            </w:r>
            <w:r w:rsidR="00D27C83" w:rsidRPr="00EE462C">
              <w:rPr>
                <w:rFonts w:ascii="Times New Roman" w:hAnsi="Times New Roman"/>
                <w:iCs/>
                <w:sz w:val="28"/>
                <w:szCs w:val="28"/>
                <w:lang w:val="lv-LV"/>
              </w:rPr>
              <w:t xml:space="preserve"> normu </w:t>
            </w:r>
            <w:r w:rsidR="004911D9">
              <w:rPr>
                <w:rFonts w:ascii="Times New Roman" w:hAnsi="Times New Roman"/>
                <w:iCs/>
                <w:sz w:val="28"/>
                <w:szCs w:val="28"/>
                <w:lang w:val="lv-LV"/>
              </w:rPr>
              <w:t>ieviešana</w:t>
            </w:r>
            <w:r w:rsidR="00EB2B95">
              <w:rPr>
                <w:rFonts w:ascii="Times New Roman" w:hAnsi="Times New Roman"/>
                <w:iCs/>
                <w:sz w:val="28"/>
                <w:szCs w:val="28"/>
                <w:lang w:val="lv-LV"/>
              </w:rPr>
              <w:t xml:space="preserve">, kas </w:t>
            </w:r>
            <w:r w:rsidR="004911D9">
              <w:rPr>
                <w:rFonts w:ascii="Times New Roman" w:hAnsi="Times New Roman"/>
                <w:iCs/>
                <w:sz w:val="28"/>
                <w:szCs w:val="28"/>
                <w:lang w:val="lv-LV"/>
              </w:rPr>
              <w:t>noteiktu, cik no</w:t>
            </w:r>
            <w:r w:rsidR="00EB2B95" w:rsidRPr="0009382D">
              <w:rPr>
                <w:rFonts w:ascii="Times New Roman" w:hAnsi="Times New Roman"/>
                <w:iCs/>
                <w:sz w:val="28"/>
                <w:szCs w:val="28"/>
                <w:lang w:val="lv-LV"/>
              </w:rPr>
              <w:t xml:space="preserve"> valsts piešķirt</w:t>
            </w:r>
            <w:r w:rsidR="004911D9" w:rsidRPr="0009382D">
              <w:rPr>
                <w:rFonts w:ascii="Times New Roman" w:hAnsi="Times New Roman"/>
                <w:iCs/>
                <w:sz w:val="28"/>
                <w:szCs w:val="28"/>
                <w:lang w:val="lv-LV"/>
              </w:rPr>
              <w:t xml:space="preserve">ās dotācijas apmēra </w:t>
            </w:r>
            <w:r w:rsidR="00EB2B95" w:rsidRPr="0009382D">
              <w:rPr>
                <w:rFonts w:ascii="Times New Roman" w:hAnsi="Times New Roman"/>
                <w:iCs/>
                <w:sz w:val="28"/>
                <w:szCs w:val="28"/>
                <w:lang w:val="lv-LV"/>
              </w:rPr>
              <w:t xml:space="preserve">viena izglītojamā ēdināšanai, tiek novirzīts pārtikas produktu iegādei, </w:t>
            </w:r>
            <w:r w:rsidR="002D027E" w:rsidRPr="0009382D">
              <w:rPr>
                <w:rFonts w:ascii="Times New Roman" w:hAnsi="Times New Roman"/>
                <w:iCs/>
                <w:sz w:val="28"/>
                <w:szCs w:val="28"/>
                <w:lang w:val="lv-LV"/>
              </w:rPr>
              <w:t>lai</w:t>
            </w:r>
            <w:r w:rsidR="00EB2B95" w:rsidRPr="0009382D">
              <w:rPr>
                <w:rFonts w:ascii="Times New Roman" w:hAnsi="Times New Roman"/>
                <w:iCs/>
                <w:sz w:val="28"/>
                <w:szCs w:val="28"/>
                <w:lang w:val="lv-LV"/>
              </w:rPr>
              <w:t xml:space="preserve"> nodrošinātu bērniem izglītības iestādēs</w:t>
            </w:r>
            <w:r w:rsidR="0067116F" w:rsidRPr="0009382D">
              <w:rPr>
                <w:rFonts w:ascii="Times New Roman" w:hAnsi="Times New Roman"/>
                <w:iCs/>
                <w:sz w:val="28"/>
                <w:szCs w:val="28"/>
                <w:lang w:val="lv-LV"/>
              </w:rPr>
              <w:t xml:space="preserve"> kvalitatīvu un uzturvielām bagātu ēdināšanu</w:t>
            </w:r>
            <w:r w:rsidR="00D872D7">
              <w:rPr>
                <w:rFonts w:ascii="Times New Roman" w:hAnsi="Times New Roman"/>
                <w:iCs/>
                <w:sz w:val="28"/>
                <w:szCs w:val="28"/>
                <w:lang w:val="lv-LV"/>
              </w:rPr>
              <w:t xml:space="preserve"> nav atbalst</w:t>
            </w:r>
            <w:r w:rsidR="001D403C">
              <w:rPr>
                <w:rFonts w:ascii="Times New Roman" w:hAnsi="Times New Roman"/>
                <w:iCs/>
                <w:sz w:val="28"/>
                <w:szCs w:val="28"/>
                <w:lang w:val="lv-LV"/>
              </w:rPr>
              <w:t>āms</w:t>
            </w:r>
            <w:r w:rsidR="006B0250" w:rsidRPr="0009382D">
              <w:rPr>
                <w:rFonts w:ascii="Times New Roman" w:hAnsi="Times New Roman"/>
                <w:iCs/>
                <w:sz w:val="28"/>
                <w:szCs w:val="28"/>
                <w:lang w:val="lv-LV"/>
              </w:rPr>
              <w:t>.</w:t>
            </w:r>
          </w:p>
        </w:tc>
      </w:tr>
      <w:tr w:rsidR="004E3C68" w:rsidRPr="00E35608"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lastRenderedPageBreak/>
              <w:t>2.</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Valsts sekretāru sanāksmes datums un numurs</w:t>
            </w:r>
          </w:p>
        </w:tc>
        <w:tc>
          <w:tcPr>
            <w:tcW w:w="3255" w:type="pct"/>
            <w:tcBorders>
              <w:top w:val="outset" w:sz="6" w:space="0" w:color="auto"/>
              <w:left w:val="outset" w:sz="6" w:space="0" w:color="auto"/>
              <w:bottom w:val="outset" w:sz="6" w:space="0" w:color="auto"/>
              <w:right w:val="outset" w:sz="6" w:space="0" w:color="auto"/>
            </w:tcBorders>
            <w:hideMark/>
          </w:tcPr>
          <w:p w:rsidR="00AE4A9B" w:rsidRPr="00431FA4" w:rsidRDefault="00B24A6D" w:rsidP="00880DD8">
            <w:pPr>
              <w:pStyle w:val="NoSpacing"/>
              <w:jc w:val="both"/>
              <w:rPr>
                <w:rFonts w:ascii="Times New Roman" w:hAnsi="Times New Roman"/>
                <w:sz w:val="28"/>
                <w:szCs w:val="28"/>
                <w:lang w:val="lv-LV"/>
              </w:rPr>
            </w:pPr>
            <w:r w:rsidRPr="00431FA4">
              <w:rPr>
                <w:rFonts w:ascii="Times New Roman" w:eastAsia="Times New Roman" w:hAnsi="Times New Roman"/>
                <w:sz w:val="28"/>
                <w:szCs w:val="28"/>
                <w:lang w:val="lv-LV" w:eastAsia="lv-LV"/>
              </w:rPr>
              <w:t xml:space="preserve">Saskaņā ar Ministru kabineta 2009. gada 7. aprīļa noteikumu Nr.300 „Ministru kabineta kārtības rullis” </w:t>
            </w:r>
            <w:r w:rsidRPr="00431FA4">
              <w:rPr>
                <w:rFonts w:ascii="Times New Roman" w:hAnsi="Times New Roman"/>
                <w:sz w:val="28"/>
                <w:szCs w:val="28"/>
                <w:lang w:val="lv-LV"/>
              </w:rPr>
              <w:t xml:space="preserve">73.1.apakšpunktu Valsts sekretāru sanāksmē nav nepieciešams izsludināt Ministru kabineta sēdes </w:t>
            </w:r>
            <w:proofErr w:type="spellStart"/>
            <w:r w:rsidRPr="00431FA4">
              <w:rPr>
                <w:rFonts w:ascii="Times New Roman" w:hAnsi="Times New Roman"/>
                <w:sz w:val="28"/>
                <w:szCs w:val="28"/>
                <w:lang w:val="lv-LV"/>
              </w:rPr>
              <w:t>protokollēmuma</w:t>
            </w:r>
            <w:proofErr w:type="spellEnd"/>
            <w:r w:rsidRPr="00431FA4">
              <w:rPr>
                <w:rFonts w:ascii="Times New Roman" w:hAnsi="Times New Roman"/>
                <w:sz w:val="28"/>
                <w:szCs w:val="28"/>
                <w:lang w:val="lv-LV"/>
              </w:rPr>
              <w:t xml:space="preserve"> projektu par Ministru kabineta sēdes </w:t>
            </w:r>
            <w:proofErr w:type="spellStart"/>
            <w:r w:rsidRPr="00431FA4">
              <w:rPr>
                <w:rFonts w:ascii="Times New Roman" w:hAnsi="Times New Roman"/>
                <w:sz w:val="28"/>
                <w:szCs w:val="28"/>
                <w:lang w:val="lv-LV"/>
              </w:rPr>
              <w:t>protokollēmumā</w:t>
            </w:r>
            <w:proofErr w:type="spellEnd"/>
            <w:r w:rsidRPr="00431FA4">
              <w:rPr>
                <w:rFonts w:ascii="Times New Roman" w:hAnsi="Times New Roman"/>
                <w:sz w:val="28"/>
                <w:szCs w:val="28"/>
                <w:lang w:val="lv-LV"/>
              </w:rPr>
              <w:t xml:space="preserve"> ministrijai dotā uzdevuma izpildi.</w:t>
            </w:r>
          </w:p>
        </w:tc>
      </w:tr>
      <w:tr w:rsidR="004E3C68" w:rsidRPr="00E35608"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3.</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Informācija par saskaņojumiem</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8F15FD" w:rsidP="00F43C03">
            <w:pPr>
              <w:pStyle w:val="NoSpacing"/>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Saskaņā ar Ministru prezidenta 2017.gada 30.marta rezolūciju Nr.18/TA-607 veikta tiesību akta projekt</w:t>
            </w:r>
            <w:r w:rsidR="00B73D6F">
              <w:rPr>
                <w:rFonts w:ascii="Times New Roman" w:eastAsia="Times New Roman" w:hAnsi="Times New Roman"/>
                <w:color w:val="000000"/>
                <w:sz w:val="28"/>
                <w:szCs w:val="28"/>
                <w:lang w:val="lv-LV" w:eastAsia="lv-LV"/>
              </w:rPr>
              <w:t>a skaņo</w:t>
            </w:r>
            <w:r w:rsidR="00431572">
              <w:rPr>
                <w:rFonts w:ascii="Times New Roman" w:eastAsia="Times New Roman" w:hAnsi="Times New Roman"/>
                <w:color w:val="000000"/>
                <w:sz w:val="28"/>
                <w:szCs w:val="28"/>
                <w:lang w:val="lv-LV" w:eastAsia="lv-LV"/>
              </w:rPr>
              <w:t>šana ar V</w:t>
            </w:r>
            <w:r w:rsidR="00B73D6F">
              <w:rPr>
                <w:rFonts w:ascii="Times New Roman" w:eastAsia="Times New Roman" w:hAnsi="Times New Roman"/>
                <w:color w:val="000000"/>
                <w:sz w:val="28"/>
                <w:szCs w:val="28"/>
                <w:lang w:val="lv-LV" w:eastAsia="lv-LV"/>
              </w:rPr>
              <w:t>eselības ministriju, Finanšu ministriju</w:t>
            </w:r>
            <w:r w:rsidR="00431572">
              <w:rPr>
                <w:rFonts w:ascii="Times New Roman" w:eastAsia="Times New Roman" w:hAnsi="Times New Roman"/>
                <w:color w:val="000000"/>
                <w:sz w:val="28"/>
                <w:szCs w:val="28"/>
                <w:lang w:val="lv-LV" w:eastAsia="lv-LV"/>
              </w:rPr>
              <w:t>, L</w:t>
            </w:r>
            <w:r w:rsidR="00B73D6F">
              <w:rPr>
                <w:rFonts w:ascii="Times New Roman" w:eastAsia="Times New Roman" w:hAnsi="Times New Roman"/>
                <w:color w:val="000000"/>
                <w:sz w:val="28"/>
                <w:szCs w:val="28"/>
                <w:lang w:val="lv-LV" w:eastAsia="lv-LV"/>
              </w:rPr>
              <w:t>abklājības ministriju, Vides aizsardzības un reģionālās attīstības ministriju un Latvijas Pašvaldību savienību.</w:t>
            </w:r>
          </w:p>
        </w:tc>
      </w:tr>
      <w:tr w:rsidR="004E3C68" w:rsidRPr="00431FA4" w:rsidTr="00412078">
        <w:trPr>
          <w:trHeight w:val="1119"/>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964DF6"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964DF6" w:rsidP="00964DF6">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Informācija p</w:t>
            </w:r>
            <w:r w:rsidR="004E3C68" w:rsidRPr="00431FA4">
              <w:rPr>
                <w:rFonts w:ascii="Times New Roman" w:eastAsia="Times New Roman" w:hAnsi="Times New Roman"/>
                <w:sz w:val="28"/>
                <w:szCs w:val="28"/>
                <w:lang w:val="lv-LV" w:eastAsia="lv-LV"/>
              </w:rPr>
              <w:t>ar saskaņojumu ar Eiropas Savienības institūcijām</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B73D6F" w:rsidP="00583E1C">
            <w:pPr>
              <w:pStyle w:val="NoSpacing"/>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Projekts šo jomu neskar.</w:t>
            </w:r>
          </w:p>
        </w:tc>
      </w:tr>
      <w:tr w:rsidR="004E3C68" w:rsidRPr="00431FA4" w:rsidTr="00412078">
        <w:trPr>
          <w:trHeight w:val="146"/>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964DF6"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Politikas joma</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Izglītības un zinātnes politika.</w:t>
            </w:r>
          </w:p>
        </w:tc>
      </w:tr>
      <w:tr w:rsidR="004E3C68" w:rsidRPr="00431FA4"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964DF6"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964DF6"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Atbildīgā amatpersona</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3C5BC1" w:rsidP="000966C8">
            <w:pPr>
              <w:pStyle w:val="NoSpacing"/>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Finanšu </w:t>
            </w:r>
            <w:r w:rsidR="00577C3E">
              <w:rPr>
                <w:rFonts w:ascii="Times New Roman" w:eastAsia="Times New Roman" w:hAnsi="Times New Roman"/>
                <w:sz w:val="28"/>
                <w:szCs w:val="28"/>
                <w:lang w:val="lv-LV" w:eastAsia="lv-LV"/>
              </w:rPr>
              <w:t xml:space="preserve">departamenta </w:t>
            </w:r>
            <w:r w:rsidR="000966C8">
              <w:rPr>
                <w:rFonts w:ascii="Times New Roman" w:eastAsia="Times New Roman" w:hAnsi="Times New Roman"/>
                <w:sz w:val="28"/>
                <w:szCs w:val="28"/>
                <w:lang w:val="lv-LV" w:eastAsia="lv-LV"/>
              </w:rPr>
              <w:t>direktore Marina Kosareva.</w:t>
            </w:r>
          </w:p>
        </w:tc>
      </w:tr>
      <w:tr w:rsidR="004E3C68" w:rsidRPr="00431FA4" w:rsidTr="00412078">
        <w:trPr>
          <w:trHeight w:val="488"/>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964DF6"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7</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Uzaicināmās personas</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Nav.</w:t>
            </w:r>
          </w:p>
        </w:tc>
      </w:tr>
      <w:tr w:rsidR="004E3C68" w:rsidRPr="00E35608" w:rsidTr="00B73D6F">
        <w:tc>
          <w:tcPr>
            <w:tcW w:w="300" w:type="pct"/>
            <w:tcBorders>
              <w:top w:val="outset" w:sz="6" w:space="0" w:color="auto"/>
              <w:left w:val="outset" w:sz="6" w:space="0" w:color="auto"/>
              <w:bottom w:val="single" w:sz="4" w:space="0" w:color="auto"/>
              <w:right w:val="outset" w:sz="6" w:space="0" w:color="auto"/>
            </w:tcBorders>
            <w:hideMark/>
          </w:tcPr>
          <w:p w:rsidR="004E3C68" w:rsidRPr="00431FA4" w:rsidRDefault="00964DF6"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8</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single" w:sz="4"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Projekta ierobežotas pieejamības statuss</w:t>
            </w:r>
          </w:p>
        </w:tc>
        <w:tc>
          <w:tcPr>
            <w:tcW w:w="3255" w:type="pct"/>
            <w:tcBorders>
              <w:top w:val="outset" w:sz="6" w:space="0" w:color="auto"/>
              <w:left w:val="outset" w:sz="6" w:space="0" w:color="auto"/>
              <w:bottom w:val="single" w:sz="4" w:space="0" w:color="auto"/>
              <w:right w:val="outset" w:sz="6" w:space="0" w:color="auto"/>
            </w:tcBorders>
            <w:hideMark/>
          </w:tcPr>
          <w:p w:rsidR="004E3C68" w:rsidRPr="00431FA4" w:rsidRDefault="008B17D1" w:rsidP="006B1E98">
            <w:pPr>
              <w:pStyle w:val="NoSpacing"/>
              <w:jc w:val="both"/>
              <w:rPr>
                <w:rFonts w:ascii="Times New Roman" w:eastAsia="Times New Roman" w:hAnsi="Times New Roman"/>
                <w:sz w:val="28"/>
                <w:szCs w:val="28"/>
                <w:lang w:val="lv-LV" w:eastAsia="lv-LV"/>
              </w:rPr>
            </w:pPr>
            <w:proofErr w:type="spellStart"/>
            <w:r>
              <w:rPr>
                <w:rFonts w:ascii="Times New Roman" w:eastAsia="Times New Roman" w:hAnsi="Times New Roman"/>
                <w:sz w:val="28"/>
                <w:szCs w:val="28"/>
                <w:lang w:val="lv-LV" w:eastAsia="lv-LV"/>
              </w:rPr>
              <w:t>Protokollēmuma</w:t>
            </w:r>
            <w:proofErr w:type="spellEnd"/>
            <w:r>
              <w:rPr>
                <w:rFonts w:ascii="Times New Roman" w:eastAsia="Times New Roman" w:hAnsi="Times New Roman"/>
                <w:sz w:val="28"/>
                <w:szCs w:val="28"/>
                <w:lang w:val="lv-LV" w:eastAsia="lv-LV"/>
              </w:rPr>
              <w:t xml:space="preserve"> p</w:t>
            </w:r>
            <w:r w:rsidR="004E3C68" w:rsidRPr="00431FA4">
              <w:rPr>
                <w:rFonts w:ascii="Times New Roman" w:eastAsia="Times New Roman" w:hAnsi="Times New Roman"/>
                <w:sz w:val="28"/>
                <w:szCs w:val="28"/>
                <w:lang w:val="lv-LV" w:eastAsia="lv-LV"/>
              </w:rPr>
              <w:t>rojektam nav ierobežotas pieejamības statusa.</w:t>
            </w:r>
          </w:p>
        </w:tc>
      </w:tr>
      <w:tr w:rsidR="004E3C68" w:rsidRPr="00431FA4" w:rsidTr="00B73D6F">
        <w:trPr>
          <w:trHeight w:val="712"/>
        </w:trPr>
        <w:tc>
          <w:tcPr>
            <w:tcW w:w="300" w:type="pct"/>
            <w:tcBorders>
              <w:top w:val="single" w:sz="4" w:space="0" w:color="auto"/>
              <w:left w:val="single" w:sz="4" w:space="0" w:color="auto"/>
              <w:bottom w:val="single" w:sz="4" w:space="0" w:color="auto"/>
              <w:right w:val="single" w:sz="4" w:space="0" w:color="auto"/>
            </w:tcBorders>
            <w:hideMark/>
          </w:tcPr>
          <w:p w:rsidR="004E3C68" w:rsidRPr="00431FA4" w:rsidRDefault="00964DF6"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9</w:t>
            </w:r>
            <w:r w:rsidR="004E3C68" w:rsidRPr="00431FA4">
              <w:rPr>
                <w:rFonts w:ascii="Times New Roman" w:eastAsia="Times New Roman" w:hAnsi="Times New Roman"/>
                <w:sz w:val="28"/>
                <w:szCs w:val="28"/>
                <w:lang w:val="lv-LV" w:eastAsia="lv-LV"/>
              </w:rPr>
              <w:t>.</w:t>
            </w:r>
          </w:p>
        </w:tc>
        <w:tc>
          <w:tcPr>
            <w:tcW w:w="1445" w:type="pct"/>
            <w:tcBorders>
              <w:top w:val="single" w:sz="4" w:space="0" w:color="auto"/>
              <w:left w:val="single" w:sz="4" w:space="0" w:color="auto"/>
              <w:bottom w:val="single" w:sz="4" w:space="0" w:color="auto"/>
              <w:right w:val="single" w:sz="4" w:space="0" w:color="auto"/>
            </w:tcBorders>
            <w:hideMark/>
          </w:tcPr>
          <w:p w:rsidR="004E3C68" w:rsidRPr="00431FA4" w:rsidRDefault="004E3C68" w:rsidP="00964DF6">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Cita informācija</w:t>
            </w:r>
          </w:p>
        </w:tc>
        <w:tc>
          <w:tcPr>
            <w:tcW w:w="3255" w:type="pct"/>
            <w:tcBorders>
              <w:top w:val="single" w:sz="4" w:space="0" w:color="auto"/>
              <w:left w:val="single" w:sz="4" w:space="0" w:color="auto"/>
              <w:bottom w:val="single" w:sz="4" w:space="0" w:color="auto"/>
              <w:right w:val="single" w:sz="4" w:space="0" w:color="auto"/>
            </w:tcBorders>
            <w:hideMark/>
          </w:tcPr>
          <w:p w:rsidR="004E3C68" w:rsidRPr="00220DC1" w:rsidRDefault="004E3C68" w:rsidP="00E4706D">
            <w:pPr>
              <w:pStyle w:val="NoSpacing"/>
              <w:jc w:val="both"/>
              <w:rPr>
                <w:rFonts w:ascii="Times New Roman" w:eastAsia="Times New Roman" w:hAnsi="Times New Roman"/>
                <w:sz w:val="28"/>
                <w:szCs w:val="28"/>
                <w:lang w:val="lv-LV" w:eastAsia="lv-LV"/>
              </w:rPr>
            </w:pPr>
          </w:p>
        </w:tc>
      </w:tr>
      <w:tr w:rsidR="00B73D6F" w:rsidRPr="00431FA4" w:rsidTr="00B73D6F">
        <w:trPr>
          <w:trHeight w:val="712"/>
        </w:trPr>
        <w:tc>
          <w:tcPr>
            <w:tcW w:w="300"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spacing w:after="0" w:line="240" w:lineRule="auto"/>
              <w:jc w:val="center"/>
              <w:rPr>
                <w:rFonts w:ascii="Times New Roman" w:hAnsi="Times New Roman"/>
                <w:sz w:val="28"/>
                <w:szCs w:val="28"/>
                <w:lang w:val="lv-LV"/>
              </w:rPr>
            </w:pPr>
            <w:r w:rsidRPr="00426385">
              <w:rPr>
                <w:rFonts w:ascii="Times New Roman" w:hAnsi="Times New Roman"/>
                <w:sz w:val="28"/>
                <w:szCs w:val="28"/>
                <w:lang w:val="lv-LV"/>
              </w:rPr>
              <w:t>10.</w:t>
            </w:r>
          </w:p>
        </w:tc>
        <w:tc>
          <w:tcPr>
            <w:tcW w:w="1445"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spacing w:after="0" w:line="240" w:lineRule="auto"/>
              <w:rPr>
                <w:rFonts w:ascii="Times New Roman" w:hAnsi="Times New Roman"/>
                <w:sz w:val="28"/>
                <w:szCs w:val="28"/>
                <w:lang w:val="lv-LV"/>
              </w:rPr>
            </w:pPr>
            <w:r w:rsidRPr="00426385">
              <w:rPr>
                <w:rFonts w:ascii="Times New Roman" w:hAnsi="Times New Roman"/>
                <w:sz w:val="28"/>
                <w:szCs w:val="28"/>
                <w:lang w:val="lv-LV"/>
              </w:rPr>
              <w:t>Saistība ar ārkārtējās situācijas vai izņēmuma stāvokļa noteikšanu valstī</w:t>
            </w:r>
          </w:p>
        </w:tc>
        <w:tc>
          <w:tcPr>
            <w:tcW w:w="3255"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tabs>
                <w:tab w:val="left" w:pos="1304"/>
              </w:tabs>
              <w:spacing w:after="0" w:line="240" w:lineRule="auto"/>
              <w:ind w:left="70" w:right="24"/>
              <w:jc w:val="both"/>
              <w:rPr>
                <w:rFonts w:ascii="Times New Roman" w:hAnsi="Times New Roman"/>
                <w:iCs/>
                <w:sz w:val="28"/>
                <w:szCs w:val="28"/>
                <w:lang w:val="lv-LV"/>
              </w:rPr>
            </w:pPr>
            <w:r w:rsidRPr="00426385">
              <w:rPr>
                <w:rFonts w:ascii="Times New Roman" w:hAnsi="Times New Roman"/>
                <w:iCs/>
                <w:sz w:val="28"/>
                <w:szCs w:val="28"/>
                <w:lang w:val="lv-LV"/>
              </w:rPr>
              <w:t>Projekts šo jomu neskar.</w:t>
            </w:r>
          </w:p>
        </w:tc>
      </w:tr>
      <w:tr w:rsidR="00B73D6F" w:rsidRPr="00E35608" w:rsidTr="0045032C">
        <w:trPr>
          <w:trHeight w:val="712"/>
        </w:trPr>
        <w:tc>
          <w:tcPr>
            <w:tcW w:w="300"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spacing w:after="0" w:line="240" w:lineRule="auto"/>
              <w:jc w:val="center"/>
              <w:rPr>
                <w:rFonts w:ascii="Times New Roman" w:hAnsi="Times New Roman"/>
                <w:sz w:val="28"/>
                <w:szCs w:val="28"/>
                <w:lang w:val="lv-LV"/>
              </w:rPr>
            </w:pPr>
            <w:r w:rsidRPr="00426385">
              <w:rPr>
                <w:rFonts w:ascii="Times New Roman" w:hAnsi="Times New Roman"/>
                <w:sz w:val="28"/>
                <w:szCs w:val="28"/>
                <w:lang w:val="lv-LV"/>
              </w:rPr>
              <w:t>11.</w:t>
            </w:r>
          </w:p>
        </w:tc>
        <w:tc>
          <w:tcPr>
            <w:tcW w:w="1445"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spacing w:after="0" w:line="240" w:lineRule="auto"/>
              <w:ind w:left="72"/>
              <w:rPr>
                <w:rFonts w:ascii="Times New Roman" w:hAnsi="Times New Roman"/>
                <w:sz w:val="28"/>
                <w:szCs w:val="28"/>
                <w:lang w:val="lv-LV"/>
              </w:rPr>
            </w:pPr>
            <w:r w:rsidRPr="00426385">
              <w:rPr>
                <w:rFonts w:ascii="Times New Roman" w:hAnsi="Times New Roman"/>
                <w:sz w:val="28"/>
                <w:szCs w:val="28"/>
                <w:lang w:val="lv-LV"/>
              </w:rPr>
              <w:t>Ministru kabineta lietas pamatojums</w:t>
            </w:r>
          </w:p>
        </w:tc>
        <w:tc>
          <w:tcPr>
            <w:tcW w:w="3255" w:type="pct"/>
            <w:tcBorders>
              <w:top w:val="single" w:sz="4" w:space="0" w:color="auto"/>
              <w:left w:val="single" w:sz="4" w:space="0" w:color="auto"/>
              <w:bottom w:val="single" w:sz="4" w:space="0" w:color="auto"/>
              <w:right w:val="single" w:sz="4" w:space="0" w:color="auto"/>
            </w:tcBorders>
          </w:tcPr>
          <w:p w:rsidR="00B73D6F" w:rsidRPr="00426385" w:rsidRDefault="00B73D6F" w:rsidP="00B73D6F">
            <w:pPr>
              <w:spacing w:after="0" w:line="240" w:lineRule="auto"/>
              <w:ind w:left="70"/>
              <w:jc w:val="both"/>
              <w:rPr>
                <w:rFonts w:ascii="Times New Roman" w:hAnsi="Times New Roman"/>
                <w:sz w:val="28"/>
                <w:szCs w:val="28"/>
                <w:lang w:val="lv-LV"/>
              </w:rPr>
            </w:pPr>
            <w:r w:rsidRPr="00426385">
              <w:rPr>
                <w:rFonts w:ascii="Times New Roman" w:hAnsi="Times New Roman"/>
                <w:sz w:val="28"/>
                <w:szCs w:val="28"/>
                <w:lang w:val="lv-LV"/>
              </w:rPr>
              <w:t xml:space="preserve">Nav panākta vienošanās ar </w:t>
            </w:r>
            <w:r>
              <w:rPr>
                <w:rFonts w:ascii="Times New Roman" w:hAnsi="Times New Roman"/>
                <w:sz w:val="28"/>
                <w:szCs w:val="28"/>
                <w:lang w:val="lv-LV"/>
              </w:rPr>
              <w:t>Veselības ministriju un Labklājības ministriju.</w:t>
            </w:r>
          </w:p>
        </w:tc>
      </w:tr>
    </w:tbl>
    <w:p w:rsidR="004E3C68" w:rsidRPr="00431FA4" w:rsidRDefault="004E3C68" w:rsidP="00D31D5B">
      <w:pPr>
        <w:widowControl/>
        <w:spacing w:after="0" w:line="240" w:lineRule="auto"/>
        <w:rPr>
          <w:rFonts w:ascii="Times New Roman" w:eastAsia="Times New Roman" w:hAnsi="Times New Roman"/>
          <w:szCs w:val="24"/>
          <w:lang w:val="lv-LV" w:eastAsia="lv-LV"/>
        </w:rPr>
      </w:pPr>
    </w:p>
    <w:p w:rsidR="00412078" w:rsidRDefault="004E3C68" w:rsidP="00D31D5B">
      <w:pPr>
        <w:widowControl/>
        <w:tabs>
          <w:tab w:val="left" w:pos="284"/>
        </w:tabs>
        <w:spacing w:after="0" w:line="240" w:lineRule="auto"/>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 xml:space="preserve">Pielikumā: </w:t>
      </w:r>
    </w:p>
    <w:p w:rsidR="004E3C68" w:rsidRDefault="00F66622" w:rsidP="00B73D6F">
      <w:pPr>
        <w:pStyle w:val="ListParagraph"/>
        <w:numPr>
          <w:ilvl w:val="0"/>
          <w:numId w:val="17"/>
        </w:numPr>
        <w:tabs>
          <w:tab w:val="left" w:pos="284"/>
        </w:tabs>
        <w:spacing w:after="0" w:line="240" w:lineRule="auto"/>
        <w:jc w:val="both"/>
        <w:rPr>
          <w:rFonts w:ascii="Times New Roman" w:eastAsia="Times New Roman" w:hAnsi="Times New Roman"/>
          <w:sz w:val="28"/>
          <w:szCs w:val="28"/>
          <w:lang w:eastAsia="lv-LV"/>
        </w:rPr>
      </w:pPr>
      <w:r w:rsidRPr="00B73D6F">
        <w:rPr>
          <w:rFonts w:ascii="Times New Roman" w:hAnsi="Times New Roman"/>
          <w:bCs/>
          <w:sz w:val="28"/>
          <w:szCs w:val="28"/>
        </w:rPr>
        <w:t xml:space="preserve">Ministru kabineta sēdes </w:t>
      </w:r>
      <w:proofErr w:type="spellStart"/>
      <w:r w:rsidRPr="00B73D6F">
        <w:rPr>
          <w:rFonts w:ascii="Times New Roman" w:hAnsi="Times New Roman"/>
          <w:bCs/>
          <w:sz w:val="28"/>
          <w:szCs w:val="28"/>
        </w:rPr>
        <w:t>protokollēmuma</w:t>
      </w:r>
      <w:proofErr w:type="spellEnd"/>
      <w:r w:rsidRPr="00B73D6F">
        <w:rPr>
          <w:rFonts w:ascii="Times New Roman" w:hAnsi="Times New Roman"/>
          <w:bCs/>
          <w:sz w:val="28"/>
          <w:szCs w:val="28"/>
        </w:rPr>
        <w:t xml:space="preserve"> </w:t>
      </w:r>
      <w:r w:rsidR="007A4878" w:rsidRPr="00B73D6F">
        <w:rPr>
          <w:rFonts w:ascii="Times New Roman" w:hAnsi="Times New Roman"/>
          <w:bCs/>
          <w:sz w:val="28"/>
          <w:szCs w:val="28"/>
        </w:rPr>
        <w:t xml:space="preserve">„Par Ministru kabineta 2015. gada 11. augusta sēdes </w:t>
      </w:r>
      <w:proofErr w:type="spellStart"/>
      <w:r w:rsidR="007A4878" w:rsidRPr="00B73D6F">
        <w:rPr>
          <w:rFonts w:ascii="Times New Roman" w:hAnsi="Times New Roman"/>
          <w:bCs/>
          <w:sz w:val="28"/>
          <w:szCs w:val="28"/>
        </w:rPr>
        <w:t>protokollēmuma</w:t>
      </w:r>
      <w:proofErr w:type="spellEnd"/>
      <w:r w:rsidR="007A4878" w:rsidRPr="00B73D6F">
        <w:rPr>
          <w:rFonts w:ascii="Times New Roman" w:hAnsi="Times New Roman"/>
          <w:bCs/>
          <w:sz w:val="28"/>
          <w:szCs w:val="28"/>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 7.punktā dotā uzdevuma </w:t>
      </w:r>
      <w:r w:rsidR="00964DF6" w:rsidRPr="00B73D6F">
        <w:rPr>
          <w:rFonts w:ascii="Times New Roman" w:hAnsi="Times New Roman"/>
          <w:bCs/>
          <w:sz w:val="28"/>
          <w:szCs w:val="28"/>
        </w:rPr>
        <w:t>atzīšanu par aktualitāti zaudējušu</w:t>
      </w:r>
      <w:r w:rsidR="00BF0FF9" w:rsidRPr="00B73D6F">
        <w:rPr>
          <w:rFonts w:ascii="Times New Roman" w:hAnsi="Times New Roman"/>
          <w:bCs/>
          <w:sz w:val="28"/>
          <w:szCs w:val="28"/>
        </w:rPr>
        <w:t>” projekts</w:t>
      </w:r>
      <w:r w:rsidR="00964DF6" w:rsidRPr="00B73D6F">
        <w:rPr>
          <w:rFonts w:ascii="Times New Roman" w:hAnsi="Times New Roman"/>
          <w:bCs/>
          <w:sz w:val="28"/>
          <w:szCs w:val="28"/>
        </w:rPr>
        <w:t xml:space="preserve"> </w:t>
      </w:r>
      <w:r w:rsidR="004E3C68" w:rsidRPr="00B73D6F">
        <w:rPr>
          <w:rFonts w:ascii="Times New Roman" w:hAnsi="Times New Roman"/>
          <w:bCs/>
          <w:sz w:val="28"/>
          <w:szCs w:val="28"/>
        </w:rPr>
        <w:t>(</w:t>
      </w:r>
      <w:r w:rsidR="006E5CA3" w:rsidRPr="00B73D6F">
        <w:rPr>
          <w:rFonts w:ascii="Times New Roman" w:hAnsi="Times New Roman"/>
          <w:bCs/>
          <w:sz w:val="28"/>
          <w:szCs w:val="28"/>
        </w:rPr>
        <w:t xml:space="preserve">datne: </w:t>
      </w:r>
      <w:r w:rsidR="004E3C68" w:rsidRPr="00B73D6F">
        <w:rPr>
          <w:rFonts w:ascii="Times New Roman" w:hAnsi="Times New Roman"/>
          <w:bCs/>
          <w:sz w:val="28"/>
          <w:szCs w:val="28"/>
        </w:rPr>
        <w:t>IZMProt_</w:t>
      </w:r>
      <w:r w:rsidR="00AC3ACE">
        <w:rPr>
          <w:rFonts w:ascii="Times New Roman" w:hAnsi="Times New Roman"/>
          <w:bCs/>
          <w:sz w:val="28"/>
          <w:szCs w:val="28"/>
        </w:rPr>
        <w:t>3110</w:t>
      </w:r>
      <w:r w:rsidR="00AC3ACE" w:rsidRPr="00B73D6F">
        <w:rPr>
          <w:rFonts w:ascii="Times New Roman" w:hAnsi="Times New Roman"/>
          <w:bCs/>
          <w:sz w:val="28"/>
          <w:szCs w:val="28"/>
        </w:rPr>
        <w:t>17</w:t>
      </w:r>
      <w:r w:rsidR="004E3C68" w:rsidRPr="00B73D6F">
        <w:rPr>
          <w:rFonts w:ascii="Times New Roman" w:hAnsi="Times New Roman"/>
          <w:bCs/>
          <w:sz w:val="28"/>
          <w:szCs w:val="28"/>
        </w:rPr>
        <w:t>_</w:t>
      </w:r>
      <w:r w:rsidR="007A4878" w:rsidRPr="00B73D6F">
        <w:rPr>
          <w:rFonts w:ascii="Times New Roman" w:hAnsi="Times New Roman"/>
          <w:bCs/>
          <w:sz w:val="28"/>
          <w:szCs w:val="28"/>
        </w:rPr>
        <w:t>pro</w:t>
      </w:r>
      <w:r w:rsidR="00964DF6" w:rsidRPr="00B73D6F">
        <w:rPr>
          <w:rFonts w:ascii="Times New Roman" w:hAnsi="Times New Roman"/>
          <w:bCs/>
          <w:sz w:val="28"/>
          <w:szCs w:val="28"/>
        </w:rPr>
        <w:t>t</w:t>
      </w:r>
      <w:r w:rsidR="007A4878" w:rsidRPr="00B73D6F">
        <w:rPr>
          <w:rFonts w:ascii="Times New Roman" w:hAnsi="Times New Roman"/>
          <w:bCs/>
          <w:sz w:val="28"/>
          <w:szCs w:val="28"/>
        </w:rPr>
        <w:t>38</w:t>
      </w:r>
      <w:r w:rsidR="00964DF6" w:rsidRPr="00B73D6F">
        <w:rPr>
          <w:rFonts w:ascii="Times New Roman" w:hAnsi="Times New Roman"/>
          <w:bCs/>
          <w:sz w:val="28"/>
          <w:szCs w:val="28"/>
        </w:rPr>
        <w:t>)</w:t>
      </w:r>
      <w:r w:rsidR="007A4878" w:rsidRPr="00B73D6F">
        <w:rPr>
          <w:rFonts w:ascii="Times New Roman" w:hAnsi="Times New Roman"/>
          <w:bCs/>
          <w:sz w:val="28"/>
          <w:szCs w:val="28"/>
        </w:rPr>
        <w:t xml:space="preserve"> </w:t>
      </w:r>
      <w:r w:rsidR="004E3C68" w:rsidRPr="00B73D6F">
        <w:rPr>
          <w:rFonts w:ascii="Times New Roman" w:hAnsi="Times New Roman"/>
          <w:bCs/>
          <w:sz w:val="28"/>
          <w:szCs w:val="28"/>
        </w:rPr>
        <w:t>uz</w:t>
      </w:r>
      <w:r w:rsidR="004E3C68" w:rsidRPr="00B73D6F">
        <w:rPr>
          <w:rFonts w:ascii="Times New Roman" w:eastAsia="Times New Roman" w:hAnsi="Times New Roman"/>
          <w:sz w:val="28"/>
          <w:szCs w:val="28"/>
          <w:lang w:eastAsia="lv-LV"/>
        </w:rPr>
        <w:t xml:space="preserve"> 1 </w:t>
      </w:r>
      <w:proofErr w:type="spellStart"/>
      <w:r w:rsidR="004E3C68" w:rsidRPr="00B73D6F">
        <w:rPr>
          <w:rFonts w:ascii="Times New Roman" w:eastAsia="Times New Roman" w:hAnsi="Times New Roman"/>
          <w:sz w:val="28"/>
          <w:szCs w:val="28"/>
          <w:lang w:eastAsia="lv-LV"/>
        </w:rPr>
        <w:t>lp</w:t>
      </w:r>
      <w:proofErr w:type="spellEnd"/>
      <w:r w:rsidR="004E3C68" w:rsidRPr="00B73D6F">
        <w:rPr>
          <w:rFonts w:ascii="Times New Roman" w:eastAsia="Times New Roman" w:hAnsi="Times New Roman"/>
          <w:sz w:val="28"/>
          <w:szCs w:val="28"/>
          <w:lang w:eastAsia="lv-LV"/>
        </w:rPr>
        <w:t>.</w:t>
      </w:r>
    </w:p>
    <w:p w:rsidR="008A2CE5" w:rsidRDefault="008A2CE5" w:rsidP="008A2CE5">
      <w:pPr>
        <w:pStyle w:val="ListParagraph"/>
        <w:numPr>
          <w:ilvl w:val="0"/>
          <w:numId w:val="17"/>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Finanšu ministrijas 2017.gada</w:t>
      </w:r>
      <w:r w:rsidR="006025AE">
        <w:rPr>
          <w:rFonts w:ascii="Times New Roman" w:eastAsia="Times New Roman" w:hAnsi="Times New Roman"/>
          <w:sz w:val="28"/>
          <w:szCs w:val="28"/>
          <w:lang w:eastAsia="lv-LV"/>
        </w:rPr>
        <w:t xml:space="preserve"> 6</w:t>
      </w:r>
      <w:r>
        <w:rPr>
          <w:rFonts w:ascii="Times New Roman" w:eastAsia="Times New Roman" w:hAnsi="Times New Roman"/>
          <w:sz w:val="28"/>
          <w:szCs w:val="28"/>
          <w:lang w:eastAsia="lv-LV"/>
        </w:rPr>
        <w:t>.aprīļa vēstule Nr.</w:t>
      </w:r>
      <w:r w:rsidR="006025AE">
        <w:rPr>
          <w:rFonts w:ascii="Times New Roman" w:eastAsia="Times New Roman" w:hAnsi="Times New Roman"/>
          <w:sz w:val="28"/>
          <w:szCs w:val="28"/>
          <w:lang w:eastAsia="lv-LV"/>
        </w:rPr>
        <w:t>A-IZM-2/2896</w:t>
      </w:r>
      <w:r>
        <w:rPr>
          <w:rFonts w:ascii="Times New Roman" w:eastAsia="Times New Roman" w:hAnsi="Times New Roman"/>
          <w:sz w:val="28"/>
          <w:szCs w:val="28"/>
          <w:lang w:eastAsia="lv-LV"/>
        </w:rPr>
        <w:t xml:space="preserve"> uz 1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(datne: FMnos_060417_2896);</w:t>
      </w:r>
    </w:p>
    <w:p w:rsidR="008A2CE5" w:rsidRPr="00076749" w:rsidRDefault="00076749" w:rsidP="00076749">
      <w:pPr>
        <w:pStyle w:val="ListParagraph"/>
        <w:numPr>
          <w:ilvl w:val="0"/>
          <w:numId w:val="17"/>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color w:val="000000"/>
          <w:sz w:val="28"/>
          <w:szCs w:val="28"/>
          <w:lang w:eastAsia="lv-LV"/>
        </w:rPr>
        <w:t xml:space="preserve">Latvijas Pašvaldību savienības 2017.gada </w:t>
      </w:r>
      <w:r w:rsidR="006025AE">
        <w:rPr>
          <w:rFonts w:ascii="Times New Roman" w:eastAsia="Times New Roman" w:hAnsi="Times New Roman"/>
          <w:color w:val="000000"/>
          <w:sz w:val="28"/>
          <w:szCs w:val="28"/>
          <w:lang w:eastAsia="lv-LV"/>
        </w:rPr>
        <w:t>11</w:t>
      </w:r>
      <w:r>
        <w:rPr>
          <w:rFonts w:ascii="Times New Roman" w:eastAsia="Times New Roman" w:hAnsi="Times New Roman"/>
          <w:color w:val="000000"/>
          <w:sz w:val="28"/>
          <w:szCs w:val="28"/>
          <w:lang w:eastAsia="lv-LV"/>
        </w:rPr>
        <w:t>.aprīļa vēstule Nr.</w:t>
      </w:r>
      <w:r w:rsidR="006025AE">
        <w:rPr>
          <w:rFonts w:ascii="Times New Roman" w:eastAsia="Times New Roman" w:hAnsi="Times New Roman"/>
          <w:color w:val="000000"/>
          <w:sz w:val="28"/>
          <w:szCs w:val="28"/>
          <w:lang w:eastAsia="lv-LV"/>
        </w:rPr>
        <w:t>0320170881/A569</w:t>
      </w:r>
      <w:r>
        <w:rPr>
          <w:rFonts w:ascii="Times New Roman" w:eastAsia="Times New Roman" w:hAnsi="Times New Roman"/>
          <w:color w:val="000000"/>
          <w:sz w:val="28"/>
          <w:szCs w:val="28"/>
          <w:lang w:eastAsia="lv-LV"/>
        </w:rPr>
        <w:t xml:space="preserve"> uz 1 </w:t>
      </w:r>
      <w:proofErr w:type="spellStart"/>
      <w:r>
        <w:rPr>
          <w:rFonts w:ascii="Times New Roman" w:eastAsia="Times New Roman" w:hAnsi="Times New Roman"/>
          <w:color w:val="000000"/>
          <w:sz w:val="28"/>
          <w:szCs w:val="28"/>
          <w:lang w:eastAsia="lv-LV"/>
        </w:rPr>
        <w:t>lp</w:t>
      </w:r>
      <w:proofErr w:type="spellEnd"/>
      <w:r>
        <w:rPr>
          <w:rFonts w:ascii="Times New Roman" w:eastAsia="Times New Roman" w:hAnsi="Times New Roman"/>
          <w:color w:val="000000"/>
          <w:sz w:val="28"/>
          <w:szCs w:val="28"/>
          <w:lang w:eastAsia="lv-LV"/>
        </w:rPr>
        <w:t>.</w:t>
      </w:r>
      <w:r w:rsidR="00C12F77">
        <w:rPr>
          <w:rFonts w:ascii="Times New Roman" w:eastAsia="Times New Roman" w:hAnsi="Times New Roman"/>
          <w:color w:val="000000"/>
          <w:sz w:val="28"/>
          <w:szCs w:val="28"/>
          <w:lang w:eastAsia="lv-LV"/>
        </w:rPr>
        <w:t xml:space="preserve"> (datne: LP</w:t>
      </w:r>
      <w:r>
        <w:rPr>
          <w:rFonts w:ascii="Times New Roman" w:eastAsia="Times New Roman" w:hAnsi="Times New Roman"/>
          <w:color w:val="000000"/>
          <w:sz w:val="28"/>
          <w:szCs w:val="28"/>
          <w:lang w:eastAsia="lv-LV"/>
        </w:rPr>
        <w:t>Satz_110417_0320170881);</w:t>
      </w:r>
    </w:p>
    <w:p w:rsidR="008A2CE5" w:rsidRDefault="008A2CE5" w:rsidP="008A2CE5">
      <w:pPr>
        <w:pStyle w:val="ListParagraph"/>
        <w:numPr>
          <w:ilvl w:val="0"/>
          <w:numId w:val="17"/>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Labklājības ministrijas 2017.gada 13.aprīļa vēstule Nr.</w:t>
      </w:r>
      <w:r w:rsidR="006025AE">
        <w:rPr>
          <w:rFonts w:ascii="Times New Roman" w:eastAsia="Times New Roman" w:hAnsi="Times New Roman"/>
          <w:sz w:val="28"/>
          <w:szCs w:val="28"/>
          <w:lang w:eastAsia="lv-LV"/>
        </w:rPr>
        <w:t>A-21-09/45</w:t>
      </w:r>
      <w:r>
        <w:rPr>
          <w:rFonts w:ascii="Times New Roman" w:eastAsia="Times New Roman" w:hAnsi="Times New Roman"/>
          <w:sz w:val="28"/>
          <w:szCs w:val="28"/>
          <w:lang w:eastAsia="lv-LV"/>
        </w:rPr>
        <w:t xml:space="preserve"> uz 2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(datne: LMAtz_120417_VK_brivpusd);</w:t>
      </w:r>
    </w:p>
    <w:p w:rsidR="00B73D6F" w:rsidRDefault="002B7B41" w:rsidP="00B73D6F">
      <w:pPr>
        <w:pStyle w:val="ListParagraph"/>
        <w:numPr>
          <w:ilvl w:val="0"/>
          <w:numId w:val="17"/>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Veselības ministrijas </w:t>
      </w:r>
      <w:r w:rsidR="008A2CE5">
        <w:rPr>
          <w:rFonts w:ascii="Times New Roman" w:eastAsia="Times New Roman" w:hAnsi="Times New Roman"/>
          <w:sz w:val="28"/>
          <w:szCs w:val="28"/>
          <w:lang w:eastAsia="lv-LV"/>
        </w:rPr>
        <w:t xml:space="preserve">2017.gada </w:t>
      </w:r>
      <w:r w:rsidR="006025AE">
        <w:rPr>
          <w:rFonts w:ascii="Times New Roman" w:eastAsia="Times New Roman" w:hAnsi="Times New Roman"/>
          <w:sz w:val="28"/>
          <w:szCs w:val="28"/>
          <w:lang w:eastAsia="lv-LV"/>
        </w:rPr>
        <w:t>13</w:t>
      </w:r>
      <w:r w:rsidR="008A2CE5">
        <w:rPr>
          <w:rFonts w:ascii="Times New Roman" w:eastAsia="Times New Roman" w:hAnsi="Times New Roman"/>
          <w:sz w:val="28"/>
          <w:szCs w:val="28"/>
          <w:lang w:eastAsia="lv-LV"/>
        </w:rPr>
        <w:t>.aprīļa</w:t>
      </w:r>
      <w:r>
        <w:rPr>
          <w:rFonts w:ascii="Times New Roman" w:eastAsia="Times New Roman" w:hAnsi="Times New Roman"/>
          <w:sz w:val="28"/>
          <w:szCs w:val="28"/>
          <w:lang w:eastAsia="lv-LV"/>
        </w:rPr>
        <w:t xml:space="preserve"> </w:t>
      </w:r>
      <w:r w:rsidR="008A2CE5">
        <w:rPr>
          <w:rFonts w:ascii="Times New Roman" w:eastAsia="Times New Roman" w:hAnsi="Times New Roman"/>
          <w:sz w:val="28"/>
          <w:szCs w:val="28"/>
          <w:lang w:eastAsia="lv-LV"/>
        </w:rPr>
        <w:t>v</w:t>
      </w:r>
      <w:r>
        <w:rPr>
          <w:rFonts w:ascii="Times New Roman" w:eastAsia="Times New Roman" w:hAnsi="Times New Roman"/>
          <w:sz w:val="28"/>
          <w:szCs w:val="28"/>
          <w:lang w:eastAsia="lv-LV"/>
        </w:rPr>
        <w:t>ēstule Nr.</w:t>
      </w:r>
      <w:r w:rsidR="006025AE">
        <w:rPr>
          <w:rFonts w:ascii="Times New Roman" w:eastAsia="Times New Roman" w:hAnsi="Times New Roman"/>
          <w:sz w:val="28"/>
          <w:szCs w:val="28"/>
          <w:lang w:eastAsia="lv-LV"/>
        </w:rPr>
        <w:t>01-09/1748</w:t>
      </w:r>
      <w:r>
        <w:rPr>
          <w:rFonts w:ascii="Times New Roman" w:eastAsia="Times New Roman" w:hAnsi="Times New Roman"/>
          <w:sz w:val="28"/>
          <w:szCs w:val="28"/>
          <w:lang w:eastAsia="lv-LV"/>
        </w:rPr>
        <w:t xml:space="preserve"> </w:t>
      </w:r>
      <w:r w:rsidR="008A2CE5">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z 2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(datne:VMatz_130417_brivp);</w:t>
      </w:r>
    </w:p>
    <w:p w:rsidR="00200BD2" w:rsidRPr="00412078" w:rsidRDefault="002B7B41" w:rsidP="00B24A6D">
      <w:pPr>
        <w:pStyle w:val="ListParagraph"/>
        <w:numPr>
          <w:ilvl w:val="0"/>
          <w:numId w:val="17"/>
        </w:numPr>
        <w:tabs>
          <w:tab w:val="left" w:pos="284"/>
        </w:tabs>
        <w:spacing w:after="0" w:line="240" w:lineRule="auto"/>
        <w:jc w:val="both"/>
        <w:rPr>
          <w:lang w:eastAsia="lv-LV"/>
        </w:rPr>
      </w:pPr>
      <w:r w:rsidRPr="00BF48B0">
        <w:rPr>
          <w:rFonts w:ascii="Times New Roman" w:eastAsia="Times New Roman" w:hAnsi="Times New Roman"/>
          <w:sz w:val="28"/>
          <w:szCs w:val="28"/>
          <w:lang w:eastAsia="lv-LV"/>
        </w:rPr>
        <w:t>Vides aizsardzības un reģionālās attīstības ministrijas</w:t>
      </w:r>
      <w:r w:rsidR="008A2CE5" w:rsidRPr="00BF48B0">
        <w:rPr>
          <w:rFonts w:ascii="Times New Roman" w:eastAsia="Times New Roman" w:hAnsi="Times New Roman"/>
          <w:sz w:val="28"/>
          <w:szCs w:val="28"/>
          <w:lang w:eastAsia="lv-LV"/>
        </w:rPr>
        <w:t xml:space="preserve"> 2017.gada 20.aprīļa</w:t>
      </w:r>
      <w:r w:rsidRPr="00BF48B0">
        <w:rPr>
          <w:rFonts w:ascii="Times New Roman" w:eastAsia="Times New Roman" w:hAnsi="Times New Roman"/>
          <w:sz w:val="28"/>
          <w:szCs w:val="28"/>
          <w:lang w:eastAsia="lv-LV"/>
        </w:rPr>
        <w:t xml:space="preserve"> e-pasta vēstule</w:t>
      </w:r>
      <w:r w:rsidR="006025AE" w:rsidRPr="00BF48B0">
        <w:rPr>
          <w:rFonts w:ascii="Times New Roman" w:eastAsia="Times New Roman" w:hAnsi="Times New Roman"/>
          <w:sz w:val="28"/>
          <w:szCs w:val="28"/>
          <w:lang w:eastAsia="lv-LV"/>
        </w:rPr>
        <w:t xml:space="preserve"> Nr.1-15/3206</w:t>
      </w:r>
      <w:r w:rsidR="00BF48B0" w:rsidRPr="00BF48B0">
        <w:rPr>
          <w:rFonts w:ascii="Times New Roman" w:eastAsia="Times New Roman" w:hAnsi="Times New Roman"/>
          <w:sz w:val="28"/>
          <w:szCs w:val="28"/>
          <w:lang w:eastAsia="lv-LV"/>
        </w:rPr>
        <w:t xml:space="preserve"> </w:t>
      </w:r>
      <w:r w:rsidRPr="00BF48B0">
        <w:rPr>
          <w:rFonts w:ascii="Times New Roman" w:eastAsia="Times New Roman" w:hAnsi="Times New Roman"/>
          <w:sz w:val="28"/>
          <w:szCs w:val="28"/>
          <w:lang w:eastAsia="lv-LV"/>
        </w:rPr>
        <w:t xml:space="preserve">uz 1 </w:t>
      </w:r>
      <w:proofErr w:type="spellStart"/>
      <w:r w:rsidRPr="00BF48B0">
        <w:rPr>
          <w:rFonts w:ascii="Times New Roman" w:eastAsia="Times New Roman" w:hAnsi="Times New Roman"/>
          <w:sz w:val="28"/>
          <w:szCs w:val="28"/>
          <w:lang w:eastAsia="lv-LV"/>
        </w:rPr>
        <w:t>lp</w:t>
      </w:r>
      <w:proofErr w:type="spellEnd"/>
      <w:r w:rsidRPr="00BF48B0">
        <w:rPr>
          <w:rFonts w:ascii="Times New Roman" w:eastAsia="Times New Roman" w:hAnsi="Times New Roman"/>
          <w:sz w:val="28"/>
          <w:szCs w:val="28"/>
          <w:lang w:eastAsia="lv-LV"/>
        </w:rPr>
        <w:t>. (datne:</w:t>
      </w:r>
      <w:r w:rsidR="00BF48B0">
        <w:rPr>
          <w:rFonts w:ascii="Times New Roman" w:eastAsia="Times New Roman" w:hAnsi="Times New Roman"/>
          <w:sz w:val="28"/>
          <w:szCs w:val="28"/>
          <w:lang w:eastAsia="lv-LV"/>
        </w:rPr>
        <w:t xml:space="preserve"> </w:t>
      </w:r>
      <w:r w:rsidR="00C12F77" w:rsidRPr="00BF48B0">
        <w:rPr>
          <w:rFonts w:ascii="Times New Roman" w:eastAsia="Times New Roman" w:hAnsi="Times New Roman"/>
          <w:sz w:val="28"/>
          <w:szCs w:val="28"/>
          <w:lang w:eastAsia="lv-LV"/>
        </w:rPr>
        <w:t>VARAMatz_2004</w:t>
      </w:r>
      <w:r w:rsidRPr="00BF48B0">
        <w:rPr>
          <w:rFonts w:ascii="Times New Roman" w:eastAsia="Times New Roman" w:hAnsi="Times New Roman"/>
          <w:sz w:val="28"/>
          <w:szCs w:val="28"/>
          <w:lang w:eastAsia="lv-LV"/>
        </w:rPr>
        <w:t>17_Nr.1_15_3206)</w:t>
      </w:r>
    </w:p>
    <w:p w:rsidR="004E3C68" w:rsidRDefault="004E3C68" w:rsidP="00D31D5B">
      <w:pPr>
        <w:widowControl/>
        <w:tabs>
          <w:tab w:val="right" w:pos="9074"/>
        </w:tabs>
        <w:spacing w:after="0" w:line="240" w:lineRule="auto"/>
        <w:rPr>
          <w:rFonts w:ascii="Times New Roman" w:eastAsia="Times New Roman" w:hAnsi="Times New Roman"/>
          <w:sz w:val="28"/>
          <w:szCs w:val="28"/>
          <w:lang w:val="lv-LV" w:eastAsia="lv-LV"/>
        </w:rPr>
      </w:pPr>
    </w:p>
    <w:p w:rsidR="00220DC1" w:rsidRDefault="00220DC1" w:rsidP="00D31D5B">
      <w:pPr>
        <w:widowControl/>
        <w:tabs>
          <w:tab w:val="right" w:pos="9074"/>
        </w:tabs>
        <w:spacing w:after="0" w:line="240" w:lineRule="auto"/>
        <w:rPr>
          <w:rFonts w:ascii="Times New Roman" w:eastAsia="Times New Roman" w:hAnsi="Times New Roman"/>
          <w:sz w:val="28"/>
          <w:szCs w:val="28"/>
          <w:lang w:val="lv-LV" w:eastAsia="lv-LV"/>
        </w:rPr>
      </w:pPr>
    </w:p>
    <w:p w:rsidR="00220DC1" w:rsidRPr="00431FA4" w:rsidRDefault="00220DC1" w:rsidP="00D31D5B">
      <w:pPr>
        <w:widowControl/>
        <w:tabs>
          <w:tab w:val="right" w:pos="9074"/>
        </w:tabs>
        <w:spacing w:after="0" w:line="240" w:lineRule="auto"/>
        <w:rPr>
          <w:rFonts w:ascii="Times New Roman" w:eastAsia="Times New Roman" w:hAnsi="Times New Roman"/>
          <w:sz w:val="28"/>
          <w:szCs w:val="28"/>
          <w:lang w:val="lv-LV" w:eastAsia="lv-LV"/>
        </w:rPr>
      </w:pPr>
    </w:p>
    <w:p w:rsidR="00B24A6D" w:rsidRDefault="00B24A6D" w:rsidP="00D31D5B">
      <w:pPr>
        <w:widowControl/>
        <w:tabs>
          <w:tab w:val="right" w:pos="9074"/>
        </w:tabs>
        <w:spacing w:after="0" w:line="240" w:lineRule="auto"/>
        <w:rPr>
          <w:rFonts w:ascii="Times New Roman" w:eastAsia="Times New Roman" w:hAnsi="Times New Roman"/>
          <w:sz w:val="28"/>
          <w:szCs w:val="28"/>
          <w:lang w:val="lv-LV" w:eastAsia="lv-LV"/>
        </w:rPr>
      </w:pPr>
    </w:p>
    <w:p w:rsidR="004E3C68" w:rsidRPr="00431FA4" w:rsidRDefault="004E3C68" w:rsidP="00D31D5B">
      <w:pPr>
        <w:widowControl/>
        <w:tabs>
          <w:tab w:val="right" w:pos="9074"/>
        </w:tabs>
        <w:spacing w:after="0" w:line="24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w:t>
      </w:r>
      <w:r w:rsidRPr="00431FA4">
        <w:rPr>
          <w:rFonts w:ascii="Times New Roman" w:hAnsi="Times New Roman"/>
          <w:bCs/>
          <w:sz w:val="28"/>
          <w:szCs w:val="28"/>
          <w:lang w:val="lv-LV"/>
        </w:rPr>
        <w:t>zglītības un zinātnes ministrs</w:t>
      </w:r>
      <w:r w:rsidRPr="00431FA4">
        <w:rPr>
          <w:rFonts w:ascii="Times New Roman" w:hAnsi="Times New Roman"/>
          <w:bCs/>
          <w:sz w:val="28"/>
          <w:szCs w:val="28"/>
          <w:lang w:val="lv-LV"/>
        </w:rPr>
        <w:tab/>
      </w:r>
      <w:r w:rsidRPr="00431FA4">
        <w:rPr>
          <w:rFonts w:ascii="Times New Roman" w:eastAsia="Times New Roman" w:hAnsi="Times New Roman"/>
          <w:sz w:val="28"/>
          <w:szCs w:val="28"/>
          <w:lang w:val="lv-LV"/>
        </w:rPr>
        <w:t>Kārlis Šadurskis</w:t>
      </w:r>
    </w:p>
    <w:p w:rsidR="004E3C68" w:rsidRDefault="004E3C68" w:rsidP="00964DF6">
      <w:pPr>
        <w:pStyle w:val="NoSpacing"/>
        <w:rPr>
          <w:rFonts w:ascii="Times New Roman" w:hAnsi="Times New Roman"/>
          <w:lang w:val="lv-LV" w:eastAsia="lv-LV"/>
        </w:rPr>
      </w:pPr>
    </w:p>
    <w:p w:rsidR="000F6A55" w:rsidRDefault="000F6A55" w:rsidP="00964DF6">
      <w:pPr>
        <w:pStyle w:val="NoSpacing"/>
        <w:rPr>
          <w:rFonts w:ascii="Times New Roman" w:hAnsi="Times New Roman"/>
          <w:lang w:val="lv-LV" w:eastAsia="lv-LV"/>
        </w:rPr>
      </w:pPr>
    </w:p>
    <w:p w:rsidR="00220DC1" w:rsidRDefault="00220DC1" w:rsidP="00964DF6">
      <w:pPr>
        <w:pStyle w:val="NoSpacing"/>
        <w:rPr>
          <w:rFonts w:ascii="Times New Roman" w:hAnsi="Times New Roman"/>
          <w:lang w:val="lv-LV" w:eastAsia="lv-LV"/>
        </w:rPr>
      </w:pPr>
    </w:p>
    <w:p w:rsidR="0009382D" w:rsidRDefault="0009382D" w:rsidP="00964DF6">
      <w:pPr>
        <w:pStyle w:val="NoSpacing"/>
        <w:rPr>
          <w:rFonts w:ascii="Times New Roman" w:hAnsi="Times New Roman"/>
          <w:lang w:val="lv-LV" w:eastAsia="lv-LV"/>
        </w:rPr>
      </w:pPr>
    </w:p>
    <w:p w:rsidR="00220DC1" w:rsidRDefault="00220DC1" w:rsidP="00964DF6">
      <w:pPr>
        <w:pStyle w:val="NoSpacing"/>
        <w:rPr>
          <w:rFonts w:ascii="Times New Roman" w:hAnsi="Times New Roman"/>
          <w:lang w:val="lv-LV" w:eastAsia="lv-LV"/>
        </w:rPr>
      </w:pPr>
    </w:p>
    <w:p w:rsidR="00220DC1" w:rsidRDefault="00220DC1" w:rsidP="00964DF6">
      <w:pPr>
        <w:pStyle w:val="NoSpacing"/>
        <w:rPr>
          <w:rFonts w:ascii="Times New Roman" w:hAnsi="Times New Roman"/>
          <w:lang w:val="lv-LV" w:eastAsia="lv-LV"/>
        </w:rPr>
      </w:pPr>
    </w:p>
    <w:p w:rsidR="00C26DEE" w:rsidRPr="00431FA4" w:rsidRDefault="00C26DEE" w:rsidP="00964DF6">
      <w:pPr>
        <w:pStyle w:val="NoSpacing"/>
        <w:rPr>
          <w:rFonts w:ascii="Times New Roman" w:hAnsi="Times New Roman"/>
          <w:lang w:val="lv-LV" w:eastAsia="lv-LV"/>
        </w:rPr>
      </w:pPr>
    </w:p>
    <w:p w:rsidR="000966C8" w:rsidRPr="003D5AFD" w:rsidRDefault="00CA68D4" w:rsidP="00964DF6">
      <w:pPr>
        <w:spacing w:after="0" w:line="240" w:lineRule="auto"/>
        <w:rPr>
          <w:rFonts w:ascii="Times New Roman" w:hAnsi="Times New Roman"/>
        </w:rPr>
      </w:pPr>
      <w:r w:rsidRPr="003D5AFD">
        <w:rPr>
          <w:rFonts w:ascii="Times New Roman" w:hAnsi="Times New Roman"/>
        </w:rPr>
        <w:t>Pētersone</w:t>
      </w:r>
      <w:r w:rsidR="000966C8" w:rsidRPr="003D5AFD">
        <w:rPr>
          <w:rFonts w:ascii="Times New Roman" w:hAnsi="Times New Roman"/>
        </w:rPr>
        <w:t xml:space="preserve">, </w:t>
      </w:r>
      <w:r w:rsidRPr="003D5AFD">
        <w:rPr>
          <w:rFonts w:ascii="Times New Roman" w:hAnsi="Times New Roman"/>
        </w:rPr>
        <w:t>67047829</w:t>
      </w:r>
    </w:p>
    <w:p w:rsidR="00CA68D4" w:rsidRPr="003D5AFD" w:rsidRDefault="00422883" w:rsidP="00964DF6">
      <w:pPr>
        <w:spacing w:after="0" w:line="240" w:lineRule="auto"/>
        <w:rPr>
          <w:rFonts w:ascii="Times New Roman" w:hAnsi="Times New Roman"/>
        </w:rPr>
      </w:pPr>
      <w:hyperlink r:id="rId8" w:history="1">
        <w:r w:rsidR="003D5AFD" w:rsidRPr="003D5AFD">
          <w:rPr>
            <w:rStyle w:val="Hyperlink"/>
            <w:rFonts w:ascii="Times New Roman" w:hAnsi="Times New Roman"/>
            <w:color w:val="auto"/>
            <w:u w:val="none"/>
          </w:rPr>
          <w:t>ieva.petersone@izm.gov.lv</w:t>
        </w:r>
      </w:hyperlink>
    </w:p>
    <w:p w:rsidR="003D5AFD" w:rsidRPr="00CA68D4" w:rsidRDefault="003D5AFD" w:rsidP="00964DF6">
      <w:pPr>
        <w:spacing w:after="0" w:line="240" w:lineRule="auto"/>
        <w:rPr>
          <w:rFonts w:ascii="Times New Roman" w:hAnsi="Times New Roman"/>
        </w:rPr>
      </w:pPr>
    </w:p>
    <w:sectPr w:rsidR="003D5AFD" w:rsidRPr="00CA68D4" w:rsidSect="0029154C">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83" w:rsidRDefault="00422883">
      <w:pPr>
        <w:spacing w:after="0" w:line="240" w:lineRule="auto"/>
      </w:pPr>
      <w:r>
        <w:separator/>
      </w:r>
    </w:p>
  </w:endnote>
  <w:endnote w:type="continuationSeparator" w:id="0">
    <w:p w:rsidR="00422883" w:rsidRDefault="0042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21" w:rsidRDefault="00653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56" w:rsidRPr="004E3C68" w:rsidRDefault="00BE7556" w:rsidP="00BE7556">
    <w:pPr>
      <w:pStyle w:val="Footer"/>
      <w:jc w:val="both"/>
      <w:rPr>
        <w:lang w:val="lv-LV"/>
      </w:rPr>
    </w:pPr>
    <w:r>
      <w:rPr>
        <w:rFonts w:ascii="Times New Roman" w:eastAsiaTheme="minorHAnsi" w:hAnsi="Times New Roman"/>
        <w:sz w:val="20"/>
        <w:szCs w:val="20"/>
        <w:lang w:val="lv-LV"/>
      </w:rPr>
      <w:t>IZ</w:t>
    </w:r>
    <w:r w:rsidRPr="00DA1A9B">
      <w:rPr>
        <w:rFonts w:ascii="Times New Roman" w:eastAsiaTheme="minorHAnsi" w:hAnsi="Times New Roman"/>
        <w:sz w:val="20"/>
        <w:szCs w:val="20"/>
        <w:lang w:val="lv-LV"/>
      </w:rPr>
      <w:t>MPav_</w:t>
    </w:r>
    <w:r w:rsidR="00653C21">
      <w:rPr>
        <w:rFonts w:ascii="Times New Roman" w:eastAsiaTheme="minorHAnsi" w:hAnsi="Times New Roman"/>
        <w:sz w:val="20"/>
        <w:szCs w:val="20"/>
        <w:lang w:val="lv-LV"/>
      </w:rPr>
      <w:t>311017</w:t>
    </w:r>
    <w:r w:rsidRPr="00DA1A9B">
      <w:rPr>
        <w:rFonts w:ascii="Times New Roman" w:eastAsiaTheme="minorHAnsi" w:hAnsi="Times New Roman"/>
        <w:sz w:val="20"/>
        <w:szCs w:val="20"/>
        <w:lang w:val="lv-LV"/>
      </w:rPr>
      <w:t>_</w:t>
    </w:r>
    <w:r>
      <w:rPr>
        <w:rFonts w:ascii="Times New Roman" w:eastAsiaTheme="minorHAnsi" w:hAnsi="Times New Roman"/>
        <w:sz w:val="20"/>
        <w:szCs w:val="20"/>
        <w:lang w:val="lv-LV"/>
      </w:rPr>
      <w:t>protokollemuma 38 izpilde</w:t>
    </w:r>
    <w:r w:rsidRPr="00DA1A9B">
      <w:rPr>
        <w:rFonts w:ascii="Times New Roman" w:eastAsiaTheme="minorHAnsi" w:hAnsi="Times New Roman"/>
        <w:sz w:val="20"/>
        <w:szCs w:val="20"/>
        <w:lang w:val="lv-LV"/>
      </w:rPr>
      <w:t xml:space="preserve">; </w:t>
    </w:r>
    <w:r w:rsidRPr="00BE7556">
      <w:rPr>
        <w:rFonts w:ascii="Times New Roman" w:eastAsiaTheme="minorHAnsi" w:hAnsi="Times New Roman"/>
        <w:sz w:val="20"/>
        <w:szCs w:val="20"/>
        <w:lang w:val="lv-LV"/>
      </w:rPr>
      <w:t xml:space="preserve">Par Ministru kabineta 2015. gada 11. augusta sēdes </w:t>
    </w:r>
    <w:proofErr w:type="spellStart"/>
    <w:r w:rsidRPr="00BE7556">
      <w:rPr>
        <w:rFonts w:ascii="Times New Roman" w:eastAsiaTheme="minorHAnsi" w:hAnsi="Times New Roman"/>
        <w:sz w:val="20"/>
        <w:szCs w:val="20"/>
        <w:lang w:val="lv-LV"/>
      </w:rPr>
      <w:t>protokollēmuma</w:t>
    </w:r>
    <w:proofErr w:type="spellEnd"/>
    <w:r w:rsidRPr="00BE7556">
      <w:rPr>
        <w:rFonts w:ascii="Times New Roman" w:eastAsiaTheme="minorHAnsi" w:hAnsi="Times New Roman"/>
        <w:sz w:val="20"/>
        <w:szCs w:val="20"/>
        <w:lang w:val="lv-LV"/>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964DF6">
      <w:rPr>
        <w:rFonts w:ascii="Times New Roman" w:eastAsiaTheme="minorHAnsi" w:hAnsi="Times New Roman"/>
        <w:sz w:val="20"/>
        <w:szCs w:val="20"/>
        <w:lang w:val="lv-LV"/>
      </w:rPr>
      <w:t>”</w:t>
    </w:r>
    <w:r w:rsidRPr="00BE7556">
      <w:rPr>
        <w:rFonts w:ascii="Times New Roman" w:eastAsiaTheme="minorHAnsi" w:hAnsi="Times New Roman"/>
        <w:sz w:val="20"/>
        <w:szCs w:val="20"/>
        <w:lang w:val="lv-LV"/>
      </w:rPr>
      <w:t xml:space="preserve"> 7.punkt</w:t>
    </w:r>
    <w:r w:rsidR="00964DF6">
      <w:rPr>
        <w:rFonts w:ascii="Times New Roman" w:eastAsiaTheme="minorHAnsi" w:hAnsi="Times New Roman"/>
        <w:sz w:val="20"/>
        <w:szCs w:val="20"/>
        <w:lang w:val="lv-LV"/>
      </w:rPr>
      <w:t xml:space="preserve">ā dotā uzdevuma atzīšanu par aktualitāti </w:t>
    </w:r>
    <w:r w:rsidRPr="00BE7556">
      <w:rPr>
        <w:rFonts w:ascii="Times New Roman" w:eastAsiaTheme="minorHAnsi" w:hAnsi="Times New Roman"/>
        <w:sz w:val="20"/>
        <w:szCs w:val="20"/>
        <w:lang w:val="lv-LV"/>
      </w:rPr>
      <w:t>zaudējušu</w:t>
    </w:r>
  </w:p>
  <w:p w:rsidR="004E3C68" w:rsidRPr="00653217" w:rsidRDefault="004E3C68" w:rsidP="00653217">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68" w:rsidRPr="004E3C68" w:rsidRDefault="004E3C68" w:rsidP="00F74239">
    <w:pPr>
      <w:pStyle w:val="Footer"/>
      <w:jc w:val="both"/>
      <w:rPr>
        <w:lang w:val="lv-LV"/>
      </w:rPr>
    </w:pPr>
    <w:r>
      <w:rPr>
        <w:rFonts w:ascii="Times New Roman" w:eastAsiaTheme="minorHAnsi" w:hAnsi="Times New Roman"/>
        <w:sz w:val="20"/>
        <w:szCs w:val="20"/>
        <w:lang w:val="lv-LV"/>
      </w:rPr>
      <w:t>IZ</w:t>
    </w:r>
    <w:r w:rsidRPr="00DA1A9B">
      <w:rPr>
        <w:rFonts w:ascii="Times New Roman" w:eastAsiaTheme="minorHAnsi" w:hAnsi="Times New Roman"/>
        <w:sz w:val="20"/>
        <w:szCs w:val="20"/>
        <w:lang w:val="lv-LV"/>
      </w:rPr>
      <w:t>MPav_</w:t>
    </w:r>
    <w:r w:rsidR="00653C21">
      <w:rPr>
        <w:rFonts w:ascii="Times New Roman" w:eastAsiaTheme="minorHAnsi" w:hAnsi="Times New Roman"/>
        <w:sz w:val="20"/>
        <w:szCs w:val="20"/>
        <w:lang w:val="lv-LV"/>
      </w:rPr>
      <w:t>311017</w:t>
    </w:r>
    <w:r w:rsidRPr="00DA1A9B">
      <w:rPr>
        <w:rFonts w:ascii="Times New Roman" w:eastAsiaTheme="minorHAnsi" w:hAnsi="Times New Roman"/>
        <w:sz w:val="20"/>
        <w:szCs w:val="20"/>
        <w:lang w:val="lv-LV"/>
      </w:rPr>
      <w:t>_</w:t>
    </w:r>
    <w:r w:rsidR="00BE7556">
      <w:rPr>
        <w:rFonts w:ascii="Times New Roman" w:eastAsiaTheme="minorHAnsi" w:hAnsi="Times New Roman"/>
        <w:sz w:val="20"/>
        <w:szCs w:val="20"/>
        <w:lang w:val="lv-LV"/>
      </w:rPr>
      <w:t>pro</w:t>
    </w:r>
    <w:r w:rsidR="00794BF9">
      <w:rPr>
        <w:rFonts w:ascii="Times New Roman" w:eastAsiaTheme="minorHAnsi" w:hAnsi="Times New Roman"/>
        <w:sz w:val="20"/>
        <w:szCs w:val="20"/>
        <w:lang w:val="lv-LV"/>
      </w:rPr>
      <w:t>t</w:t>
    </w:r>
    <w:r w:rsidR="00BE7556">
      <w:rPr>
        <w:rFonts w:ascii="Times New Roman" w:eastAsiaTheme="minorHAnsi" w:hAnsi="Times New Roman"/>
        <w:sz w:val="20"/>
        <w:szCs w:val="20"/>
        <w:lang w:val="lv-LV"/>
      </w:rPr>
      <w:t>38</w:t>
    </w:r>
    <w:r w:rsidRPr="00DA1A9B">
      <w:rPr>
        <w:rFonts w:ascii="Times New Roman" w:eastAsiaTheme="minorHAnsi" w:hAnsi="Times New Roman"/>
        <w:sz w:val="20"/>
        <w:szCs w:val="20"/>
        <w:lang w:val="lv-LV"/>
      </w:rPr>
      <w:t xml:space="preserve">; </w:t>
    </w:r>
    <w:r w:rsidR="00BE7556" w:rsidRPr="00BE7556">
      <w:rPr>
        <w:rFonts w:ascii="Times New Roman" w:eastAsiaTheme="minorHAnsi" w:hAnsi="Times New Roman"/>
        <w:sz w:val="20"/>
        <w:szCs w:val="20"/>
        <w:lang w:val="lv-LV"/>
      </w:rPr>
      <w:t xml:space="preserve">Par Ministru kabineta 2015. gada 11. augusta sēdes </w:t>
    </w:r>
    <w:proofErr w:type="spellStart"/>
    <w:r w:rsidR="00BE7556" w:rsidRPr="00BE7556">
      <w:rPr>
        <w:rFonts w:ascii="Times New Roman" w:eastAsiaTheme="minorHAnsi" w:hAnsi="Times New Roman"/>
        <w:sz w:val="20"/>
        <w:szCs w:val="20"/>
        <w:lang w:val="lv-LV"/>
      </w:rPr>
      <w:t>protokollēmuma</w:t>
    </w:r>
    <w:proofErr w:type="spellEnd"/>
    <w:r w:rsidR="00BE7556" w:rsidRPr="00BE7556">
      <w:rPr>
        <w:rFonts w:ascii="Times New Roman" w:eastAsiaTheme="minorHAnsi" w:hAnsi="Times New Roman"/>
        <w:sz w:val="20"/>
        <w:szCs w:val="20"/>
        <w:lang w:val="lv-LV"/>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794BF9">
      <w:rPr>
        <w:rFonts w:ascii="Times New Roman" w:eastAsiaTheme="minorHAnsi" w:hAnsi="Times New Roman"/>
        <w:sz w:val="20"/>
        <w:szCs w:val="20"/>
        <w:lang w:val="lv-LV"/>
      </w:rPr>
      <w:t>”</w:t>
    </w:r>
    <w:r w:rsidR="00BE7556" w:rsidRPr="00BE7556">
      <w:rPr>
        <w:rFonts w:ascii="Times New Roman" w:eastAsiaTheme="minorHAnsi" w:hAnsi="Times New Roman"/>
        <w:sz w:val="20"/>
        <w:szCs w:val="20"/>
        <w:lang w:val="lv-LV"/>
      </w:rPr>
      <w:t xml:space="preserve"> 7.punkt</w:t>
    </w:r>
    <w:r w:rsidR="00794BF9">
      <w:rPr>
        <w:rFonts w:ascii="Times New Roman" w:eastAsiaTheme="minorHAnsi" w:hAnsi="Times New Roman"/>
        <w:sz w:val="20"/>
        <w:szCs w:val="20"/>
        <w:lang w:val="lv-LV"/>
      </w:rPr>
      <w: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83" w:rsidRDefault="00422883">
      <w:pPr>
        <w:spacing w:after="0" w:line="240" w:lineRule="auto"/>
      </w:pPr>
      <w:r>
        <w:separator/>
      </w:r>
    </w:p>
  </w:footnote>
  <w:footnote w:type="continuationSeparator" w:id="0">
    <w:p w:rsidR="00422883" w:rsidRDefault="0042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21" w:rsidRDefault="00653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87343"/>
      <w:docPartObj>
        <w:docPartGallery w:val="Page Numbers (Top of Page)"/>
        <w:docPartUnique/>
      </w:docPartObj>
    </w:sdtPr>
    <w:sdtEndPr>
      <w:rPr>
        <w:noProof/>
      </w:rPr>
    </w:sdtEndPr>
    <w:sdtContent>
      <w:p w:rsidR="003C3C59" w:rsidRDefault="003C3C59">
        <w:pPr>
          <w:pStyle w:val="Header"/>
          <w:jc w:val="center"/>
        </w:pPr>
        <w:r>
          <w:fldChar w:fldCharType="begin"/>
        </w:r>
        <w:r>
          <w:instrText xml:space="preserve"> PAGE   \* MERGEFORMAT </w:instrText>
        </w:r>
        <w:r>
          <w:fldChar w:fldCharType="separate"/>
        </w:r>
        <w:r w:rsidR="00E35608">
          <w:rPr>
            <w:noProof/>
          </w:rPr>
          <w:t>2</w:t>
        </w:r>
        <w:r>
          <w:rPr>
            <w:noProof/>
          </w:rPr>
          <w:fldChar w:fldCharType="end"/>
        </w:r>
      </w:p>
    </w:sdtContent>
  </w:sdt>
  <w:p w:rsidR="003C3C59" w:rsidRDefault="003C3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CD6899" w:rsidP="0029154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w:t>
                          </w:r>
                          <w:proofErr w:type="gramStart"/>
                          <w:r w:rsidRPr="0021556E">
                            <w:rPr>
                              <w:rFonts w:ascii="Times New Roman" w:eastAsia="Times New Roman" w:hAnsi="Times New Roman"/>
                              <w:color w:val="231F20"/>
                              <w:sz w:val="17"/>
                              <w:szCs w:val="17"/>
                            </w:rPr>
                            <w:t>67226209</w:t>
                          </w:r>
                          <w:proofErr w:type="gram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w:t>
                    </w:r>
                    <w:proofErr w:type="gramStart"/>
                    <w:r w:rsidRPr="0021556E">
                      <w:rPr>
                        <w:rFonts w:ascii="Times New Roman" w:eastAsia="Times New Roman" w:hAnsi="Times New Roman"/>
                        <w:color w:val="231F20"/>
                        <w:sz w:val="17"/>
                        <w:szCs w:val="17"/>
                      </w:rPr>
                      <w:t>67226209</w:t>
                    </w:r>
                    <w:proofErr w:type="gram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DBC3D"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934D8"/>
    <w:multiLevelType w:val="hybridMultilevel"/>
    <w:tmpl w:val="F68C0FEC"/>
    <w:lvl w:ilvl="0" w:tplc="108E8F9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857D79"/>
    <w:multiLevelType w:val="hybridMultilevel"/>
    <w:tmpl w:val="5282D6E4"/>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6AD139E"/>
    <w:multiLevelType w:val="hybridMultilevel"/>
    <w:tmpl w:val="AD96CA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BA70F92"/>
    <w:multiLevelType w:val="hybridMultilevel"/>
    <w:tmpl w:val="2B001BD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9BE1E21"/>
    <w:multiLevelType w:val="hybridMultilevel"/>
    <w:tmpl w:val="3A30D004"/>
    <w:lvl w:ilvl="0" w:tplc="04260011">
      <w:start w:val="1"/>
      <w:numFmt w:val="decimal"/>
      <w:lvlText w:val="%1)"/>
      <w:lvlJc w:val="left"/>
      <w:pPr>
        <w:ind w:left="1248" w:hanging="360"/>
      </w:pPr>
    </w:lvl>
    <w:lvl w:ilvl="1" w:tplc="04260019" w:tentative="1">
      <w:start w:val="1"/>
      <w:numFmt w:val="lowerLetter"/>
      <w:lvlText w:val="%2."/>
      <w:lvlJc w:val="left"/>
      <w:pPr>
        <w:ind w:left="1968" w:hanging="360"/>
      </w:pPr>
    </w:lvl>
    <w:lvl w:ilvl="2" w:tplc="0426001B" w:tentative="1">
      <w:start w:val="1"/>
      <w:numFmt w:val="lowerRoman"/>
      <w:lvlText w:val="%3."/>
      <w:lvlJc w:val="right"/>
      <w:pPr>
        <w:ind w:left="2688" w:hanging="180"/>
      </w:pPr>
    </w:lvl>
    <w:lvl w:ilvl="3" w:tplc="0426000F" w:tentative="1">
      <w:start w:val="1"/>
      <w:numFmt w:val="decimal"/>
      <w:lvlText w:val="%4."/>
      <w:lvlJc w:val="left"/>
      <w:pPr>
        <w:ind w:left="3408" w:hanging="360"/>
      </w:pPr>
    </w:lvl>
    <w:lvl w:ilvl="4" w:tplc="04260019" w:tentative="1">
      <w:start w:val="1"/>
      <w:numFmt w:val="lowerLetter"/>
      <w:lvlText w:val="%5."/>
      <w:lvlJc w:val="left"/>
      <w:pPr>
        <w:ind w:left="4128" w:hanging="360"/>
      </w:pPr>
    </w:lvl>
    <w:lvl w:ilvl="5" w:tplc="0426001B" w:tentative="1">
      <w:start w:val="1"/>
      <w:numFmt w:val="lowerRoman"/>
      <w:lvlText w:val="%6."/>
      <w:lvlJc w:val="right"/>
      <w:pPr>
        <w:ind w:left="4848" w:hanging="180"/>
      </w:pPr>
    </w:lvl>
    <w:lvl w:ilvl="6" w:tplc="0426000F" w:tentative="1">
      <w:start w:val="1"/>
      <w:numFmt w:val="decimal"/>
      <w:lvlText w:val="%7."/>
      <w:lvlJc w:val="left"/>
      <w:pPr>
        <w:ind w:left="5568" w:hanging="360"/>
      </w:pPr>
    </w:lvl>
    <w:lvl w:ilvl="7" w:tplc="04260019" w:tentative="1">
      <w:start w:val="1"/>
      <w:numFmt w:val="lowerLetter"/>
      <w:lvlText w:val="%8."/>
      <w:lvlJc w:val="left"/>
      <w:pPr>
        <w:ind w:left="6288" w:hanging="360"/>
      </w:pPr>
    </w:lvl>
    <w:lvl w:ilvl="8" w:tplc="0426001B" w:tentative="1">
      <w:start w:val="1"/>
      <w:numFmt w:val="lowerRoman"/>
      <w:lvlText w:val="%9."/>
      <w:lvlJc w:val="right"/>
      <w:pPr>
        <w:ind w:left="7008" w:hanging="180"/>
      </w:pPr>
    </w:lvl>
  </w:abstractNum>
  <w:abstractNum w:abstractNumId="16" w15:restartNumberingAfterBreak="0">
    <w:nsid w:val="5C9914C6"/>
    <w:multiLevelType w:val="hybridMultilevel"/>
    <w:tmpl w:val="4F444EE0"/>
    <w:lvl w:ilvl="0" w:tplc="7B2CBBE8">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460009"/>
    <w:multiLevelType w:val="hybridMultilevel"/>
    <w:tmpl w:val="024C6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531D10"/>
    <w:multiLevelType w:val="hybridMultilevel"/>
    <w:tmpl w:val="F454F338"/>
    <w:lvl w:ilvl="0" w:tplc="63E275A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8C75BE"/>
    <w:multiLevelType w:val="hybridMultilevel"/>
    <w:tmpl w:val="4F7EF426"/>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9"/>
  </w:num>
  <w:num w:numId="15">
    <w:abstractNumId w:val="17"/>
  </w:num>
  <w:num w:numId="16">
    <w:abstractNumId w:val="18"/>
  </w:num>
  <w:num w:numId="17">
    <w:abstractNumId w:val="16"/>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6B2"/>
    <w:rsid w:val="00001B21"/>
    <w:rsid w:val="00006384"/>
    <w:rsid w:val="00030349"/>
    <w:rsid w:val="0003159F"/>
    <w:rsid w:val="00037F9A"/>
    <w:rsid w:val="00042678"/>
    <w:rsid w:val="00045A51"/>
    <w:rsid w:val="00056EB8"/>
    <w:rsid w:val="00066847"/>
    <w:rsid w:val="00067CC7"/>
    <w:rsid w:val="00076749"/>
    <w:rsid w:val="0009382D"/>
    <w:rsid w:val="000966C8"/>
    <w:rsid w:val="000B0F3E"/>
    <w:rsid w:val="000B1F85"/>
    <w:rsid w:val="000C23B1"/>
    <w:rsid w:val="000C55ED"/>
    <w:rsid w:val="000F107C"/>
    <w:rsid w:val="000F6A55"/>
    <w:rsid w:val="00112962"/>
    <w:rsid w:val="001163C6"/>
    <w:rsid w:val="00124173"/>
    <w:rsid w:val="0015259D"/>
    <w:rsid w:val="00163D0C"/>
    <w:rsid w:val="00181AEB"/>
    <w:rsid w:val="001B2BFB"/>
    <w:rsid w:val="001B6E56"/>
    <w:rsid w:val="001D403C"/>
    <w:rsid w:val="00200BD2"/>
    <w:rsid w:val="0021169D"/>
    <w:rsid w:val="0021222D"/>
    <w:rsid w:val="0021556E"/>
    <w:rsid w:val="00220DC1"/>
    <w:rsid w:val="00240EEA"/>
    <w:rsid w:val="00265C36"/>
    <w:rsid w:val="00275B9E"/>
    <w:rsid w:val="002810C8"/>
    <w:rsid w:val="0029154C"/>
    <w:rsid w:val="002A393A"/>
    <w:rsid w:val="002B3077"/>
    <w:rsid w:val="002B7B41"/>
    <w:rsid w:val="002D027E"/>
    <w:rsid w:val="002D5926"/>
    <w:rsid w:val="002D6A69"/>
    <w:rsid w:val="002E1474"/>
    <w:rsid w:val="002E1742"/>
    <w:rsid w:val="002E5171"/>
    <w:rsid w:val="002E74AD"/>
    <w:rsid w:val="00303583"/>
    <w:rsid w:val="0031521E"/>
    <w:rsid w:val="00326436"/>
    <w:rsid w:val="00335032"/>
    <w:rsid w:val="003429DB"/>
    <w:rsid w:val="00344E7F"/>
    <w:rsid w:val="00364EEE"/>
    <w:rsid w:val="00372CF7"/>
    <w:rsid w:val="00377684"/>
    <w:rsid w:val="00386D4F"/>
    <w:rsid w:val="003920F3"/>
    <w:rsid w:val="003B517C"/>
    <w:rsid w:val="003B5273"/>
    <w:rsid w:val="003C3C59"/>
    <w:rsid w:val="003C5BC1"/>
    <w:rsid w:val="003D5AFD"/>
    <w:rsid w:val="003F30BB"/>
    <w:rsid w:val="003F334E"/>
    <w:rsid w:val="003F6B4A"/>
    <w:rsid w:val="00412078"/>
    <w:rsid w:val="00412762"/>
    <w:rsid w:val="00414ECC"/>
    <w:rsid w:val="00422883"/>
    <w:rsid w:val="00423A6B"/>
    <w:rsid w:val="00431572"/>
    <w:rsid w:val="00431FA4"/>
    <w:rsid w:val="00436260"/>
    <w:rsid w:val="00445E09"/>
    <w:rsid w:val="00446DC0"/>
    <w:rsid w:val="004627E6"/>
    <w:rsid w:val="00483F40"/>
    <w:rsid w:val="004911D9"/>
    <w:rsid w:val="00493308"/>
    <w:rsid w:val="004B66B0"/>
    <w:rsid w:val="004C0067"/>
    <w:rsid w:val="004C2B3D"/>
    <w:rsid w:val="004C56C6"/>
    <w:rsid w:val="004D2A8D"/>
    <w:rsid w:val="004D7D93"/>
    <w:rsid w:val="004E3C68"/>
    <w:rsid w:val="004F2310"/>
    <w:rsid w:val="004F7756"/>
    <w:rsid w:val="00522346"/>
    <w:rsid w:val="00525CD9"/>
    <w:rsid w:val="00535564"/>
    <w:rsid w:val="00553562"/>
    <w:rsid w:val="00572A4F"/>
    <w:rsid w:val="00574AC4"/>
    <w:rsid w:val="005774C7"/>
    <w:rsid w:val="00577995"/>
    <w:rsid w:val="00577C3E"/>
    <w:rsid w:val="005868EE"/>
    <w:rsid w:val="0059312A"/>
    <w:rsid w:val="005B0D27"/>
    <w:rsid w:val="005F10B0"/>
    <w:rsid w:val="006025AE"/>
    <w:rsid w:val="00610A3F"/>
    <w:rsid w:val="00615D64"/>
    <w:rsid w:val="0063714C"/>
    <w:rsid w:val="00653217"/>
    <w:rsid w:val="0065387D"/>
    <w:rsid w:val="00653C21"/>
    <w:rsid w:val="00656FF3"/>
    <w:rsid w:val="00663C3A"/>
    <w:rsid w:val="0067116F"/>
    <w:rsid w:val="006919C8"/>
    <w:rsid w:val="006A56B1"/>
    <w:rsid w:val="006A6B50"/>
    <w:rsid w:val="006B0250"/>
    <w:rsid w:val="006B1E98"/>
    <w:rsid w:val="006C1639"/>
    <w:rsid w:val="006C3FC9"/>
    <w:rsid w:val="006D59B2"/>
    <w:rsid w:val="006E5CA3"/>
    <w:rsid w:val="006F0868"/>
    <w:rsid w:val="006F4151"/>
    <w:rsid w:val="00703B07"/>
    <w:rsid w:val="00711F04"/>
    <w:rsid w:val="00716137"/>
    <w:rsid w:val="00720784"/>
    <w:rsid w:val="007249D0"/>
    <w:rsid w:val="00725D9B"/>
    <w:rsid w:val="00731626"/>
    <w:rsid w:val="00744EEE"/>
    <w:rsid w:val="00747CCB"/>
    <w:rsid w:val="0075322B"/>
    <w:rsid w:val="007544AC"/>
    <w:rsid w:val="00755589"/>
    <w:rsid w:val="00763D68"/>
    <w:rsid w:val="007704BD"/>
    <w:rsid w:val="00770FDA"/>
    <w:rsid w:val="007740D2"/>
    <w:rsid w:val="00794BF9"/>
    <w:rsid w:val="00797F52"/>
    <w:rsid w:val="007A4878"/>
    <w:rsid w:val="007B3BA5"/>
    <w:rsid w:val="007B48EC"/>
    <w:rsid w:val="007C6B0B"/>
    <w:rsid w:val="007D209C"/>
    <w:rsid w:val="007E4D1F"/>
    <w:rsid w:val="007F4225"/>
    <w:rsid w:val="00800186"/>
    <w:rsid w:val="00812F85"/>
    <w:rsid w:val="00815277"/>
    <w:rsid w:val="00825059"/>
    <w:rsid w:val="008310CB"/>
    <w:rsid w:val="00860ED7"/>
    <w:rsid w:val="008706F8"/>
    <w:rsid w:val="00873926"/>
    <w:rsid w:val="00876951"/>
    <w:rsid w:val="00876C21"/>
    <w:rsid w:val="00877D8C"/>
    <w:rsid w:val="00880282"/>
    <w:rsid w:val="00880DD8"/>
    <w:rsid w:val="008A2CE5"/>
    <w:rsid w:val="008A68D5"/>
    <w:rsid w:val="008B17D1"/>
    <w:rsid w:val="008B3D2C"/>
    <w:rsid w:val="008D7502"/>
    <w:rsid w:val="008E56F6"/>
    <w:rsid w:val="008F15FD"/>
    <w:rsid w:val="00912E1E"/>
    <w:rsid w:val="00916CEC"/>
    <w:rsid w:val="00942459"/>
    <w:rsid w:val="00954340"/>
    <w:rsid w:val="00954D5A"/>
    <w:rsid w:val="00964DF6"/>
    <w:rsid w:val="0097626E"/>
    <w:rsid w:val="00986DA9"/>
    <w:rsid w:val="009912EC"/>
    <w:rsid w:val="009B0083"/>
    <w:rsid w:val="009B2670"/>
    <w:rsid w:val="009F7DCC"/>
    <w:rsid w:val="00A0182E"/>
    <w:rsid w:val="00A1632D"/>
    <w:rsid w:val="00A17275"/>
    <w:rsid w:val="00A1744F"/>
    <w:rsid w:val="00A332E5"/>
    <w:rsid w:val="00A37D93"/>
    <w:rsid w:val="00A41557"/>
    <w:rsid w:val="00A53CA3"/>
    <w:rsid w:val="00A560FC"/>
    <w:rsid w:val="00A565B1"/>
    <w:rsid w:val="00A723BA"/>
    <w:rsid w:val="00A93F76"/>
    <w:rsid w:val="00AA39D5"/>
    <w:rsid w:val="00AA3DD1"/>
    <w:rsid w:val="00AC2698"/>
    <w:rsid w:val="00AC3ACE"/>
    <w:rsid w:val="00AD2D59"/>
    <w:rsid w:val="00AE4A9B"/>
    <w:rsid w:val="00AF45EF"/>
    <w:rsid w:val="00B117D4"/>
    <w:rsid w:val="00B206B5"/>
    <w:rsid w:val="00B21199"/>
    <w:rsid w:val="00B226AC"/>
    <w:rsid w:val="00B24A6D"/>
    <w:rsid w:val="00B254CE"/>
    <w:rsid w:val="00B27691"/>
    <w:rsid w:val="00B73D6F"/>
    <w:rsid w:val="00B845FE"/>
    <w:rsid w:val="00BA1BC4"/>
    <w:rsid w:val="00BB0BC7"/>
    <w:rsid w:val="00BE7556"/>
    <w:rsid w:val="00BF0FF9"/>
    <w:rsid w:val="00BF11B5"/>
    <w:rsid w:val="00BF48B0"/>
    <w:rsid w:val="00BF71B2"/>
    <w:rsid w:val="00C12F77"/>
    <w:rsid w:val="00C2329C"/>
    <w:rsid w:val="00C26DEE"/>
    <w:rsid w:val="00C36B87"/>
    <w:rsid w:val="00C47F57"/>
    <w:rsid w:val="00C64F5F"/>
    <w:rsid w:val="00C7760F"/>
    <w:rsid w:val="00C85639"/>
    <w:rsid w:val="00C8689C"/>
    <w:rsid w:val="00CA2610"/>
    <w:rsid w:val="00CA68D4"/>
    <w:rsid w:val="00CA6C67"/>
    <w:rsid w:val="00CC20B5"/>
    <w:rsid w:val="00CD6899"/>
    <w:rsid w:val="00D01EF3"/>
    <w:rsid w:val="00D206D9"/>
    <w:rsid w:val="00D21FA6"/>
    <w:rsid w:val="00D27C83"/>
    <w:rsid w:val="00D31D5B"/>
    <w:rsid w:val="00D34376"/>
    <w:rsid w:val="00D51281"/>
    <w:rsid w:val="00D55B4B"/>
    <w:rsid w:val="00D647D5"/>
    <w:rsid w:val="00D872D7"/>
    <w:rsid w:val="00D9696D"/>
    <w:rsid w:val="00DB3C49"/>
    <w:rsid w:val="00DC7991"/>
    <w:rsid w:val="00DE4FF8"/>
    <w:rsid w:val="00DE7A8C"/>
    <w:rsid w:val="00DF2CB5"/>
    <w:rsid w:val="00DF60BF"/>
    <w:rsid w:val="00DF7761"/>
    <w:rsid w:val="00E156BD"/>
    <w:rsid w:val="00E30587"/>
    <w:rsid w:val="00E32610"/>
    <w:rsid w:val="00E35608"/>
    <w:rsid w:val="00E365CE"/>
    <w:rsid w:val="00E4706D"/>
    <w:rsid w:val="00E5448A"/>
    <w:rsid w:val="00E544E9"/>
    <w:rsid w:val="00E616F4"/>
    <w:rsid w:val="00E64CA8"/>
    <w:rsid w:val="00E71656"/>
    <w:rsid w:val="00E72FDD"/>
    <w:rsid w:val="00E953AB"/>
    <w:rsid w:val="00EA2E1A"/>
    <w:rsid w:val="00EB2B95"/>
    <w:rsid w:val="00EB6632"/>
    <w:rsid w:val="00EE1E2B"/>
    <w:rsid w:val="00EE462C"/>
    <w:rsid w:val="00EF5138"/>
    <w:rsid w:val="00F04CE1"/>
    <w:rsid w:val="00F04CED"/>
    <w:rsid w:val="00F16DB5"/>
    <w:rsid w:val="00F43C03"/>
    <w:rsid w:val="00F449BD"/>
    <w:rsid w:val="00F44E2C"/>
    <w:rsid w:val="00F5569C"/>
    <w:rsid w:val="00F56E6A"/>
    <w:rsid w:val="00F60586"/>
    <w:rsid w:val="00F66622"/>
    <w:rsid w:val="00F74239"/>
    <w:rsid w:val="00F7678A"/>
    <w:rsid w:val="00F835B1"/>
    <w:rsid w:val="00F84396"/>
    <w:rsid w:val="00F8629B"/>
    <w:rsid w:val="00F952CD"/>
    <w:rsid w:val="00FB1367"/>
    <w:rsid w:val="00FB1F70"/>
    <w:rsid w:val="00FB6099"/>
    <w:rsid w:val="00FC4A77"/>
    <w:rsid w:val="00FD37E9"/>
    <w:rsid w:val="00FD73E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F8BB2-72A9-439B-BD9B-5C55E12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naislab">
    <w:name w:val="naislab"/>
    <w:basedOn w:val="Normal"/>
    <w:rsid w:val="004E3C68"/>
    <w:pPr>
      <w:widowControl/>
      <w:spacing w:before="75" w:after="75" w:line="240" w:lineRule="auto"/>
      <w:jc w:val="right"/>
    </w:pPr>
    <w:rPr>
      <w:rFonts w:ascii="Times New Roman" w:eastAsia="Times New Roman" w:hAnsi="Times New Roman"/>
      <w:sz w:val="24"/>
      <w:szCs w:val="24"/>
      <w:lang w:val="lv-LV" w:eastAsia="lv-LV"/>
    </w:rPr>
  </w:style>
  <w:style w:type="paragraph" w:styleId="NoSpacing">
    <w:name w:val="No Spacing"/>
    <w:uiPriority w:val="1"/>
    <w:qFormat/>
    <w:rsid w:val="004E3C68"/>
    <w:pPr>
      <w:widowControl w:val="0"/>
    </w:pPr>
    <w:rPr>
      <w:sz w:val="22"/>
      <w:szCs w:val="22"/>
      <w:lang w:val="en-US" w:eastAsia="en-US"/>
    </w:rPr>
  </w:style>
  <w:style w:type="character" w:styleId="CommentReference">
    <w:name w:val="annotation reference"/>
    <w:basedOn w:val="DefaultParagraphFont"/>
    <w:uiPriority w:val="99"/>
    <w:semiHidden/>
    <w:unhideWhenUsed/>
    <w:rsid w:val="003F30BB"/>
    <w:rPr>
      <w:sz w:val="16"/>
      <w:szCs w:val="16"/>
    </w:rPr>
  </w:style>
  <w:style w:type="paragraph" w:styleId="CommentText">
    <w:name w:val="annotation text"/>
    <w:basedOn w:val="Normal"/>
    <w:link w:val="CommentTextChar"/>
    <w:uiPriority w:val="99"/>
    <w:semiHidden/>
    <w:unhideWhenUsed/>
    <w:rsid w:val="003F30BB"/>
    <w:pPr>
      <w:spacing w:line="240" w:lineRule="auto"/>
    </w:pPr>
    <w:rPr>
      <w:sz w:val="20"/>
      <w:szCs w:val="20"/>
    </w:rPr>
  </w:style>
  <w:style w:type="character" w:customStyle="1" w:styleId="CommentTextChar">
    <w:name w:val="Comment Text Char"/>
    <w:basedOn w:val="DefaultParagraphFont"/>
    <w:link w:val="CommentText"/>
    <w:uiPriority w:val="99"/>
    <w:semiHidden/>
    <w:rsid w:val="003F30BB"/>
    <w:rPr>
      <w:lang w:val="en-US" w:eastAsia="en-US"/>
    </w:rPr>
  </w:style>
  <w:style w:type="paragraph" w:styleId="CommentSubject">
    <w:name w:val="annotation subject"/>
    <w:basedOn w:val="CommentText"/>
    <w:next w:val="CommentText"/>
    <w:link w:val="CommentSubjectChar"/>
    <w:uiPriority w:val="99"/>
    <w:semiHidden/>
    <w:unhideWhenUsed/>
    <w:rsid w:val="003F30BB"/>
    <w:rPr>
      <w:b/>
      <w:bCs/>
    </w:rPr>
  </w:style>
  <w:style w:type="character" w:customStyle="1" w:styleId="CommentSubjectChar">
    <w:name w:val="Comment Subject Char"/>
    <w:basedOn w:val="CommentTextChar"/>
    <w:link w:val="CommentSubject"/>
    <w:uiPriority w:val="99"/>
    <w:semiHidden/>
    <w:rsid w:val="003F30BB"/>
    <w:rPr>
      <w:b/>
      <w:bCs/>
      <w:lang w:val="en-US" w:eastAsia="en-US"/>
    </w:rPr>
  </w:style>
  <w:style w:type="paragraph" w:styleId="ListParagraph">
    <w:name w:val="List Paragraph"/>
    <w:basedOn w:val="Normal"/>
    <w:uiPriority w:val="34"/>
    <w:qFormat/>
    <w:rsid w:val="009B2670"/>
    <w:pPr>
      <w:widowControl/>
      <w:spacing w:after="160" w:line="259" w:lineRule="auto"/>
      <w:ind w:left="720"/>
      <w:contextualSpacing/>
    </w:pPr>
    <w:rPr>
      <w:lang w:val="lv-LV"/>
    </w:rPr>
  </w:style>
  <w:style w:type="paragraph" w:styleId="Revision">
    <w:name w:val="Revision"/>
    <w:hidden/>
    <w:uiPriority w:val="99"/>
    <w:semiHidden/>
    <w:rsid w:val="00964DF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555831">
      <w:bodyDiv w:val="1"/>
      <w:marLeft w:val="0"/>
      <w:marRight w:val="0"/>
      <w:marTop w:val="0"/>
      <w:marBottom w:val="0"/>
      <w:divBdr>
        <w:top w:val="none" w:sz="0" w:space="0" w:color="auto"/>
        <w:left w:val="none" w:sz="0" w:space="0" w:color="auto"/>
        <w:bottom w:val="none" w:sz="0" w:space="0" w:color="auto"/>
        <w:right w:val="none" w:sz="0" w:space="0" w:color="auto"/>
      </w:divBdr>
    </w:div>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eterson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0510-DAD5-49AE-BABE-03DEBE6C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6333</Words>
  <Characters>3611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2014. gada 9. jūnija sēdes protokollēmuma (prot. Nr.32 33.§) „Informatīvais ziņojums „Par publisko pakalpojumu sniegšanas efektivitātes paaugstināšanas izvērtēšanu, veicot pakalpoj</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2014. gada 9. jūnija sēdes protokollēmuma (prot. Nr.32 33.§) „Informatīvais ziņojums „Par publisko pakalpojumu sniegšanas efektivitātes paaugstināšanas izvērtēšanu, veicot pakalpojumu sniegšanas termiņa vai maksas diferencēšanu”” 4.punktā dotā uzdevuma atzīšanu par aktualitāti zaudējušu”</dc:title>
  <dc:creator>Ivars.Zemlanskis@visc.gov.lv</dc:creator>
  <dc:description>ivars.zemlanskis@visc.gov.lv, 67503026</dc:description>
  <cp:lastModifiedBy>Ginta Grīnvalde</cp:lastModifiedBy>
  <cp:revision>47</cp:revision>
  <cp:lastPrinted>2017-10-27T12:15:00Z</cp:lastPrinted>
  <dcterms:created xsi:type="dcterms:W3CDTF">2017-05-10T06:04:00Z</dcterms:created>
  <dcterms:modified xsi:type="dcterms:W3CDTF">2017-11-07T08:23:00Z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