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13" w:rsidRDefault="00200213" w:rsidP="005B4EAD">
      <w:pPr>
        <w:pStyle w:val="ParastaisWeb"/>
        <w:spacing w:before="0" w:beforeAutospacing="0" w:after="0" w:afterAutospacing="0"/>
        <w:jc w:val="center"/>
        <w:rPr>
          <w:b/>
          <w:bCs/>
          <w:sz w:val="28"/>
          <w:szCs w:val="28"/>
        </w:rPr>
      </w:pPr>
      <w:bookmarkStart w:id="0" w:name="OLE_LINK11"/>
      <w:bookmarkStart w:id="1" w:name="OLE_LINK12"/>
      <w:bookmarkStart w:id="2" w:name="OLE_LINK1"/>
      <w:r w:rsidRPr="00200213">
        <w:rPr>
          <w:b/>
          <w:bCs/>
          <w:sz w:val="28"/>
          <w:szCs w:val="28"/>
        </w:rPr>
        <w:t xml:space="preserve">Ministru kabineta rīkojuma projekta </w:t>
      </w:r>
    </w:p>
    <w:p w:rsidR="00200213" w:rsidRDefault="009B45C4" w:rsidP="005B4EAD">
      <w:pPr>
        <w:pStyle w:val="ParastaisWeb"/>
        <w:spacing w:before="0" w:beforeAutospacing="0" w:after="0" w:afterAutospacing="0"/>
        <w:jc w:val="center"/>
        <w:rPr>
          <w:b/>
          <w:bCs/>
          <w:sz w:val="28"/>
          <w:szCs w:val="28"/>
        </w:rPr>
      </w:pPr>
      <w:r>
        <w:rPr>
          <w:b/>
          <w:bCs/>
          <w:sz w:val="28"/>
          <w:szCs w:val="28"/>
        </w:rPr>
        <w:t>„Grozījums</w:t>
      </w:r>
      <w:r w:rsidR="00886249">
        <w:rPr>
          <w:b/>
          <w:bCs/>
          <w:sz w:val="28"/>
          <w:szCs w:val="28"/>
        </w:rPr>
        <w:t xml:space="preserve"> Ministru kabineta 2016.gada 13.decembra rīkojumā Nr.769 </w:t>
      </w:r>
      <w:r w:rsidR="00200213" w:rsidRPr="00200213">
        <w:rPr>
          <w:b/>
          <w:bCs/>
          <w:sz w:val="28"/>
          <w:szCs w:val="28"/>
        </w:rPr>
        <w:t>„Par Latvijas valsts simtgades pasākumu plāna 2017. – 2021.gadam īstenošanai piešķirtā valsts budžeta finansējuma sadalījumu”</w:t>
      </w:r>
      <w:r w:rsidR="00886249">
        <w:rPr>
          <w:b/>
          <w:bCs/>
          <w:sz w:val="28"/>
          <w:szCs w:val="28"/>
        </w:rPr>
        <w:t>”</w:t>
      </w:r>
    </w:p>
    <w:p w:rsidR="00200213" w:rsidRDefault="00200213" w:rsidP="00200213">
      <w:pPr>
        <w:pStyle w:val="ParastaisWeb"/>
        <w:spacing w:before="0" w:beforeAutospacing="0" w:after="0" w:afterAutospacing="0"/>
        <w:jc w:val="center"/>
        <w:rPr>
          <w:b/>
          <w:bCs/>
          <w:sz w:val="28"/>
          <w:szCs w:val="28"/>
        </w:rPr>
      </w:pPr>
      <w:r w:rsidRPr="00200213">
        <w:rPr>
          <w:b/>
          <w:bCs/>
          <w:sz w:val="28"/>
          <w:szCs w:val="28"/>
        </w:rPr>
        <w:t xml:space="preserve"> sākotnējās ietekmes novērtējuma </w:t>
      </w:r>
    </w:p>
    <w:p w:rsidR="005B4EAD" w:rsidRDefault="00200213" w:rsidP="00200213">
      <w:pPr>
        <w:pStyle w:val="ParastaisWeb"/>
        <w:spacing w:before="0" w:beforeAutospacing="0" w:after="0" w:afterAutospacing="0"/>
        <w:jc w:val="center"/>
        <w:rPr>
          <w:b/>
          <w:bCs/>
          <w:sz w:val="28"/>
          <w:szCs w:val="28"/>
        </w:rPr>
      </w:pPr>
      <w:r w:rsidRPr="00200213">
        <w:rPr>
          <w:b/>
          <w:bCs/>
          <w:sz w:val="28"/>
          <w:szCs w:val="28"/>
        </w:rPr>
        <w:t>ziņojums (anotācija)</w:t>
      </w:r>
    </w:p>
    <w:bookmarkEnd w:id="0"/>
    <w:bookmarkEnd w:id="1"/>
    <w:bookmarkEnd w:id="2"/>
    <w:p w:rsidR="00200213" w:rsidRPr="004316E5" w:rsidRDefault="00200213" w:rsidP="005B4EAD">
      <w:pPr>
        <w:pStyle w:val="ParastaisWeb"/>
        <w:spacing w:before="0" w:beforeAutospacing="0" w:after="0" w:afterAutospacing="0"/>
        <w:jc w:val="center"/>
        <w:rPr>
          <w:b/>
          <w:bCs/>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47"/>
        <w:gridCol w:w="3651"/>
        <w:gridCol w:w="5033"/>
      </w:tblGrid>
      <w:tr w:rsidR="0099759D" w:rsidRPr="004316E5" w:rsidTr="0022670B">
        <w:trPr>
          <w:trHeight w:val="405"/>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9759D" w:rsidRPr="004316E5" w:rsidRDefault="0099759D" w:rsidP="00200213">
            <w:pPr>
              <w:spacing w:after="0" w:line="240" w:lineRule="auto"/>
              <w:ind w:firstLine="301"/>
              <w:jc w:val="center"/>
              <w:rPr>
                <w:rFonts w:ascii="Times New Roman" w:eastAsia="Times New Roman" w:hAnsi="Times New Roman" w:cs="Times New Roman"/>
                <w:b/>
                <w:bCs/>
                <w:sz w:val="28"/>
                <w:szCs w:val="28"/>
                <w:lang w:eastAsia="lv-LV"/>
              </w:rPr>
            </w:pPr>
            <w:bookmarkStart w:id="3" w:name="468683"/>
            <w:bookmarkEnd w:id="3"/>
            <w:r w:rsidRPr="004316E5">
              <w:rPr>
                <w:rFonts w:ascii="Times New Roman" w:eastAsia="Times New Roman" w:hAnsi="Times New Roman" w:cs="Times New Roman"/>
                <w:b/>
                <w:bCs/>
                <w:sz w:val="28"/>
                <w:szCs w:val="28"/>
                <w:lang w:eastAsia="lv-LV"/>
              </w:rPr>
              <w:t>I. Tiesību akta projekta izstrādes nepieciešamība</w:t>
            </w:r>
          </w:p>
        </w:tc>
      </w:tr>
      <w:tr w:rsidR="0099759D" w:rsidRPr="004316E5" w:rsidTr="0022670B">
        <w:trPr>
          <w:trHeight w:val="6721"/>
        </w:trPr>
        <w:tc>
          <w:tcPr>
            <w:tcW w:w="243" w:type="pct"/>
            <w:tcBorders>
              <w:top w:val="outset" w:sz="6" w:space="0" w:color="auto"/>
              <w:left w:val="outset" w:sz="6" w:space="0" w:color="auto"/>
              <w:bottom w:val="outset" w:sz="6" w:space="0" w:color="auto"/>
              <w:right w:val="outset" w:sz="6" w:space="0" w:color="auto"/>
            </w:tcBorders>
            <w:hideMark/>
          </w:tcPr>
          <w:p w:rsidR="0099759D" w:rsidRPr="004316E5" w:rsidRDefault="0099759D" w:rsidP="00200213">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t>1.</w:t>
            </w:r>
          </w:p>
        </w:tc>
        <w:tc>
          <w:tcPr>
            <w:tcW w:w="1986" w:type="pct"/>
            <w:tcBorders>
              <w:top w:val="outset" w:sz="6" w:space="0" w:color="auto"/>
              <w:left w:val="outset" w:sz="6" w:space="0" w:color="auto"/>
              <w:bottom w:val="outset" w:sz="6" w:space="0" w:color="auto"/>
              <w:right w:val="outset" w:sz="6" w:space="0" w:color="auto"/>
            </w:tcBorders>
            <w:hideMark/>
          </w:tcPr>
          <w:p w:rsidR="0099759D" w:rsidRPr="004316E5" w:rsidRDefault="0099759D" w:rsidP="0099759D">
            <w:pPr>
              <w:spacing w:after="0" w:line="240" w:lineRule="auto"/>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t>Pamatojums</w:t>
            </w:r>
          </w:p>
        </w:tc>
        <w:tc>
          <w:tcPr>
            <w:tcW w:w="2706" w:type="pct"/>
            <w:tcBorders>
              <w:top w:val="outset" w:sz="6" w:space="0" w:color="auto"/>
              <w:left w:val="outset" w:sz="6" w:space="0" w:color="auto"/>
              <w:bottom w:val="outset" w:sz="6" w:space="0" w:color="auto"/>
              <w:right w:val="outset" w:sz="6" w:space="0" w:color="auto"/>
            </w:tcBorders>
            <w:hideMark/>
          </w:tcPr>
          <w:p w:rsidR="00D60EC6" w:rsidRDefault="00B203C0" w:rsidP="00D60EC6">
            <w:pPr>
              <w:spacing w:after="0" w:line="240" w:lineRule="auto"/>
              <w:ind w:left="57" w:right="57"/>
              <w:jc w:val="both"/>
              <w:rPr>
                <w:rFonts w:ascii="Times New Roman" w:eastAsia="Times New Roman" w:hAnsi="Times New Roman" w:cs="Times New Roman"/>
                <w:sz w:val="28"/>
                <w:szCs w:val="28"/>
                <w:lang w:eastAsia="lv-LV"/>
              </w:rPr>
            </w:pPr>
            <w:r w:rsidRPr="004316E5">
              <w:rPr>
                <w:rFonts w:ascii="Times New Roman" w:hAnsi="Times New Roman" w:cs="Times New Roman"/>
                <w:sz w:val="28"/>
                <w:szCs w:val="28"/>
              </w:rPr>
              <w:t xml:space="preserve">Latvijas valsts simtgades svētku sagatavošana </w:t>
            </w:r>
            <w:r w:rsidR="007118A1">
              <w:rPr>
                <w:rFonts w:ascii="Times New Roman" w:hAnsi="Times New Roman" w:cs="Times New Roman"/>
                <w:sz w:val="28"/>
                <w:szCs w:val="28"/>
              </w:rPr>
              <w:t xml:space="preserve">un īstenošana </w:t>
            </w:r>
            <w:r w:rsidRPr="004316E5">
              <w:rPr>
                <w:rFonts w:ascii="Times New Roman" w:hAnsi="Times New Roman" w:cs="Times New Roman"/>
                <w:color w:val="000000" w:themeColor="text1"/>
                <w:sz w:val="28"/>
                <w:szCs w:val="28"/>
              </w:rPr>
              <w:t xml:space="preserve">norit atbilstoši Valdības rīcības plāna Deklarācijas par </w:t>
            </w:r>
            <w:r w:rsidRPr="004316E5">
              <w:rPr>
                <w:rFonts w:ascii="Times New Roman" w:hAnsi="Times New Roman" w:cs="Times New Roman"/>
                <w:sz w:val="28"/>
                <w:szCs w:val="28"/>
              </w:rPr>
              <w:t xml:space="preserve">Māra Kučinska </w:t>
            </w:r>
            <w:r w:rsidRPr="004316E5">
              <w:rPr>
                <w:rFonts w:ascii="Times New Roman" w:hAnsi="Times New Roman" w:cs="Times New Roman"/>
                <w:color w:val="000000" w:themeColor="text1"/>
                <w:sz w:val="28"/>
                <w:szCs w:val="28"/>
              </w:rPr>
              <w:t>vadītā Ministru kabineta iecerēto darbību īstenošanai (apstipri</w:t>
            </w:r>
            <w:r>
              <w:rPr>
                <w:rFonts w:ascii="Times New Roman" w:hAnsi="Times New Roman" w:cs="Times New Roman"/>
                <w:color w:val="000000" w:themeColor="text1"/>
                <w:sz w:val="28"/>
                <w:szCs w:val="28"/>
              </w:rPr>
              <w:t>nāts ar Ministru kabineta 2016.gada 3.maija rīkojumu Nr.</w:t>
            </w:r>
            <w:r w:rsidRPr="004316E5">
              <w:rPr>
                <w:rFonts w:ascii="Times New Roman" w:hAnsi="Times New Roman" w:cs="Times New Roman"/>
                <w:color w:val="000000" w:themeColor="text1"/>
                <w:sz w:val="28"/>
                <w:szCs w:val="28"/>
              </w:rPr>
              <w:t>275) 68.punktā valdības izvirzītajai darbības prioritātei.</w:t>
            </w:r>
            <w:r w:rsidRPr="004316E5">
              <w:rPr>
                <w:rStyle w:val="NoneA"/>
                <w:rFonts w:ascii="Times New Roman" w:hAnsi="Times New Roman" w:cs="Times New Roman"/>
                <w:sz w:val="28"/>
                <w:szCs w:val="28"/>
                <w:lang w:val="lv-LV"/>
              </w:rPr>
              <w:t xml:space="preserve"> </w:t>
            </w:r>
          </w:p>
          <w:p w:rsidR="00D60EC6" w:rsidRDefault="00200213" w:rsidP="00D60EC6">
            <w:pPr>
              <w:spacing w:after="0" w:line="240" w:lineRule="auto"/>
              <w:ind w:left="57" w:right="57"/>
              <w:jc w:val="both"/>
              <w:rPr>
                <w:rFonts w:ascii="Times New Roman" w:eastAsia="Calibri" w:hAnsi="Times New Roman" w:cs="Times New Roman"/>
                <w:sz w:val="28"/>
                <w:szCs w:val="28"/>
              </w:rPr>
            </w:pPr>
            <w:r w:rsidRPr="00200213">
              <w:rPr>
                <w:rFonts w:ascii="Times New Roman" w:eastAsia="Times New Roman" w:hAnsi="Times New Roman" w:cs="Times New Roman"/>
                <w:sz w:val="28"/>
                <w:szCs w:val="28"/>
                <w:lang w:eastAsia="lv-LV"/>
              </w:rPr>
              <w:t>Min</w:t>
            </w:r>
            <w:r>
              <w:rPr>
                <w:rFonts w:ascii="Times New Roman" w:eastAsia="Times New Roman" w:hAnsi="Times New Roman" w:cs="Times New Roman"/>
                <w:sz w:val="28"/>
                <w:szCs w:val="28"/>
                <w:lang w:eastAsia="lv-LV"/>
              </w:rPr>
              <w:t>istru kabineta rīkojuma projekts</w:t>
            </w:r>
            <w:r w:rsidRPr="00200213">
              <w:rPr>
                <w:rFonts w:ascii="Times New Roman" w:eastAsia="Times New Roman" w:hAnsi="Times New Roman" w:cs="Times New Roman"/>
                <w:sz w:val="28"/>
                <w:szCs w:val="28"/>
                <w:lang w:eastAsia="lv-LV"/>
              </w:rPr>
              <w:t xml:space="preserve"> </w:t>
            </w:r>
            <w:r w:rsidR="00886249">
              <w:rPr>
                <w:rFonts w:ascii="Times New Roman" w:eastAsia="Times New Roman" w:hAnsi="Times New Roman" w:cs="Times New Roman"/>
                <w:sz w:val="28"/>
                <w:szCs w:val="28"/>
                <w:lang w:eastAsia="lv-LV"/>
              </w:rPr>
              <w:t>„</w:t>
            </w:r>
            <w:r w:rsidR="009B45C4">
              <w:rPr>
                <w:rFonts w:ascii="Times New Roman" w:eastAsia="Times New Roman" w:hAnsi="Times New Roman" w:cs="Times New Roman"/>
                <w:sz w:val="28"/>
                <w:szCs w:val="28"/>
                <w:lang w:eastAsia="lv-LV"/>
              </w:rPr>
              <w:t>Grozījums</w:t>
            </w:r>
            <w:r w:rsidR="00886249" w:rsidRPr="00886249">
              <w:rPr>
                <w:rFonts w:ascii="Times New Roman" w:eastAsia="Times New Roman" w:hAnsi="Times New Roman" w:cs="Times New Roman"/>
                <w:sz w:val="28"/>
                <w:szCs w:val="28"/>
                <w:lang w:eastAsia="lv-LV"/>
              </w:rPr>
              <w:t xml:space="preserve"> Ministru kabineta 2016.gada 13.decembra rīkojumā Nr.769 „Par Latvijas valsts simtgades pasākumu plāna 2017. – 2021.gadam īstenošanai piešķirtā valsts budžeta finansējuma sadalījumu”” </w:t>
            </w:r>
            <w:r>
              <w:rPr>
                <w:rFonts w:ascii="Times New Roman" w:eastAsia="Times New Roman" w:hAnsi="Times New Roman" w:cs="Times New Roman"/>
                <w:bCs/>
                <w:sz w:val="28"/>
                <w:szCs w:val="28"/>
                <w:lang w:eastAsia="lv-LV"/>
              </w:rPr>
              <w:t xml:space="preserve">(turpmāk – Projekts) </w:t>
            </w:r>
            <w:r w:rsidR="00BE4CDD" w:rsidRPr="004316E5">
              <w:rPr>
                <w:rStyle w:val="NoneA"/>
                <w:rFonts w:ascii="Times New Roman" w:hAnsi="Times New Roman" w:cs="Times New Roman"/>
                <w:sz w:val="28"/>
                <w:szCs w:val="28"/>
                <w:lang w:val="lv-LV"/>
              </w:rPr>
              <w:t>sagatavots, lai</w:t>
            </w:r>
            <w:r w:rsidR="00B203C0">
              <w:rPr>
                <w:rStyle w:val="NoneA"/>
                <w:rFonts w:ascii="Times New Roman" w:hAnsi="Times New Roman" w:cs="Times New Roman"/>
                <w:sz w:val="28"/>
                <w:szCs w:val="28"/>
                <w:lang w:val="lv-LV"/>
              </w:rPr>
              <w:t xml:space="preserve">, pamatojoties uz </w:t>
            </w:r>
            <w:r w:rsidR="00B203C0" w:rsidRPr="00886249">
              <w:rPr>
                <w:rFonts w:ascii="Times New Roman" w:eastAsia="Times New Roman" w:hAnsi="Times New Roman" w:cs="Times New Roman"/>
                <w:sz w:val="28"/>
                <w:szCs w:val="28"/>
                <w:lang w:eastAsia="lv-LV"/>
              </w:rPr>
              <w:t>Latvijas valsts simtgades pasākumu plāna 2017. – 2021.gadam</w:t>
            </w:r>
            <w:r w:rsidR="00B203C0">
              <w:rPr>
                <w:rFonts w:ascii="Times New Roman" w:eastAsia="Times New Roman" w:hAnsi="Times New Roman" w:cs="Times New Roman"/>
                <w:sz w:val="28"/>
                <w:szCs w:val="28"/>
                <w:lang w:eastAsia="lv-LV"/>
              </w:rPr>
              <w:t xml:space="preserve"> ietverto pasākumu īstenotāju sniegto informāciju, precizētu </w:t>
            </w:r>
            <w:r w:rsidR="00CA3F27">
              <w:rPr>
                <w:rFonts w:ascii="Times New Roman" w:eastAsia="Times New Roman" w:hAnsi="Times New Roman" w:cs="Times New Roman"/>
                <w:sz w:val="28"/>
                <w:szCs w:val="28"/>
                <w:lang w:eastAsia="lv-LV"/>
              </w:rPr>
              <w:t xml:space="preserve">informāciju par plānā iekļautajiem pasākumiem un </w:t>
            </w:r>
            <w:r w:rsidR="00CA3F27">
              <w:rPr>
                <w:rStyle w:val="NoneA"/>
                <w:rFonts w:ascii="Times New Roman" w:hAnsi="Times New Roman" w:cs="Times New Roman"/>
                <w:sz w:val="28"/>
                <w:szCs w:val="28"/>
                <w:lang w:val="lv-LV"/>
              </w:rPr>
              <w:t>precizētu finansējuma sadalījumu.</w:t>
            </w:r>
          </w:p>
        </w:tc>
      </w:tr>
      <w:tr w:rsidR="0099759D" w:rsidRPr="004316E5" w:rsidTr="0022670B">
        <w:trPr>
          <w:trHeight w:val="465"/>
        </w:trPr>
        <w:tc>
          <w:tcPr>
            <w:tcW w:w="243" w:type="pct"/>
            <w:tcBorders>
              <w:top w:val="outset" w:sz="6" w:space="0" w:color="auto"/>
              <w:left w:val="outset" w:sz="6" w:space="0" w:color="auto"/>
              <w:bottom w:val="outset" w:sz="6" w:space="0" w:color="auto"/>
              <w:right w:val="outset" w:sz="6" w:space="0" w:color="auto"/>
            </w:tcBorders>
            <w:hideMark/>
          </w:tcPr>
          <w:p w:rsidR="0099759D" w:rsidRPr="004316E5" w:rsidRDefault="0099759D" w:rsidP="00200213">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t>2.</w:t>
            </w:r>
          </w:p>
        </w:tc>
        <w:tc>
          <w:tcPr>
            <w:tcW w:w="1986" w:type="pct"/>
            <w:tcBorders>
              <w:top w:val="outset" w:sz="6" w:space="0" w:color="auto"/>
              <w:left w:val="outset" w:sz="6" w:space="0" w:color="auto"/>
              <w:bottom w:val="outset" w:sz="6" w:space="0" w:color="auto"/>
              <w:right w:val="outset" w:sz="6" w:space="0" w:color="auto"/>
            </w:tcBorders>
            <w:hideMark/>
          </w:tcPr>
          <w:p w:rsidR="0099759D" w:rsidRPr="004316E5" w:rsidRDefault="0099759D" w:rsidP="0099759D">
            <w:pPr>
              <w:spacing w:after="0" w:line="240" w:lineRule="auto"/>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2706" w:type="pct"/>
            <w:tcBorders>
              <w:top w:val="outset" w:sz="6" w:space="0" w:color="auto"/>
              <w:left w:val="outset" w:sz="6" w:space="0" w:color="auto"/>
              <w:bottom w:val="outset" w:sz="6" w:space="0" w:color="auto"/>
              <w:right w:val="outset" w:sz="6" w:space="0" w:color="auto"/>
            </w:tcBorders>
            <w:hideMark/>
          </w:tcPr>
          <w:p w:rsidR="00D60EC6" w:rsidRDefault="00CA3F27" w:rsidP="00D60EC6">
            <w:pPr>
              <w:spacing w:after="0" w:line="240" w:lineRule="auto"/>
              <w:ind w:left="57" w:right="57"/>
              <w:jc w:val="both"/>
              <w:rPr>
                <w:rFonts w:ascii="Times New Roman" w:eastAsia="Calibri" w:hAnsi="Times New Roman" w:cs="Times New Roman"/>
                <w:sz w:val="28"/>
                <w:szCs w:val="28"/>
              </w:rPr>
            </w:pPr>
            <w:r>
              <w:rPr>
                <w:rStyle w:val="NoneA"/>
                <w:rFonts w:ascii="Times New Roman" w:hAnsi="Times New Roman" w:cs="Times New Roman"/>
                <w:sz w:val="28"/>
                <w:szCs w:val="28"/>
                <w:lang w:val="lv-LV"/>
              </w:rPr>
              <w:t>Ministru kabineta 2016.gada 13.decembra rīkojums Nr.769 „</w:t>
            </w:r>
            <w:r w:rsidRPr="00886249">
              <w:rPr>
                <w:rFonts w:ascii="Times New Roman" w:eastAsia="Times New Roman" w:hAnsi="Times New Roman" w:cs="Times New Roman"/>
                <w:sz w:val="28"/>
                <w:szCs w:val="28"/>
                <w:lang w:eastAsia="lv-LV"/>
              </w:rPr>
              <w:t>Par Latvijas valsts simtgades pasākumu plāna 2017. – 2021.gadam īstenošanai piešķirtā valsts budžeta finansējuma sadalījumu”</w:t>
            </w:r>
            <w:r w:rsidR="00F165AA" w:rsidRPr="004316E5">
              <w:rPr>
                <w:rStyle w:val="NoneA"/>
                <w:rFonts w:ascii="Times New Roman" w:hAnsi="Times New Roman" w:cs="Times New Roman"/>
                <w:sz w:val="28"/>
                <w:szCs w:val="28"/>
                <w:lang w:val="lv-LV"/>
              </w:rPr>
              <w:t xml:space="preserve"> </w:t>
            </w:r>
            <w:r>
              <w:rPr>
                <w:rStyle w:val="NoneA"/>
                <w:rFonts w:ascii="Times New Roman" w:hAnsi="Times New Roman" w:cs="Times New Roman"/>
                <w:sz w:val="28"/>
                <w:szCs w:val="28"/>
                <w:lang w:val="lv-LV"/>
              </w:rPr>
              <w:t xml:space="preserve">nosaka </w:t>
            </w:r>
            <w:r w:rsidR="00F165AA" w:rsidRPr="004316E5">
              <w:rPr>
                <w:rStyle w:val="NoneA"/>
                <w:rFonts w:ascii="Times New Roman" w:hAnsi="Times New Roman" w:cs="Times New Roman"/>
                <w:sz w:val="28"/>
                <w:szCs w:val="28"/>
                <w:lang w:val="lv-LV"/>
              </w:rPr>
              <w:t xml:space="preserve">Latvijas valsts simtgades </w:t>
            </w:r>
            <w:r w:rsidR="00573522">
              <w:rPr>
                <w:rStyle w:val="NoneA"/>
                <w:rFonts w:ascii="Times New Roman" w:hAnsi="Times New Roman" w:cs="Times New Roman"/>
                <w:sz w:val="28"/>
                <w:szCs w:val="28"/>
                <w:lang w:val="lv-LV"/>
              </w:rPr>
              <w:t>pasākumu</w:t>
            </w:r>
            <w:r w:rsidR="00F165AA" w:rsidRPr="004316E5">
              <w:rPr>
                <w:rStyle w:val="NoneA"/>
                <w:rFonts w:ascii="Times New Roman" w:hAnsi="Times New Roman" w:cs="Times New Roman"/>
                <w:sz w:val="28"/>
                <w:szCs w:val="28"/>
                <w:lang w:val="lv-LV"/>
              </w:rPr>
              <w:t xml:space="preserve"> plāna 2017.</w:t>
            </w:r>
            <w:r w:rsidR="002F59D7">
              <w:rPr>
                <w:rStyle w:val="NoneA"/>
                <w:rFonts w:ascii="Times New Roman" w:hAnsi="Times New Roman" w:cs="Times New Roman"/>
                <w:sz w:val="28"/>
                <w:szCs w:val="28"/>
                <w:lang w:val="lv-LV"/>
              </w:rPr>
              <w:t xml:space="preserve"> </w:t>
            </w:r>
            <w:r w:rsidR="00F165AA" w:rsidRPr="004316E5">
              <w:rPr>
                <w:rStyle w:val="NoneA"/>
                <w:rFonts w:ascii="Times New Roman" w:hAnsi="Times New Roman" w:cs="Times New Roman"/>
                <w:color w:val="2A2A2A"/>
                <w:sz w:val="28"/>
                <w:szCs w:val="28"/>
                <w:u w:color="2A2A2A"/>
                <w:lang w:val="lv-LV"/>
              </w:rPr>
              <w:t>–</w:t>
            </w:r>
            <w:r w:rsidR="002F59D7">
              <w:rPr>
                <w:rStyle w:val="NoneA"/>
                <w:rFonts w:ascii="Times New Roman" w:hAnsi="Times New Roman" w:cs="Times New Roman"/>
                <w:color w:val="2A2A2A"/>
                <w:sz w:val="28"/>
                <w:szCs w:val="28"/>
                <w:u w:color="2A2A2A"/>
                <w:lang w:val="lv-LV"/>
              </w:rPr>
              <w:t xml:space="preserve"> </w:t>
            </w:r>
            <w:r w:rsidR="002F59D7">
              <w:rPr>
                <w:rStyle w:val="NoneA"/>
                <w:rFonts w:ascii="Times New Roman" w:hAnsi="Times New Roman" w:cs="Times New Roman"/>
                <w:sz w:val="28"/>
                <w:szCs w:val="28"/>
                <w:lang w:val="lv-LV"/>
              </w:rPr>
              <w:t>2021.</w:t>
            </w:r>
            <w:r w:rsidR="00F165AA" w:rsidRPr="004316E5">
              <w:rPr>
                <w:rStyle w:val="NoneA"/>
                <w:rFonts w:ascii="Times New Roman" w:hAnsi="Times New Roman" w:cs="Times New Roman"/>
                <w:sz w:val="28"/>
                <w:szCs w:val="28"/>
                <w:lang w:val="lv-LV"/>
              </w:rPr>
              <w:t xml:space="preserve">gadam </w:t>
            </w:r>
            <w:r w:rsidR="006C6DD7">
              <w:rPr>
                <w:rStyle w:val="NoneA"/>
                <w:rFonts w:ascii="Times New Roman" w:hAnsi="Times New Roman" w:cs="Times New Roman"/>
                <w:sz w:val="28"/>
                <w:szCs w:val="28"/>
                <w:lang w:val="lv-LV"/>
              </w:rPr>
              <w:t xml:space="preserve">(turpmāk – Plāns) </w:t>
            </w:r>
            <w:r w:rsidR="00573522">
              <w:rPr>
                <w:rStyle w:val="NoneA"/>
                <w:rFonts w:ascii="Times New Roman" w:hAnsi="Times New Roman" w:cs="Times New Roman"/>
                <w:sz w:val="28"/>
                <w:szCs w:val="28"/>
                <w:lang w:val="lv-LV"/>
              </w:rPr>
              <w:t xml:space="preserve">īstenošanai </w:t>
            </w:r>
            <w:r w:rsidR="00EC7756">
              <w:rPr>
                <w:rStyle w:val="NoneA"/>
                <w:rFonts w:ascii="Times New Roman" w:hAnsi="Times New Roman" w:cs="Times New Roman"/>
                <w:sz w:val="28"/>
                <w:szCs w:val="28"/>
                <w:lang w:val="lv-LV"/>
              </w:rPr>
              <w:t xml:space="preserve">piešķirtā </w:t>
            </w:r>
            <w:r w:rsidR="00F165AA" w:rsidRPr="005B4EAD">
              <w:rPr>
                <w:rStyle w:val="NoneA"/>
                <w:rFonts w:ascii="Times New Roman" w:hAnsi="Times New Roman" w:cs="Times New Roman"/>
                <w:sz w:val="28"/>
                <w:szCs w:val="28"/>
                <w:lang w:val="lv-LV"/>
              </w:rPr>
              <w:t xml:space="preserve">finansējuma </w:t>
            </w:r>
            <w:r w:rsidR="00F165AA">
              <w:rPr>
                <w:rStyle w:val="NoneA"/>
                <w:rFonts w:ascii="Times New Roman" w:hAnsi="Times New Roman" w:cs="Times New Roman"/>
                <w:sz w:val="28"/>
                <w:szCs w:val="28"/>
                <w:lang w:val="lv-LV"/>
              </w:rPr>
              <w:t>sadalījumu ministrijām un citām centrālajām</w:t>
            </w:r>
            <w:r w:rsidR="00F165AA" w:rsidRPr="0018764F">
              <w:rPr>
                <w:rStyle w:val="NoneA"/>
                <w:rFonts w:ascii="Times New Roman" w:hAnsi="Times New Roman" w:cs="Times New Roman"/>
                <w:sz w:val="28"/>
                <w:szCs w:val="28"/>
                <w:lang w:val="lv-LV"/>
              </w:rPr>
              <w:t xml:space="preserve"> valsts iestādēm, </w:t>
            </w:r>
            <w:r w:rsidR="00F165AA">
              <w:rPr>
                <w:rStyle w:val="NoneA"/>
                <w:rFonts w:ascii="Times New Roman" w:hAnsi="Times New Roman" w:cs="Times New Roman"/>
                <w:sz w:val="28"/>
                <w:szCs w:val="28"/>
                <w:lang w:val="lv-LV"/>
              </w:rPr>
              <w:t>kā arī paredz</w:t>
            </w:r>
            <w:r w:rsidR="00F165AA" w:rsidRPr="0018764F">
              <w:rPr>
                <w:rStyle w:val="NoneA"/>
                <w:rFonts w:ascii="Times New Roman" w:hAnsi="Times New Roman" w:cs="Times New Roman"/>
                <w:sz w:val="28"/>
                <w:szCs w:val="28"/>
                <w:lang w:val="lv-LV"/>
              </w:rPr>
              <w:t xml:space="preserve"> nosacījumus, kādi jāievēro</w:t>
            </w:r>
            <w:r w:rsidR="00573522">
              <w:rPr>
                <w:rStyle w:val="NoneA"/>
                <w:rFonts w:ascii="Times New Roman" w:hAnsi="Times New Roman" w:cs="Times New Roman"/>
                <w:sz w:val="28"/>
                <w:szCs w:val="28"/>
                <w:lang w:val="lv-LV"/>
              </w:rPr>
              <w:t>,</w:t>
            </w:r>
            <w:r w:rsidR="00F165AA" w:rsidRPr="0018764F">
              <w:rPr>
                <w:rStyle w:val="NoneA"/>
                <w:rFonts w:ascii="Times New Roman" w:hAnsi="Times New Roman" w:cs="Times New Roman"/>
                <w:sz w:val="28"/>
                <w:szCs w:val="28"/>
                <w:lang w:val="lv-LV"/>
              </w:rPr>
              <w:t xml:space="preserve"> veicot izmaiņas </w:t>
            </w:r>
            <w:r>
              <w:rPr>
                <w:rStyle w:val="NoneA"/>
                <w:rFonts w:ascii="Times New Roman" w:hAnsi="Times New Roman" w:cs="Times New Roman"/>
                <w:sz w:val="28"/>
                <w:szCs w:val="28"/>
                <w:lang w:val="lv-LV"/>
              </w:rPr>
              <w:t xml:space="preserve">finansējuma sadalījumā un </w:t>
            </w:r>
            <w:r w:rsidR="00573522">
              <w:rPr>
                <w:rStyle w:val="NoneA"/>
                <w:rFonts w:ascii="Times New Roman" w:hAnsi="Times New Roman" w:cs="Times New Roman"/>
                <w:sz w:val="28"/>
                <w:szCs w:val="28"/>
                <w:lang w:val="lv-LV"/>
              </w:rPr>
              <w:t>p</w:t>
            </w:r>
            <w:r>
              <w:rPr>
                <w:rStyle w:val="NoneA"/>
                <w:rFonts w:ascii="Times New Roman" w:hAnsi="Times New Roman" w:cs="Times New Roman"/>
                <w:sz w:val="28"/>
                <w:szCs w:val="28"/>
                <w:lang w:val="lv-LV"/>
              </w:rPr>
              <w:t>ārskatu</w:t>
            </w:r>
            <w:r w:rsidR="00F165AA" w:rsidRPr="0018764F">
              <w:rPr>
                <w:rStyle w:val="NoneA"/>
                <w:rFonts w:ascii="Times New Roman" w:hAnsi="Times New Roman" w:cs="Times New Roman"/>
                <w:sz w:val="28"/>
                <w:szCs w:val="28"/>
                <w:lang w:val="lv-LV"/>
              </w:rPr>
              <w:t xml:space="preserve"> par finansējuma izlietojumu</w:t>
            </w:r>
            <w:r>
              <w:rPr>
                <w:rStyle w:val="NoneA"/>
                <w:rFonts w:ascii="Times New Roman" w:hAnsi="Times New Roman" w:cs="Times New Roman"/>
                <w:sz w:val="28"/>
                <w:szCs w:val="28"/>
                <w:lang w:val="lv-LV"/>
              </w:rPr>
              <w:t xml:space="preserve"> sniegšanas kārtību</w:t>
            </w:r>
            <w:r w:rsidR="00F165AA" w:rsidRPr="0018764F">
              <w:rPr>
                <w:rStyle w:val="NoneA"/>
                <w:rFonts w:ascii="Times New Roman" w:hAnsi="Times New Roman" w:cs="Times New Roman"/>
                <w:sz w:val="28"/>
                <w:szCs w:val="28"/>
                <w:lang w:val="lv-LV"/>
              </w:rPr>
              <w:t>.</w:t>
            </w:r>
            <w:r w:rsidR="006C6DD7">
              <w:rPr>
                <w:rFonts w:ascii="Times New Roman" w:hAnsi="Times New Roman" w:cs="Times New Roman"/>
                <w:sz w:val="28"/>
                <w:szCs w:val="28"/>
              </w:rPr>
              <w:t xml:space="preserve"> </w:t>
            </w:r>
          </w:p>
          <w:p w:rsidR="00D60EC6" w:rsidRDefault="00C739C1" w:rsidP="00D60EC6">
            <w:pPr>
              <w:spacing w:after="0" w:line="240" w:lineRule="auto"/>
              <w:ind w:left="57" w:right="57"/>
              <w:jc w:val="both"/>
              <w:rPr>
                <w:rStyle w:val="NoneA"/>
                <w:rFonts w:ascii="Times New Roman" w:hAnsi="Times New Roman" w:cs="Times New Roman"/>
                <w:sz w:val="28"/>
                <w:szCs w:val="28"/>
                <w:lang w:val="lv-LV"/>
              </w:rPr>
            </w:pPr>
            <w:r>
              <w:rPr>
                <w:rStyle w:val="NoneA"/>
                <w:rFonts w:ascii="Times New Roman" w:hAnsi="Times New Roman" w:cs="Times New Roman"/>
                <w:sz w:val="28"/>
                <w:szCs w:val="28"/>
                <w:lang w:val="lv-LV"/>
              </w:rPr>
              <w:lastRenderedPageBreak/>
              <w:t>Latvijas valsts simtgades svinību programmu veido valsts institūciju īstenotie projekti, kas ietverti</w:t>
            </w:r>
            <w:r w:rsidR="007118A1">
              <w:rPr>
                <w:rStyle w:val="NoneA"/>
                <w:rFonts w:ascii="Times New Roman" w:hAnsi="Times New Roman" w:cs="Times New Roman"/>
                <w:sz w:val="28"/>
                <w:szCs w:val="28"/>
                <w:lang w:val="lv-LV"/>
              </w:rPr>
              <w:t xml:space="preserve"> Latvijas valsts simtgades svinību Nacionālajā pasākumu plānā 2017.</w:t>
            </w:r>
            <w:r w:rsidR="00FB45E8">
              <w:rPr>
                <w:rStyle w:val="NoneA"/>
                <w:rFonts w:ascii="Times New Roman" w:hAnsi="Times New Roman" w:cs="Times New Roman"/>
                <w:sz w:val="28"/>
                <w:szCs w:val="28"/>
                <w:lang w:val="lv-LV"/>
              </w:rPr>
              <w:t xml:space="preserve"> – </w:t>
            </w:r>
            <w:r w:rsidR="007118A1">
              <w:rPr>
                <w:rStyle w:val="NoneA"/>
                <w:rFonts w:ascii="Times New Roman" w:hAnsi="Times New Roman" w:cs="Times New Roman"/>
                <w:sz w:val="28"/>
                <w:szCs w:val="28"/>
                <w:lang w:val="lv-LV"/>
              </w:rPr>
              <w:t>2021.gadam (informatīvais ziņojums „</w:t>
            </w:r>
            <w:r w:rsidR="007118A1" w:rsidRPr="007118A1">
              <w:rPr>
                <w:rStyle w:val="NoneA"/>
                <w:rFonts w:ascii="Times New Roman" w:hAnsi="Times New Roman" w:cs="Times New Roman"/>
                <w:sz w:val="28"/>
                <w:szCs w:val="28"/>
                <w:lang w:val="lv-LV"/>
              </w:rPr>
              <w:t xml:space="preserve">Par Latvijas valsts simtgades svinību </w:t>
            </w:r>
            <w:r w:rsidR="007118A1">
              <w:rPr>
                <w:rStyle w:val="NoneA"/>
                <w:rFonts w:ascii="Times New Roman" w:hAnsi="Times New Roman" w:cs="Times New Roman"/>
                <w:sz w:val="28"/>
                <w:szCs w:val="28"/>
                <w:lang w:val="lv-LV"/>
              </w:rPr>
              <w:t>pasākumu plānu 2017.</w:t>
            </w:r>
            <w:r w:rsidR="00FB45E8">
              <w:rPr>
                <w:rStyle w:val="NoneA"/>
                <w:rFonts w:ascii="Times New Roman" w:hAnsi="Times New Roman" w:cs="Times New Roman"/>
                <w:sz w:val="28"/>
                <w:szCs w:val="28"/>
                <w:lang w:val="lv-LV"/>
              </w:rPr>
              <w:t xml:space="preserve"> </w:t>
            </w:r>
            <w:r w:rsidR="007118A1">
              <w:rPr>
                <w:rStyle w:val="NoneA"/>
                <w:rFonts w:ascii="Times New Roman" w:hAnsi="Times New Roman" w:cs="Times New Roman"/>
                <w:sz w:val="28"/>
                <w:szCs w:val="28"/>
                <w:lang w:val="lv-LV"/>
              </w:rPr>
              <w:t>–</w:t>
            </w:r>
            <w:r w:rsidR="00FB45E8">
              <w:rPr>
                <w:rStyle w:val="NoneA"/>
                <w:rFonts w:ascii="Times New Roman" w:hAnsi="Times New Roman" w:cs="Times New Roman"/>
                <w:sz w:val="28"/>
                <w:szCs w:val="28"/>
                <w:lang w:val="lv-LV"/>
              </w:rPr>
              <w:t xml:space="preserve"> </w:t>
            </w:r>
            <w:r w:rsidR="007118A1">
              <w:rPr>
                <w:rStyle w:val="NoneA"/>
                <w:rFonts w:ascii="Times New Roman" w:hAnsi="Times New Roman" w:cs="Times New Roman"/>
                <w:sz w:val="28"/>
                <w:szCs w:val="28"/>
                <w:lang w:val="lv-LV"/>
              </w:rPr>
              <w:t>2021.gadam” (prot.68 69.§)</w:t>
            </w:r>
            <w:r w:rsidR="00E20821">
              <w:rPr>
                <w:rStyle w:val="NoneA"/>
                <w:rFonts w:ascii="Times New Roman" w:hAnsi="Times New Roman" w:cs="Times New Roman"/>
                <w:sz w:val="28"/>
                <w:szCs w:val="28"/>
                <w:lang w:val="lv-LV"/>
              </w:rPr>
              <w:t>, tā ietvaros</w:t>
            </w:r>
            <w:r w:rsidR="007118A1">
              <w:rPr>
                <w:rStyle w:val="NoneA"/>
                <w:rFonts w:ascii="Times New Roman" w:hAnsi="Times New Roman" w:cs="Times New Roman"/>
                <w:sz w:val="28"/>
                <w:szCs w:val="28"/>
                <w:lang w:val="lv-LV"/>
              </w:rPr>
              <w:t xml:space="preserve"> </w:t>
            </w:r>
            <w:r>
              <w:rPr>
                <w:rStyle w:val="NoneA"/>
                <w:rFonts w:ascii="Times New Roman" w:hAnsi="Times New Roman" w:cs="Times New Roman"/>
                <w:sz w:val="28"/>
                <w:szCs w:val="28"/>
                <w:lang w:val="lv-LV"/>
              </w:rPr>
              <w:t>ir īsten</w:t>
            </w:r>
            <w:r w:rsidR="007118A1">
              <w:rPr>
                <w:rStyle w:val="NoneA"/>
                <w:rFonts w:ascii="Times New Roman" w:hAnsi="Times New Roman" w:cs="Times New Roman"/>
                <w:sz w:val="28"/>
                <w:szCs w:val="28"/>
                <w:lang w:val="lv-LV"/>
              </w:rPr>
              <w:t>oti jau vairāk kā 150 pasākumi.</w:t>
            </w:r>
          </w:p>
          <w:p w:rsidR="00D60EC6" w:rsidRDefault="00D60EC6" w:rsidP="00D60EC6">
            <w:pPr>
              <w:spacing w:after="0" w:line="240" w:lineRule="auto"/>
              <w:ind w:left="57" w:right="57"/>
              <w:jc w:val="both"/>
              <w:rPr>
                <w:rStyle w:val="NoneA"/>
                <w:rFonts w:ascii="Times New Roman" w:hAnsi="Times New Roman" w:cs="Times New Roman"/>
                <w:sz w:val="28"/>
                <w:szCs w:val="28"/>
                <w:lang w:val="lv-LV"/>
              </w:rPr>
            </w:pPr>
          </w:p>
          <w:p w:rsidR="00F1742C" w:rsidRPr="007C09F9" w:rsidRDefault="00F1742C" w:rsidP="00F1742C">
            <w:pPr>
              <w:spacing w:after="0" w:line="240" w:lineRule="auto"/>
              <w:ind w:left="57" w:right="57"/>
              <w:jc w:val="both"/>
              <w:rPr>
                <w:rStyle w:val="NoneA"/>
                <w:rFonts w:ascii="Times New Roman" w:hAnsi="Times New Roman" w:cs="Times New Roman"/>
                <w:b/>
                <w:sz w:val="28"/>
                <w:szCs w:val="28"/>
                <w:lang w:val="lv-LV"/>
              </w:rPr>
            </w:pPr>
            <w:r w:rsidRPr="007C09F9">
              <w:rPr>
                <w:rStyle w:val="NoneA"/>
                <w:rFonts w:ascii="Times New Roman" w:hAnsi="Times New Roman" w:cs="Times New Roman"/>
                <w:b/>
                <w:sz w:val="28"/>
                <w:szCs w:val="28"/>
                <w:lang w:val="lv-LV"/>
              </w:rPr>
              <w:t>Plānā ietverto pasākumu īstenošanas gaitā ir radusies nepieciešamība precizēt tajā ietverto pasākumu aprakstus, precizēt to norises laikus, iesaistītos sadarbības partnerus, dalībniekus, precizēt nosaukums, kas māksliniecisku vai citu apsvērumu dēļ ir mainīti, kā arī precizēt finansējuma sadalījumu starp</w:t>
            </w:r>
            <w:proofErr w:type="gramStart"/>
            <w:r w:rsidRPr="007C09F9">
              <w:rPr>
                <w:rStyle w:val="NoneA"/>
                <w:rFonts w:ascii="Times New Roman" w:hAnsi="Times New Roman" w:cs="Times New Roman"/>
                <w:b/>
                <w:sz w:val="28"/>
                <w:szCs w:val="28"/>
                <w:lang w:val="lv-LV"/>
              </w:rPr>
              <w:t xml:space="preserve">  </w:t>
            </w:r>
            <w:proofErr w:type="gramEnd"/>
            <w:r w:rsidRPr="007C09F9">
              <w:rPr>
                <w:rStyle w:val="NoneA"/>
                <w:rFonts w:ascii="Times New Roman" w:hAnsi="Times New Roman" w:cs="Times New Roman"/>
                <w:b/>
                <w:sz w:val="28"/>
                <w:szCs w:val="28"/>
                <w:lang w:val="lv-LV"/>
              </w:rPr>
              <w:t>gadiem.</w:t>
            </w:r>
          </w:p>
          <w:p w:rsidR="00F1742C" w:rsidRPr="007C09F9" w:rsidRDefault="00F1742C" w:rsidP="00F1742C">
            <w:pPr>
              <w:spacing w:after="0" w:line="240" w:lineRule="auto"/>
              <w:ind w:left="57" w:right="57"/>
              <w:jc w:val="both"/>
              <w:rPr>
                <w:rStyle w:val="NoneA"/>
                <w:rFonts w:ascii="Times New Roman" w:hAnsi="Times New Roman" w:cs="Times New Roman"/>
                <w:b/>
                <w:sz w:val="28"/>
                <w:szCs w:val="28"/>
                <w:lang w:val="lv-LV"/>
              </w:rPr>
            </w:pPr>
          </w:p>
          <w:p w:rsidR="00D60EC6" w:rsidRPr="007C09F9" w:rsidRDefault="00F1742C" w:rsidP="00F1742C">
            <w:pPr>
              <w:spacing w:after="0" w:line="240" w:lineRule="auto"/>
              <w:ind w:left="57" w:right="57"/>
              <w:jc w:val="both"/>
              <w:rPr>
                <w:rStyle w:val="NoneA"/>
                <w:rFonts w:ascii="Times New Roman" w:hAnsi="Times New Roman" w:cs="Times New Roman"/>
                <w:b/>
                <w:sz w:val="28"/>
                <w:szCs w:val="28"/>
                <w:lang w:val="lv-LV"/>
              </w:rPr>
            </w:pPr>
            <w:r w:rsidRPr="007C09F9">
              <w:rPr>
                <w:rStyle w:val="NoneA"/>
                <w:rFonts w:ascii="Times New Roman" w:hAnsi="Times New Roman" w:cs="Times New Roman"/>
                <w:b/>
                <w:sz w:val="28"/>
                <w:szCs w:val="28"/>
                <w:lang w:val="lv-LV"/>
              </w:rPr>
              <w:t>Kultūras ministrija ir apkopojusi Plāna īstenošanā iesaistīto ministriju, citu centrālo valsts iestāžu un pašvaldību sniegto informāciju par nepieciešamajām izmaiņām Plānā un ir sagatavojusi attiecīgi Projektu. Izmaiņas veiktas esošo finanšu līdzekļu ietvaros un neparedz papildus finanšu līdzekļu pieprasījumus.</w:t>
            </w:r>
          </w:p>
          <w:p w:rsidR="00F1742C" w:rsidRDefault="00F1742C" w:rsidP="00F1742C">
            <w:pPr>
              <w:spacing w:after="0" w:line="240" w:lineRule="auto"/>
              <w:ind w:left="57" w:right="57"/>
              <w:jc w:val="both"/>
              <w:rPr>
                <w:rFonts w:ascii="Times New Roman" w:eastAsia="Times New Roman" w:hAnsi="Times New Roman" w:cs="Times New Roman"/>
                <w:sz w:val="28"/>
                <w:szCs w:val="28"/>
                <w:lang w:eastAsia="lv-LV"/>
              </w:rPr>
            </w:pPr>
          </w:p>
          <w:p w:rsidR="00D60EC6" w:rsidRDefault="008F39B6" w:rsidP="00D60EC6">
            <w:pPr>
              <w:spacing w:after="0" w:line="240" w:lineRule="auto"/>
              <w:ind w:left="57" w:right="5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paredz</w:t>
            </w:r>
            <w:r w:rsidR="00CB6848">
              <w:rPr>
                <w:rFonts w:ascii="Times New Roman" w:eastAsia="Times New Roman" w:hAnsi="Times New Roman" w:cs="Times New Roman"/>
                <w:sz w:val="28"/>
                <w:szCs w:val="28"/>
                <w:lang w:eastAsia="lv-LV"/>
              </w:rPr>
              <w:t xml:space="preserve"> izdarīt šādus grozījumus rīkojuma 1.pielikumā</w:t>
            </w:r>
            <w:r>
              <w:rPr>
                <w:rFonts w:ascii="Times New Roman" w:eastAsia="Times New Roman" w:hAnsi="Times New Roman" w:cs="Times New Roman"/>
                <w:sz w:val="28"/>
                <w:szCs w:val="28"/>
                <w:lang w:eastAsia="lv-LV"/>
              </w:rPr>
              <w:t>:</w:t>
            </w:r>
          </w:p>
          <w:p w:rsidR="00D60EC6" w:rsidRDefault="00D60EC6" w:rsidP="00D60EC6">
            <w:pPr>
              <w:tabs>
                <w:tab w:val="left" w:pos="438"/>
              </w:tabs>
              <w:spacing w:after="0" w:line="240" w:lineRule="auto"/>
              <w:ind w:left="102" w:right="57" w:hanging="45"/>
              <w:jc w:val="both"/>
              <w:rPr>
                <w:rFonts w:ascii="Times New Roman" w:eastAsia="Times New Roman" w:hAnsi="Times New Roman" w:cs="Times New Roman"/>
                <w:sz w:val="28"/>
                <w:szCs w:val="28"/>
                <w:lang w:eastAsia="lv-LV"/>
              </w:rPr>
            </w:pPr>
          </w:p>
          <w:p w:rsidR="00D60EC6" w:rsidRDefault="008F39B6" w:rsidP="00D60EC6">
            <w:pPr>
              <w:pStyle w:val="Sarakstarindkopa"/>
              <w:numPr>
                <w:ilvl w:val="0"/>
                <w:numId w:val="2"/>
              </w:numPr>
              <w:tabs>
                <w:tab w:val="left" w:pos="438"/>
              </w:tabs>
              <w:spacing w:after="0" w:line="240" w:lineRule="auto"/>
              <w:ind w:left="297" w:right="57" w:hanging="240"/>
              <w:jc w:val="both"/>
              <w:rPr>
                <w:rFonts w:ascii="Times New Roman" w:eastAsia="Times New Roman" w:hAnsi="Times New Roman" w:cs="Times New Roman"/>
                <w:sz w:val="28"/>
                <w:szCs w:val="28"/>
                <w:lang w:eastAsia="lv-LV"/>
              </w:rPr>
            </w:pPr>
            <w:r w:rsidRPr="000D5211">
              <w:rPr>
                <w:rFonts w:ascii="Times New Roman" w:eastAsia="Times New Roman" w:hAnsi="Times New Roman" w:cs="Times New Roman"/>
                <w:sz w:val="28"/>
                <w:szCs w:val="28"/>
                <w:lang w:eastAsia="lv-LV"/>
              </w:rPr>
              <w:t>precizēt rīkojuma 1.pielikuma</w:t>
            </w:r>
            <w:r w:rsidR="00E24884">
              <w:rPr>
                <w:rFonts w:ascii="Times New Roman" w:eastAsia="Times New Roman" w:hAnsi="Times New Roman" w:cs="Times New Roman"/>
                <w:sz w:val="28"/>
                <w:szCs w:val="28"/>
                <w:lang w:eastAsia="lv-LV"/>
              </w:rPr>
              <w:t xml:space="preserve"> </w:t>
            </w:r>
            <w:r w:rsidR="001610FA">
              <w:rPr>
                <w:rFonts w:ascii="Times New Roman" w:eastAsia="Times New Roman" w:hAnsi="Times New Roman" w:cs="Times New Roman"/>
                <w:sz w:val="28"/>
                <w:szCs w:val="28"/>
                <w:lang w:eastAsia="lv-LV"/>
              </w:rPr>
              <w:t>2</w:t>
            </w:r>
            <w:r w:rsidR="00E24884">
              <w:rPr>
                <w:rFonts w:ascii="Times New Roman" w:eastAsia="Times New Roman" w:hAnsi="Times New Roman" w:cs="Times New Roman"/>
                <w:sz w:val="28"/>
                <w:szCs w:val="28"/>
                <w:lang w:eastAsia="lv-LV"/>
              </w:rPr>
              <w:t>.,</w:t>
            </w:r>
            <w:r w:rsidR="001610FA">
              <w:rPr>
                <w:rFonts w:ascii="Times New Roman" w:eastAsia="Times New Roman" w:hAnsi="Times New Roman" w:cs="Times New Roman"/>
                <w:sz w:val="28"/>
                <w:szCs w:val="28"/>
                <w:lang w:eastAsia="lv-LV"/>
              </w:rPr>
              <w:t xml:space="preserve"> 4.,</w:t>
            </w:r>
            <w:r w:rsidR="00E24884">
              <w:rPr>
                <w:rFonts w:ascii="Times New Roman" w:eastAsia="Times New Roman" w:hAnsi="Times New Roman" w:cs="Times New Roman"/>
                <w:sz w:val="28"/>
                <w:szCs w:val="28"/>
                <w:lang w:eastAsia="lv-LV"/>
              </w:rPr>
              <w:t xml:space="preserve"> 5.,</w:t>
            </w:r>
            <w:r w:rsidR="001610FA">
              <w:rPr>
                <w:rFonts w:ascii="Times New Roman" w:eastAsia="Times New Roman" w:hAnsi="Times New Roman" w:cs="Times New Roman"/>
                <w:sz w:val="28"/>
                <w:szCs w:val="28"/>
                <w:lang w:eastAsia="lv-LV"/>
              </w:rPr>
              <w:t xml:space="preserve"> 19.,</w:t>
            </w:r>
            <w:proofErr w:type="gramStart"/>
            <w:r w:rsidR="001610FA">
              <w:rPr>
                <w:rFonts w:ascii="Times New Roman" w:eastAsia="Times New Roman" w:hAnsi="Times New Roman" w:cs="Times New Roman"/>
                <w:sz w:val="28"/>
                <w:szCs w:val="28"/>
                <w:lang w:eastAsia="lv-LV"/>
              </w:rPr>
              <w:t xml:space="preserve"> </w:t>
            </w:r>
            <w:r w:rsidR="00E24884">
              <w:rPr>
                <w:rFonts w:ascii="Times New Roman" w:eastAsia="Times New Roman" w:hAnsi="Times New Roman" w:cs="Times New Roman"/>
                <w:sz w:val="28"/>
                <w:szCs w:val="28"/>
                <w:lang w:eastAsia="lv-LV"/>
              </w:rPr>
              <w:t xml:space="preserve"> </w:t>
            </w:r>
            <w:proofErr w:type="gramEnd"/>
            <w:r w:rsidR="00E24884">
              <w:rPr>
                <w:rFonts w:ascii="Times New Roman" w:eastAsia="Times New Roman" w:hAnsi="Times New Roman" w:cs="Times New Roman"/>
                <w:sz w:val="28"/>
                <w:szCs w:val="28"/>
                <w:lang w:eastAsia="lv-LV"/>
              </w:rPr>
              <w:t>37., 44., 47., 52., 53., 58.,</w:t>
            </w:r>
            <w:r w:rsidR="00B2056D">
              <w:rPr>
                <w:rFonts w:ascii="Times New Roman" w:eastAsia="Times New Roman" w:hAnsi="Times New Roman" w:cs="Times New Roman"/>
                <w:sz w:val="28"/>
                <w:szCs w:val="28"/>
                <w:lang w:eastAsia="lv-LV"/>
              </w:rPr>
              <w:t xml:space="preserve"> 64.,</w:t>
            </w:r>
            <w:r w:rsidR="00E24884">
              <w:rPr>
                <w:rFonts w:ascii="Times New Roman" w:eastAsia="Times New Roman" w:hAnsi="Times New Roman" w:cs="Times New Roman"/>
                <w:sz w:val="28"/>
                <w:szCs w:val="28"/>
                <w:lang w:eastAsia="lv-LV"/>
              </w:rPr>
              <w:t xml:space="preserve"> 67., 74., 75., 77., 87., 88., 90., 92.-95., </w:t>
            </w:r>
            <w:r w:rsidR="00B2056D">
              <w:rPr>
                <w:rFonts w:ascii="Times New Roman" w:eastAsia="Times New Roman" w:hAnsi="Times New Roman" w:cs="Times New Roman"/>
                <w:sz w:val="28"/>
                <w:szCs w:val="28"/>
                <w:lang w:eastAsia="lv-LV"/>
              </w:rPr>
              <w:t xml:space="preserve">105., </w:t>
            </w:r>
            <w:r w:rsidR="00E24884">
              <w:rPr>
                <w:rFonts w:ascii="Times New Roman" w:eastAsia="Times New Roman" w:hAnsi="Times New Roman" w:cs="Times New Roman"/>
                <w:sz w:val="28"/>
                <w:szCs w:val="28"/>
                <w:lang w:eastAsia="lv-LV"/>
              </w:rPr>
              <w:t>107., 108. un 113</w:t>
            </w:r>
            <w:r w:rsidRPr="00E24884">
              <w:rPr>
                <w:rFonts w:ascii="Times New Roman" w:eastAsia="Times New Roman" w:hAnsi="Times New Roman" w:cs="Times New Roman"/>
                <w:sz w:val="28"/>
                <w:szCs w:val="28"/>
                <w:lang w:eastAsia="lv-LV"/>
              </w:rPr>
              <w:t>.punktā</w:t>
            </w:r>
            <w:r w:rsidRPr="000D5211">
              <w:rPr>
                <w:rFonts w:ascii="Times New Roman" w:eastAsia="Times New Roman" w:hAnsi="Times New Roman" w:cs="Times New Roman"/>
                <w:sz w:val="28"/>
                <w:szCs w:val="28"/>
                <w:lang w:eastAsia="lv-LV"/>
              </w:rPr>
              <w:t xml:space="preserve"> minētos pasākumu nosaukumus, dalībniekus vai norises laikus;</w:t>
            </w:r>
          </w:p>
          <w:p w:rsidR="00D60EC6" w:rsidRDefault="008F39B6" w:rsidP="00D60EC6">
            <w:pPr>
              <w:pStyle w:val="Sarakstarindkopa"/>
              <w:numPr>
                <w:ilvl w:val="0"/>
                <w:numId w:val="2"/>
              </w:numPr>
              <w:tabs>
                <w:tab w:val="left" w:pos="438"/>
              </w:tabs>
              <w:spacing w:after="0" w:line="240" w:lineRule="auto"/>
              <w:ind w:left="297" w:right="57" w:hanging="240"/>
              <w:jc w:val="both"/>
              <w:rPr>
                <w:rFonts w:ascii="Times New Roman" w:eastAsia="Times New Roman" w:hAnsi="Times New Roman" w:cs="Times New Roman"/>
                <w:sz w:val="28"/>
                <w:szCs w:val="28"/>
                <w:lang w:eastAsia="lv-LV"/>
              </w:rPr>
            </w:pPr>
            <w:r w:rsidRPr="000D5211">
              <w:rPr>
                <w:rFonts w:ascii="Times New Roman" w:eastAsia="Times New Roman" w:hAnsi="Times New Roman" w:cs="Times New Roman"/>
                <w:sz w:val="28"/>
                <w:szCs w:val="28"/>
                <w:lang w:eastAsia="lv-LV"/>
              </w:rPr>
              <w:t>precizēt rīkojuma 1.pielikuma</w:t>
            </w:r>
            <w:r w:rsidR="00B6470F">
              <w:rPr>
                <w:rFonts w:ascii="Times New Roman" w:eastAsia="Times New Roman" w:hAnsi="Times New Roman" w:cs="Times New Roman"/>
                <w:sz w:val="28"/>
                <w:szCs w:val="28"/>
                <w:lang w:eastAsia="lv-LV"/>
              </w:rPr>
              <w:t xml:space="preserve"> 19., 23., 31., 41., 46., 47., 51.,</w:t>
            </w:r>
            <w:r w:rsidR="001610FA">
              <w:rPr>
                <w:rFonts w:ascii="Times New Roman" w:eastAsia="Times New Roman" w:hAnsi="Times New Roman" w:cs="Times New Roman"/>
                <w:sz w:val="28"/>
                <w:szCs w:val="28"/>
                <w:lang w:eastAsia="lv-LV"/>
              </w:rPr>
              <w:t xml:space="preserve"> 52., 53., 55., 62., 65., 67</w:t>
            </w:r>
            <w:r w:rsidR="00B6470F">
              <w:rPr>
                <w:rFonts w:ascii="Times New Roman" w:eastAsia="Times New Roman" w:hAnsi="Times New Roman" w:cs="Times New Roman"/>
                <w:sz w:val="28"/>
                <w:szCs w:val="28"/>
                <w:lang w:eastAsia="lv-LV"/>
              </w:rPr>
              <w:t>., 73</w:t>
            </w:r>
            <w:r w:rsidRPr="000D5211">
              <w:rPr>
                <w:rFonts w:ascii="Times New Roman" w:eastAsia="Times New Roman" w:hAnsi="Times New Roman" w:cs="Times New Roman"/>
                <w:sz w:val="28"/>
                <w:szCs w:val="28"/>
                <w:lang w:eastAsia="lv-LV"/>
              </w:rPr>
              <w:t>.,</w:t>
            </w:r>
            <w:r w:rsidR="00B6470F">
              <w:rPr>
                <w:rFonts w:ascii="Times New Roman" w:eastAsia="Times New Roman" w:hAnsi="Times New Roman" w:cs="Times New Roman"/>
                <w:sz w:val="28"/>
                <w:szCs w:val="28"/>
                <w:lang w:eastAsia="lv-LV"/>
              </w:rPr>
              <w:t xml:space="preserve"> 74., 75., 76., 87., 89.</w:t>
            </w:r>
            <w:r w:rsidRPr="000D5211">
              <w:rPr>
                <w:rFonts w:ascii="Times New Roman" w:eastAsia="Times New Roman" w:hAnsi="Times New Roman" w:cs="Times New Roman"/>
                <w:sz w:val="28"/>
                <w:szCs w:val="28"/>
                <w:lang w:eastAsia="lv-LV"/>
              </w:rPr>
              <w:t xml:space="preserve"> un </w:t>
            </w:r>
            <w:r w:rsidR="00B6470F" w:rsidRPr="00B6470F">
              <w:rPr>
                <w:rFonts w:ascii="Times New Roman" w:eastAsia="Times New Roman" w:hAnsi="Times New Roman" w:cs="Times New Roman"/>
                <w:sz w:val="28"/>
                <w:szCs w:val="28"/>
                <w:lang w:eastAsia="lv-LV"/>
              </w:rPr>
              <w:t>90</w:t>
            </w:r>
            <w:r w:rsidRPr="00B6470F">
              <w:rPr>
                <w:rFonts w:ascii="Times New Roman" w:eastAsia="Times New Roman" w:hAnsi="Times New Roman" w:cs="Times New Roman"/>
                <w:sz w:val="28"/>
                <w:szCs w:val="28"/>
                <w:lang w:eastAsia="lv-LV"/>
              </w:rPr>
              <w:t>.punktā</w:t>
            </w:r>
            <w:r w:rsidRPr="000D5211">
              <w:rPr>
                <w:rFonts w:ascii="Times New Roman" w:eastAsia="Times New Roman" w:hAnsi="Times New Roman" w:cs="Times New Roman"/>
                <w:sz w:val="28"/>
                <w:szCs w:val="28"/>
                <w:lang w:eastAsia="lv-LV"/>
              </w:rPr>
              <w:t xml:space="preserve"> paredzētā finansējuma </w:t>
            </w:r>
            <w:r w:rsidRPr="000D5211">
              <w:rPr>
                <w:rFonts w:ascii="Times New Roman" w:eastAsia="Times New Roman" w:hAnsi="Times New Roman" w:cs="Times New Roman"/>
                <w:sz w:val="28"/>
                <w:szCs w:val="28"/>
                <w:lang w:eastAsia="lv-LV"/>
              </w:rPr>
              <w:lastRenderedPageBreak/>
              <w:t>sadalījumu</w:t>
            </w:r>
            <w:r w:rsidR="00B6470F">
              <w:rPr>
                <w:rFonts w:ascii="Times New Roman" w:eastAsia="Times New Roman" w:hAnsi="Times New Roman" w:cs="Times New Roman"/>
                <w:sz w:val="28"/>
                <w:szCs w:val="28"/>
                <w:lang w:eastAsia="lv-LV"/>
              </w:rPr>
              <w:t xml:space="preserve"> gan pa ga</w:t>
            </w:r>
            <w:r w:rsidRPr="000D5211">
              <w:rPr>
                <w:rFonts w:ascii="Times New Roman" w:eastAsia="Times New Roman" w:hAnsi="Times New Roman" w:cs="Times New Roman"/>
                <w:sz w:val="28"/>
                <w:szCs w:val="28"/>
                <w:lang w:eastAsia="lv-LV"/>
              </w:rPr>
              <w:t>diem</w:t>
            </w:r>
            <w:r w:rsidR="00B6470F">
              <w:rPr>
                <w:rFonts w:ascii="Times New Roman" w:eastAsia="Times New Roman" w:hAnsi="Times New Roman" w:cs="Times New Roman"/>
                <w:sz w:val="28"/>
                <w:szCs w:val="28"/>
                <w:lang w:eastAsia="lv-LV"/>
              </w:rPr>
              <w:t>, gan projektiem</w:t>
            </w:r>
            <w:r w:rsidRPr="000D5211">
              <w:rPr>
                <w:rFonts w:ascii="Times New Roman" w:eastAsia="Times New Roman" w:hAnsi="Times New Roman" w:cs="Times New Roman"/>
                <w:sz w:val="28"/>
                <w:szCs w:val="28"/>
                <w:lang w:eastAsia="lv-LV"/>
              </w:rPr>
              <w:t>;</w:t>
            </w:r>
          </w:p>
          <w:p w:rsidR="00D60EC6" w:rsidRPr="004315A3" w:rsidRDefault="008F39B6" w:rsidP="004315A3">
            <w:pPr>
              <w:pStyle w:val="Sarakstarindkopa"/>
              <w:numPr>
                <w:ilvl w:val="0"/>
                <w:numId w:val="2"/>
              </w:numPr>
              <w:tabs>
                <w:tab w:val="left" w:pos="438"/>
              </w:tabs>
              <w:spacing w:after="0" w:line="240" w:lineRule="auto"/>
              <w:ind w:left="297" w:right="57" w:hanging="240"/>
              <w:jc w:val="both"/>
              <w:rPr>
                <w:rFonts w:ascii="Times New Roman" w:eastAsia="Times New Roman" w:hAnsi="Times New Roman" w:cs="Times New Roman"/>
                <w:sz w:val="28"/>
                <w:szCs w:val="28"/>
                <w:lang w:eastAsia="lv-LV"/>
              </w:rPr>
            </w:pPr>
            <w:r w:rsidRPr="000D5211">
              <w:rPr>
                <w:rFonts w:ascii="Times New Roman" w:eastAsia="Times New Roman" w:hAnsi="Times New Roman" w:cs="Times New Roman"/>
                <w:sz w:val="28"/>
                <w:szCs w:val="28"/>
                <w:lang w:eastAsia="lv-LV"/>
              </w:rPr>
              <w:t>precizēt rīkojuma 1.pielikuma</w:t>
            </w:r>
            <w:r w:rsidR="005E3090">
              <w:rPr>
                <w:rFonts w:ascii="Times New Roman" w:eastAsia="Times New Roman" w:hAnsi="Times New Roman" w:cs="Times New Roman"/>
                <w:sz w:val="28"/>
                <w:szCs w:val="28"/>
                <w:lang w:eastAsia="lv-LV"/>
              </w:rPr>
              <w:t xml:space="preserve"> 65</w:t>
            </w:r>
            <w:r w:rsidRPr="005E3090">
              <w:rPr>
                <w:rFonts w:ascii="Times New Roman" w:eastAsia="Times New Roman" w:hAnsi="Times New Roman" w:cs="Times New Roman"/>
                <w:sz w:val="28"/>
                <w:szCs w:val="28"/>
                <w:lang w:eastAsia="lv-LV"/>
              </w:rPr>
              <w:t>.</w:t>
            </w:r>
            <w:r w:rsidR="00294098">
              <w:rPr>
                <w:rFonts w:ascii="Times New Roman" w:eastAsia="Times New Roman" w:hAnsi="Times New Roman" w:cs="Times New Roman"/>
                <w:sz w:val="28"/>
                <w:szCs w:val="28"/>
                <w:lang w:eastAsia="lv-LV"/>
              </w:rPr>
              <w:t>,</w:t>
            </w:r>
            <w:r w:rsidRPr="000D5211">
              <w:rPr>
                <w:rFonts w:ascii="Times New Roman" w:eastAsia="Times New Roman" w:hAnsi="Times New Roman" w:cs="Times New Roman"/>
                <w:sz w:val="28"/>
                <w:szCs w:val="28"/>
                <w:lang w:eastAsia="lv-LV"/>
              </w:rPr>
              <w:t xml:space="preserve"> </w:t>
            </w:r>
            <w:r w:rsidR="001610FA">
              <w:rPr>
                <w:rFonts w:ascii="Times New Roman" w:eastAsia="Times New Roman" w:hAnsi="Times New Roman" w:cs="Times New Roman"/>
                <w:sz w:val="28"/>
                <w:szCs w:val="28"/>
                <w:lang w:eastAsia="lv-LV"/>
              </w:rPr>
              <w:t>72</w:t>
            </w:r>
            <w:r w:rsidR="005E3090">
              <w:rPr>
                <w:rFonts w:ascii="Times New Roman" w:eastAsia="Times New Roman" w:hAnsi="Times New Roman" w:cs="Times New Roman"/>
                <w:sz w:val="28"/>
                <w:szCs w:val="28"/>
                <w:lang w:eastAsia="lv-LV"/>
              </w:rPr>
              <w:t>.</w:t>
            </w:r>
            <w:r w:rsidR="00294098">
              <w:rPr>
                <w:rFonts w:ascii="Times New Roman" w:eastAsia="Times New Roman" w:hAnsi="Times New Roman" w:cs="Times New Roman"/>
                <w:sz w:val="28"/>
                <w:szCs w:val="28"/>
                <w:lang w:eastAsia="lv-LV"/>
              </w:rPr>
              <w:t xml:space="preserve"> un 108.</w:t>
            </w:r>
            <w:r w:rsidRPr="000D5211">
              <w:rPr>
                <w:rFonts w:ascii="Times New Roman" w:eastAsia="Times New Roman" w:hAnsi="Times New Roman" w:cs="Times New Roman"/>
                <w:sz w:val="28"/>
                <w:szCs w:val="28"/>
                <w:lang w:eastAsia="lv-LV"/>
              </w:rPr>
              <w:t xml:space="preserve">punktā paredzētā finansējuma </w:t>
            </w:r>
            <w:r w:rsidR="00F1742C">
              <w:rPr>
                <w:rFonts w:ascii="Times New Roman" w:eastAsia="Times New Roman" w:hAnsi="Times New Roman" w:cs="Times New Roman"/>
                <w:sz w:val="28"/>
                <w:szCs w:val="28"/>
                <w:lang w:eastAsia="lv-LV"/>
              </w:rPr>
              <w:t>mērķi</w:t>
            </w:r>
            <w:r w:rsidR="004315A3">
              <w:rPr>
                <w:rFonts w:ascii="Times New Roman" w:eastAsia="Times New Roman" w:hAnsi="Times New Roman" w:cs="Times New Roman"/>
                <w:sz w:val="28"/>
                <w:szCs w:val="28"/>
                <w:lang w:eastAsia="lv-LV"/>
              </w:rPr>
              <w:t>.</w:t>
            </w:r>
          </w:p>
        </w:tc>
      </w:tr>
      <w:tr w:rsidR="0099759D" w:rsidRPr="004316E5" w:rsidTr="0022670B">
        <w:trPr>
          <w:trHeight w:val="709"/>
        </w:trPr>
        <w:tc>
          <w:tcPr>
            <w:tcW w:w="243" w:type="pct"/>
            <w:tcBorders>
              <w:top w:val="outset" w:sz="6" w:space="0" w:color="auto"/>
              <w:left w:val="outset" w:sz="6" w:space="0" w:color="auto"/>
              <w:bottom w:val="outset" w:sz="6" w:space="0" w:color="auto"/>
              <w:right w:val="outset" w:sz="6" w:space="0" w:color="auto"/>
            </w:tcBorders>
            <w:hideMark/>
          </w:tcPr>
          <w:p w:rsidR="0099759D" w:rsidRPr="004316E5" w:rsidRDefault="0099759D" w:rsidP="00200213">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lastRenderedPageBreak/>
              <w:t>3.</w:t>
            </w:r>
          </w:p>
        </w:tc>
        <w:tc>
          <w:tcPr>
            <w:tcW w:w="1986" w:type="pct"/>
            <w:tcBorders>
              <w:top w:val="outset" w:sz="6" w:space="0" w:color="auto"/>
              <w:left w:val="outset" w:sz="6" w:space="0" w:color="auto"/>
              <w:bottom w:val="outset" w:sz="6" w:space="0" w:color="auto"/>
              <w:right w:val="outset" w:sz="6" w:space="0" w:color="auto"/>
            </w:tcBorders>
            <w:hideMark/>
          </w:tcPr>
          <w:p w:rsidR="0099759D" w:rsidRPr="004316E5" w:rsidRDefault="0099759D" w:rsidP="0099759D">
            <w:pPr>
              <w:spacing w:after="0" w:line="240" w:lineRule="auto"/>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t>Projekta izstrādē iesaistītās institūcijas</w:t>
            </w:r>
          </w:p>
        </w:tc>
        <w:tc>
          <w:tcPr>
            <w:tcW w:w="2706" w:type="pct"/>
            <w:tcBorders>
              <w:top w:val="outset" w:sz="6" w:space="0" w:color="auto"/>
              <w:left w:val="outset" w:sz="6" w:space="0" w:color="auto"/>
              <w:bottom w:val="outset" w:sz="6" w:space="0" w:color="auto"/>
              <w:right w:val="outset" w:sz="6" w:space="0" w:color="auto"/>
            </w:tcBorders>
            <w:hideMark/>
          </w:tcPr>
          <w:p w:rsidR="00D60EC6" w:rsidRDefault="00206E2A" w:rsidP="00D60EC6">
            <w:pPr>
              <w:spacing w:after="0" w:line="240" w:lineRule="auto"/>
              <w:ind w:left="57" w:right="57"/>
              <w:jc w:val="both"/>
              <w:rPr>
                <w:rFonts w:ascii="Times New Roman" w:hAnsi="Times New Roman" w:cs="Times New Roman"/>
                <w:sz w:val="28"/>
                <w:szCs w:val="28"/>
              </w:rPr>
            </w:pPr>
            <w:r>
              <w:rPr>
                <w:rStyle w:val="NoneA"/>
                <w:rFonts w:ascii="Times New Roman" w:hAnsi="Times New Roman" w:cs="Times New Roman"/>
                <w:sz w:val="28"/>
                <w:szCs w:val="28"/>
                <w:lang w:val="lv-LV"/>
              </w:rPr>
              <w:t>Ar Ministru kabineta 2015.gada 5.februāra rīkojumu Nr.</w:t>
            </w:r>
            <w:r w:rsidRPr="004316E5">
              <w:rPr>
                <w:rStyle w:val="NoneA"/>
                <w:rFonts w:ascii="Times New Roman" w:hAnsi="Times New Roman" w:cs="Times New Roman"/>
                <w:sz w:val="28"/>
                <w:szCs w:val="28"/>
                <w:lang w:val="lv-LV"/>
              </w:rPr>
              <w:t>63 „Par Latvijas Republikas simtgades rīcības komiteju”</w:t>
            </w:r>
            <w:r>
              <w:rPr>
                <w:rStyle w:val="NoneA"/>
                <w:rFonts w:ascii="Times New Roman" w:hAnsi="Times New Roman" w:cs="Times New Roman"/>
                <w:sz w:val="28"/>
                <w:szCs w:val="28"/>
                <w:lang w:val="lv-LV"/>
              </w:rPr>
              <w:t xml:space="preserve"> izveidotā komiteja 2017.gada 17.augusta sēdē izskatīja jautājumus par </w:t>
            </w:r>
            <w:r w:rsidRPr="00206E2A">
              <w:rPr>
                <w:rStyle w:val="NoneA"/>
                <w:rFonts w:ascii="Times New Roman" w:hAnsi="Times New Roman" w:cs="Times New Roman"/>
                <w:sz w:val="28"/>
                <w:szCs w:val="28"/>
                <w:lang w:val="lv-LV"/>
              </w:rPr>
              <w:t>Latvijas valsts simtgades Nacionālā plānā paredzēto pasākumu īstenošanas gait</w:t>
            </w:r>
            <w:r>
              <w:rPr>
                <w:rStyle w:val="NoneA"/>
                <w:rFonts w:ascii="Times New Roman" w:hAnsi="Times New Roman" w:cs="Times New Roman"/>
                <w:sz w:val="28"/>
                <w:szCs w:val="28"/>
                <w:lang w:val="lv-LV"/>
              </w:rPr>
              <w:t>u un nepieciešamajām izmaiņām Plānā.</w:t>
            </w:r>
          </w:p>
        </w:tc>
      </w:tr>
      <w:tr w:rsidR="0099759D" w:rsidRPr="004316E5" w:rsidTr="0022670B">
        <w:trPr>
          <w:trHeight w:val="114"/>
        </w:trPr>
        <w:tc>
          <w:tcPr>
            <w:tcW w:w="243" w:type="pct"/>
            <w:tcBorders>
              <w:top w:val="outset" w:sz="6" w:space="0" w:color="auto"/>
              <w:left w:val="outset" w:sz="6" w:space="0" w:color="auto"/>
              <w:bottom w:val="outset" w:sz="6" w:space="0" w:color="auto"/>
              <w:right w:val="outset" w:sz="6" w:space="0" w:color="auto"/>
            </w:tcBorders>
            <w:hideMark/>
          </w:tcPr>
          <w:p w:rsidR="00D60EC6" w:rsidRDefault="0099759D" w:rsidP="00D60EC6">
            <w:pPr>
              <w:spacing w:after="0" w:line="240" w:lineRule="auto"/>
              <w:jc w:val="center"/>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t>4.</w:t>
            </w:r>
          </w:p>
        </w:tc>
        <w:tc>
          <w:tcPr>
            <w:tcW w:w="1986" w:type="pct"/>
            <w:tcBorders>
              <w:top w:val="outset" w:sz="6" w:space="0" w:color="auto"/>
              <w:left w:val="outset" w:sz="6" w:space="0" w:color="auto"/>
              <w:bottom w:val="outset" w:sz="6" w:space="0" w:color="auto"/>
              <w:right w:val="outset" w:sz="6" w:space="0" w:color="auto"/>
            </w:tcBorders>
            <w:hideMark/>
          </w:tcPr>
          <w:p w:rsidR="0099759D" w:rsidRPr="004316E5" w:rsidRDefault="0099759D" w:rsidP="0022670B">
            <w:pPr>
              <w:spacing w:after="0" w:line="240" w:lineRule="auto"/>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t>Cita informācija</w:t>
            </w:r>
          </w:p>
        </w:tc>
        <w:tc>
          <w:tcPr>
            <w:tcW w:w="2706" w:type="pct"/>
            <w:tcBorders>
              <w:top w:val="outset" w:sz="6" w:space="0" w:color="auto"/>
              <w:left w:val="outset" w:sz="6" w:space="0" w:color="auto"/>
              <w:bottom w:val="outset" w:sz="6" w:space="0" w:color="auto"/>
              <w:right w:val="outset" w:sz="6" w:space="0" w:color="auto"/>
            </w:tcBorders>
            <w:hideMark/>
          </w:tcPr>
          <w:p w:rsidR="00D60EC6" w:rsidRDefault="0099759D" w:rsidP="00D60EC6">
            <w:pPr>
              <w:pStyle w:val="tvhtml"/>
              <w:spacing w:before="0" w:beforeAutospacing="0" w:after="0" w:afterAutospacing="0"/>
              <w:ind w:left="57"/>
              <w:jc w:val="both"/>
              <w:rPr>
                <w:sz w:val="28"/>
                <w:szCs w:val="28"/>
              </w:rPr>
            </w:pPr>
            <w:r w:rsidRPr="004316E5">
              <w:rPr>
                <w:sz w:val="28"/>
                <w:szCs w:val="28"/>
              </w:rPr>
              <w:t>Nav</w:t>
            </w:r>
          </w:p>
        </w:tc>
      </w:tr>
    </w:tbl>
    <w:p w:rsidR="002015E9" w:rsidRDefault="002015E9" w:rsidP="00200213">
      <w:pPr>
        <w:spacing w:after="0" w:line="240" w:lineRule="auto"/>
        <w:ind w:left="284"/>
        <w:outlineLvl w:val="0"/>
        <w:rPr>
          <w:rFonts w:ascii="Times New Roman" w:hAnsi="Times New Roman" w:cs="Times New Roman"/>
          <w:i/>
          <w:iCs/>
          <w:sz w:val="28"/>
          <w:szCs w:val="28"/>
        </w:rPr>
      </w:pPr>
    </w:p>
    <w:tbl>
      <w:tblPr>
        <w:tblStyle w:val="Reatabula"/>
        <w:tblW w:w="4884" w:type="pct"/>
        <w:tblInd w:w="108" w:type="dxa"/>
        <w:tblLook w:val="04A0"/>
      </w:tblPr>
      <w:tblGrid>
        <w:gridCol w:w="9072"/>
      </w:tblGrid>
      <w:tr w:rsidR="0022670B" w:rsidRPr="00CA2046" w:rsidTr="0022670B">
        <w:trPr>
          <w:trHeight w:val="360"/>
        </w:trPr>
        <w:tc>
          <w:tcPr>
            <w:tcW w:w="5000" w:type="pct"/>
            <w:hideMark/>
          </w:tcPr>
          <w:p w:rsidR="0022670B" w:rsidRPr="0022670B" w:rsidRDefault="00D60EC6" w:rsidP="0022670B">
            <w:pPr>
              <w:spacing w:after="200" w:line="276" w:lineRule="auto"/>
              <w:ind w:firstLine="301"/>
              <w:jc w:val="center"/>
              <w:rPr>
                <w:rFonts w:ascii="Times New Roman" w:hAnsi="Times New Roman" w:cs="Times New Roman"/>
                <w:b/>
                <w:bCs/>
                <w:sz w:val="28"/>
                <w:szCs w:val="28"/>
              </w:rPr>
            </w:pPr>
            <w:r w:rsidRPr="00D60EC6">
              <w:rPr>
                <w:rFonts w:ascii="Times New Roman" w:eastAsia="Times New Roman" w:hAnsi="Times New Roman" w:cs="Times New Roman"/>
                <w:sz w:val="28"/>
                <w:szCs w:val="28"/>
                <w:lang w:eastAsia="lv-LV"/>
              </w:rPr>
              <w:t> </w:t>
            </w:r>
            <w:r w:rsidRPr="00D60EC6">
              <w:rPr>
                <w:rFonts w:ascii="Times New Roman" w:hAnsi="Times New Roman" w:cs="Times New Roman"/>
                <w:b/>
                <w:bCs/>
                <w:sz w:val="28"/>
                <w:szCs w:val="28"/>
              </w:rPr>
              <w:t xml:space="preserve">II. </w:t>
            </w:r>
            <w:r w:rsidRPr="00D60EC6">
              <w:rPr>
                <w:rFonts w:ascii="Times New Roman" w:hAnsi="Times New Roman" w:cs="Times New Roman"/>
                <w:b/>
                <w:bCs/>
                <w:color w:val="414142"/>
                <w:sz w:val="28"/>
                <w:szCs w:val="28"/>
              </w:rPr>
              <w:t>Tiesību akta projekta ietekme uz sabiedrību, tautsaimniecības attīstību un administratīvo slogu</w:t>
            </w:r>
          </w:p>
        </w:tc>
      </w:tr>
      <w:tr w:rsidR="0022670B" w:rsidRPr="00CA2046" w:rsidTr="0022670B">
        <w:trPr>
          <w:trHeight w:val="419"/>
        </w:trPr>
        <w:tc>
          <w:tcPr>
            <w:tcW w:w="5000" w:type="pct"/>
            <w:vAlign w:val="center"/>
          </w:tcPr>
          <w:p w:rsidR="0022670B" w:rsidRPr="0022670B" w:rsidRDefault="00D60EC6" w:rsidP="0022670B">
            <w:pPr>
              <w:spacing w:after="200" w:line="276" w:lineRule="auto"/>
              <w:ind w:firstLine="301"/>
              <w:jc w:val="center"/>
              <w:rPr>
                <w:rFonts w:ascii="Times New Roman" w:hAnsi="Times New Roman" w:cs="Times New Roman"/>
                <w:sz w:val="28"/>
                <w:szCs w:val="28"/>
              </w:rPr>
            </w:pPr>
            <w:r w:rsidRPr="00D60EC6">
              <w:rPr>
                <w:rFonts w:ascii="Times New Roman" w:hAnsi="Times New Roman" w:cs="Times New Roman"/>
                <w:sz w:val="28"/>
                <w:szCs w:val="28"/>
              </w:rPr>
              <w:t>Projekts šo jomu neskar.</w:t>
            </w:r>
          </w:p>
        </w:tc>
      </w:tr>
    </w:tbl>
    <w:p w:rsidR="0022670B" w:rsidRPr="004316E5" w:rsidRDefault="0022670B" w:rsidP="00200213">
      <w:pPr>
        <w:spacing w:after="0" w:line="240" w:lineRule="auto"/>
        <w:ind w:left="284"/>
        <w:outlineLvl w:val="0"/>
        <w:rPr>
          <w:rFonts w:ascii="Times New Roman" w:hAnsi="Times New Roman" w:cs="Times New Roman"/>
          <w:i/>
          <w:iCs/>
          <w:sz w:val="28"/>
          <w:szCs w:val="28"/>
        </w:rPr>
      </w:pPr>
    </w:p>
    <w:tbl>
      <w:tblPr>
        <w:tblW w:w="4913"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1336"/>
        <w:gridCol w:w="1515"/>
        <w:gridCol w:w="1413"/>
        <w:gridCol w:w="1413"/>
        <w:gridCol w:w="1414"/>
      </w:tblGrid>
      <w:tr w:rsidR="00020740" w:rsidRPr="00200213" w:rsidTr="0077484A">
        <w:trPr>
          <w:trHeight w:val="616"/>
          <w:jc w:val="center"/>
        </w:trPr>
        <w:tc>
          <w:tcPr>
            <w:tcW w:w="5000" w:type="pct"/>
            <w:gridSpan w:val="6"/>
            <w:vAlign w:val="center"/>
          </w:tcPr>
          <w:p w:rsidR="00020740" w:rsidRPr="00200213" w:rsidRDefault="00020740" w:rsidP="0077484A">
            <w:pPr>
              <w:pStyle w:val="naisf"/>
              <w:spacing w:before="0" w:after="0"/>
              <w:ind w:firstLine="0"/>
              <w:jc w:val="center"/>
              <w:rPr>
                <w:b/>
                <w:sz w:val="28"/>
                <w:szCs w:val="28"/>
              </w:rPr>
            </w:pPr>
            <w:r w:rsidRPr="00200213">
              <w:rPr>
                <w:b/>
                <w:sz w:val="28"/>
                <w:szCs w:val="28"/>
              </w:rPr>
              <w:t>III. Tiesību akta projekta ietekme uz valsts budžetu un pašvaldību budžetiem</w:t>
            </w:r>
          </w:p>
        </w:tc>
      </w:tr>
      <w:tr w:rsidR="00020740" w:rsidRPr="00200213" w:rsidTr="00020740">
        <w:trPr>
          <w:trHeight w:val="445"/>
          <w:jc w:val="center"/>
        </w:trPr>
        <w:tc>
          <w:tcPr>
            <w:tcW w:w="1115" w:type="pct"/>
            <w:vMerge w:val="restart"/>
            <w:vAlign w:val="center"/>
          </w:tcPr>
          <w:p w:rsidR="00020740" w:rsidRPr="00200213" w:rsidRDefault="00020740" w:rsidP="0077484A">
            <w:pPr>
              <w:pStyle w:val="naisf"/>
              <w:spacing w:before="0" w:after="0"/>
              <w:ind w:left="114" w:hanging="114"/>
              <w:jc w:val="center"/>
              <w:rPr>
                <w:b/>
                <w:sz w:val="28"/>
                <w:szCs w:val="28"/>
              </w:rPr>
            </w:pPr>
            <w:r w:rsidRPr="00200213">
              <w:rPr>
                <w:b/>
                <w:sz w:val="28"/>
                <w:szCs w:val="28"/>
              </w:rPr>
              <w:t>Rādītāji</w:t>
            </w:r>
          </w:p>
        </w:tc>
        <w:tc>
          <w:tcPr>
            <w:tcW w:w="1562" w:type="pct"/>
            <w:gridSpan w:val="2"/>
            <w:vMerge w:val="restart"/>
            <w:vAlign w:val="center"/>
          </w:tcPr>
          <w:p w:rsidR="00020740" w:rsidRPr="00200213" w:rsidRDefault="00020740" w:rsidP="0077484A">
            <w:pPr>
              <w:pStyle w:val="naisf"/>
              <w:spacing w:before="0" w:after="0"/>
              <w:ind w:firstLine="0"/>
              <w:jc w:val="center"/>
              <w:rPr>
                <w:b/>
                <w:sz w:val="28"/>
                <w:szCs w:val="28"/>
              </w:rPr>
            </w:pPr>
            <w:r>
              <w:rPr>
                <w:b/>
                <w:sz w:val="28"/>
                <w:szCs w:val="28"/>
              </w:rPr>
              <w:t>2017.</w:t>
            </w:r>
            <w:r w:rsidRPr="00200213">
              <w:rPr>
                <w:b/>
                <w:sz w:val="28"/>
                <w:szCs w:val="28"/>
              </w:rPr>
              <w:t>gads</w:t>
            </w:r>
          </w:p>
        </w:tc>
        <w:tc>
          <w:tcPr>
            <w:tcW w:w="2323" w:type="pct"/>
            <w:gridSpan w:val="3"/>
            <w:vAlign w:val="center"/>
          </w:tcPr>
          <w:p w:rsidR="00020740" w:rsidRPr="00200213" w:rsidRDefault="00020740" w:rsidP="0077484A">
            <w:pPr>
              <w:pStyle w:val="naisf"/>
              <w:spacing w:before="0" w:after="0"/>
              <w:ind w:firstLine="0"/>
              <w:jc w:val="center"/>
              <w:rPr>
                <w:b/>
                <w:i/>
                <w:sz w:val="28"/>
                <w:szCs w:val="28"/>
              </w:rPr>
            </w:pPr>
            <w:r w:rsidRPr="00200213">
              <w:rPr>
                <w:sz w:val="28"/>
                <w:szCs w:val="28"/>
              </w:rPr>
              <w:t>Turpmākie trīs gadi (</w:t>
            </w:r>
            <w:proofErr w:type="spellStart"/>
            <w:r w:rsidRPr="00200213">
              <w:rPr>
                <w:i/>
                <w:sz w:val="28"/>
                <w:szCs w:val="28"/>
              </w:rPr>
              <w:t>euro</w:t>
            </w:r>
            <w:proofErr w:type="spellEnd"/>
            <w:r w:rsidRPr="00200213">
              <w:rPr>
                <w:sz w:val="28"/>
                <w:szCs w:val="28"/>
              </w:rPr>
              <w:t>)</w:t>
            </w:r>
          </w:p>
        </w:tc>
      </w:tr>
      <w:tr w:rsidR="00020740" w:rsidRPr="00200213" w:rsidTr="00020740">
        <w:trPr>
          <w:trHeight w:val="551"/>
          <w:jc w:val="center"/>
        </w:trPr>
        <w:tc>
          <w:tcPr>
            <w:tcW w:w="1115" w:type="pct"/>
            <w:vMerge/>
            <w:vAlign w:val="center"/>
          </w:tcPr>
          <w:p w:rsidR="00020740" w:rsidRPr="00200213" w:rsidRDefault="00020740" w:rsidP="0077484A">
            <w:pPr>
              <w:pStyle w:val="naisf"/>
              <w:spacing w:before="0" w:after="0"/>
              <w:ind w:firstLine="0"/>
              <w:jc w:val="center"/>
              <w:rPr>
                <w:b/>
                <w:i/>
                <w:sz w:val="28"/>
                <w:szCs w:val="28"/>
              </w:rPr>
            </w:pPr>
          </w:p>
        </w:tc>
        <w:tc>
          <w:tcPr>
            <w:tcW w:w="1562" w:type="pct"/>
            <w:gridSpan w:val="2"/>
            <w:vMerge/>
            <w:vAlign w:val="center"/>
          </w:tcPr>
          <w:p w:rsidR="00020740" w:rsidRPr="00200213" w:rsidRDefault="00020740" w:rsidP="0077484A">
            <w:pPr>
              <w:pStyle w:val="naisf"/>
              <w:spacing w:before="0" w:after="0"/>
              <w:ind w:firstLine="0"/>
              <w:jc w:val="center"/>
              <w:rPr>
                <w:b/>
                <w:i/>
                <w:sz w:val="28"/>
                <w:szCs w:val="28"/>
              </w:rPr>
            </w:pPr>
          </w:p>
        </w:tc>
        <w:tc>
          <w:tcPr>
            <w:tcW w:w="774" w:type="pct"/>
            <w:vAlign w:val="center"/>
          </w:tcPr>
          <w:p w:rsidR="00020740" w:rsidRPr="00200213" w:rsidRDefault="00020740" w:rsidP="0077484A">
            <w:pPr>
              <w:pStyle w:val="naisf"/>
              <w:spacing w:before="0" w:after="0"/>
              <w:ind w:firstLine="0"/>
              <w:jc w:val="center"/>
              <w:rPr>
                <w:b/>
                <w:i/>
                <w:sz w:val="28"/>
                <w:szCs w:val="28"/>
              </w:rPr>
            </w:pPr>
            <w:r>
              <w:rPr>
                <w:b/>
                <w:bCs/>
                <w:sz w:val="28"/>
                <w:szCs w:val="28"/>
              </w:rPr>
              <w:t>2018.</w:t>
            </w:r>
            <w:r w:rsidRPr="00200213">
              <w:rPr>
                <w:b/>
                <w:bCs/>
                <w:sz w:val="28"/>
                <w:szCs w:val="28"/>
              </w:rPr>
              <w:t>gads</w:t>
            </w:r>
          </w:p>
        </w:tc>
        <w:tc>
          <w:tcPr>
            <w:tcW w:w="774" w:type="pct"/>
            <w:vAlign w:val="center"/>
          </w:tcPr>
          <w:p w:rsidR="00020740" w:rsidRPr="00200213" w:rsidRDefault="00020740" w:rsidP="0077484A">
            <w:pPr>
              <w:pStyle w:val="naisf"/>
              <w:spacing w:before="0" w:after="0"/>
              <w:ind w:firstLine="0"/>
              <w:jc w:val="center"/>
              <w:rPr>
                <w:b/>
                <w:i/>
                <w:sz w:val="28"/>
                <w:szCs w:val="28"/>
              </w:rPr>
            </w:pPr>
            <w:r>
              <w:rPr>
                <w:b/>
                <w:bCs/>
                <w:sz w:val="28"/>
                <w:szCs w:val="28"/>
              </w:rPr>
              <w:t>2019.</w:t>
            </w:r>
            <w:r w:rsidRPr="00200213">
              <w:rPr>
                <w:b/>
                <w:bCs/>
                <w:sz w:val="28"/>
                <w:szCs w:val="28"/>
              </w:rPr>
              <w:t>gads</w:t>
            </w:r>
          </w:p>
        </w:tc>
        <w:tc>
          <w:tcPr>
            <w:tcW w:w="775" w:type="pct"/>
            <w:vAlign w:val="center"/>
          </w:tcPr>
          <w:p w:rsidR="00020740" w:rsidRPr="00200213" w:rsidRDefault="00020740" w:rsidP="0077484A">
            <w:pPr>
              <w:pStyle w:val="naisf"/>
              <w:spacing w:before="0" w:after="0"/>
              <w:ind w:firstLine="0"/>
              <w:jc w:val="center"/>
              <w:rPr>
                <w:b/>
                <w:i/>
                <w:sz w:val="28"/>
                <w:szCs w:val="28"/>
              </w:rPr>
            </w:pPr>
            <w:r>
              <w:rPr>
                <w:b/>
                <w:bCs/>
                <w:sz w:val="28"/>
                <w:szCs w:val="28"/>
              </w:rPr>
              <w:t>2020.</w:t>
            </w:r>
            <w:r w:rsidRPr="00200213">
              <w:rPr>
                <w:b/>
                <w:bCs/>
                <w:sz w:val="28"/>
                <w:szCs w:val="28"/>
              </w:rPr>
              <w:t>gads</w:t>
            </w:r>
          </w:p>
        </w:tc>
      </w:tr>
      <w:tr w:rsidR="00020740" w:rsidRPr="00200213" w:rsidTr="00020740">
        <w:trPr>
          <w:jc w:val="center"/>
        </w:trPr>
        <w:tc>
          <w:tcPr>
            <w:tcW w:w="1115" w:type="pct"/>
            <w:vMerge/>
            <w:vAlign w:val="center"/>
          </w:tcPr>
          <w:p w:rsidR="00020740" w:rsidRPr="00200213" w:rsidRDefault="00020740" w:rsidP="0077484A">
            <w:pPr>
              <w:pStyle w:val="naisf"/>
              <w:spacing w:before="0" w:after="0"/>
              <w:ind w:firstLine="0"/>
              <w:jc w:val="center"/>
              <w:rPr>
                <w:b/>
                <w:i/>
                <w:sz w:val="28"/>
                <w:szCs w:val="28"/>
              </w:rPr>
            </w:pPr>
          </w:p>
        </w:tc>
        <w:tc>
          <w:tcPr>
            <w:tcW w:w="732" w:type="pct"/>
            <w:vAlign w:val="center"/>
          </w:tcPr>
          <w:p w:rsidR="00020740" w:rsidRPr="00200213" w:rsidRDefault="00020740" w:rsidP="0077484A">
            <w:pPr>
              <w:pStyle w:val="naisf"/>
              <w:spacing w:before="0" w:after="0"/>
              <w:ind w:firstLine="0"/>
              <w:jc w:val="center"/>
              <w:rPr>
                <w:b/>
                <w:i/>
                <w:sz w:val="28"/>
                <w:szCs w:val="28"/>
              </w:rPr>
            </w:pPr>
            <w:r w:rsidRPr="00200213">
              <w:rPr>
                <w:sz w:val="28"/>
                <w:szCs w:val="28"/>
              </w:rPr>
              <w:t>Saskaņā ar valsts budžetu kārtējam gadam</w:t>
            </w:r>
          </w:p>
        </w:tc>
        <w:tc>
          <w:tcPr>
            <w:tcW w:w="830" w:type="pct"/>
            <w:vAlign w:val="center"/>
          </w:tcPr>
          <w:p w:rsidR="00020740" w:rsidRPr="00200213" w:rsidRDefault="00020740" w:rsidP="0077484A">
            <w:pPr>
              <w:pStyle w:val="naisf"/>
              <w:spacing w:before="0" w:after="0"/>
              <w:ind w:firstLine="0"/>
              <w:jc w:val="center"/>
              <w:rPr>
                <w:b/>
                <w:i/>
                <w:sz w:val="28"/>
                <w:szCs w:val="28"/>
              </w:rPr>
            </w:pPr>
            <w:r w:rsidRPr="00200213">
              <w:rPr>
                <w:sz w:val="28"/>
                <w:szCs w:val="28"/>
              </w:rPr>
              <w:t>Izmaiņas kārtējā gadā, salīdzinot ar budžetu kārtējam gadam</w:t>
            </w:r>
          </w:p>
        </w:tc>
        <w:tc>
          <w:tcPr>
            <w:tcW w:w="774" w:type="pct"/>
            <w:vAlign w:val="center"/>
          </w:tcPr>
          <w:p w:rsidR="00020740" w:rsidRPr="00200213" w:rsidRDefault="00020740" w:rsidP="0077484A">
            <w:pPr>
              <w:pStyle w:val="naisf"/>
              <w:spacing w:before="0" w:after="0"/>
              <w:ind w:firstLine="0"/>
              <w:jc w:val="center"/>
              <w:rPr>
                <w:b/>
                <w:i/>
                <w:sz w:val="28"/>
                <w:szCs w:val="28"/>
              </w:rPr>
            </w:pPr>
            <w:r w:rsidRPr="00200213">
              <w:rPr>
                <w:sz w:val="28"/>
                <w:szCs w:val="28"/>
              </w:rPr>
              <w:t>Izmaiņas, salīdzinot ar kārtējo (201</w:t>
            </w:r>
            <w:r>
              <w:rPr>
                <w:sz w:val="28"/>
                <w:szCs w:val="28"/>
              </w:rPr>
              <w:t>7</w:t>
            </w:r>
            <w:r w:rsidRPr="00200213">
              <w:rPr>
                <w:sz w:val="28"/>
                <w:szCs w:val="28"/>
              </w:rPr>
              <w:t>) gadu</w:t>
            </w:r>
          </w:p>
        </w:tc>
        <w:tc>
          <w:tcPr>
            <w:tcW w:w="774" w:type="pct"/>
            <w:vAlign w:val="center"/>
          </w:tcPr>
          <w:p w:rsidR="00020740" w:rsidRPr="00200213" w:rsidRDefault="00020740" w:rsidP="0077484A">
            <w:pPr>
              <w:pStyle w:val="naisf"/>
              <w:spacing w:before="0" w:after="0"/>
              <w:ind w:firstLine="0"/>
              <w:jc w:val="center"/>
              <w:rPr>
                <w:b/>
                <w:i/>
                <w:sz w:val="28"/>
                <w:szCs w:val="28"/>
              </w:rPr>
            </w:pPr>
            <w:r w:rsidRPr="00200213">
              <w:rPr>
                <w:sz w:val="28"/>
                <w:szCs w:val="28"/>
              </w:rPr>
              <w:t>Izmaiņas, salīdzinot ar kārtējo (201</w:t>
            </w:r>
            <w:r>
              <w:rPr>
                <w:sz w:val="28"/>
                <w:szCs w:val="28"/>
              </w:rPr>
              <w:t>7</w:t>
            </w:r>
            <w:r w:rsidRPr="00200213">
              <w:rPr>
                <w:sz w:val="28"/>
                <w:szCs w:val="28"/>
              </w:rPr>
              <w:t>) gadu</w:t>
            </w:r>
          </w:p>
        </w:tc>
        <w:tc>
          <w:tcPr>
            <w:tcW w:w="775" w:type="pct"/>
            <w:vAlign w:val="center"/>
          </w:tcPr>
          <w:p w:rsidR="00020740" w:rsidRPr="00200213" w:rsidRDefault="00020740" w:rsidP="0077484A">
            <w:pPr>
              <w:pStyle w:val="naisf"/>
              <w:spacing w:before="0" w:after="0"/>
              <w:ind w:firstLine="0"/>
              <w:jc w:val="center"/>
              <w:rPr>
                <w:b/>
                <w:i/>
                <w:sz w:val="28"/>
                <w:szCs w:val="28"/>
              </w:rPr>
            </w:pPr>
            <w:r w:rsidRPr="00200213">
              <w:rPr>
                <w:sz w:val="28"/>
                <w:szCs w:val="28"/>
              </w:rPr>
              <w:t>Izmaiņas, salīdzinot ar kārtējo (201</w:t>
            </w:r>
            <w:r>
              <w:rPr>
                <w:sz w:val="28"/>
                <w:szCs w:val="28"/>
              </w:rPr>
              <w:t>7</w:t>
            </w:r>
            <w:r w:rsidRPr="00200213">
              <w:rPr>
                <w:sz w:val="28"/>
                <w:szCs w:val="28"/>
              </w:rPr>
              <w:t>) gadu</w:t>
            </w:r>
          </w:p>
        </w:tc>
      </w:tr>
      <w:tr w:rsidR="00020740" w:rsidRPr="00200213" w:rsidTr="00020740">
        <w:trPr>
          <w:jc w:val="center"/>
        </w:trPr>
        <w:tc>
          <w:tcPr>
            <w:tcW w:w="1115" w:type="pct"/>
            <w:vAlign w:val="center"/>
          </w:tcPr>
          <w:p w:rsidR="00020740" w:rsidRPr="00200213" w:rsidRDefault="00020740" w:rsidP="0077484A">
            <w:pPr>
              <w:pStyle w:val="naisf"/>
              <w:spacing w:before="0" w:after="0"/>
              <w:ind w:firstLine="0"/>
              <w:jc w:val="center"/>
              <w:rPr>
                <w:bCs/>
                <w:sz w:val="28"/>
                <w:szCs w:val="28"/>
              </w:rPr>
            </w:pPr>
            <w:r w:rsidRPr="00200213">
              <w:rPr>
                <w:bCs/>
                <w:sz w:val="28"/>
                <w:szCs w:val="28"/>
              </w:rPr>
              <w:t>1</w:t>
            </w:r>
          </w:p>
        </w:tc>
        <w:tc>
          <w:tcPr>
            <w:tcW w:w="732" w:type="pct"/>
            <w:vAlign w:val="center"/>
          </w:tcPr>
          <w:p w:rsidR="00020740" w:rsidRPr="00200213" w:rsidRDefault="00020740" w:rsidP="0077484A">
            <w:pPr>
              <w:pStyle w:val="naisf"/>
              <w:spacing w:before="0" w:after="0"/>
              <w:ind w:firstLine="0"/>
              <w:jc w:val="center"/>
              <w:rPr>
                <w:bCs/>
                <w:sz w:val="28"/>
                <w:szCs w:val="28"/>
              </w:rPr>
            </w:pPr>
            <w:r w:rsidRPr="00200213">
              <w:rPr>
                <w:bCs/>
                <w:sz w:val="28"/>
                <w:szCs w:val="28"/>
              </w:rPr>
              <w:t>2</w:t>
            </w:r>
          </w:p>
        </w:tc>
        <w:tc>
          <w:tcPr>
            <w:tcW w:w="830" w:type="pct"/>
            <w:vAlign w:val="center"/>
          </w:tcPr>
          <w:p w:rsidR="00020740" w:rsidRPr="00200213" w:rsidRDefault="00020740" w:rsidP="0077484A">
            <w:pPr>
              <w:pStyle w:val="naisf"/>
              <w:spacing w:before="0" w:after="0"/>
              <w:ind w:firstLine="0"/>
              <w:jc w:val="center"/>
              <w:rPr>
                <w:bCs/>
                <w:sz w:val="28"/>
                <w:szCs w:val="28"/>
              </w:rPr>
            </w:pPr>
            <w:r w:rsidRPr="00200213">
              <w:rPr>
                <w:bCs/>
                <w:sz w:val="28"/>
                <w:szCs w:val="28"/>
              </w:rPr>
              <w:t>3</w:t>
            </w:r>
          </w:p>
        </w:tc>
        <w:tc>
          <w:tcPr>
            <w:tcW w:w="774" w:type="pct"/>
            <w:vAlign w:val="center"/>
          </w:tcPr>
          <w:p w:rsidR="00020740" w:rsidRPr="00200213" w:rsidRDefault="00020740" w:rsidP="0077484A">
            <w:pPr>
              <w:pStyle w:val="naisf"/>
              <w:spacing w:before="0" w:after="0"/>
              <w:ind w:firstLine="0"/>
              <w:jc w:val="center"/>
              <w:rPr>
                <w:bCs/>
                <w:sz w:val="28"/>
                <w:szCs w:val="28"/>
              </w:rPr>
            </w:pPr>
            <w:r w:rsidRPr="00200213">
              <w:rPr>
                <w:bCs/>
                <w:sz w:val="28"/>
                <w:szCs w:val="28"/>
              </w:rPr>
              <w:t>4</w:t>
            </w:r>
          </w:p>
        </w:tc>
        <w:tc>
          <w:tcPr>
            <w:tcW w:w="774" w:type="pct"/>
            <w:vAlign w:val="center"/>
          </w:tcPr>
          <w:p w:rsidR="00020740" w:rsidRPr="00200213" w:rsidRDefault="00020740" w:rsidP="0077484A">
            <w:pPr>
              <w:pStyle w:val="naisf"/>
              <w:spacing w:before="0" w:after="0"/>
              <w:ind w:firstLine="0"/>
              <w:jc w:val="center"/>
              <w:rPr>
                <w:bCs/>
                <w:sz w:val="28"/>
                <w:szCs w:val="28"/>
              </w:rPr>
            </w:pPr>
            <w:r w:rsidRPr="00200213">
              <w:rPr>
                <w:bCs/>
                <w:sz w:val="28"/>
                <w:szCs w:val="28"/>
              </w:rPr>
              <w:t>5</w:t>
            </w:r>
          </w:p>
        </w:tc>
        <w:tc>
          <w:tcPr>
            <w:tcW w:w="775" w:type="pct"/>
            <w:vAlign w:val="center"/>
          </w:tcPr>
          <w:p w:rsidR="00020740" w:rsidRPr="00200213" w:rsidRDefault="00020740" w:rsidP="0077484A">
            <w:pPr>
              <w:pStyle w:val="naisf"/>
              <w:spacing w:before="0" w:after="0"/>
              <w:ind w:firstLine="0"/>
              <w:jc w:val="center"/>
              <w:rPr>
                <w:bCs/>
                <w:sz w:val="28"/>
                <w:szCs w:val="28"/>
              </w:rPr>
            </w:pPr>
            <w:r w:rsidRPr="00200213">
              <w:rPr>
                <w:bCs/>
                <w:sz w:val="28"/>
                <w:szCs w:val="28"/>
              </w:rPr>
              <w:t>6</w:t>
            </w:r>
          </w:p>
        </w:tc>
      </w:tr>
      <w:tr w:rsidR="00020740" w:rsidRPr="00200213" w:rsidTr="00020740">
        <w:trPr>
          <w:jc w:val="center"/>
        </w:trPr>
        <w:tc>
          <w:tcPr>
            <w:tcW w:w="1115" w:type="pct"/>
          </w:tcPr>
          <w:p w:rsidR="00020740" w:rsidRPr="00200213" w:rsidRDefault="00020740" w:rsidP="0077484A">
            <w:pPr>
              <w:pStyle w:val="naisf"/>
              <w:spacing w:before="0" w:after="0"/>
              <w:ind w:firstLine="0"/>
              <w:jc w:val="left"/>
              <w:rPr>
                <w:i/>
                <w:sz w:val="28"/>
                <w:szCs w:val="28"/>
              </w:rPr>
            </w:pPr>
            <w:r w:rsidRPr="00200213">
              <w:rPr>
                <w:sz w:val="28"/>
                <w:szCs w:val="28"/>
              </w:rPr>
              <w:t>1. Budžeta ieņēmumi:</w:t>
            </w:r>
          </w:p>
        </w:tc>
        <w:tc>
          <w:tcPr>
            <w:tcW w:w="732" w:type="pct"/>
          </w:tcPr>
          <w:p w:rsidR="00020740" w:rsidRPr="007D1D22" w:rsidRDefault="00020740" w:rsidP="0077484A">
            <w:pPr>
              <w:pStyle w:val="naisf"/>
              <w:spacing w:before="0" w:after="0"/>
              <w:ind w:firstLine="0"/>
              <w:jc w:val="center"/>
              <w:rPr>
                <w:sz w:val="28"/>
                <w:szCs w:val="28"/>
              </w:rPr>
            </w:pPr>
            <w:r>
              <w:rPr>
                <w:sz w:val="28"/>
                <w:szCs w:val="28"/>
              </w:rPr>
              <w:t>5000459</w:t>
            </w:r>
          </w:p>
        </w:tc>
        <w:tc>
          <w:tcPr>
            <w:tcW w:w="830"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Pr>
                <w:sz w:val="28"/>
                <w:szCs w:val="28"/>
              </w:rPr>
              <w:t>0</w:t>
            </w:r>
          </w:p>
        </w:tc>
        <w:tc>
          <w:tcPr>
            <w:tcW w:w="775" w:type="pct"/>
          </w:tcPr>
          <w:p w:rsidR="00020740" w:rsidRPr="00200213" w:rsidRDefault="00020740" w:rsidP="0077484A">
            <w:pPr>
              <w:pStyle w:val="naisf"/>
              <w:spacing w:before="0" w:after="0"/>
              <w:ind w:firstLine="0"/>
              <w:jc w:val="center"/>
              <w:rPr>
                <w:sz w:val="28"/>
                <w:szCs w:val="28"/>
              </w:rPr>
            </w:pPr>
            <w:r>
              <w:rPr>
                <w:sz w:val="28"/>
                <w:szCs w:val="28"/>
              </w:rPr>
              <w:t>0</w:t>
            </w:r>
          </w:p>
        </w:tc>
      </w:tr>
      <w:tr w:rsidR="00020740" w:rsidRPr="00200213" w:rsidTr="00020740">
        <w:trPr>
          <w:jc w:val="center"/>
        </w:trPr>
        <w:tc>
          <w:tcPr>
            <w:tcW w:w="1115" w:type="pct"/>
          </w:tcPr>
          <w:p w:rsidR="00020740" w:rsidRPr="00200213" w:rsidRDefault="00020740" w:rsidP="0077484A">
            <w:pPr>
              <w:pStyle w:val="naisf"/>
              <w:spacing w:before="0" w:after="0"/>
              <w:ind w:firstLine="0"/>
              <w:jc w:val="left"/>
              <w:rPr>
                <w:i/>
                <w:sz w:val="28"/>
                <w:szCs w:val="28"/>
              </w:rPr>
            </w:pPr>
            <w:r w:rsidRPr="00200213">
              <w:rPr>
                <w:sz w:val="28"/>
                <w:szCs w:val="28"/>
              </w:rPr>
              <w:t xml:space="preserve">1.1. valsts pamatbudžets, tai skaitā ieņēmumi no maksas pakalpojumiem un citi pašu </w:t>
            </w:r>
            <w:r w:rsidRPr="00200213">
              <w:rPr>
                <w:sz w:val="28"/>
                <w:szCs w:val="28"/>
              </w:rPr>
              <w:lastRenderedPageBreak/>
              <w:t>ieņēmumi</w:t>
            </w:r>
          </w:p>
        </w:tc>
        <w:tc>
          <w:tcPr>
            <w:tcW w:w="732" w:type="pct"/>
          </w:tcPr>
          <w:p w:rsidR="00020740" w:rsidRPr="007D1D22" w:rsidRDefault="00020740" w:rsidP="0077484A">
            <w:pPr>
              <w:pStyle w:val="naisf"/>
              <w:spacing w:before="0" w:after="0"/>
              <w:ind w:firstLine="0"/>
              <w:jc w:val="center"/>
              <w:rPr>
                <w:sz w:val="28"/>
                <w:szCs w:val="28"/>
              </w:rPr>
            </w:pPr>
            <w:r>
              <w:rPr>
                <w:sz w:val="28"/>
                <w:szCs w:val="28"/>
              </w:rPr>
              <w:lastRenderedPageBreak/>
              <w:t>5000459</w:t>
            </w:r>
          </w:p>
        </w:tc>
        <w:tc>
          <w:tcPr>
            <w:tcW w:w="830"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Pr>
                <w:sz w:val="28"/>
                <w:szCs w:val="28"/>
              </w:rPr>
              <w:t>0</w:t>
            </w:r>
          </w:p>
        </w:tc>
        <w:tc>
          <w:tcPr>
            <w:tcW w:w="775" w:type="pct"/>
          </w:tcPr>
          <w:p w:rsidR="00020740" w:rsidRPr="00200213" w:rsidRDefault="00020740" w:rsidP="0077484A">
            <w:pPr>
              <w:pStyle w:val="naisf"/>
              <w:spacing w:before="0" w:after="0"/>
              <w:ind w:firstLine="0"/>
              <w:jc w:val="center"/>
              <w:rPr>
                <w:sz w:val="28"/>
                <w:szCs w:val="28"/>
              </w:rPr>
            </w:pPr>
            <w:r>
              <w:rPr>
                <w:sz w:val="28"/>
                <w:szCs w:val="28"/>
              </w:rPr>
              <w:t>0</w:t>
            </w:r>
          </w:p>
        </w:tc>
      </w:tr>
      <w:tr w:rsidR="00020740" w:rsidRPr="00200213" w:rsidTr="00020740">
        <w:trPr>
          <w:jc w:val="center"/>
        </w:trPr>
        <w:tc>
          <w:tcPr>
            <w:tcW w:w="1115" w:type="pct"/>
          </w:tcPr>
          <w:p w:rsidR="00020740" w:rsidRPr="00200213" w:rsidRDefault="00020740" w:rsidP="0077484A">
            <w:pPr>
              <w:pStyle w:val="naisf"/>
              <w:spacing w:before="0" w:after="0"/>
              <w:ind w:firstLine="0"/>
              <w:jc w:val="left"/>
              <w:rPr>
                <w:i/>
                <w:sz w:val="28"/>
                <w:szCs w:val="28"/>
              </w:rPr>
            </w:pPr>
            <w:r w:rsidRPr="00200213">
              <w:rPr>
                <w:sz w:val="28"/>
                <w:szCs w:val="28"/>
              </w:rPr>
              <w:lastRenderedPageBreak/>
              <w:t>1.2. valsts speciālais budžets</w:t>
            </w:r>
          </w:p>
        </w:tc>
        <w:tc>
          <w:tcPr>
            <w:tcW w:w="732"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830"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5"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r>
      <w:tr w:rsidR="00020740" w:rsidRPr="00200213" w:rsidTr="00020740">
        <w:trPr>
          <w:jc w:val="center"/>
        </w:trPr>
        <w:tc>
          <w:tcPr>
            <w:tcW w:w="1115" w:type="pct"/>
          </w:tcPr>
          <w:p w:rsidR="00020740" w:rsidRPr="00200213" w:rsidRDefault="00020740" w:rsidP="0077484A">
            <w:pPr>
              <w:pStyle w:val="naisf"/>
              <w:spacing w:before="0" w:after="0"/>
              <w:ind w:firstLine="0"/>
              <w:jc w:val="left"/>
              <w:rPr>
                <w:i/>
                <w:sz w:val="28"/>
                <w:szCs w:val="28"/>
              </w:rPr>
            </w:pPr>
            <w:r w:rsidRPr="00200213">
              <w:rPr>
                <w:sz w:val="28"/>
                <w:szCs w:val="28"/>
              </w:rPr>
              <w:t>1.3. pašvaldību budžets</w:t>
            </w:r>
          </w:p>
        </w:tc>
        <w:tc>
          <w:tcPr>
            <w:tcW w:w="732" w:type="pct"/>
          </w:tcPr>
          <w:p w:rsidR="00020740" w:rsidRPr="00211A02" w:rsidRDefault="00020740" w:rsidP="0077484A">
            <w:pPr>
              <w:pStyle w:val="naisf"/>
              <w:spacing w:before="0" w:after="0"/>
              <w:ind w:firstLine="0"/>
              <w:jc w:val="center"/>
              <w:rPr>
                <w:sz w:val="28"/>
                <w:szCs w:val="28"/>
              </w:rPr>
            </w:pPr>
            <w:r w:rsidRPr="00211A02">
              <w:rPr>
                <w:sz w:val="28"/>
                <w:szCs w:val="28"/>
              </w:rPr>
              <w:t>0</w:t>
            </w:r>
          </w:p>
        </w:tc>
        <w:tc>
          <w:tcPr>
            <w:tcW w:w="830"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5"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r>
      <w:tr w:rsidR="00020740" w:rsidRPr="00200213" w:rsidTr="00020740">
        <w:trPr>
          <w:trHeight w:val="699"/>
          <w:jc w:val="center"/>
        </w:trPr>
        <w:tc>
          <w:tcPr>
            <w:tcW w:w="1115" w:type="pct"/>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2. Budžeta izdevumi:</w:t>
            </w:r>
          </w:p>
        </w:tc>
        <w:tc>
          <w:tcPr>
            <w:tcW w:w="732" w:type="pct"/>
          </w:tcPr>
          <w:p w:rsidR="00020740" w:rsidRPr="00211A02" w:rsidRDefault="00020740" w:rsidP="0077484A">
            <w:pPr>
              <w:pStyle w:val="naisf"/>
              <w:spacing w:before="0" w:after="0"/>
              <w:ind w:firstLine="0"/>
              <w:jc w:val="center"/>
              <w:rPr>
                <w:sz w:val="28"/>
                <w:szCs w:val="28"/>
              </w:rPr>
            </w:pPr>
            <w:r>
              <w:rPr>
                <w:sz w:val="28"/>
                <w:szCs w:val="28"/>
              </w:rPr>
              <w:t>5000459</w:t>
            </w:r>
          </w:p>
        </w:tc>
        <w:tc>
          <w:tcPr>
            <w:tcW w:w="830"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Pr>
                <w:sz w:val="28"/>
                <w:szCs w:val="28"/>
              </w:rPr>
              <w:t>1035</w:t>
            </w:r>
          </w:p>
        </w:tc>
        <w:tc>
          <w:tcPr>
            <w:tcW w:w="774" w:type="pct"/>
          </w:tcPr>
          <w:p w:rsidR="00020740" w:rsidRPr="00200213" w:rsidRDefault="00020740" w:rsidP="0077484A">
            <w:pPr>
              <w:pStyle w:val="naisf"/>
              <w:spacing w:before="0" w:after="0"/>
              <w:ind w:firstLine="0"/>
              <w:jc w:val="center"/>
              <w:rPr>
                <w:sz w:val="28"/>
                <w:szCs w:val="28"/>
              </w:rPr>
            </w:pPr>
            <w:r>
              <w:rPr>
                <w:sz w:val="28"/>
                <w:szCs w:val="28"/>
              </w:rPr>
              <w:t>943</w:t>
            </w:r>
          </w:p>
        </w:tc>
        <w:tc>
          <w:tcPr>
            <w:tcW w:w="775" w:type="pct"/>
          </w:tcPr>
          <w:p w:rsidR="00020740" w:rsidRPr="00200213" w:rsidRDefault="00020740" w:rsidP="0077484A">
            <w:pPr>
              <w:pStyle w:val="naisf"/>
              <w:spacing w:before="0" w:after="0"/>
              <w:ind w:firstLine="0"/>
              <w:jc w:val="center"/>
              <w:rPr>
                <w:sz w:val="28"/>
                <w:szCs w:val="28"/>
              </w:rPr>
            </w:pPr>
            <w:r>
              <w:rPr>
                <w:sz w:val="28"/>
                <w:szCs w:val="28"/>
              </w:rPr>
              <w:t>943</w:t>
            </w:r>
          </w:p>
        </w:tc>
      </w:tr>
      <w:tr w:rsidR="00020740" w:rsidRPr="00200213" w:rsidTr="00020740">
        <w:trPr>
          <w:jc w:val="center"/>
        </w:trPr>
        <w:tc>
          <w:tcPr>
            <w:tcW w:w="1115" w:type="pct"/>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2.1. valsts pamatbudžets</w:t>
            </w:r>
          </w:p>
        </w:tc>
        <w:tc>
          <w:tcPr>
            <w:tcW w:w="732" w:type="pct"/>
          </w:tcPr>
          <w:p w:rsidR="00020740" w:rsidRPr="00211A02" w:rsidRDefault="00020740" w:rsidP="0077484A">
            <w:pPr>
              <w:pStyle w:val="naisf"/>
              <w:spacing w:before="0" w:after="0"/>
              <w:ind w:firstLine="0"/>
              <w:jc w:val="center"/>
              <w:rPr>
                <w:sz w:val="28"/>
                <w:szCs w:val="28"/>
              </w:rPr>
            </w:pPr>
            <w:r>
              <w:rPr>
                <w:sz w:val="28"/>
                <w:szCs w:val="28"/>
              </w:rPr>
              <w:t>5000459</w:t>
            </w:r>
          </w:p>
        </w:tc>
        <w:tc>
          <w:tcPr>
            <w:tcW w:w="830"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Pr>
                <w:sz w:val="28"/>
                <w:szCs w:val="28"/>
              </w:rPr>
              <w:t>1035</w:t>
            </w:r>
          </w:p>
        </w:tc>
        <w:tc>
          <w:tcPr>
            <w:tcW w:w="774" w:type="pct"/>
          </w:tcPr>
          <w:p w:rsidR="00020740" w:rsidRPr="00200213" w:rsidRDefault="00020740" w:rsidP="0077484A">
            <w:pPr>
              <w:pStyle w:val="naisf"/>
              <w:spacing w:before="0" w:after="0"/>
              <w:ind w:firstLine="0"/>
              <w:jc w:val="center"/>
              <w:rPr>
                <w:sz w:val="28"/>
                <w:szCs w:val="28"/>
              </w:rPr>
            </w:pPr>
            <w:r>
              <w:rPr>
                <w:sz w:val="28"/>
                <w:szCs w:val="28"/>
              </w:rPr>
              <w:t>943</w:t>
            </w:r>
          </w:p>
        </w:tc>
        <w:tc>
          <w:tcPr>
            <w:tcW w:w="775" w:type="pct"/>
          </w:tcPr>
          <w:p w:rsidR="00020740" w:rsidRPr="00200213" w:rsidRDefault="00020740" w:rsidP="0077484A">
            <w:pPr>
              <w:pStyle w:val="naisf"/>
              <w:spacing w:before="0" w:after="0"/>
              <w:ind w:firstLine="0"/>
              <w:jc w:val="center"/>
              <w:rPr>
                <w:sz w:val="28"/>
                <w:szCs w:val="28"/>
              </w:rPr>
            </w:pPr>
            <w:r>
              <w:rPr>
                <w:sz w:val="28"/>
                <w:szCs w:val="28"/>
              </w:rPr>
              <w:t>943</w:t>
            </w:r>
          </w:p>
        </w:tc>
      </w:tr>
      <w:tr w:rsidR="00020740" w:rsidRPr="00200213" w:rsidTr="00020740">
        <w:trPr>
          <w:jc w:val="center"/>
        </w:trPr>
        <w:tc>
          <w:tcPr>
            <w:tcW w:w="1115" w:type="pct"/>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2.2. valsts speciālais budžets</w:t>
            </w:r>
          </w:p>
        </w:tc>
        <w:tc>
          <w:tcPr>
            <w:tcW w:w="732"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830"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5"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r>
      <w:tr w:rsidR="00020740" w:rsidRPr="00200213" w:rsidTr="00020740">
        <w:trPr>
          <w:jc w:val="center"/>
        </w:trPr>
        <w:tc>
          <w:tcPr>
            <w:tcW w:w="1115" w:type="pct"/>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 xml:space="preserve">2.3. pašvaldību budžets </w:t>
            </w:r>
          </w:p>
        </w:tc>
        <w:tc>
          <w:tcPr>
            <w:tcW w:w="732"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830"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5"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r>
      <w:tr w:rsidR="00020740" w:rsidRPr="00200213" w:rsidTr="00020740">
        <w:trPr>
          <w:jc w:val="center"/>
        </w:trPr>
        <w:tc>
          <w:tcPr>
            <w:tcW w:w="1115" w:type="pct"/>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3. Finansiālā ietekme:</w:t>
            </w:r>
          </w:p>
        </w:tc>
        <w:tc>
          <w:tcPr>
            <w:tcW w:w="732" w:type="pct"/>
            <w:shd w:val="clear" w:color="auto" w:fill="auto"/>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830" w:type="pct"/>
          </w:tcPr>
          <w:p w:rsidR="00020740" w:rsidRPr="00200213" w:rsidRDefault="00020740" w:rsidP="0077484A">
            <w:pPr>
              <w:pStyle w:val="naisf"/>
              <w:spacing w:before="0" w:after="0"/>
              <w:ind w:firstLine="0"/>
              <w:jc w:val="center"/>
              <w:rPr>
                <w:sz w:val="28"/>
                <w:szCs w:val="28"/>
              </w:rPr>
            </w:pPr>
            <w:r w:rsidRPr="00200213">
              <w:rPr>
                <w:sz w:val="28"/>
                <w:szCs w:val="28"/>
              </w:rPr>
              <w:t>0</w:t>
            </w:r>
          </w:p>
          <w:p w:rsidR="00020740" w:rsidRPr="00200213" w:rsidRDefault="00020740" w:rsidP="0077484A">
            <w:pPr>
              <w:pStyle w:val="naisf"/>
              <w:spacing w:before="0" w:after="0"/>
              <w:ind w:firstLine="0"/>
              <w:jc w:val="center"/>
              <w:rPr>
                <w:sz w:val="28"/>
                <w:szCs w:val="28"/>
              </w:rPr>
            </w:pPr>
          </w:p>
        </w:tc>
        <w:tc>
          <w:tcPr>
            <w:tcW w:w="774" w:type="pct"/>
          </w:tcPr>
          <w:p w:rsidR="00020740" w:rsidRPr="00200213" w:rsidRDefault="00020740" w:rsidP="0077484A">
            <w:pPr>
              <w:pStyle w:val="naisf"/>
              <w:spacing w:before="0" w:after="0"/>
              <w:ind w:firstLine="0"/>
              <w:jc w:val="center"/>
              <w:rPr>
                <w:sz w:val="28"/>
                <w:szCs w:val="28"/>
              </w:rPr>
            </w:pPr>
            <w:r>
              <w:rPr>
                <w:sz w:val="28"/>
                <w:szCs w:val="28"/>
              </w:rPr>
              <w:t>-1035</w:t>
            </w:r>
          </w:p>
        </w:tc>
        <w:tc>
          <w:tcPr>
            <w:tcW w:w="774" w:type="pct"/>
          </w:tcPr>
          <w:p w:rsidR="00020740" w:rsidRPr="00200213" w:rsidRDefault="00020740" w:rsidP="0077484A">
            <w:pPr>
              <w:pStyle w:val="naisf"/>
              <w:spacing w:before="0" w:after="0"/>
              <w:ind w:firstLine="0"/>
              <w:jc w:val="center"/>
              <w:rPr>
                <w:sz w:val="28"/>
                <w:szCs w:val="28"/>
              </w:rPr>
            </w:pPr>
            <w:r>
              <w:rPr>
                <w:sz w:val="28"/>
                <w:szCs w:val="28"/>
              </w:rPr>
              <w:t>-943</w:t>
            </w:r>
          </w:p>
        </w:tc>
        <w:tc>
          <w:tcPr>
            <w:tcW w:w="775" w:type="pct"/>
          </w:tcPr>
          <w:p w:rsidR="00020740" w:rsidRPr="00200213" w:rsidRDefault="00020740" w:rsidP="0077484A">
            <w:pPr>
              <w:pStyle w:val="naisf"/>
              <w:spacing w:before="0" w:after="0"/>
              <w:ind w:firstLine="0"/>
              <w:jc w:val="center"/>
              <w:rPr>
                <w:sz w:val="28"/>
                <w:szCs w:val="28"/>
              </w:rPr>
            </w:pPr>
            <w:r>
              <w:rPr>
                <w:sz w:val="28"/>
                <w:szCs w:val="28"/>
              </w:rPr>
              <w:t>-943</w:t>
            </w:r>
          </w:p>
        </w:tc>
      </w:tr>
      <w:tr w:rsidR="00020740" w:rsidRPr="00200213" w:rsidTr="00020740">
        <w:trPr>
          <w:jc w:val="center"/>
        </w:trPr>
        <w:tc>
          <w:tcPr>
            <w:tcW w:w="1115" w:type="pct"/>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3.1. valsts pamatbudžets</w:t>
            </w:r>
          </w:p>
        </w:tc>
        <w:tc>
          <w:tcPr>
            <w:tcW w:w="732" w:type="pct"/>
            <w:shd w:val="clear" w:color="auto" w:fill="auto"/>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830"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Pr>
                <w:sz w:val="28"/>
                <w:szCs w:val="28"/>
              </w:rPr>
              <w:t>-1035</w:t>
            </w:r>
          </w:p>
        </w:tc>
        <w:tc>
          <w:tcPr>
            <w:tcW w:w="774" w:type="pct"/>
          </w:tcPr>
          <w:p w:rsidR="00020740" w:rsidRPr="00200213" w:rsidRDefault="00020740" w:rsidP="0077484A">
            <w:pPr>
              <w:pStyle w:val="naisf"/>
              <w:spacing w:before="0" w:after="0"/>
              <w:ind w:firstLine="0"/>
              <w:jc w:val="center"/>
              <w:rPr>
                <w:sz w:val="28"/>
                <w:szCs w:val="28"/>
              </w:rPr>
            </w:pPr>
            <w:r>
              <w:rPr>
                <w:sz w:val="28"/>
                <w:szCs w:val="28"/>
              </w:rPr>
              <w:t>-943</w:t>
            </w:r>
          </w:p>
        </w:tc>
        <w:tc>
          <w:tcPr>
            <w:tcW w:w="775" w:type="pct"/>
          </w:tcPr>
          <w:p w:rsidR="00020740" w:rsidRPr="00200213" w:rsidRDefault="00020740" w:rsidP="0077484A">
            <w:pPr>
              <w:pStyle w:val="naisf"/>
              <w:spacing w:before="0" w:after="0"/>
              <w:ind w:firstLine="0"/>
              <w:jc w:val="center"/>
              <w:rPr>
                <w:sz w:val="28"/>
                <w:szCs w:val="28"/>
              </w:rPr>
            </w:pPr>
            <w:r>
              <w:rPr>
                <w:sz w:val="28"/>
                <w:szCs w:val="28"/>
              </w:rPr>
              <w:t>-943</w:t>
            </w:r>
          </w:p>
        </w:tc>
      </w:tr>
      <w:tr w:rsidR="00020740" w:rsidRPr="00200213" w:rsidTr="00020740">
        <w:trPr>
          <w:trHeight w:val="714"/>
          <w:jc w:val="center"/>
        </w:trPr>
        <w:tc>
          <w:tcPr>
            <w:tcW w:w="1115" w:type="pct"/>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3.2. speciālais budžets</w:t>
            </w:r>
          </w:p>
        </w:tc>
        <w:tc>
          <w:tcPr>
            <w:tcW w:w="732" w:type="pct"/>
            <w:shd w:val="clear" w:color="auto" w:fill="auto"/>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830"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5"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r>
      <w:tr w:rsidR="00020740" w:rsidRPr="00200213" w:rsidTr="00020740">
        <w:trPr>
          <w:trHeight w:val="770"/>
          <w:jc w:val="center"/>
        </w:trPr>
        <w:tc>
          <w:tcPr>
            <w:tcW w:w="1115" w:type="pct"/>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 xml:space="preserve">3.3. pašvaldību budžets </w:t>
            </w:r>
          </w:p>
        </w:tc>
        <w:tc>
          <w:tcPr>
            <w:tcW w:w="732" w:type="pct"/>
            <w:shd w:val="clear" w:color="auto" w:fill="auto"/>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830"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5"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r>
      <w:tr w:rsidR="00020740" w:rsidRPr="00200213" w:rsidTr="00020740">
        <w:trPr>
          <w:jc w:val="center"/>
        </w:trPr>
        <w:tc>
          <w:tcPr>
            <w:tcW w:w="1115" w:type="pct"/>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4. Finanšu līdzekļi papildu izde</w:t>
            </w:r>
            <w:r w:rsidRPr="00200213">
              <w:rPr>
                <w:rFonts w:ascii="Times New Roman" w:hAnsi="Times New Roman" w:cs="Times New Roman"/>
                <w:sz w:val="28"/>
                <w:szCs w:val="28"/>
              </w:rPr>
              <w:softHyphen/>
              <w:t>vumu finansēšanai (kompensējošu izdevumu samazinājumu norāda ar "+" zīmi)</w:t>
            </w:r>
          </w:p>
        </w:tc>
        <w:tc>
          <w:tcPr>
            <w:tcW w:w="732" w:type="pct"/>
          </w:tcPr>
          <w:p w:rsidR="00020740" w:rsidRPr="00200213" w:rsidRDefault="00020740" w:rsidP="0077484A">
            <w:pPr>
              <w:pStyle w:val="naisf"/>
              <w:spacing w:before="0" w:after="0"/>
              <w:ind w:firstLine="0"/>
              <w:jc w:val="center"/>
              <w:rPr>
                <w:i/>
                <w:sz w:val="28"/>
                <w:szCs w:val="28"/>
              </w:rPr>
            </w:pPr>
            <w:r w:rsidRPr="00200213">
              <w:rPr>
                <w:sz w:val="28"/>
                <w:szCs w:val="28"/>
              </w:rPr>
              <w:t>X</w:t>
            </w:r>
          </w:p>
        </w:tc>
        <w:tc>
          <w:tcPr>
            <w:tcW w:w="830" w:type="pct"/>
          </w:tcPr>
          <w:p w:rsidR="00020740" w:rsidRPr="00200213" w:rsidRDefault="00020740" w:rsidP="0077484A">
            <w:pPr>
              <w:pStyle w:val="naisf"/>
              <w:spacing w:before="0" w:after="0"/>
              <w:ind w:firstLine="0"/>
              <w:jc w:val="center"/>
              <w:rPr>
                <w:i/>
                <w:sz w:val="28"/>
                <w:szCs w:val="28"/>
              </w:rPr>
            </w:pP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5"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r>
      <w:tr w:rsidR="00020740" w:rsidRPr="00200213" w:rsidTr="00020740">
        <w:trPr>
          <w:jc w:val="center"/>
        </w:trPr>
        <w:tc>
          <w:tcPr>
            <w:tcW w:w="1115" w:type="pct"/>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5. Precizēta finansiālā ietekme:</w:t>
            </w:r>
          </w:p>
        </w:tc>
        <w:tc>
          <w:tcPr>
            <w:tcW w:w="732" w:type="pct"/>
            <w:vMerge w:val="restart"/>
          </w:tcPr>
          <w:p w:rsidR="00020740" w:rsidRPr="00200213" w:rsidRDefault="00020740" w:rsidP="0077484A">
            <w:pPr>
              <w:pStyle w:val="naisf"/>
              <w:spacing w:before="0" w:after="0"/>
              <w:ind w:firstLine="0"/>
              <w:jc w:val="center"/>
              <w:rPr>
                <w:i/>
                <w:sz w:val="28"/>
                <w:szCs w:val="28"/>
              </w:rPr>
            </w:pPr>
            <w:r w:rsidRPr="00200213">
              <w:rPr>
                <w:sz w:val="28"/>
                <w:szCs w:val="28"/>
              </w:rPr>
              <w:t>X</w:t>
            </w:r>
          </w:p>
        </w:tc>
        <w:tc>
          <w:tcPr>
            <w:tcW w:w="830"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5"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r>
      <w:tr w:rsidR="00020740" w:rsidRPr="00200213" w:rsidTr="00020740">
        <w:trPr>
          <w:jc w:val="center"/>
        </w:trPr>
        <w:tc>
          <w:tcPr>
            <w:tcW w:w="1115" w:type="pct"/>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5.1. valsts pamatbudžets</w:t>
            </w:r>
          </w:p>
        </w:tc>
        <w:tc>
          <w:tcPr>
            <w:tcW w:w="732" w:type="pct"/>
            <w:vMerge/>
            <w:vAlign w:val="center"/>
          </w:tcPr>
          <w:p w:rsidR="00020740" w:rsidRPr="00200213" w:rsidRDefault="00020740" w:rsidP="0077484A">
            <w:pPr>
              <w:pStyle w:val="naisf"/>
              <w:spacing w:before="0" w:after="0"/>
              <w:ind w:firstLine="0"/>
              <w:jc w:val="center"/>
              <w:rPr>
                <w:i/>
                <w:sz w:val="28"/>
                <w:szCs w:val="28"/>
              </w:rPr>
            </w:pPr>
          </w:p>
        </w:tc>
        <w:tc>
          <w:tcPr>
            <w:tcW w:w="830"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5" w:type="pct"/>
          </w:tcPr>
          <w:p w:rsidR="00020740" w:rsidRPr="00200213" w:rsidRDefault="00020740" w:rsidP="0077484A">
            <w:pPr>
              <w:pStyle w:val="naisf"/>
              <w:spacing w:before="0" w:after="0"/>
              <w:ind w:firstLine="0"/>
              <w:jc w:val="center"/>
              <w:rPr>
                <w:sz w:val="28"/>
                <w:szCs w:val="28"/>
              </w:rPr>
            </w:pPr>
            <w:r w:rsidRPr="00200213">
              <w:rPr>
                <w:sz w:val="28"/>
                <w:szCs w:val="28"/>
              </w:rPr>
              <w:t>0</w:t>
            </w:r>
          </w:p>
        </w:tc>
      </w:tr>
      <w:tr w:rsidR="00020740" w:rsidRPr="00200213" w:rsidTr="00020740">
        <w:trPr>
          <w:jc w:val="center"/>
        </w:trPr>
        <w:tc>
          <w:tcPr>
            <w:tcW w:w="1115" w:type="pct"/>
            <w:tcBorders>
              <w:bottom w:val="single" w:sz="4" w:space="0" w:color="auto"/>
            </w:tcBorders>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5.2. speciālais budžets</w:t>
            </w:r>
          </w:p>
        </w:tc>
        <w:tc>
          <w:tcPr>
            <w:tcW w:w="732" w:type="pct"/>
            <w:vMerge/>
            <w:tcBorders>
              <w:bottom w:val="single" w:sz="4" w:space="0" w:color="auto"/>
            </w:tcBorders>
            <w:vAlign w:val="center"/>
          </w:tcPr>
          <w:p w:rsidR="00020740" w:rsidRPr="00200213" w:rsidRDefault="00020740" w:rsidP="0077484A">
            <w:pPr>
              <w:pStyle w:val="naisf"/>
              <w:spacing w:before="0" w:after="0"/>
              <w:ind w:firstLine="0"/>
              <w:jc w:val="center"/>
              <w:rPr>
                <w:i/>
                <w:sz w:val="28"/>
                <w:szCs w:val="28"/>
              </w:rPr>
            </w:pPr>
          </w:p>
        </w:tc>
        <w:tc>
          <w:tcPr>
            <w:tcW w:w="830" w:type="pct"/>
            <w:tcBorders>
              <w:bottom w:val="single" w:sz="4" w:space="0" w:color="auto"/>
            </w:tcBorders>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Borders>
              <w:bottom w:val="single" w:sz="4" w:space="0" w:color="auto"/>
            </w:tcBorders>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Borders>
              <w:bottom w:val="single" w:sz="4" w:space="0" w:color="auto"/>
            </w:tcBorders>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5" w:type="pct"/>
            <w:tcBorders>
              <w:bottom w:val="single" w:sz="4" w:space="0" w:color="auto"/>
            </w:tcBorders>
          </w:tcPr>
          <w:p w:rsidR="00020740" w:rsidRPr="00200213" w:rsidRDefault="00020740" w:rsidP="0077484A">
            <w:pPr>
              <w:pStyle w:val="naisf"/>
              <w:spacing w:before="0" w:after="0"/>
              <w:ind w:firstLine="0"/>
              <w:jc w:val="center"/>
              <w:rPr>
                <w:sz w:val="28"/>
                <w:szCs w:val="28"/>
              </w:rPr>
            </w:pPr>
            <w:r w:rsidRPr="00200213">
              <w:rPr>
                <w:sz w:val="28"/>
                <w:szCs w:val="28"/>
              </w:rPr>
              <w:t>0</w:t>
            </w:r>
          </w:p>
        </w:tc>
      </w:tr>
      <w:tr w:rsidR="00020740" w:rsidRPr="00200213" w:rsidTr="00020740">
        <w:trPr>
          <w:jc w:val="center"/>
        </w:trPr>
        <w:tc>
          <w:tcPr>
            <w:tcW w:w="1115" w:type="pct"/>
            <w:tcBorders>
              <w:top w:val="single" w:sz="4" w:space="0" w:color="auto"/>
              <w:left w:val="single" w:sz="4" w:space="0" w:color="auto"/>
              <w:bottom w:val="single" w:sz="4" w:space="0" w:color="auto"/>
              <w:right w:val="single" w:sz="4" w:space="0" w:color="auto"/>
            </w:tcBorders>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 xml:space="preserve">5.3. pašvaldību budžets </w:t>
            </w:r>
          </w:p>
        </w:tc>
        <w:tc>
          <w:tcPr>
            <w:tcW w:w="732" w:type="pct"/>
            <w:vMerge/>
            <w:tcBorders>
              <w:top w:val="single" w:sz="4" w:space="0" w:color="auto"/>
              <w:left w:val="single" w:sz="4" w:space="0" w:color="auto"/>
              <w:bottom w:val="single" w:sz="4" w:space="0" w:color="auto"/>
              <w:right w:val="single" w:sz="4" w:space="0" w:color="auto"/>
            </w:tcBorders>
            <w:vAlign w:val="center"/>
          </w:tcPr>
          <w:p w:rsidR="00020740" w:rsidRPr="00200213" w:rsidRDefault="00020740" w:rsidP="0077484A">
            <w:pPr>
              <w:pStyle w:val="naisf"/>
              <w:spacing w:before="0" w:after="0"/>
              <w:ind w:firstLine="0"/>
              <w:jc w:val="center"/>
              <w:rPr>
                <w:i/>
                <w:sz w:val="28"/>
                <w:szCs w:val="28"/>
              </w:rPr>
            </w:pPr>
          </w:p>
        </w:tc>
        <w:tc>
          <w:tcPr>
            <w:tcW w:w="830" w:type="pct"/>
            <w:tcBorders>
              <w:top w:val="single" w:sz="4" w:space="0" w:color="auto"/>
              <w:left w:val="single" w:sz="4" w:space="0" w:color="auto"/>
              <w:bottom w:val="single" w:sz="4" w:space="0" w:color="auto"/>
              <w:right w:val="single" w:sz="4" w:space="0" w:color="auto"/>
            </w:tcBorders>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Borders>
              <w:top w:val="single" w:sz="4" w:space="0" w:color="auto"/>
              <w:left w:val="single" w:sz="4" w:space="0" w:color="auto"/>
              <w:bottom w:val="single" w:sz="4" w:space="0" w:color="auto"/>
              <w:right w:val="single" w:sz="4" w:space="0" w:color="auto"/>
            </w:tcBorders>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4" w:type="pct"/>
            <w:tcBorders>
              <w:top w:val="single" w:sz="4" w:space="0" w:color="auto"/>
              <w:left w:val="single" w:sz="4" w:space="0" w:color="auto"/>
              <w:bottom w:val="single" w:sz="4" w:space="0" w:color="auto"/>
              <w:right w:val="single" w:sz="4" w:space="0" w:color="auto"/>
            </w:tcBorders>
          </w:tcPr>
          <w:p w:rsidR="00020740" w:rsidRPr="00200213" w:rsidRDefault="00020740" w:rsidP="0077484A">
            <w:pPr>
              <w:pStyle w:val="naisf"/>
              <w:spacing w:before="0" w:after="0"/>
              <w:ind w:firstLine="0"/>
              <w:jc w:val="center"/>
              <w:rPr>
                <w:sz w:val="28"/>
                <w:szCs w:val="28"/>
              </w:rPr>
            </w:pPr>
            <w:r w:rsidRPr="00200213">
              <w:rPr>
                <w:sz w:val="28"/>
                <w:szCs w:val="28"/>
              </w:rPr>
              <w:t>0</w:t>
            </w:r>
          </w:p>
        </w:tc>
        <w:tc>
          <w:tcPr>
            <w:tcW w:w="775" w:type="pct"/>
            <w:tcBorders>
              <w:top w:val="single" w:sz="4" w:space="0" w:color="auto"/>
              <w:left w:val="single" w:sz="4" w:space="0" w:color="auto"/>
              <w:bottom w:val="single" w:sz="4" w:space="0" w:color="auto"/>
              <w:right w:val="single" w:sz="4" w:space="0" w:color="auto"/>
            </w:tcBorders>
          </w:tcPr>
          <w:p w:rsidR="00020740" w:rsidRPr="00200213" w:rsidRDefault="00020740" w:rsidP="0077484A">
            <w:pPr>
              <w:pStyle w:val="naisf"/>
              <w:spacing w:before="0" w:after="0"/>
              <w:ind w:firstLine="0"/>
              <w:jc w:val="center"/>
              <w:rPr>
                <w:sz w:val="28"/>
                <w:szCs w:val="28"/>
              </w:rPr>
            </w:pPr>
            <w:r w:rsidRPr="00200213">
              <w:rPr>
                <w:sz w:val="28"/>
                <w:szCs w:val="28"/>
              </w:rPr>
              <w:t>0</w:t>
            </w:r>
          </w:p>
        </w:tc>
      </w:tr>
      <w:tr w:rsidR="00020740" w:rsidRPr="00200213" w:rsidTr="0077484A">
        <w:trPr>
          <w:trHeight w:val="707"/>
          <w:jc w:val="center"/>
        </w:trPr>
        <w:tc>
          <w:tcPr>
            <w:tcW w:w="1115" w:type="pct"/>
            <w:tcBorders>
              <w:top w:val="single" w:sz="4" w:space="0" w:color="auto"/>
              <w:left w:val="single" w:sz="4" w:space="0" w:color="auto"/>
              <w:bottom w:val="single" w:sz="4" w:space="0" w:color="auto"/>
              <w:right w:val="single" w:sz="4" w:space="0" w:color="auto"/>
            </w:tcBorders>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lastRenderedPageBreak/>
              <w:t>6. Detalizēts ieņēmumu un izdevu</w:t>
            </w:r>
            <w:r w:rsidRPr="00200213">
              <w:rPr>
                <w:rFonts w:ascii="Times New Roman" w:hAnsi="Times New Roman" w:cs="Times New Roman"/>
                <w:sz w:val="28"/>
                <w:szCs w:val="28"/>
              </w:rPr>
              <w:softHyphen/>
              <w:t>mu aprēķins (ja nepieciešams, detalizētu ieņēmumu un izdevumu aprēķinu var pievienot anotācijas pielikumā):</w:t>
            </w:r>
          </w:p>
        </w:tc>
        <w:tc>
          <w:tcPr>
            <w:tcW w:w="3885" w:type="pct"/>
            <w:gridSpan w:val="5"/>
            <w:vMerge w:val="restart"/>
            <w:tcBorders>
              <w:top w:val="single" w:sz="4" w:space="0" w:color="auto"/>
              <w:left w:val="single" w:sz="4" w:space="0" w:color="auto"/>
              <w:bottom w:val="single" w:sz="4" w:space="0" w:color="auto"/>
              <w:right w:val="single" w:sz="4" w:space="0" w:color="auto"/>
            </w:tcBorders>
          </w:tcPr>
          <w:p w:rsidR="00020740" w:rsidRPr="00200213" w:rsidRDefault="00020740" w:rsidP="0077484A">
            <w:pPr>
              <w:pStyle w:val="tv213"/>
              <w:spacing w:before="0" w:beforeAutospacing="0" w:after="0" w:afterAutospacing="0"/>
              <w:jc w:val="both"/>
              <w:rPr>
                <w:sz w:val="28"/>
                <w:szCs w:val="28"/>
              </w:rPr>
            </w:pPr>
            <w:r>
              <w:rPr>
                <w:sz w:val="28"/>
                <w:szCs w:val="28"/>
              </w:rPr>
              <w:t>Projekts paredz papildu finansējumu darba devēja valsts sociālās apdrošināšanas obligāto iemaksu  palielinājuma nodrošināšanai saistībā ar pieņemtajiem grozījumiem likumā „Par valsts sociālo apdrošināšanu” (VSAOI likme kopā tiek palielināta par 1% (0,5% darba devējam un 0,5% darba ņēmējam) ar 2018.gada 1.janvāri – 2018.gadā kopā 1 035 </w:t>
            </w:r>
            <w:proofErr w:type="spellStart"/>
            <w:r>
              <w:rPr>
                <w:i/>
                <w:iCs/>
                <w:sz w:val="28"/>
                <w:szCs w:val="28"/>
              </w:rPr>
              <w:t>euro</w:t>
            </w:r>
            <w:proofErr w:type="spellEnd"/>
            <w:r>
              <w:rPr>
                <w:sz w:val="28"/>
                <w:szCs w:val="28"/>
              </w:rPr>
              <w:t xml:space="preserve">, tajā skaitā Ārlietu ministrijai 274 </w:t>
            </w:r>
            <w:proofErr w:type="spellStart"/>
            <w:r>
              <w:rPr>
                <w:i/>
                <w:iCs/>
                <w:sz w:val="28"/>
                <w:szCs w:val="28"/>
              </w:rPr>
              <w:t>euro</w:t>
            </w:r>
            <w:proofErr w:type="spellEnd"/>
            <w:r>
              <w:rPr>
                <w:sz w:val="28"/>
                <w:szCs w:val="28"/>
              </w:rPr>
              <w:t xml:space="preserve">, Izglītības un zinātnes ministrijai 114 </w:t>
            </w:r>
            <w:proofErr w:type="spellStart"/>
            <w:r>
              <w:rPr>
                <w:i/>
                <w:iCs/>
                <w:sz w:val="28"/>
                <w:szCs w:val="28"/>
              </w:rPr>
              <w:t>euro</w:t>
            </w:r>
            <w:proofErr w:type="spellEnd"/>
            <w:r>
              <w:rPr>
                <w:sz w:val="28"/>
                <w:szCs w:val="28"/>
              </w:rPr>
              <w:t>, Kultūras ministrijai 549 </w:t>
            </w:r>
            <w:proofErr w:type="spellStart"/>
            <w:r>
              <w:rPr>
                <w:i/>
                <w:iCs/>
                <w:sz w:val="28"/>
                <w:szCs w:val="28"/>
              </w:rPr>
              <w:t>euro</w:t>
            </w:r>
            <w:proofErr w:type="spellEnd"/>
            <w:r>
              <w:rPr>
                <w:sz w:val="28"/>
                <w:szCs w:val="28"/>
              </w:rPr>
              <w:t xml:space="preserve">, Latvijas Nacionālajai bibliotēkai 98 </w:t>
            </w:r>
            <w:proofErr w:type="spellStart"/>
            <w:r>
              <w:rPr>
                <w:i/>
                <w:iCs/>
                <w:sz w:val="28"/>
                <w:szCs w:val="28"/>
              </w:rPr>
              <w:t>euro</w:t>
            </w:r>
            <w:proofErr w:type="spellEnd"/>
            <w:r>
              <w:rPr>
                <w:sz w:val="28"/>
                <w:szCs w:val="28"/>
              </w:rPr>
              <w:t xml:space="preserve">; 2019.gadā kopā 943 </w:t>
            </w:r>
            <w:proofErr w:type="spellStart"/>
            <w:r>
              <w:rPr>
                <w:i/>
                <w:iCs/>
                <w:sz w:val="28"/>
                <w:szCs w:val="28"/>
              </w:rPr>
              <w:t>euro</w:t>
            </w:r>
            <w:proofErr w:type="spellEnd"/>
            <w:r>
              <w:rPr>
                <w:sz w:val="28"/>
                <w:szCs w:val="28"/>
              </w:rPr>
              <w:t>, tajā skaitā Ārlietu ministrijai 85 </w:t>
            </w:r>
            <w:proofErr w:type="spellStart"/>
            <w:r>
              <w:rPr>
                <w:i/>
                <w:iCs/>
                <w:sz w:val="28"/>
                <w:szCs w:val="28"/>
              </w:rPr>
              <w:t>euro</w:t>
            </w:r>
            <w:proofErr w:type="spellEnd"/>
            <w:r>
              <w:rPr>
                <w:sz w:val="28"/>
                <w:szCs w:val="28"/>
              </w:rPr>
              <w:t xml:space="preserve">, Izglītības un zinātnes ministrijai 29 </w:t>
            </w:r>
            <w:proofErr w:type="spellStart"/>
            <w:r>
              <w:rPr>
                <w:i/>
                <w:iCs/>
                <w:sz w:val="28"/>
                <w:szCs w:val="28"/>
              </w:rPr>
              <w:t>euro</w:t>
            </w:r>
            <w:proofErr w:type="spellEnd"/>
            <w:r>
              <w:rPr>
                <w:sz w:val="28"/>
                <w:szCs w:val="28"/>
              </w:rPr>
              <w:t xml:space="preserve">, Kultūras ministrijai 741 </w:t>
            </w:r>
            <w:proofErr w:type="spellStart"/>
            <w:r>
              <w:rPr>
                <w:i/>
                <w:iCs/>
                <w:sz w:val="28"/>
                <w:szCs w:val="28"/>
              </w:rPr>
              <w:t>euro</w:t>
            </w:r>
            <w:proofErr w:type="spellEnd"/>
            <w:r>
              <w:rPr>
                <w:sz w:val="28"/>
                <w:szCs w:val="28"/>
              </w:rPr>
              <w:t>, Latvijas Nacionālajai bibliotēkai 88 </w:t>
            </w:r>
            <w:proofErr w:type="spellStart"/>
            <w:r>
              <w:rPr>
                <w:i/>
                <w:iCs/>
                <w:sz w:val="28"/>
                <w:szCs w:val="28"/>
              </w:rPr>
              <w:t>euro</w:t>
            </w:r>
            <w:proofErr w:type="spellEnd"/>
            <w:r>
              <w:rPr>
                <w:sz w:val="28"/>
                <w:szCs w:val="28"/>
              </w:rPr>
              <w:t xml:space="preserve">; 2020.gadā Kultūras ministrijai 943 </w:t>
            </w:r>
            <w:proofErr w:type="spellStart"/>
            <w:r>
              <w:rPr>
                <w:i/>
                <w:iCs/>
                <w:sz w:val="28"/>
                <w:szCs w:val="28"/>
              </w:rPr>
              <w:t>euro</w:t>
            </w:r>
            <w:proofErr w:type="spellEnd"/>
            <w:r>
              <w:rPr>
                <w:sz w:val="28"/>
                <w:szCs w:val="28"/>
              </w:rPr>
              <w:t>.</w:t>
            </w:r>
          </w:p>
        </w:tc>
      </w:tr>
      <w:tr w:rsidR="00020740" w:rsidRPr="00200213" w:rsidTr="0077484A">
        <w:trPr>
          <w:jc w:val="center"/>
        </w:trPr>
        <w:tc>
          <w:tcPr>
            <w:tcW w:w="1115" w:type="pct"/>
            <w:tcBorders>
              <w:top w:val="single" w:sz="4" w:space="0" w:color="auto"/>
              <w:left w:val="single" w:sz="4" w:space="0" w:color="auto"/>
              <w:bottom w:val="single" w:sz="4" w:space="0" w:color="auto"/>
              <w:right w:val="single" w:sz="4" w:space="0" w:color="auto"/>
            </w:tcBorders>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6.1. detalizēts ieņēmumu aprēķins</w:t>
            </w:r>
          </w:p>
        </w:tc>
        <w:tc>
          <w:tcPr>
            <w:tcW w:w="3885" w:type="pct"/>
            <w:gridSpan w:val="5"/>
            <w:vMerge/>
            <w:tcBorders>
              <w:top w:val="single" w:sz="4" w:space="0" w:color="auto"/>
              <w:left w:val="single" w:sz="4" w:space="0" w:color="auto"/>
              <w:bottom w:val="single" w:sz="4" w:space="0" w:color="auto"/>
              <w:right w:val="single" w:sz="4" w:space="0" w:color="auto"/>
            </w:tcBorders>
          </w:tcPr>
          <w:p w:rsidR="00020740" w:rsidRPr="00200213" w:rsidRDefault="00020740" w:rsidP="0077484A">
            <w:pPr>
              <w:pStyle w:val="naisf"/>
              <w:spacing w:before="0" w:after="0"/>
              <w:ind w:firstLine="0"/>
              <w:rPr>
                <w:b/>
                <w:i/>
                <w:sz w:val="28"/>
                <w:szCs w:val="28"/>
              </w:rPr>
            </w:pPr>
          </w:p>
        </w:tc>
      </w:tr>
      <w:tr w:rsidR="00020740" w:rsidRPr="00200213" w:rsidTr="0077484A">
        <w:trPr>
          <w:jc w:val="center"/>
        </w:trPr>
        <w:tc>
          <w:tcPr>
            <w:tcW w:w="1115" w:type="pct"/>
            <w:tcBorders>
              <w:top w:val="single" w:sz="4" w:space="0" w:color="auto"/>
              <w:left w:val="single" w:sz="4" w:space="0" w:color="auto"/>
              <w:bottom w:val="single" w:sz="4" w:space="0" w:color="auto"/>
              <w:right w:val="single" w:sz="4" w:space="0" w:color="auto"/>
            </w:tcBorders>
          </w:tcPr>
          <w:p w:rsidR="00020740" w:rsidRPr="00200213" w:rsidRDefault="00020740" w:rsidP="0077484A">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6.2. detalizēts izdevumu aprēķins</w:t>
            </w:r>
          </w:p>
        </w:tc>
        <w:tc>
          <w:tcPr>
            <w:tcW w:w="3885" w:type="pct"/>
            <w:gridSpan w:val="5"/>
            <w:vMerge/>
            <w:tcBorders>
              <w:top w:val="single" w:sz="4" w:space="0" w:color="auto"/>
              <w:left w:val="single" w:sz="4" w:space="0" w:color="auto"/>
              <w:bottom w:val="single" w:sz="4" w:space="0" w:color="auto"/>
              <w:right w:val="single" w:sz="4" w:space="0" w:color="auto"/>
            </w:tcBorders>
          </w:tcPr>
          <w:p w:rsidR="00020740" w:rsidRPr="00200213" w:rsidRDefault="00020740" w:rsidP="0077484A">
            <w:pPr>
              <w:pStyle w:val="naisf"/>
              <w:spacing w:before="0" w:after="0"/>
              <w:ind w:firstLine="0"/>
              <w:rPr>
                <w:b/>
                <w:i/>
                <w:sz w:val="28"/>
                <w:szCs w:val="28"/>
              </w:rPr>
            </w:pPr>
          </w:p>
        </w:tc>
      </w:tr>
      <w:tr w:rsidR="00020740" w:rsidRPr="00200213" w:rsidTr="008D3C54">
        <w:trPr>
          <w:trHeight w:val="2533"/>
          <w:jc w:val="center"/>
        </w:trPr>
        <w:tc>
          <w:tcPr>
            <w:tcW w:w="1115" w:type="pct"/>
            <w:tcBorders>
              <w:top w:val="single" w:sz="4" w:space="0" w:color="auto"/>
              <w:left w:val="single" w:sz="4" w:space="0" w:color="auto"/>
              <w:bottom w:val="single" w:sz="4" w:space="0" w:color="auto"/>
              <w:right w:val="single" w:sz="4" w:space="0" w:color="auto"/>
            </w:tcBorders>
          </w:tcPr>
          <w:p w:rsidR="00020740" w:rsidRPr="008D3C54" w:rsidRDefault="00020740" w:rsidP="0077484A">
            <w:pPr>
              <w:tabs>
                <w:tab w:val="left" w:pos="5940"/>
              </w:tabs>
              <w:spacing w:after="0" w:line="240" w:lineRule="auto"/>
              <w:rPr>
                <w:rFonts w:ascii="Times New Roman" w:hAnsi="Times New Roman" w:cs="Times New Roman"/>
                <w:sz w:val="28"/>
                <w:szCs w:val="28"/>
              </w:rPr>
            </w:pPr>
            <w:r w:rsidRPr="008D3C54">
              <w:rPr>
                <w:rFonts w:ascii="Times New Roman" w:hAnsi="Times New Roman" w:cs="Times New Roman"/>
                <w:sz w:val="28"/>
                <w:szCs w:val="28"/>
              </w:rPr>
              <w:t>7. Cita informācija</w:t>
            </w:r>
          </w:p>
        </w:tc>
        <w:tc>
          <w:tcPr>
            <w:tcW w:w="3885" w:type="pct"/>
            <w:gridSpan w:val="5"/>
            <w:tcBorders>
              <w:top w:val="single" w:sz="4" w:space="0" w:color="auto"/>
              <w:left w:val="single" w:sz="4" w:space="0" w:color="auto"/>
              <w:bottom w:val="single" w:sz="4" w:space="0" w:color="auto"/>
              <w:right w:val="single" w:sz="4" w:space="0" w:color="auto"/>
            </w:tcBorders>
          </w:tcPr>
          <w:p w:rsidR="00020740" w:rsidRPr="008D3C54" w:rsidRDefault="00020740" w:rsidP="0077484A">
            <w:pPr>
              <w:spacing w:after="0" w:line="240" w:lineRule="auto"/>
              <w:jc w:val="both"/>
              <w:rPr>
                <w:rFonts w:ascii="Times New Roman" w:hAnsi="Times New Roman"/>
                <w:sz w:val="28"/>
                <w:szCs w:val="28"/>
              </w:rPr>
            </w:pPr>
            <w:r w:rsidRPr="008D3C54">
              <w:rPr>
                <w:rFonts w:ascii="Times New Roman" w:hAnsi="Times New Roman"/>
                <w:sz w:val="28"/>
                <w:szCs w:val="28"/>
              </w:rPr>
              <w:t>3.punktā norādītais finansējums ir jau paredzēts likumprojektā „Par valsts budžetu 2018.gadam” un likumprojektā „Par vidēja termiņa budžeta ietvaru 2018., 2019.un 2020.gadam”, kurš ir atbalstīts pirmajā lasījumā Saeimā šā gada 26.oktobrī.</w:t>
            </w:r>
          </w:p>
        </w:tc>
      </w:tr>
    </w:tbl>
    <w:p w:rsidR="006A22B4" w:rsidRDefault="006A22B4" w:rsidP="00200213">
      <w:pPr>
        <w:pStyle w:val="naisf"/>
        <w:spacing w:before="0" w:after="0"/>
        <w:rPr>
          <w:sz w:val="28"/>
          <w:szCs w:val="28"/>
        </w:rPr>
      </w:pPr>
    </w:p>
    <w:tbl>
      <w:tblPr>
        <w:tblStyle w:val="Reatabula"/>
        <w:tblW w:w="4884" w:type="pct"/>
        <w:tblInd w:w="108" w:type="dxa"/>
        <w:tblLook w:val="04A0"/>
      </w:tblPr>
      <w:tblGrid>
        <w:gridCol w:w="9072"/>
      </w:tblGrid>
      <w:tr w:rsidR="006A22B4" w:rsidRPr="0022670B" w:rsidTr="00260E23">
        <w:trPr>
          <w:trHeight w:val="360"/>
        </w:trPr>
        <w:tc>
          <w:tcPr>
            <w:tcW w:w="5000" w:type="pct"/>
            <w:hideMark/>
          </w:tcPr>
          <w:p w:rsidR="006A22B4" w:rsidRPr="0022670B" w:rsidRDefault="006A22B4" w:rsidP="00260E23">
            <w:pPr>
              <w:ind w:firstLine="301"/>
              <w:jc w:val="center"/>
              <w:rPr>
                <w:rFonts w:ascii="Times New Roman" w:hAnsi="Times New Roman" w:cs="Times New Roman"/>
                <w:b/>
                <w:bCs/>
                <w:sz w:val="28"/>
                <w:szCs w:val="28"/>
              </w:rPr>
            </w:pPr>
            <w:r w:rsidRPr="000129A7">
              <w:rPr>
                <w:rFonts w:ascii="Times New Roman" w:eastAsia="Times New Roman" w:hAnsi="Times New Roman" w:cs="Times New Roman"/>
                <w:b/>
                <w:bCs/>
                <w:sz w:val="28"/>
                <w:szCs w:val="28"/>
                <w:lang w:eastAsia="lv-LV"/>
              </w:rPr>
              <w:t>IV. Tiesību akta projekta ietekme uz spēkā esošo tiesību normu sistēmu</w:t>
            </w:r>
          </w:p>
        </w:tc>
      </w:tr>
      <w:tr w:rsidR="006A22B4" w:rsidRPr="0022670B" w:rsidTr="00260E23">
        <w:trPr>
          <w:trHeight w:val="419"/>
        </w:trPr>
        <w:tc>
          <w:tcPr>
            <w:tcW w:w="5000" w:type="pct"/>
            <w:vAlign w:val="center"/>
          </w:tcPr>
          <w:p w:rsidR="006A22B4" w:rsidRPr="0022670B" w:rsidRDefault="006A22B4" w:rsidP="00260E23">
            <w:pPr>
              <w:ind w:firstLine="301"/>
              <w:jc w:val="center"/>
              <w:rPr>
                <w:rFonts w:ascii="Times New Roman" w:hAnsi="Times New Roman" w:cs="Times New Roman"/>
                <w:sz w:val="28"/>
                <w:szCs w:val="28"/>
              </w:rPr>
            </w:pPr>
            <w:r w:rsidRPr="0022670B">
              <w:rPr>
                <w:rFonts w:ascii="Times New Roman" w:hAnsi="Times New Roman" w:cs="Times New Roman"/>
                <w:sz w:val="28"/>
                <w:szCs w:val="28"/>
              </w:rPr>
              <w:t>Projekts šo jomu neskar.</w:t>
            </w:r>
          </w:p>
        </w:tc>
      </w:tr>
    </w:tbl>
    <w:p w:rsidR="006A22B4" w:rsidRDefault="006A22B4" w:rsidP="00200213">
      <w:pPr>
        <w:pStyle w:val="naisf"/>
        <w:spacing w:before="0" w:after="0"/>
        <w:rPr>
          <w:sz w:val="28"/>
          <w:szCs w:val="28"/>
        </w:rPr>
      </w:pPr>
    </w:p>
    <w:tbl>
      <w:tblPr>
        <w:tblStyle w:val="Reatabula"/>
        <w:tblW w:w="4884" w:type="pct"/>
        <w:tblInd w:w="108" w:type="dxa"/>
        <w:tblLook w:val="04A0"/>
      </w:tblPr>
      <w:tblGrid>
        <w:gridCol w:w="9072"/>
      </w:tblGrid>
      <w:tr w:rsidR="000129A7" w:rsidRPr="00CA2046" w:rsidTr="00E32F6A">
        <w:trPr>
          <w:trHeight w:val="360"/>
        </w:trPr>
        <w:tc>
          <w:tcPr>
            <w:tcW w:w="5000" w:type="pct"/>
            <w:hideMark/>
          </w:tcPr>
          <w:p w:rsidR="000129A7" w:rsidRPr="0022670B" w:rsidRDefault="000129A7" w:rsidP="00E32F6A">
            <w:pPr>
              <w:ind w:firstLine="301"/>
              <w:jc w:val="center"/>
              <w:rPr>
                <w:rFonts w:ascii="Times New Roman" w:hAnsi="Times New Roman" w:cs="Times New Roman"/>
                <w:b/>
                <w:bCs/>
                <w:sz w:val="28"/>
                <w:szCs w:val="28"/>
              </w:rPr>
            </w:pPr>
            <w:r w:rsidRPr="000129A7">
              <w:rPr>
                <w:rFonts w:ascii="Times New Roman" w:eastAsia="Times New Roman" w:hAnsi="Times New Roman" w:cs="Times New Roman"/>
                <w:b/>
                <w:bCs/>
                <w:sz w:val="28"/>
                <w:szCs w:val="28"/>
                <w:lang w:eastAsia="lv-LV"/>
              </w:rPr>
              <w:t>V. Tiesību akta projekta atbilstība Latvijas Republikas starptautiskajām saistībām</w:t>
            </w:r>
          </w:p>
        </w:tc>
      </w:tr>
      <w:tr w:rsidR="000129A7" w:rsidRPr="00CA2046" w:rsidTr="00E32F6A">
        <w:trPr>
          <w:trHeight w:val="419"/>
        </w:trPr>
        <w:tc>
          <w:tcPr>
            <w:tcW w:w="5000" w:type="pct"/>
            <w:vAlign w:val="center"/>
          </w:tcPr>
          <w:p w:rsidR="000129A7" w:rsidRPr="0022670B" w:rsidRDefault="000129A7" w:rsidP="00E32F6A">
            <w:pPr>
              <w:ind w:firstLine="301"/>
              <w:jc w:val="center"/>
              <w:rPr>
                <w:rFonts w:ascii="Times New Roman" w:hAnsi="Times New Roman" w:cs="Times New Roman"/>
                <w:sz w:val="28"/>
                <w:szCs w:val="28"/>
              </w:rPr>
            </w:pPr>
            <w:r w:rsidRPr="0022670B">
              <w:rPr>
                <w:rFonts w:ascii="Times New Roman" w:hAnsi="Times New Roman" w:cs="Times New Roman"/>
                <w:sz w:val="28"/>
                <w:szCs w:val="28"/>
              </w:rPr>
              <w:t>Projekts šo jomu neskar.</w:t>
            </w:r>
          </w:p>
        </w:tc>
      </w:tr>
    </w:tbl>
    <w:p w:rsidR="000129A7" w:rsidRDefault="000129A7" w:rsidP="00200213">
      <w:pPr>
        <w:pStyle w:val="naisf"/>
        <w:spacing w:before="0" w:after="0"/>
        <w:rPr>
          <w:sz w:val="28"/>
          <w:szCs w:val="28"/>
        </w:rPr>
      </w:pPr>
    </w:p>
    <w:tbl>
      <w:tblPr>
        <w:tblStyle w:val="Reatabula"/>
        <w:tblW w:w="4884" w:type="pct"/>
        <w:tblInd w:w="108" w:type="dxa"/>
        <w:tblLook w:val="04A0"/>
      </w:tblPr>
      <w:tblGrid>
        <w:gridCol w:w="9072"/>
      </w:tblGrid>
      <w:tr w:rsidR="000129A7" w:rsidRPr="00CA2046" w:rsidTr="00E32F6A">
        <w:trPr>
          <w:trHeight w:val="360"/>
        </w:trPr>
        <w:tc>
          <w:tcPr>
            <w:tcW w:w="5000" w:type="pct"/>
            <w:hideMark/>
          </w:tcPr>
          <w:p w:rsidR="000129A7" w:rsidRPr="0022670B" w:rsidRDefault="000129A7" w:rsidP="00E32F6A">
            <w:pPr>
              <w:ind w:firstLine="301"/>
              <w:jc w:val="center"/>
              <w:rPr>
                <w:rFonts w:ascii="Times New Roman" w:hAnsi="Times New Roman" w:cs="Times New Roman"/>
                <w:b/>
                <w:bCs/>
                <w:sz w:val="28"/>
                <w:szCs w:val="28"/>
              </w:rPr>
            </w:pPr>
            <w:r w:rsidRPr="000129A7">
              <w:rPr>
                <w:rFonts w:ascii="Times New Roman" w:eastAsia="Times New Roman" w:hAnsi="Times New Roman" w:cs="Times New Roman"/>
                <w:b/>
                <w:bCs/>
                <w:sz w:val="28"/>
                <w:szCs w:val="28"/>
                <w:lang w:eastAsia="lv-LV"/>
              </w:rPr>
              <w:t>VI. Sabiedrības līdzdalība un komunikācijas aktivitātes</w:t>
            </w:r>
          </w:p>
        </w:tc>
      </w:tr>
      <w:tr w:rsidR="000129A7" w:rsidRPr="00CA2046" w:rsidTr="00E32F6A">
        <w:trPr>
          <w:trHeight w:val="419"/>
        </w:trPr>
        <w:tc>
          <w:tcPr>
            <w:tcW w:w="5000" w:type="pct"/>
            <w:vAlign w:val="center"/>
          </w:tcPr>
          <w:p w:rsidR="000129A7" w:rsidRPr="0022670B" w:rsidRDefault="000129A7" w:rsidP="00E32F6A">
            <w:pPr>
              <w:ind w:firstLine="301"/>
              <w:jc w:val="center"/>
              <w:rPr>
                <w:rFonts w:ascii="Times New Roman" w:hAnsi="Times New Roman" w:cs="Times New Roman"/>
                <w:sz w:val="28"/>
                <w:szCs w:val="28"/>
              </w:rPr>
            </w:pPr>
            <w:r w:rsidRPr="0022670B">
              <w:rPr>
                <w:rFonts w:ascii="Times New Roman" w:hAnsi="Times New Roman" w:cs="Times New Roman"/>
                <w:sz w:val="28"/>
                <w:szCs w:val="28"/>
              </w:rPr>
              <w:t>Projekts šo jomu neskar.</w:t>
            </w:r>
          </w:p>
        </w:tc>
      </w:tr>
    </w:tbl>
    <w:p w:rsidR="000129A7" w:rsidRDefault="000129A7" w:rsidP="00200213">
      <w:pPr>
        <w:pStyle w:val="naisf"/>
        <w:spacing w:before="0" w:after="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94"/>
        <w:gridCol w:w="3665"/>
        <w:gridCol w:w="4868"/>
      </w:tblGrid>
      <w:tr w:rsidR="00BF286E" w:rsidRPr="004316E5" w:rsidTr="00BF286E">
        <w:tc>
          <w:tcPr>
            <w:tcW w:w="4914" w:type="pct"/>
            <w:gridSpan w:val="3"/>
            <w:tcBorders>
              <w:top w:val="single" w:sz="4" w:space="0" w:color="auto"/>
            </w:tcBorders>
          </w:tcPr>
          <w:p w:rsidR="00BF286E" w:rsidRPr="004316E5" w:rsidRDefault="00BF286E" w:rsidP="00BF286E">
            <w:pPr>
              <w:pStyle w:val="naisnod"/>
              <w:spacing w:before="0" w:after="0"/>
              <w:ind w:left="-170" w:right="57"/>
              <w:rPr>
                <w:sz w:val="28"/>
                <w:szCs w:val="28"/>
              </w:rPr>
            </w:pPr>
            <w:r w:rsidRPr="004316E5">
              <w:rPr>
                <w:sz w:val="28"/>
                <w:szCs w:val="28"/>
              </w:rPr>
              <w:t>VII. Tiesību akta projekta izpildes nodrošināšana un tās ietekme uz institūcijām</w:t>
            </w:r>
          </w:p>
        </w:tc>
      </w:tr>
      <w:tr w:rsidR="00BF286E" w:rsidRPr="004316E5" w:rsidTr="00BF286E">
        <w:trPr>
          <w:trHeight w:val="427"/>
        </w:trPr>
        <w:tc>
          <w:tcPr>
            <w:tcW w:w="320" w:type="pct"/>
          </w:tcPr>
          <w:p w:rsidR="00BF286E" w:rsidRPr="004316E5" w:rsidRDefault="00BF286E" w:rsidP="00BF286E">
            <w:pPr>
              <w:pStyle w:val="naisnod"/>
              <w:spacing w:before="0" w:after="0"/>
              <w:ind w:left="57" w:right="57"/>
              <w:rPr>
                <w:b w:val="0"/>
                <w:sz w:val="28"/>
                <w:szCs w:val="28"/>
              </w:rPr>
            </w:pPr>
            <w:r w:rsidRPr="004316E5">
              <w:rPr>
                <w:b w:val="0"/>
                <w:sz w:val="28"/>
                <w:szCs w:val="28"/>
              </w:rPr>
              <w:t>1.</w:t>
            </w:r>
          </w:p>
        </w:tc>
        <w:tc>
          <w:tcPr>
            <w:tcW w:w="1973" w:type="pct"/>
          </w:tcPr>
          <w:p w:rsidR="00BF286E" w:rsidRPr="004316E5" w:rsidRDefault="00BF286E" w:rsidP="00BF286E">
            <w:pPr>
              <w:pStyle w:val="naisf"/>
              <w:spacing w:before="0" w:after="0"/>
              <w:ind w:left="57" w:right="57" w:firstLine="0"/>
              <w:jc w:val="left"/>
              <w:rPr>
                <w:sz w:val="28"/>
                <w:szCs w:val="28"/>
              </w:rPr>
            </w:pPr>
            <w:r w:rsidRPr="004316E5">
              <w:rPr>
                <w:sz w:val="28"/>
                <w:szCs w:val="28"/>
              </w:rPr>
              <w:t xml:space="preserve">Projekta izpildē iesaistītās institūcijas </w:t>
            </w:r>
          </w:p>
        </w:tc>
        <w:tc>
          <w:tcPr>
            <w:tcW w:w="2620" w:type="pct"/>
          </w:tcPr>
          <w:p w:rsidR="00BF286E" w:rsidRPr="009B6995" w:rsidRDefault="00BF286E" w:rsidP="009B6995">
            <w:pPr>
              <w:spacing w:after="0" w:line="240" w:lineRule="auto"/>
              <w:jc w:val="both"/>
              <w:rPr>
                <w:rFonts w:ascii="Times New Roman" w:hAnsi="Times New Roman" w:cs="Times New Roman"/>
                <w:sz w:val="28"/>
                <w:szCs w:val="28"/>
              </w:rPr>
            </w:pPr>
            <w:r w:rsidRPr="009B6995">
              <w:rPr>
                <w:rFonts w:ascii="Times New Roman" w:hAnsi="Times New Roman" w:cs="Times New Roman"/>
                <w:color w:val="000000"/>
                <w:sz w:val="28"/>
                <w:szCs w:val="28"/>
              </w:rPr>
              <w:t xml:space="preserve">Kultūras ministrija, Ekonomikas ministrija, Zemkopības ministrija, Iekšlietu ministrija, Veselības ministrija, </w:t>
            </w:r>
            <w:r w:rsidRPr="009B6995">
              <w:rPr>
                <w:rFonts w:ascii="Times New Roman" w:hAnsi="Times New Roman" w:cs="Times New Roman"/>
                <w:color w:val="000000"/>
                <w:sz w:val="28"/>
                <w:szCs w:val="28"/>
              </w:rPr>
              <w:lastRenderedPageBreak/>
              <w:t>Vides aizsardzības un reģionālās attīstības ministrija, Izglītības un zinātnes ministrija, Ārlietu ministrija, Labklājības ministrija</w:t>
            </w:r>
            <w:r w:rsidR="009B6995" w:rsidRPr="009B6995">
              <w:rPr>
                <w:rFonts w:ascii="Times New Roman" w:hAnsi="Times New Roman" w:cs="Times New Roman"/>
                <w:color w:val="000000"/>
                <w:sz w:val="28"/>
                <w:szCs w:val="28"/>
              </w:rPr>
              <w:t xml:space="preserve">, </w:t>
            </w:r>
            <w:r w:rsidR="009B6995" w:rsidRPr="009B6995">
              <w:rPr>
                <w:rFonts w:ascii="Times New Roman" w:hAnsi="Times New Roman" w:cs="Times New Roman"/>
                <w:sz w:val="28"/>
                <w:szCs w:val="28"/>
              </w:rPr>
              <w:t>Cēsu novada dome, Jelgavas pilsētas dome</w:t>
            </w:r>
            <w:r w:rsidR="009B6995" w:rsidRPr="009B6995">
              <w:rPr>
                <w:rFonts w:ascii="Times New Roman" w:hAnsi="Times New Roman" w:cs="Times New Roman"/>
                <w:color w:val="000000"/>
                <w:sz w:val="28"/>
                <w:szCs w:val="28"/>
              </w:rPr>
              <w:t xml:space="preserve">, </w:t>
            </w:r>
            <w:r w:rsidR="009B6995" w:rsidRPr="009B6995">
              <w:rPr>
                <w:rFonts w:ascii="Times New Roman" w:hAnsi="Times New Roman" w:cs="Times New Roman"/>
                <w:sz w:val="28"/>
                <w:szCs w:val="28"/>
              </w:rPr>
              <w:t>Liepājas pilsētas dome, Valkas novada dome, Valmieras pilsētas dome</w:t>
            </w:r>
            <w:r w:rsidR="00294098" w:rsidRPr="009B6995">
              <w:rPr>
                <w:rFonts w:ascii="Times New Roman" w:hAnsi="Times New Roman" w:cs="Times New Roman"/>
                <w:color w:val="000000"/>
                <w:sz w:val="28"/>
                <w:szCs w:val="28"/>
              </w:rPr>
              <w:t>.</w:t>
            </w:r>
          </w:p>
        </w:tc>
      </w:tr>
      <w:tr w:rsidR="00BF286E" w:rsidRPr="004316E5" w:rsidTr="00BF286E">
        <w:trPr>
          <w:trHeight w:val="463"/>
        </w:trPr>
        <w:tc>
          <w:tcPr>
            <w:tcW w:w="320" w:type="pct"/>
          </w:tcPr>
          <w:p w:rsidR="00BF286E" w:rsidRPr="004316E5" w:rsidRDefault="00BF286E" w:rsidP="00BF286E">
            <w:pPr>
              <w:pStyle w:val="naisnod"/>
              <w:spacing w:before="0" w:after="0"/>
              <w:ind w:left="57" w:right="57"/>
              <w:rPr>
                <w:b w:val="0"/>
                <w:sz w:val="28"/>
                <w:szCs w:val="28"/>
              </w:rPr>
            </w:pPr>
            <w:r w:rsidRPr="004316E5">
              <w:rPr>
                <w:b w:val="0"/>
                <w:sz w:val="28"/>
                <w:szCs w:val="28"/>
              </w:rPr>
              <w:lastRenderedPageBreak/>
              <w:t>2.</w:t>
            </w:r>
          </w:p>
        </w:tc>
        <w:tc>
          <w:tcPr>
            <w:tcW w:w="1973" w:type="pct"/>
          </w:tcPr>
          <w:p w:rsidR="00BF286E" w:rsidRPr="004316E5" w:rsidRDefault="00BF286E" w:rsidP="00BF286E">
            <w:pPr>
              <w:pStyle w:val="naisf"/>
              <w:spacing w:before="0" w:after="0"/>
              <w:ind w:left="57" w:right="57" w:firstLine="0"/>
              <w:jc w:val="left"/>
              <w:rPr>
                <w:sz w:val="28"/>
                <w:szCs w:val="28"/>
              </w:rPr>
            </w:pPr>
            <w:r w:rsidRPr="004316E5">
              <w:rPr>
                <w:sz w:val="28"/>
                <w:szCs w:val="28"/>
              </w:rPr>
              <w:t>Projekta izpildes ietekme uz pārvaldes funkcijām un institucionālo struktūru.</w:t>
            </w:r>
          </w:p>
          <w:p w:rsidR="00BF286E" w:rsidRPr="004316E5" w:rsidRDefault="00BF286E" w:rsidP="00BF286E">
            <w:pPr>
              <w:pStyle w:val="naisf"/>
              <w:spacing w:before="0" w:after="0"/>
              <w:ind w:left="57" w:right="57" w:firstLine="0"/>
              <w:jc w:val="left"/>
              <w:rPr>
                <w:sz w:val="28"/>
                <w:szCs w:val="28"/>
              </w:rPr>
            </w:pPr>
            <w:r w:rsidRPr="004316E5">
              <w:rPr>
                <w:sz w:val="28"/>
                <w:szCs w:val="28"/>
              </w:rPr>
              <w:t>Jaunu institūciju izveide, esošu institūciju likvidācija vai reorganizācija, to ietekme uz institūcijas cilvēkresursiem</w:t>
            </w:r>
          </w:p>
        </w:tc>
        <w:tc>
          <w:tcPr>
            <w:tcW w:w="2620" w:type="pct"/>
          </w:tcPr>
          <w:p w:rsidR="00BF286E" w:rsidRPr="004316E5" w:rsidRDefault="00BF286E" w:rsidP="00BF286E">
            <w:pPr>
              <w:tabs>
                <w:tab w:val="left" w:pos="0"/>
              </w:tabs>
              <w:spacing w:after="0" w:line="240" w:lineRule="auto"/>
              <w:jc w:val="both"/>
              <w:rPr>
                <w:rFonts w:ascii="Times New Roman" w:hAnsi="Times New Roman" w:cs="Times New Roman"/>
                <w:sz w:val="28"/>
                <w:szCs w:val="28"/>
              </w:rPr>
            </w:pPr>
            <w:r w:rsidRPr="004316E5">
              <w:rPr>
                <w:rFonts w:ascii="Times New Roman" w:hAnsi="Times New Roman" w:cs="Times New Roman"/>
                <w:sz w:val="28"/>
                <w:szCs w:val="28"/>
              </w:rPr>
              <w:t xml:space="preserve">Projekts šo jomu neskar. </w:t>
            </w:r>
          </w:p>
        </w:tc>
      </w:tr>
      <w:tr w:rsidR="00BF286E" w:rsidRPr="004316E5" w:rsidTr="00BF286E">
        <w:trPr>
          <w:trHeight w:val="476"/>
        </w:trPr>
        <w:tc>
          <w:tcPr>
            <w:tcW w:w="320" w:type="pct"/>
          </w:tcPr>
          <w:p w:rsidR="00BF286E" w:rsidRPr="004316E5" w:rsidRDefault="00BF286E" w:rsidP="00BF286E">
            <w:pPr>
              <w:pStyle w:val="naiskr"/>
              <w:spacing w:before="0" w:after="0"/>
              <w:ind w:left="57" w:right="57"/>
              <w:jc w:val="center"/>
              <w:rPr>
                <w:sz w:val="28"/>
                <w:szCs w:val="28"/>
              </w:rPr>
            </w:pPr>
            <w:r w:rsidRPr="004316E5">
              <w:rPr>
                <w:sz w:val="28"/>
                <w:szCs w:val="28"/>
              </w:rPr>
              <w:t>3.</w:t>
            </w:r>
          </w:p>
        </w:tc>
        <w:tc>
          <w:tcPr>
            <w:tcW w:w="1973" w:type="pct"/>
          </w:tcPr>
          <w:p w:rsidR="00BF286E" w:rsidRPr="004316E5" w:rsidRDefault="00BF286E" w:rsidP="00BF286E">
            <w:pPr>
              <w:pStyle w:val="naiskr"/>
              <w:spacing w:before="0" w:after="0"/>
              <w:ind w:left="57" w:right="57"/>
              <w:rPr>
                <w:sz w:val="28"/>
                <w:szCs w:val="28"/>
              </w:rPr>
            </w:pPr>
            <w:r w:rsidRPr="004316E5">
              <w:rPr>
                <w:sz w:val="28"/>
                <w:szCs w:val="28"/>
              </w:rPr>
              <w:t>Cita informācija</w:t>
            </w:r>
          </w:p>
        </w:tc>
        <w:tc>
          <w:tcPr>
            <w:tcW w:w="2620" w:type="pct"/>
          </w:tcPr>
          <w:p w:rsidR="00BF286E" w:rsidRPr="004316E5" w:rsidRDefault="00BF286E" w:rsidP="00BF286E">
            <w:pPr>
              <w:tabs>
                <w:tab w:val="left" w:pos="0"/>
              </w:tabs>
              <w:spacing w:after="0" w:line="240" w:lineRule="auto"/>
              <w:rPr>
                <w:rFonts w:ascii="Times New Roman" w:hAnsi="Times New Roman" w:cs="Times New Roman"/>
                <w:sz w:val="28"/>
                <w:szCs w:val="28"/>
              </w:rPr>
            </w:pPr>
            <w:r w:rsidRPr="004316E5">
              <w:rPr>
                <w:rFonts w:ascii="Times New Roman" w:hAnsi="Times New Roman" w:cs="Times New Roman"/>
                <w:sz w:val="28"/>
                <w:szCs w:val="28"/>
              </w:rPr>
              <w:t>Nav</w:t>
            </w:r>
          </w:p>
        </w:tc>
      </w:tr>
    </w:tbl>
    <w:p w:rsidR="00BF286E" w:rsidRDefault="00BF286E" w:rsidP="00200213">
      <w:pPr>
        <w:pStyle w:val="naisf"/>
        <w:spacing w:before="0" w:after="0"/>
        <w:rPr>
          <w:sz w:val="28"/>
          <w:szCs w:val="28"/>
        </w:rPr>
      </w:pPr>
    </w:p>
    <w:p w:rsidR="004A643A" w:rsidRDefault="004A643A" w:rsidP="00200213">
      <w:pPr>
        <w:pStyle w:val="naisf"/>
        <w:spacing w:before="0" w:after="0"/>
        <w:rPr>
          <w:sz w:val="28"/>
          <w:szCs w:val="28"/>
        </w:rPr>
      </w:pPr>
    </w:p>
    <w:p w:rsidR="0099759D" w:rsidRPr="004316E5" w:rsidRDefault="0099759D" w:rsidP="00200213">
      <w:pPr>
        <w:pStyle w:val="naisf"/>
        <w:spacing w:before="0" w:after="0"/>
        <w:ind w:left="142" w:firstLine="0"/>
        <w:rPr>
          <w:sz w:val="28"/>
          <w:szCs w:val="28"/>
        </w:rPr>
      </w:pPr>
      <w:r w:rsidRPr="004316E5">
        <w:rPr>
          <w:sz w:val="28"/>
          <w:szCs w:val="28"/>
        </w:rPr>
        <w:t xml:space="preserve">Kultūras ministre </w:t>
      </w:r>
      <w:r w:rsidRPr="004316E5">
        <w:rPr>
          <w:sz w:val="28"/>
          <w:szCs w:val="28"/>
        </w:rPr>
        <w:tab/>
      </w:r>
      <w:r w:rsidRPr="004316E5">
        <w:rPr>
          <w:sz w:val="28"/>
          <w:szCs w:val="28"/>
        </w:rPr>
        <w:tab/>
      </w:r>
      <w:r w:rsidRPr="004316E5">
        <w:rPr>
          <w:sz w:val="28"/>
          <w:szCs w:val="28"/>
        </w:rPr>
        <w:tab/>
        <w:t xml:space="preserve"> </w:t>
      </w:r>
      <w:r w:rsidRPr="004316E5">
        <w:rPr>
          <w:sz w:val="28"/>
          <w:szCs w:val="28"/>
        </w:rPr>
        <w:tab/>
      </w:r>
      <w:r w:rsidRPr="004316E5">
        <w:rPr>
          <w:sz w:val="28"/>
          <w:szCs w:val="28"/>
        </w:rPr>
        <w:tab/>
      </w:r>
      <w:r w:rsidRPr="004316E5">
        <w:rPr>
          <w:sz w:val="28"/>
          <w:szCs w:val="28"/>
        </w:rPr>
        <w:tab/>
      </w:r>
      <w:r w:rsidR="00200213">
        <w:rPr>
          <w:sz w:val="28"/>
          <w:szCs w:val="28"/>
        </w:rPr>
        <w:tab/>
        <w:t>D.</w:t>
      </w:r>
      <w:r w:rsidRPr="004316E5">
        <w:rPr>
          <w:sz w:val="28"/>
          <w:szCs w:val="28"/>
        </w:rPr>
        <w:t>Melbārde</w:t>
      </w:r>
    </w:p>
    <w:p w:rsidR="0099759D" w:rsidRPr="004316E5" w:rsidRDefault="0099759D" w:rsidP="00200213">
      <w:pPr>
        <w:pStyle w:val="naisf"/>
        <w:spacing w:before="0" w:after="0"/>
        <w:ind w:left="142" w:firstLine="0"/>
        <w:rPr>
          <w:sz w:val="28"/>
          <w:szCs w:val="28"/>
        </w:rPr>
      </w:pPr>
    </w:p>
    <w:p w:rsidR="0099759D" w:rsidRPr="004316E5" w:rsidRDefault="00200213" w:rsidP="0099759D">
      <w:pPr>
        <w:pStyle w:val="naisf"/>
        <w:spacing w:before="0" w:after="0"/>
        <w:ind w:left="142" w:firstLine="0"/>
        <w:rPr>
          <w:sz w:val="28"/>
          <w:szCs w:val="28"/>
        </w:rPr>
      </w:pPr>
      <w:r>
        <w:rPr>
          <w:sz w:val="28"/>
          <w:szCs w:val="28"/>
        </w:rPr>
        <w:t>Vīza: Valsts sekretārs</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S.</w:t>
      </w:r>
      <w:r w:rsidR="0099759D" w:rsidRPr="004316E5">
        <w:rPr>
          <w:sz w:val="28"/>
          <w:szCs w:val="28"/>
        </w:rPr>
        <w:t>Voldiņš</w:t>
      </w:r>
    </w:p>
    <w:p w:rsidR="00B02280" w:rsidRDefault="00B02280"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FC7CE1" w:rsidRDefault="00FC7CE1" w:rsidP="00D7206B">
      <w:pPr>
        <w:pStyle w:val="Galvene"/>
        <w:tabs>
          <w:tab w:val="clear" w:pos="4153"/>
          <w:tab w:val="clear" w:pos="8306"/>
          <w:tab w:val="center" w:pos="4535"/>
        </w:tabs>
        <w:rPr>
          <w:sz w:val="22"/>
          <w:szCs w:val="22"/>
        </w:rPr>
      </w:pPr>
    </w:p>
    <w:p w:rsidR="0099759D" w:rsidRPr="00FB45E8" w:rsidRDefault="00D60EC6" w:rsidP="00D7206B">
      <w:pPr>
        <w:spacing w:after="0" w:line="240" w:lineRule="auto"/>
        <w:rPr>
          <w:rFonts w:ascii="Times New Roman" w:hAnsi="Times New Roman" w:cs="Times New Roman"/>
          <w:sz w:val="20"/>
          <w:szCs w:val="20"/>
        </w:rPr>
      </w:pPr>
      <w:bookmarkStart w:id="4" w:name="OLE_LINK9"/>
      <w:bookmarkStart w:id="5" w:name="OLE_LINK10"/>
      <w:bookmarkStart w:id="6" w:name="OLE_LINK8"/>
      <w:r w:rsidRPr="00D60EC6">
        <w:rPr>
          <w:rFonts w:ascii="Times New Roman" w:hAnsi="Times New Roman" w:cs="Times New Roman"/>
          <w:sz w:val="20"/>
          <w:szCs w:val="20"/>
        </w:rPr>
        <w:t>Tormane,67330323</w:t>
      </w:r>
    </w:p>
    <w:p w:rsidR="0099759D" w:rsidRPr="00FB45E8" w:rsidRDefault="00D22419" w:rsidP="009230D5">
      <w:pPr>
        <w:pStyle w:val="Galvene"/>
        <w:rPr>
          <w:sz w:val="20"/>
          <w:szCs w:val="20"/>
        </w:rPr>
      </w:pPr>
      <w:hyperlink r:id="rId8" w:history="1">
        <w:r w:rsidR="00D60EC6" w:rsidRPr="00D60EC6">
          <w:rPr>
            <w:rStyle w:val="Hipersaite"/>
            <w:sz w:val="20"/>
            <w:szCs w:val="20"/>
          </w:rPr>
          <w:t>Ilze.Tormane@km.gov.lv</w:t>
        </w:r>
      </w:hyperlink>
      <w:bookmarkEnd w:id="4"/>
      <w:bookmarkEnd w:id="5"/>
      <w:bookmarkEnd w:id="6"/>
    </w:p>
    <w:sectPr w:rsidR="0099759D" w:rsidRPr="00FB45E8" w:rsidSect="0004463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70B" w:rsidRDefault="0022670B" w:rsidP="00475885">
      <w:pPr>
        <w:spacing w:after="0" w:line="240" w:lineRule="auto"/>
      </w:pPr>
      <w:r>
        <w:separator/>
      </w:r>
    </w:p>
  </w:endnote>
  <w:endnote w:type="continuationSeparator" w:id="0">
    <w:p w:rsidR="0022670B" w:rsidRDefault="0022670B" w:rsidP="0047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93" w:rsidRDefault="00B06393">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0B" w:rsidRPr="0022670B" w:rsidRDefault="00D22419" w:rsidP="00CA3F27">
    <w:pPr>
      <w:pStyle w:val="Kjene"/>
      <w:jc w:val="both"/>
      <w:rPr>
        <w:sz w:val="20"/>
        <w:szCs w:val="20"/>
      </w:rPr>
    </w:pPr>
    <w:fldSimple w:instr=" FILENAME   \* MERGEFORMAT ">
      <w:r w:rsidR="005433BB">
        <w:rPr>
          <w:noProof/>
          <w:sz w:val="20"/>
          <w:szCs w:val="20"/>
        </w:rPr>
        <w:t>KMAnot_1</w:t>
      </w:r>
      <w:r w:rsidR="00B06393">
        <w:rPr>
          <w:noProof/>
          <w:sz w:val="20"/>
          <w:szCs w:val="20"/>
        </w:rPr>
        <w:t>3</w:t>
      </w:r>
      <w:r w:rsidR="005433BB">
        <w:rPr>
          <w:noProof/>
          <w:sz w:val="20"/>
          <w:szCs w:val="20"/>
        </w:rPr>
        <w:t>11</w:t>
      </w:r>
      <w:r w:rsidR="0004463B">
        <w:rPr>
          <w:noProof/>
          <w:sz w:val="20"/>
          <w:szCs w:val="20"/>
        </w:rPr>
        <w:t>17_grozijums_Nr_769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0B" w:rsidRPr="0004463B" w:rsidRDefault="00D22419" w:rsidP="0004463B">
    <w:pPr>
      <w:pStyle w:val="Kjene"/>
      <w:rPr>
        <w:sz w:val="20"/>
        <w:szCs w:val="20"/>
      </w:rPr>
    </w:pPr>
    <w:fldSimple w:instr=" FILENAME   \* MERGEFORMAT ">
      <w:r w:rsidR="00B06393">
        <w:rPr>
          <w:noProof/>
          <w:sz w:val="20"/>
          <w:szCs w:val="20"/>
        </w:rPr>
        <w:t>KMAnot_13</w:t>
      </w:r>
      <w:r w:rsidR="005433BB">
        <w:rPr>
          <w:noProof/>
          <w:sz w:val="20"/>
          <w:szCs w:val="20"/>
        </w:rPr>
        <w:t>11</w:t>
      </w:r>
      <w:r w:rsidR="0004463B" w:rsidRPr="0004463B">
        <w:rPr>
          <w:noProof/>
          <w:sz w:val="20"/>
          <w:szCs w:val="20"/>
        </w:rPr>
        <w:t>17_grozijums_Nr_769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70B" w:rsidRDefault="0022670B" w:rsidP="00475885">
      <w:pPr>
        <w:spacing w:after="0" w:line="240" w:lineRule="auto"/>
      </w:pPr>
      <w:r>
        <w:separator/>
      </w:r>
    </w:p>
  </w:footnote>
  <w:footnote w:type="continuationSeparator" w:id="0">
    <w:p w:rsidR="0022670B" w:rsidRDefault="0022670B" w:rsidP="0047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93" w:rsidRDefault="00B0639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33102"/>
      <w:docPartObj>
        <w:docPartGallery w:val="Page Numbers (Top of Page)"/>
        <w:docPartUnique/>
      </w:docPartObj>
    </w:sdtPr>
    <w:sdtEndPr>
      <w:rPr>
        <w:sz w:val="22"/>
        <w:szCs w:val="22"/>
      </w:rPr>
    </w:sdtEndPr>
    <w:sdtContent>
      <w:p w:rsidR="0022670B" w:rsidRDefault="00D22419">
        <w:pPr>
          <w:pStyle w:val="Galvene"/>
          <w:jc w:val="center"/>
        </w:pPr>
        <w:r w:rsidRPr="00200213">
          <w:rPr>
            <w:sz w:val="22"/>
            <w:szCs w:val="22"/>
          </w:rPr>
          <w:fldChar w:fldCharType="begin"/>
        </w:r>
        <w:r w:rsidR="0022670B" w:rsidRPr="00200213">
          <w:rPr>
            <w:sz w:val="22"/>
            <w:szCs w:val="22"/>
          </w:rPr>
          <w:instrText xml:space="preserve"> PAGE   \* MERGEFORMAT </w:instrText>
        </w:r>
        <w:r w:rsidRPr="00200213">
          <w:rPr>
            <w:sz w:val="22"/>
            <w:szCs w:val="22"/>
          </w:rPr>
          <w:fldChar w:fldCharType="separate"/>
        </w:r>
        <w:r w:rsidR="00EC7089">
          <w:rPr>
            <w:noProof/>
            <w:sz w:val="22"/>
            <w:szCs w:val="22"/>
          </w:rPr>
          <w:t>5</w:t>
        </w:r>
        <w:r w:rsidRPr="00200213">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93" w:rsidRDefault="00B0639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31FB4"/>
    <w:multiLevelType w:val="hybridMultilevel"/>
    <w:tmpl w:val="8FAC3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C1F3217"/>
    <w:multiLevelType w:val="hybridMultilevel"/>
    <w:tmpl w:val="A9DE5DA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759D"/>
    <w:rsid w:val="000001A5"/>
    <w:rsid w:val="000129A7"/>
    <w:rsid w:val="00020740"/>
    <w:rsid w:val="00030231"/>
    <w:rsid w:val="0004463B"/>
    <w:rsid w:val="00054AC0"/>
    <w:rsid w:val="00072228"/>
    <w:rsid w:val="00072BBC"/>
    <w:rsid w:val="00094AF4"/>
    <w:rsid w:val="000C4B6E"/>
    <w:rsid w:val="000D5211"/>
    <w:rsid w:val="000E3DF1"/>
    <w:rsid w:val="000F1880"/>
    <w:rsid w:val="00105807"/>
    <w:rsid w:val="00135D8F"/>
    <w:rsid w:val="00136356"/>
    <w:rsid w:val="00143FC7"/>
    <w:rsid w:val="0014664E"/>
    <w:rsid w:val="00160C23"/>
    <w:rsid w:val="001610FA"/>
    <w:rsid w:val="00177A4F"/>
    <w:rsid w:val="0018764F"/>
    <w:rsid w:val="00196F4B"/>
    <w:rsid w:val="001A12FC"/>
    <w:rsid w:val="001A4A7A"/>
    <w:rsid w:val="001B7647"/>
    <w:rsid w:val="00200213"/>
    <w:rsid w:val="002015E9"/>
    <w:rsid w:val="00206E2A"/>
    <w:rsid w:val="00211A02"/>
    <w:rsid w:val="00214EC7"/>
    <w:rsid w:val="00225F4E"/>
    <w:rsid w:val="0022670B"/>
    <w:rsid w:val="00294098"/>
    <w:rsid w:val="002A2F43"/>
    <w:rsid w:val="002F59D7"/>
    <w:rsid w:val="00320C92"/>
    <w:rsid w:val="00322861"/>
    <w:rsid w:val="003658EF"/>
    <w:rsid w:val="00370DC1"/>
    <w:rsid w:val="003A0C05"/>
    <w:rsid w:val="003B2445"/>
    <w:rsid w:val="003B2F57"/>
    <w:rsid w:val="004225FD"/>
    <w:rsid w:val="004315A3"/>
    <w:rsid w:val="004316E5"/>
    <w:rsid w:val="0043219A"/>
    <w:rsid w:val="00446842"/>
    <w:rsid w:val="0045103F"/>
    <w:rsid w:val="004516A4"/>
    <w:rsid w:val="00475885"/>
    <w:rsid w:val="00476B69"/>
    <w:rsid w:val="004839E2"/>
    <w:rsid w:val="004A5657"/>
    <w:rsid w:val="004A643A"/>
    <w:rsid w:val="0050420C"/>
    <w:rsid w:val="00527CC8"/>
    <w:rsid w:val="00537A0E"/>
    <w:rsid w:val="005433BB"/>
    <w:rsid w:val="005528BC"/>
    <w:rsid w:val="00562200"/>
    <w:rsid w:val="0057035B"/>
    <w:rsid w:val="00573522"/>
    <w:rsid w:val="00581E67"/>
    <w:rsid w:val="005846B5"/>
    <w:rsid w:val="0058536B"/>
    <w:rsid w:val="00587EDD"/>
    <w:rsid w:val="005B2518"/>
    <w:rsid w:val="005B4EAD"/>
    <w:rsid w:val="005C1118"/>
    <w:rsid w:val="005D59D7"/>
    <w:rsid w:val="005E3090"/>
    <w:rsid w:val="005E62F2"/>
    <w:rsid w:val="00613746"/>
    <w:rsid w:val="00615A06"/>
    <w:rsid w:val="006227C9"/>
    <w:rsid w:val="006400D9"/>
    <w:rsid w:val="00645C5E"/>
    <w:rsid w:val="006636A4"/>
    <w:rsid w:val="006A22B4"/>
    <w:rsid w:val="006C6DD7"/>
    <w:rsid w:val="006D7BE0"/>
    <w:rsid w:val="007118A1"/>
    <w:rsid w:val="00747389"/>
    <w:rsid w:val="007716ED"/>
    <w:rsid w:val="007B12BB"/>
    <w:rsid w:val="007C09F9"/>
    <w:rsid w:val="007D1D22"/>
    <w:rsid w:val="007E4617"/>
    <w:rsid w:val="008058EF"/>
    <w:rsid w:val="00815C35"/>
    <w:rsid w:val="00837783"/>
    <w:rsid w:val="008627F0"/>
    <w:rsid w:val="00867C26"/>
    <w:rsid w:val="00870BB4"/>
    <w:rsid w:val="00886249"/>
    <w:rsid w:val="008A2EF9"/>
    <w:rsid w:val="008A3B02"/>
    <w:rsid w:val="008B1DF2"/>
    <w:rsid w:val="008D3C54"/>
    <w:rsid w:val="008D5239"/>
    <w:rsid w:val="008F39B6"/>
    <w:rsid w:val="009143EF"/>
    <w:rsid w:val="009230D5"/>
    <w:rsid w:val="00934A30"/>
    <w:rsid w:val="00954886"/>
    <w:rsid w:val="00973513"/>
    <w:rsid w:val="00975E3A"/>
    <w:rsid w:val="00980D4D"/>
    <w:rsid w:val="0099759D"/>
    <w:rsid w:val="009B0E89"/>
    <w:rsid w:val="009B45C4"/>
    <w:rsid w:val="009B6995"/>
    <w:rsid w:val="009C0EAE"/>
    <w:rsid w:val="009C1B2A"/>
    <w:rsid w:val="00A03012"/>
    <w:rsid w:val="00A07338"/>
    <w:rsid w:val="00A07D15"/>
    <w:rsid w:val="00A13B64"/>
    <w:rsid w:val="00A15FBE"/>
    <w:rsid w:val="00A2186E"/>
    <w:rsid w:val="00A430EE"/>
    <w:rsid w:val="00B0227A"/>
    <w:rsid w:val="00B02280"/>
    <w:rsid w:val="00B039DD"/>
    <w:rsid w:val="00B06393"/>
    <w:rsid w:val="00B2004B"/>
    <w:rsid w:val="00B203C0"/>
    <w:rsid w:val="00B2056D"/>
    <w:rsid w:val="00B33ADC"/>
    <w:rsid w:val="00B45337"/>
    <w:rsid w:val="00B45CDD"/>
    <w:rsid w:val="00B6470F"/>
    <w:rsid w:val="00B6554B"/>
    <w:rsid w:val="00B73001"/>
    <w:rsid w:val="00B77714"/>
    <w:rsid w:val="00B9460E"/>
    <w:rsid w:val="00BB6F3B"/>
    <w:rsid w:val="00BE4CDD"/>
    <w:rsid w:val="00BE731A"/>
    <w:rsid w:val="00BF286E"/>
    <w:rsid w:val="00C02A70"/>
    <w:rsid w:val="00C060C5"/>
    <w:rsid w:val="00C15118"/>
    <w:rsid w:val="00C24071"/>
    <w:rsid w:val="00C25A58"/>
    <w:rsid w:val="00C3276A"/>
    <w:rsid w:val="00C37F78"/>
    <w:rsid w:val="00C739C1"/>
    <w:rsid w:val="00C77B5C"/>
    <w:rsid w:val="00CA3F27"/>
    <w:rsid w:val="00CB6848"/>
    <w:rsid w:val="00CB7317"/>
    <w:rsid w:val="00CE47E8"/>
    <w:rsid w:val="00CF13E4"/>
    <w:rsid w:val="00D061E3"/>
    <w:rsid w:val="00D22419"/>
    <w:rsid w:val="00D2599A"/>
    <w:rsid w:val="00D473C5"/>
    <w:rsid w:val="00D60EC6"/>
    <w:rsid w:val="00D7206B"/>
    <w:rsid w:val="00DC6F90"/>
    <w:rsid w:val="00DD28B8"/>
    <w:rsid w:val="00DD64D5"/>
    <w:rsid w:val="00DF4245"/>
    <w:rsid w:val="00DF7E5C"/>
    <w:rsid w:val="00E005DF"/>
    <w:rsid w:val="00E01BAE"/>
    <w:rsid w:val="00E03F9E"/>
    <w:rsid w:val="00E14B05"/>
    <w:rsid w:val="00E17807"/>
    <w:rsid w:val="00E20821"/>
    <w:rsid w:val="00E24884"/>
    <w:rsid w:val="00E26529"/>
    <w:rsid w:val="00E95CEE"/>
    <w:rsid w:val="00E96FCC"/>
    <w:rsid w:val="00EC69F4"/>
    <w:rsid w:val="00EC7089"/>
    <w:rsid w:val="00EC7756"/>
    <w:rsid w:val="00F165AA"/>
    <w:rsid w:val="00F1742C"/>
    <w:rsid w:val="00F23CF1"/>
    <w:rsid w:val="00F32555"/>
    <w:rsid w:val="00F4501C"/>
    <w:rsid w:val="00F73277"/>
    <w:rsid w:val="00FA40C9"/>
    <w:rsid w:val="00FB45E8"/>
    <w:rsid w:val="00FC2CA9"/>
    <w:rsid w:val="00FC7CE1"/>
    <w:rsid w:val="00FD345D"/>
    <w:rsid w:val="00FE192C"/>
    <w:rsid w:val="00FF0416"/>
    <w:rsid w:val="00FF1911"/>
    <w:rsid w:val="00FF1D8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C69F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ais"/>
    <w:rsid w:val="0099759D"/>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Kjene">
    <w:name w:val="footer"/>
    <w:basedOn w:val="Parastais"/>
    <w:link w:val="KjeneRakstz"/>
    <w:uiPriority w:val="99"/>
    <w:rsid w:val="0099759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99759D"/>
    <w:rPr>
      <w:rFonts w:ascii="Times New Roman" w:eastAsia="Times New Roman" w:hAnsi="Times New Roman" w:cs="Times New Roman"/>
      <w:sz w:val="24"/>
      <w:szCs w:val="24"/>
      <w:lang w:eastAsia="lv-LV"/>
    </w:rPr>
  </w:style>
  <w:style w:type="paragraph" w:styleId="Bezatstarpm">
    <w:name w:val="No Spacing"/>
    <w:uiPriority w:val="1"/>
    <w:qFormat/>
    <w:rsid w:val="0099759D"/>
    <w:pPr>
      <w:spacing w:after="0" w:line="240" w:lineRule="auto"/>
    </w:pPr>
    <w:rPr>
      <w:rFonts w:ascii="Calibri" w:eastAsia="Calibri" w:hAnsi="Calibri" w:cs="Times New Roman"/>
    </w:rPr>
  </w:style>
  <w:style w:type="paragraph" w:customStyle="1" w:styleId="tvhtml">
    <w:name w:val="tv_html"/>
    <w:basedOn w:val="Parastais"/>
    <w:rsid w:val="009975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rsid w:val="0099759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99759D"/>
    <w:rPr>
      <w:rFonts w:ascii="Times New Roman" w:eastAsia="Times New Roman" w:hAnsi="Times New Roman" w:cs="Times New Roman"/>
      <w:sz w:val="24"/>
      <w:szCs w:val="24"/>
      <w:lang w:eastAsia="lv-LV"/>
    </w:rPr>
  </w:style>
  <w:style w:type="paragraph" w:customStyle="1" w:styleId="naisf">
    <w:name w:val="naisf"/>
    <w:basedOn w:val="Parastais"/>
    <w:rsid w:val="0099759D"/>
    <w:pPr>
      <w:spacing w:before="75" w:after="75" w:line="240" w:lineRule="auto"/>
      <w:ind w:firstLine="375"/>
      <w:jc w:val="both"/>
    </w:pPr>
    <w:rPr>
      <w:rFonts w:ascii="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9975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9759D"/>
    <w:rPr>
      <w:rFonts w:ascii="Tahoma" w:hAnsi="Tahoma" w:cs="Tahoma"/>
      <w:sz w:val="16"/>
      <w:szCs w:val="16"/>
    </w:rPr>
  </w:style>
  <w:style w:type="character" w:styleId="Hipersaite">
    <w:name w:val="Hyperlink"/>
    <w:basedOn w:val="Noklusjumarindkopasfonts"/>
    <w:uiPriority w:val="99"/>
    <w:unhideWhenUsed/>
    <w:rsid w:val="0099759D"/>
    <w:rPr>
      <w:color w:val="0000FF" w:themeColor="hyperlink"/>
      <w:u w:val="single"/>
    </w:rPr>
  </w:style>
  <w:style w:type="character" w:customStyle="1" w:styleId="NoneA">
    <w:name w:val="None A"/>
    <w:rsid w:val="00BE4CDD"/>
    <w:rPr>
      <w:lang w:val="de-DE"/>
    </w:rPr>
  </w:style>
  <w:style w:type="paragraph" w:styleId="ParastaisWeb">
    <w:name w:val="Normal (Web)"/>
    <w:basedOn w:val="Parastais"/>
    <w:link w:val="ParastaisWebRakstz"/>
    <w:uiPriority w:val="99"/>
    <w:rsid w:val="002015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aisWebRakstz">
    <w:name w:val="Parastais (Web) Rakstz."/>
    <w:basedOn w:val="Noklusjumarindkopasfonts"/>
    <w:link w:val="ParastaisWeb"/>
    <w:rsid w:val="002015E9"/>
    <w:rPr>
      <w:rFonts w:ascii="Times New Roman" w:eastAsia="Times New Roman" w:hAnsi="Times New Roman" w:cs="Times New Roman"/>
      <w:sz w:val="24"/>
      <w:szCs w:val="24"/>
      <w:lang w:eastAsia="lv-LV"/>
    </w:rPr>
  </w:style>
  <w:style w:type="paragraph" w:customStyle="1" w:styleId="naisnod">
    <w:name w:val="naisnod"/>
    <w:basedOn w:val="Parastais"/>
    <w:rsid w:val="002015E9"/>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Parastais"/>
    <w:rsid w:val="002015E9"/>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ais"/>
    <w:rsid w:val="002015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ais"/>
    <w:uiPriority w:val="34"/>
    <w:qFormat/>
    <w:rsid w:val="008F39B6"/>
    <w:pPr>
      <w:ind w:left="720"/>
      <w:contextualSpacing/>
    </w:pPr>
  </w:style>
  <w:style w:type="table" w:styleId="Reatabula">
    <w:name w:val="Table Grid"/>
    <w:basedOn w:val="Parastatabula"/>
    <w:uiPriority w:val="59"/>
    <w:rsid w:val="00226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978876">
      <w:bodyDiv w:val="1"/>
      <w:marLeft w:val="0"/>
      <w:marRight w:val="0"/>
      <w:marTop w:val="0"/>
      <w:marBottom w:val="0"/>
      <w:divBdr>
        <w:top w:val="none" w:sz="0" w:space="0" w:color="auto"/>
        <w:left w:val="none" w:sz="0" w:space="0" w:color="auto"/>
        <w:bottom w:val="none" w:sz="0" w:space="0" w:color="auto"/>
        <w:right w:val="none" w:sz="0" w:space="0" w:color="auto"/>
      </w:divBdr>
      <w:divsChild>
        <w:div w:id="292368464">
          <w:marLeft w:val="0"/>
          <w:marRight w:val="0"/>
          <w:marTop w:val="0"/>
          <w:marBottom w:val="0"/>
          <w:divBdr>
            <w:top w:val="none" w:sz="0" w:space="0" w:color="auto"/>
            <w:left w:val="none" w:sz="0" w:space="0" w:color="auto"/>
            <w:bottom w:val="none" w:sz="0" w:space="0" w:color="auto"/>
            <w:right w:val="none" w:sz="0" w:space="0" w:color="auto"/>
          </w:divBdr>
          <w:divsChild>
            <w:div w:id="731197364">
              <w:marLeft w:val="0"/>
              <w:marRight w:val="0"/>
              <w:marTop w:val="0"/>
              <w:marBottom w:val="0"/>
              <w:divBdr>
                <w:top w:val="none" w:sz="0" w:space="0" w:color="auto"/>
                <w:left w:val="none" w:sz="0" w:space="0" w:color="auto"/>
                <w:bottom w:val="none" w:sz="0" w:space="0" w:color="auto"/>
                <w:right w:val="none" w:sz="0" w:space="0" w:color="auto"/>
              </w:divBdr>
              <w:divsChild>
                <w:div w:id="1841769840">
                  <w:marLeft w:val="0"/>
                  <w:marRight w:val="0"/>
                  <w:marTop w:val="0"/>
                  <w:marBottom w:val="0"/>
                  <w:divBdr>
                    <w:top w:val="none" w:sz="0" w:space="0" w:color="auto"/>
                    <w:left w:val="none" w:sz="0" w:space="0" w:color="auto"/>
                    <w:bottom w:val="none" w:sz="0" w:space="0" w:color="auto"/>
                    <w:right w:val="none" w:sz="0" w:space="0" w:color="auto"/>
                  </w:divBdr>
                  <w:divsChild>
                    <w:div w:id="1629044600">
                      <w:marLeft w:val="0"/>
                      <w:marRight w:val="0"/>
                      <w:marTop w:val="0"/>
                      <w:marBottom w:val="0"/>
                      <w:divBdr>
                        <w:top w:val="none" w:sz="0" w:space="0" w:color="auto"/>
                        <w:left w:val="none" w:sz="0" w:space="0" w:color="auto"/>
                        <w:bottom w:val="none" w:sz="0" w:space="0" w:color="auto"/>
                        <w:right w:val="none" w:sz="0" w:space="0" w:color="auto"/>
                      </w:divBdr>
                      <w:divsChild>
                        <w:div w:id="755398346">
                          <w:marLeft w:val="0"/>
                          <w:marRight w:val="0"/>
                          <w:marTop w:val="0"/>
                          <w:marBottom w:val="0"/>
                          <w:divBdr>
                            <w:top w:val="none" w:sz="0" w:space="0" w:color="auto"/>
                            <w:left w:val="none" w:sz="0" w:space="0" w:color="auto"/>
                            <w:bottom w:val="none" w:sz="0" w:space="0" w:color="auto"/>
                            <w:right w:val="none" w:sz="0" w:space="0" w:color="auto"/>
                          </w:divBdr>
                          <w:divsChild>
                            <w:div w:id="321741488">
                              <w:marLeft w:val="0"/>
                              <w:marRight w:val="0"/>
                              <w:marTop w:val="240"/>
                              <w:marBottom w:val="0"/>
                              <w:divBdr>
                                <w:top w:val="none" w:sz="0" w:space="0" w:color="auto"/>
                                <w:left w:val="none" w:sz="0" w:space="0" w:color="auto"/>
                                <w:bottom w:val="none" w:sz="0" w:space="0" w:color="auto"/>
                                <w:right w:val="none" w:sz="0" w:space="0" w:color="auto"/>
                              </w:divBdr>
                            </w:div>
                            <w:div w:id="66775704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673362">
      <w:bodyDiv w:val="1"/>
      <w:marLeft w:val="0"/>
      <w:marRight w:val="0"/>
      <w:marTop w:val="0"/>
      <w:marBottom w:val="0"/>
      <w:divBdr>
        <w:top w:val="none" w:sz="0" w:space="0" w:color="auto"/>
        <w:left w:val="none" w:sz="0" w:space="0" w:color="auto"/>
        <w:bottom w:val="none" w:sz="0" w:space="0" w:color="auto"/>
        <w:right w:val="none" w:sz="0" w:space="0" w:color="auto"/>
      </w:divBdr>
      <w:divsChild>
        <w:div w:id="1094668010">
          <w:marLeft w:val="0"/>
          <w:marRight w:val="0"/>
          <w:marTop w:val="0"/>
          <w:marBottom w:val="0"/>
          <w:divBdr>
            <w:top w:val="none" w:sz="0" w:space="0" w:color="auto"/>
            <w:left w:val="none" w:sz="0" w:space="0" w:color="auto"/>
            <w:bottom w:val="none" w:sz="0" w:space="0" w:color="auto"/>
            <w:right w:val="none" w:sz="0" w:space="0" w:color="auto"/>
          </w:divBdr>
          <w:divsChild>
            <w:div w:id="814875857">
              <w:marLeft w:val="0"/>
              <w:marRight w:val="0"/>
              <w:marTop w:val="0"/>
              <w:marBottom w:val="0"/>
              <w:divBdr>
                <w:top w:val="none" w:sz="0" w:space="0" w:color="auto"/>
                <w:left w:val="none" w:sz="0" w:space="0" w:color="auto"/>
                <w:bottom w:val="none" w:sz="0" w:space="0" w:color="auto"/>
                <w:right w:val="none" w:sz="0" w:space="0" w:color="auto"/>
              </w:divBdr>
              <w:divsChild>
                <w:div w:id="583026087">
                  <w:marLeft w:val="0"/>
                  <w:marRight w:val="0"/>
                  <w:marTop w:val="0"/>
                  <w:marBottom w:val="0"/>
                  <w:divBdr>
                    <w:top w:val="none" w:sz="0" w:space="0" w:color="auto"/>
                    <w:left w:val="none" w:sz="0" w:space="0" w:color="auto"/>
                    <w:bottom w:val="none" w:sz="0" w:space="0" w:color="auto"/>
                    <w:right w:val="none" w:sz="0" w:space="0" w:color="auto"/>
                  </w:divBdr>
                  <w:divsChild>
                    <w:div w:id="936446310">
                      <w:marLeft w:val="0"/>
                      <w:marRight w:val="0"/>
                      <w:marTop w:val="0"/>
                      <w:marBottom w:val="0"/>
                      <w:divBdr>
                        <w:top w:val="none" w:sz="0" w:space="0" w:color="auto"/>
                        <w:left w:val="none" w:sz="0" w:space="0" w:color="auto"/>
                        <w:bottom w:val="none" w:sz="0" w:space="0" w:color="auto"/>
                        <w:right w:val="none" w:sz="0" w:space="0" w:color="auto"/>
                      </w:divBdr>
                      <w:divsChild>
                        <w:div w:id="520778451">
                          <w:marLeft w:val="0"/>
                          <w:marRight w:val="0"/>
                          <w:marTop w:val="0"/>
                          <w:marBottom w:val="0"/>
                          <w:divBdr>
                            <w:top w:val="none" w:sz="0" w:space="0" w:color="auto"/>
                            <w:left w:val="none" w:sz="0" w:space="0" w:color="auto"/>
                            <w:bottom w:val="none" w:sz="0" w:space="0" w:color="auto"/>
                            <w:right w:val="none" w:sz="0" w:space="0" w:color="auto"/>
                          </w:divBdr>
                          <w:divsChild>
                            <w:div w:id="11244682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974956">
      <w:bodyDiv w:val="1"/>
      <w:marLeft w:val="0"/>
      <w:marRight w:val="0"/>
      <w:marTop w:val="0"/>
      <w:marBottom w:val="0"/>
      <w:divBdr>
        <w:top w:val="none" w:sz="0" w:space="0" w:color="auto"/>
        <w:left w:val="none" w:sz="0" w:space="0" w:color="auto"/>
        <w:bottom w:val="none" w:sz="0" w:space="0" w:color="auto"/>
        <w:right w:val="none" w:sz="0" w:space="0" w:color="auto"/>
      </w:divBdr>
      <w:divsChild>
        <w:div w:id="1204515654">
          <w:marLeft w:val="0"/>
          <w:marRight w:val="0"/>
          <w:marTop w:val="0"/>
          <w:marBottom w:val="0"/>
          <w:divBdr>
            <w:top w:val="none" w:sz="0" w:space="0" w:color="auto"/>
            <w:left w:val="none" w:sz="0" w:space="0" w:color="auto"/>
            <w:bottom w:val="none" w:sz="0" w:space="0" w:color="auto"/>
            <w:right w:val="none" w:sz="0" w:space="0" w:color="auto"/>
          </w:divBdr>
          <w:divsChild>
            <w:div w:id="1018897582">
              <w:marLeft w:val="0"/>
              <w:marRight w:val="0"/>
              <w:marTop w:val="0"/>
              <w:marBottom w:val="0"/>
              <w:divBdr>
                <w:top w:val="none" w:sz="0" w:space="0" w:color="auto"/>
                <w:left w:val="none" w:sz="0" w:space="0" w:color="auto"/>
                <w:bottom w:val="none" w:sz="0" w:space="0" w:color="auto"/>
                <w:right w:val="none" w:sz="0" w:space="0" w:color="auto"/>
              </w:divBdr>
              <w:divsChild>
                <w:div w:id="587269194">
                  <w:marLeft w:val="0"/>
                  <w:marRight w:val="0"/>
                  <w:marTop w:val="0"/>
                  <w:marBottom w:val="0"/>
                  <w:divBdr>
                    <w:top w:val="none" w:sz="0" w:space="0" w:color="auto"/>
                    <w:left w:val="none" w:sz="0" w:space="0" w:color="auto"/>
                    <w:bottom w:val="none" w:sz="0" w:space="0" w:color="auto"/>
                    <w:right w:val="none" w:sz="0" w:space="0" w:color="auto"/>
                  </w:divBdr>
                  <w:divsChild>
                    <w:div w:id="1640183282">
                      <w:marLeft w:val="0"/>
                      <w:marRight w:val="0"/>
                      <w:marTop w:val="0"/>
                      <w:marBottom w:val="0"/>
                      <w:divBdr>
                        <w:top w:val="none" w:sz="0" w:space="0" w:color="auto"/>
                        <w:left w:val="none" w:sz="0" w:space="0" w:color="auto"/>
                        <w:bottom w:val="none" w:sz="0" w:space="0" w:color="auto"/>
                        <w:right w:val="none" w:sz="0" w:space="0" w:color="auto"/>
                      </w:divBdr>
                      <w:divsChild>
                        <w:div w:id="786042874">
                          <w:marLeft w:val="0"/>
                          <w:marRight w:val="0"/>
                          <w:marTop w:val="300"/>
                          <w:marBottom w:val="0"/>
                          <w:divBdr>
                            <w:top w:val="none" w:sz="0" w:space="0" w:color="auto"/>
                            <w:left w:val="none" w:sz="0" w:space="0" w:color="auto"/>
                            <w:bottom w:val="none" w:sz="0" w:space="0" w:color="auto"/>
                            <w:right w:val="none" w:sz="0" w:space="0" w:color="auto"/>
                          </w:divBdr>
                          <w:divsChild>
                            <w:div w:id="65542190">
                              <w:marLeft w:val="0"/>
                              <w:marRight w:val="0"/>
                              <w:marTop w:val="0"/>
                              <w:marBottom w:val="0"/>
                              <w:divBdr>
                                <w:top w:val="none" w:sz="0" w:space="0" w:color="auto"/>
                                <w:left w:val="none" w:sz="0" w:space="0" w:color="auto"/>
                                <w:bottom w:val="none" w:sz="0" w:space="0" w:color="auto"/>
                                <w:right w:val="none" w:sz="0" w:space="0" w:color="auto"/>
                              </w:divBdr>
                              <w:divsChild>
                                <w:div w:id="514223672">
                                  <w:marLeft w:val="0"/>
                                  <w:marRight w:val="0"/>
                                  <w:marTop w:val="0"/>
                                  <w:marBottom w:val="0"/>
                                  <w:divBdr>
                                    <w:top w:val="none" w:sz="0" w:space="0" w:color="auto"/>
                                    <w:left w:val="none" w:sz="0" w:space="0" w:color="auto"/>
                                    <w:bottom w:val="none" w:sz="0" w:space="0" w:color="auto"/>
                                    <w:right w:val="none" w:sz="0" w:space="0" w:color="auto"/>
                                  </w:divBdr>
                                  <w:divsChild>
                                    <w:div w:id="2062510115">
                                      <w:marLeft w:val="0"/>
                                      <w:marRight w:val="0"/>
                                      <w:marTop w:val="0"/>
                                      <w:marBottom w:val="0"/>
                                      <w:divBdr>
                                        <w:top w:val="none" w:sz="0" w:space="0" w:color="auto"/>
                                        <w:left w:val="none" w:sz="0" w:space="0" w:color="auto"/>
                                        <w:bottom w:val="none" w:sz="0" w:space="0" w:color="auto"/>
                                        <w:right w:val="none" w:sz="0" w:space="0" w:color="auto"/>
                                      </w:divBdr>
                                      <w:divsChild>
                                        <w:div w:id="214582333">
                                          <w:marLeft w:val="0"/>
                                          <w:marRight w:val="0"/>
                                          <w:marTop w:val="0"/>
                                          <w:marBottom w:val="0"/>
                                          <w:divBdr>
                                            <w:top w:val="none" w:sz="0" w:space="0" w:color="auto"/>
                                            <w:left w:val="none" w:sz="0" w:space="0" w:color="auto"/>
                                            <w:bottom w:val="none" w:sz="0" w:space="0" w:color="auto"/>
                                            <w:right w:val="none" w:sz="0" w:space="0" w:color="auto"/>
                                          </w:divBdr>
                                        </w:div>
                                        <w:div w:id="478963066">
                                          <w:marLeft w:val="0"/>
                                          <w:marRight w:val="0"/>
                                          <w:marTop w:val="0"/>
                                          <w:marBottom w:val="0"/>
                                          <w:divBdr>
                                            <w:top w:val="none" w:sz="0" w:space="0" w:color="auto"/>
                                            <w:left w:val="none" w:sz="0" w:space="0" w:color="auto"/>
                                            <w:bottom w:val="none" w:sz="0" w:space="0" w:color="auto"/>
                                            <w:right w:val="none" w:sz="0" w:space="0" w:color="auto"/>
                                          </w:divBdr>
                                        </w:div>
                                        <w:div w:id="533007212">
                                          <w:marLeft w:val="0"/>
                                          <w:marRight w:val="0"/>
                                          <w:marTop w:val="0"/>
                                          <w:marBottom w:val="0"/>
                                          <w:divBdr>
                                            <w:top w:val="none" w:sz="0" w:space="0" w:color="auto"/>
                                            <w:left w:val="none" w:sz="0" w:space="0" w:color="auto"/>
                                            <w:bottom w:val="none" w:sz="0" w:space="0" w:color="auto"/>
                                            <w:right w:val="none" w:sz="0" w:space="0" w:color="auto"/>
                                          </w:divBdr>
                                        </w:div>
                                        <w:div w:id="594284126">
                                          <w:marLeft w:val="0"/>
                                          <w:marRight w:val="0"/>
                                          <w:marTop w:val="0"/>
                                          <w:marBottom w:val="0"/>
                                          <w:divBdr>
                                            <w:top w:val="none" w:sz="0" w:space="0" w:color="auto"/>
                                            <w:left w:val="none" w:sz="0" w:space="0" w:color="auto"/>
                                            <w:bottom w:val="none" w:sz="0" w:space="0" w:color="auto"/>
                                            <w:right w:val="none" w:sz="0" w:space="0" w:color="auto"/>
                                          </w:divBdr>
                                        </w:div>
                                        <w:div w:id="961375198">
                                          <w:marLeft w:val="0"/>
                                          <w:marRight w:val="0"/>
                                          <w:marTop w:val="0"/>
                                          <w:marBottom w:val="0"/>
                                          <w:divBdr>
                                            <w:top w:val="none" w:sz="0" w:space="0" w:color="auto"/>
                                            <w:left w:val="none" w:sz="0" w:space="0" w:color="auto"/>
                                            <w:bottom w:val="none" w:sz="0" w:space="0" w:color="auto"/>
                                            <w:right w:val="none" w:sz="0" w:space="0" w:color="auto"/>
                                          </w:divBdr>
                                        </w:div>
                                        <w:div w:id="983435932">
                                          <w:marLeft w:val="0"/>
                                          <w:marRight w:val="0"/>
                                          <w:marTop w:val="0"/>
                                          <w:marBottom w:val="0"/>
                                          <w:divBdr>
                                            <w:top w:val="none" w:sz="0" w:space="0" w:color="auto"/>
                                            <w:left w:val="none" w:sz="0" w:space="0" w:color="auto"/>
                                            <w:bottom w:val="none" w:sz="0" w:space="0" w:color="auto"/>
                                            <w:right w:val="none" w:sz="0" w:space="0" w:color="auto"/>
                                          </w:divBdr>
                                        </w:div>
                                        <w:div w:id="1020207083">
                                          <w:marLeft w:val="0"/>
                                          <w:marRight w:val="0"/>
                                          <w:marTop w:val="0"/>
                                          <w:marBottom w:val="0"/>
                                          <w:divBdr>
                                            <w:top w:val="none" w:sz="0" w:space="0" w:color="auto"/>
                                            <w:left w:val="none" w:sz="0" w:space="0" w:color="auto"/>
                                            <w:bottom w:val="none" w:sz="0" w:space="0" w:color="auto"/>
                                            <w:right w:val="none" w:sz="0" w:space="0" w:color="auto"/>
                                          </w:divBdr>
                                        </w:div>
                                        <w:div w:id="1543208655">
                                          <w:marLeft w:val="0"/>
                                          <w:marRight w:val="0"/>
                                          <w:marTop w:val="0"/>
                                          <w:marBottom w:val="0"/>
                                          <w:divBdr>
                                            <w:top w:val="none" w:sz="0" w:space="0" w:color="auto"/>
                                            <w:left w:val="none" w:sz="0" w:space="0" w:color="auto"/>
                                            <w:bottom w:val="none" w:sz="0" w:space="0" w:color="auto"/>
                                            <w:right w:val="none" w:sz="0" w:space="0" w:color="auto"/>
                                          </w:divBdr>
                                        </w:div>
                                        <w:div w:id="1670715755">
                                          <w:marLeft w:val="0"/>
                                          <w:marRight w:val="0"/>
                                          <w:marTop w:val="0"/>
                                          <w:marBottom w:val="0"/>
                                          <w:divBdr>
                                            <w:top w:val="none" w:sz="0" w:space="0" w:color="auto"/>
                                            <w:left w:val="none" w:sz="0" w:space="0" w:color="auto"/>
                                            <w:bottom w:val="none" w:sz="0" w:space="0" w:color="auto"/>
                                            <w:right w:val="none" w:sz="0" w:space="0" w:color="auto"/>
                                          </w:divBdr>
                                        </w:div>
                                        <w:div w:id="18294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18990">
                              <w:marLeft w:val="0"/>
                              <w:marRight w:val="0"/>
                              <w:marTop w:val="0"/>
                              <w:marBottom w:val="0"/>
                              <w:divBdr>
                                <w:top w:val="none" w:sz="0" w:space="0" w:color="auto"/>
                                <w:left w:val="none" w:sz="0" w:space="0" w:color="auto"/>
                                <w:bottom w:val="none" w:sz="0" w:space="0" w:color="auto"/>
                                <w:right w:val="none" w:sz="0" w:space="0" w:color="auto"/>
                              </w:divBdr>
                            </w:div>
                          </w:divsChild>
                        </w:div>
                        <w:div w:id="897593847">
                          <w:marLeft w:val="0"/>
                          <w:marRight w:val="0"/>
                          <w:marTop w:val="0"/>
                          <w:marBottom w:val="0"/>
                          <w:divBdr>
                            <w:top w:val="none" w:sz="0" w:space="0" w:color="auto"/>
                            <w:left w:val="none" w:sz="0" w:space="0" w:color="auto"/>
                            <w:bottom w:val="none" w:sz="0" w:space="0" w:color="auto"/>
                            <w:right w:val="none" w:sz="0" w:space="0" w:color="auto"/>
                          </w:divBdr>
                          <w:divsChild>
                            <w:div w:id="767386589">
                              <w:marLeft w:val="0"/>
                              <w:marRight w:val="0"/>
                              <w:marTop w:val="240"/>
                              <w:marBottom w:val="0"/>
                              <w:divBdr>
                                <w:top w:val="none" w:sz="0" w:space="0" w:color="auto"/>
                                <w:left w:val="none" w:sz="0" w:space="0" w:color="auto"/>
                                <w:bottom w:val="none" w:sz="0" w:space="0" w:color="auto"/>
                                <w:right w:val="none" w:sz="0" w:space="0" w:color="auto"/>
                              </w:divBdr>
                            </w:div>
                          </w:divsChild>
                        </w:div>
                        <w:div w:id="1231113087">
                          <w:marLeft w:val="0"/>
                          <w:marRight w:val="0"/>
                          <w:marTop w:val="300"/>
                          <w:marBottom w:val="0"/>
                          <w:divBdr>
                            <w:top w:val="none" w:sz="0" w:space="0" w:color="auto"/>
                            <w:left w:val="none" w:sz="0" w:space="0" w:color="auto"/>
                            <w:bottom w:val="none" w:sz="0" w:space="0" w:color="auto"/>
                            <w:right w:val="none" w:sz="0" w:space="0" w:color="auto"/>
                          </w:divBdr>
                          <w:divsChild>
                            <w:div w:id="1104767245">
                              <w:marLeft w:val="0"/>
                              <w:marRight w:val="0"/>
                              <w:marTop w:val="0"/>
                              <w:marBottom w:val="0"/>
                              <w:divBdr>
                                <w:top w:val="none" w:sz="0" w:space="0" w:color="auto"/>
                                <w:left w:val="none" w:sz="0" w:space="0" w:color="auto"/>
                                <w:bottom w:val="none" w:sz="0" w:space="0" w:color="auto"/>
                                <w:right w:val="none" w:sz="0" w:space="0" w:color="auto"/>
                              </w:divBdr>
                            </w:div>
                            <w:div w:id="1968851698">
                              <w:marLeft w:val="0"/>
                              <w:marRight w:val="0"/>
                              <w:marTop w:val="0"/>
                              <w:marBottom w:val="0"/>
                              <w:divBdr>
                                <w:top w:val="none" w:sz="0" w:space="0" w:color="auto"/>
                                <w:left w:val="none" w:sz="0" w:space="0" w:color="auto"/>
                                <w:bottom w:val="none" w:sz="0" w:space="0" w:color="auto"/>
                                <w:right w:val="none" w:sz="0" w:space="0" w:color="auto"/>
                              </w:divBdr>
                            </w:div>
                          </w:divsChild>
                        </w:div>
                        <w:div w:id="1686978138">
                          <w:marLeft w:val="0"/>
                          <w:marRight w:val="0"/>
                          <w:marTop w:val="0"/>
                          <w:marBottom w:val="0"/>
                          <w:divBdr>
                            <w:top w:val="none" w:sz="0" w:space="0" w:color="auto"/>
                            <w:left w:val="none" w:sz="0" w:space="0" w:color="auto"/>
                            <w:bottom w:val="none" w:sz="0" w:space="0" w:color="auto"/>
                            <w:right w:val="none" w:sz="0" w:space="0" w:color="auto"/>
                          </w:divBdr>
                          <w:divsChild>
                            <w:div w:id="1556044228">
                              <w:marLeft w:val="0"/>
                              <w:marRight w:val="0"/>
                              <w:marTop w:val="0"/>
                              <w:marBottom w:val="0"/>
                              <w:divBdr>
                                <w:top w:val="none" w:sz="0" w:space="0" w:color="auto"/>
                                <w:left w:val="none" w:sz="0" w:space="0" w:color="auto"/>
                                <w:bottom w:val="none" w:sz="0" w:space="0" w:color="auto"/>
                                <w:right w:val="none" w:sz="0" w:space="0" w:color="auto"/>
                              </w:divBdr>
                              <w:divsChild>
                                <w:div w:id="1453548507">
                                  <w:marLeft w:val="0"/>
                                  <w:marRight w:val="0"/>
                                  <w:marTop w:val="0"/>
                                  <w:marBottom w:val="0"/>
                                  <w:divBdr>
                                    <w:top w:val="none" w:sz="0" w:space="0" w:color="auto"/>
                                    <w:left w:val="none" w:sz="0" w:space="0" w:color="auto"/>
                                    <w:bottom w:val="none" w:sz="0" w:space="0" w:color="auto"/>
                                    <w:right w:val="none" w:sz="0" w:space="0" w:color="auto"/>
                                  </w:divBdr>
                                </w:div>
                                <w:div w:id="18122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4980">
                  <w:marLeft w:val="0"/>
                  <w:marRight w:val="0"/>
                  <w:marTop w:val="0"/>
                  <w:marBottom w:val="0"/>
                  <w:divBdr>
                    <w:top w:val="none" w:sz="0" w:space="0" w:color="auto"/>
                    <w:left w:val="none" w:sz="0" w:space="0" w:color="auto"/>
                    <w:bottom w:val="none" w:sz="0" w:space="0" w:color="auto"/>
                    <w:right w:val="none" w:sz="0" w:space="0" w:color="auto"/>
                  </w:divBdr>
                  <w:divsChild>
                    <w:div w:id="1947958720">
                      <w:marLeft w:val="0"/>
                      <w:marRight w:val="0"/>
                      <w:marTop w:val="0"/>
                      <w:marBottom w:val="0"/>
                      <w:divBdr>
                        <w:top w:val="none" w:sz="0" w:space="0" w:color="auto"/>
                        <w:left w:val="none" w:sz="0" w:space="0" w:color="auto"/>
                        <w:bottom w:val="none" w:sz="0" w:space="0" w:color="auto"/>
                        <w:right w:val="none" w:sz="0" w:space="0" w:color="auto"/>
                      </w:divBdr>
                    </w:div>
                  </w:divsChild>
                </w:div>
                <w:div w:id="1624073570">
                  <w:marLeft w:val="0"/>
                  <w:marRight w:val="0"/>
                  <w:marTop w:val="0"/>
                  <w:marBottom w:val="0"/>
                  <w:divBdr>
                    <w:top w:val="none" w:sz="0" w:space="0" w:color="auto"/>
                    <w:left w:val="none" w:sz="0" w:space="0" w:color="auto"/>
                    <w:bottom w:val="none" w:sz="0" w:space="0" w:color="auto"/>
                    <w:right w:val="none" w:sz="0" w:space="0" w:color="auto"/>
                  </w:divBdr>
                  <w:divsChild>
                    <w:div w:id="100995404">
                      <w:marLeft w:val="0"/>
                      <w:marRight w:val="0"/>
                      <w:marTop w:val="0"/>
                      <w:marBottom w:val="0"/>
                      <w:divBdr>
                        <w:top w:val="none" w:sz="0" w:space="0" w:color="auto"/>
                        <w:left w:val="none" w:sz="0" w:space="0" w:color="auto"/>
                        <w:bottom w:val="none" w:sz="0" w:space="0" w:color="auto"/>
                        <w:right w:val="none" w:sz="0" w:space="0" w:color="auto"/>
                      </w:divBdr>
                    </w:div>
                    <w:div w:id="545797630">
                      <w:marLeft w:val="0"/>
                      <w:marRight w:val="0"/>
                      <w:marTop w:val="0"/>
                      <w:marBottom w:val="0"/>
                      <w:divBdr>
                        <w:top w:val="none" w:sz="0" w:space="0" w:color="auto"/>
                        <w:left w:val="none" w:sz="0" w:space="0" w:color="auto"/>
                        <w:bottom w:val="none" w:sz="0" w:space="0" w:color="auto"/>
                        <w:right w:val="none" w:sz="0" w:space="0" w:color="auto"/>
                      </w:divBdr>
                    </w:div>
                    <w:div w:id="1220898483">
                      <w:marLeft w:val="0"/>
                      <w:marRight w:val="0"/>
                      <w:marTop w:val="0"/>
                      <w:marBottom w:val="0"/>
                      <w:divBdr>
                        <w:top w:val="none" w:sz="0" w:space="0" w:color="auto"/>
                        <w:left w:val="none" w:sz="0" w:space="0" w:color="auto"/>
                        <w:bottom w:val="none" w:sz="0" w:space="0" w:color="auto"/>
                        <w:right w:val="none" w:sz="0" w:space="0" w:color="auto"/>
                      </w:divBdr>
                    </w:div>
                    <w:div w:id="1237519470">
                      <w:marLeft w:val="0"/>
                      <w:marRight w:val="0"/>
                      <w:marTop w:val="0"/>
                      <w:marBottom w:val="0"/>
                      <w:divBdr>
                        <w:top w:val="none" w:sz="0" w:space="0" w:color="auto"/>
                        <w:left w:val="none" w:sz="0" w:space="0" w:color="auto"/>
                        <w:bottom w:val="none" w:sz="0" w:space="0" w:color="auto"/>
                        <w:right w:val="none" w:sz="0" w:space="0" w:color="auto"/>
                      </w:divBdr>
                    </w:div>
                    <w:div w:id="1554929427">
                      <w:marLeft w:val="0"/>
                      <w:marRight w:val="0"/>
                      <w:marTop w:val="0"/>
                      <w:marBottom w:val="0"/>
                      <w:divBdr>
                        <w:top w:val="none" w:sz="0" w:space="0" w:color="auto"/>
                        <w:left w:val="none" w:sz="0" w:space="0" w:color="auto"/>
                        <w:bottom w:val="none" w:sz="0" w:space="0" w:color="auto"/>
                        <w:right w:val="none" w:sz="0" w:space="0" w:color="auto"/>
                      </w:divBdr>
                    </w:div>
                    <w:div w:id="1771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7504">
          <w:marLeft w:val="0"/>
          <w:marRight w:val="0"/>
          <w:marTop w:val="0"/>
          <w:marBottom w:val="0"/>
          <w:divBdr>
            <w:top w:val="none" w:sz="0" w:space="0" w:color="auto"/>
            <w:left w:val="none" w:sz="0" w:space="0" w:color="auto"/>
            <w:bottom w:val="none" w:sz="0" w:space="0" w:color="auto"/>
            <w:right w:val="none" w:sz="0" w:space="0" w:color="auto"/>
          </w:divBdr>
        </w:div>
      </w:divsChild>
    </w:div>
    <w:div w:id="687101163">
      <w:bodyDiv w:val="1"/>
      <w:marLeft w:val="0"/>
      <w:marRight w:val="0"/>
      <w:marTop w:val="0"/>
      <w:marBottom w:val="0"/>
      <w:divBdr>
        <w:top w:val="none" w:sz="0" w:space="0" w:color="auto"/>
        <w:left w:val="none" w:sz="0" w:space="0" w:color="auto"/>
        <w:bottom w:val="none" w:sz="0" w:space="0" w:color="auto"/>
        <w:right w:val="none" w:sz="0" w:space="0" w:color="auto"/>
      </w:divBdr>
    </w:div>
    <w:div w:id="1229420796">
      <w:bodyDiv w:val="1"/>
      <w:marLeft w:val="0"/>
      <w:marRight w:val="0"/>
      <w:marTop w:val="0"/>
      <w:marBottom w:val="0"/>
      <w:divBdr>
        <w:top w:val="none" w:sz="0" w:space="0" w:color="auto"/>
        <w:left w:val="none" w:sz="0" w:space="0" w:color="auto"/>
        <w:bottom w:val="none" w:sz="0" w:space="0" w:color="auto"/>
        <w:right w:val="none" w:sz="0" w:space="0" w:color="auto"/>
      </w:divBdr>
      <w:divsChild>
        <w:div w:id="440144782">
          <w:marLeft w:val="0"/>
          <w:marRight w:val="0"/>
          <w:marTop w:val="0"/>
          <w:marBottom w:val="0"/>
          <w:divBdr>
            <w:top w:val="none" w:sz="0" w:space="0" w:color="auto"/>
            <w:left w:val="none" w:sz="0" w:space="0" w:color="auto"/>
            <w:bottom w:val="none" w:sz="0" w:space="0" w:color="auto"/>
            <w:right w:val="none" w:sz="0" w:space="0" w:color="auto"/>
          </w:divBdr>
          <w:divsChild>
            <w:div w:id="1091779629">
              <w:marLeft w:val="0"/>
              <w:marRight w:val="0"/>
              <w:marTop w:val="0"/>
              <w:marBottom w:val="0"/>
              <w:divBdr>
                <w:top w:val="none" w:sz="0" w:space="0" w:color="auto"/>
                <w:left w:val="none" w:sz="0" w:space="0" w:color="auto"/>
                <w:bottom w:val="none" w:sz="0" w:space="0" w:color="auto"/>
                <w:right w:val="none" w:sz="0" w:space="0" w:color="auto"/>
              </w:divBdr>
              <w:divsChild>
                <w:div w:id="840780520">
                  <w:marLeft w:val="0"/>
                  <w:marRight w:val="0"/>
                  <w:marTop w:val="0"/>
                  <w:marBottom w:val="0"/>
                  <w:divBdr>
                    <w:top w:val="none" w:sz="0" w:space="0" w:color="auto"/>
                    <w:left w:val="none" w:sz="0" w:space="0" w:color="auto"/>
                    <w:bottom w:val="none" w:sz="0" w:space="0" w:color="auto"/>
                    <w:right w:val="none" w:sz="0" w:space="0" w:color="auto"/>
                  </w:divBdr>
                  <w:divsChild>
                    <w:div w:id="1752045234">
                      <w:marLeft w:val="0"/>
                      <w:marRight w:val="0"/>
                      <w:marTop w:val="0"/>
                      <w:marBottom w:val="0"/>
                      <w:divBdr>
                        <w:top w:val="none" w:sz="0" w:space="0" w:color="auto"/>
                        <w:left w:val="none" w:sz="0" w:space="0" w:color="auto"/>
                        <w:bottom w:val="none" w:sz="0" w:space="0" w:color="auto"/>
                        <w:right w:val="none" w:sz="0" w:space="0" w:color="auto"/>
                      </w:divBdr>
                      <w:divsChild>
                        <w:div w:id="1075929378">
                          <w:marLeft w:val="0"/>
                          <w:marRight w:val="0"/>
                          <w:marTop w:val="0"/>
                          <w:marBottom w:val="0"/>
                          <w:divBdr>
                            <w:top w:val="none" w:sz="0" w:space="0" w:color="auto"/>
                            <w:left w:val="none" w:sz="0" w:space="0" w:color="auto"/>
                            <w:bottom w:val="none" w:sz="0" w:space="0" w:color="auto"/>
                            <w:right w:val="none" w:sz="0" w:space="0" w:color="auto"/>
                          </w:divBdr>
                          <w:divsChild>
                            <w:div w:id="446123619">
                              <w:marLeft w:val="0"/>
                              <w:marRight w:val="0"/>
                              <w:marTop w:val="400"/>
                              <w:marBottom w:val="0"/>
                              <w:divBdr>
                                <w:top w:val="none" w:sz="0" w:space="0" w:color="auto"/>
                                <w:left w:val="none" w:sz="0" w:space="0" w:color="auto"/>
                                <w:bottom w:val="none" w:sz="0" w:space="0" w:color="auto"/>
                                <w:right w:val="none" w:sz="0" w:space="0" w:color="auto"/>
                              </w:divBdr>
                            </w:div>
                            <w:div w:id="1396122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97359">
      <w:bodyDiv w:val="1"/>
      <w:marLeft w:val="0"/>
      <w:marRight w:val="0"/>
      <w:marTop w:val="0"/>
      <w:marBottom w:val="0"/>
      <w:divBdr>
        <w:top w:val="none" w:sz="0" w:space="0" w:color="auto"/>
        <w:left w:val="none" w:sz="0" w:space="0" w:color="auto"/>
        <w:bottom w:val="none" w:sz="0" w:space="0" w:color="auto"/>
        <w:right w:val="none" w:sz="0" w:space="0" w:color="auto"/>
      </w:divBdr>
      <w:divsChild>
        <w:div w:id="1250386910">
          <w:marLeft w:val="0"/>
          <w:marRight w:val="0"/>
          <w:marTop w:val="0"/>
          <w:marBottom w:val="0"/>
          <w:divBdr>
            <w:top w:val="none" w:sz="0" w:space="0" w:color="auto"/>
            <w:left w:val="none" w:sz="0" w:space="0" w:color="auto"/>
            <w:bottom w:val="none" w:sz="0" w:space="0" w:color="auto"/>
            <w:right w:val="none" w:sz="0" w:space="0" w:color="auto"/>
          </w:divBdr>
          <w:divsChild>
            <w:div w:id="848445133">
              <w:marLeft w:val="0"/>
              <w:marRight w:val="0"/>
              <w:marTop w:val="0"/>
              <w:marBottom w:val="0"/>
              <w:divBdr>
                <w:top w:val="none" w:sz="0" w:space="0" w:color="auto"/>
                <w:left w:val="none" w:sz="0" w:space="0" w:color="auto"/>
                <w:bottom w:val="none" w:sz="0" w:space="0" w:color="auto"/>
                <w:right w:val="none" w:sz="0" w:space="0" w:color="auto"/>
              </w:divBdr>
              <w:divsChild>
                <w:div w:id="365376724">
                  <w:marLeft w:val="0"/>
                  <w:marRight w:val="0"/>
                  <w:marTop w:val="0"/>
                  <w:marBottom w:val="0"/>
                  <w:divBdr>
                    <w:top w:val="none" w:sz="0" w:space="0" w:color="auto"/>
                    <w:left w:val="none" w:sz="0" w:space="0" w:color="auto"/>
                    <w:bottom w:val="none" w:sz="0" w:space="0" w:color="auto"/>
                    <w:right w:val="none" w:sz="0" w:space="0" w:color="auto"/>
                  </w:divBdr>
                  <w:divsChild>
                    <w:div w:id="1633055295">
                      <w:marLeft w:val="0"/>
                      <w:marRight w:val="0"/>
                      <w:marTop w:val="0"/>
                      <w:marBottom w:val="0"/>
                      <w:divBdr>
                        <w:top w:val="none" w:sz="0" w:space="0" w:color="auto"/>
                        <w:left w:val="none" w:sz="0" w:space="0" w:color="auto"/>
                        <w:bottom w:val="none" w:sz="0" w:space="0" w:color="auto"/>
                        <w:right w:val="none" w:sz="0" w:space="0" w:color="auto"/>
                      </w:divBdr>
                      <w:divsChild>
                        <w:div w:id="1811551072">
                          <w:marLeft w:val="0"/>
                          <w:marRight w:val="0"/>
                          <w:marTop w:val="0"/>
                          <w:marBottom w:val="0"/>
                          <w:divBdr>
                            <w:top w:val="none" w:sz="0" w:space="0" w:color="auto"/>
                            <w:left w:val="none" w:sz="0" w:space="0" w:color="auto"/>
                            <w:bottom w:val="none" w:sz="0" w:space="0" w:color="auto"/>
                            <w:right w:val="none" w:sz="0" w:space="0" w:color="auto"/>
                          </w:divBdr>
                          <w:divsChild>
                            <w:div w:id="187184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85234">
      <w:bodyDiv w:val="1"/>
      <w:marLeft w:val="0"/>
      <w:marRight w:val="0"/>
      <w:marTop w:val="0"/>
      <w:marBottom w:val="0"/>
      <w:divBdr>
        <w:top w:val="none" w:sz="0" w:space="0" w:color="auto"/>
        <w:left w:val="none" w:sz="0" w:space="0" w:color="auto"/>
        <w:bottom w:val="none" w:sz="0" w:space="0" w:color="auto"/>
        <w:right w:val="none" w:sz="0" w:space="0" w:color="auto"/>
      </w:divBdr>
    </w:div>
    <w:div w:id="181791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Tormane@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45F83-2DCB-4379-B5F8-14669385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4750</Words>
  <Characters>2709</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Ministru kabineta rīkojuma projekta „Par Latvijas valsts simtgades pasākumu plāna 2017. – 2021.gadam īstenošanai piešķirtā valsts budžeta finansējuma sadalījumu” sākotnējās ietekmes novērtējuma ziņojums (anotācija)</vt:lpstr>
    </vt:vector>
  </TitlesOfParts>
  <Company>LR Kultūras Ministrija</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2016.gada 13.decembra rīkojumā Nr.769 „Par Latvijas valsts simtgades pasākumu plāna 2017. – 2021.gadam īstenošanai piešķirtā valsts budžeta finansējuma sadalījumu”” sākotnējās ietekmes novērtējuma ziņojums (anotācija)</dc:title>
  <dc:subject>Anotācija</dc:subject>
  <dc:creator>Ilze Tormane</dc:creator>
  <cp:keywords>KMAnot_131117_grozijums_Nr_769</cp:keywords>
  <dc:description>Ilze Tormane
Kultūras ministrijas
Latvijas valsts simtgades biroja 
projektu koordinatore
Tālr. 67330323; fakss: 67330293
Ilze.Tormane@km.gov.lv</dc:description>
  <cp:lastModifiedBy>Dzintra Rozīte</cp:lastModifiedBy>
  <cp:revision>13</cp:revision>
  <cp:lastPrinted>2017-10-24T11:09:00Z</cp:lastPrinted>
  <dcterms:created xsi:type="dcterms:W3CDTF">2017-10-26T08:39:00Z</dcterms:created>
  <dcterms:modified xsi:type="dcterms:W3CDTF">2017-11-16T10:08:00Z</dcterms:modified>
</cp:coreProperties>
</file>