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DF" w:rsidRPr="00E01B33" w:rsidRDefault="000250DF" w:rsidP="000250DF">
      <w:pPr>
        <w:spacing w:after="0" w:line="240" w:lineRule="auto"/>
        <w:ind w:right="-1"/>
        <w:jc w:val="center"/>
        <w:rPr>
          <w:rFonts w:ascii="Times New Roman" w:eastAsia="Calibri" w:hAnsi="Times New Roman" w:cs="Times New Roman"/>
          <w:b/>
          <w:sz w:val="28"/>
          <w:szCs w:val="28"/>
        </w:rPr>
      </w:pPr>
      <w:bookmarkStart w:id="0" w:name="372832"/>
      <w:r w:rsidRPr="00E01B33">
        <w:rPr>
          <w:rFonts w:ascii="Times New Roman" w:hAnsi="Times New Roman" w:cs="Times New Roman"/>
          <w:b/>
          <w:color w:val="000000" w:themeColor="text1"/>
          <w:sz w:val="28"/>
          <w:szCs w:val="28"/>
        </w:rPr>
        <w:t xml:space="preserve">Ministru kabineta noteikumu </w:t>
      </w:r>
      <w:r w:rsidR="000E6819" w:rsidRPr="00E01B33">
        <w:rPr>
          <w:rFonts w:ascii="Times New Roman" w:hAnsi="Times New Roman" w:cs="Times New Roman"/>
          <w:b/>
          <w:color w:val="000000" w:themeColor="text1"/>
          <w:sz w:val="28"/>
          <w:szCs w:val="28"/>
        </w:rPr>
        <w:t xml:space="preserve">projekta </w:t>
      </w:r>
      <w:r w:rsidRPr="00E01B33">
        <w:rPr>
          <w:rFonts w:ascii="Times New Roman" w:hAnsi="Times New Roman" w:cs="Times New Roman"/>
          <w:b/>
          <w:color w:val="000000" w:themeColor="text1"/>
          <w:sz w:val="28"/>
          <w:szCs w:val="28"/>
        </w:rPr>
        <w:t xml:space="preserve">„Kārtība, kādā valsts fondēto pensiju shēmas līdzekļu pārvaldītājs aprēķina maksājumu par ieguldījumu plāna pārvaldi un tiek veikta maksājuma uzskaite un </w:t>
      </w:r>
      <w:r w:rsidR="00103CF0" w:rsidRPr="00E01B33">
        <w:rPr>
          <w:rFonts w:ascii="Times New Roman" w:hAnsi="Times New Roman" w:cs="Times New Roman"/>
          <w:b/>
          <w:color w:val="000000" w:themeColor="text1"/>
          <w:sz w:val="28"/>
          <w:szCs w:val="28"/>
        </w:rPr>
        <w:t>ieturēšana</w:t>
      </w:r>
      <w:r w:rsidRPr="00E01B33">
        <w:rPr>
          <w:rFonts w:ascii="Times New Roman" w:hAnsi="Times New Roman" w:cs="Times New Roman"/>
          <w:b/>
          <w:color w:val="000000" w:themeColor="text1"/>
          <w:sz w:val="28"/>
          <w:szCs w:val="28"/>
        </w:rPr>
        <w:t xml:space="preserve">” </w:t>
      </w:r>
      <w:r w:rsidRPr="00E01B33">
        <w:rPr>
          <w:rFonts w:ascii="Times New Roman" w:eastAsia="Calibri" w:hAnsi="Times New Roman" w:cs="Times New Roman"/>
          <w:b/>
          <w:sz w:val="28"/>
          <w:szCs w:val="28"/>
        </w:rPr>
        <w:t xml:space="preserve">sākotnējās ietekmes novērtējuma ziņojums (anotācija) </w:t>
      </w:r>
    </w:p>
    <w:p w:rsidR="00080A55" w:rsidRPr="00E01B33" w:rsidRDefault="00080A55" w:rsidP="00080A55">
      <w:pPr>
        <w:spacing w:after="0" w:line="240" w:lineRule="auto"/>
        <w:ind w:right="-1"/>
        <w:jc w:val="center"/>
        <w:rPr>
          <w:rFonts w:ascii="Times New Roman" w:eastAsia="Calibri" w:hAnsi="Times New Roman" w:cs="Times New Roman"/>
          <w:b/>
          <w:sz w:val="26"/>
          <w:szCs w:val="26"/>
        </w:rPr>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3117"/>
        <w:gridCol w:w="5955"/>
      </w:tblGrid>
      <w:tr w:rsidR="00080A55" w:rsidRPr="00E01B33" w:rsidTr="0031447E">
        <w:trPr>
          <w:trHeight w:val="467"/>
        </w:trPr>
        <w:tc>
          <w:tcPr>
            <w:tcW w:w="5000" w:type="pct"/>
            <w:gridSpan w:val="3"/>
            <w:vAlign w:val="center"/>
          </w:tcPr>
          <w:bookmarkEnd w:id="0"/>
          <w:p w:rsidR="00080A55" w:rsidRPr="00E01B33"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E01B33">
              <w:rPr>
                <w:rFonts w:ascii="Times New Roman" w:eastAsia="Times New Roman" w:hAnsi="Times New Roman" w:cs="Times New Roman"/>
                <w:b/>
                <w:sz w:val="26"/>
                <w:szCs w:val="26"/>
                <w:lang w:eastAsia="lv-LV"/>
              </w:rPr>
              <w:t>I. Tiesību akta projekta izstrādes nepieciešamība</w:t>
            </w:r>
          </w:p>
        </w:tc>
      </w:tr>
      <w:tr w:rsidR="00080A55" w:rsidRPr="00E01B33" w:rsidTr="0031447E">
        <w:trPr>
          <w:trHeight w:val="94"/>
        </w:trPr>
        <w:tc>
          <w:tcPr>
            <w:tcW w:w="227" w:type="pct"/>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1.</w:t>
            </w:r>
          </w:p>
        </w:tc>
        <w:tc>
          <w:tcPr>
            <w:tcW w:w="1640" w:type="pct"/>
          </w:tcPr>
          <w:p w:rsidR="00080A55" w:rsidRPr="00E01B33" w:rsidRDefault="00080A55" w:rsidP="0031447E">
            <w:pPr>
              <w:spacing w:after="0" w:line="240" w:lineRule="auto"/>
              <w:ind w:left="140" w:right="334"/>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Pamatojums</w:t>
            </w:r>
          </w:p>
        </w:tc>
        <w:tc>
          <w:tcPr>
            <w:tcW w:w="3133" w:type="pct"/>
          </w:tcPr>
          <w:p w:rsidR="00880552" w:rsidRPr="00E01B33" w:rsidRDefault="00880552" w:rsidP="00880552">
            <w:pPr>
              <w:spacing w:after="0" w:line="240" w:lineRule="auto"/>
              <w:ind w:left="96" w:right="120"/>
              <w:jc w:val="both"/>
              <w:rPr>
                <w:rFonts w:ascii="Times New Roman" w:eastAsia="Times New Roman" w:hAnsi="Times New Roman" w:cs="Times New Roman"/>
                <w:bCs/>
                <w:sz w:val="26"/>
                <w:szCs w:val="26"/>
                <w:shd w:val="clear" w:color="auto" w:fill="FFFFFF"/>
              </w:rPr>
            </w:pPr>
            <w:r w:rsidRPr="00E01B33">
              <w:rPr>
                <w:rFonts w:ascii="Times New Roman" w:eastAsia="Times New Roman" w:hAnsi="Times New Roman" w:cs="Times New Roman"/>
                <w:bCs/>
                <w:sz w:val="26"/>
                <w:szCs w:val="26"/>
                <w:shd w:val="clear" w:color="auto" w:fill="FFFFFF"/>
              </w:rPr>
              <w:t xml:space="preserve">Valsts fondēto pensiju likuma </w:t>
            </w:r>
            <w:r w:rsidR="00563F74" w:rsidRPr="00E01B33">
              <w:rPr>
                <w:rFonts w:ascii="Times New Roman" w:hAnsi="Times New Roman" w:cs="Times New Roman"/>
                <w:sz w:val="26"/>
                <w:szCs w:val="26"/>
              </w:rPr>
              <w:t xml:space="preserve">(turpmāk – likums) </w:t>
            </w:r>
            <w:hyperlink r:id="rId8" w:anchor="p11" w:tgtFrame="_blank" w:history="1">
              <w:r w:rsidRPr="00E01B33">
                <w:rPr>
                  <w:rFonts w:ascii="Times New Roman" w:hAnsi="Times New Roman" w:cs="Times New Roman"/>
                  <w:iCs/>
                  <w:color w:val="000000" w:themeColor="text1"/>
                  <w:sz w:val="26"/>
                  <w:szCs w:val="26"/>
                </w:rPr>
                <w:t>11.panta</w:t>
              </w:r>
            </w:hyperlink>
            <w:r w:rsidRPr="00E01B33">
              <w:rPr>
                <w:rFonts w:ascii="Times New Roman" w:hAnsi="Times New Roman" w:cs="Times New Roman"/>
                <w:iCs/>
                <w:color w:val="000000" w:themeColor="text1"/>
                <w:sz w:val="26"/>
                <w:szCs w:val="26"/>
              </w:rPr>
              <w:t xml:space="preserve"> 5.</w:t>
            </w:r>
            <w:r w:rsidRPr="00E01B33">
              <w:rPr>
                <w:rFonts w:ascii="Times New Roman" w:hAnsi="Times New Roman" w:cs="Times New Roman"/>
                <w:iCs/>
                <w:color w:val="000000" w:themeColor="text1"/>
                <w:sz w:val="26"/>
                <w:szCs w:val="26"/>
                <w:vertAlign w:val="superscript"/>
              </w:rPr>
              <w:t xml:space="preserve">1 </w:t>
            </w:r>
            <w:r w:rsidRPr="00E01B33">
              <w:rPr>
                <w:rFonts w:ascii="Times New Roman" w:hAnsi="Times New Roman" w:cs="Times New Roman"/>
                <w:iCs/>
                <w:color w:val="000000" w:themeColor="text1"/>
                <w:sz w:val="26"/>
                <w:szCs w:val="26"/>
              </w:rPr>
              <w:t>daļas 2.punkts un 11.panta 5.</w:t>
            </w:r>
            <w:r w:rsidRPr="00E01B33">
              <w:rPr>
                <w:rFonts w:ascii="Times New Roman" w:hAnsi="Times New Roman" w:cs="Times New Roman"/>
                <w:iCs/>
                <w:color w:val="000000" w:themeColor="text1"/>
                <w:sz w:val="26"/>
                <w:szCs w:val="26"/>
                <w:vertAlign w:val="superscript"/>
              </w:rPr>
              <w:t xml:space="preserve">2 </w:t>
            </w:r>
            <w:r w:rsidRPr="00E01B33">
              <w:rPr>
                <w:rFonts w:ascii="Times New Roman" w:hAnsi="Times New Roman" w:cs="Times New Roman"/>
                <w:iCs/>
                <w:color w:val="000000" w:themeColor="text1"/>
                <w:sz w:val="26"/>
                <w:szCs w:val="26"/>
              </w:rPr>
              <w:t>daļa</w:t>
            </w:r>
            <w:r w:rsidR="003450AF" w:rsidRPr="00E01B33">
              <w:rPr>
                <w:rFonts w:ascii="Times New Roman" w:hAnsi="Times New Roman" w:cs="Times New Roman"/>
                <w:iCs/>
                <w:color w:val="000000" w:themeColor="text1"/>
                <w:sz w:val="26"/>
                <w:szCs w:val="26"/>
              </w:rPr>
              <w:t xml:space="preserve"> (ar grozījumiem</w:t>
            </w:r>
            <w:r w:rsidR="003450AF" w:rsidRPr="00E01B33">
              <w:rPr>
                <w:rFonts w:ascii="Times New Roman" w:hAnsi="Times New Roman" w:cs="Times New Roman"/>
                <w:sz w:val="26"/>
                <w:szCs w:val="26"/>
              </w:rPr>
              <w:t xml:space="preserve">, kas Saeimā pieņemti 2017.gada 22.novembrī un </w:t>
            </w:r>
            <w:r w:rsidR="003450AF" w:rsidRPr="00E01B33">
              <w:rPr>
                <w:rFonts w:ascii="Times New Roman" w:hAnsi="Times New Roman" w:cs="Times New Roman"/>
                <w:iCs/>
                <w:color w:val="000000" w:themeColor="text1"/>
                <w:sz w:val="26"/>
                <w:szCs w:val="26"/>
              </w:rPr>
              <w:t>stāsies spēkā</w:t>
            </w:r>
            <w:r w:rsidR="003450AF" w:rsidRPr="00E01B33">
              <w:rPr>
                <w:rFonts w:ascii="Times New Roman" w:hAnsi="Times New Roman" w:cs="Times New Roman"/>
                <w:iCs/>
                <w:color w:val="000000"/>
                <w:sz w:val="26"/>
                <w:szCs w:val="26"/>
              </w:rPr>
              <w:t xml:space="preserve"> 2018.gada 1.janvārī</w:t>
            </w:r>
            <w:r w:rsidR="003450AF" w:rsidRPr="00E01B33">
              <w:rPr>
                <w:rFonts w:ascii="Times New Roman" w:hAnsi="Times New Roman" w:cs="Times New Roman"/>
                <w:sz w:val="26"/>
                <w:szCs w:val="26"/>
              </w:rPr>
              <w:t>).</w:t>
            </w:r>
          </w:p>
          <w:p w:rsidR="00880552" w:rsidRPr="00E01B33" w:rsidRDefault="00880552" w:rsidP="0031447E">
            <w:pPr>
              <w:spacing w:after="0" w:line="240" w:lineRule="auto"/>
              <w:ind w:left="96" w:right="120"/>
              <w:jc w:val="both"/>
              <w:rPr>
                <w:rFonts w:ascii="Times New Roman" w:eastAsia="Times New Roman" w:hAnsi="Times New Roman" w:cs="Times New Roman"/>
                <w:bCs/>
                <w:sz w:val="26"/>
                <w:szCs w:val="26"/>
                <w:shd w:val="clear" w:color="auto" w:fill="FFFFFF"/>
              </w:rPr>
            </w:pPr>
          </w:p>
          <w:p w:rsidR="00C80A69" w:rsidRPr="00E01B33" w:rsidRDefault="00C80A69" w:rsidP="0031447E">
            <w:pPr>
              <w:spacing w:after="0" w:line="240" w:lineRule="auto"/>
              <w:ind w:left="96" w:right="120"/>
              <w:jc w:val="both"/>
              <w:rPr>
                <w:rFonts w:ascii="Times New Roman" w:eastAsia="Times New Roman" w:hAnsi="Times New Roman" w:cs="Times New Roman"/>
                <w:bCs/>
                <w:sz w:val="26"/>
                <w:szCs w:val="26"/>
                <w:shd w:val="clear" w:color="auto" w:fill="FFFFFF"/>
              </w:rPr>
            </w:pPr>
            <w:r w:rsidRPr="00E01B33">
              <w:rPr>
                <w:rFonts w:ascii="Times New Roman" w:eastAsia="Times New Roman" w:hAnsi="Times New Roman" w:cs="Times New Roman"/>
                <w:bCs/>
                <w:sz w:val="26"/>
                <w:szCs w:val="26"/>
                <w:shd w:val="clear" w:color="auto" w:fill="FFFFFF"/>
              </w:rPr>
              <w:t xml:space="preserve">Ministru kabineta </w:t>
            </w:r>
            <w:r w:rsidR="00E86608" w:rsidRPr="00E01B33">
              <w:rPr>
                <w:rFonts w:ascii="Times New Roman" w:eastAsia="Times New Roman" w:hAnsi="Times New Roman" w:cs="Times New Roman"/>
                <w:bCs/>
                <w:sz w:val="26"/>
                <w:szCs w:val="26"/>
                <w:shd w:val="clear" w:color="auto" w:fill="FFFFFF"/>
              </w:rPr>
              <w:t xml:space="preserve">(MK) </w:t>
            </w:r>
            <w:r w:rsidRPr="00E01B33">
              <w:rPr>
                <w:rFonts w:ascii="Times New Roman" w:eastAsia="Times New Roman" w:hAnsi="Times New Roman" w:cs="Times New Roman"/>
                <w:bCs/>
                <w:sz w:val="26"/>
                <w:szCs w:val="26"/>
                <w:shd w:val="clear" w:color="auto" w:fill="FFFFFF"/>
              </w:rPr>
              <w:t xml:space="preserve">2017.gada 3.oktobra sēdē dotais uzdevums (protokols nr.49, 50.§, 3.punkts) - </w:t>
            </w:r>
            <w:r w:rsidRPr="00E01B33">
              <w:rPr>
                <w:rFonts w:ascii="Times New Roman" w:hAnsi="Times New Roman" w:cs="Times New Roman"/>
                <w:color w:val="2A2A2A"/>
                <w:sz w:val="26"/>
                <w:szCs w:val="26"/>
                <w:shd w:val="clear" w:color="auto" w:fill="FFFFFF"/>
              </w:rPr>
              <w:t>Labklājības ministrijai sagatavot un labklājības ministram iesniegt izskatīšanai Ministru kabinetā kā Ministru kabineta lietu grozījumus Ministru kabineta 2014.gada 14.oktobra noteikumos Nr.615 "Kārtība, kādā valsts fondēto pensiju shēmas līdzekļu pārvaldītājs aprēķina maksājumu par ieguldījumu plāna pārvaldi un tiek veikta maksājuma uzskaite un ieturēšana".</w:t>
            </w:r>
          </w:p>
          <w:p w:rsidR="00117ECD" w:rsidRPr="00E01B33" w:rsidRDefault="00117ECD" w:rsidP="008063AD">
            <w:pPr>
              <w:spacing w:after="0" w:line="240" w:lineRule="auto"/>
              <w:ind w:left="96" w:right="120"/>
              <w:jc w:val="both"/>
              <w:rPr>
                <w:rFonts w:ascii="Times New Roman" w:eastAsia="Times New Roman" w:hAnsi="Times New Roman" w:cs="Times New Roman"/>
                <w:bCs/>
                <w:sz w:val="24"/>
                <w:szCs w:val="24"/>
                <w:shd w:val="clear" w:color="auto" w:fill="FFFFFF"/>
              </w:rPr>
            </w:pPr>
          </w:p>
        </w:tc>
      </w:tr>
      <w:tr w:rsidR="00080A55" w:rsidRPr="00E01B33" w:rsidTr="009B240D">
        <w:tblPrEx>
          <w:tblCellMar>
            <w:left w:w="108" w:type="dxa"/>
            <w:right w:w="108" w:type="dxa"/>
          </w:tblCellMar>
        </w:tblPrEx>
        <w:trPr>
          <w:trHeight w:val="90"/>
        </w:trPr>
        <w:tc>
          <w:tcPr>
            <w:tcW w:w="227" w:type="pct"/>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2.</w:t>
            </w:r>
          </w:p>
        </w:tc>
        <w:tc>
          <w:tcPr>
            <w:tcW w:w="1640" w:type="pct"/>
          </w:tcPr>
          <w:p w:rsidR="00080A55" w:rsidRPr="00E01B33" w:rsidRDefault="00080A55" w:rsidP="0031447E">
            <w:pPr>
              <w:tabs>
                <w:tab w:val="left" w:pos="170"/>
              </w:tabs>
              <w:spacing w:after="0" w:line="240" w:lineRule="auto"/>
              <w:ind w:left="140" w:right="193"/>
              <w:jc w:val="both"/>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080A55" w:rsidRPr="00E01B33" w:rsidRDefault="00080A55" w:rsidP="0031447E">
            <w:pPr>
              <w:rPr>
                <w:rFonts w:ascii="Calibri" w:eastAsia="Calibri" w:hAnsi="Calibri" w:cs="Times New Roman"/>
                <w:lang w:eastAsia="lv-LV"/>
              </w:rPr>
            </w:pPr>
          </w:p>
          <w:p w:rsidR="00080A55" w:rsidRPr="00E01B33" w:rsidRDefault="00080A55" w:rsidP="0031447E">
            <w:pPr>
              <w:rPr>
                <w:rFonts w:ascii="Calibri" w:eastAsia="Calibri" w:hAnsi="Calibri" w:cs="Times New Roman"/>
                <w:lang w:eastAsia="lv-LV"/>
              </w:rPr>
            </w:pPr>
          </w:p>
          <w:p w:rsidR="00080A55" w:rsidRPr="00E01B33" w:rsidRDefault="00080A55" w:rsidP="0031447E">
            <w:pPr>
              <w:rPr>
                <w:rFonts w:ascii="Calibri" w:eastAsia="Calibri" w:hAnsi="Calibri" w:cs="Times New Roman"/>
                <w:lang w:eastAsia="lv-LV"/>
              </w:rPr>
            </w:pPr>
          </w:p>
          <w:p w:rsidR="00080A55" w:rsidRPr="00E01B33" w:rsidRDefault="00080A55" w:rsidP="0031447E">
            <w:pPr>
              <w:rPr>
                <w:rFonts w:ascii="Calibri" w:eastAsia="Calibri" w:hAnsi="Calibri" w:cs="Times New Roman"/>
                <w:lang w:eastAsia="lv-LV"/>
              </w:rPr>
            </w:pPr>
          </w:p>
          <w:p w:rsidR="00080A55" w:rsidRPr="00E01B33" w:rsidRDefault="00080A55" w:rsidP="0031447E">
            <w:pPr>
              <w:jc w:val="center"/>
              <w:rPr>
                <w:rFonts w:ascii="Calibri" w:eastAsia="Calibri" w:hAnsi="Calibri" w:cs="Times New Roman"/>
                <w:lang w:eastAsia="lv-LV"/>
              </w:rPr>
            </w:pPr>
          </w:p>
        </w:tc>
        <w:tc>
          <w:tcPr>
            <w:tcW w:w="3133" w:type="pct"/>
          </w:tcPr>
          <w:p w:rsidR="00724767"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 xml:space="preserve">Valsts fondētā pensiju </w:t>
            </w:r>
            <w:r w:rsidR="008063AD" w:rsidRPr="00E01B33">
              <w:rPr>
                <w:rFonts w:ascii="Times New Roman" w:hAnsi="Times New Roman" w:cs="Times New Roman"/>
                <w:sz w:val="26"/>
                <w:szCs w:val="26"/>
              </w:rPr>
              <w:t>shēma (turpmāk - VFPS)</w:t>
            </w:r>
            <w:r w:rsidRPr="00E01B33">
              <w:rPr>
                <w:rFonts w:ascii="Times New Roman" w:hAnsi="Times New Roman" w:cs="Times New Roman"/>
                <w:sz w:val="26"/>
                <w:szCs w:val="26"/>
              </w:rPr>
              <w:t xml:space="preserve"> Latvijā ir veidota ar mērķi uzlabot sabiedrības labklājību pensijas vecumā, daļu no iemaksām vecuma pensijām ieguldot finanšu instrumentos un citos aktīvos, šādi dodot iespēju palielināt saņemtās pensijas apmēru, nepalielinot kopējo iemaksu apmēru vecuma pensijām.  </w:t>
            </w:r>
          </w:p>
          <w:p w:rsidR="00724767"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 xml:space="preserve">Pensiju ieguldījumu plāniem ir viens no garākajiem termiņiem daudzu investīciju veidu starpā. Latvijas 2. pensiju līmeņa dalībnieka vidējais vecums 2017. gadā ir 41 gads un līdz pensijas vecuma sasniegšanai tādējādi vēl </w:t>
            </w:r>
            <w:proofErr w:type="gramStart"/>
            <w:r w:rsidRPr="00E01B33">
              <w:rPr>
                <w:rFonts w:ascii="Times New Roman" w:hAnsi="Times New Roman" w:cs="Times New Roman"/>
                <w:sz w:val="26"/>
                <w:szCs w:val="26"/>
              </w:rPr>
              <w:t>ir vairāk kā</w:t>
            </w:r>
            <w:proofErr w:type="gramEnd"/>
            <w:r w:rsidRPr="00E01B33">
              <w:rPr>
                <w:rFonts w:ascii="Times New Roman" w:hAnsi="Times New Roman" w:cs="Times New Roman"/>
                <w:sz w:val="26"/>
                <w:szCs w:val="26"/>
              </w:rPr>
              <w:t xml:space="preserve"> 20 gadi, kas, savukārt, nozīmē, ka pensiju fondi var un tiem ir nepieciešams ieguldīt pēc iespējas garāka termiņa instrumentos, kas ļauj nopelnīt vairāk, nekā ieguldot vidēj</w:t>
            </w:r>
            <w:r w:rsidR="00246D27" w:rsidRPr="00E01B33">
              <w:rPr>
                <w:rFonts w:ascii="Times New Roman" w:hAnsi="Times New Roman" w:cs="Times New Roman"/>
                <w:sz w:val="26"/>
                <w:szCs w:val="26"/>
              </w:rPr>
              <w:t>a</w:t>
            </w:r>
            <w:r w:rsidRPr="00E01B33">
              <w:rPr>
                <w:rFonts w:ascii="Times New Roman" w:hAnsi="Times New Roman" w:cs="Times New Roman"/>
                <w:sz w:val="26"/>
                <w:szCs w:val="26"/>
              </w:rPr>
              <w:t xml:space="preserve"> un īstermiņa instrumentos – tādos, kā naudas tirg</w:t>
            </w:r>
            <w:r w:rsidR="00246D27" w:rsidRPr="00E01B33">
              <w:rPr>
                <w:rFonts w:ascii="Times New Roman" w:hAnsi="Times New Roman" w:cs="Times New Roman"/>
                <w:sz w:val="26"/>
                <w:szCs w:val="26"/>
              </w:rPr>
              <w:t>u</w:t>
            </w:r>
            <w:r w:rsidRPr="00E01B33">
              <w:rPr>
                <w:rFonts w:ascii="Times New Roman" w:hAnsi="Times New Roman" w:cs="Times New Roman"/>
                <w:sz w:val="26"/>
                <w:szCs w:val="26"/>
              </w:rPr>
              <w:t xml:space="preserve">s instrumenti vai depozīti. </w:t>
            </w:r>
          </w:p>
          <w:p w:rsidR="00D73FA4" w:rsidRPr="00E01B33" w:rsidRDefault="00D77AED" w:rsidP="00F72610">
            <w:pPr>
              <w:spacing w:after="120" w:line="240" w:lineRule="auto"/>
              <w:ind w:right="141"/>
              <w:jc w:val="both"/>
              <w:rPr>
                <w:rFonts w:ascii="Times New Roman" w:hAnsi="Times New Roman" w:cs="Times New Roman"/>
                <w:color w:val="000000" w:themeColor="text1"/>
                <w:sz w:val="26"/>
                <w:szCs w:val="26"/>
              </w:rPr>
            </w:pPr>
            <w:r w:rsidRPr="00E01B33">
              <w:rPr>
                <w:rFonts w:ascii="Times New Roman" w:hAnsi="Times New Roman" w:cs="Times New Roman"/>
                <w:sz w:val="26"/>
                <w:szCs w:val="26"/>
              </w:rPr>
              <w:t>Likuma 11.panta 5.</w:t>
            </w:r>
            <w:r w:rsidRPr="00E01B33">
              <w:rPr>
                <w:rFonts w:ascii="Times New Roman" w:hAnsi="Times New Roman" w:cs="Times New Roman"/>
                <w:sz w:val="26"/>
                <w:szCs w:val="26"/>
                <w:vertAlign w:val="superscript"/>
              </w:rPr>
              <w:t>1</w:t>
            </w:r>
            <w:r w:rsidR="00E86608" w:rsidRPr="00E01B33">
              <w:rPr>
                <w:rFonts w:ascii="Times New Roman" w:hAnsi="Times New Roman" w:cs="Times New Roman"/>
                <w:sz w:val="26"/>
                <w:szCs w:val="26"/>
                <w:vertAlign w:val="superscript"/>
              </w:rPr>
              <w:t xml:space="preserve"> </w:t>
            </w:r>
            <w:r w:rsidRPr="00E01B33">
              <w:rPr>
                <w:rFonts w:ascii="Times New Roman" w:hAnsi="Times New Roman" w:cs="Times New Roman"/>
                <w:sz w:val="26"/>
                <w:szCs w:val="26"/>
              </w:rPr>
              <w:t>daļa</w:t>
            </w:r>
            <w:r w:rsidR="00E86608" w:rsidRPr="00E01B33">
              <w:rPr>
                <w:rFonts w:ascii="Times New Roman" w:hAnsi="Times New Roman" w:cs="Times New Roman"/>
                <w:sz w:val="26"/>
                <w:szCs w:val="26"/>
              </w:rPr>
              <w:t>s 1.punkt</w:t>
            </w:r>
            <w:r w:rsidR="00F72610" w:rsidRPr="00E01B33">
              <w:rPr>
                <w:rFonts w:ascii="Times New Roman" w:hAnsi="Times New Roman" w:cs="Times New Roman"/>
                <w:sz w:val="26"/>
                <w:szCs w:val="26"/>
              </w:rPr>
              <w:t>s</w:t>
            </w:r>
            <w:r w:rsidR="003450AF" w:rsidRPr="00E01B33">
              <w:rPr>
                <w:rFonts w:ascii="Times New Roman" w:hAnsi="Times New Roman" w:cs="Times New Roman"/>
                <w:sz w:val="26"/>
                <w:szCs w:val="26"/>
              </w:rPr>
              <w:t xml:space="preserve"> </w:t>
            </w:r>
            <w:r w:rsidRPr="00E01B33">
              <w:rPr>
                <w:rFonts w:ascii="Times New Roman" w:hAnsi="Times New Roman" w:cs="Times New Roman"/>
                <w:sz w:val="26"/>
                <w:szCs w:val="26"/>
                <w:lang w:eastAsia="lv-LV"/>
              </w:rPr>
              <w:t>nosaka</w:t>
            </w:r>
            <w:r w:rsidR="00E86608" w:rsidRPr="00E01B33">
              <w:rPr>
                <w:rFonts w:ascii="Times New Roman" w:hAnsi="Times New Roman" w:cs="Times New Roman"/>
                <w:sz w:val="26"/>
                <w:szCs w:val="26"/>
                <w:lang w:eastAsia="lv-LV"/>
              </w:rPr>
              <w:t xml:space="preserve"> </w:t>
            </w:r>
            <w:r w:rsidRPr="00E01B33">
              <w:rPr>
                <w:rFonts w:ascii="Times New Roman" w:hAnsi="Times New Roman" w:cs="Times New Roman"/>
                <w:sz w:val="26"/>
                <w:szCs w:val="26"/>
              </w:rPr>
              <w:t xml:space="preserve">pārvaldīšanas maksājuma pastāvīgo daļu (ietver maksājumus līdzekļu pārvaldītājam, līdzekļu turētājam, kā arī maksājumus trešajām personām, kurus veic no ieguldījumu plāna līdzekļiem, izņemot </w:t>
            </w:r>
            <w:r w:rsidRPr="00E01B33">
              <w:rPr>
                <w:rFonts w:ascii="Times New Roman" w:hAnsi="Times New Roman" w:cs="Times New Roman"/>
                <w:sz w:val="26"/>
                <w:szCs w:val="26"/>
              </w:rPr>
              <w:lastRenderedPageBreak/>
              <w:t>izdevumus, kas radušies, veicot darījumus ar ieguldījumu plāna aktīvu pārdošanu ar atpirkšanu, un kas ir noteikta atkarībā no pārvaldītāja pārvaldīšanā esošo ieguldījumu plānu kopējiem aktīviem) līdz 0,6 procentiem (2018.gadā – līdz 0,8 procentiem) - kopējai pārvaldītāja pārvaldīšanā esošo ieguldījumu plānu aktīvu daļai,</w:t>
            </w:r>
            <w:r w:rsidR="00D73FA4" w:rsidRPr="00E01B33">
              <w:rPr>
                <w:rFonts w:ascii="Times New Roman" w:hAnsi="Times New Roman" w:cs="Times New Roman"/>
                <w:sz w:val="26"/>
                <w:szCs w:val="26"/>
              </w:rPr>
              <w:t xml:space="preserve"> kas nepārsniedz 300 miljonus </w:t>
            </w:r>
            <w:proofErr w:type="spellStart"/>
            <w:r w:rsidR="00D73FA4" w:rsidRPr="00E01B33">
              <w:rPr>
                <w:rFonts w:ascii="Times New Roman" w:hAnsi="Times New Roman" w:cs="Times New Roman"/>
                <w:i/>
                <w:sz w:val="26"/>
                <w:szCs w:val="26"/>
              </w:rPr>
              <w:t>euro</w:t>
            </w:r>
            <w:proofErr w:type="spellEnd"/>
            <w:r w:rsidR="00D73FA4" w:rsidRPr="00E01B33">
              <w:rPr>
                <w:rFonts w:ascii="Times New Roman" w:hAnsi="Times New Roman" w:cs="Times New Roman"/>
                <w:i/>
                <w:sz w:val="26"/>
                <w:szCs w:val="26"/>
              </w:rPr>
              <w:t xml:space="preserve">, </w:t>
            </w:r>
            <w:r w:rsidR="00D73FA4" w:rsidRPr="00E01B33">
              <w:rPr>
                <w:rFonts w:ascii="Times New Roman" w:hAnsi="Times New Roman" w:cs="Times New Roman"/>
                <w:iCs/>
                <w:sz w:val="26"/>
                <w:szCs w:val="26"/>
              </w:rPr>
              <w:t>aprēķinot to</w:t>
            </w:r>
            <w:r w:rsidR="00D73FA4" w:rsidRPr="00E01B33">
              <w:rPr>
                <w:rFonts w:ascii="Times New Roman" w:hAnsi="Times New Roman" w:cs="Times New Roman"/>
                <w:sz w:val="26"/>
                <w:szCs w:val="26"/>
              </w:rPr>
              <w:t xml:space="preserve"> iepriekšējā gada 30.novembrī, </w:t>
            </w:r>
            <w:r w:rsidRPr="00E01B33">
              <w:rPr>
                <w:rFonts w:ascii="Times New Roman" w:hAnsi="Times New Roman" w:cs="Times New Roman"/>
                <w:sz w:val="26"/>
                <w:szCs w:val="26"/>
              </w:rPr>
              <w:t xml:space="preserve">un līdz 0,4 procentiem (2018.gadā – līdz 0,6 procentiem) – kopējai pārvaldītāja pārvaldīšanā esošo ieguldījumu plānu aktīvu daļai, </w:t>
            </w:r>
            <w:r w:rsidR="00D73FA4" w:rsidRPr="00E01B33">
              <w:rPr>
                <w:rFonts w:ascii="Times New Roman" w:hAnsi="Times New Roman" w:cs="Times New Roman"/>
                <w:sz w:val="26"/>
                <w:szCs w:val="26"/>
              </w:rPr>
              <w:t xml:space="preserve">kas pārsniedz 300 miljonus </w:t>
            </w:r>
            <w:proofErr w:type="spellStart"/>
            <w:r w:rsidR="00D73FA4" w:rsidRPr="00E01B33">
              <w:rPr>
                <w:rFonts w:ascii="Times New Roman" w:hAnsi="Times New Roman" w:cs="Times New Roman"/>
                <w:i/>
                <w:sz w:val="26"/>
                <w:szCs w:val="26"/>
              </w:rPr>
              <w:t>euro</w:t>
            </w:r>
            <w:proofErr w:type="spellEnd"/>
            <w:r w:rsidR="00D73FA4" w:rsidRPr="00E01B33">
              <w:rPr>
                <w:rFonts w:ascii="Times New Roman" w:hAnsi="Times New Roman" w:cs="Times New Roman"/>
                <w:i/>
                <w:sz w:val="26"/>
                <w:szCs w:val="26"/>
              </w:rPr>
              <w:t xml:space="preserve">, </w:t>
            </w:r>
            <w:r w:rsidR="00D73FA4" w:rsidRPr="00E01B33">
              <w:rPr>
                <w:rFonts w:ascii="Times New Roman" w:hAnsi="Times New Roman" w:cs="Times New Roman"/>
                <w:iCs/>
                <w:sz w:val="26"/>
                <w:szCs w:val="26"/>
              </w:rPr>
              <w:t>aprēķinot to</w:t>
            </w:r>
            <w:r w:rsidR="00D73FA4" w:rsidRPr="00E01B33">
              <w:rPr>
                <w:rFonts w:ascii="Times New Roman" w:hAnsi="Times New Roman" w:cs="Times New Roman"/>
                <w:sz w:val="26"/>
                <w:szCs w:val="26"/>
              </w:rPr>
              <w:t xml:space="preserve"> iepriekšējā gada 30.novembrī. </w:t>
            </w:r>
            <w:r w:rsidR="00D73FA4" w:rsidRPr="00E01B33">
              <w:rPr>
                <w:rFonts w:ascii="Times New Roman" w:hAnsi="Times New Roman" w:cs="Times New Roman"/>
                <w:color w:val="000000" w:themeColor="text1"/>
                <w:sz w:val="26"/>
                <w:szCs w:val="26"/>
              </w:rPr>
              <w:t>Iepriekšējā gada 30.novembrī aprēķināto maksājuma pastāvīgo daļu piemēro ieguldījumu plāna aktīvu vērtībai kārtējā kalendārajā gadā no 1. janvāra līdz 31. decembrim</w:t>
            </w:r>
            <w:r w:rsidR="003356A5" w:rsidRPr="00E01B33">
              <w:rPr>
                <w:rFonts w:ascii="Times New Roman" w:hAnsi="Times New Roman" w:cs="Times New Roman"/>
                <w:color w:val="000000" w:themeColor="text1"/>
                <w:sz w:val="26"/>
                <w:szCs w:val="26"/>
              </w:rPr>
              <w:t>.</w:t>
            </w:r>
          </w:p>
          <w:p w:rsidR="003356A5" w:rsidRPr="00E01B33" w:rsidRDefault="003356A5" w:rsidP="003356A5">
            <w:pPr>
              <w:spacing w:after="120" w:line="240" w:lineRule="auto"/>
              <w:jc w:val="both"/>
              <w:rPr>
                <w:rFonts w:ascii="Times New Roman" w:hAnsi="Times New Roman" w:cs="Times New Roman"/>
                <w:sz w:val="26"/>
                <w:szCs w:val="26"/>
              </w:rPr>
            </w:pPr>
            <w:r w:rsidRPr="00E01B33">
              <w:rPr>
                <w:rFonts w:ascii="Times New Roman" w:eastAsia="Times New Roman" w:hAnsi="Times New Roman" w:cs="Times New Roman"/>
                <w:bCs/>
                <w:sz w:val="26"/>
                <w:szCs w:val="26"/>
                <w:shd w:val="clear" w:color="auto" w:fill="FFFFFF"/>
              </w:rPr>
              <w:t xml:space="preserve">Likuma </w:t>
            </w:r>
            <w:hyperlink r:id="rId9" w:anchor="p11" w:tgtFrame="_blank" w:history="1">
              <w:r w:rsidRPr="00E01B33">
                <w:rPr>
                  <w:rFonts w:ascii="Times New Roman" w:hAnsi="Times New Roman" w:cs="Times New Roman"/>
                  <w:iCs/>
                  <w:color w:val="000000" w:themeColor="text1"/>
                  <w:sz w:val="26"/>
                  <w:szCs w:val="26"/>
                </w:rPr>
                <w:t>11.panta</w:t>
              </w:r>
            </w:hyperlink>
            <w:r w:rsidRPr="00E01B33">
              <w:rPr>
                <w:rFonts w:ascii="Times New Roman" w:hAnsi="Times New Roman" w:cs="Times New Roman"/>
                <w:iCs/>
                <w:color w:val="000000" w:themeColor="text1"/>
                <w:sz w:val="26"/>
                <w:szCs w:val="26"/>
              </w:rPr>
              <w:t xml:space="preserve"> 5.</w:t>
            </w:r>
            <w:r w:rsidRPr="00E01B33">
              <w:rPr>
                <w:rFonts w:ascii="Times New Roman" w:hAnsi="Times New Roman" w:cs="Times New Roman"/>
                <w:iCs/>
                <w:color w:val="000000" w:themeColor="text1"/>
                <w:sz w:val="26"/>
                <w:szCs w:val="26"/>
                <w:vertAlign w:val="superscript"/>
              </w:rPr>
              <w:t xml:space="preserve">1 </w:t>
            </w:r>
            <w:r w:rsidR="003450AF" w:rsidRPr="00E01B33">
              <w:rPr>
                <w:rFonts w:ascii="Times New Roman" w:hAnsi="Times New Roman" w:cs="Times New Roman"/>
                <w:iCs/>
                <w:color w:val="000000" w:themeColor="text1"/>
                <w:sz w:val="26"/>
                <w:szCs w:val="26"/>
              </w:rPr>
              <w:t>daļas 2.punkts</w:t>
            </w:r>
            <w:r w:rsidRPr="00E01B33">
              <w:rPr>
                <w:rFonts w:ascii="Times New Roman" w:hAnsi="Times New Roman" w:cs="Times New Roman"/>
                <w:iCs/>
                <w:color w:val="000000" w:themeColor="text1"/>
                <w:sz w:val="26"/>
                <w:szCs w:val="26"/>
              </w:rPr>
              <w:t xml:space="preserve"> </w:t>
            </w:r>
            <w:r w:rsidRPr="00E01B33">
              <w:rPr>
                <w:rFonts w:ascii="Times New Roman" w:hAnsi="Times New Roman" w:cs="Times New Roman"/>
                <w:iCs/>
                <w:color w:val="000000"/>
                <w:sz w:val="26"/>
                <w:szCs w:val="26"/>
              </w:rPr>
              <w:t xml:space="preserve">nosaka, ka maksājuma mainīgā daļa, kas ir atlīdzība fondēto pensiju shēmas līdzekļu pārvaldītājam par ieguldījumu plāna darbības rezultātu, un tās apmērs ir atkarīgs no pensiju plāna ienesīguma pārsnieguma </w:t>
            </w:r>
            <w:r w:rsidRPr="00E01B33">
              <w:rPr>
                <w:rFonts w:ascii="Times New Roman" w:hAnsi="Times New Roman" w:cs="Times New Roman"/>
                <w:iCs/>
                <w:sz w:val="26"/>
                <w:szCs w:val="26"/>
              </w:rPr>
              <w:t xml:space="preserve">virs atskaites indeksa (etalona), kas tiek noteikts, kā parāda vērtspapīru un kapitāla vērtspapīru indeksu kombinācija. </w:t>
            </w:r>
          </w:p>
          <w:p w:rsidR="00D73FA4" w:rsidRPr="00E01B33" w:rsidRDefault="00D73FA4" w:rsidP="003450AF">
            <w:pPr>
              <w:spacing w:after="120" w:line="240" w:lineRule="auto"/>
              <w:ind w:right="35"/>
              <w:jc w:val="both"/>
              <w:rPr>
                <w:rFonts w:ascii="Times New Roman" w:eastAsia="Calibri" w:hAnsi="Times New Roman" w:cs="Times New Roman"/>
                <w:sz w:val="26"/>
                <w:szCs w:val="26"/>
              </w:rPr>
            </w:pPr>
            <w:r w:rsidRPr="00E01B33">
              <w:rPr>
                <w:rFonts w:ascii="Times New Roman" w:eastAsia="Calibri" w:hAnsi="Times New Roman" w:cs="Times New Roman"/>
                <w:sz w:val="26"/>
                <w:szCs w:val="26"/>
              </w:rPr>
              <w:t>MK noteikumu projekts paredz noteikt kārtību, kā</w:t>
            </w:r>
            <w:r w:rsidR="00E86608" w:rsidRPr="00E01B33">
              <w:rPr>
                <w:rFonts w:ascii="Times New Roman" w:eastAsia="Calibri" w:hAnsi="Times New Roman" w:cs="Times New Roman"/>
                <w:sz w:val="26"/>
                <w:szCs w:val="26"/>
              </w:rPr>
              <w:t>dā</w:t>
            </w:r>
            <w:r w:rsidRPr="00E01B33">
              <w:rPr>
                <w:rFonts w:ascii="Times New Roman" w:eastAsia="Calibri" w:hAnsi="Times New Roman" w:cs="Times New Roman"/>
                <w:sz w:val="26"/>
                <w:szCs w:val="26"/>
              </w:rPr>
              <w:t xml:space="preserve"> </w:t>
            </w:r>
            <w:r w:rsidR="00E86608" w:rsidRPr="00E01B33">
              <w:rPr>
                <w:rFonts w:ascii="Times New Roman" w:eastAsia="Calibri" w:hAnsi="Times New Roman" w:cs="Times New Roman"/>
                <w:sz w:val="26"/>
                <w:szCs w:val="26"/>
              </w:rPr>
              <w:t>VFPS</w:t>
            </w:r>
            <w:r w:rsidRPr="00E01B33">
              <w:rPr>
                <w:rFonts w:ascii="Times New Roman" w:eastAsia="Calibri" w:hAnsi="Times New Roman" w:cs="Times New Roman"/>
                <w:sz w:val="26"/>
                <w:szCs w:val="26"/>
              </w:rPr>
              <w:t xml:space="preserve"> līdzekļu pārvaldītājs aprēķina maksājuma par ieguldījumu plāna pārvaldi pastāvīgo un mainīgo daļu, kā arī kārtību, kādā tiek veikta maksājuma pastāvīgās un mainīgās daļas uzskaite un ieturēšana.</w:t>
            </w:r>
          </w:p>
          <w:p w:rsidR="00CB78F3" w:rsidRPr="00E01B33" w:rsidRDefault="00D73FA4" w:rsidP="00F72610">
            <w:pPr>
              <w:spacing w:after="120" w:line="240" w:lineRule="auto"/>
              <w:jc w:val="both"/>
              <w:rPr>
                <w:rFonts w:ascii="Times New Roman" w:eastAsia="Times New Roman" w:hAnsi="Times New Roman" w:cs="Times New Roman"/>
                <w:bCs/>
                <w:color w:val="000000" w:themeColor="text1"/>
                <w:sz w:val="26"/>
                <w:szCs w:val="26"/>
              </w:rPr>
            </w:pPr>
            <w:r w:rsidRPr="00E01B33">
              <w:rPr>
                <w:rFonts w:ascii="Times New Roman" w:eastAsia="Calibri" w:hAnsi="Times New Roman" w:cs="Times New Roman"/>
                <w:sz w:val="26"/>
                <w:szCs w:val="26"/>
              </w:rPr>
              <w:t>Aprēķinot maksājuma pastāvīgo daļu, ņem vērā ieguldījumu plāna neto aktīva vērtību iepriekšējā aprēķina dienā, likumā noteikto maksājuma pastāvīgo daļu procentos, kā arī kalendāro dienu skaitu pārskata gadā un kalendāro dienu skaitu no iepriekšējā aprēķina dienas.</w:t>
            </w:r>
            <w:r w:rsidR="00CB78F3" w:rsidRPr="00E01B33">
              <w:rPr>
                <w:rFonts w:ascii="Times New Roman" w:eastAsia="Calibri" w:hAnsi="Times New Roman" w:cs="Times New Roman"/>
                <w:sz w:val="26"/>
                <w:szCs w:val="26"/>
              </w:rPr>
              <w:t xml:space="preserve"> </w:t>
            </w:r>
            <w:r w:rsidRPr="00E01B33">
              <w:rPr>
                <w:rFonts w:ascii="Times New Roman" w:eastAsia="Calibri" w:hAnsi="Times New Roman" w:cs="Times New Roman"/>
                <w:sz w:val="26"/>
                <w:szCs w:val="26"/>
              </w:rPr>
              <w:t>Maksājuma pastāvīgo daļu uzkrāj mēneša laikā, iegūstot</w:t>
            </w:r>
            <w:r w:rsidRPr="00E01B33" w:rsidDel="00904124">
              <w:rPr>
                <w:rFonts w:ascii="Times New Roman" w:eastAsia="Calibri" w:hAnsi="Times New Roman" w:cs="Times New Roman"/>
                <w:sz w:val="26"/>
                <w:szCs w:val="26"/>
              </w:rPr>
              <w:t xml:space="preserve"> </w:t>
            </w:r>
            <w:r w:rsidRPr="00E01B33">
              <w:rPr>
                <w:rFonts w:ascii="Times New Roman" w:eastAsia="Calibri" w:hAnsi="Times New Roman" w:cs="Times New Roman"/>
                <w:sz w:val="26"/>
                <w:szCs w:val="26"/>
              </w:rPr>
              <w:t>kopējo maksājuma pastāvīgās daļas apmēru par kārtējo mēnesi, ko aprēķina, summējot par katru aprēķina dienu aprēķināto dienas maksājuma pastāvīgo daļu no kārtējā mēneša sākuma.</w:t>
            </w:r>
            <w:r w:rsidR="00CB78F3" w:rsidRPr="00E01B33">
              <w:rPr>
                <w:rFonts w:ascii="Times New Roman" w:eastAsia="Calibri" w:hAnsi="Times New Roman" w:cs="Times New Roman"/>
                <w:sz w:val="26"/>
                <w:szCs w:val="26"/>
              </w:rPr>
              <w:t xml:space="preserve"> </w:t>
            </w:r>
            <w:r w:rsidRPr="00E01B33">
              <w:rPr>
                <w:rFonts w:ascii="Times New Roman" w:eastAsia="Calibri" w:hAnsi="Times New Roman" w:cs="Times New Roman"/>
                <w:sz w:val="26"/>
                <w:szCs w:val="26"/>
              </w:rPr>
              <w:t>Kopējo maksājuma pastāvīgās daļas apmēru par kārtējo mēnesi ietur reizi mēnesī.</w:t>
            </w:r>
            <w:r w:rsidR="00CB78F3" w:rsidRPr="00E01B33">
              <w:rPr>
                <w:rFonts w:ascii="Times New Roman" w:eastAsia="Calibri" w:hAnsi="Times New Roman" w:cs="Times New Roman"/>
                <w:sz w:val="26"/>
                <w:szCs w:val="26"/>
              </w:rPr>
              <w:t xml:space="preserve"> Maksājuma pastāvīgās daļas aprēķināšana, uzskaite un ieturēšana tiek </w:t>
            </w:r>
            <w:r w:rsidR="004177AE" w:rsidRPr="00E01B33">
              <w:rPr>
                <w:rFonts w:ascii="Times New Roman" w:eastAsia="Calibri" w:hAnsi="Times New Roman" w:cs="Times New Roman"/>
                <w:sz w:val="26"/>
                <w:szCs w:val="26"/>
              </w:rPr>
              <w:t>turpināta</w:t>
            </w:r>
            <w:r w:rsidR="00CB78F3" w:rsidRPr="00E01B33">
              <w:rPr>
                <w:rFonts w:ascii="Times New Roman" w:eastAsia="Calibri" w:hAnsi="Times New Roman" w:cs="Times New Roman"/>
                <w:sz w:val="26"/>
                <w:szCs w:val="26"/>
              </w:rPr>
              <w:t xml:space="preserve"> tādā pašā kārtībā, kāda bija noteikta </w:t>
            </w:r>
            <w:r w:rsidR="00CB78F3" w:rsidRPr="00E01B33">
              <w:rPr>
                <w:rFonts w:ascii="Times New Roman" w:hAnsi="Times New Roman" w:cs="Times New Roman"/>
                <w:color w:val="000000" w:themeColor="text1"/>
                <w:sz w:val="26"/>
                <w:szCs w:val="26"/>
              </w:rPr>
              <w:t xml:space="preserve">Ministru kabineta 2014.gada 14.oktobra noteikumos Nr. 615 "Kārtība, kādā valsts fondēto pensiju shēmas līdzekļu </w:t>
            </w:r>
            <w:r w:rsidR="00CB78F3" w:rsidRPr="00E01B33">
              <w:rPr>
                <w:rFonts w:ascii="Times New Roman" w:hAnsi="Times New Roman" w:cs="Times New Roman"/>
                <w:color w:val="000000" w:themeColor="text1"/>
                <w:sz w:val="26"/>
                <w:szCs w:val="26"/>
              </w:rPr>
              <w:lastRenderedPageBreak/>
              <w:t>pārvaldītājs aprēķina maksājumu par ieguldījumu plāna pārvaldi un tiek veikta maksājuma uzskaite un ieturēšana"</w:t>
            </w:r>
            <w:r w:rsidR="00167268" w:rsidRPr="00E01B33">
              <w:rPr>
                <w:rFonts w:ascii="Times New Roman" w:hAnsi="Times New Roman" w:cs="Times New Roman"/>
                <w:sz w:val="26"/>
                <w:szCs w:val="26"/>
              </w:rPr>
              <w:t>.</w:t>
            </w:r>
          </w:p>
          <w:p w:rsidR="00724767"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Lai varētu adekvāti novērtēt pārvaldītāju darbības rezultātus un motivēt tos,</w:t>
            </w:r>
            <w:r w:rsidR="0083147E" w:rsidRPr="00E01B33">
              <w:rPr>
                <w:rFonts w:ascii="Times New Roman" w:eastAsia="Calibri" w:hAnsi="Times New Roman" w:cs="Times New Roman"/>
                <w:sz w:val="26"/>
                <w:szCs w:val="26"/>
              </w:rPr>
              <w:t xml:space="preserve"> aprēķinot maksājuma mainīgo daļu, </w:t>
            </w:r>
            <w:r w:rsidRPr="00E01B33">
              <w:rPr>
                <w:rFonts w:ascii="Times New Roman" w:hAnsi="Times New Roman" w:cs="Times New Roman"/>
                <w:sz w:val="26"/>
                <w:szCs w:val="26"/>
              </w:rPr>
              <w:t>ir nepieciešams noteikt pensiju ieguldījumiem atbilstošus etalonus, kas aptvertu gan akciju, gan obligāciju tirgus, kur katrs no tiem būtu piemērots konkrētam ieguldījumu plāna stratēģijas veidam – t.s. konservatīvajiem, sabalansētājiem, aktīvajiem vai īpaši aktīvajiem plāniem. To plānu rezultātiem, kas neiegulda akcijās un cita veida kapitāla vērtspapīros, kā etalonu darbības rezultātu novērtēšanai ir adekvāti piemērot plašu obligācijas indeksu, kas atspoguļo ienesīgumu fiksētā ienākuma vērtspapīru tirgos. Savukārt ieguldījuma plānos, kuru prospektā paredzētā ieguldījumu stratēģija paredz ieguldīt akcijās un citos kapitāla vērtsp</w:t>
            </w:r>
            <w:r w:rsidR="0083147E" w:rsidRPr="00E01B33">
              <w:rPr>
                <w:rFonts w:ascii="Times New Roman" w:hAnsi="Times New Roman" w:cs="Times New Roman"/>
                <w:sz w:val="26"/>
                <w:szCs w:val="26"/>
              </w:rPr>
              <w:t>apīros, etalonu</w:t>
            </w:r>
            <w:r w:rsidRPr="00E01B33">
              <w:rPr>
                <w:rFonts w:ascii="Times New Roman" w:hAnsi="Times New Roman" w:cs="Times New Roman"/>
                <w:sz w:val="26"/>
                <w:szCs w:val="26"/>
              </w:rPr>
              <w:t xml:space="preserve"> nepieciešams noteikt, pievienojot obligāciju indeksam arī akciju tirgus indeksu atkarībā no plānu ieguldījumu īpatsvara kapitāla vērtspapīros. </w:t>
            </w:r>
          </w:p>
          <w:p w:rsidR="00724767"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Katram konkrētam ieguldījumu plāna stratēģijas veidam akciju indeksu īpatsvars etalonā nosakāms, balstoties uz likumā atļauto maksimāli iespējamo ieguldījuma limitu kapitāla vērtspapīros. Efektīvākai ieguldījumu portfeļa pārvaldīšanai, akciju indeksa īpatsvars nosakāms ar</w:t>
            </w:r>
            <w:proofErr w:type="gramStart"/>
            <w:r w:rsidRPr="00E01B33">
              <w:rPr>
                <w:rFonts w:ascii="Times New Roman" w:hAnsi="Times New Roman" w:cs="Times New Roman"/>
                <w:sz w:val="26"/>
                <w:szCs w:val="26"/>
              </w:rPr>
              <w:t xml:space="preserve"> </w:t>
            </w:r>
            <w:r w:rsidR="00134F1A" w:rsidRPr="00E01B33">
              <w:rPr>
                <w:rFonts w:ascii="Times New Roman" w:hAnsi="Times New Roman" w:cs="Times New Roman"/>
                <w:sz w:val="26"/>
                <w:szCs w:val="26"/>
              </w:rPr>
              <w:t xml:space="preserve"> </w:t>
            </w:r>
            <w:proofErr w:type="gramEnd"/>
            <w:r w:rsidR="00134F1A" w:rsidRPr="00E01B33">
              <w:rPr>
                <w:rFonts w:ascii="Times New Roman" w:hAnsi="Times New Roman" w:cs="Times New Roman"/>
                <w:sz w:val="26"/>
                <w:szCs w:val="26"/>
              </w:rPr>
              <w:t xml:space="preserve">pietiekami lielu </w:t>
            </w:r>
            <w:r w:rsidRPr="00E01B33">
              <w:rPr>
                <w:rFonts w:ascii="Times New Roman" w:hAnsi="Times New Roman" w:cs="Times New Roman"/>
                <w:sz w:val="26"/>
                <w:szCs w:val="26"/>
              </w:rPr>
              <w:t>rezerv</w:t>
            </w:r>
            <w:r w:rsidR="008063AD" w:rsidRPr="00E01B33">
              <w:rPr>
                <w:rFonts w:ascii="Times New Roman" w:hAnsi="Times New Roman" w:cs="Times New Roman"/>
                <w:sz w:val="26"/>
                <w:szCs w:val="26"/>
              </w:rPr>
              <w:t>i (</w:t>
            </w:r>
            <w:r w:rsidR="00134F1A" w:rsidRPr="00E01B33">
              <w:rPr>
                <w:rFonts w:ascii="Times New Roman" w:hAnsi="Times New Roman" w:cs="Times New Roman"/>
                <w:sz w:val="26"/>
                <w:szCs w:val="26"/>
              </w:rPr>
              <w:t>par</w:t>
            </w:r>
            <w:r w:rsidRPr="00E01B33">
              <w:rPr>
                <w:rFonts w:ascii="Times New Roman" w:hAnsi="Times New Roman" w:cs="Times New Roman"/>
                <w:sz w:val="26"/>
                <w:szCs w:val="26"/>
              </w:rPr>
              <w:t xml:space="preserve"> </w:t>
            </w:r>
            <w:r w:rsidR="00134F1A" w:rsidRPr="00E01B33">
              <w:rPr>
                <w:rFonts w:ascii="Times New Roman" w:hAnsi="Times New Roman" w:cs="Times New Roman"/>
                <w:sz w:val="26"/>
                <w:szCs w:val="26"/>
              </w:rPr>
              <w:t xml:space="preserve">28% </w:t>
            </w:r>
            <w:r w:rsidRPr="00E01B33">
              <w:rPr>
                <w:rFonts w:ascii="Times New Roman" w:hAnsi="Times New Roman" w:cs="Times New Roman"/>
                <w:sz w:val="26"/>
                <w:szCs w:val="26"/>
              </w:rPr>
              <w:t>procent</w:t>
            </w:r>
            <w:r w:rsidR="00134F1A" w:rsidRPr="00E01B33">
              <w:rPr>
                <w:rFonts w:ascii="Times New Roman" w:hAnsi="Times New Roman" w:cs="Times New Roman"/>
                <w:sz w:val="26"/>
                <w:szCs w:val="26"/>
              </w:rPr>
              <w:t>iem</w:t>
            </w:r>
            <w:r w:rsidRPr="00E01B33">
              <w:rPr>
                <w:rFonts w:ascii="Times New Roman" w:hAnsi="Times New Roman" w:cs="Times New Roman"/>
                <w:sz w:val="26"/>
                <w:szCs w:val="26"/>
              </w:rPr>
              <w:t xml:space="preserve"> mazāks par likumā maksimāli atļauto ieguldījumu akcijās un citos kapitāla vērtspapīros īpatsvaru): </w:t>
            </w:r>
          </w:p>
          <w:p w:rsidR="00724767" w:rsidRPr="00E01B33" w:rsidRDefault="00724767" w:rsidP="00F72610">
            <w:pPr>
              <w:pStyle w:val="ListParagraph"/>
              <w:numPr>
                <w:ilvl w:val="0"/>
                <w:numId w:val="3"/>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 xml:space="preserve">Tādējādi aktīvajiem plāniem, kuru atļautais limits ieguldījumiem akcijās un citos kapitāla vērtspapīros ir 50% no ieguldījuma plāna aktīviem, piemērots </w:t>
            </w:r>
            <w:r w:rsidR="0083147E" w:rsidRPr="00E01B33">
              <w:rPr>
                <w:rFonts w:ascii="Times New Roman" w:hAnsi="Times New Roman" w:cs="Times New Roman"/>
                <w:sz w:val="26"/>
                <w:szCs w:val="26"/>
                <w:lang w:val="lv-LV"/>
              </w:rPr>
              <w:t xml:space="preserve">ir </w:t>
            </w:r>
            <w:r w:rsidRPr="00E01B33">
              <w:rPr>
                <w:rFonts w:ascii="Times New Roman" w:hAnsi="Times New Roman" w:cs="Times New Roman"/>
                <w:sz w:val="26"/>
                <w:szCs w:val="26"/>
                <w:lang w:val="lv-LV"/>
              </w:rPr>
              <w:t xml:space="preserve">etalons, kas veidots kā </w:t>
            </w:r>
            <w:r w:rsidR="00134F1A" w:rsidRPr="00E01B33">
              <w:rPr>
                <w:rFonts w:ascii="Times New Roman" w:hAnsi="Times New Roman" w:cs="Times New Roman"/>
                <w:sz w:val="26"/>
                <w:szCs w:val="26"/>
                <w:lang w:val="lv-LV"/>
              </w:rPr>
              <w:t>36</w:t>
            </w:r>
            <w:r w:rsidRPr="00E01B33">
              <w:rPr>
                <w:rFonts w:ascii="Times New Roman" w:hAnsi="Times New Roman" w:cs="Times New Roman"/>
                <w:sz w:val="26"/>
                <w:szCs w:val="26"/>
                <w:lang w:val="lv-LV"/>
              </w:rPr>
              <w:t xml:space="preserve">% no akciju indeksa ienesīguma un atlikušie </w:t>
            </w:r>
            <w:r w:rsidR="00134F1A" w:rsidRPr="00E01B33">
              <w:rPr>
                <w:rFonts w:ascii="Times New Roman" w:hAnsi="Times New Roman" w:cs="Times New Roman"/>
                <w:sz w:val="26"/>
                <w:szCs w:val="26"/>
                <w:lang w:val="lv-LV"/>
              </w:rPr>
              <w:t>64</w:t>
            </w:r>
            <w:r w:rsidRPr="00E01B33">
              <w:rPr>
                <w:rFonts w:ascii="Times New Roman" w:hAnsi="Times New Roman" w:cs="Times New Roman"/>
                <w:sz w:val="26"/>
                <w:szCs w:val="26"/>
                <w:lang w:val="lv-LV"/>
              </w:rPr>
              <w:t xml:space="preserve">% no obligāciju indeksa ienesīguma; </w:t>
            </w:r>
          </w:p>
          <w:p w:rsidR="00724767" w:rsidRPr="00E01B33" w:rsidRDefault="004177AE" w:rsidP="001E414F">
            <w:pPr>
              <w:pStyle w:val="ListParagraph"/>
              <w:numPr>
                <w:ilvl w:val="0"/>
                <w:numId w:val="3"/>
              </w:numPr>
              <w:spacing w:after="120" w:line="240" w:lineRule="auto"/>
              <w:jc w:val="both"/>
              <w:rPr>
                <w:rFonts w:ascii="Times New Roman" w:eastAsia="Times New Roman" w:hAnsi="Times New Roman" w:cs="Times New Roman"/>
                <w:bCs/>
                <w:sz w:val="26"/>
                <w:szCs w:val="26"/>
                <w:shd w:val="clear" w:color="auto" w:fill="FFFFFF"/>
                <w:lang w:val="lv-LV"/>
              </w:rPr>
            </w:pPr>
            <w:r w:rsidRPr="00E01B33">
              <w:rPr>
                <w:rFonts w:ascii="Times New Roman" w:hAnsi="Times New Roman" w:cs="Times New Roman"/>
                <w:sz w:val="26"/>
                <w:szCs w:val="26"/>
                <w:lang w:val="lv-LV"/>
              </w:rPr>
              <w:t xml:space="preserve">Īpaši </w:t>
            </w:r>
            <w:r w:rsidR="00724767" w:rsidRPr="00E01B33">
              <w:rPr>
                <w:rFonts w:ascii="Times New Roman" w:hAnsi="Times New Roman" w:cs="Times New Roman"/>
                <w:sz w:val="26"/>
                <w:szCs w:val="26"/>
                <w:lang w:val="lv-LV"/>
              </w:rPr>
              <w:t>aktīvajiem plāniem</w:t>
            </w:r>
            <w:r w:rsidR="001E414F" w:rsidRPr="00E01B33">
              <w:rPr>
                <w:rFonts w:ascii="Times New Roman" w:hAnsi="Times New Roman" w:cs="Times New Roman"/>
                <w:sz w:val="26"/>
                <w:szCs w:val="26"/>
                <w:lang w:val="lv-LV"/>
              </w:rPr>
              <w:t xml:space="preserve"> (kādus pieļauj likums līdz ar 2017.gada 22.novembra grozījumiem)</w:t>
            </w:r>
            <w:r w:rsidR="00724767" w:rsidRPr="00E01B33">
              <w:rPr>
                <w:rFonts w:ascii="Times New Roman" w:hAnsi="Times New Roman" w:cs="Times New Roman"/>
                <w:sz w:val="26"/>
                <w:szCs w:val="26"/>
                <w:lang w:val="lv-LV"/>
              </w:rPr>
              <w:t>, kuru atļautais limits ieguldījumiem akcijās un citos kapitāla vērtspapīros sākot ar 2018. gadu būs 75% no ieguldījuma plāna aktīviem, piemērots</w:t>
            </w:r>
            <w:r w:rsidR="0083147E" w:rsidRPr="00E01B33">
              <w:rPr>
                <w:rFonts w:ascii="Times New Roman" w:hAnsi="Times New Roman" w:cs="Times New Roman"/>
                <w:sz w:val="26"/>
                <w:szCs w:val="26"/>
                <w:lang w:val="lv-LV"/>
              </w:rPr>
              <w:t xml:space="preserve"> ir </w:t>
            </w:r>
            <w:r w:rsidR="00724767" w:rsidRPr="00E01B33">
              <w:rPr>
                <w:rFonts w:ascii="Times New Roman" w:hAnsi="Times New Roman" w:cs="Times New Roman"/>
                <w:sz w:val="26"/>
                <w:szCs w:val="26"/>
                <w:lang w:val="lv-LV"/>
              </w:rPr>
              <w:t xml:space="preserve">etalons, kas veidots kā </w:t>
            </w:r>
            <w:r w:rsidR="00134F1A" w:rsidRPr="00E01B33">
              <w:rPr>
                <w:rFonts w:ascii="Times New Roman" w:hAnsi="Times New Roman" w:cs="Times New Roman"/>
                <w:sz w:val="26"/>
                <w:szCs w:val="26"/>
                <w:lang w:val="lv-LV"/>
              </w:rPr>
              <w:t>54</w:t>
            </w:r>
            <w:r w:rsidR="00724767" w:rsidRPr="00E01B33">
              <w:rPr>
                <w:rFonts w:ascii="Times New Roman" w:hAnsi="Times New Roman" w:cs="Times New Roman"/>
                <w:sz w:val="26"/>
                <w:szCs w:val="26"/>
                <w:lang w:val="lv-LV"/>
              </w:rPr>
              <w:t xml:space="preserve">% no akciju indeksa ienesīguma un atlikušie </w:t>
            </w:r>
            <w:r w:rsidR="00134F1A" w:rsidRPr="00E01B33">
              <w:rPr>
                <w:rFonts w:ascii="Times New Roman" w:hAnsi="Times New Roman" w:cs="Times New Roman"/>
                <w:sz w:val="26"/>
                <w:szCs w:val="26"/>
                <w:lang w:val="lv-LV"/>
              </w:rPr>
              <w:t>46</w:t>
            </w:r>
            <w:r w:rsidR="00724767" w:rsidRPr="00E01B33">
              <w:rPr>
                <w:rFonts w:ascii="Times New Roman" w:hAnsi="Times New Roman" w:cs="Times New Roman"/>
                <w:sz w:val="26"/>
                <w:szCs w:val="26"/>
                <w:lang w:val="lv-LV"/>
              </w:rPr>
              <w:t xml:space="preserve">% no obligāciju indeksa ienesīguma; </w:t>
            </w:r>
          </w:p>
          <w:p w:rsidR="00724767" w:rsidRPr="00E01B33" w:rsidRDefault="00724767" w:rsidP="00F72610">
            <w:pPr>
              <w:pStyle w:val="ListParagraph"/>
              <w:numPr>
                <w:ilvl w:val="0"/>
                <w:numId w:val="3"/>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lastRenderedPageBreak/>
              <w:t xml:space="preserve">Savukārt t.s. sabalansētajiem plāniem, kuru prospektos noteiktais limits ieguldījumiem akcijās un citos kapitāla vērtspapīros </w:t>
            </w:r>
            <w:r w:rsidR="00B82623" w:rsidRPr="00E01B33">
              <w:rPr>
                <w:rFonts w:ascii="Times New Roman" w:hAnsi="Times New Roman" w:cs="Times New Roman"/>
                <w:sz w:val="26"/>
                <w:szCs w:val="26"/>
                <w:lang w:val="lv-LV"/>
              </w:rPr>
              <w:t xml:space="preserve">parasti </w:t>
            </w:r>
            <w:r w:rsidRPr="00E01B33">
              <w:rPr>
                <w:rFonts w:ascii="Times New Roman" w:hAnsi="Times New Roman" w:cs="Times New Roman"/>
                <w:sz w:val="26"/>
                <w:szCs w:val="26"/>
                <w:lang w:val="lv-LV"/>
              </w:rPr>
              <w:t xml:space="preserve">ir 25% no ieguldījuma plāna aktīviem (puse no likumā atļautā limita), akciju indeksa ienesīguma īpatsvaram etalonā </w:t>
            </w:r>
            <w:r w:rsidR="0083147E" w:rsidRPr="00E01B33">
              <w:rPr>
                <w:rFonts w:ascii="Times New Roman" w:hAnsi="Times New Roman" w:cs="Times New Roman"/>
                <w:sz w:val="26"/>
                <w:szCs w:val="26"/>
                <w:lang w:val="lv-LV"/>
              </w:rPr>
              <w:t>ir</w:t>
            </w:r>
            <w:r w:rsidRPr="00E01B33">
              <w:rPr>
                <w:rFonts w:ascii="Times New Roman" w:hAnsi="Times New Roman" w:cs="Times New Roman"/>
                <w:sz w:val="26"/>
                <w:szCs w:val="26"/>
                <w:lang w:val="lv-LV"/>
              </w:rPr>
              <w:t xml:space="preserve"> jābūt </w:t>
            </w:r>
            <w:r w:rsidR="00134F1A" w:rsidRPr="00E01B33">
              <w:rPr>
                <w:rFonts w:ascii="Times New Roman" w:hAnsi="Times New Roman" w:cs="Times New Roman"/>
                <w:sz w:val="26"/>
                <w:szCs w:val="26"/>
                <w:lang w:val="lv-LV"/>
              </w:rPr>
              <w:t>18</w:t>
            </w:r>
            <w:r w:rsidRPr="00E01B33">
              <w:rPr>
                <w:rFonts w:ascii="Times New Roman" w:hAnsi="Times New Roman" w:cs="Times New Roman"/>
                <w:sz w:val="26"/>
                <w:szCs w:val="26"/>
                <w:lang w:val="lv-LV"/>
              </w:rPr>
              <w:t xml:space="preserve">%. </w:t>
            </w:r>
          </w:p>
          <w:p w:rsidR="00F72610"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 xml:space="preserve">Visaptverošu akciju un obligāciju tirgus indeksu izvēle ir plaša, taču ilgākā termiņā šo indeksu ienesīgumi gan Eiropas akciju tirgos, gan investīciju reitinga obligāciju tirgos ir salīdzinoši līdzīgi (vidēji pēdējo </w:t>
            </w:r>
            <w:r w:rsidR="0083147E" w:rsidRPr="00E01B33">
              <w:rPr>
                <w:rFonts w:ascii="Times New Roman" w:hAnsi="Times New Roman" w:cs="Times New Roman"/>
                <w:sz w:val="26"/>
                <w:szCs w:val="26"/>
              </w:rPr>
              <w:t>astoņu</w:t>
            </w:r>
            <w:r w:rsidRPr="00E01B33">
              <w:rPr>
                <w:rFonts w:ascii="Times New Roman" w:hAnsi="Times New Roman" w:cs="Times New Roman"/>
                <w:sz w:val="26"/>
                <w:szCs w:val="26"/>
              </w:rPr>
              <w:t xml:space="preserve"> gadu laikā dažādu Eiropas akciju indeksu ienesīgumi lielākoties bija diapazonā no 11% līdz 12%, savukārt Eiropas obligāciju indeksu ienesīgumi lielākoties bija ap 5%). </w:t>
            </w:r>
          </w:p>
          <w:p w:rsidR="00724767" w:rsidRPr="00E01B33" w:rsidRDefault="00724767" w:rsidP="00F72610">
            <w:pPr>
              <w:spacing w:after="120" w:line="240" w:lineRule="auto"/>
              <w:jc w:val="both"/>
              <w:rPr>
                <w:rFonts w:ascii="Times New Roman" w:hAnsi="Times New Roman" w:cs="Times New Roman"/>
                <w:sz w:val="26"/>
                <w:szCs w:val="26"/>
              </w:rPr>
            </w:pPr>
            <w:proofErr w:type="spellStart"/>
            <w:r w:rsidRPr="00E01B33">
              <w:rPr>
                <w:rFonts w:ascii="Times New Roman" w:hAnsi="Times New Roman" w:cs="Times New Roman"/>
                <w:i/>
                <w:sz w:val="26"/>
                <w:szCs w:val="26"/>
              </w:rPr>
              <w:t>Bloomberg</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Barclays</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Euro</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Aggregate</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Total</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Return</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Euro</w:t>
            </w:r>
            <w:proofErr w:type="spellEnd"/>
            <w:r w:rsidRPr="00E01B33">
              <w:rPr>
                <w:rFonts w:ascii="Times New Roman" w:hAnsi="Times New Roman" w:cs="Times New Roman"/>
                <w:i/>
                <w:sz w:val="26"/>
                <w:szCs w:val="26"/>
              </w:rPr>
              <w:t xml:space="preserve"> </w:t>
            </w:r>
            <w:proofErr w:type="spellStart"/>
            <w:r w:rsidRPr="00E01B33">
              <w:rPr>
                <w:rFonts w:ascii="Times New Roman" w:hAnsi="Times New Roman" w:cs="Times New Roman"/>
                <w:i/>
                <w:sz w:val="26"/>
                <w:szCs w:val="26"/>
              </w:rPr>
              <w:t>Unhedged</w:t>
            </w:r>
            <w:proofErr w:type="spellEnd"/>
            <w:r w:rsidRPr="00E01B33">
              <w:rPr>
                <w:rFonts w:ascii="Times New Roman" w:hAnsi="Times New Roman" w:cs="Times New Roman"/>
                <w:sz w:val="26"/>
                <w:szCs w:val="26"/>
              </w:rPr>
              <w:t xml:space="preserve"> indekss ir viens no plaši lietotiem investīciju reitinga obligāciju tirgus indeksiem, kas varētu būt piemērots etalonos pensiju plānu darbības rezultātu novērtēšanai. Šī indeksa priekšrocības ir sekojošas: </w:t>
            </w:r>
          </w:p>
          <w:p w:rsidR="00724767" w:rsidRPr="00E01B33" w:rsidRDefault="00724767" w:rsidP="00F72610">
            <w:pPr>
              <w:pStyle w:val="ListParagraph"/>
              <w:numPr>
                <w:ilvl w:val="0"/>
                <w:numId w:val="5"/>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 xml:space="preserve">liels </w:t>
            </w:r>
            <w:r w:rsidR="0083147E" w:rsidRPr="00E01B33">
              <w:rPr>
                <w:rFonts w:ascii="Times New Roman" w:hAnsi="Times New Roman" w:cs="Times New Roman"/>
                <w:sz w:val="26"/>
                <w:szCs w:val="26"/>
                <w:lang w:val="lv-LV"/>
              </w:rPr>
              <w:t>tajā iekļauto obligāciju skaits;</w:t>
            </w:r>
          </w:p>
          <w:p w:rsidR="00724767" w:rsidRPr="00E01B33" w:rsidRDefault="00724767" w:rsidP="00F72610">
            <w:pPr>
              <w:pStyle w:val="ListParagraph"/>
              <w:numPr>
                <w:ilvl w:val="0"/>
                <w:numId w:val="5"/>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 xml:space="preserve">plašs investīciju reitinga fiksētā ienākuma instrumentu tirgus dažādo </w:t>
            </w:r>
            <w:r w:rsidR="0083147E" w:rsidRPr="00E01B33">
              <w:rPr>
                <w:rFonts w:ascii="Times New Roman" w:hAnsi="Times New Roman" w:cs="Times New Roman"/>
                <w:sz w:val="26"/>
                <w:szCs w:val="26"/>
                <w:lang w:val="lv-LV"/>
              </w:rPr>
              <w:t>sektoru un instrumentu tvērums;</w:t>
            </w:r>
          </w:p>
          <w:p w:rsidR="00724767" w:rsidRPr="00E01B33" w:rsidRDefault="00724767" w:rsidP="00F72610">
            <w:pPr>
              <w:pStyle w:val="ListParagraph"/>
              <w:numPr>
                <w:ilvl w:val="0"/>
                <w:numId w:val="5"/>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par minēto indeksu ir pieejama detalizēta informācija un tam ir gara datu vēsture –</w:t>
            </w:r>
            <w:r w:rsidR="0083147E" w:rsidRPr="00E01B33">
              <w:rPr>
                <w:rFonts w:ascii="Times New Roman" w:hAnsi="Times New Roman" w:cs="Times New Roman"/>
                <w:sz w:val="26"/>
                <w:szCs w:val="26"/>
                <w:lang w:val="lv-LV"/>
              </w:rPr>
              <w:t xml:space="preserve"> tas ir pieejams kopš 1998.gada.</w:t>
            </w:r>
          </w:p>
          <w:p w:rsidR="00724767" w:rsidRPr="00E01B33" w:rsidRDefault="00724767" w:rsidP="00F72610">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 xml:space="preserve">Savukārt, </w:t>
            </w:r>
            <w:r w:rsidRPr="00E01B33">
              <w:rPr>
                <w:rFonts w:ascii="Times New Roman" w:hAnsi="Times New Roman" w:cs="Times New Roman"/>
                <w:i/>
                <w:sz w:val="26"/>
                <w:szCs w:val="26"/>
              </w:rPr>
              <w:t xml:space="preserve">STOXX </w:t>
            </w:r>
            <w:proofErr w:type="spellStart"/>
            <w:r w:rsidRPr="00E01B33">
              <w:rPr>
                <w:rFonts w:ascii="Times New Roman" w:hAnsi="Times New Roman" w:cs="Times New Roman"/>
                <w:i/>
                <w:sz w:val="26"/>
                <w:szCs w:val="26"/>
              </w:rPr>
              <w:t>Europe</w:t>
            </w:r>
            <w:proofErr w:type="spellEnd"/>
            <w:r w:rsidRPr="00E01B33">
              <w:rPr>
                <w:rFonts w:ascii="Times New Roman" w:hAnsi="Times New Roman" w:cs="Times New Roman"/>
                <w:i/>
                <w:sz w:val="26"/>
                <w:szCs w:val="26"/>
              </w:rPr>
              <w:t xml:space="preserve"> 600</w:t>
            </w:r>
            <w:r w:rsidRPr="00E01B33">
              <w:rPr>
                <w:rFonts w:ascii="Times New Roman" w:hAnsi="Times New Roman" w:cs="Times New Roman"/>
                <w:sz w:val="26"/>
                <w:szCs w:val="26"/>
              </w:rPr>
              <w:t xml:space="preserve"> indekss ir plašs Eiropas akciju tirgus indekss, kas aptver 600 Eiropas kompāniju akcijas ar dažādu kapitalizāciju: šajā indeksā iekļaut</w:t>
            </w:r>
            <w:r w:rsidR="003236F2" w:rsidRPr="00E01B33">
              <w:rPr>
                <w:rFonts w:ascii="Times New Roman" w:hAnsi="Times New Roman" w:cs="Times New Roman"/>
                <w:sz w:val="26"/>
                <w:szCs w:val="26"/>
              </w:rPr>
              <w:t>i</w:t>
            </w:r>
            <w:r w:rsidRPr="00E01B33">
              <w:rPr>
                <w:rFonts w:ascii="Times New Roman" w:hAnsi="Times New Roman" w:cs="Times New Roman"/>
                <w:sz w:val="26"/>
                <w:szCs w:val="26"/>
              </w:rPr>
              <w:t xml:space="preserve"> gan uzņēmumi ar lielu, gan ar vidēj</w:t>
            </w:r>
            <w:r w:rsidR="003236F2" w:rsidRPr="00E01B33">
              <w:rPr>
                <w:rFonts w:ascii="Times New Roman" w:hAnsi="Times New Roman" w:cs="Times New Roman"/>
                <w:sz w:val="26"/>
                <w:szCs w:val="26"/>
              </w:rPr>
              <w:t>u</w:t>
            </w:r>
            <w:r w:rsidRPr="00E01B33">
              <w:rPr>
                <w:rFonts w:ascii="Times New Roman" w:hAnsi="Times New Roman" w:cs="Times New Roman"/>
                <w:sz w:val="26"/>
                <w:szCs w:val="26"/>
              </w:rPr>
              <w:t xml:space="preserve">, gan ar </w:t>
            </w:r>
            <w:r w:rsidR="003236F2" w:rsidRPr="00E01B33">
              <w:rPr>
                <w:rFonts w:ascii="Times New Roman" w:hAnsi="Times New Roman" w:cs="Times New Roman"/>
                <w:sz w:val="26"/>
                <w:szCs w:val="26"/>
              </w:rPr>
              <w:t>zemu</w:t>
            </w:r>
            <w:r w:rsidRPr="00E01B33">
              <w:rPr>
                <w:rFonts w:ascii="Times New Roman" w:hAnsi="Times New Roman" w:cs="Times New Roman"/>
                <w:sz w:val="26"/>
                <w:szCs w:val="26"/>
              </w:rPr>
              <w:t xml:space="preserve"> kapitalizāciju. Bez lielā uzņēmumu akciju skaita un dažādu nozaru un uzņēmuma lieluma tvēruma, citas šī indeksa priekšrocības ir sekojošas: </w:t>
            </w:r>
          </w:p>
          <w:p w:rsidR="00724767" w:rsidRPr="00E01B33" w:rsidRDefault="00724767" w:rsidP="00F72610">
            <w:pPr>
              <w:pStyle w:val="ListParagraph"/>
              <w:numPr>
                <w:ilvl w:val="0"/>
                <w:numId w:val="4"/>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 xml:space="preserve">indeksā iekļauto brīvā tirdzniecībā esošo akciju vērtība ir ļoti </w:t>
            </w:r>
            <w:r w:rsidR="00283E1C" w:rsidRPr="00E01B33">
              <w:rPr>
                <w:rFonts w:ascii="Times New Roman" w:hAnsi="Times New Roman" w:cs="Times New Roman"/>
                <w:sz w:val="26"/>
                <w:szCs w:val="26"/>
                <w:lang w:val="lv-LV"/>
              </w:rPr>
              <w:t>augsta</w:t>
            </w:r>
            <w:r w:rsidRPr="00E01B33">
              <w:rPr>
                <w:rFonts w:ascii="Times New Roman" w:hAnsi="Times New Roman" w:cs="Times New Roman"/>
                <w:sz w:val="26"/>
                <w:szCs w:val="26"/>
                <w:lang w:val="lv-LV"/>
              </w:rPr>
              <w:t xml:space="preserve">, kas padara to stabilāku un mazāk jutīgu pret </w:t>
            </w:r>
            <w:r w:rsidR="00283E1C" w:rsidRPr="00E01B33">
              <w:rPr>
                <w:rFonts w:ascii="Times New Roman" w:hAnsi="Times New Roman" w:cs="Times New Roman"/>
                <w:sz w:val="26"/>
                <w:szCs w:val="26"/>
                <w:lang w:val="lv-LV"/>
              </w:rPr>
              <w:t>atsevišķiem</w:t>
            </w:r>
            <w:r w:rsidRPr="00E01B33">
              <w:rPr>
                <w:rFonts w:ascii="Times New Roman" w:hAnsi="Times New Roman" w:cs="Times New Roman"/>
                <w:sz w:val="26"/>
                <w:szCs w:val="26"/>
                <w:lang w:val="lv-LV"/>
              </w:rPr>
              <w:t xml:space="preserve"> darījumiem; </w:t>
            </w:r>
          </w:p>
          <w:p w:rsidR="00724767" w:rsidRPr="00E01B33" w:rsidRDefault="00724767" w:rsidP="00F72610">
            <w:pPr>
              <w:pStyle w:val="ListParagraph"/>
              <w:numPr>
                <w:ilvl w:val="0"/>
                <w:numId w:val="4"/>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pastāv daudzi šo indeksu replicējošie ieguldījumu fondi, kuros pārvaldnieki, izvēloties pasīvu ieguldījumu stratēģiju, varētu ieguldīt daļu no līdzekļiem;</w:t>
            </w:r>
          </w:p>
          <w:p w:rsidR="00724767" w:rsidRPr="00E01B33" w:rsidRDefault="00724767" w:rsidP="00F72610">
            <w:pPr>
              <w:pStyle w:val="ListParagraph"/>
              <w:numPr>
                <w:ilvl w:val="0"/>
                <w:numId w:val="4"/>
              </w:numPr>
              <w:spacing w:after="120" w:line="240" w:lineRule="auto"/>
              <w:jc w:val="both"/>
              <w:rPr>
                <w:rFonts w:ascii="Times New Roman" w:hAnsi="Times New Roman" w:cs="Times New Roman"/>
                <w:sz w:val="26"/>
                <w:szCs w:val="26"/>
                <w:lang w:val="lv-LV"/>
              </w:rPr>
            </w:pPr>
            <w:r w:rsidRPr="00E01B33">
              <w:rPr>
                <w:rFonts w:ascii="Times New Roman" w:hAnsi="Times New Roman" w:cs="Times New Roman"/>
                <w:sz w:val="26"/>
                <w:szCs w:val="26"/>
                <w:lang w:val="lv-LV"/>
              </w:rPr>
              <w:t xml:space="preserve">par šo indeksu ir pieejama detalizēta informācija, kā arī tam ir gara vēsture – tā </w:t>
            </w:r>
            <w:r w:rsidRPr="00E01B33">
              <w:rPr>
                <w:rFonts w:ascii="Times New Roman" w:hAnsi="Times New Roman" w:cs="Times New Roman"/>
                <w:sz w:val="26"/>
                <w:szCs w:val="26"/>
                <w:lang w:val="lv-LV"/>
              </w:rPr>
              <w:lastRenderedPageBreak/>
              <w:t xml:space="preserve">publikācija </w:t>
            </w:r>
            <w:r w:rsidR="00FD6B37" w:rsidRPr="00E01B33">
              <w:rPr>
                <w:rFonts w:ascii="Times New Roman" w:hAnsi="Times New Roman" w:cs="Times New Roman"/>
                <w:sz w:val="26"/>
                <w:szCs w:val="26"/>
                <w:lang w:val="lv-LV"/>
              </w:rPr>
              <w:t>u</w:t>
            </w:r>
            <w:r w:rsidRPr="00E01B33">
              <w:rPr>
                <w:rFonts w:ascii="Times New Roman" w:hAnsi="Times New Roman" w:cs="Times New Roman"/>
                <w:sz w:val="26"/>
                <w:szCs w:val="26"/>
                <w:lang w:val="lv-LV"/>
              </w:rPr>
              <w:t>zsākta 1987.gadā.</w:t>
            </w:r>
          </w:p>
          <w:p w:rsidR="00423A12" w:rsidRPr="00E01B33" w:rsidRDefault="00423A12" w:rsidP="00423A12">
            <w:pPr>
              <w:autoSpaceDE w:val="0"/>
              <w:autoSpaceDN w:val="0"/>
              <w:adjustRightInd w:val="0"/>
              <w:spacing w:after="120" w:line="240" w:lineRule="auto"/>
              <w:ind w:right="137"/>
              <w:jc w:val="both"/>
              <w:rPr>
                <w:rFonts w:ascii="Times New Roman" w:eastAsia="Calibri" w:hAnsi="Times New Roman" w:cs="Times New Roman"/>
                <w:sz w:val="26"/>
                <w:szCs w:val="26"/>
              </w:rPr>
            </w:pPr>
            <w:r w:rsidRPr="00E01B33">
              <w:rPr>
                <w:rFonts w:ascii="Times New Roman" w:eastAsia="Calibri" w:hAnsi="Times New Roman" w:cs="Times New Roman"/>
                <w:sz w:val="26"/>
                <w:szCs w:val="26"/>
              </w:rPr>
              <w:t xml:space="preserve">Maksājuma mainīgās daļas aprēķinu veic </w:t>
            </w:r>
            <w:r w:rsidR="006B4F2A" w:rsidRPr="00E01B33">
              <w:rPr>
                <w:rFonts w:ascii="Times New Roman" w:eastAsia="Calibri" w:hAnsi="Times New Roman" w:cs="Times New Roman"/>
                <w:sz w:val="26"/>
                <w:szCs w:val="26"/>
              </w:rPr>
              <w:t xml:space="preserve">divos </w:t>
            </w:r>
            <w:r w:rsidR="007C1A44" w:rsidRPr="00E01B33">
              <w:rPr>
                <w:rFonts w:ascii="Times New Roman" w:eastAsia="Calibri" w:hAnsi="Times New Roman" w:cs="Times New Roman"/>
                <w:sz w:val="26"/>
                <w:szCs w:val="26"/>
              </w:rPr>
              <w:t>posmos</w:t>
            </w:r>
            <w:r w:rsidRPr="00E01B33">
              <w:rPr>
                <w:rFonts w:ascii="Times New Roman" w:eastAsia="Calibri" w:hAnsi="Times New Roman" w:cs="Times New Roman"/>
                <w:sz w:val="26"/>
                <w:szCs w:val="26"/>
              </w:rPr>
              <w:t>. Pirmkārt, tiek noteikts maksājuma mainīgās daļas apmērs aprēķina dienā,</w:t>
            </w:r>
            <w:r w:rsidR="00380293" w:rsidRPr="00E01B33">
              <w:rPr>
                <w:rFonts w:ascii="Times New Roman" w:eastAsia="Calibri" w:hAnsi="Times New Roman" w:cs="Times New Roman"/>
                <w:sz w:val="26"/>
                <w:szCs w:val="26"/>
              </w:rPr>
              <w:t xml:space="preserve"> kas </w:t>
            </w:r>
            <w:r w:rsidR="00FD0678" w:rsidRPr="00E01B33">
              <w:rPr>
                <w:rFonts w:ascii="Times New Roman" w:eastAsia="Calibri" w:hAnsi="Times New Roman" w:cs="Times New Roman"/>
                <w:sz w:val="26"/>
                <w:szCs w:val="26"/>
              </w:rPr>
              <w:t xml:space="preserve">ir </w:t>
            </w:r>
            <w:r w:rsidR="00380293" w:rsidRPr="00E01B33">
              <w:rPr>
                <w:rFonts w:ascii="Times New Roman" w:eastAsia="Calibri" w:hAnsi="Times New Roman" w:cs="Times New Roman"/>
                <w:sz w:val="26"/>
                <w:szCs w:val="26"/>
              </w:rPr>
              <w:t>atkarīgs no</w:t>
            </w:r>
            <w:r w:rsidR="009A7E37" w:rsidRPr="00E01B33">
              <w:rPr>
                <w:rFonts w:ascii="Times New Roman" w:eastAsia="Calibri" w:hAnsi="Times New Roman" w:cs="Times New Roman"/>
                <w:sz w:val="26"/>
                <w:szCs w:val="26"/>
              </w:rPr>
              <w:t xml:space="preserve"> </w:t>
            </w:r>
            <w:r w:rsidR="004276DE" w:rsidRPr="00E01B33">
              <w:rPr>
                <w:rFonts w:ascii="Times New Roman" w:eastAsia="Calibri" w:hAnsi="Times New Roman" w:cs="Times New Roman"/>
                <w:sz w:val="26"/>
                <w:szCs w:val="26"/>
              </w:rPr>
              <w:t xml:space="preserve">ieguldījuma plāna </w:t>
            </w:r>
            <w:r w:rsidR="00380293" w:rsidRPr="00E01B33">
              <w:rPr>
                <w:rFonts w:ascii="Times New Roman" w:eastAsia="Calibri" w:hAnsi="Times New Roman" w:cs="Times New Roman"/>
                <w:sz w:val="26"/>
                <w:szCs w:val="26"/>
              </w:rPr>
              <w:t>šīs dienas</w:t>
            </w:r>
            <w:r w:rsidR="004276DE" w:rsidRPr="00E01B33">
              <w:rPr>
                <w:rFonts w:ascii="Times New Roman" w:eastAsia="Calibri" w:hAnsi="Times New Roman" w:cs="Times New Roman"/>
                <w:sz w:val="26"/>
                <w:szCs w:val="26"/>
              </w:rPr>
              <w:t xml:space="preserve"> </w:t>
            </w:r>
            <w:r w:rsidR="00513DC1" w:rsidRPr="00E01B33">
              <w:rPr>
                <w:rFonts w:ascii="Times New Roman" w:eastAsia="Calibri" w:hAnsi="Times New Roman" w:cs="Times New Roman"/>
                <w:sz w:val="26"/>
                <w:szCs w:val="26"/>
              </w:rPr>
              <w:t xml:space="preserve">virspeļņas </w:t>
            </w:r>
            <w:r w:rsidR="00FD0678" w:rsidRPr="00E01B33">
              <w:rPr>
                <w:rFonts w:ascii="Times New Roman" w:eastAsia="Calibri" w:hAnsi="Times New Roman" w:cs="Times New Roman"/>
                <w:sz w:val="26"/>
                <w:szCs w:val="26"/>
              </w:rPr>
              <w:t>salīdzinājumā ar atskaites indeksu</w:t>
            </w:r>
            <w:r w:rsidR="00380293" w:rsidRPr="00E01B33">
              <w:rPr>
                <w:rFonts w:ascii="Times New Roman" w:eastAsia="Calibri" w:hAnsi="Times New Roman" w:cs="Times New Roman"/>
                <w:sz w:val="26"/>
                <w:szCs w:val="26"/>
              </w:rPr>
              <w:t>.</w:t>
            </w:r>
            <w:r w:rsidRPr="00E01B33">
              <w:rPr>
                <w:rFonts w:ascii="Times New Roman" w:eastAsia="Calibri" w:hAnsi="Times New Roman" w:cs="Times New Roman"/>
                <w:sz w:val="26"/>
                <w:szCs w:val="26"/>
              </w:rPr>
              <w:t xml:space="preserve"> </w:t>
            </w:r>
            <w:r w:rsidR="00380293" w:rsidRPr="00E01B33">
              <w:rPr>
                <w:rFonts w:ascii="Times New Roman" w:eastAsia="Calibri" w:hAnsi="Times New Roman" w:cs="Times New Roman"/>
                <w:sz w:val="26"/>
                <w:szCs w:val="26"/>
              </w:rPr>
              <w:t>T</w:t>
            </w:r>
            <w:r w:rsidRPr="00E01B33">
              <w:rPr>
                <w:rFonts w:ascii="Times New Roman" w:eastAsia="Calibri" w:hAnsi="Times New Roman" w:cs="Times New Roman"/>
                <w:sz w:val="26"/>
                <w:szCs w:val="26"/>
              </w:rPr>
              <w:t>o uzkrāj</w:t>
            </w:r>
            <w:r w:rsidR="00E01B33" w:rsidRPr="00E01B33">
              <w:rPr>
                <w:rFonts w:ascii="Times New Roman" w:eastAsia="Calibri" w:hAnsi="Times New Roman" w:cs="Times New Roman"/>
                <w:sz w:val="26"/>
                <w:szCs w:val="26"/>
              </w:rPr>
              <w:t>,</w:t>
            </w:r>
            <w:r w:rsidR="00567DE9" w:rsidRPr="00E01B33">
              <w:rPr>
                <w:rFonts w:ascii="Times New Roman" w:eastAsia="Calibri" w:hAnsi="Times New Roman" w:cs="Times New Roman"/>
                <w:sz w:val="26"/>
                <w:szCs w:val="26"/>
              </w:rPr>
              <w:t xml:space="preserve"> summējot par katru aprēķina dienu aprēķināto maksājuma mainīgo daļu,</w:t>
            </w:r>
            <w:r w:rsidRPr="00E01B33">
              <w:rPr>
                <w:rFonts w:ascii="Times New Roman" w:eastAsia="Calibri" w:hAnsi="Times New Roman" w:cs="Times New Roman"/>
                <w:sz w:val="26"/>
                <w:szCs w:val="26"/>
              </w:rPr>
              <w:t xml:space="preserve"> gada laikā, iegūstot kopējo maksājuma mainīgās daļas apmēru par kārtējo gadu.</w:t>
            </w:r>
            <w:r w:rsidR="00513DC1" w:rsidRPr="00E01B33">
              <w:rPr>
                <w:rFonts w:ascii="Times New Roman" w:eastAsia="Calibri" w:hAnsi="Times New Roman" w:cs="Times New Roman"/>
                <w:sz w:val="26"/>
                <w:szCs w:val="26"/>
              </w:rPr>
              <w:t xml:space="preserve"> </w:t>
            </w:r>
            <w:r w:rsidR="00A346BB" w:rsidRPr="00E01B33">
              <w:rPr>
                <w:rFonts w:ascii="Times New Roman" w:eastAsia="Calibri" w:hAnsi="Times New Roman" w:cs="Times New Roman"/>
                <w:sz w:val="26"/>
                <w:szCs w:val="26"/>
              </w:rPr>
              <w:t>Uzkrātais</w:t>
            </w:r>
            <w:r w:rsidR="00513DC1" w:rsidRPr="00E01B33">
              <w:rPr>
                <w:rFonts w:ascii="Times New Roman" w:eastAsia="Calibri" w:hAnsi="Times New Roman" w:cs="Times New Roman"/>
                <w:sz w:val="26"/>
                <w:szCs w:val="26"/>
              </w:rPr>
              <w:t xml:space="preserve"> mainīgās daļas apmērs nevar pārsnie</w:t>
            </w:r>
            <w:r w:rsidR="00FD0678" w:rsidRPr="00E01B33">
              <w:rPr>
                <w:rFonts w:ascii="Times New Roman" w:eastAsia="Calibri" w:hAnsi="Times New Roman" w:cs="Times New Roman"/>
                <w:sz w:val="26"/>
                <w:szCs w:val="26"/>
              </w:rPr>
              <w:t>g</w:t>
            </w:r>
            <w:r w:rsidR="00513DC1" w:rsidRPr="00E01B33">
              <w:rPr>
                <w:rFonts w:ascii="Times New Roman" w:eastAsia="Calibri" w:hAnsi="Times New Roman" w:cs="Times New Roman"/>
                <w:sz w:val="26"/>
                <w:szCs w:val="26"/>
              </w:rPr>
              <w:t xml:space="preserve">t maksimālo mainīgās daļas apmēru, kas </w:t>
            </w:r>
            <w:r w:rsidR="00104D13" w:rsidRPr="00E01B33">
              <w:rPr>
                <w:rFonts w:ascii="Times New Roman" w:eastAsia="Calibri" w:hAnsi="Times New Roman" w:cs="Times New Roman"/>
                <w:sz w:val="26"/>
                <w:szCs w:val="26"/>
              </w:rPr>
              <w:t xml:space="preserve">ir starpība starp </w:t>
            </w:r>
            <w:r w:rsidR="00513DC1" w:rsidRPr="00E01B33">
              <w:rPr>
                <w:rFonts w:ascii="Times New Roman" w:eastAsia="Calibri" w:hAnsi="Times New Roman" w:cs="Times New Roman"/>
                <w:sz w:val="26"/>
                <w:szCs w:val="26"/>
              </w:rPr>
              <w:t xml:space="preserve">likumā </w:t>
            </w:r>
            <w:r w:rsidR="00A346BB" w:rsidRPr="00E01B33">
              <w:rPr>
                <w:rFonts w:ascii="Times New Roman" w:eastAsia="Calibri" w:hAnsi="Times New Roman" w:cs="Times New Roman"/>
                <w:sz w:val="26"/>
                <w:szCs w:val="26"/>
              </w:rPr>
              <w:t>noteikt</w:t>
            </w:r>
            <w:r w:rsidR="00104D13" w:rsidRPr="00E01B33">
              <w:rPr>
                <w:rFonts w:ascii="Times New Roman" w:eastAsia="Calibri" w:hAnsi="Times New Roman" w:cs="Times New Roman"/>
                <w:sz w:val="26"/>
                <w:szCs w:val="26"/>
              </w:rPr>
              <w:t>o</w:t>
            </w:r>
            <w:r w:rsidR="00A346BB" w:rsidRPr="00E01B33">
              <w:rPr>
                <w:rFonts w:ascii="Times New Roman" w:eastAsia="Calibri" w:hAnsi="Times New Roman" w:cs="Times New Roman"/>
                <w:sz w:val="26"/>
                <w:szCs w:val="26"/>
              </w:rPr>
              <w:t xml:space="preserve"> maksimāl</w:t>
            </w:r>
            <w:r w:rsidR="00104D13" w:rsidRPr="00E01B33">
              <w:rPr>
                <w:rFonts w:ascii="Times New Roman" w:eastAsia="Calibri" w:hAnsi="Times New Roman" w:cs="Times New Roman"/>
                <w:sz w:val="26"/>
                <w:szCs w:val="26"/>
              </w:rPr>
              <w:t>ā</w:t>
            </w:r>
            <w:r w:rsidR="00A346BB" w:rsidRPr="00E01B33">
              <w:rPr>
                <w:rFonts w:ascii="Times New Roman" w:eastAsia="Calibri" w:hAnsi="Times New Roman" w:cs="Times New Roman"/>
                <w:sz w:val="26"/>
                <w:szCs w:val="26"/>
              </w:rPr>
              <w:t xml:space="preserve"> </w:t>
            </w:r>
            <w:r w:rsidR="00D16982" w:rsidRPr="00E01B33">
              <w:rPr>
                <w:rFonts w:ascii="Times New Roman" w:eastAsia="Calibri" w:hAnsi="Times New Roman" w:cs="Times New Roman"/>
                <w:sz w:val="26"/>
                <w:szCs w:val="26"/>
              </w:rPr>
              <w:t>maksājuma par pārvaldīšanu apmēr</w:t>
            </w:r>
            <w:r w:rsidR="00104D13" w:rsidRPr="00E01B33">
              <w:rPr>
                <w:rFonts w:ascii="Times New Roman" w:eastAsia="Calibri" w:hAnsi="Times New Roman" w:cs="Times New Roman"/>
                <w:sz w:val="26"/>
                <w:szCs w:val="26"/>
              </w:rPr>
              <w:t>u</w:t>
            </w:r>
            <w:r w:rsidR="00513DC1" w:rsidRPr="00E01B33">
              <w:rPr>
                <w:rFonts w:ascii="Times New Roman" w:eastAsia="Calibri" w:hAnsi="Times New Roman" w:cs="Times New Roman"/>
                <w:sz w:val="26"/>
                <w:szCs w:val="26"/>
              </w:rPr>
              <w:t xml:space="preserve"> </w:t>
            </w:r>
            <w:r w:rsidR="00A346BB" w:rsidRPr="00E01B33">
              <w:rPr>
                <w:rFonts w:ascii="Times New Roman" w:eastAsia="Calibri" w:hAnsi="Times New Roman" w:cs="Times New Roman"/>
                <w:sz w:val="26"/>
                <w:szCs w:val="26"/>
              </w:rPr>
              <w:t xml:space="preserve">un </w:t>
            </w:r>
            <w:r w:rsidR="00D16982" w:rsidRPr="00E01B33">
              <w:rPr>
                <w:rFonts w:ascii="Times New Roman" w:eastAsia="Calibri" w:hAnsi="Times New Roman" w:cs="Times New Roman"/>
                <w:sz w:val="26"/>
                <w:szCs w:val="26"/>
              </w:rPr>
              <w:t>kārtējam gadam noteikt</w:t>
            </w:r>
            <w:r w:rsidR="00401762" w:rsidRPr="00E01B33">
              <w:rPr>
                <w:rFonts w:ascii="Times New Roman" w:eastAsia="Calibri" w:hAnsi="Times New Roman" w:cs="Times New Roman"/>
                <w:sz w:val="26"/>
                <w:szCs w:val="26"/>
              </w:rPr>
              <w:t>o maksājuma pastāvīgo daļu</w:t>
            </w:r>
            <w:r w:rsidR="00D16982" w:rsidRPr="00E01B33">
              <w:rPr>
                <w:rFonts w:ascii="Times New Roman" w:eastAsia="Calibri" w:hAnsi="Times New Roman" w:cs="Times New Roman"/>
                <w:sz w:val="26"/>
                <w:szCs w:val="26"/>
              </w:rPr>
              <w:t xml:space="preserve">. </w:t>
            </w:r>
            <w:r w:rsidRPr="00E01B33">
              <w:rPr>
                <w:rFonts w:ascii="Times New Roman" w:eastAsia="Calibri" w:hAnsi="Times New Roman" w:cs="Times New Roman"/>
                <w:sz w:val="26"/>
                <w:szCs w:val="26"/>
              </w:rPr>
              <w:t xml:space="preserve"> Aprēķinā tiek izmantot</w:t>
            </w:r>
            <w:r w:rsidR="000116A5" w:rsidRPr="00E01B33">
              <w:rPr>
                <w:rFonts w:ascii="Times New Roman" w:eastAsia="Calibri" w:hAnsi="Times New Roman" w:cs="Times New Roman"/>
                <w:sz w:val="26"/>
                <w:szCs w:val="26"/>
              </w:rPr>
              <w:t>i</w:t>
            </w:r>
            <w:r w:rsidRPr="00E01B33">
              <w:rPr>
                <w:rFonts w:ascii="Times New Roman" w:eastAsia="Calibri" w:hAnsi="Times New Roman" w:cs="Times New Roman"/>
                <w:sz w:val="26"/>
                <w:szCs w:val="26"/>
              </w:rPr>
              <w:t xml:space="preserve"> </w:t>
            </w:r>
            <w:r w:rsidR="000116A5" w:rsidRPr="00E01B33">
              <w:rPr>
                <w:rFonts w:ascii="Times New Roman" w:eastAsia="Calibri" w:hAnsi="Times New Roman" w:cs="Times New Roman"/>
                <w:sz w:val="26"/>
                <w:szCs w:val="26"/>
              </w:rPr>
              <w:t xml:space="preserve">iepriekš minētie </w:t>
            </w:r>
            <w:r w:rsidRPr="00E01B33">
              <w:rPr>
                <w:rFonts w:ascii="Times New Roman" w:eastAsia="Calibri" w:hAnsi="Times New Roman" w:cs="Times New Roman"/>
                <w:sz w:val="26"/>
                <w:szCs w:val="26"/>
              </w:rPr>
              <w:t>atskaites indeks</w:t>
            </w:r>
            <w:r w:rsidR="000116A5" w:rsidRPr="00E01B33">
              <w:rPr>
                <w:rFonts w:ascii="Times New Roman" w:eastAsia="Calibri" w:hAnsi="Times New Roman" w:cs="Times New Roman"/>
                <w:sz w:val="26"/>
                <w:szCs w:val="26"/>
              </w:rPr>
              <w:t xml:space="preserve">i. </w:t>
            </w:r>
            <w:r w:rsidRPr="00E01B33">
              <w:rPr>
                <w:rFonts w:ascii="Times New Roman" w:eastAsia="Calibri" w:hAnsi="Times New Roman" w:cs="Times New Roman"/>
                <w:sz w:val="26"/>
                <w:szCs w:val="26"/>
              </w:rPr>
              <w:t>Atskaites indeksa</w:t>
            </w:r>
            <w:r w:rsidR="006B4F2A" w:rsidRPr="00E01B33">
              <w:rPr>
                <w:rFonts w:ascii="Times New Roman" w:eastAsia="Calibri" w:hAnsi="Times New Roman" w:cs="Times New Roman"/>
                <w:sz w:val="26"/>
                <w:szCs w:val="26"/>
              </w:rPr>
              <w:t xml:space="preserve"> pieauguma</w:t>
            </w:r>
            <w:r w:rsidRPr="00E01B33">
              <w:rPr>
                <w:rFonts w:ascii="Times New Roman" w:eastAsia="Calibri" w:hAnsi="Times New Roman" w:cs="Times New Roman"/>
                <w:sz w:val="26"/>
                <w:szCs w:val="26"/>
              </w:rPr>
              <w:t xml:space="preserve"> aprēķinu veic katru aprēķina dienu. </w:t>
            </w:r>
          </w:p>
          <w:p w:rsidR="00EA5B72" w:rsidRPr="00E01B33" w:rsidRDefault="006B4F2A" w:rsidP="00423A12">
            <w:pPr>
              <w:autoSpaceDE w:val="0"/>
              <w:autoSpaceDN w:val="0"/>
              <w:adjustRightInd w:val="0"/>
              <w:spacing w:after="120" w:line="240" w:lineRule="auto"/>
              <w:ind w:right="137"/>
              <w:jc w:val="both"/>
              <w:rPr>
                <w:rFonts w:ascii="Times New Roman" w:eastAsia="Calibri" w:hAnsi="Times New Roman" w:cs="Times New Roman"/>
                <w:sz w:val="26"/>
                <w:szCs w:val="26"/>
              </w:rPr>
            </w:pPr>
            <w:r w:rsidRPr="00E01B33">
              <w:rPr>
                <w:rFonts w:ascii="Times New Roman" w:eastAsia="Calibri" w:hAnsi="Times New Roman" w:cs="Times New Roman"/>
                <w:sz w:val="26"/>
                <w:szCs w:val="26"/>
              </w:rPr>
              <w:t xml:space="preserve">Otrkārt, </w:t>
            </w:r>
            <w:r w:rsidR="00567DE9" w:rsidRPr="00E01B33">
              <w:rPr>
                <w:rFonts w:ascii="Times New Roman" w:eastAsia="Calibri" w:hAnsi="Times New Roman" w:cs="Times New Roman"/>
                <w:sz w:val="26"/>
                <w:szCs w:val="26"/>
              </w:rPr>
              <w:t xml:space="preserve">ieguldījumu </w:t>
            </w:r>
            <w:r w:rsidR="00423A12" w:rsidRPr="00E01B33">
              <w:rPr>
                <w:rFonts w:ascii="Times New Roman" w:eastAsia="Calibri" w:hAnsi="Times New Roman" w:cs="Times New Roman"/>
                <w:sz w:val="26"/>
                <w:szCs w:val="26"/>
              </w:rPr>
              <w:t xml:space="preserve">plāna finanšu pārskatos </w:t>
            </w:r>
            <w:r w:rsidR="00233EAE" w:rsidRPr="00E01B33">
              <w:rPr>
                <w:rFonts w:ascii="Times New Roman" w:eastAsia="Calibri" w:hAnsi="Times New Roman" w:cs="Times New Roman"/>
                <w:sz w:val="26"/>
                <w:szCs w:val="26"/>
              </w:rPr>
              <w:t xml:space="preserve">uzskaitīto aprēķināto </w:t>
            </w:r>
            <w:r w:rsidR="00423A12" w:rsidRPr="00E01B33">
              <w:rPr>
                <w:rFonts w:ascii="Times New Roman" w:eastAsia="Calibri" w:hAnsi="Times New Roman" w:cs="Times New Roman"/>
                <w:sz w:val="26"/>
                <w:szCs w:val="26"/>
              </w:rPr>
              <w:t xml:space="preserve">maksājuma mainīgo daļu ietur par kārtējo gadu </w:t>
            </w:r>
            <w:r w:rsidR="00085A7C" w:rsidRPr="00E01B33">
              <w:rPr>
                <w:rFonts w:ascii="Times New Roman" w:eastAsia="Calibri" w:hAnsi="Times New Roman" w:cs="Times New Roman"/>
                <w:sz w:val="26"/>
                <w:szCs w:val="26"/>
              </w:rPr>
              <w:t>šī gada</w:t>
            </w:r>
            <w:r w:rsidR="00104D13" w:rsidRPr="00E01B33">
              <w:rPr>
                <w:rFonts w:ascii="Times New Roman" w:eastAsia="Calibri" w:hAnsi="Times New Roman" w:cs="Times New Roman"/>
                <w:sz w:val="26"/>
                <w:szCs w:val="26"/>
              </w:rPr>
              <w:t xml:space="preserve"> </w:t>
            </w:r>
            <w:r w:rsidR="00085A7C" w:rsidRPr="00E01B33">
              <w:rPr>
                <w:rFonts w:ascii="Times New Roman" w:eastAsia="Calibri" w:hAnsi="Times New Roman" w:cs="Times New Roman"/>
                <w:sz w:val="26"/>
                <w:szCs w:val="26"/>
              </w:rPr>
              <w:t xml:space="preserve">pēdējā aprēķina dienā, </w:t>
            </w:r>
            <w:r w:rsidR="00233EAE" w:rsidRPr="00E01B33">
              <w:rPr>
                <w:rFonts w:ascii="Times New Roman" w:eastAsia="Calibri" w:hAnsi="Times New Roman" w:cs="Times New Roman"/>
                <w:sz w:val="26"/>
                <w:szCs w:val="26"/>
              </w:rPr>
              <w:t>pie nosacījum</w:t>
            </w:r>
            <w:r w:rsidR="00085A7C" w:rsidRPr="00E01B33">
              <w:rPr>
                <w:rFonts w:ascii="Times New Roman" w:eastAsia="Calibri" w:hAnsi="Times New Roman" w:cs="Times New Roman"/>
                <w:sz w:val="26"/>
                <w:szCs w:val="26"/>
              </w:rPr>
              <w:t>a</w:t>
            </w:r>
            <w:r w:rsidR="00233EAE" w:rsidRPr="00E01B33">
              <w:rPr>
                <w:rFonts w:ascii="Times New Roman" w:eastAsia="Calibri" w:hAnsi="Times New Roman" w:cs="Times New Roman"/>
                <w:sz w:val="26"/>
                <w:szCs w:val="26"/>
              </w:rPr>
              <w:t xml:space="preserve">, ka </w:t>
            </w:r>
            <w:r w:rsidR="00085A7C" w:rsidRPr="00E01B33">
              <w:rPr>
                <w:rFonts w:ascii="Times New Roman" w:eastAsia="Calibri" w:hAnsi="Times New Roman" w:cs="Times New Roman"/>
                <w:sz w:val="26"/>
                <w:szCs w:val="26"/>
              </w:rPr>
              <w:t xml:space="preserve">plāna daļas vērtība gada </w:t>
            </w:r>
            <w:r w:rsidR="001C4593" w:rsidRPr="00E01B33">
              <w:rPr>
                <w:rFonts w:ascii="Times New Roman" w:eastAsia="Calibri" w:hAnsi="Times New Roman" w:cs="Times New Roman"/>
                <w:sz w:val="26"/>
                <w:szCs w:val="26"/>
              </w:rPr>
              <w:t xml:space="preserve">pēdējā </w:t>
            </w:r>
            <w:r w:rsidR="00085A7C" w:rsidRPr="00E01B33">
              <w:rPr>
                <w:rFonts w:ascii="Times New Roman" w:eastAsia="Calibri" w:hAnsi="Times New Roman" w:cs="Times New Roman"/>
                <w:sz w:val="26"/>
                <w:szCs w:val="26"/>
              </w:rPr>
              <w:t xml:space="preserve">aprēķina dienā ir </w:t>
            </w:r>
            <w:r w:rsidR="001D766A" w:rsidRPr="00E01B33">
              <w:rPr>
                <w:rFonts w:ascii="Times New Roman" w:eastAsia="Calibri" w:hAnsi="Times New Roman" w:cs="Times New Roman"/>
                <w:sz w:val="26"/>
                <w:szCs w:val="26"/>
              </w:rPr>
              <w:t>augstāka</w:t>
            </w:r>
            <w:r w:rsidR="00085A7C" w:rsidRPr="00E01B33">
              <w:rPr>
                <w:rFonts w:ascii="Times New Roman" w:eastAsia="Calibri" w:hAnsi="Times New Roman" w:cs="Times New Roman"/>
                <w:sz w:val="26"/>
                <w:szCs w:val="26"/>
              </w:rPr>
              <w:t xml:space="preserve"> par </w:t>
            </w:r>
            <w:r w:rsidR="001C4593" w:rsidRPr="00E01B33">
              <w:rPr>
                <w:rFonts w:ascii="Times New Roman" w:eastAsia="Calibri" w:hAnsi="Times New Roman" w:cs="Times New Roman"/>
                <w:sz w:val="26"/>
                <w:szCs w:val="26"/>
              </w:rPr>
              <w:t xml:space="preserve">daļas vērtību gada </w:t>
            </w:r>
            <w:r w:rsidR="00085A7C" w:rsidRPr="00E01B33">
              <w:rPr>
                <w:rFonts w:ascii="Times New Roman" w:eastAsia="Calibri" w:hAnsi="Times New Roman" w:cs="Times New Roman"/>
                <w:sz w:val="26"/>
                <w:szCs w:val="26"/>
              </w:rPr>
              <w:t>pēdēj</w:t>
            </w:r>
            <w:r w:rsidR="001C4593" w:rsidRPr="00E01B33">
              <w:rPr>
                <w:rFonts w:ascii="Times New Roman" w:eastAsia="Calibri" w:hAnsi="Times New Roman" w:cs="Times New Roman"/>
                <w:sz w:val="26"/>
                <w:szCs w:val="26"/>
              </w:rPr>
              <w:t xml:space="preserve">ās </w:t>
            </w:r>
            <w:r w:rsidR="00085A7C" w:rsidRPr="00E01B33">
              <w:rPr>
                <w:rFonts w:ascii="Times New Roman" w:eastAsia="Calibri" w:hAnsi="Times New Roman" w:cs="Times New Roman"/>
                <w:sz w:val="26"/>
                <w:szCs w:val="26"/>
              </w:rPr>
              <w:t>aprēķina dien</w:t>
            </w:r>
            <w:r w:rsidR="001C4593" w:rsidRPr="00E01B33">
              <w:rPr>
                <w:rFonts w:ascii="Times New Roman" w:eastAsia="Calibri" w:hAnsi="Times New Roman" w:cs="Times New Roman"/>
                <w:sz w:val="26"/>
                <w:szCs w:val="26"/>
              </w:rPr>
              <w:t xml:space="preserve">ās </w:t>
            </w:r>
            <w:r w:rsidR="00085A7C" w:rsidRPr="00E01B33">
              <w:rPr>
                <w:rFonts w:ascii="Times New Roman" w:eastAsia="Calibri" w:hAnsi="Times New Roman" w:cs="Times New Roman"/>
                <w:sz w:val="26"/>
                <w:szCs w:val="26"/>
              </w:rPr>
              <w:t>iepriekšējo septiņu gadu periodā</w:t>
            </w:r>
            <w:r w:rsidR="00233EAE" w:rsidRPr="00E01B33">
              <w:rPr>
                <w:rFonts w:ascii="Times New Roman" w:eastAsia="Calibri" w:hAnsi="Times New Roman" w:cs="Times New Roman"/>
                <w:sz w:val="26"/>
                <w:szCs w:val="26"/>
              </w:rPr>
              <w:t>.</w:t>
            </w:r>
            <w:r w:rsidR="001D766A" w:rsidRPr="00E01B33">
              <w:rPr>
                <w:rFonts w:ascii="Times New Roman" w:eastAsia="Calibri" w:hAnsi="Times New Roman" w:cs="Times New Roman"/>
                <w:sz w:val="26"/>
                <w:szCs w:val="26"/>
              </w:rPr>
              <w:t xml:space="preserve"> </w:t>
            </w:r>
            <w:r w:rsidR="001C4593" w:rsidRPr="00E01B33">
              <w:rPr>
                <w:rFonts w:ascii="Times New Roman" w:eastAsia="Calibri" w:hAnsi="Times New Roman" w:cs="Times New Roman"/>
                <w:sz w:val="26"/>
                <w:szCs w:val="26"/>
              </w:rPr>
              <w:t>Šāds salīdzinājums ar daļas vērtību gada pēdējās aprēķina dienās iepriekšējo septiņu gadu periodā tiek veikts, lai daļas vērtības svārstību rezultātā maksājuma mainīgā daļa netiktu maksāta atkārtoti par vienu un to pašu daļas vērtības pieaugumu.</w:t>
            </w:r>
          </w:p>
          <w:p w:rsidR="00EA5B72" w:rsidRPr="00E01B33" w:rsidRDefault="00EA5B72" w:rsidP="00EA5B72">
            <w:pPr>
              <w:autoSpaceDE w:val="0"/>
              <w:autoSpaceDN w:val="0"/>
              <w:adjustRightInd w:val="0"/>
              <w:spacing w:after="120" w:line="240" w:lineRule="auto"/>
              <w:ind w:right="137"/>
              <w:jc w:val="both"/>
              <w:rPr>
                <w:rFonts w:ascii="Times New Roman" w:eastAsia="Calibri" w:hAnsi="Times New Roman" w:cs="Times New Roman"/>
                <w:sz w:val="26"/>
                <w:szCs w:val="26"/>
              </w:rPr>
            </w:pPr>
            <w:r w:rsidRPr="00E01B33">
              <w:rPr>
                <w:rFonts w:ascii="Times New Roman" w:eastAsia="Calibri" w:hAnsi="Times New Roman" w:cs="Times New Roman"/>
                <w:sz w:val="26"/>
                <w:szCs w:val="26"/>
              </w:rPr>
              <w:t xml:space="preserve">Aprēķinātās maksājuma mainīgās daļas uzkrāšanu atsāk no jauna (no nulles) kārtējā gada pirmajā aprēķina dienā. </w:t>
            </w:r>
          </w:p>
          <w:p w:rsidR="00080A55" w:rsidRPr="00E01B33" w:rsidRDefault="00F72610" w:rsidP="0083147E">
            <w:pPr>
              <w:spacing w:after="120" w:line="240" w:lineRule="auto"/>
              <w:jc w:val="both"/>
              <w:rPr>
                <w:rFonts w:ascii="Times New Roman" w:hAnsi="Times New Roman" w:cs="Times New Roman"/>
                <w:sz w:val="26"/>
                <w:szCs w:val="26"/>
              </w:rPr>
            </w:pPr>
            <w:r w:rsidRPr="00E01B33">
              <w:rPr>
                <w:rFonts w:ascii="Times New Roman" w:hAnsi="Times New Roman" w:cs="Times New Roman"/>
                <w:sz w:val="26"/>
                <w:szCs w:val="26"/>
              </w:rPr>
              <w:t>MK</w:t>
            </w:r>
            <w:r w:rsidR="008063AD" w:rsidRPr="00E01B33">
              <w:rPr>
                <w:rFonts w:ascii="Times New Roman" w:hAnsi="Times New Roman" w:cs="Times New Roman"/>
                <w:sz w:val="26"/>
                <w:szCs w:val="26"/>
              </w:rPr>
              <w:t xml:space="preserve"> noteikumu projektā </w:t>
            </w:r>
            <w:r w:rsidR="0083147E" w:rsidRPr="00E01B33">
              <w:rPr>
                <w:rFonts w:ascii="Times New Roman" w:hAnsi="Times New Roman" w:cs="Times New Roman"/>
                <w:sz w:val="26"/>
                <w:szCs w:val="26"/>
              </w:rPr>
              <w:t>noteiktais</w:t>
            </w:r>
            <w:r w:rsidR="00724767" w:rsidRPr="00E01B33">
              <w:rPr>
                <w:rFonts w:ascii="Times New Roman" w:hAnsi="Times New Roman" w:cs="Times New Roman"/>
                <w:sz w:val="26"/>
                <w:szCs w:val="26"/>
              </w:rPr>
              <w:t xml:space="preserve"> maksājuma pārvaldītājiem mainīgās daļas aprēķinā padarī</w:t>
            </w:r>
            <w:r w:rsidR="003F2E71" w:rsidRPr="00E01B33">
              <w:rPr>
                <w:rFonts w:ascii="Times New Roman" w:hAnsi="Times New Roman" w:cs="Times New Roman"/>
                <w:sz w:val="26"/>
                <w:szCs w:val="26"/>
              </w:rPr>
              <w:t>s</w:t>
            </w:r>
            <w:r w:rsidR="00C025C6" w:rsidRPr="00E01B33">
              <w:rPr>
                <w:rFonts w:ascii="Times New Roman" w:hAnsi="Times New Roman" w:cs="Times New Roman"/>
                <w:sz w:val="26"/>
                <w:szCs w:val="26"/>
              </w:rPr>
              <w:t xml:space="preserve"> šo pakalpojumu samaksu samērīg</w:t>
            </w:r>
            <w:r w:rsidR="00724767" w:rsidRPr="00E01B33">
              <w:rPr>
                <w:rFonts w:ascii="Times New Roman" w:hAnsi="Times New Roman" w:cs="Times New Roman"/>
                <w:sz w:val="26"/>
                <w:szCs w:val="26"/>
              </w:rPr>
              <w:t>u un papildus motivē</w:t>
            </w:r>
            <w:r w:rsidR="003F2E71" w:rsidRPr="00E01B33">
              <w:rPr>
                <w:rFonts w:ascii="Times New Roman" w:hAnsi="Times New Roman" w:cs="Times New Roman"/>
                <w:sz w:val="26"/>
                <w:szCs w:val="26"/>
              </w:rPr>
              <w:t>s</w:t>
            </w:r>
            <w:r w:rsidR="00724767" w:rsidRPr="00E01B33">
              <w:rPr>
                <w:rFonts w:ascii="Times New Roman" w:hAnsi="Times New Roman" w:cs="Times New Roman"/>
                <w:sz w:val="26"/>
                <w:szCs w:val="26"/>
              </w:rPr>
              <w:t xml:space="preserve"> pārvaldītājus sasniegt augstāku valsts fondēto pensi</w:t>
            </w:r>
            <w:r w:rsidR="00D0156F" w:rsidRPr="00E01B33">
              <w:rPr>
                <w:rFonts w:ascii="Times New Roman" w:hAnsi="Times New Roman" w:cs="Times New Roman"/>
                <w:sz w:val="26"/>
                <w:szCs w:val="26"/>
              </w:rPr>
              <w:t>ju ieguldījuma plānu ienesīgumu.</w:t>
            </w:r>
          </w:p>
          <w:p w:rsidR="002B45A8" w:rsidRPr="00E01B33" w:rsidRDefault="006912AF" w:rsidP="000F44B8">
            <w:pPr>
              <w:pStyle w:val="NAnodalaromiesucipari"/>
              <w:numPr>
                <w:ilvl w:val="0"/>
                <w:numId w:val="0"/>
              </w:numPr>
              <w:spacing w:before="0"/>
              <w:ind w:firstLine="284"/>
              <w:jc w:val="both"/>
              <w:rPr>
                <w:rFonts w:eastAsia="Calibri"/>
                <w:b w:val="0"/>
                <w:sz w:val="26"/>
                <w:szCs w:val="26"/>
                <w:lang w:val="lv-LV" w:eastAsia="en-US"/>
              </w:rPr>
            </w:pPr>
            <w:r w:rsidRPr="00E01B33">
              <w:rPr>
                <w:rFonts w:eastAsia="Calibri"/>
                <w:b w:val="0"/>
                <w:sz w:val="26"/>
                <w:szCs w:val="26"/>
                <w:lang w:val="lv-LV" w:eastAsia="en-US"/>
              </w:rPr>
              <w:t>MK noteikumu projekts paredz arī pārejas noteikumus, nosakot, ka</w:t>
            </w:r>
            <w:r w:rsidRPr="00E01B33">
              <w:rPr>
                <w:rFonts w:eastAsia="Calibri"/>
                <w:sz w:val="26"/>
                <w:szCs w:val="26"/>
                <w:lang w:val="lv-LV" w:eastAsia="en-US"/>
              </w:rPr>
              <w:t xml:space="preserve"> </w:t>
            </w:r>
            <w:r w:rsidRPr="00E01B33">
              <w:rPr>
                <w:b w:val="0"/>
                <w:sz w:val="26"/>
                <w:szCs w:val="26"/>
                <w:lang w:val="lv-LV"/>
              </w:rPr>
              <w:t xml:space="preserve">2018., 2019., 2020., 2021., 2022., 2023., 2024. un 2025. gadā par perioda sākuma dienu aprēķinos, kas veikti par astoņiem gadiem, uzskata 2017.gada 31. decembri. </w:t>
            </w:r>
            <w:r w:rsidR="000116A5" w:rsidRPr="00E01B33">
              <w:rPr>
                <w:rFonts w:eastAsia="Calibri"/>
                <w:b w:val="0"/>
                <w:sz w:val="26"/>
                <w:szCs w:val="26"/>
                <w:lang w:val="lv-LV" w:eastAsia="en-US"/>
              </w:rPr>
              <w:t>Visiem ieguldījumu plāniem</w:t>
            </w:r>
            <w:r w:rsidRPr="00E01B33">
              <w:rPr>
                <w:rFonts w:eastAsia="Calibri"/>
                <w:b w:val="0"/>
                <w:sz w:val="26"/>
                <w:szCs w:val="26"/>
                <w:lang w:val="lv-LV" w:eastAsia="en-US"/>
              </w:rPr>
              <w:t xml:space="preserve"> par 2017.gada pēdējo aprēķina dienu nosaka 2017.gada 31.decembri. </w:t>
            </w:r>
            <w:r w:rsidR="000F44B8" w:rsidRPr="00E01B33">
              <w:rPr>
                <w:b w:val="0"/>
                <w:sz w:val="26"/>
                <w:szCs w:val="26"/>
                <w:lang w:val="lv-LV"/>
              </w:rPr>
              <w:t xml:space="preserve"> Savukārt, ieguldījumu plāniem, kas uzsāk darbību pēc šo noteikumu spēkā </w:t>
            </w:r>
            <w:r w:rsidR="000F44B8" w:rsidRPr="00E01B33">
              <w:rPr>
                <w:b w:val="0"/>
                <w:sz w:val="26"/>
                <w:szCs w:val="26"/>
                <w:lang w:val="lv-LV"/>
              </w:rPr>
              <w:lastRenderedPageBreak/>
              <w:t>stāšanās, par perioda sākuma dienu aprēķinos, kas veikti par šo ieguldījumu plānu pirmo astoņu gadu periodu, kā arī aprēķinos, kas veikti šo ieguldījumu plānu darbības pirmajā kalendārajā gadā par periodu no gada sākuma, uzskata šo plānu pirmo aprēķina dienu.</w:t>
            </w:r>
          </w:p>
        </w:tc>
      </w:tr>
      <w:tr w:rsidR="00080A55" w:rsidRPr="00E01B33" w:rsidTr="0031447E">
        <w:trPr>
          <w:trHeight w:val="2"/>
        </w:trPr>
        <w:tc>
          <w:tcPr>
            <w:tcW w:w="227" w:type="pct"/>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lastRenderedPageBreak/>
              <w:t>3.</w:t>
            </w:r>
          </w:p>
        </w:tc>
        <w:tc>
          <w:tcPr>
            <w:tcW w:w="1640" w:type="pct"/>
          </w:tcPr>
          <w:p w:rsidR="00080A55" w:rsidRPr="00E01B33" w:rsidRDefault="00080A55" w:rsidP="0031447E">
            <w:pPr>
              <w:spacing w:after="0" w:line="240" w:lineRule="auto"/>
              <w:ind w:left="140" w:right="188"/>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Projekta izstrādē iesaistītās institūcijas</w:t>
            </w:r>
          </w:p>
        </w:tc>
        <w:tc>
          <w:tcPr>
            <w:tcW w:w="3133" w:type="pct"/>
          </w:tcPr>
          <w:p w:rsidR="00E86608" w:rsidRPr="00E01B33" w:rsidRDefault="00911242" w:rsidP="00F72610">
            <w:pPr>
              <w:spacing w:before="100" w:beforeAutospacing="1" w:after="100" w:afterAutospacing="1" w:line="240" w:lineRule="auto"/>
              <w:ind w:left="96" w:right="120" w:firstLine="543"/>
              <w:jc w:val="both"/>
              <w:rPr>
                <w:rFonts w:ascii="Times New Roman" w:hAnsi="Times New Roman" w:cs="Times New Roman"/>
                <w:iCs/>
                <w:sz w:val="26"/>
                <w:szCs w:val="26"/>
                <w:lang w:eastAsia="lv-LV"/>
              </w:rPr>
            </w:pPr>
            <w:r w:rsidRPr="00E01B33">
              <w:rPr>
                <w:rFonts w:ascii="Times New Roman" w:hAnsi="Times New Roman" w:cs="Times New Roman"/>
                <w:iCs/>
                <w:sz w:val="26"/>
                <w:szCs w:val="26"/>
                <w:lang w:eastAsia="lv-LV"/>
              </w:rPr>
              <w:t>Grozījumu likumā (pieņemti Saeimā 2017.gada</w:t>
            </w:r>
            <w:r w:rsidR="00F72610" w:rsidRPr="00E01B33">
              <w:rPr>
                <w:rFonts w:ascii="Times New Roman" w:hAnsi="Times New Roman" w:cs="Times New Roman"/>
                <w:iCs/>
                <w:sz w:val="26"/>
                <w:szCs w:val="26"/>
                <w:lang w:eastAsia="lv-LV"/>
              </w:rPr>
              <w:t xml:space="preserve"> 22.novembrī</w:t>
            </w:r>
            <w:r w:rsidRPr="00E01B33">
              <w:rPr>
                <w:rFonts w:ascii="Times New Roman" w:hAnsi="Times New Roman" w:cs="Times New Roman"/>
                <w:iCs/>
                <w:sz w:val="26"/>
                <w:szCs w:val="26"/>
                <w:lang w:eastAsia="lv-LV"/>
              </w:rPr>
              <w:t>)</w:t>
            </w:r>
            <w:r w:rsidR="00080A55" w:rsidRPr="00E01B33">
              <w:rPr>
                <w:rFonts w:ascii="Times New Roman" w:hAnsi="Times New Roman" w:cs="Times New Roman"/>
                <w:iCs/>
                <w:sz w:val="26"/>
                <w:szCs w:val="26"/>
                <w:lang w:eastAsia="lv-LV"/>
              </w:rPr>
              <w:t xml:space="preserve"> izstrādes nodrošināšanai ar labklājības ministra </w:t>
            </w:r>
            <w:r w:rsidR="00080A55" w:rsidRPr="00E01B33">
              <w:rPr>
                <w:rFonts w:ascii="Times New Roman" w:hAnsi="Times New Roman" w:cs="Times New Roman"/>
                <w:sz w:val="26"/>
                <w:szCs w:val="26"/>
              </w:rPr>
              <w:t xml:space="preserve">2017.gada 28.marta </w:t>
            </w:r>
            <w:r w:rsidR="00A44984" w:rsidRPr="00E01B33">
              <w:rPr>
                <w:rFonts w:ascii="Times New Roman" w:hAnsi="Times New Roman" w:cs="Times New Roman"/>
                <w:sz w:val="26"/>
                <w:szCs w:val="26"/>
              </w:rPr>
              <w:t xml:space="preserve">rīkojumu Nr.35 </w:t>
            </w:r>
            <w:r w:rsidR="00080A55" w:rsidRPr="00E01B33">
              <w:rPr>
                <w:rFonts w:ascii="Times New Roman" w:hAnsi="Times New Roman" w:cs="Times New Roman"/>
                <w:iCs/>
                <w:sz w:val="26"/>
                <w:szCs w:val="26"/>
                <w:lang w:eastAsia="lv-LV"/>
              </w:rPr>
              <w:t>tika izveidota darba grupa, kur tika iekļauti pārstāvji no Labklājības ministrijas, Finanšu ministrijas, Ekonomikas ministrijas, Latvijas Komercbanku asociācijas, Finanšu un kapitāla tirgus komisijas, Valsts sociālās apdrošināšan</w:t>
            </w:r>
            <w:r w:rsidRPr="00E01B33">
              <w:rPr>
                <w:rFonts w:ascii="Times New Roman" w:hAnsi="Times New Roman" w:cs="Times New Roman"/>
                <w:iCs/>
                <w:sz w:val="26"/>
                <w:szCs w:val="26"/>
                <w:lang w:eastAsia="lv-LV"/>
              </w:rPr>
              <w:t>as aģentūras un Latvijas Bankas. Darba grupa vienojās par nepieciešamajām izmaiņām attiecībā uz maksājuma par ieguldījumu plāna pārvaldi pastāvīgo un mainīgo daļu.</w:t>
            </w:r>
          </w:p>
          <w:p w:rsidR="000F44B8" w:rsidRPr="00E01B33" w:rsidRDefault="000F44B8" w:rsidP="00F72610">
            <w:pPr>
              <w:spacing w:before="100" w:beforeAutospacing="1" w:after="100" w:afterAutospacing="1" w:line="240" w:lineRule="auto"/>
              <w:ind w:left="96" w:right="120" w:firstLine="543"/>
              <w:jc w:val="both"/>
              <w:rPr>
                <w:rFonts w:ascii="Times New Roman" w:hAnsi="Times New Roman" w:cs="Times New Roman"/>
                <w:iCs/>
                <w:sz w:val="26"/>
                <w:szCs w:val="26"/>
                <w:lang w:eastAsia="lv-LV"/>
              </w:rPr>
            </w:pPr>
            <w:r w:rsidRPr="00E01B33">
              <w:rPr>
                <w:rFonts w:ascii="Times New Roman" w:hAnsi="Times New Roman" w:cs="Times New Roman"/>
                <w:iCs/>
                <w:sz w:val="26"/>
                <w:szCs w:val="26"/>
                <w:lang w:eastAsia="lv-LV"/>
              </w:rPr>
              <w:t>MK noteikumu projekta izstrādē iesaistījās pārstāvji no Latvijas Bankas</w:t>
            </w:r>
            <w:r w:rsidR="00085A7C" w:rsidRPr="00E01B33">
              <w:rPr>
                <w:rFonts w:ascii="Times New Roman" w:hAnsi="Times New Roman" w:cs="Times New Roman"/>
                <w:iCs/>
                <w:sz w:val="26"/>
                <w:szCs w:val="26"/>
                <w:lang w:eastAsia="lv-LV"/>
              </w:rPr>
              <w:t xml:space="preserve">, Finanšu </w:t>
            </w:r>
            <w:r w:rsidR="00B413E0" w:rsidRPr="00E01B33">
              <w:rPr>
                <w:rFonts w:ascii="Times New Roman" w:hAnsi="Times New Roman" w:cs="Times New Roman"/>
                <w:iCs/>
                <w:sz w:val="26"/>
                <w:szCs w:val="26"/>
                <w:lang w:eastAsia="lv-LV"/>
              </w:rPr>
              <w:t>un kapitāla tirgus komisijas</w:t>
            </w:r>
            <w:r w:rsidRPr="00E01B33">
              <w:rPr>
                <w:rFonts w:ascii="Times New Roman" w:hAnsi="Times New Roman" w:cs="Times New Roman"/>
                <w:iCs/>
                <w:sz w:val="26"/>
                <w:szCs w:val="26"/>
                <w:lang w:eastAsia="lv-LV"/>
              </w:rPr>
              <w:t xml:space="preserve"> un Latvijas Komercbanku asociācijas.</w:t>
            </w:r>
          </w:p>
        </w:tc>
      </w:tr>
      <w:tr w:rsidR="00080A55" w:rsidRPr="00E01B33" w:rsidTr="0031447E">
        <w:trPr>
          <w:trHeight w:val="6"/>
        </w:trPr>
        <w:tc>
          <w:tcPr>
            <w:tcW w:w="227" w:type="pct"/>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4.</w:t>
            </w:r>
          </w:p>
        </w:tc>
        <w:tc>
          <w:tcPr>
            <w:tcW w:w="1640" w:type="pct"/>
          </w:tcPr>
          <w:p w:rsidR="00080A55" w:rsidRPr="00E01B33" w:rsidRDefault="00080A55" w:rsidP="0031447E">
            <w:pPr>
              <w:spacing w:after="0" w:line="240" w:lineRule="auto"/>
              <w:ind w:left="140" w:right="188"/>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Cita informācija</w:t>
            </w:r>
          </w:p>
        </w:tc>
        <w:tc>
          <w:tcPr>
            <w:tcW w:w="3133" w:type="pct"/>
          </w:tcPr>
          <w:p w:rsidR="00080A55" w:rsidRPr="00E01B33" w:rsidRDefault="00080A55" w:rsidP="0031447E">
            <w:pPr>
              <w:spacing w:after="0" w:line="240" w:lineRule="auto"/>
              <w:ind w:left="96" w:right="-1"/>
              <w:jc w:val="both"/>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Nav</w:t>
            </w:r>
          </w:p>
        </w:tc>
      </w:tr>
    </w:tbl>
    <w:p w:rsidR="00080A55" w:rsidRPr="00E01B33" w:rsidRDefault="00080A55" w:rsidP="00080A55">
      <w:pPr>
        <w:spacing w:after="0" w:line="240" w:lineRule="auto"/>
        <w:ind w:right="-1"/>
        <w:rPr>
          <w:rFonts w:ascii="Times New Roman" w:eastAsia="Calibri" w:hAnsi="Times New Roman" w:cs="Times New Roman"/>
          <w:sz w:val="26"/>
          <w:szCs w:val="26"/>
        </w:rPr>
      </w:pPr>
    </w:p>
    <w:tbl>
      <w:tblPr>
        <w:tblpPr w:leftFromText="180" w:rightFromText="180" w:vertAnchor="text" w:horzAnchor="margin" w:tblpXSpec="center" w:tblpY="119"/>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6092"/>
      </w:tblGrid>
      <w:tr w:rsidR="00080A55" w:rsidRPr="00E01B33" w:rsidTr="0031447E">
        <w:trPr>
          <w:trHeight w:val="11"/>
        </w:trPr>
        <w:tc>
          <w:tcPr>
            <w:tcW w:w="9641" w:type="dxa"/>
            <w:gridSpan w:val="3"/>
            <w:vAlign w:val="center"/>
          </w:tcPr>
          <w:p w:rsidR="00080A55" w:rsidRPr="00E01B33"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E01B33">
              <w:rPr>
                <w:rFonts w:ascii="Times New Roman" w:eastAsia="Times New Roman" w:hAnsi="Times New Roman" w:cs="Times New Roman"/>
                <w:b/>
                <w:sz w:val="26"/>
                <w:szCs w:val="26"/>
                <w:lang w:eastAsia="lv-LV"/>
              </w:rPr>
              <w:t>II. Tiesību akta projekta ietekme uz sabiedrību, tautsaimniecības attīstību</w:t>
            </w:r>
          </w:p>
          <w:p w:rsidR="00080A55" w:rsidRPr="00E01B33" w:rsidRDefault="00080A55" w:rsidP="0031447E">
            <w:pPr>
              <w:spacing w:after="0" w:line="240" w:lineRule="auto"/>
              <w:ind w:right="-1"/>
              <w:jc w:val="center"/>
              <w:rPr>
                <w:rFonts w:ascii="Times New Roman" w:eastAsia="Times New Roman" w:hAnsi="Times New Roman" w:cs="Times New Roman"/>
                <w:b/>
                <w:sz w:val="26"/>
                <w:szCs w:val="26"/>
                <w:lang w:eastAsia="lv-LV"/>
              </w:rPr>
            </w:pPr>
            <w:r w:rsidRPr="00E01B33">
              <w:rPr>
                <w:rFonts w:ascii="Times New Roman" w:eastAsia="Times New Roman" w:hAnsi="Times New Roman" w:cs="Times New Roman"/>
                <w:b/>
                <w:sz w:val="26"/>
                <w:szCs w:val="26"/>
                <w:lang w:eastAsia="lv-LV"/>
              </w:rPr>
              <w:t>un administratīvo slogu</w:t>
            </w:r>
          </w:p>
        </w:tc>
      </w:tr>
      <w:tr w:rsidR="00080A55" w:rsidRPr="00E01B33" w:rsidTr="0031447E">
        <w:trPr>
          <w:trHeight w:val="9"/>
        </w:trPr>
        <w:tc>
          <w:tcPr>
            <w:tcW w:w="431" w:type="dxa"/>
          </w:tcPr>
          <w:p w:rsidR="00080A55" w:rsidRPr="00E01B33"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1.</w:t>
            </w:r>
          </w:p>
        </w:tc>
        <w:tc>
          <w:tcPr>
            <w:tcW w:w="3118" w:type="dxa"/>
          </w:tcPr>
          <w:p w:rsidR="00080A55" w:rsidRPr="00E01B33" w:rsidRDefault="00080A55" w:rsidP="0031447E">
            <w:pPr>
              <w:spacing w:after="0" w:line="240" w:lineRule="auto"/>
              <w:ind w:left="142" w:right="142"/>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Sabiedrības mērķgrupas, kuras tiesiskais regulējums ietekmē vai varētu ietekmēt</w:t>
            </w:r>
          </w:p>
        </w:tc>
        <w:tc>
          <w:tcPr>
            <w:tcW w:w="6092" w:type="dxa"/>
          </w:tcPr>
          <w:p w:rsidR="00080A55" w:rsidRPr="00E01B33" w:rsidRDefault="00080A55" w:rsidP="00F31F16">
            <w:pPr>
              <w:spacing w:after="0" w:line="240" w:lineRule="auto"/>
              <w:ind w:left="142" w:right="141" w:firstLine="425"/>
              <w:jc w:val="both"/>
              <w:rPr>
                <w:rFonts w:ascii="Times New Roman" w:hAnsi="Times New Roman" w:cs="Times New Roman"/>
                <w:sz w:val="26"/>
                <w:szCs w:val="26"/>
                <w:lang w:eastAsia="lv-LV"/>
              </w:rPr>
            </w:pPr>
            <w:bookmarkStart w:id="1" w:name="p21"/>
            <w:bookmarkEnd w:id="1"/>
            <w:r w:rsidRPr="00E01B33">
              <w:rPr>
                <w:rFonts w:ascii="Times New Roman" w:hAnsi="Times New Roman" w:cs="Times New Roman"/>
                <w:sz w:val="26"/>
                <w:szCs w:val="26"/>
                <w:lang w:eastAsia="lv-LV"/>
              </w:rPr>
              <w:t>Saskaņā ar likuma 3.panta</w:t>
            </w:r>
            <w:r w:rsidR="00115C35" w:rsidRPr="00E01B33">
              <w:rPr>
                <w:rFonts w:ascii="Times New Roman" w:hAnsi="Times New Roman" w:cs="Times New Roman"/>
                <w:sz w:val="26"/>
                <w:szCs w:val="26"/>
                <w:lang w:eastAsia="lv-LV"/>
              </w:rPr>
              <w:t xml:space="preserve"> pirmo un otro daļu tiem sociālās apdrošināšanas</w:t>
            </w:r>
            <w:r w:rsidRPr="00E01B33">
              <w:rPr>
                <w:rFonts w:ascii="Times New Roman" w:hAnsi="Times New Roman" w:cs="Times New Roman"/>
                <w:sz w:val="26"/>
                <w:szCs w:val="26"/>
                <w:lang w:eastAsia="lv-LV"/>
              </w:rPr>
              <w:t xml:space="preserve"> iemaksu veicējiem, kas dzimuši pēc 1971.gada 1.jūlija, līdzdalība </w:t>
            </w:r>
            <w:r w:rsidR="00AD5BB8" w:rsidRPr="00E01B33">
              <w:rPr>
                <w:rFonts w:ascii="Times New Roman" w:hAnsi="Times New Roman" w:cs="Times New Roman"/>
                <w:sz w:val="26"/>
                <w:szCs w:val="26"/>
                <w:lang w:eastAsia="lv-LV"/>
              </w:rPr>
              <w:t>VFPS</w:t>
            </w:r>
            <w:r w:rsidRPr="00E01B33">
              <w:rPr>
                <w:rFonts w:ascii="Times New Roman" w:hAnsi="Times New Roman" w:cs="Times New Roman"/>
                <w:sz w:val="26"/>
                <w:szCs w:val="26"/>
                <w:lang w:eastAsia="lv-LV"/>
              </w:rPr>
              <w:t xml:space="preserve"> ir noteikta obligāta, savukārt tiem, kas dzimuši no 1951.gada 2.jūlija līdz 1971.gada 1.jūlijam (ieskaitot), - brīvprātīga. 201</w:t>
            </w:r>
            <w:r w:rsidR="004556B1" w:rsidRPr="00E01B33">
              <w:rPr>
                <w:rFonts w:ascii="Times New Roman" w:hAnsi="Times New Roman" w:cs="Times New Roman"/>
                <w:sz w:val="26"/>
                <w:szCs w:val="26"/>
                <w:lang w:eastAsia="lv-LV"/>
              </w:rPr>
              <w:t>7</w:t>
            </w:r>
            <w:r w:rsidRPr="00E01B33">
              <w:rPr>
                <w:rFonts w:ascii="Times New Roman" w:hAnsi="Times New Roman" w:cs="Times New Roman"/>
                <w:sz w:val="26"/>
                <w:szCs w:val="26"/>
                <w:lang w:eastAsia="lv-LV"/>
              </w:rPr>
              <w:t xml:space="preserve">.gada </w:t>
            </w:r>
            <w:r w:rsidR="004556B1" w:rsidRPr="00E01B33">
              <w:rPr>
                <w:rFonts w:ascii="Times New Roman" w:hAnsi="Times New Roman" w:cs="Times New Roman"/>
                <w:sz w:val="26"/>
                <w:szCs w:val="26"/>
                <w:lang w:eastAsia="lv-LV"/>
              </w:rPr>
              <w:t>30.jūnijā</w:t>
            </w:r>
            <w:r w:rsidRPr="00E01B33">
              <w:rPr>
                <w:rFonts w:ascii="Times New Roman" w:hAnsi="Times New Roman" w:cs="Times New Roman"/>
                <w:sz w:val="26"/>
                <w:szCs w:val="26"/>
                <w:lang w:eastAsia="lv-LV"/>
              </w:rPr>
              <w:t xml:space="preserve"> </w:t>
            </w:r>
            <w:r w:rsidR="00AD5BB8" w:rsidRPr="00E01B33">
              <w:rPr>
                <w:rFonts w:ascii="Times New Roman" w:hAnsi="Times New Roman" w:cs="Times New Roman"/>
                <w:sz w:val="26"/>
                <w:szCs w:val="26"/>
                <w:lang w:eastAsia="lv-LV"/>
              </w:rPr>
              <w:t>VFPS</w:t>
            </w:r>
            <w:r w:rsidRPr="00E01B33">
              <w:rPr>
                <w:rFonts w:ascii="Times New Roman" w:hAnsi="Times New Roman" w:cs="Times New Roman"/>
                <w:sz w:val="26"/>
                <w:szCs w:val="26"/>
                <w:lang w:eastAsia="lv-LV"/>
              </w:rPr>
              <w:t xml:space="preserve"> bija reģistrēti </w:t>
            </w:r>
            <w:r w:rsidR="004556B1" w:rsidRPr="00E01B33">
              <w:rPr>
                <w:rFonts w:ascii="Times New Roman" w:hAnsi="Times New Roman" w:cs="Times New Roman"/>
                <w:sz w:val="26"/>
                <w:szCs w:val="26"/>
                <w:lang w:eastAsia="lv-LV"/>
              </w:rPr>
              <w:t>1 268,5</w:t>
            </w:r>
            <w:r w:rsidRPr="00E01B33">
              <w:rPr>
                <w:rFonts w:ascii="Times New Roman" w:hAnsi="Times New Roman" w:cs="Times New Roman"/>
                <w:sz w:val="26"/>
                <w:szCs w:val="26"/>
                <w:lang w:eastAsia="lv-LV"/>
              </w:rPr>
              <w:t xml:space="preserve"> tūkst. dalībnieku, no tiem kā obligātie shēmas dalībnieki bija reģistrēti 80</w:t>
            </w:r>
            <w:r w:rsidR="008D1B63" w:rsidRPr="00E01B33">
              <w:rPr>
                <w:rFonts w:ascii="Times New Roman" w:hAnsi="Times New Roman" w:cs="Times New Roman"/>
                <w:sz w:val="26"/>
                <w:szCs w:val="26"/>
                <w:lang w:eastAsia="lv-LV"/>
              </w:rPr>
              <w:t>8,8</w:t>
            </w:r>
            <w:r w:rsidRPr="00E01B33">
              <w:rPr>
                <w:rFonts w:ascii="Times New Roman" w:hAnsi="Times New Roman" w:cs="Times New Roman"/>
                <w:sz w:val="26"/>
                <w:szCs w:val="26"/>
                <w:lang w:eastAsia="lv-LV"/>
              </w:rPr>
              <w:t xml:space="preserve"> tūkst. personu un brīvprātīgie </w:t>
            </w:r>
            <w:r w:rsidR="008D1B63" w:rsidRPr="00E01B33">
              <w:rPr>
                <w:rFonts w:ascii="Times New Roman" w:hAnsi="Times New Roman" w:cs="Times New Roman"/>
                <w:sz w:val="26"/>
                <w:szCs w:val="26"/>
                <w:lang w:eastAsia="lv-LV"/>
              </w:rPr>
              <w:t>–</w:t>
            </w:r>
            <w:r w:rsidRPr="00E01B33">
              <w:rPr>
                <w:rFonts w:ascii="Times New Roman" w:hAnsi="Times New Roman" w:cs="Times New Roman"/>
                <w:sz w:val="26"/>
                <w:szCs w:val="26"/>
                <w:lang w:eastAsia="lv-LV"/>
              </w:rPr>
              <w:t xml:space="preserve"> 4</w:t>
            </w:r>
            <w:r w:rsidR="008D1B63" w:rsidRPr="00E01B33">
              <w:rPr>
                <w:rFonts w:ascii="Times New Roman" w:hAnsi="Times New Roman" w:cs="Times New Roman"/>
                <w:sz w:val="26"/>
                <w:szCs w:val="26"/>
                <w:lang w:eastAsia="lv-LV"/>
              </w:rPr>
              <w:t>59,7</w:t>
            </w:r>
            <w:r w:rsidRPr="00E01B33">
              <w:rPr>
                <w:rFonts w:ascii="Times New Roman" w:hAnsi="Times New Roman" w:cs="Times New Roman"/>
                <w:sz w:val="26"/>
                <w:szCs w:val="26"/>
                <w:lang w:eastAsia="lv-LV"/>
              </w:rPr>
              <w:t xml:space="preserve"> tūkst. personu.</w:t>
            </w:r>
          </w:p>
          <w:p w:rsidR="00080A55" w:rsidRPr="00E01B33" w:rsidRDefault="000B6809" w:rsidP="00F31F16">
            <w:pPr>
              <w:spacing w:after="0" w:line="240" w:lineRule="auto"/>
              <w:ind w:left="142" w:right="141" w:firstLine="425"/>
              <w:jc w:val="both"/>
              <w:rPr>
                <w:rFonts w:ascii="Times New Roman" w:hAnsi="Times New Roman" w:cs="Times New Roman"/>
                <w:sz w:val="26"/>
                <w:szCs w:val="26"/>
                <w:lang w:eastAsia="lv-LV"/>
              </w:rPr>
            </w:pPr>
            <w:r w:rsidRPr="00E01B33">
              <w:rPr>
                <w:rFonts w:ascii="Times New Roman" w:hAnsi="Times New Roman" w:cs="Times New Roman"/>
                <w:sz w:val="26"/>
                <w:szCs w:val="26"/>
                <w:lang w:eastAsia="lv-LV"/>
              </w:rPr>
              <w:t>2017.gada 2</w:t>
            </w:r>
            <w:r w:rsidR="00080A55" w:rsidRPr="00E01B33">
              <w:rPr>
                <w:rFonts w:ascii="Times New Roman" w:hAnsi="Times New Roman" w:cs="Times New Roman"/>
                <w:sz w:val="26"/>
                <w:szCs w:val="26"/>
                <w:lang w:eastAsia="lv-LV"/>
              </w:rPr>
              <w:t>1.</w:t>
            </w:r>
            <w:r w:rsidRPr="00E01B33">
              <w:rPr>
                <w:rFonts w:ascii="Times New Roman" w:hAnsi="Times New Roman" w:cs="Times New Roman"/>
                <w:sz w:val="26"/>
                <w:szCs w:val="26"/>
                <w:lang w:eastAsia="lv-LV"/>
              </w:rPr>
              <w:t>novembrī</w:t>
            </w:r>
            <w:r w:rsidR="00080A55" w:rsidRPr="00E01B33">
              <w:rPr>
                <w:rFonts w:ascii="Times New Roman" w:hAnsi="Times New Roman" w:cs="Times New Roman"/>
                <w:sz w:val="26"/>
                <w:szCs w:val="26"/>
                <w:lang w:eastAsia="lv-LV"/>
              </w:rPr>
              <w:t xml:space="preserve"> VFPS dalībniekiem bija pieejami 2</w:t>
            </w:r>
            <w:r w:rsidRPr="00E01B33">
              <w:rPr>
                <w:rFonts w:ascii="Times New Roman" w:hAnsi="Times New Roman" w:cs="Times New Roman"/>
                <w:sz w:val="26"/>
                <w:szCs w:val="26"/>
                <w:lang w:eastAsia="lv-LV"/>
              </w:rPr>
              <w:t>3</w:t>
            </w:r>
            <w:r w:rsidR="00080A55" w:rsidRPr="00E01B33">
              <w:rPr>
                <w:rFonts w:ascii="Times New Roman" w:hAnsi="Times New Roman" w:cs="Times New Roman"/>
                <w:sz w:val="26"/>
                <w:szCs w:val="26"/>
                <w:lang w:eastAsia="lv-LV"/>
              </w:rPr>
              <w:t xml:space="preserve"> ieguldījumu plāni, kurus pārvaldīja astoņi līdzekļu pārvaldītāji. </w:t>
            </w:r>
          </w:p>
          <w:p w:rsidR="00080A55" w:rsidRPr="00E01B33" w:rsidRDefault="00080A55" w:rsidP="00724767">
            <w:pPr>
              <w:spacing w:after="0" w:line="240" w:lineRule="auto"/>
              <w:ind w:left="142" w:right="141" w:firstLine="425"/>
              <w:jc w:val="both"/>
              <w:rPr>
                <w:rFonts w:ascii="Times New Roman" w:eastAsia="Calibri" w:hAnsi="Times New Roman" w:cs="Times New Roman"/>
                <w:sz w:val="26"/>
                <w:szCs w:val="26"/>
              </w:rPr>
            </w:pPr>
          </w:p>
        </w:tc>
      </w:tr>
      <w:tr w:rsidR="00080A55" w:rsidRPr="00E01B33" w:rsidTr="0031447E">
        <w:trPr>
          <w:trHeight w:val="5"/>
        </w:trPr>
        <w:tc>
          <w:tcPr>
            <w:tcW w:w="431" w:type="dxa"/>
          </w:tcPr>
          <w:p w:rsidR="00080A55" w:rsidRPr="00E01B33"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2.</w:t>
            </w:r>
          </w:p>
        </w:tc>
        <w:tc>
          <w:tcPr>
            <w:tcW w:w="3118" w:type="dxa"/>
          </w:tcPr>
          <w:p w:rsidR="00080A55" w:rsidRPr="00E01B33" w:rsidRDefault="00080A55" w:rsidP="0031447E">
            <w:pPr>
              <w:spacing w:after="0" w:line="240" w:lineRule="auto"/>
              <w:ind w:left="142" w:right="142"/>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Tiesiskā regulējuma ietekme uz tautsaimniecību un administratīvo slogu</w:t>
            </w:r>
          </w:p>
        </w:tc>
        <w:tc>
          <w:tcPr>
            <w:tcW w:w="6092" w:type="dxa"/>
          </w:tcPr>
          <w:p w:rsidR="00080A55" w:rsidRPr="00E01B33" w:rsidRDefault="00080A55" w:rsidP="0031447E">
            <w:pPr>
              <w:shd w:val="clear" w:color="auto" w:fill="FFFFFF"/>
              <w:spacing w:after="0" w:line="240" w:lineRule="auto"/>
              <w:ind w:left="142" w:right="141"/>
              <w:jc w:val="both"/>
              <w:rPr>
                <w:rFonts w:ascii="Times New Roman" w:hAnsi="Times New Roman" w:cs="Times New Roman"/>
                <w:sz w:val="26"/>
                <w:szCs w:val="26"/>
              </w:rPr>
            </w:pPr>
            <w:r w:rsidRPr="00E01B33">
              <w:rPr>
                <w:rFonts w:ascii="Times New Roman" w:hAnsi="Times New Roman" w:cs="Times New Roman"/>
                <w:sz w:val="26"/>
                <w:szCs w:val="26"/>
              </w:rPr>
              <w:t xml:space="preserve">Izdevumus, kas saistīti ar komisijas maksas jauno aprēķināšanas kārtību tehnisko un praktisko ieviešanu, uzņemsies ieguldījumu pārvaldes sabiedrības, tādējādi pasargājot dalībniekus un valsti no papildus izdevumiem. </w:t>
            </w:r>
          </w:p>
          <w:p w:rsidR="00080A55" w:rsidRPr="00E01B33" w:rsidRDefault="00080A55" w:rsidP="0031447E">
            <w:pPr>
              <w:shd w:val="clear" w:color="auto" w:fill="FFFFFF"/>
              <w:spacing w:after="0" w:line="240" w:lineRule="auto"/>
              <w:ind w:right="141"/>
              <w:jc w:val="both"/>
              <w:rPr>
                <w:rFonts w:ascii="Times New Roman" w:hAnsi="Times New Roman" w:cs="Times New Roman"/>
                <w:sz w:val="26"/>
                <w:szCs w:val="26"/>
              </w:rPr>
            </w:pPr>
          </w:p>
        </w:tc>
      </w:tr>
      <w:tr w:rsidR="00080A55" w:rsidRPr="00E01B33" w:rsidTr="0031447E">
        <w:trPr>
          <w:trHeight w:val="10"/>
        </w:trPr>
        <w:tc>
          <w:tcPr>
            <w:tcW w:w="431" w:type="dxa"/>
          </w:tcPr>
          <w:p w:rsidR="00080A55" w:rsidRPr="00E01B33"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3.</w:t>
            </w:r>
          </w:p>
        </w:tc>
        <w:tc>
          <w:tcPr>
            <w:tcW w:w="3118" w:type="dxa"/>
          </w:tcPr>
          <w:p w:rsidR="00080A55" w:rsidRPr="00E01B33" w:rsidRDefault="00080A55" w:rsidP="0031447E">
            <w:pPr>
              <w:spacing w:after="0" w:line="240" w:lineRule="auto"/>
              <w:ind w:left="142" w:right="142"/>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 xml:space="preserve">Administratīvo izmaksu </w:t>
            </w:r>
            <w:r w:rsidRPr="00E01B33">
              <w:rPr>
                <w:rFonts w:ascii="Times New Roman" w:eastAsia="Times New Roman" w:hAnsi="Times New Roman" w:cs="Times New Roman"/>
                <w:sz w:val="26"/>
                <w:szCs w:val="26"/>
                <w:lang w:eastAsia="lv-LV"/>
              </w:rPr>
              <w:lastRenderedPageBreak/>
              <w:t>monetārs novērtējums</w:t>
            </w:r>
          </w:p>
        </w:tc>
        <w:tc>
          <w:tcPr>
            <w:tcW w:w="6092" w:type="dxa"/>
          </w:tcPr>
          <w:p w:rsidR="00080A55" w:rsidRPr="00E01B33" w:rsidRDefault="00080A55" w:rsidP="0031447E">
            <w:pPr>
              <w:shd w:val="clear" w:color="auto" w:fill="FFFFFF"/>
              <w:spacing w:after="0" w:line="240" w:lineRule="auto"/>
              <w:ind w:left="142" w:right="141"/>
              <w:jc w:val="both"/>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rPr>
              <w:lastRenderedPageBreak/>
              <w:t>Projekts šo jomu neskar.</w:t>
            </w:r>
          </w:p>
        </w:tc>
      </w:tr>
      <w:tr w:rsidR="00080A55" w:rsidRPr="00E01B33" w:rsidTr="0031447E">
        <w:trPr>
          <w:trHeight w:val="8"/>
        </w:trPr>
        <w:tc>
          <w:tcPr>
            <w:tcW w:w="431" w:type="dxa"/>
          </w:tcPr>
          <w:p w:rsidR="00080A55" w:rsidRPr="00E01B33" w:rsidRDefault="00080A55" w:rsidP="0031447E">
            <w:pPr>
              <w:spacing w:after="0" w:line="240" w:lineRule="auto"/>
              <w:ind w:right="-142"/>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lastRenderedPageBreak/>
              <w:t>4.</w:t>
            </w:r>
          </w:p>
        </w:tc>
        <w:tc>
          <w:tcPr>
            <w:tcW w:w="3118" w:type="dxa"/>
          </w:tcPr>
          <w:p w:rsidR="00080A55" w:rsidRPr="00E01B33" w:rsidRDefault="00080A55" w:rsidP="0031447E">
            <w:pPr>
              <w:spacing w:after="0" w:line="240" w:lineRule="auto"/>
              <w:ind w:left="142" w:right="142"/>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Cita informācija</w:t>
            </w:r>
          </w:p>
        </w:tc>
        <w:tc>
          <w:tcPr>
            <w:tcW w:w="6092" w:type="dxa"/>
          </w:tcPr>
          <w:p w:rsidR="00080A55" w:rsidRPr="00E01B33" w:rsidRDefault="00080A55" w:rsidP="0031447E">
            <w:pPr>
              <w:shd w:val="clear" w:color="auto" w:fill="FFFFFF"/>
              <w:spacing w:after="0" w:line="240" w:lineRule="auto"/>
              <w:ind w:left="142" w:right="-1"/>
              <w:jc w:val="both"/>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 xml:space="preserve">Nav </w:t>
            </w:r>
          </w:p>
        </w:tc>
      </w:tr>
    </w:tbl>
    <w:p w:rsidR="00080A55" w:rsidRPr="00E01B33" w:rsidRDefault="00080A55" w:rsidP="00080A55">
      <w:pPr>
        <w:spacing w:after="0" w:line="240" w:lineRule="auto"/>
        <w:ind w:right="-1"/>
        <w:rPr>
          <w:rFonts w:ascii="Times New Roman" w:eastAsia="Calibri" w:hAnsi="Times New Roman" w:cs="Times New Roman"/>
          <w:sz w:val="26"/>
          <w:szCs w:val="26"/>
        </w:rPr>
      </w:pPr>
    </w:p>
    <w:p w:rsidR="00724767" w:rsidRPr="00E01B33" w:rsidRDefault="00724767" w:rsidP="00080A55">
      <w:pPr>
        <w:spacing w:after="0" w:line="240" w:lineRule="auto"/>
        <w:ind w:right="-1"/>
        <w:rPr>
          <w:rFonts w:ascii="Times New Roman" w:eastAsia="Calibri" w:hAnsi="Times New Roman" w:cs="Times New Roman"/>
          <w:sz w:val="26"/>
          <w:szCs w:val="2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
        <w:gridCol w:w="3175"/>
        <w:gridCol w:w="5826"/>
      </w:tblGrid>
      <w:tr w:rsidR="00080A55" w:rsidRPr="00E01B33" w:rsidTr="00724767">
        <w:trPr>
          <w:trHeight w:val="414"/>
          <w:jc w:val="center"/>
        </w:trPr>
        <w:tc>
          <w:tcPr>
            <w:tcW w:w="9640" w:type="dxa"/>
            <w:gridSpan w:val="3"/>
            <w:vAlign w:val="center"/>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b/>
                <w:sz w:val="26"/>
                <w:szCs w:val="26"/>
                <w:lang w:eastAsia="lv-LV"/>
              </w:rPr>
              <w:t>VI. Sabiedrības līdzdalība un komunikācijas aktivitātes</w:t>
            </w:r>
          </w:p>
        </w:tc>
      </w:tr>
      <w:tr w:rsidR="00080A55" w:rsidRPr="00E01B33" w:rsidTr="00724767">
        <w:trPr>
          <w:trHeight w:val="544"/>
          <w:jc w:val="center"/>
        </w:trPr>
        <w:tc>
          <w:tcPr>
            <w:tcW w:w="639" w:type="dxa"/>
          </w:tcPr>
          <w:p w:rsidR="00080A55" w:rsidRPr="00E01B33" w:rsidRDefault="00080A55" w:rsidP="0031447E">
            <w:pPr>
              <w:spacing w:after="0" w:line="240" w:lineRule="auto"/>
              <w:ind w:right="-142"/>
              <w:jc w:val="center"/>
              <w:rPr>
                <w:rFonts w:ascii="Times New Roman" w:eastAsia="Calibri" w:hAnsi="Times New Roman" w:cs="Times New Roman"/>
                <w:bCs/>
                <w:sz w:val="26"/>
                <w:szCs w:val="26"/>
              </w:rPr>
            </w:pPr>
            <w:r w:rsidRPr="00E01B33">
              <w:rPr>
                <w:rFonts w:ascii="Times New Roman" w:eastAsia="Calibri" w:hAnsi="Times New Roman" w:cs="Times New Roman"/>
                <w:bCs/>
                <w:sz w:val="26"/>
                <w:szCs w:val="26"/>
              </w:rPr>
              <w:t>1.</w:t>
            </w:r>
          </w:p>
        </w:tc>
        <w:tc>
          <w:tcPr>
            <w:tcW w:w="3175" w:type="dxa"/>
          </w:tcPr>
          <w:p w:rsidR="00080A55" w:rsidRPr="00E01B33" w:rsidRDefault="00080A55" w:rsidP="0031447E">
            <w:pPr>
              <w:tabs>
                <w:tab w:val="left" w:pos="170"/>
              </w:tabs>
              <w:spacing w:after="0" w:line="240" w:lineRule="auto"/>
              <w:ind w:left="142" w:right="97"/>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Plānotās sabiedrības līdzdalības un komunikācijas aktivitātes saistībā ar projektu</w:t>
            </w:r>
          </w:p>
        </w:tc>
        <w:tc>
          <w:tcPr>
            <w:tcW w:w="5826" w:type="dxa"/>
          </w:tcPr>
          <w:p w:rsidR="000B6809" w:rsidRPr="00E01B33" w:rsidRDefault="000B6809" w:rsidP="0031447E">
            <w:pPr>
              <w:autoSpaceDE w:val="0"/>
              <w:autoSpaceDN w:val="0"/>
              <w:adjustRightInd w:val="0"/>
              <w:spacing w:after="0" w:line="240" w:lineRule="auto"/>
              <w:ind w:left="186" w:right="60" w:hanging="12"/>
              <w:jc w:val="both"/>
              <w:rPr>
                <w:rFonts w:ascii="Times New Roman" w:eastAsia="Calibri" w:hAnsi="Times New Roman" w:cs="Times New Roman"/>
                <w:sz w:val="26"/>
                <w:szCs w:val="26"/>
                <w:lang w:eastAsia="lv-LV"/>
              </w:rPr>
            </w:pPr>
            <w:bookmarkStart w:id="2" w:name="p61"/>
            <w:bookmarkEnd w:id="2"/>
            <w:r w:rsidRPr="00E01B33">
              <w:rPr>
                <w:rFonts w:ascii="Times New Roman" w:hAnsi="Times New Roman" w:cs="Times New Roman"/>
                <w:sz w:val="26"/>
                <w:szCs w:val="26"/>
              </w:rPr>
              <w:t>Pēc būtības šie ir tehniski noteikumi, kā valsts fondēto pensiju shēmas līdzekļu pārvaldītājiem aprēķināt komisijas maksu par ieguldījumu plāna pārvaldi.</w:t>
            </w:r>
          </w:p>
        </w:tc>
      </w:tr>
      <w:tr w:rsidR="00080A55" w:rsidRPr="00E01B33" w:rsidTr="00724767">
        <w:trPr>
          <w:trHeight w:val="333"/>
          <w:jc w:val="center"/>
        </w:trPr>
        <w:tc>
          <w:tcPr>
            <w:tcW w:w="639" w:type="dxa"/>
          </w:tcPr>
          <w:p w:rsidR="00080A55" w:rsidRPr="00E01B33" w:rsidRDefault="00080A55" w:rsidP="0031447E">
            <w:pPr>
              <w:spacing w:after="0" w:line="240" w:lineRule="auto"/>
              <w:ind w:right="-142"/>
              <w:jc w:val="center"/>
              <w:rPr>
                <w:rFonts w:ascii="Times New Roman" w:eastAsia="Calibri" w:hAnsi="Times New Roman" w:cs="Times New Roman"/>
                <w:bCs/>
                <w:sz w:val="26"/>
                <w:szCs w:val="26"/>
              </w:rPr>
            </w:pPr>
            <w:r w:rsidRPr="00E01B33">
              <w:rPr>
                <w:rFonts w:ascii="Times New Roman" w:eastAsia="Calibri" w:hAnsi="Times New Roman" w:cs="Times New Roman"/>
                <w:bCs/>
                <w:sz w:val="26"/>
                <w:szCs w:val="26"/>
              </w:rPr>
              <w:t>2.</w:t>
            </w:r>
          </w:p>
        </w:tc>
        <w:tc>
          <w:tcPr>
            <w:tcW w:w="3175" w:type="dxa"/>
          </w:tcPr>
          <w:p w:rsidR="00080A55" w:rsidRPr="00E01B33" w:rsidRDefault="00080A55" w:rsidP="0031447E">
            <w:pPr>
              <w:spacing w:after="0" w:line="240" w:lineRule="auto"/>
              <w:ind w:left="142" w:right="97"/>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Sabiedrības līdzdalība projekta izstrādē</w:t>
            </w:r>
          </w:p>
        </w:tc>
        <w:tc>
          <w:tcPr>
            <w:tcW w:w="5826" w:type="dxa"/>
            <w:vMerge w:val="restart"/>
          </w:tcPr>
          <w:p w:rsidR="00080A55" w:rsidRPr="00E01B33" w:rsidRDefault="000F44B8" w:rsidP="00E435A3">
            <w:pPr>
              <w:spacing w:after="0" w:line="240" w:lineRule="auto"/>
              <w:ind w:left="186" w:right="60" w:hanging="12"/>
              <w:jc w:val="both"/>
              <w:rPr>
                <w:rFonts w:ascii="Times New Roman" w:eastAsia="Calibri" w:hAnsi="Times New Roman" w:cs="Times New Roman"/>
                <w:sz w:val="26"/>
                <w:szCs w:val="26"/>
              </w:rPr>
            </w:pPr>
            <w:bookmarkStart w:id="3" w:name="p62"/>
            <w:bookmarkEnd w:id="3"/>
            <w:r w:rsidRPr="00E01B33">
              <w:rPr>
                <w:rFonts w:ascii="Times New Roman" w:eastAsia="Calibri" w:hAnsi="Times New Roman" w:cs="Times New Roman"/>
                <w:sz w:val="26"/>
                <w:szCs w:val="26"/>
              </w:rPr>
              <w:t xml:space="preserve">MK noteikumu projekts saskaņots ar </w:t>
            </w:r>
            <w:r w:rsidR="00E01B33">
              <w:rPr>
                <w:rFonts w:ascii="Times New Roman" w:eastAsia="Calibri" w:hAnsi="Times New Roman" w:cs="Times New Roman"/>
                <w:sz w:val="26"/>
                <w:szCs w:val="26"/>
              </w:rPr>
              <w:t>Latvijas Komercbanku asociāciju, Finanšu un kapitāla tirgus komisiju un Latvijas Banku.</w:t>
            </w:r>
          </w:p>
        </w:tc>
      </w:tr>
      <w:tr w:rsidR="00080A55" w:rsidRPr="00E01B33" w:rsidTr="00724767">
        <w:trPr>
          <w:trHeight w:val="468"/>
          <w:jc w:val="center"/>
        </w:trPr>
        <w:tc>
          <w:tcPr>
            <w:tcW w:w="639" w:type="dxa"/>
          </w:tcPr>
          <w:p w:rsidR="00080A55" w:rsidRPr="00E01B33" w:rsidRDefault="00080A55" w:rsidP="0031447E">
            <w:pPr>
              <w:spacing w:after="0" w:line="240" w:lineRule="auto"/>
              <w:ind w:right="-142"/>
              <w:jc w:val="center"/>
              <w:rPr>
                <w:rFonts w:ascii="Times New Roman" w:eastAsia="Calibri" w:hAnsi="Times New Roman" w:cs="Times New Roman"/>
                <w:bCs/>
                <w:sz w:val="26"/>
                <w:szCs w:val="26"/>
              </w:rPr>
            </w:pPr>
            <w:r w:rsidRPr="00E01B33">
              <w:rPr>
                <w:rFonts w:ascii="Times New Roman" w:eastAsia="Calibri" w:hAnsi="Times New Roman" w:cs="Times New Roman"/>
                <w:bCs/>
                <w:sz w:val="26"/>
                <w:szCs w:val="26"/>
              </w:rPr>
              <w:t>3.</w:t>
            </w:r>
          </w:p>
        </w:tc>
        <w:tc>
          <w:tcPr>
            <w:tcW w:w="3175" w:type="dxa"/>
          </w:tcPr>
          <w:p w:rsidR="00080A55" w:rsidRPr="00E01B33" w:rsidRDefault="00080A55" w:rsidP="0031447E">
            <w:pPr>
              <w:spacing w:after="0" w:line="240" w:lineRule="auto"/>
              <w:ind w:left="142" w:right="97"/>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Sabiedrības līdzdalības rezultāti</w:t>
            </w:r>
          </w:p>
        </w:tc>
        <w:tc>
          <w:tcPr>
            <w:tcW w:w="5826" w:type="dxa"/>
            <w:vMerge/>
          </w:tcPr>
          <w:p w:rsidR="00080A55" w:rsidRPr="00E01B33" w:rsidRDefault="00080A55" w:rsidP="0031447E">
            <w:pPr>
              <w:spacing w:after="0" w:line="240" w:lineRule="auto"/>
              <w:ind w:left="186" w:right="60"/>
              <w:jc w:val="both"/>
              <w:rPr>
                <w:rFonts w:ascii="Times New Roman" w:eastAsia="Calibri" w:hAnsi="Times New Roman" w:cs="Times New Roman"/>
                <w:sz w:val="26"/>
                <w:szCs w:val="26"/>
                <w:lang w:eastAsia="lv-LV"/>
              </w:rPr>
            </w:pPr>
          </w:p>
        </w:tc>
      </w:tr>
      <w:tr w:rsidR="00080A55" w:rsidRPr="00E01B33" w:rsidTr="00724767">
        <w:trPr>
          <w:trHeight w:val="474"/>
          <w:jc w:val="center"/>
        </w:trPr>
        <w:tc>
          <w:tcPr>
            <w:tcW w:w="639" w:type="dxa"/>
          </w:tcPr>
          <w:p w:rsidR="00080A55" w:rsidRPr="00E01B33" w:rsidRDefault="00080A55" w:rsidP="0031447E">
            <w:pPr>
              <w:spacing w:after="0" w:line="240" w:lineRule="auto"/>
              <w:ind w:right="-142"/>
              <w:jc w:val="center"/>
              <w:rPr>
                <w:rFonts w:ascii="Times New Roman" w:eastAsia="Calibri" w:hAnsi="Times New Roman" w:cs="Times New Roman"/>
                <w:bCs/>
                <w:sz w:val="26"/>
                <w:szCs w:val="26"/>
              </w:rPr>
            </w:pPr>
            <w:r w:rsidRPr="00E01B33">
              <w:rPr>
                <w:rFonts w:ascii="Times New Roman" w:eastAsia="Calibri" w:hAnsi="Times New Roman" w:cs="Times New Roman"/>
                <w:bCs/>
                <w:sz w:val="26"/>
                <w:szCs w:val="26"/>
              </w:rPr>
              <w:t>4.</w:t>
            </w:r>
          </w:p>
        </w:tc>
        <w:tc>
          <w:tcPr>
            <w:tcW w:w="3175" w:type="dxa"/>
          </w:tcPr>
          <w:p w:rsidR="00080A55" w:rsidRPr="00E01B33" w:rsidRDefault="00080A55" w:rsidP="0031447E">
            <w:pPr>
              <w:spacing w:after="0" w:line="240" w:lineRule="auto"/>
              <w:ind w:left="142" w:right="97"/>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Cita informācija</w:t>
            </w:r>
          </w:p>
        </w:tc>
        <w:tc>
          <w:tcPr>
            <w:tcW w:w="5826" w:type="dxa"/>
          </w:tcPr>
          <w:p w:rsidR="00080A55" w:rsidRPr="00E01B33" w:rsidRDefault="00080A55" w:rsidP="0031447E">
            <w:pPr>
              <w:spacing w:after="0" w:line="240" w:lineRule="auto"/>
              <w:ind w:left="186" w:right="60"/>
              <w:jc w:val="both"/>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Nav</w:t>
            </w:r>
          </w:p>
        </w:tc>
      </w:tr>
    </w:tbl>
    <w:p w:rsidR="00080A55" w:rsidRPr="00E01B33" w:rsidRDefault="00080A55" w:rsidP="00080A55">
      <w:pPr>
        <w:spacing w:after="0" w:line="240" w:lineRule="auto"/>
        <w:ind w:right="-1"/>
        <w:rPr>
          <w:rFonts w:ascii="Times New Roman" w:eastAsia="Calibri" w:hAnsi="Times New Roman" w:cs="Times New Roman"/>
          <w:sz w:val="26"/>
          <w:szCs w:val="26"/>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0"/>
        <w:gridCol w:w="3268"/>
        <w:gridCol w:w="5795"/>
      </w:tblGrid>
      <w:tr w:rsidR="00080A55" w:rsidRPr="00E01B33" w:rsidTr="0031447E">
        <w:trPr>
          <w:trHeight w:val="381"/>
          <w:jc w:val="center"/>
        </w:trPr>
        <w:tc>
          <w:tcPr>
            <w:tcW w:w="9623" w:type="dxa"/>
            <w:gridSpan w:val="3"/>
            <w:vAlign w:val="center"/>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b/>
                <w:sz w:val="26"/>
                <w:szCs w:val="26"/>
                <w:lang w:eastAsia="lv-LV"/>
              </w:rPr>
              <w:t>VII. Tiesību akta projekta izpildes nodrošināšana un tās ietekme uz institūcijām</w:t>
            </w:r>
          </w:p>
        </w:tc>
      </w:tr>
      <w:tr w:rsidR="00080A55" w:rsidRPr="00E01B33" w:rsidTr="0031447E">
        <w:trPr>
          <w:trHeight w:val="427"/>
          <w:jc w:val="center"/>
        </w:trPr>
        <w:tc>
          <w:tcPr>
            <w:tcW w:w="560" w:type="dxa"/>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1.</w:t>
            </w:r>
          </w:p>
        </w:tc>
        <w:tc>
          <w:tcPr>
            <w:tcW w:w="3268" w:type="dxa"/>
          </w:tcPr>
          <w:p w:rsidR="00080A55" w:rsidRPr="00E01B33"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Projekta izpildē iesaistītās institūcijas</w:t>
            </w:r>
          </w:p>
        </w:tc>
        <w:tc>
          <w:tcPr>
            <w:tcW w:w="5795" w:type="dxa"/>
          </w:tcPr>
          <w:p w:rsidR="00A61412" w:rsidRPr="00E01B33" w:rsidRDefault="00D9245D" w:rsidP="00D9245D">
            <w:pPr>
              <w:spacing w:after="0" w:line="240" w:lineRule="auto"/>
              <w:ind w:left="106" w:right="108"/>
              <w:jc w:val="both"/>
              <w:rPr>
                <w:rFonts w:ascii="Times New Roman" w:hAnsi="Times New Roman" w:cs="Times New Roman"/>
                <w:bCs/>
                <w:iCs/>
                <w:sz w:val="26"/>
                <w:szCs w:val="26"/>
                <w:lang w:eastAsia="lv-LV"/>
              </w:rPr>
            </w:pPr>
            <w:bookmarkStart w:id="4" w:name="p66"/>
            <w:bookmarkStart w:id="5" w:name="p67"/>
            <w:bookmarkStart w:id="6" w:name="p68"/>
            <w:bookmarkStart w:id="7" w:name="p69"/>
            <w:bookmarkEnd w:id="4"/>
            <w:bookmarkEnd w:id="5"/>
            <w:bookmarkEnd w:id="6"/>
            <w:bookmarkEnd w:id="7"/>
            <w:r w:rsidRPr="00E01B33">
              <w:rPr>
                <w:rFonts w:ascii="Times New Roman" w:hAnsi="Times New Roman" w:cs="Times New Roman"/>
                <w:bCs/>
                <w:iCs/>
                <w:sz w:val="26"/>
                <w:szCs w:val="26"/>
                <w:lang w:eastAsia="lv-LV"/>
              </w:rPr>
              <w:t>Projekta</w:t>
            </w:r>
            <w:r w:rsidR="00080A55" w:rsidRPr="00E01B33">
              <w:rPr>
                <w:rFonts w:ascii="Times New Roman" w:hAnsi="Times New Roman" w:cs="Times New Roman"/>
                <w:bCs/>
                <w:iCs/>
                <w:sz w:val="26"/>
                <w:szCs w:val="26"/>
                <w:lang w:eastAsia="lv-LV"/>
              </w:rPr>
              <w:t xml:space="preserve"> izpildi nodrošinās </w:t>
            </w:r>
            <w:r w:rsidRPr="00E01B33">
              <w:rPr>
                <w:rFonts w:ascii="Times New Roman" w:hAnsi="Times New Roman" w:cs="Times New Roman"/>
                <w:bCs/>
                <w:iCs/>
                <w:sz w:val="26"/>
                <w:szCs w:val="26"/>
                <w:lang w:eastAsia="lv-LV"/>
              </w:rPr>
              <w:t>valsts fondēto pensiju shēmas</w:t>
            </w:r>
            <w:r w:rsidR="00080A55" w:rsidRPr="00E01B33">
              <w:rPr>
                <w:rFonts w:ascii="Times New Roman" w:hAnsi="Times New Roman" w:cs="Times New Roman"/>
                <w:bCs/>
                <w:iCs/>
                <w:sz w:val="26"/>
                <w:szCs w:val="26"/>
                <w:lang w:eastAsia="lv-LV"/>
              </w:rPr>
              <w:t xml:space="preserve"> līdzekļu pārvaldītāji</w:t>
            </w:r>
            <w:r w:rsidRPr="00E01B33">
              <w:rPr>
                <w:rFonts w:ascii="Times New Roman" w:hAnsi="Times New Roman" w:cs="Times New Roman"/>
                <w:bCs/>
                <w:iCs/>
                <w:sz w:val="26"/>
                <w:szCs w:val="26"/>
                <w:lang w:eastAsia="lv-LV"/>
              </w:rPr>
              <w:t>.</w:t>
            </w:r>
          </w:p>
        </w:tc>
      </w:tr>
      <w:tr w:rsidR="00080A55" w:rsidRPr="00E01B33" w:rsidTr="0031447E">
        <w:trPr>
          <w:trHeight w:val="463"/>
          <w:jc w:val="center"/>
        </w:trPr>
        <w:tc>
          <w:tcPr>
            <w:tcW w:w="560" w:type="dxa"/>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2.</w:t>
            </w:r>
          </w:p>
        </w:tc>
        <w:tc>
          <w:tcPr>
            <w:tcW w:w="3268" w:type="dxa"/>
          </w:tcPr>
          <w:p w:rsidR="00080A55" w:rsidRPr="00E01B33"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Projekta izpildes ietekme uz pār</w:t>
            </w:r>
            <w:r w:rsidRPr="00E01B33">
              <w:rPr>
                <w:rFonts w:ascii="Times New Roman" w:eastAsia="Times New Roman" w:hAnsi="Times New Roman" w:cs="Times New Roman"/>
                <w:sz w:val="26"/>
                <w:szCs w:val="26"/>
                <w:lang w:eastAsia="lv-LV"/>
              </w:rPr>
              <w:softHyphen/>
              <w:t>valdes funkcijām un institucionālo struktūru.</w:t>
            </w:r>
          </w:p>
          <w:p w:rsidR="00080A55" w:rsidRPr="00E01B33" w:rsidRDefault="00080A55" w:rsidP="0031447E">
            <w:pPr>
              <w:spacing w:after="0" w:line="240" w:lineRule="auto"/>
              <w:ind w:left="114" w:right="186"/>
              <w:jc w:val="both"/>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Jaunu institūciju izveide, esošu institūciju likvidācija vai reorga</w:t>
            </w:r>
            <w:r w:rsidRPr="00E01B33">
              <w:rPr>
                <w:rFonts w:ascii="Times New Roman" w:eastAsia="Times New Roman" w:hAnsi="Times New Roman" w:cs="Times New Roman"/>
                <w:sz w:val="26"/>
                <w:szCs w:val="26"/>
                <w:lang w:eastAsia="lv-LV"/>
              </w:rPr>
              <w:softHyphen/>
              <w:t>nizācija, to ietekme uz institūcijas cilvēkresursiem</w:t>
            </w:r>
          </w:p>
        </w:tc>
        <w:tc>
          <w:tcPr>
            <w:tcW w:w="5795" w:type="dxa"/>
          </w:tcPr>
          <w:p w:rsidR="00080A55" w:rsidRPr="00E01B33" w:rsidRDefault="00D9245D" w:rsidP="00D9245D">
            <w:pPr>
              <w:spacing w:after="0" w:line="240" w:lineRule="auto"/>
              <w:ind w:left="106" w:right="108"/>
              <w:jc w:val="both"/>
              <w:rPr>
                <w:rFonts w:ascii="Times New Roman" w:hAnsi="Times New Roman" w:cs="Times New Roman"/>
                <w:sz w:val="26"/>
                <w:szCs w:val="26"/>
                <w:lang w:eastAsia="lv-LV"/>
              </w:rPr>
            </w:pPr>
            <w:r w:rsidRPr="00E01B33">
              <w:rPr>
                <w:rFonts w:ascii="Times New Roman" w:hAnsi="Times New Roman" w:cs="Times New Roman"/>
                <w:sz w:val="26"/>
                <w:szCs w:val="26"/>
                <w:lang w:eastAsia="lv-LV"/>
              </w:rPr>
              <w:t>P</w:t>
            </w:r>
            <w:r w:rsidR="00080A55" w:rsidRPr="00E01B33">
              <w:rPr>
                <w:rFonts w:ascii="Times New Roman" w:hAnsi="Times New Roman" w:cs="Times New Roman"/>
                <w:sz w:val="26"/>
                <w:szCs w:val="26"/>
                <w:lang w:eastAsia="lv-LV"/>
              </w:rPr>
              <w:t xml:space="preserve">rojekta izpildi </w:t>
            </w:r>
            <w:r w:rsidRPr="00E01B33">
              <w:rPr>
                <w:rFonts w:ascii="Times New Roman" w:hAnsi="Times New Roman" w:cs="Times New Roman"/>
                <w:bCs/>
                <w:iCs/>
                <w:sz w:val="26"/>
                <w:szCs w:val="26"/>
                <w:lang w:eastAsia="lv-LV"/>
              </w:rPr>
              <w:t xml:space="preserve">valsts fondēto pensiju shēmas </w:t>
            </w:r>
            <w:r w:rsidRPr="00E01B33">
              <w:rPr>
                <w:rFonts w:ascii="Times New Roman" w:hAnsi="Times New Roman" w:cs="Times New Roman"/>
                <w:sz w:val="26"/>
                <w:szCs w:val="26"/>
                <w:lang w:eastAsia="lv-LV"/>
              </w:rPr>
              <w:t>līdzekļu pārvaldītāji</w:t>
            </w:r>
            <w:r w:rsidR="00080A55" w:rsidRPr="00E01B33">
              <w:rPr>
                <w:rFonts w:ascii="Times New Roman" w:hAnsi="Times New Roman" w:cs="Times New Roman"/>
                <w:sz w:val="26"/>
                <w:szCs w:val="26"/>
                <w:lang w:eastAsia="lv-LV"/>
              </w:rPr>
              <w:t xml:space="preserve"> nodrošinās esošo funkciju ietvaros.</w:t>
            </w:r>
          </w:p>
        </w:tc>
      </w:tr>
      <w:tr w:rsidR="00080A55" w:rsidRPr="00E01B33" w:rsidTr="0031447E">
        <w:trPr>
          <w:trHeight w:val="402"/>
          <w:jc w:val="center"/>
        </w:trPr>
        <w:tc>
          <w:tcPr>
            <w:tcW w:w="560" w:type="dxa"/>
            <w:tcBorders>
              <w:top w:val="single" w:sz="4" w:space="0" w:color="auto"/>
              <w:left w:val="single" w:sz="4" w:space="0" w:color="auto"/>
              <w:bottom w:val="single" w:sz="4" w:space="0" w:color="auto"/>
              <w:right w:val="single" w:sz="4" w:space="0" w:color="auto"/>
            </w:tcBorders>
          </w:tcPr>
          <w:p w:rsidR="00080A55" w:rsidRPr="00E01B33" w:rsidRDefault="00080A55" w:rsidP="0031447E">
            <w:pPr>
              <w:spacing w:after="0" w:line="240" w:lineRule="auto"/>
              <w:ind w:right="-1"/>
              <w:jc w:val="center"/>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3.</w:t>
            </w:r>
          </w:p>
        </w:tc>
        <w:tc>
          <w:tcPr>
            <w:tcW w:w="3268" w:type="dxa"/>
            <w:tcBorders>
              <w:top w:val="single" w:sz="4" w:space="0" w:color="auto"/>
              <w:left w:val="single" w:sz="4" w:space="0" w:color="auto"/>
              <w:bottom w:val="single" w:sz="4" w:space="0" w:color="auto"/>
              <w:right w:val="single" w:sz="4" w:space="0" w:color="auto"/>
            </w:tcBorders>
          </w:tcPr>
          <w:p w:rsidR="00080A55" w:rsidRPr="00E01B33" w:rsidRDefault="00080A55" w:rsidP="0031447E">
            <w:pPr>
              <w:spacing w:after="0" w:line="240" w:lineRule="auto"/>
              <w:ind w:left="114" w:right="-1" w:hanging="114"/>
              <w:rPr>
                <w:rFonts w:ascii="Times New Roman" w:eastAsia="Times New Roman" w:hAnsi="Times New Roman" w:cs="Times New Roman"/>
                <w:sz w:val="26"/>
                <w:szCs w:val="26"/>
                <w:lang w:eastAsia="lv-LV"/>
              </w:rPr>
            </w:pPr>
            <w:r w:rsidRPr="00E01B33">
              <w:rPr>
                <w:rFonts w:ascii="Times New Roman" w:eastAsia="Times New Roman" w:hAnsi="Times New Roman" w:cs="Times New Roman"/>
                <w:sz w:val="26"/>
                <w:szCs w:val="26"/>
                <w:lang w:eastAsia="lv-LV"/>
              </w:rPr>
              <w:t xml:space="preserve"> Cita informācija</w:t>
            </w:r>
          </w:p>
        </w:tc>
        <w:tc>
          <w:tcPr>
            <w:tcW w:w="5795" w:type="dxa"/>
            <w:tcBorders>
              <w:top w:val="single" w:sz="4" w:space="0" w:color="auto"/>
              <w:left w:val="single" w:sz="4" w:space="0" w:color="auto"/>
              <w:bottom w:val="single" w:sz="4" w:space="0" w:color="auto"/>
              <w:right w:val="single" w:sz="4" w:space="0" w:color="auto"/>
            </w:tcBorders>
          </w:tcPr>
          <w:p w:rsidR="00080A55" w:rsidRPr="00E01B33" w:rsidRDefault="00080A55" w:rsidP="0031447E">
            <w:pPr>
              <w:spacing w:after="0" w:line="240" w:lineRule="auto"/>
              <w:ind w:right="-1"/>
              <w:jc w:val="both"/>
              <w:rPr>
                <w:rFonts w:ascii="Times New Roman" w:eastAsia="Calibri" w:hAnsi="Times New Roman" w:cs="Times New Roman"/>
                <w:sz w:val="26"/>
                <w:szCs w:val="26"/>
                <w:lang w:eastAsia="lv-LV"/>
              </w:rPr>
            </w:pPr>
            <w:r w:rsidRPr="00E01B33">
              <w:rPr>
                <w:rFonts w:ascii="Times New Roman" w:eastAsia="Calibri" w:hAnsi="Times New Roman" w:cs="Times New Roman"/>
                <w:sz w:val="26"/>
                <w:szCs w:val="26"/>
                <w:lang w:eastAsia="lv-LV"/>
              </w:rPr>
              <w:t>Nav</w:t>
            </w:r>
          </w:p>
        </w:tc>
      </w:tr>
    </w:tbl>
    <w:p w:rsidR="00724767" w:rsidRPr="00E01B33" w:rsidRDefault="00724767" w:rsidP="00724767">
      <w:pPr>
        <w:pStyle w:val="naisf"/>
        <w:rPr>
          <w:sz w:val="28"/>
          <w:szCs w:val="28"/>
        </w:rPr>
      </w:pPr>
      <w:r w:rsidRPr="00E01B33">
        <w:rPr>
          <w:sz w:val="28"/>
          <w:szCs w:val="28"/>
        </w:rPr>
        <w:t>Anotācijas III, IV un V sadaļa - projekts šīs jomas neskar.</w:t>
      </w:r>
    </w:p>
    <w:p w:rsidR="00724767" w:rsidRPr="00E01B33" w:rsidRDefault="00724767" w:rsidP="00080A55">
      <w:pPr>
        <w:tabs>
          <w:tab w:val="left" w:pos="6480"/>
        </w:tabs>
        <w:spacing w:after="0" w:line="240" w:lineRule="auto"/>
        <w:ind w:right="-1"/>
        <w:rPr>
          <w:rFonts w:ascii="Times New Roman" w:eastAsia="Calibri" w:hAnsi="Times New Roman" w:cs="Times New Roman"/>
          <w:sz w:val="28"/>
          <w:szCs w:val="28"/>
        </w:rPr>
      </w:pPr>
    </w:p>
    <w:p w:rsidR="001804DB" w:rsidRPr="00E01B33" w:rsidRDefault="001804DB" w:rsidP="001804DB">
      <w:pPr>
        <w:tabs>
          <w:tab w:val="left" w:pos="720"/>
          <w:tab w:val="left" w:pos="7020"/>
        </w:tabs>
        <w:spacing w:after="0" w:line="240" w:lineRule="auto"/>
        <w:jc w:val="both"/>
        <w:rPr>
          <w:rFonts w:ascii="Times New Roman" w:hAnsi="Times New Roman" w:cs="Times New Roman"/>
          <w:sz w:val="28"/>
          <w:szCs w:val="28"/>
          <w:lang w:val="de-DE"/>
        </w:rPr>
      </w:pPr>
      <w:r w:rsidRPr="00E01B33">
        <w:rPr>
          <w:rFonts w:ascii="Times New Roman" w:hAnsi="Times New Roman" w:cs="Times New Roman"/>
          <w:sz w:val="28"/>
          <w:szCs w:val="28"/>
          <w:lang w:val="de-DE"/>
        </w:rPr>
        <w:t xml:space="preserve">Iesniedzējs: </w:t>
      </w:r>
    </w:p>
    <w:p w:rsidR="001804DB" w:rsidRPr="00E01B33" w:rsidRDefault="004F00AE" w:rsidP="001804DB">
      <w:pPr>
        <w:tabs>
          <w:tab w:val="left" w:pos="720"/>
          <w:tab w:val="left" w:pos="7020"/>
        </w:tabs>
        <w:spacing w:after="0" w:line="240" w:lineRule="auto"/>
        <w:jc w:val="both"/>
        <w:rPr>
          <w:rFonts w:ascii="Times New Roman" w:hAnsi="Times New Roman" w:cs="Times New Roman"/>
          <w:sz w:val="28"/>
          <w:szCs w:val="28"/>
          <w:lang w:val="de-DE"/>
        </w:rPr>
      </w:pPr>
      <w:r w:rsidRPr="00E01B33">
        <w:rPr>
          <w:rFonts w:ascii="Times New Roman" w:hAnsi="Times New Roman" w:cs="Times New Roman"/>
          <w:sz w:val="28"/>
          <w:szCs w:val="28"/>
          <w:lang w:val="de-DE"/>
        </w:rPr>
        <w:t>l</w:t>
      </w:r>
      <w:r w:rsidR="001804DB" w:rsidRPr="00E01B33">
        <w:rPr>
          <w:rFonts w:ascii="Times New Roman" w:hAnsi="Times New Roman" w:cs="Times New Roman"/>
          <w:sz w:val="28"/>
          <w:szCs w:val="28"/>
          <w:lang w:val="de-DE"/>
        </w:rPr>
        <w:t>abklājības ministr</w:t>
      </w:r>
      <w:r w:rsidR="00B62C4C" w:rsidRPr="00E01B33">
        <w:rPr>
          <w:rFonts w:ascii="Times New Roman" w:hAnsi="Times New Roman" w:cs="Times New Roman"/>
          <w:sz w:val="28"/>
          <w:szCs w:val="28"/>
          <w:lang w:val="de-DE"/>
        </w:rPr>
        <w:t>s</w:t>
      </w:r>
      <w:r w:rsidR="001804DB" w:rsidRPr="00E01B33">
        <w:rPr>
          <w:rFonts w:ascii="Times New Roman" w:hAnsi="Times New Roman" w:cs="Times New Roman"/>
          <w:sz w:val="28"/>
          <w:szCs w:val="28"/>
          <w:lang w:val="de-DE"/>
        </w:rPr>
        <w:tab/>
        <w:t xml:space="preserve">         </w:t>
      </w:r>
      <w:r w:rsidR="00B62C4C" w:rsidRPr="00E01B33">
        <w:rPr>
          <w:rFonts w:ascii="Times New Roman" w:hAnsi="Times New Roman" w:cs="Times New Roman"/>
          <w:sz w:val="28"/>
          <w:szCs w:val="28"/>
          <w:lang w:val="de-DE"/>
        </w:rPr>
        <w:t>J.Reirs</w:t>
      </w:r>
    </w:p>
    <w:p w:rsidR="00B62C4C" w:rsidRPr="00E01B33" w:rsidRDefault="00B62C4C" w:rsidP="001804DB">
      <w:pPr>
        <w:tabs>
          <w:tab w:val="left" w:pos="720"/>
          <w:tab w:val="left" w:pos="7020"/>
        </w:tabs>
        <w:spacing w:after="0" w:line="240" w:lineRule="auto"/>
        <w:jc w:val="both"/>
        <w:rPr>
          <w:rFonts w:ascii="Times New Roman" w:hAnsi="Times New Roman" w:cs="Times New Roman"/>
          <w:sz w:val="28"/>
          <w:szCs w:val="28"/>
          <w:lang w:val="de-DE"/>
        </w:rPr>
      </w:pPr>
    </w:p>
    <w:p w:rsidR="00B62C4C" w:rsidRPr="00E01B33" w:rsidRDefault="00B62C4C" w:rsidP="001804DB">
      <w:pPr>
        <w:tabs>
          <w:tab w:val="left" w:pos="720"/>
          <w:tab w:val="left" w:pos="7020"/>
        </w:tabs>
        <w:spacing w:after="0" w:line="240" w:lineRule="auto"/>
        <w:jc w:val="both"/>
        <w:rPr>
          <w:rFonts w:ascii="Times New Roman" w:hAnsi="Times New Roman" w:cs="Times New Roman"/>
          <w:sz w:val="28"/>
          <w:szCs w:val="28"/>
          <w:lang w:val="de-DE"/>
        </w:rPr>
      </w:pPr>
    </w:p>
    <w:p w:rsidR="00F32074" w:rsidRPr="00E01B33" w:rsidRDefault="004F00AE" w:rsidP="001804DB">
      <w:pPr>
        <w:tabs>
          <w:tab w:val="left" w:pos="720"/>
          <w:tab w:val="left" w:pos="7020"/>
        </w:tabs>
        <w:spacing w:after="0" w:line="240" w:lineRule="auto"/>
        <w:jc w:val="both"/>
        <w:rPr>
          <w:rFonts w:ascii="Times New Roman" w:hAnsi="Times New Roman" w:cs="Times New Roman"/>
          <w:sz w:val="28"/>
          <w:szCs w:val="28"/>
          <w:lang w:val="de-DE"/>
        </w:rPr>
      </w:pPr>
      <w:r w:rsidRPr="00E01B33">
        <w:rPr>
          <w:rFonts w:ascii="Times New Roman" w:hAnsi="Times New Roman" w:cs="Times New Roman"/>
          <w:sz w:val="28"/>
          <w:szCs w:val="28"/>
          <w:lang w:val="de-DE"/>
        </w:rPr>
        <w:t>v</w:t>
      </w:r>
      <w:r w:rsidR="00F32074" w:rsidRPr="00E01B33">
        <w:rPr>
          <w:rFonts w:ascii="Times New Roman" w:hAnsi="Times New Roman" w:cs="Times New Roman"/>
          <w:sz w:val="28"/>
          <w:szCs w:val="28"/>
          <w:lang w:val="de-DE"/>
        </w:rPr>
        <w:t>alsts sekretārs</w:t>
      </w:r>
      <w:r w:rsidR="00F32074" w:rsidRPr="00E01B33">
        <w:rPr>
          <w:rFonts w:ascii="Times New Roman" w:hAnsi="Times New Roman" w:cs="Times New Roman"/>
          <w:sz w:val="28"/>
          <w:szCs w:val="28"/>
          <w:lang w:val="de-DE"/>
        </w:rPr>
        <w:tab/>
      </w:r>
      <w:r w:rsidR="00CB4AC4" w:rsidRPr="00E01B33">
        <w:rPr>
          <w:rFonts w:ascii="Times New Roman" w:hAnsi="Times New Roman" w:cs="Times New Roman"/>
          <w:sz w:val="28"/>
          <w:szCs w:val="28"/>
          <w:lang w:val="de-DE"/>
        </w:rPr>
        <w:tab/>
        <w:t xml:space="preserve">      </w:t>
      </w:r>
      <w:r w:rsidR="00F32074" w:rsidRPr="00E01B33">
        <w:rPr>
          <w:rFonts w:ascii="Times New Roman" w:hAnsi="Times New Roman" w:cs="Times New Roman"/>
          <w:sz w:val="28"/>
          <w:szCs w:val="28"/>
          <w:lang w:val="de-DE"/>
        </w:rPr>
        <w:t>I.Alliks</w:t>
      </w:r>
    </w:p>
    <w:p w:rsidR="00080A55" w:rsidRPr="00E01B33" w:rsidRDefault="00080A55" w:rsidP="00080A55">
      <w:pPr>
        <w:tabs>
          <w:tab w:val="left" w:pos="6480"/>
        </w:tabs>
        <w:spacing w:after="0" w:line="240" w:lineRule="auto"/>
        <w:ind w:right="-1"/>
        <w:rPr>
          <w:rFonts w:ascii="Times New Roman" w:eastAsia="Calibri" w:hAnsi="Times New Roman" w:cs="Times New Roman"/>
          <w:sz w:val="28"/>
          <w:szCs w:val="28"/>
          <w:lang w:val="de-DE"/>
        </w:rPr>
      </w:pPr>
    </w:p>
    <w:p w:rsidR="00710648" w:rsidRPr="00E01B33" w:rsidRDefault="00710648" w:rsidP="00080A55">
      <w:pPr>
        <w:tabs>
          <w:tab w:val="left" w:pos="6480"/>
        </w:tabs>
        <w:spacing w:after="0" w:line="240" w:lineRule="auto"/>
        <w:ind w:right="-1"/>
        <w:rPr>
          <w:rFonts w:ascii="Times New Roman" w:eastAsia="Calibri" w:hAnsi="Times New Roman" w:cs="Times New Roman"/>
          <w:sz w:val="20"/>
          <w:szCs w:val="20"/>
          <w:lang w:val="de-DE"/>
        </w:rPr>
      </w:pPr>
    </w:p>
    <w:p w:rsidR="00080A55" w:rsidRPr="00E01B33" w:rsidRDefault="00080A55" w:rsidP="00080A55">
      <w:pPr>
        <w:tabs>
          <w:tab w:val="left" w:pos="6480"/>
        </w:tabs>
        <w:spacing w:after="0" w:line="240" w:lineRule="auto"/>
        <w:ind w:right="-1"/>
        <w:rPr>
          <w:rFonts w:ascii="Times New Roman" w:eastAsia="Calibri" w:hAnsi="Times New Roman" w:cs="Times New Roman"/>
          <w:sz w:val="20"/>
          <w:szCs w:val="20"/>
        </w:rPr>
      </w:pPr>
    </w:p>
    <w:p w:rsidR="003F4208" w:rsidRDefault="003F4208" w:rsidP="00080A55">
      <w:pPr>
        <w:spacing w:after="0" w:line="240" w:lineRule="auto"/>
        <w:ind w:right="-1"/>
        <w:rPr>
          <w:rFonts w:ascii="Times New Roman" w:eastAsia="Calibri" w:hAnsi="Times New Roman" w:cs="Times New Roman"/>
        </w:rPr>
      </w:pPr>
      <w:r>
        <w:rPr>
          <w:rFonts w:ascii="Times New Roman" w:eastAsia="Calibri" w:hAnsi="Times New Roman" w:cs="Times New Roman"/>
        </w:rPr>
        <w:t>11.12.2017 9:07</w:t>
      </w:r>
    </w:p>
    <w:p w:rsidR="00080A55" w:rsidRPr="00E01B33" w:rsidRDefault="00043EA8" w:rsidP="00080A55">
      <w:pPr>
        <w:spacing w:after="0" w:line="240" w:lineRule="auto"/>
        <w:ind w:right="-1"/>
        <w:rPr>
          <w:rFonts w:ascii="Times New Roman" w:eastAsia="Calibri" w:hAnsi="Times New Roman" w:cs="Times New Roman"/>
        </w:rPr>
      </w:pPr>
      <w:bookmarkStart w:id="8" w:name="_GoBack"/>
      <w:bookmarkEnd w:id="8"/>
      <w:r>
        <w:rPr>
          <w:rFonts w:ascii="Times New Roman" w:eastAsia="Calibri" w:hAnsi="Times New Roman" w:cs="Times New Roman"/>
        </w:rPr>
        <w:t>1767</w:t>
      </w:r>
    </w:p>
    <w:p w:rsidR="00080A55" w:rsidRPr="00E01B33" w:rsidRDefault="00080A55" w:rsidP="00080A55">
      <w:pPr>
        <w:spacing w:after="0" w:line="240" w:lineRule="auto"/>
        <w:ind w:right="-1"/>
        <w:rPr>
          <w:rFonts w:ascii="Times New Roman" w:eastAsia="Calibri" w:hAnsi="Times New Roman" w:cs="Times New Roman"/>
        </w:rPr>
      </w:pPr>
      <w:proofErr w:type="spellStart"/>
      <w:r w:rsidRPr="00E01B33">
        <w:rPr>
          <w:rFonts w:ascii="Times New Roman" w:eastAsia="Calibri" w:hAnsi="Times New Roman" w:cs="Times New Roman"/>
        </w:rPr>
        <w:t>D.Trušinska</w:t>
      </w:r>
      <w:proofErr w:type="spellEnd"/>
      <w:r w:rsidRPr="00E01B33">
        <w:rPr>
          <w:rFonts w:ascii="Times New Roman" w:eastAsia="Calibri" w:hAnsi="Times New Roman" w:cs="Times New Roman"/>
        </w:rPr>
        <w:t xml:space="preserve">, 67021678 </w:t>
      </w:r>
    </w:p>
    <w:p w:rsidR="004D69EB" w:rsidRPr="00710648" w:rsidRDefault="008122E4" w:rsidP="00A61412">
      <w:pPr>
        <w:tabs>
          <w:tab w:val="center" w:pos="4153"/>
          <w:tab w:val="right" w:pos="8306"/>
        </w:tabs>
        <w:rPr>
          <w:rFonts w:ascii="Times New Roman" w:hAnsi="Times New Roman" w:cs="Times New Roman"/>
        </w:rPr>
      </w:pPr>
      <w:hyperlink r:id="rId10" w:history="1">
        <w:r w:rsidR="00080A55" w:rsidRPr="00E01B33">
          <w:rPr>
            <w:rStyle w:val="Hyperlink"/>
            <w:rFonts w:ascii="Times New Roman" w:eastAsia="Calibri" w:hAnsi="Times New Roman" w:cs="Times New Roman"/>
          </w:rPr>
          <w:t>Dace.Trusinska@lm.gov.lv</w:t>
        </w:r>
      </w:hyperlink>
    </w:p>
    <w:sectPr w:rsidR="004D69EB" w:rsidRPr="00710648" w:rsidSect="00D415AF">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E4" w:rsidRDefault="008122E4" w:rsidP="00080A55">
      <w:pPr>
        <w:spacing w:after="0" w:line="240" w:lineRule="auto"/>
      </w:pPr>
      <w:r>
        <w:separator/>
      </w:r>
    </w:p>
  </w:endnote>
  <w:endnote w:type="continuationSeparator" w:id="0">
    <w:p w:rsidR="008122E4" w:rsidRDefault="008122E4" w:rsidP="0008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Pr="003847CC" w:rsidRDefault="00323715" w:rsidP="00F72610">
    <w:pPr>
      <w:spacing w:after="0" w:line="240" w:lineRule="auto"/>
    </w:pPr>
    <w:r>
      <w:rPr>
        <w:rFonts w:ascii="Times New Roman" w:hAnsi="Times New Roman" w:cs="Times New Roman"/>
        <w:sz w:val="24"/>
        <w:szCs w:val="24"/>
      </w:rPr>
      <w:t>LManot_11</w:t>
    </w:r>
    <w:r w:rsidR="003521AD">
      <w:rPr>
        <w:rFonts w:ascii="Times New Roman" w:hAnsi="Times New Roman" w:cs="Times New Roman"/>
        <w:sz w:val="24"/>
        <w:szCs w:val="24"/>
      </w:rPr>
      <w:t>12</w:t>
    </w:r>
    <w:r w:rsidR="00F72610" w:rsidRPr="00EC6666">
      <w:rPr>
        <w:rFonts w:ascii="Times New Roman" w:hAnsi="Times New Roman" w:cs="Times New Roman"/>
        <w:sz w:val="24"/>
        <w:szCs w:val="24"/>
      </w:rPr>
      <w:t xml:space="preserve">17; </w:t>
    </w:r>
    <w:r w:rsidR="00F72610" w:rsidRPr="00EC6666">
      <w:rPr>
        <w:rFonts w:ascii="Times New Roman" w:hAnsi="Times New Roman" w:cs="Times New Roman"/>
        <w:color w:val="000000" w:themeColor="text1"/>
        <w:sz w:val="24"/>
        <w:szCs w:val="24"/>
      </w:rPr>
      <w:t>Ministru kabineta noteikum</w:t>
    </w:r>
    <w:r w:rsidR="00F72610">
      <w:rPr>
        <w:rFonts w:ascii="Times New Roman" w:hAnsi="Times New Roman" w:cs="Times New Roman"/>
        <w:color w:val="000000" w:themeColor="text1"/>
        <w:sz w:val="24"/>
        <w:szCs w:val="24"/>
      </w:rPr>
      <w:t>u</w:t>
    </w:r>
    <w:r w:rsidR="00F72610" w:rsidRPr="00EC6666">
      <w:rPr>
        <w:rFonts w:ascii="Times New Roman" w:hAnsi="Times New Roman" w:cs="Times New Roman"/>
        <w:color w:val="000000" w:themeColor="text1"/>
        <w:sz w:val="24"/>
        <w:szCs w:val="24"/>
      </w:rPr>
      <w:t xml:space="preserve"> "Kārtība, kādā valsts fondēto pensiju shēmas līdzekļu pārvaldītājs aprēķina maksājumu par ieguldījumu plāna pārvaldi un tiek veikta maksājuma uzskaite un ieturēšana"</w:t>
    </w:r>
    <w:r w:rsidR="00F72610">
      <w:rPr>
        <w:rFonts w:ascii="Times New Roman" w:hAnsi="Times New Roman" w:cs="Times New Roman"/>
        <w:color w:val="000000" w:themeColor="text1"/>
        <w:sz w:val="24"/>
        <w:szCs w:val="24"/>
      </w:rPr>
      <w:t xml:space="preserve">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Pr="0010488F" w:rsidRDefault="00323715" w:rsidP="00F72610">
    <w:pPr>
      <w:spacing w:after="0" w:line="240" w:lineRule="auto"/>
    </w:pPr>
    <w:r>
      <w:rPr>
        <w:rFonts w:ascii="Times New Roman" w:hAnsi="Times New Roman" w:cs="Times New Roman"/>
        <w:sz w:val="24"/>
        <w:szCs w:val="24"/>
      </w:rPr>
      <w:t>LManot_11</w:t>
    </w:r>
    <w:r w:rsidR="003521AD">
      <w:rPr>
        <w:rFonts w:ascii="Times New Roman" w:hAnsi="Times New Roman" w:cs="Times New Roman"/>
        <w:sz w:val="24"/>
        <w:szCs w:val="24"/>
      </w:rPr>
      <w:t>12</w:t>
    </w:r>
    <w:r w:rsidR="00F72610" w:rsidRPr="00EC6666">
      <w:rPr>
        <w:rFonts w:ascii="Times New Roman" w:hAnsi="Times New Roman" w:cs="Times New Roman"/>
        <w:sz w:val="24"/>
        <w:szCs w:val="24"/>
      </w:rPr>
      <w:t xml:space="preserve">17; </w:t>
    </w:r>
    <w:r w:rsidR="00F72610" w:rsidRPr="00EC6666">
      <w:rPr>
        <w:rFonts w:ascii="Times New Roman" w:hAnsi="Times New Roman" w:cs="Times New Roman"/>
        <w:color w:val="000000" w:themeColor="text1"/>
        <w:sz w:val="24"/>
        <w:szCs w:val="24"/>
      </w:rPr>
      <w:t>Ministru kabineta noteikum</w:t>
    </w:r>
    <w:r w:rsidR="00F72610">
      <w:rPr>
        <w:rFonts w:ascii="Times New Roman" w:hAnsi="Times New Roman" w:cs="Times New Roman"/>
        <w:color w:val="000000" w:themeColor="text1"/>
        <w:sz w:val="24"/>
        <w:szCs w:val="24"/>
      </w:rPr>
      <w:t>u</w:t>
    </w:r>
    <w:r w:rsidR="00F72610" w:rsidRPr="00EC6666">
      <w:rPr>
        <w:rFonts w:ascii="Times New Roman" w:hAnsi="Times New Roman" w:cs="Times New Roman"/>
        <w:color w:val="000000" w:themeColor="text1"/>
        <w:sz w:val="24"/>
        <w:szCs w:val="24"/>
      </w:rPr>
      <w:t xml:space="preserve"> "Kārtība, kādā valsts fondēto pensiju shēmas līdzekļu pārvaldītājs aprēķina maksājumu par ieguldījumu plāna pārvaldi un tiek veikta maksājuma uzskaite un ieturēšana"</w:t>
    </w:r>
    <w:r w:rsidR="00F72610">
      <w:rPr>
        <w:rFonts w:ascii="Times New Roman" w:hAnsi="Times New Roman" w:cs="Times New Roman"/>
        <w:color w:val="000000" w:themeColor="text1"/>
        <w:sz w:val="24"/>
        <w:szCs w:val="24"/>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E4" w:rsidRDefault="008122E4" w:rsidP="00080A55">
      <w:pPr>
        <w:spacing w:after="0" w:line="240" w:lineRule="auto"/>
      </w:pPr>
      <w:r>
        <w:separator/>
      </w:r>
    </w:p>
  </w:footnote>
  <w:footnote w:type="continuationSeparator" w:id="0">
    <w:p w:rsidR="008122E4" w:rsidRDefault="008122E4" w:rsidP="00080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77" w:rsidRDefault="007D1F3A">
    <w:pPr>
      <w:pStyle w:val="Header"/>
      <w:jc w:val="center"/>
    </w:pPr>
    <w:r>
      <w:fldChar w:fldCharType="begin"/>
    </w:r>
    <w:r>
      <w:instrText xml:space="preserve"> PAGE   \* MERGEFORMAT </w:instrText>
    </w:r>
    <w:r>
      <w:fldChar w:fldCharType="separate"/>
    </w:r>
    <w:r w:rsidR="003F4208">
      <w:rPr>
        <w:noProof/>
      </w:rPr>
      <w:t>7</w:t>
    </w:r>
    <w:r>
      <w:rPr>
        <w:noProof/>
      </w:rPr>
      <w:fldChar w:fldCharType="end"/>
    </w:r>
  </w:p>
  <w:p w:rsidR="00D75677" w:rsidRDefault="00812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65041"/>
    <w:multiLevelType w:val="hybridMultilevel"/>
    <w:tmpl w:val="0CD8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2535B"/>
    <w:multiLevelType w:val="hybridMultilevel"/>
    <w:tmpl w:val="219E32DE"/>
    <w:lvl w:ilvl="0" w:tplc="98766FD8">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4D5F7F51"/>
    <w:multiLevelType w:val="hybridMultilevel"/>
    <w:tmpl w:val="583207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2B83FA7"/>
    <w:multiLevelType w:val="hybridMultilevel"/>
    <w:tmpl w:val="3F18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30BCE"/>
    <w:multiLevelType w:val="hybridMultilevel"/>
    <w:tmpl w:val="3134F836"/>
    <w:lvl w:ilvl="0" w:tplc="93906978">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B32691"/>
    <w:multiLevelType w:val="hybridMultilevel"/>
    <w:tmpl w:val="A136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tvijas Banka">
    <w15:presenceInfo w15:providerId="None" w15:userId="Latvijas B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55"/>
    <w:rsid w:val="000007D1"/>
    <w:rsid w:val="00002048"/>
    <w:rsid w:val="00003790"/>
    <w:rsid w:val="000116A5"/>
    <w:rsid w:val="00013003"/>
    <w:rsid w:val="0001453B"/>
    <w:rsid w:val="00016458"/>
    <w:rsid w:val="000250DF"/>
    <w:rsid w:val="000251DA"/>
    <w:rsid w:val="00027BCE"/>
    <w:rsid w:val="0003315A"/>
    <w:rsid w:val="00034C32"/>
    <w:rsid w:val="00041368"/>
    <w:rsid w:val="00043EA8"/>
    <w:rsid w:val="00045021"/>
    <w:rsid w:val="000478B2"/>
    <w:rsid w:val="00050441"/>
    <w:rsid w:val="0005065F"/>
    <w:rsid w:val="00051A24"/>
    <w:rsid w:val="00051C61"/>
    <w:rsid w:val="00057D2E"/>
    <w:rsid w:val="000631FA"/>
    <w:rsid w:val="00064FE0"/>
    <w:rsid w:val="00065D3B"/>
    <w:rsid w:val="00073F63"/>
    <w:rsid w:val="00080A55"/>
    <w:rsid w:val="00081BD5"/>
    <w:rsid w:val="000852B7"/>
    <w:rsid w:val="00085402"/>
    <w:rsid w:val="00085A7C"/>
    <w:rsid w:val="00086B42"/>
    <w:rsid w:val="00087B52"/>
    <w:rsid w:val="000910D7"/>
    <w:rsid w:val="000914AE"/>
    <w:rsid w:val="00093CF3"/>
    <w:rsid w:val="000958DF"/>
    <w:rsid w:val="000A0A43"/>
    <w:rsid w:val="000A4600"/>
    <w:rsid w:val="000B57A7"/>
    <w:rsid w:val="000B57D0"/>
    <w:rsid w:val="000B6809"/>
    <w:rsid w:val="000C0120"/>
    <w:rsid w:val="000C680D"/>
    <w:rsid w:val="000D0439"/>
    <w:rsid w:val="000D1590"/>
    <w:rsid w:val="000D2757"/>
    <w:rsid w:val="000D3B37"/>
    <w:rsid w:val="000D7731"/>
    <w:rsid w:val="000D7EB3"/>
    <w:rsid w:val="000E3E07"/>
    <w:rsid w:val="000E6819"/>
    <w:rsid w:val="000E6C9D"/>
    <w:rsid w:val="000F1A90"/>
    <w:rsid w:val="000F2970"/>
    <w:rsid w:val="000F30AB"/>
    <w:rsid w:val="000F44B8"/>
    <w:rsid w:val="000F4D42"/>
    <w:rsid w:val="000F6B4A"/>
    <w:rsid w:val="00102775"/>
    <w:rsid w:val="00102835"/>
    <w:rsid w:val="00103B28"/>
    <w:rsid w:val="00103CF0"/>
    <w:rsid w:val="00104D13"/>
    <w:rsid w:val="00106774"/>
    <w:rsid w:val="0011250A"/>
    <w:rsid w:val="00115C35"/>
    <w:rsid w:val="00117DDF"/>
    <w:rsid w:val="00117ECD"/>
    <w:rsid w:val="001225BB"/>
    <w:rsid w:val="001229FF"/>
    <w:rsid w:val="00123B64"/>
    <w:rsid w:val="00123C42"/>
    <w:rsid w:val="001251C0"/>
    <w:rsid w:val="00132C38"/>
    <w:rsid w:val="00134F1A"/>
    <w:rsid w:val="00136B3C"/>
    <w:rsid w:val="00143A06"/>
    <w:rsid w:val="00145599"/>
    <w:rsid w:val="00146E5F"/>
    <w:rsid w:val="00152651"/>
    <w:rsid w:val="0015430F"/>
    <w:rsid w:val="00155211"/>
    <w:rsid w:val="00160473"/>
    <w:rsid w:val="001667B1"/>
    <w:rsid w:val="00167268"/>
    <w:rsid w:val="00171268"/>
    <w:rsid w:val="0017149A"/>
    <w:rsid w:val="001804DB"/>
    <w:rsid w:val="00180E23"/>
    <w:rsid w:val="00181B45"/>
    <w:rsid w:val="001877A1"/>
    <w:rsid w:val="0019570A"/>
    <w:rsid w:val="001A0666"/>
    <w:rsid w:val="001A49F2"/>
    <w:rsid w:val="001A4F52"/>
    <w:rsid w:val="001A4F97"/>
    <w:rsid w:val="001A7073"/>
    <w:rsid w:val="001B0C2A"/>
    <w:rsid w:val="001B5C66"/>
    <w:rsid w:val="001B73F2"/>
    <w:rsid w:val="001C011B"/>
    <w:rsid w:val="001C4593"/>
    <w:rsid w:val="001C7127"/>
    <w:rsid w:val="001D3509"/>
    <w:rsid w:val="001D3745"/>
    <w:rsid w:val="001D4F8C"/>
    <w:rsid w:val="001D66EF"/>
    <w:rsid w:val="001D6B38"/>
    <w:rsid w:val="001D766A"/>
    <w:rsid w:val="001E414F"/>
    <w:rsid w:val="001E6583"/>
    <w:rsid w:val="001E674F"/>
    <w:rsid w:val="001E6A7E"/>
    <w:rsid w:val="001E6CE0"/>
    <w:rsid w:val="001F14C4"/>
    <w:rsid w:val="001F366A"/>
    <w:rsid w:val="002025C4"/>
    <w:rsid w:val="00207071"/>
    <w:rsid w:val="002075AD"/>
    <w:rsid w:val="00216D1B"/>
    <w:rsid w:val="00220916"/>
    <w:rsid w:val="00221E9F"/>
    <w:rsid w:val="00222BD6"/>
    <w:rsid w:val="00226973"/>
    <w:rsid w:val="002279EC"/>
    <w:rsid w:val="00227C20"/>
    <w:rsid w:val="00233EAE"/>
    <w:rsid w:val="002351EA"/>
    <w:rsid w:val="002403C7"/>
    <w:rsid w:val="00244629"/>
    <w:rsid w:val="00244756"/>
    <w:rsid w:val="002465AC"/>
    <w:rsid w:val="00246D27"/>
    <w:rsid w:val="0025319B"/>
    <w:rsid w:val="00255179"/>
    <w:rsid w:val="00255EE7"/>
    <w:rsid w:val="00260C0D"/>
    <w:rsid w:val="00264BE9"/>
    <w:rsid w:val="00271E13"/>
    <w:rsid w:val="002727D5"/>
    <w:rsid w:val="00272F11"/>
    <w:rsid w:val="00273BB1"/>
    <w:rsid w:val="00277A72"/>
    <w:rsid w:val="00280692"/>
    <w:rsid w:val="00283CF8"/>
    <w:rsid w:val="00283E1C"/>
    <w:rsid w:val="00290C80"/>
    <w:rsid w:val="00290FD6"/>
    <w:rsid w:val="00291EA8"/>
    <w:rsid w:val="00292C7B"/>
    <w:rsid w:val="00295C2E"/>
    <w:rsid w:val="002A0203"/>
    <w:rsid w:val="002A0D7F"/>
    <w:rsid w:val="002A1BD1"/>
    <w:rsid w:val="002A3886"/>
    <w:rsid w:val="002B1B6A"/>
    <w:rsid w:val="002B3D72"/>
    <w:rsid w:val="002B45A8"/>
    <w:rsid w:val="002B7543"/>
    <w:rsid w:val="002B7C4C"/>
    <w:rsid w:val="002C0859"/>
    <w:rsid w:val="002C2A57"/>
    <w:rsid w:val="002C31C5"/>
    <w:rsid w:val="002C4377"/>
    <w:rsid w:val="002C480F"/>
    <w:rsid w:val="002C5CAA"/>
    <w:rsid w:val="002C72D7"/>
    <w:rsid w:val="002D0FBC"/>
    <w:rsid w:val="002D58D5"/>
    <w:rsid w:val="002F1A31"/>
    <w:rsid w:val="00304010"/>
    <w:rsid w:val="00306B6E"/>
    <w:rsid w:val="003128F6"/>
    <w:rsid w:val="003236F2"/>
    <w:rsid w:val="00323715"/>
    <w:rsid w:val="00325132"/>
    <w:rsid w:val="003254C5"/>
    <w:rsid w:val="003338A4"/>
    <w:rsid w:val="003356A5"/>
    <w:rsid w:val="00344821"/>
    <w:rsid w:val="00344A68"/>
    <w:rsid w:val="003450AF"/>
    <w:rsid w:val="00347F41"/>
    <w:rsid w:val="003508AC"/>
    <w:rsid w:val="003521AD"/>
    <w:rsid w:val="003578FA"/>
    <w:rsid w:val="00365AC6"/>
    <w:rsid w:val="00365BC5"/>
    <w:rsid w:val="003671D6"/>
    <w:rsid w:val="00371332"/>
    <w:rsid w:val="003770FD"/>
    <w:rsid w:val="00380293"/>
    <w:rsid w:val="00392694"/>
    <w:rsid w:val="00393F09"/>
    <w:rsid w:val="003A18E7"/>
    <w:rsid w:val="003A2114"/>
    <w:rsid w:val="003A3670"/>
    <w:rsid w:val="003A3DE6"/>
    <w:rsid w:val="003A76BA"/>
    <w:rsid w:val="003B1B9D"/>
    <w:rsid w:val="003B3271"/>
    <w:rsid w:val="003B518A"/>
    <w:rsid w:val="003B72BC"/>
    <w:rsid w:val="003B75D2"/>
    <w:rsid w:val="003C7369"/>
    <w:rsid w:val="003D1C5A"/>
    <w:rsid w:val="003D22E1"/>
    <w:rsid w:val="003D2E11"/>
    <w:rsid w:val="003E12E1"/>
    <w:rsid w:val="003E5FDF"/>
    <w:rsid w:val="003F1980"/>
    <w:rsid w:val="003F2E71"/>
    <w:rsid w:val="003F4208"/>
    <w:rsid w:val="003F66B5"/>
    <w:rsid w:val="003F7418"/>
    <w:rsid w:val="00401762"/>
    <w:rsid w:val="00405272"/>
    <w:rsid w:val="00414BEB"/>
    <w:rsid w:val="00417035"/>
    <w:rsid w:val="00417277"/>
    <w:rsid w:val="004177AE"/>
    <w:rsid w:val="004220D5"/>
    <w:rsid w:val="00423A12"/>
    <w:rsid w:val="00426F66"/>
    <w:rsid w:val="00427078"/>
    <w:rsid w:val="004276DE"/>
    <w:rsid w:val="00431574"/>
    <w:rsid w:val="00432CEF"/>
    <w:rsid w:val="0043302D"/>
    <w:rsid w:val="00433C24"/>
    <w:rsid w:val="004406B4"/>
    <w:rsid w:val="00444C27"/>
    <w:rsid w:val="00445425"/>
    <w:rsid w:val="004511B8"/>
    <w:rsid w:val="004516D5"/>
    <w:rsid w:val="00452DB7"/>
    <w:rsid w:val="00454159"/>
    <w:rsid w:val="004556B1"/>
    <w:rsid w:val="004638D6"/>
    <w:rsid w:val="004672D6"/>
    <w:rsid w:val="0047156D"/>
    <w:rsid w:val="00476D7E"/>
    <w:rsid w:val="0047789D"/>
    <w:rsid w:val="00482437"/>
    <w:rsid w:val="00483DE3"/>
    <w:rsid w:val="00491BCA"/>
    <w:rsid w:val="00493ADB"/>
    <w:rsid w:val="00493B2F"/>
    <w:rsid w:val="00496A7A"/>
    <w:rsid w:val="00497660"/>
    <w:rsid w:val="004A3840"/>
    <w:rsid w:val="004A5697"/>
    <w:rsid w:val="004A7AE1"/>
    <w:rsid w:val="004A7D9C"/>
    <w:rsid w:val="004A7E40"/>
    <w:rsid w:val="004B3CBF"/>
    <w:rsid w:val="004C2AFD"/>
    <w:rsid w:val="004C43AD"/>
    <w:rsid w:val="004C5BA8"/>
    <w:rsid w:val="004C6BDF"/>
    <w:rsid w:val="004D2082"/>
    <w:rsid w:val="004D2E6B"/>
    <w:rsid w:val="004D2F15"/>
    <w:rsid w:val="004D64CD"/>
    <w:rsid w:val="004D69EB"/>
    <w:rsid w:val="004E0AB0"/>
    <w:rsid w:val="004E19F0"/>
    <w:rsid w:val="004E2E28"/>
    <w:rsid w:val="004E3383"/>
    <w:rsid w:val="004E4718"/>
    <w:rsid w:val="004E5CCA"/>
    <w:rsid w:val="004E5D2E"/>
    <w:rsid w:val="004E7045"/>
    <w:rsid w:val="004F00AE"/>
    <w:rsid w:val="004F00C0"/>
    <w:rsid w:val="004F0ACD"/>
    <w:rsid w:val="004F2C07"/>
    <w:rsid w:val="004F31A8"/>
    <w:rsid w:val="004F6366"/>
    <w:rsid w:val="00500173"/>
    <w:rsid w:val="00512F96"/>
    <w:rsid w:val="005135CC"/>
    <w:rsid w:val="00513DC1"/>
    <w:rsid w:val="005146C5"/>
    <w:rsid w:val="005206BC"/>
    <w:rsid w:val="00521B97"/>
    <w:rsid w:val="00522DFF"/>
    <w:rsid w:val="00525ACD"/>
    <w:rsid w:val="00526569"/>
    <w:rsid w:val="00531678"/>
    <w:rsid w:val="00535DF3"/>
    <w:rsid w:val="00536624"/>
    <w:rsid w:val="00536FCB"/>
    <w:rsid w:val="00540D7F"/>
    <w:rsid w:val="00545C7C"/>
    <w:rsid w:val="0054688D"/>
    <w:rsid w:val="0054764E"/>
    <w:rsid w:val="00550A89"/>
    <w:rsid w:val="00551BF0"/>
    <w:rsid w:val="005618ED"/>
    <w:rsid w:val="00563F74"/>
    <w:rsid w:val="0056546D"/>
    <w:rsid w:val="00567DE9"/>
    <w:rsid w:val="0057218B"/>
    <w:rsid w:val="00572EEC"/>
    <w:rsid w:val="00577C5D"/>
    <w:rsid w:val="00583219"/>
    <w:rsid w:val="0058365E"/>
    <w:rsid w:val="00591A84"/>
    <w:rsid w:val="005A0B6B"/>
    <w:rsid w:val="005A2054"/>
    <w:rsid w:val="005A2BB6"/>
    <w:rsid w:val="005A5729"/>
    <w:rsid w:val="005A6459"/>
    <w:rsid w:val="005A69D6"/>
    <w:rsid w:val="005A6FCB"/>
    <w:rsid w:val="005B1AA5"/>
    <w:rsid w:val="005B2263"/>
    <w:rsid w:val="005B2B4B"/>
    <w:rsid w:val="005C3D8D"/>
    <w:rsid w:val="005D4ED5"/>
    <w:rsid w:val="005D73C0"/>
    <w:rsid w:val="005E0804"/>
    <w:rsid w:val="005E3464"/>
    <w:rsid w:val="005F0731"/>
    <w:rsid w:val="005F0A7D"/>
    <w:rsid w:val="005F11A9"/>
    <w:rsid w:val="005F2CBC"/>
    <w:rsid w:val="005F5584"/>
    <w:rsid w:val="005F598A"/>
    <w:rsid w:val="005F7391"/>
    <w:rsid w:val="006047DC"/>
    <w:rsid w:val="006108F0"/>
    <w:rsid w:val="00617618"/>
    <w:rsid w:val="00617865"/>
    <w:rsid w:val="00617F87"/>
    <w:rsid w:val="00620B34"/>
    <w:rsid w:val="00622EB3"/>
    <w:rsid w:val="00626B97"/>
    <w:rsid w:val="00626D6A"/>
    <w:rsid w:val="006302D8"/>
    <w:rsid w:val="00630727"/>
    <w:rsid w:val="00631302"/>
    <w:rsid w:val="00631FA3"/>
    <w:rsid w:val="006332A4"/>
    <w:rsid w:val="00633934"/>
    <w:rsid w:val="006358C3"/>
    <w:rsid w:val="006462B0"/>
    <w:rsid w:val="00655300"/>
    <w:rsid w:val="00655F02"/>
    <w:rsid w:val="00656093"/>
    <w:rsid w:val="00656961"/>
    <w:rsid w:val="0065741D"/>
    <w:rsid w:val="00657AD2"/>
    <w:rsid w:val="00657C10"/>
    <w:rsid w:val="0066340A"/>
    <w:rsid w:val="00666279"/>
    <w:rsid w:val="0066748D"/>
    <w:rsid w:val="00667E8F"/>
    <w:rsid w:val="0067791C"/>
    <w:rsid w:val="006864DA"/>
    <w:rsid w:val="00686EF8"/>
    <w:rsid w:val="00690637"/>
    <w:rsid w:val="006912AF"/>
    <w:rsid w:val="006915C5"/>
    <w:rsid w:val="00691795"/>
    <w:rsid w:val="00692709"/>
    <w:rsid w:val="00693DA8"/>
    <w:rsid w:val="006A0244"/>
    <w:rsid w:val="006A04BF"/>
    <w:rsid w:val="006A3204"/>
    <w:rsid w:val="006A3767"/>
    <w:rsid w:val="006A389C"/>
    <w:rsid w:val="006A3DEA"/>
    <w:rsid w:val="006A43CD"/>
    <w:rsid w:val="006A43D1"/>
    <w:rsid w:val="006A5394"/>
    <w:rsid w:val="006A59C7"/>
    <w:rsid w:val="006A64AA"/>
    <w:rsid w:val="006B037A"/>
    <w:rsid w:val="006B4F2A"/>
    <w:rsid w:val="006B5BE2"/>
    <w:rsid w:val="006C14B3"/>
    <w:rsid w:val="006C16C5"/>
    <w:rsid w:val="006C62EB"/>
    <w:rsid w:val="006D1174"/>
    <w:rsid w:val="006D238C"/>
    <w:rsid w:val="006D5DC9"/>
    <w:rsid w:val="006E110E"/>
    <w:rsid w:val="006E240D"/>
    <w:rsid w:val="006E552A"/>
    <w:rsid w:val="006E7373"/>
    <w:rsid w:val="006F0B56"/>
    <w:rsid w:val="006F17FC"/>
    <w:rsid w:val="006F2F2C"/>
    <w:rsid w:val="006F3D25"/>
    <w:rsid w:val="00701C20"/>
    <w:rsid w:val="00706E80"/>
    <w:rsid w:val="00710648"/>
    <w:rsid w:val="00711912"/>
    <w:rsid w:val="00711CA2"/>
    <w:rsid w:val="007137C7"/>
    <w:rsid w:val="00716B50"/>
    <w:rsid w:val="00716EDB"/>
    <w:rsid w:val="007206A0"/>
    <w:rsid w:val="00724767"/>
    <w:rsid w:val="00725188"/>
    <w:rsid w:val="0072571E"/>
    <w:rsid w:val="00725C26"/>
    <w:rsid w:val="0072729D"/>
    <w:rsid w:val="00731C30"/>
    <w:rsid w:val="00732ABA"/>
    <w:rsid w:val="00735D76"/>
    <w:rsid w:val="007401DC"/>
    <w:rsid w:val="00745D57"/>
    <w:rsid w:val="007508B7"/>
    <w:rsid w:val="00750D09"/>
    <w:rsid w:val="007525C5"/>
    <w:rsid w:val="0075356C"/>
    <w:rsid w:val="00760642"/>
    <w:rsid w:val="00760C65"/>
    <w:rsid w:val="00761191"/>
    <w:rsid w:val="00766256"/>
    <w:rsid w:val="00770931"/>
    <w:rsid w:val="007806B5"/>
    <w:rsid w:val="00780CB0"/>
    <w:rsid w:val="00783221"/>
    <w:rsid w:val="00784CF0"/>
    <w:rsid w:val="007851C6"/>
    <w:rsid w:val="00787D52"/>
    <w:rsid w:val="0079231A"/>
    <w:rsid w:val="00795DF3"/>
    <w:rsid w:val="0079771A"/>
    <w:rsid w:val="007B4185"/>
    <w:rsid w:val="007B548D"/>
    <w:rsid w:val="007C1A44"/>
    <w:rsid w:val="007C452F"/>
    <w:rsid w:val="007C6908"/>
    <w:rsid w:val="007C6A68"/>
    <w:rsid w:val="007C7091"/>
    <w:rsid w:val="007D02C0"/>
    <w:rsid w:val="007D1F3A"/>
    <w:rsid w:val="007D344D"/>
    <w:rsid w:val="007D51B0"/>
    <w:rsid w:val="007D5ABB"/>
    <w:rsid w:val="007E5E7E"/>
    <w:rsid w:val="007F21DA"/>
    <w:rsid w:val="007F7820"/>
    <w:rsid w:val="007F7EB5"/>
    <w:rsid w:val="00802A34"/>
    <w:rsid w:val="0080360C"/>
    <w:rsid w:val="00803EDE"/>
    <w:rsid w:val="00805E11"/>
    <w:rsid w:val="00806204"/>
    <w:rsid w:val="008063AD"/>
    <w:rsid w:val="00807BCE"/>
    <w:rsid w:val="00810812"/>
    <w:rsid w:val="008122E4"/>
    <w:rsid w:val="0081595C"/>
    <w:rsid w:val="0081608E"/>
    <w:rsid w:val="00820598"/>
    <w:rsid w:val="00821B64"/>
    <w:rsid w:val="00821E4E"/>
    <w:rsid w:val="008259BF"/>
    <w:rsid w:val="008266F2"/>
    <w:rsid w:val="0083147E"/>
    <w:rsid w:val="008317AF"/>
    <w:rsid w:val="008336ED"/>
    <w:rsid w:val="00840775"/>
    <w:rsid w:val="00852CD8"/>
    <w:rsid w:val="008554B7"/>
    <w:rsid w:val="00856A03"/>
    <w:rsid w:val="00867AD1"/>
    <w:rsid w:val="00872B06"/>
    <w:rsid w:val="008751E1"/>
    <w:rsid w:val="00880552"/>
    <w:rsid w:val="00881F00"/>
    <w:rsid w:val="00885048"/>
    <w:rsid w:val="00892440"/>
    <w:rsid w:val="00892575"/>
    <w:rsid w:val="00895010"/>
    <w:rsid w:val="00895EFC"/>
    <w:rsid w:val="008961D2"/>
    <w:rsid w:val="008A0BB4"/>
    <w:rsid w:val="008A157B"/>
    <w:rsid w:val="008A2BAC"/>
    <w:rsid w:val="008B561A"/>
    <w:rsid w:val="008B7994"/>
    <w:rsid w:val="008C62A0"/>
    <w:rsid w:val="008D1B63"/>
    <w:rsid w:val="008D3FFE"/>
    <w:rsid w:val="008D4FF7"/>
    <w:rsid w:val="008D57CB"/>
    <w:rsid w:val="008E18BC"/>
    <w:rsid w:val="008E2054"/>
    <w:rsid w:val="008E4E50"/>
    <w:rsid w:val="008E5D8E"/>
    <w:rsid w:val="008E6551"/>
    <w:rsid w:val="008F0FC4"/>
    <w:rsid w:val="008F1A3A"/>
    <w:rsid w:val="008F4F4F"/>
    <w:rsid w:val="00901762"/>
    <w:rsid w:val="009020E7"/>
    <w:rsid w:val="009041DC"/>
    <w:rsid w:val="00905ACF"/>
    <w:rsid w:val="00906953"/>
    <w:rsid w:val="00906E2A"/>
    <w:rsid w:val="00906EC7"/>
    <w:rsid w:val="00907193"/>
    <w:rsid w:val="00911242"/>
    <w:rsid w:val="00915542"/>
    <w:rsid w:val="00915B2A"/>
    <w:rsid w:val="0091674B"/>
    <w:rsid w:val="00921FC3"/>
    <w:rsid w:val="00930514"/>
    <w:rsid w:val="00930787"/>
    <w:rsid w:val="00930ABC"/>
    <w:rsid w:val="0093474C"/>
    <w:rsid w:val="00936A2A"/>
    <w:rsid w:val="00936F7D"/>
    <w:rsid w:val="00945316"/>
    <w:rsid w:val="0095102F"/>
    <w:rsid w:val="00951C8C"/>
    <w:rsid w:val="0095309A"/>
    <w:rsid w:val="009566E1"/>
    <w:rsid w:val="00957E43"/>
    <w:rsid w:val="00960509"/>
    <w:rsid w:val="00961067"/>
    <w:rsid w:val="0096343C"/>
    <w:rsid w:val="00963DDB"/>
    <w:rsid w:val="0096626A"/>
    <w:rsid w:val="0097034B"/>
    <w:rsid w:val="009734D0"/>
    <w:rsid w:val="00974AD4"/>
    <w:rsid w:val="00977E20"/>
    <w:rsid w:val="00982381"/>
    <w:rsid w:val="0098688C"/>
    <w:rsid w:val="00986997"/>
    <w:rsid w:val="009914CA"/>
    <w:rsid w:val="009924FB"/>
    <w:rsid w:val="0099585B"/>
    <w:rsid w:val="009A050E"/>
    <w:rsid w:val="009A27ED"/>
    <w:rsid w:val="009A396E"/>
    <w:rsid w:val="009A5222"/>
    <w:rsid w:val="009A7E37"/>
    <w:rsid w:val="009B240D"/>
    <w:rsid w:val="009B2BFA"/>
    <w:rsid w:val="009B4D4C"/>
    <w:rsid w:val="009C2C5B"/>
    <w:rsid w:val="009C7832"/>
    <w:rsid w:val="009D2B22"/>
    <w:rsid w:val="009D4DAF"/>
    <w:rsid w:val="009E12DB"/>
    <w:rsid w:val="009E1E8F"/>
    <w:rsid w:val="009E457E"/>
    <w:rsid w:val="009F3C8A"/>
    <w:rsid w:val="009F4F85"/>
    <w:rsid w:val="00A0379B"/>
    <w:rsid w:val="00A05951"/>
    <w:rsid w:val="00A10437"/>
    <w:rsid w:val="00A1471F"/>
    <w:rsid w:val="00A15B76"/>
    <w:rsid w:val="00A172B5"/>
    <w:rsid w:val="00A21892"/>
    <w:rsid w:val="00A23955"/>
    <w:rsid w:val="00A2496E"/>
    <w:rsid w:val="00A276A8"/>
    <w:rsid w:val="00A329A2"/>
    <w:rsid w:val="00A346BB"/>
    <w:rsid w:val="00A35349"/>
    <w:rsid w:val="00A356C8"/>
    <w:rsid w:val="00A36FB6"/>
    <w:rsid w:val="00A42A0D"/>
    <w:rsid w:val="00A43C76"/>
    <w:rsid w:val="00A44828"/>
    <w:rsid w:val="00A44984"/>
    <w:rsid w:val="00A45CA8"/>
    <w:rsid w:val="00A46E47"/>
    <w:rsid w:val="00A4751A"/>
    <w:rsid w:val="00A61412"/>
    <w:rsid w:val="00A631E8"/>
    <w:rsid w:val="00A705C7"/>
    <w:rsid w:val="00A7104F"/>
    <w:rsid w:val="00A72E00"/>
    <w:rsid w:val="00A75F2F"/>
    <w:rsid w:val="00A77A12"/>
    <w:rsid w:val="00A80E85"/>
    <w:rsid w:val="00A81FA4"/>
    <w:rsid w:val="00A82F32"/>
    <w:rsid w:val="00A875CC"/>
    <w:rsid w:val="00A919F9"/>
    <w:rsid w:val="00AA1BEF"/>
    <w:rsid w:val="00AA1DEC"/>
    <w:rsid w:val="00AA1EE9"/>
    <w:rsid w:val="00AA32DE"/>
    <w:rsid w:val="00AB077B"/>
    <w:rsid w:val="00AC348C"/>
    <w:rsid w:val="00AC457A"/>
    <w:rsid w:val="00AC6541"/>
    <w:rsid w:val="00AC755D"/>
    <w:rsid w:val="00AC7928"/>
    <w:rsid w:val="00AD536E"/>
    <w:rsid w:val="00AD5BB8"/>
    <w:rsid w:val="00AD5BC5"/>
    <w:rsid w:val="00AD60E5"/>
    <w:rsid w:val="00AD7B09"/>
    <w:rsid w:val="00AE6084"/>
    <w:rsid w:val="00AF02AD"/>
    <w:rsid w:val="00AF03DC"/>
    <w:rsid w:val="00AF266F"/>
    <w:rsid w:val="00AF3022"/>
    <w:rsid w:val="00AF7091"/>
    <w:rsid w:val="00B00B5A"/>
    <w:rsid w:val="00B018FC"/>
    <w:rsid w:val="00B01B60"/>
    <w:rsid w:val="00B03603"/>
    <w:rsid w:val="00B04FA4"/>
    <w:rsid w:val="00B07B26"/>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13E0"/>
    <w:rsid w:val="00B42ABF"/>
    <w:rsid w:val="00B436BB"/>
    <w:rsid w:val="00B46935"/>
    <w:rsid w:val="00B50907"/>
    <w:rsid w:val="00B5315B"/>
    <w:rsid w:val="00B577B3"/>
    <w:rsid w:val="00B605AA"/>
    <w:rsid w:val="00B6124E"/>
    <w:rsid w:val="00B62C4C"/>
    <w:rsid w:val="00B63CEB"/>
    <w:rsid w:val="00B63D71"/>
    <w:rsid w:val="00B645A1"/>
    <w:rsid w:val="00B64E74"/>
    <w:rsid w:val="00B64EE4"/>
    <w:rsid w:val="00B67B26"/>
    <w:rsid w:val="00B71FE1"/>
    <w:rsid w:val="00B74A8D"/>
    <w:rsid w:val="00B74BF1"/>
    <w:rsid w:val="00B81339"/>
    <w:rsid w:val="00B81F18"/>
    <w:rsid w:val="00B82623"/>
    <w:rsid w:val="00B851B4"/>
    <w:rsid w:val="00B86363"/>
    <w:rsid w:val="00B90114"/>
    <w:rsid w:val="00B91095"/>
    <w:rsid w:val="00B94D0B"/>
    <w:rsid w:val="00B964F4"/>
    <w:rsid w:val="00BA001D"/>
    <w:rsid w:val="00BB14C1"/>
    <w:rsid w:val="00BC31F6"/>
    <w:rsid w:val="00BC4ABD"/>
    <w:rsid w:val="00BC546C"/>
    <w:rsid w:val="00BC6334"/>
    <w:rsid w:val="00BD1A20"/>
    <w:rsid w:val="00BD30FC"/>
    <w:rsid w:val="00BD4F4F"/>
    <w:rsid w:val="00BD5216"/>
    <w:rsid w:val="00BD5905"/>
    <w:rsid w:val="00BD6D83"/>
    <w:rsid w:val="00BE2272"/>
    <w:rsid w:val="00BE4007"/>
    <w:rsid w:val="00BF02C8"/>
    <w:rsid w:val="00BF0ADA"/>
    <w:rsid w:val="00BF0B52"/>
    <w:rsid w:val="00BF1BD3"/>
    <w:rsid w:val="00BF3F2F"/>
    <w:rsid w:val="00BF5213"/>
    <w:rsid w:val="00C00854"/>
    <w:rsid w:val="00C025C6"/>
    <w:rsid w:val="00C02920"/>
    <w:rsid w:val="00C03578"/>
    <w:rsid w:val="00C10CE7"/>
    <w:rsid w:val="00C12152"/>
    <w:rsid w:val="00C12FB9"/>
    <w:rsid w:val="00C14FB3"/>
    <w:rsid w:val="00C1718F"/>
    <w:rsid w:val="00C20365"/>
    <w:rsid w:val="00C21B96"/>
    <w:rsid w:val="00C2386F"/>
    <w:rsid w:val="00C23EF1"/>
    <w:rsid w:val="00C25484"/>
    <w:rsid w:val="00C26757"/>
    <w:rsid w:val="00C2675B"/>
    <w:rsid w:val="00C26D28"/>
    <w:rsid w:val="00C30EE2"/>
    <w:rsid w:val="00C37F27"/>
    <w:rsid w:val="00C42A4B"/>
    <w:rsid w:val="00C43030"/>
    <w:rsid w:val="00C463BC"/>
    <w:rsid w:val="00C5014E"/>
    <w:rsid w:val="00C5795A"/>
    <w:rsid w:val="00C601F7"/>
    <w:rsid w:val="00C6037A"/>
    <w:rsid w:val="00C6143C"/>
    <w:rsid w:val="00C625A5"/>
    <w:rsid w:val="00C62771"/>
    <w:rsid w:val="00C71C6E"/>
    <w:rsid w:val="00C72669"/>
    <w:rsid w:val="00C75757"/>
    <w:rsid w:val="00C76429"/>
    <w:rsid w:val="00C800FD"/>
    <w:rsid w:val="00C806AF"/>
    <w:rsid w:val="00C80A69"/>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2CFA"/>
    <w:rsid w:val="00CB4AC4"/>
    <w:rsid w:val="00CB69AF"/>
    <w:rsid w:val="00CB78F3"/>
    <w:rsid w:val="00CC6C8E"/>
    <w:rsid w:val="00CD10B6"/>
    <w:rsid w:val="00CD1587"/>
    <w:rsid w:val="00CE15E0"/>
    <w:rsid w:val="00CE2583"/>
    <w:rsid w:val="00CF16C4"/>
    <w:rsid w:val="00CF1BED"/>
    <w:rsid w:val="00CF32A0"/>
    <w:rsid w:val="00D0156F"/>
    <w:rsid w:val="00D01646"/>
    <w:rsid w:val="00D03AFF"/>
    <w:rsid w:val="00D1117D"/>
    <w:rsid w:val="00D11A33"/>
    <w:rsid w:val="00D11CF6"/>
    <w:rsid w:val="00D12984"/>
    <w:rsid w:val="00D140F6"/>
    <w:rsid w:val="00D15C5B"/>
    <w:rsid w:val="00D16982"/>
    <w:rsid w:val="00D20EB2"/>
    <w:rsid w:val="00D33271"/>
    <w:rsid w:val="00D37239"/>
    <w:rsid w:val="00D413DF"/>
    <w:rsid w:val="00D41E42"/>
    <w:rsid w:val="00D45456"/>
    <w:rsid w:val="00D5049E"/>
    <w:rsid w:val="00D50A53"/>
    <w:rsid w:val="00D53C15"/>
    <w:rsid w:val="00D53EF1"/>
    <w:rsid w:val="00D5525D"/>
    <w:rsid w:val="00D649A7"/>
    <w:rsid w:val="00D70E5F"/>
    <w:rsid w:val="00D72144"/>
    <w:rsid w:val="00D73FA4"/>
    <w:rsid w:val="00D75E1E"/>
    <w:rsid w:val="00D7660B"/>
    <w:rsid w:val="00D77AED"/>
    <w:rsid w:val="00D81EBE"/>
    <w:rsid w:val="00D83707"/>
    <w:rsid w:val="00D8494A"/>
    <w:rsid w:val="00D9245D"/>
    <w:rsid w:val="00D93AD9"/>
    <w:rsid w:val="00D94B6A"/>
    <w:rsid w:val="00D95F8B"/>
    <w:rsid w:val="00D9607E"/>
    <w:rsid w:val="00D97758"/>
    <w:rsid w:val="00DA0352"/>
    <w:rsid w:val="00DA4F10"/>
    <w:rsid w:val="00DA6DE5"/>
    <w:rsid w:val="00DB1312"/>
    <w:rsid w:val="00DC100F"/>
    <w:rsid w:val="00DC41D0"/>
    <w:rsid w:val="00DD1EEB"/>
    <w:rsid w:val="00DD25A5"/>
    <w:rsid w:val="00DD36E2"/>
    <w:rsid w:val="00DE5F1B"/>
    <w:rsid w:val="00DE6432"/>
    <w:rsid w:val="00DF4A46"/>
    <w:rsid w:val="00DF51A0"/>
    <w:rsid w:val="00DF5B63"/>
    <w:rsid w:val="00DF5E56"/>
    <w:rsid w:val="00DF609F"/>
    <w:rsid w:val="00DF725A"/>
    <w:rsid w:val="00DF73C2"/>
    <w:rsid w:val="00E01043"/>
    <w:rsid w:val="00E01B33"/>
    <w:rsid w:val="00E026A1"/>
    <w:rsid w:val="00E03073"/>
    <w:rsid w:val="00E052C0"/>
    <w:rsid w:val="00E054E0"/>
    <w:rsid w:val="00E05E28"/>
    <w:rsid w:val="00E0601C"/>
    <w:rsid w:val="00E07025"/>
    <w:rsid w:val="00E14190"/>
    <w:rsid w:val="00E15D73"/>
    <w:rsid w:val="00E24695"/>
    <w:rsid w:val="00E26CB0"/>
    <w:rsid w:val="00E33221"/>
    <w:rsid w:val="00E355FE"/>
    <w:rsid w:val="00E40719"/>
    <w:rsid w:val="00E41EFF"/>
    <w:rsid w:val="00E42C10"/>
    <w:rsid w:val="00E435A3"/>
    <w:rsid w:val="00E44912"/>
    <w:rsid w:val="00E45EFC"/>
    <w:rsid w:val="00E471ED"/>
    <w:rsid w:val="00E47B83"/>
    <w:rsid w:val="00E47F3C"/>
    <w:rsid w:val="00E50004"/>
    <w:rsid w:val="00E51BCA"/>
    <w:rsid w:val="00E53818"/>
    <w:rsid w:val="00E55218"/>
    <w:rsid w:val="00E55B0C"/>
    <w:rsid w:val="00E55FA2"/>
    <w:rsid w:val="00E615B6"/>
    <w:rsid w:val="00E62F64"/>
    <w:rsid w:val="00E63DD6"/>
    <w:rsid w:val="00E6552A"/>
    <w:rsid w:val="00E73DA5"/>
    <w:rsid w:val="00E747D8"/>
    <w:rsid w:val="00E76268"/>
    <w:rsid w:val="00E76BE4"/>
    <w:rsid w:val="00E8225F"/>
    <w:rsid w:val="00E846D2"/>
    <w:rsid w:val="00E86608"/>
    <w:rsid w:val="00E93DFB"/>
    <w:rsid w:val="00E95284"/>
    <w:rsid w:val="00E956E5"/>
    <w:rsid w:val="00E96E01"/>
    <w:rsid w:val="00EA1EB5"/>
    <w:rsid w:val="00EA37B5"/>
    <w:rsid w:val="00EA5B72"/>
    <w:rsid w:val="00EA7718"/>
    <w:rsid w:val="00EB46CC"/>
    <w:rsid w:val="00EC0EF3"/>
    <w:rsid w:val="00EC11A8"/>
    <w:rsid w:val="00EC6095"/>
    <w:rsid w:val="00ED2EEF"/>
    <w:rsid w:val="00ED3669"/>
    <w:rsid w:val="00ED38C0"/>
    <w:rsid w:val="00ED7571"/>
    <w:rsid w:val="00EE7778"/>
    <w:rsid w:val="00EF4D6B"/>
    <w:rsid w:val="00EF5798"/>
    <w:rsid w:val="00F018EA"/>
    <w:rsid w:val="00F02475"/>
    <w:rsid w:val="00F0458B"/>
    <w:rsid w:val="00F04B39"/>
    <w:rsid w:val="00F055A1"/>
    <w:rsid w:val="00F066F6"/>
    <w:rsid w:val="00F103D7"/>
    <w:rsid w:val="00F14FD3"/>
    <w:rsid w:val="00F150C5"/>
    <w:rsid w:val="00F16672"/>
    <w:rsid w:val="00F22A37"/>
    <w:rsid w:val="00F24CD6"/>
    <w:rsid w:val="00F30D68"/>
    <w:rsid w:val="00F3188C"/>
    <w:rsid w:val="00F31F16"/>
    <w:rsid w:val="00F32074"/>
    <w:rsid w:val="00F332A2"/>
    <w:rsid w:val="00F35D29"/>
    <w:rsid w:val="00F3793D"/>
    <w:rsid w:val="00F4165A"/>
    <w:rsid w:val="00F44D8F"/>
    <w:rsid w:val="00F47CE2"/>
    <w:rsid w:val="00F52110"/>
    <w:rsid w:val="00F5460A"/>
    <w:rsid w:val="00F54FE7"/>
    <w:rsid w:val="00F67568"/>
    <w:rsid w:val="00F70E49"/>
    <w:rsid w:val="00F714D0"/>
    <w:rsid w:val="00F717B2"/>
    <w:rsid w:val="00F72610"/>
    <w:rsid w:val="00F73DB1"/>
    <w:rsid w:val="00F76882"/>
    <w:rsid w:val="00F77E86"/>
    <w:rsid w:val="00F83298"/>
    <w:rsid w:val="00F853CF"/>
    <w:rsid w:val="00F864B5"/>
    <w:rsid w:val="00F86961"/>
    <w:rsid w:val="00F8698D"/>
    <w:rsid w:val="00F942C8"/>
    <w:rsid w:val="00F97A86"/>
    <w:rsid w:val="00FA045E"/>
    <w:rsid w:val="00FA1C82"/>
    <w:rsid w:val="00FA2563"/>
    <w:rsid w:val="00FB099D"/>
    <w:rsid w:val="00FB5C1D"/>
    <w:rsid w:val="00FC588F"/>
    <w:rsid w:val="00FC625C"/>
    <w:rsid w:val="00FC7DB6"/>
    <w:rsid w:val="00FD0678"/>
    <w:rsid w:val="00FD0F03"/>
    <w:rsid w:val="00FD28F6"/>
    <w:rsid w:val="00FD334C"/>
    <w:rsid w:val="00FD4503"/>
    <w:rsid w:val="00FD6B37"/>
    <w:rsid w:val="00FD6D78"/>
    <w:rsid w:val="00FE1A39"/>
    <w:rsid w:val="00FE397B"/>
    <w:rsid w:val="00FE4F1D"/>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A55"/>
  </w:style>
  <w:style w:type="paragraph" w:styleId="Footer">
    <w:name w:val="footer"/>
    <w:basedOn w:val="Normal"/>
    <w:link w:val="FooterChar"/>
    <w:uiPriority w:val="99"/>
    <w:unhideWhenUsed/>
    <w:rsid w:val="00080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A55"/>
  </w:style>
  <w:style w:type="paragraph" w:customStyle="1" w:styleId="tv213">
    <w:name w:val="tv213"/>
    <w:basedOn w:val="Normal"/>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80A55"/>
    <w:rPr>
      <w:color w:val="0000FF"/>
      <w:u w:val="single"/>
    </w:rPr>
  </w:style>
  <w:style w:type="paragraph" w:styleId="ListParagraph">
    <w:name w:val="List Paragraph"/>
    <w:basedOn w:val="Normal"/>
    <w:uiPriority w:val="34"/>
    <w:qFormat/>
    <w:rsid w:val="00080A55"/>
    <w:pPr>
      <w:ind w:left="720"/>
      <w:contextualSpacing/>
    </w:pPr>
    <w:rPr>
      <w:lang w:val="en-US"/>
    </w:rPr>
  </w:style>
  <w:style w:type="character" w:styleId="CommentReference">
    <w:name w:val="annotation reference"/>
    <w:basedOn w:val="DefaultParagraphFont"/>
    <w:uiPriority w:val="99"/>
    <w:semiHidden/>
    <w:unhideWhenUsed/>
    <w:rsid w:val="00080A55"/>
    <w:rPr>
      <w:sz w:val="16"/>
      <w:szCs w:val="16"/>
    </w:rPr>
  </w:style>
  <w:style w:type="paragraph" w:styleId="CommentText">
    <w:name w:val="annotation text"/>
    <w:basedOn w:val="Normal"/>
    <w:link w:val="CommentTextChar"/>
    <w:uiPriority w:val="99"/>
    <w:semiHidden/>
    <w:unhideWhenUsed/>
    <w:rsid w:val="00080A55"/>
    <w:pPr>
      <w:spacing w:line="240" w:lineRule="auto"/>
    </w:pPr>
    <w:rPr>
      <w:sz w:val="20"/>
      <w:szCs w:val="20"/>
    </w:rPr>
  </w:style>
  <w:style w:type="character" w:customStyle="1" w:styleId="CommentTextChar">
    <w:name w:val="Comment Text Char"/>
    <w:basedOn w:val="DefaultParagraphFont"/>
    <w:link w:val="CommentText"/>
    <w:uiPriority w:val="99"/>
    <w:semiHidden/>
    <w:rsid w:val="00080A55"/>
    <w:rPr>
      <w:sz w:val="20"/>
      <w:szCs w:val="20"/>
    </w:rPr>
  </w:style>
  <w:style w:type="paragraph" w:customStyle="1" w:styleId="tv2131">
    <w:name w:val="tv2131"/>
    <w:basedOn w:val="Normal"/>
    <w:rsid w:val="00080A55"/>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80A5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80A5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0A5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55"/>
    <w:rPr>
      <w:sz w:val="20"/>
      <w:szCs w:val="20"/>
    </w:rPr>
  </w:style>
  <w:style w:type="character" w:styleId="FootnoteReference">
    <w:name w:val="footnote reference"/>
    <w:basedOn w:val="DefaultParagraphFont"/>
    <w:uiPriority w:val="99"/>
    <w:semiHidden/>
    <w:unhideWhenUsed/>
    <w:rsid w:val="00080A55"/>
    <w:rPr>
      <w:vertAlign w:val="superscript"/>
    </w:rPr>
  </w:style>
  <w:style w:type="paragraph" w:styleId="BalloonText">
    <w:name w:val="Balloon Text"/>
    <w:basedOn w:val="Normal"/>
    <w:link w:val="BalloonTextChar"/>
    <w:uiPriority w:val="99"/>
    <w:semiHidden/>
    <w:unhideWhenUsed/>
    <w:rsid w:val="000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2074"/>
    <w:rPr>
      <w:b/>
      <w:bCs/>
    </w:rPr>
  </w:style>
  <w:style w:type="character" w:customStyle="1" w:styleId="CommentSubjectChar">
    <w:name w:val="Comment Subject Char"/>
    <w:basedOn w:val="CommentTextChar"/>
    <w:link w:val="CommentSubject"/>
    <w:uiPriority w:val="99"/>
    <w:semiHidden/>
    <w:rsid w:val="00F32074"/>
    <w:rPr>
      <w:b/>
      <w:bCs/>
      <w:sz w:val="20"/>
      <w:szCs w:val="20"/>
    </w:rPr>
  </w:style>
  <w:style w:type="paragraph" w:customStyle="1" w:styleId="naisf">
    <w:name w:val="naisf"/>
    <w:basedOn w:val="Normal"/>
    <w:link w:val="naisfChar"/>
    <w:uiPriority w:val="99"/>
    <w:rsid w:val="0072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724767"/>
    <w:rPr>
      <w:rFonts w:ascii="Times New Roman" w:eastAsia="Times New Roman" w:hAnsi="Times New Roman" w:cs="Times New Roman"/>
      <w:sz w:val="24"/>
      <w:szCs w:val="24"/>
      <w:lang w:eastAsia="lv-LV"/>
    </w:rPr>
  </w:style>
  <w:style w:type="paragraph" w:customStyle="1" w:styleId="NAnodalaromiesucipari">
    <w:name w:val="NA nodala (romiesu cipari)"/>
    <w:basedOn w:val="Normal"/>
    <w:next w:val="Normal"/>
    <w:qFormat/>
    <w:rsid w:val="006912AF"/>
    <w:pPr>
      <w:numPr>
        <w:numId w:val="7"/>
      </w:numPr>
      <w:spacing w:before="240" w:after="0" w:line="240" w:lineRule="auto"/>
      <w:outlineLvl w:val="0"/>
    </w:pPr>
    <w:rPr>
      <w:rFonts w:ascii="Times New Roman" w:eastAsia="Times New Roman" w:hAnsi="Times New Roman" w:cs="Times New Roman"/>
      <w:b/>
      <w:sz w:val="24"/>
      <w:szCs w:val="24"/>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0A55"/>
  </w:style>
  <w:style w:type="paragraph" w:styleId="Footer">
    <w:name w:val="footer"/>
    <w:basedOn w:val="Normal"/>
    <w:link w:val="FooterChar"/>
    <w:uiPriority w:val="99"/>
    <w:unhideWhenUsed/>
    <w:rsid w:val="00080A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0A55"/>
  </w:style>
  <w:style w:type="paragraph" w:customStyle="1" w:styleId="tv213">
    <w:name w:val="tv213"/>
    <w:basedOn w:val="Normal"/>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80A55"/>
    <w:rPr>
      <w:color w:val="0000FF"/>
      <w:u w:val="single"/>
    </w:rPr>
  </w:style>
  <w:style w:type="paragraph" w:styleId="ListParagraph">
    <w:name w:val="List Paragraph"/>
    <w:basedOn w:val="Normal"/>
    <w:uiPriority w:val="34"/>
    <w:qFormat/>
    <w:rsid w:val="00080A55"/>
    <w:pPr>
      <w:ind w:left="720"/>
      <w:contextualSpacing/>
    </w:pPr>
    <w:rPr>
      <w:lang w:val="en-US"/>
    </w:rPr>
  </w:style>
  <w:style w:type="character" w:styleId="CommentReference">
    <w:name w:val="annotation reference"/>
    <w:basedOn w:val="DefaultParagraphFont"/>
    <w:uiPriority w:val="99"/>
    <w:semiHidden/>
    <w:unhideWhenUsed/>
    <w:rsid w:val="00080A55"/>
    <w:rPr>
      <w:sz w:val="16"/>
      <w:szCs w:val="16"/>
    </w:rPr>
  </w:style>
  <w:style w:type="paragraph" w:styleId="CommentText">
    <w:name w:val="annotation text"/>
    <w:basedOn w:val="Normal"/>
    <w:link w:val="CommentTextChar"/>
    <w:uiPriority w:val="99"/>
    <w:semiHidden/>
    <w:unhideWhenUsed/>
    <w:rsid w:val="00080A55"/>
    <w:pPr>
      <w:spacing w:line="240" w:lineRule="auto"/>
    </w:pPr>
    <w:rPr>
      <w:sz w:val="20"/>
      <w:szCs w:val="20"/>
    </w:rPr>
  </w:style>
  <w:style w:type="character" w:customStyle="1" w:styleId="CommentTextChar">
    <w:name w:val="Comment Text Char"/>
    <w:basedOn w:val="DefaultParagraphFont"/>
    <w:link w:val="CommentText"/>
    <w:uiPriority w:val="99"/>
    <w:semiHidden/>
    <w:rsid w:val="00080A55"/>
    <w:rPr>
      <w:sz w:val="20"/>
      <w:szCs w:val="20"/>
    </w:rPr>
  </w:style>
  <w:style w:type="paragraph" w:customStyle="1" w:styleId="tv2131">
    <w:name w:val="tv2131"/>
    <w:basedOn w:val="Normal"/>
    <w:rsid w:val="00080A55"/>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080A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80A5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80A5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0A5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80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A55"/>
    <w:rPr>
      <w:sz w:val="20"/>
      <w:szCs w:val="20"/>
    </w:rPr>
  </w:style>
  <w:style w:type="character" w:styleId="FootnoteReference">
    <w:name w:val="footnote reference"/>
    <w:basedOn w:val="DefaultParagraphFont"/>
    <w:uiPriority w:val="99"/>
    <w:semiHidden/>
    <w:unhideWhenUsed/>
    <w:rsid w:val="00080A55"/>
    <w:rPr>
      <w:vertAlign w:val="superscript"/>
    </w:rPr>
  </w:style>
  <w:style w:type="paragraph" w:styleId="BalloonText">
    <w:name w:val="Balloon Text"/>
    <w:basedOn w:val="Normal"/>
    <w:link w:val="BalloonTextChar"/>
    <w:uiPriority w:val="99"/>
    <w:semiHidden/>
    <w:unhideWhenUsed/>
    <w:rsid w:val="0008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2074"/>
    <w:rPr>
      <w:b/>
      <w:bCs/>
    </w:rPr>
  </w:style>
  <w:style w:type="character" w:customStyle="1" w:styleId="CommentSubjectChar">
    <w:name w:val="Comment Subject Char"/>
    <w:basedOn w:val="CommentTextChar"/>
    <w:link w:val="CommentSubject"/>
    <w:uiPriority w:val="99"/>
    <w:semiHidden/>
    <w:rsid w:val="00F32074"/>
    <w:rPr>
      <w:b/>
      <w:bCs/>
      <w:sz w:val="20"/>
      <w:szCs w:val="20"/>
    </w:rPr>
  </w:style>
  <w:style w:type="paragraph" w:customStyle="1" w:styleId="naisf">
    <w:name w:val="naisf"/>
    <w:basedOn w:val="Normal"/>
    <w:link w:val="naisfChar"/>
    <w:uiPriority w:val="99"/>
    <w:rsid w:val="0072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724767"/>
    <w:rPr>
      <w:rFonts w:ascii="Times New Roman" w:eastAsia="Times New Roman" w:hAnsi="Times New Roman" w:cs="Times New Roman"/>
      <w:sz w:val="24"/>
      <w:szCs w:val="24"/>
      <w:lang w:eastAsia="lv-LV"/>
    </w:rPr>
  </w:style>
  <w:style w:type="paragraph" w:customStyle="1" w:styleId="NAnodalaromiesucipari">
    <w:name w:val="NA nodala (romiesu cipari)"/>
    <w:basedOn w:val="Normal"/>
    <w:next w:val="Normal"/>
    <w:qFormat/>
    <w:rsid w:val="006912AF"/>
    <w:pPr>
      <w:numPr>
        <w:numId w:val="7"/>
      </w:numPr>
      <w:spacing w:before="240" w:after="0" w:line="240" w:lineRule="auto"/>
      <w:outlineLvl w:val="0"/>
    </w:pPr>
    <w:rPr>
      <w:rFonts w:ascii="Times New Roman" w:eastAsia="Times New Roman" w:hAnsi="Times New Roman" w:cs="Times New Roman"/>
      <w:b/>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41-valsts-fondeto-pensiju-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Trusinska@lm.gov.lv" TargetMode="External"/><Relationship Id="rId4" Type="http://schemas.openxmlformats.org/officeDocument/2006/relationships/settings" Target="settings.xml"/><Relationship Id="rId9" Type="http://schemas.openxmlformats.org/officeDocument/2006/relationships/hyperlink" Target="https://m.likumi.lv/ta/id/2341-valsts-fondeto-pensij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8950</Words>
  <Characters>5102</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valsts fondēto pensiju shēmas līdzekļu pārvaldītājs aprēķina maksājumu par ieguldījumu plāna pārvaldi un tiek veikta maksājuma uzskaite un ieturēšana</vt:lpstr>
      <vt:lpstr>Grozījumi Valsts fondēto pensiju likumā</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fondēto pensiju shēmas līdzekļu pārvaldītājs aprēķina maksājumu par ieguldījumu plāna pārvaldi un tiek veikta maksājuma uzskaite un ieturēšana</dc:title>
  <dc:subject>anotācija</dc:subject>
  <dc:creator>Dace Trusinska</dc:creator>
  <dc:description>D.Trušinska, 67021553
Dace.Trusinska@lm.gov.lv</dc:description>
  <cp:lastModifiedBy>Dace Trusinska</cp:lastModifiedBy>
  <cp:revision>36</cp:revision>
  <cp:lastPrinted>2017-12-11T07:08:00Z</cp:lastPrinted>
  <dcterms:created xsi:type="dcterms:W3CDTF">2017-11-29T09:24:00Z</dcterms:created>
  <dcterms:modified xsi:type="dcterms:W3CDTF">2017-12-11T07:08:00Z</dcterms:modified>
</cp:coreProperties>
</file>