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699" w:rsidRPr="00CF4CB0" w:rsidRDefault="00417277" w:rsidP="0024090D">
      <w:pPr>
        <w:jc w:val="center"/>
        <w:rPr>
          <w:rFonts w:cs="Times New Roman"/>
          <w:b/>
          <w:sz w:val="24"/>
          <w:szCs w:val="24"/>
        </w:rPr>
      </w:pPr>
      <w:bookmarkStart w:id="0" w:name="_GoBack"/>
      <w:bookmarkEnd w:id="0"/>
      <w:r w:rsidRPr="00CF4CB0">
        <w:rPr>
          <w:rFonts w:cs="Times New Roman"/>
          <w:b/>
          <w:bCs/>
          <w:sz w:val="24"/>
          <w:szCs w:val="24"/>
        </w:rPr>
        <w:t>Likum</w:t>
      </w:r>
      <w:r w:rsidR="002D1699" w:rsidRPr="00CF4CB0">
        <w:rPr>
          <w:rFonts w:cs="Times New Roman"/>
          <w:b/>
          <w:bCs/>
          <w:sz w:val="24"/>
          <w:szCs w:val="24"/>
        </w:rPr>
        <w:t>projekta „</w:t>
      </w:r>
      <w:r w:rsidR="00425657" w:rsidRPr="00CF4CB0">
        <w:rPr>
          <w:rFonts w:cs="Times New Roman"/>
          <w:b/>
          <w:sz w:val="24"/>
          <w:szCs w:val="24"/>
        </w:rPr>
        <w:t xml:space="preserve">Grozījumi </w:t>
      </w:r>
      <w:r w:rsidR="003D0ACC" w:rsidRPr="00CF4CB0">
        <w:rPr>
          <w:rFonts w:cs="Times New Roman"/>
          <w:b/>
          <w:sz w:val="24"/>
          <w:szCs w:val="24"/>
        </w:rPr>
        <w:t>Elektronisko sakaru</w:t>
      </w:r>
      <w:r w:rsidR="00425657" w:rsidRPr="00CF4CB0">
        <w:rPr>
          <w:rFonts w:cs="Times New Roman"/>
          <w:b/>
          <w:sz w:val="24"/>
          <w:szCs w:val="24"/>
        </w:rPr>
        <w:t xml:space="preserve"> likumā</w:t>
      </w:r>
      <w:r w:rsidR="002D1699" w:rsidRPr="00CF4CB0">
        <w:rPr>
          <w:rFonts w:cs="Times New Roman"/>
          <w:b/>
          <w:bCs/>
          <w:sz w:val="24"/>
          <w:szCs w:val="24"/>
        </w:rPr>
        <w:t>” sākotnējās ietekmes novērtējuma ziņojums (anotācija)</w:t>
      </w:r>
    </w:p>
    <w:p w:rsidR="002D1699" w:rsidRPr="00CF4CB0" w:rsidRDefault="002D1699" w:rsidP="0024090D">
      <w:pPr>
        <w:ind w:firstLine="0"/>
        <w:jc w:val="center"/>
        <w:rPr>
          <w:rFonts w:cs="Times New Roman"/>
          <w:b/>
          <w:bCs/>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
        <w:gridCol w:w="3009"/>
        <w:gridCol w:w="6196"/>
      </w:tblGrid>
      <w:tr w:rsidR="00CF4CB0" w:rsidRPr="00CF4CB0" w:rsidTr="002545D7">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D1699" w:rsidRPr="00CF4CB0" w:rsidRDefault="002D1699" w:rsidP="0024090D">
            <w:pPr>
              <w:ind w:firstLine="0"/>
              <w:jc w:val="center"/>
              <w:rPr>
                <w:rFonts w:cs="Times New Roman"/>
                <w:b/>
                <w:bCs/>
                <w:sz w:val="24"/>
                <w:szCs w:val="24"/>
              </w:rPr>
            </w:pPr>
            <w:r w:rsidRPr="00CF4CB0">
              <w:rPr>
                <w:rFonts w:cs="Times New Roman"/>
                <w:b/>
                <w:bCs/>
                <w:sz w:val="24"/>
                <w:szCs w:val="24"/>
              </w:rPr>
              <w:t>I. Tiesību akta projekta izstrādes nepieciešamība</w:t>
            </w:r>
          </w:p>
        </w:tc>
      </w:tr>
      <w:tr w:rsidR="00CF4CB0" w:rsidRPr="00CF4CB0" w:rsidTr="002545D7">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417277" w:rsidRPr="00CF4CB0" w:rsidRDefault="00417277" w:rsidP="0024090D">
            <w:pPr>
              <w:ind w:firstLine="0"/>
              <w:rPr>
                <w:rFonts w:cs="Times New Roman"/>
                <w:sz w:val="24"/>
                <w:szCs w:val="24"/>
              </w:rPr>
            </w:pPr>
            <w:r w:rsidRPr="00CF4CB0">
              <w:rPr>
                <w:rFonts w:cs="Times New Roman"/>
                <w:sz w:val="24"/>
                <w:szCs w:val="24"/>
              </w:rPr>
              <w:t>1.</w:t>
            </w:r>
          </w:p>
        </w:tc>
        <w:tc>
          <w:tcPr>
            <w:tcW w:w="1530" w:type="pct"/>
            <w:tcBorders>
              <w:top w:val="outset" w:sz="6" w:space="0" w:color="auto"/>
              <w:left w:val="outset" w:sz="6" w:space="0" w:color="auto"/>
              <w:bottom w:val="outset" w:sz="6" w:space="0" w:color="auto"/>
              <w:right w:val="outset" w:sz="6" w:space="0" w:color="auto"/>
            </w:tcBorders>
            <w:hideMark/>
          </w:tcPr>
          <w:p w:rsidR="00417277" w:rsidRPr="00CF4CB0" w:rsidRDefault="00417277" w:rsidP="0024090D">
            <w:pPr>
              <w:ind w:firstLine="0"/>
              <w:rPr>
                <w:rFonts w:cs="Times New Roman"/>
                <w:sz w:val="24"/>
                <w:szCs w:val="24"/>
              </w:rPr>
            </w:pPr>
            <w:r w:rsidRPr="00CF4CB0">
              <w:rPr>
                <w:rFonts w:cs="Times New Roman"/>
                <w:sz w:val="24"/>
                <w:szCs w:val="24"/>
              </w:rPr>
              <w:t>Pamatojums</w:t>
            </w:r>
          </w:p>
        </w:tc>
        <w:tc>
          <w:tcPr>
            <w:tcW w:w="3159" w:type="pct"/>
            <w:tcBorders>
              <w:top w:val="outset" w:sz="6" w:space="0" w:color="auto"/>
              <w:left w:val="outset" w:sz="6" w:space="0" w:color="auto"/>
              <w:bottom w:val="outset" w:sz="6" w:space="0" w:color="auto"/>
              <w:right w:val="outset" w:sz="6" w:space="0" w:color="auto"/>
            </w:tcBorders>
            <w:hideMark/>
          </w:tcPr>
          <w:p w:rsidR="00417277" w:rsidRPr="00CF4CB0" w:rsidRDefault="003D0ACC" w:rsidP="0024090D">
            <w:pPr>
              <w:autoSpaceDE w:val="0"/>
              <w:autoSpaceDN w:val="0"/>
              <w:adjustRightInd w:val="0"/>
              <w:ind w:firstLine="0"/>
              <w:jc w:val="both"/>
              <w:rPr>
                <w:rFonts w:cs="Times New Roman"/>
                <w:sz w:val="24"/>
                <w:szCs w:val="24"/>
              </w:rPr>
            </w:pPr>
            <w:r w:rsidRPr="00CF4CB0">
              <w:rPr>
                <w:rFonts w:cs="Times New Roman"/>
                <w:bCs/>
                <w:sz w:val="24"/>
                <w:szCs w:val="24"/>
              </w:rPr>
              <w:t xml:space="preserve">Elektronisko sakaru likuma 66.panta </w:t>
            </w:r>
            <w:r w:rsidR="00F93F27" w:rsidRPr="00CF4CB0">
              <w:rPr>
                <w:rFonts w:cs="Times New Roman"/>
                <w:bCs/>
                <w:sz w:val="24"/>
                <w:szCs w:val="24"/>
              </w:rPr>
              <w:t>otrā daļa</w:t>
            </w:r>
          </w:p>
        </w:tc>
      </w:tr>
      <w:tr w:rsidR="00CF4CB0" w:rsidRPr="00D01ABF" w:rsidTr="002545D7">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417277" w:rsidRPr="00D01ABF" w:rsidRDefault="00417277" w:rsidP="0024090D">
            <w:pPr>
              <w:ind w:firstLine="0"/>
              <w:rPr>
                <w:rFonts w:cs="Times New Roman"/>
                <w:sz w:val="24"/>
                <w:szCs w:val="24"/>
              </w:rPr>
            </w:pPr>
            <w:r w:rsidRPr="00D01ABF">
              <w:rPr>
                <w:rFonts w:cs="Times New Roman"/>
                <w:sz w:val="24"/>
                <w:szCs w:val="24"/>
              </w:rPr>
              <w:t>2.</w:t>
            </w:r>
          </w:p>
        </w:tc>
        <w:tc>
          <w:tcPr>
            <w:tcW w:w="1530" w:type="pct"/>
            <w:tcBorders>
              <w:top w:val="outset" w:sz="6" w:space="0" w:color="auto"/>
              <w:left w:val="outset" w:sz="6" w:space="0" w:color="auto"/>
              <w:bottom w:val="outset" w:sz="6" w:space="0" w:color="auto"/>
              <w:right w:val="outset" w:sz="6" w:space="0" w:color="auto"/>
            </w:tcBorders>
            <w:hideMark/>
          </w:tcPr>
          <w:p w:rsidR="00417277" w:rsidRPr="00D01ABF" w:rsidRDefault="00417277" w:rsidP="0024090D">
            <w:pPr>
              <w:ind w:firstLine="0"/>
              <w:rPr>
                <w:rFonts w:cs="Times New Roman"/>
                <w:sz w:val="24"/>
                <w:szCs w:val="24"/>
              </w:rPr>
            </w:pPr>
            <w:r w:rsidRPr="00D01ABF">
              <w:rPr>
                <w:rFonts w:cs="Times New Roman"/>
                <w:sz w:val="24"/>
                <w:szCs w:val="24"/>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tcPr>
          <w:p w:rsidR="00FC57E7" w:rsidRPr="00191423" w:rsidRDefault="00FC57E7" w:rsidP="003B564E">
            <w:pPr>
              <w:jc w:val="both"/>
              <w:rPr>
                <w:rFonts w:cs="Times New Roman"/>
                <w:sz w:val="24"/>
                <w:szCs w:val="24"/>
              </w:rPr>
            </w:pPr>
            <w:r w:rsidRPr="00191423">
              <w:rPr>
                <w:rFonts w:cs="Times New Roman"/>
                <w:sz w:val="24"/>
                <w:szCs w:val="24"/>
              </w:rPr>
              <w:t>Eiropas Parlamenta un Padomes 2002. gada 7. marta Direktīva 2002/22/EK par universālo pakalpojumu un lietotāju tiesībām attiecībā uz elektronisko sakaru tīkliem un pakalpojumiem (universālā pakalpojuma direktīva), kas grozīta ar Eiropas Parlamenta un Padomes 2009. gada 25. novembra Direktīvas 2009/136/EK prasībām (turpmāk – UP direktīva) nosaka minimālo pakalpojumu apjomu, kāds elektronisko</w:t>
            </w:r>
            <w:r w:rsidR="003928CB" w:rsidRPr="00191423">
              <w:rPr>
                <w:rFonts w:cs="Times New Roman"/>
                <w:sz w:val="24"/>
                <w:szCs w:val="24"/>
              </w:rPr>
              <w:t xml:space="preserve"> sakaru</w:t>
            </w:r>
            <w:r w:rsidRPr="00191423">
              <w:rPr>
                <w:rFonts w:cs="Times New Roman"/>
                <w:sz w:val="24"/>
                <w:szCs w:val="24"/>
              </w:rPr>
              <w:t xml:space="preserve"> pakalpojumu jomā jānodrošina visiem valsts iedzīvotājiem, vajadzības gadījumā uzliekot universālā pakalpojuma (turpmāk – UP) saistības, ja attiecīgā tirgus konkurences apstākļi nespēj šos pakalpojumus nodrošināt. Saistībā ar UP direktīvas regulējumu Elektronisko sakaru likuma (turpmāk – Likums) 62.panta pirmajā daļā  noteikts, ka, ja kādu no UP direktīvā noteiktajiem pakalpojumiem nodrošina tirgus, Sabiedrisko pakalpojumu regulēšanas komisija (turpmāk – Regulators) to neiekļauj UP saistībās.</w:t>
            </w:r>
          </w:p>
          <w:p w:rsidR="00FC57E7" w:rsidRPr="00191423" w:rsidRDefault="00FC57E7" w:rsidP="003B564E">
            <w:pPr>
              <w:pStyle w:val="Default"/>
              <w:ind w:firstLine="720"/>
              <w:jc w:val="both"/>
              <w:rPr>
                <w:color w:val="auto"/>
              </w:rPr>
            </w:pPr>
            <w:r w:rsidRPr="00191423">
              <w:rPr>
                <w:color w:val="auto"/>
              </w:rPr>
              <w:t>Ievērojot, ka elektronisko sakaru tirgus ir viens no dinamiskāk</w:t>
            </w:r>
            <w:r w:rsidR="003928CB" w:rsidRPr="00191423">
              <w:rPr>
                <w:color w:val="auto"/>
              </w:rPr>
              <w:t>aj</w:t>
            </w:r>
            <w:r w:rsidRPr="00191423">
              <w:rPr>
                <w:color w:val="auto"/>
              </w:rPr>
              <w:t xml:space="preserve">iem tirgiem, kas nemitīgi attīstās, Regulators 2016.gada nogalē, savas kompetences ietvaros veicot nepieciešamās darbības, pieņēma lēmumu, kas būtiski ietekmē UP saistību apjomu. </w:t>
            </w:r>
          </w:p>
          <w:p w:rsidR="00FC57E7" w:rsidRPr="00191423" w:rsidRDefault="0026319B" w:rsidP="003B564E">
            <w:pPr>
              <w:pStyle w:val="Default"/>
              <w:ind w:firstLine="720"/>
              <w:jc w:val="both"/>
              <w:rPr>
                <w:color w:val="auto"/>
              </w:rPr>
            </w:pPr>
            <w:r w:rsidRPr="00191423">
              <w:rPr>
                <w:color w:val="auto"/>
              </w:rPr>
              <w:t>S</w:t>
            </w:r>
            <w:r w:rsidR="00FC57E7" w:rsidRPr="00191423">
              <w:rPr>
                <w:color w:val="auto"/>
              </w:rPr>
              <w:t>ākot ar 2017.gada 1.janvāri, ievērojot Regulatora padomes 2009.gada 7.decembra lēmumā Nr.427 “Par universālā pakalpojuma saistībām” (turpmāk – Lēmums Nr.427) un Regulatora padomes 2016.gada 15.decembra lēmumā Nr.168 “Par universālā pakalpojuma saistībām elektronisko sakaru nozarē” (turpmāk – Lēmums Nr.168)</w:t>
            </w:r>
            <w:r w:rsidR="003E6A30" w:rsidRPr="00191423">
              <w:rPr>
                <w:color w:val="auto"/>
              </w:rPr>
              <w:t xml:space="preserve"> </w:t>
            </w:r>
            <w:r w:rsidR="00FC57E7" w:rsidRPr="00191423">
              <w:rPr>
                <w:color w:val="auto"/>
              </w:rPr>
              <w:t xml:space="preserve">noteikto, SIA “Lattelecom”, kā UP sniedzējam,  tiek noteikts pienākums nodrošināt personām ar invaliditāti publiskā telefonu tīkla fiksētās pieslēguma vietās šādas atlaides: </w:t>
            </w:r>
          </w:p>
          <w:p w:rsidR="00FC57E7" w:rsidRPr="00191423" w:rsidRDefault="00FC57E7" w:rsidP="003B564E">
            <w:pPr>
              <w:pStyle w:val="Default"/>
              <w:ind w:firstLine="720"/>
              <w:jc w:val="both"/>
              <w:rPr>
                <w:color w:val="auto"/>
              </w:rPr>
            </w:pPr>
            <w:r w:rsidRPr="00191423">
              <w:rPr>
                <w:color w:val="auto"/>
              </w:rPr>
              <w:t>Personām ar pirmo invaliditātes grupu un kuras kā galiekārtas lieto teksta telefonus un personām ar otro invaliditātes grupu šādas atlaides:</w:t>
            </w:r>
          </w:p>
          <w:p w:rsidR="00FC57E7" w:rsidRPr="00191423" w:rsidRDefault="00FC57E7" w:rsidP="003B564E">
            <w:pPr>
              <w:pStyle w:val="Default"/>
              <w:ind w:firstLine="720"/>
              <w:jc w:val="both"/>
              <w:rPr>
                <w:color w:val="auto"/>
              </w:rPr>
            </w:pPr>
            <w:r w:rsidRPr="00191423">
              <w:rPr>
                <w:color w:val="auto"/>
              </w:rPr>
              <w:t>-100% telefona abonenta līnijas ierīkošanas maksai;</w:t>
            </w:r>
          </w:p>
          <w:p w:rsidR="00FC57E7" w:rsidRPr="00191423" w:rsidRDefault="00FC57E7" w:rsidP="003B564E">
            <w:pPr>
              <w:pStyle w:val="Default"/>
              <w:ind w:firstLine="720"/>
              <w:jc w:val="both"/>
              <w:rPr>
                <w:color w:val="auto"/>
              </w:rPr>
            </w:pPr>
            <w:r w:rsidRPr="00191423">
              <w:rPr>
                <w:color w:val="auto"/>
              </w:rPr>
              <w:t>-100% telefona abonenta līnijas abonenta pārreģistrācijas maksai.</w:t>
            </w:r>
          </w:p>
          <w:p w:rsidR="00FC57E7" w:rsidRPr="00191423" w:rsidRDefault="00FC57E7" w:rsidP="003B564E">
            <w:pPr>
              <w:jc w:val="both"/>
              <w:rPr>
                <w:rFonts w:cs="Times New Roman"/>
                <w:sz w:val="24"/>
                <w:szCs w:val="24"/>
              </w:rPr>
            </w:pPr>
            <w:r w:rsidRPr="00191423">
              <w:rPr>
                <w:rFonts w:cs="Times New Roman"/>
                <w:sz w:val="24"/>
                <w:szCs w:val="24"/>
              </w:rPr>
              <w:t>Personām ar pirmo invaliditātes grupu un kuras kā galiekārtas lieto teksta telefonus</w:t>
            </w:r>
            <w:r w:rsidR="003E6A30" w:rsidRPr="00191423">
              <w:rPr>
                <w:rFonts w:cs="Times New Roman"/>
                <w:sz w:val="24"/>
                <w:szCs w:val="24"/>
              </w:rPr>
              <w:t>,</w:t>
            </w:r>
            <w:r w:rsidR="00D16A9D" w:rsidRPr="00191423">
              <w:rPr>
                <w:rFonts w:cs="Times New Roman"/>
                <w:sz w:val="24"/>
                <w:szCs w:val="24"/>
              </w:rPr>
              <w:t xml:space="preserve"> piekļuves pakalpojumiem </w:t>
            </w:r>
            <w:r w:rsidRPr="00191423">
              <w:rPr>
                <w:rFonts w:cs="Times New Roman"/>
                <w:sz w:val="24"/>
                <w:szCs w:val="24"/>
              </w:rPr>
              <w:t xml:space="preserve"> atlaide</w:t>
            </w:r>
            <w:r w:rsidR="00D16A9D" w:rsidRPr="00191423">
              <w:rPr>
                <w:rFonts w:cs="Times New Roman"/>
                <w:sz w:val="24"/>
                <w:szCs w:val="24"/>
              </w:rPr>
              <w:t xml:space="preserve"> </w:t>
            </w:r>
            <w:r w:rsidRPr="00191423">
              <w:rPr>
                <w:rFonts w:cs="Times New Roman"/>
                <w:sz w:val="24"/>
                <w:szCs w:val="24"/>
              </w:rPr>
              <w:t>-75% telefona abonenta līnijas abonēšanas maksai;</w:t>
            </w:r>
          </w:p>
          <w:p w:rsidR="00D16A9D" w:rsidRPr="00191423" w:rsidRDefault="00D16A9D" w:rsidP="003B564E">
            <w:pPr>
              <w:ind w:left="24"/>
              <w:jc w:val="both"/>
              <w:rPr>
                <w:rFonts w:cs="Times New Roman"/>
                <w:sz w:val="24"/>
                <w:szCs w:val="24"/>
              </w:rPr>
            </w:pPr>
            <w:r w:rsidRPr="00191423">
              <w:rPr>
                <w:rFonts w:cs="Times New Roman"/>
                <w:sz w:val="24"/>
                <w:szCs w:val="24"/>
              </w:rPr>
              <w:t>Personām ar pirmo inva</w:t>
            </w:r>
            <w:r w:rsidR="00C229F1" w:rsidRPr="00191423">
              <w:rPr>
                <w:rFonts w:cs="Times New Roman"/>
                <w:sz w:val="24"/>
                <w:szCs w:val="24"/>
              </w:rPr>
              <w:t>liditātes grupu un kuras kā gal</w:t>
            </w:r>
            <w:r w:rsidRPr="00191423">
              <w:rPr>
                <w:rFonts w:cs="Times New Roman"/>
                <w:sz w:val="24"/>
                <w:szCs w:val="24"/>
              </w:rPr>
              <w:t>iekārtas lieto teksta telefonus publiskā telefonu tīkla fiksētās pieslēguma vietās šādas atlaides:</w:t>
            </w:r>
          </w:p>
          <w:p w:rsidR="00FC57E7" w:rsidRPr="00191423" w:rsidRDefault="00FC57E7" w:rsidP="003B564E">
            <w:pPr>
              <w:ind w:left="586"/>
              <w:jc w:val="both"/>
              <w:rPr>
                <w:rFonts w:cs="Times New Roman"/>
                <w:sz w:val="24"/>
                <w:szCs w:val="24"/>
              </w:rPr>
            </w:pPr>
            <w:r w:rsidRPr="00191423">
              <w:rPr>
                <w:rFonts w:cs="Times New Roman"/>
                <w:sz w:val="24"/>
                <w:szCs w:val="24"/>
              </w:rPr>
              <w:t>-20% maksai par iekšzemes izsaukumiem;</w:t>
            </w:r>
          </w:p>
          <w:p w:rsidR="00FC57E7" w:rsidRPr="00191423" w:rsidRDefault="00FC57E7" w:rsidP="003B564E">
            <w:pPr>
              <w:ind w:left="586"/>
              <w:jc w:val="both"/>
              <w:rPr>
                <w:rFonts w:cs="Times New Roman"/>
                <w:sz w:val="24"/>
                <w:szCs w:val="24"/>
              </w:rPr>
            </w:pPr>
            <w:r w:rsidRPr="00191423">
              <w:rPr>
                <w:rFonts w:cs="Times New Roman"/>
                <w:sz w:val="24"/>
                <w:szCs w:val="24"/>
              </w:rPr>
              <w:t xml:space="preserve">-100% ierīkošanas maksai platjoslas interneta </w:t>
            </w:r>
            <w:r w:rsidRPr="00191423">
              <w:rPr>
                <w:rFonts w:cs="Times New Roman"/>
                <w:sz w:val="24"/>
                <w:szCs w:val="24"/>
              </w:rPr>
              <w:lastRenderedPageBreak/>
              <w:t>piekļuves pakalpojumiem;</w:t>
            </w:r>
          </w:p>
          <w:p w:rsidR="00FC57E7" w:rsidRPr="00191423" w:rsidRDefault="00FC57E7" w:rsidP="003B564E">
            <w:pPr>
              <w:ind w:left="586"/>
              <w:jc w:val="both"/>
              <w:rPr>
                <w:rFonts w:cs="Times New Roman"/>
                <w:sz w:val="24"/>
                <w:szCs w:val="24"/>
              </w:rPr>
            </w:pPr>
            <w:r w:rsidRPr="00191423">
              <w:rPr>
                <w:rFonts w:cs="Times New Roman"/>
                <w:sz w:val="24"/>
                <w:szCs w:val="24"/>
              </w:rPr>
              <w:t xml:space="preserve">-12.21 </w:t>
            </w:r>
            <w:proofErr w:type="spellStart"/>
            <w:r w:rsidRPr="00191423">
              <w:rPr>
                <w:rFonts w:cs="Times New Roman"/>
                <w:sz w:val="24"/>
                <w:szCs w:val="24"/>
              </w:rPr>
              <w:t>euro</w:t>
            </w:r>
            <w:proofErr w:type="spellEnd"/>
            <w:r w:rsidRPr="00191423">
              <w:rPr>
                <w:rFonts w:cs="Times New Roman"/>
                <w:sz w:val="24"/>
                <w:szCs w:val="24"/>
              </w:rPr>
              <w:t xml:space="preserve"> mēnesī (tai skaitā pievienotās vērtības nodoklis) no piemērotās abonēšanas maksas platjoslas interneta piekļuves pakalpojumiem;</w:t>
            </w:r>
          </w:p>
          <w:p w:rsidR="00FC57E7" w:rsidRPr="00191423" w:rsidRDefault="00FC57E7" w:rsidP="003B564E">
            <w:pPr>
              <w:ind w:left="586"/>
              <w:jc w:val="both"/>
              <w:rPr>
                <w:rFonts w:cs="Times New Roman"/>
                <w:sz w:val="24"/>
                <w:szCs w:val="24"/>
              </w:rPr>
            </w:pPr>
            <w:r w:rsidRPr="00191423">
              <w:rPr>
                <w:rFonts w:cs="Times New Roman"/>
                <w:sz w:val="24"/>
                <w:szCs w:val="24"/>
              </w:rPr>
              <w:t xml:space="preserve">-kopējā atlaide elektronisko sakaru pakalpojumu abonēšanas maksai ir ne vairāk kā 12.21 </w:t>
            </w:r>
            <w:proofErr w:type="spellStart"/>
            <w:r w:rsidRPr="00191423">
              <w:rPr>
                <w:rFonts w:cs="Times New Roman"/>
                <w:sz w:val="24"/>
                <w:szCs w:val="24"/>
              </w:rPr>
              <w:t>euro</w:t>
            </w:r>
            <w:proofErr w:type="spellEnd"/>
            <w:r w:rsidRPr="00191423">
              <w:rPr>
                <w:rFonts w:cs="Times New Roman"/>
                <w:sz w:val="24"/>
                <w:szCs w:val="24"/>
              </w:rPr>
              <w:t xml:space="preserve"> mēnesī (tai skaitā pievienotās vērtības nodoklis) vienai personai ar invaliditāti.</w:t>
            </w:r>
          </w:p>
          <w:p w:rsidR="00FC57E7" w:rsidRPr="00191423" w:rsidRDefault="00FC57E7" w:rsidP="003B564E">
            <w:pPr>
              <w:ind w:left="24"/>
              <w:jc w:val="both"/>
              <w:rPr>
                <w:rFonts w:cs="Times New Roman"/>
                <w:sz w:val="24"/>
                <w:szCs w:val="24"/>
              </w:rPr>
            </w:pPr>
            <w:r w:rsidRPr="00191423">
              <w:rPr>
                <w:rFonts w:cs="Times New Roman"/>
                <w:sz w:val="24"/>
                <w:szCs w:val="24"/>
              </w:rPr>
              <w:t>Secināms, ka</w:t>
            </w:r>
            <w:r w:rsidR="003E6A30" w:rsidRPr="00191423">
              <w:rPr>
                <w:rFonts w:cs="Times New Roman"/>
                <w:sz w:val="24"/>
                <w:szCs w:val="24"/>
              </w:rPr>
              <w:t>,</w:t>
            </w:r>
            <w:r w:rsidRPr="00191423">
              <w:rPr>
                <w:rFonts w:cs="Times New Roman"/>
                <w:sz w:val="24"/>
                <w:szCs w:val="24"/>
              </w:rPr>
              <w:t xml:space="preserve"> sākot ar 2017.gadu</w:t>
            </w:r>
            <w:r w:rsidR="003E6A30" w:rsidRPr="00191423">
              <w:rPr>
                <w:rFonts w:cs="Times New Roman"/>
                <w:sz w:val="24"/>
                <w:szCs w:val="24"/>
              </w:rPr>
              <w:t>,</w:t>
            </w:r>
            <w:r w:rsidRPr="00191423">
              <w:rPr>
                <w:rFonts w:cs="Times New Roman"/>
                <w:sz w:val="24"/>
                <w:szCs w:val="24"/>
              </w:rPr>
              <w:t xml:space="preserve"> UP saistīb</w:t>
            </w:r>
            <w:r w:rsidR="0026319B" w:rsidRPr="00191423">
              <w:rPr>
                <w:rFonts w:cs="Times New Roman"/>
                <w:sz w:val="24"/>
                <w:szCs w:val="24"/>
              </w:rPr>
              <w:t>ā</w:t>
            </w:r>
            <w:r w:rsidRPr="00191423">
              <w:rPr>
                <w:rFonts w:cs="Times New Roman"/>
                <w:sz w:val="24"/>
                <w:szCs w:val="24"/>
              </w:rPr>
              <w:t>s ietver</w:t>
            </w:r>
            <w:r w:rsidR="0026319B" w:rsidRPr="00191423">
              <w:rPr>
                <w:rFonts w:cs="Times New Roman"/>
                <w:sz w:val="24"/>
                <w:szCs w:val="24"/>
              </w:rPr>
              <w:t>tas</w:t>
            </w:r>
            <w:r w:rsidRPr="00191423">
              <w:rPr>
                <w:rFonts w:cs="Times New Roman"/>
                <w:sz w:val="24"/>
                <w:szCs w:val="24"/>
              </w:rPr>
              <w:t xml:space="preserve"> tikai no Likuma 63.panta izrietošās saistības, tas ir</w:t>
            </w:r>
            <w:r w:rsidR="00510B96" w:rsidRPr="00191423">
              <w:rPr>
                <w:rFonts w:cs="Times New Roman"/>
                <w:sz w:val="24"/>
                <w:szCs w:val="24"/>
              </w:rPr>
              <w:t>,</w:t>
            </w:r>
            <w:r w:rsidRPr="00191423">
              <w:rPr>
                <w:rFonts w:cs="Times New Roman"/>
                <w:sz w:val="24"/>
                <w:szCs w:val="24"/>
              </w:rPr>
              <w:t xml:space="preserve"> īpaš</w:t>
            </w:r>
            <w:r w:rsidR="00510B96" w:rsidRPr="00191423">
              <w:rPr>
                <w:rFonts w:cs="Times New Roman"/>
                <w:sz w:val="24"/>
                <w:szCs w:val="24"/>
              </w:rPr>
              <w:t>i</w:t>
            </w:r>
            <w:r w:rsidRPr="00191423">
              <w:rPr>
                <w:rFonts w:cs="Times New Roman"/>
                <w:sz w:val="24"/>
                <w:szCs w:val="24"/>
              </w:rPr>
              <w:t xml:space="preserve"> pasākum</w:t>
            </w:r>
            <w:r w:rsidR="00510B96" w:rsidRPr="00191423">
              <w:rPr>
                <w:rFonts w:cs="Times New Roman"/>
                <w:sz w:val="24"/>
                <w:szCs w:val="24"/>
              </w:rPr>
              <w:t>i</w:t>
            </w:r>
            <w:r w:rsidRPr="00191423">
              <w:rPr>
                <w:rFonts w:cs="Times New Roman"/>
                <w:sz w:val="24"/>
                <w:szCs w:val="24"/>
              </w:rPr>
              <w:t>, lai nodrošinātu</w:t>
            </w:r>
            <w:r w:rsidR="00611C81" w:rsidRPr="00191423">
              <w:rPr>
                <w:rFonts w:cs="Times New Roman"/>
                <w:sz w:val="24"/>
                <w:szCs w:val="24"/>
              </w:rPr>
              <w:t xml:space="preserve"> personām ar invaliditāti </w:t>
            </w:r>
            <w:r w:rsidRPr="00191423">
              <w:rPr>
                <w:rFonts w:cs="Times New Roman"/>
                <w:sz w:val="24"/>
                <w:szCs w:val="24"/>
              </w:rPr>
              <w:t>publiski pieejamus elektronisko sakaru pakalpojumus, tajā skaitā piekļuvi Valsts ugunsdzēsības un glābšanas dienestam, Valsts policijai, Neatliekamās medicīniskās palīdzības dienestam, gāzes avārijas dienestam</w:t>
            </w:r>
            <w:r w:rsidR="00510B96" w:rsidRPr="00191423">
              <w:rPr>
                <w:rFonts w:cs="Times New Roman"/>
                <w:sz w:val="24"/>
                <w:szCs w:val="24"/>
              </w:rPr>
              <w:t>. T</w:t>
            </w:r>
            <w:r w:rsidRPr="00191423">
              <w:rPr>
                <w:rFonts w:cs="Times New Roman"/>
                <w:sz w:val="24"/>
                <w:szCs w:val="24"/>
              </w:rPr>
              <w:t>urklāt šiem pakalpojumiem jābūt līdzvērtīgiem tiem pakalpojumiem, kurus saņem citi galalietotāji.</w:t>
            </w:r>
          </w:p>
          <w:p w:rsidR="00FC57E7" w:rsidRPr="00191423" w:rsidRDefault="00FC57E7" w:rsidP="003B564E">
            <w:pPr>
              <w:jc w:val="both"/>
              <w:rPr>
                <w:rFonts w:cs="Times New Roman"/>
                <w:sz w:val="24"/>
                <w:szCs w:val="24"/>
              </w:rPr>
            </w:pPr>
            <w:r w:rsidRPr="00191423">
              <w:rPr>
                <w:rFonts w:cs="Times New Roman"/>
                <w:sz w:val="24"/>
                <w:szCs w:val="24"/>
              </w:rPr>
              <w:t>Ņem</w:t>
            </w:r>
            <w:r w:rsidR="009C7E36" w:rsidRPr="00191423">
              <w:rPr>
                <w:rFonts w:cs="Times New Roman"/>
                <w:sz w:val="24"/>
                <w:szCs w:val="24"/>
              </w:rPr>
              <w:t>ot vērā, ka UP saistībās izdalīti</w:t>
            </w:r>
            <w:r w:rsidRPr="00191423">
              <w:rPr>
                <w:rFonts w:cs="Times New Roman"/>
                <w:sz w:val="24"/>
                <w:szCs w:val="24"/>
              </w:rPr>
              <w:t xml:space="preserve"> divi virzieni, proti, elektronisko sakaru joma (tirgus attīstības, konkurence) un </w:t>
            </w:r>
            <w:r w:rsidR="00F3133D" w:rsidRPr="00191423">
              <w:rPr>
                <w:rFonts w:cs="Times New Roman"/>
                <w:sz w:val="24"/>
                <w:szCs w:val="24"/>
              </w:rPr>
              <w:t>īpašie pasākumi personām ar invaliditāti, kas vērtējama kā sociālā joma</w:t>
            </w:r>
            <w:r w:rsidRPr="00191423">
              <w:rPr>
                <w:rFonts w:cs="Times New Roman"/>
                <w:sz w:val="24"/>
                <w:szCs w:val="24"/>
              </w:rPr>
              <w:t xml:space="preserve"> (noteiktas atlaides sniegtajiem pakalpojumiem), tad UP sniedzēja zaudējumu kompensācijai jāveido kompensācijas mehānismu, kurā, atbilstoši tīro zaudējumu veidošanas subjektam, piedalās vai nu elektronisko sakaru komersanti vai  nu valsts budžets: </w:t>
            </w:r>
          </w:p>
          <w:p w:rsidR="00FC57E7" w:rsidRPr="00191423" w:rsidRDefault="00FC57E7" w:rsidP="003B564E">
            <w:pPr>
              <w:pStyle w:val="ListParagraph"/>
              <w:numPr>
                <w:ilvl w:val="0"/>
                <w:numId w:val="9"/>
              </w:numPr>
              <w:ind w:left="0" w:firstLine="720"/>
              <w:jc w:val="both"/>
              <w:rPr>
                <w:rFonts w:cs="Times New Roman"/>
                <w:sz w:val="24"/>
                <w:szCs w:val="24"/>
              </w:rPr>
            </w:pPr>
            <w:r w:rsidRPr="00191423">
              <w:rPr>
                <w:rFonts w:cs="Times New Roman"/>
                <w:sz w:val="24"/>
                <w:szCs w:val="24"/>
              </w:rPr>
              <w:t>Iemaksu veikšana kompensācijas fondā elektronisko sakaru komersantiem jānosaka gadījumos, kad UP sniedzējam jākompensē zaudējumi, kas radušies</w:t>
            </w:r>
            <w:r w:rsidR="00510B96" w:rsidRPr="00191423">
              <w:rPr>
                <w:rFonts w:cs="Times New Roman"/>
                <w:sz w:val="24"/>
                <w:szCs w:val="24"/>
              </w:rPr>
              <w:t>,</w:t>
            </w:r>
            <w:r w:rsidRPr="00191423">
              <w:rPr>
                <w:rFonts w:cs="Times New Roman"/>
                <w:sz w:val="24"/>
                <w:szCs w:val="24"/>
              </w:rPr>
              <w:t xml:space="preserve"> nodrošinot piekļuvi publiska</w:t>
            </w:r>
            <w:r w:rsidR="003E6A30" w:rsidRPr="00191423">
              <w:rPr>
                <w:rFonts w:cs="Times New Roman"/>
                <w:sz w:val="24"/>
                <w:szCs w:val="24"/>
              </w:rPr>
              <w:t>ja</w:t>
            </w:r>
            <w:r w:rsidRPr="00191423">
              <w:rPr>
                <w:rFonts w:cs="Times New Roman"/>
                <w:sz w:val="24"/>
                <w:szCs w:val="24"/>
              </w:rPr>
              <w:t>m elektronisko sakaru tīklam balss telefonijas izsaukumu veikšanai</w:t>
            </w:r>
            <w:r w:rsidR="00510B96" w:rsidRPr="00191423">
              <w:rPr>
                <w:rFonts w:cs="Times New Roman"/>
                <w:sz w:val="24"/>
                <w:szCs w:val="24"/>
              </w:rPr>
              <w:t>,</w:t>
            </w:r>
            <w:r w:rsidRPr="00191423">
              <w:rPr>
                <w:rFonts w:cs="Times New Roman"/>
                <w:sz w:val="24"/>
                <w:szCs w:val="24"/>
              </w:rPr>
              <w:t xml:space="preserve"> faksa ziņojumu un datu ziņojumu nosūtīšanai ar datu pārraides ātrumu, kas ir pietiekams, lai nodrošinātu piekļuvi internetam. Šajā gadījumā jāizstrādā Ministru kabineta noteikumi atbilstoši Likuma 66.panta otrajai daļai.</w:t>
            </w:r>
            <w:r w:rsidR="0026319B" w:rsidRPr="00191423">
              <w:rPr>
                <w:rFonts w:cs="Times New Roman"/>
                <w:sz w:val="24"/>
                <w:szCs w:val="24"/>
              </w:rPr>
              <w:t xml:space="preserve"> Minētajā jomā UP saistības</w:t>
            </w:r>
            <w:r w:rsidR="003E6A30" w:rsidRPr="00191423">
              <w:rPr>
                <w:rFonts w:cs="Times New Roman"/>
                <w:sz w:val="24"/>
                <w:szCs w:val="24"/>
              </w:rPr>
              <w:t>,</w:t>
            </w:r>
            <w:r w:rsidR="0026319B" w:rsidRPr="00191423">
              <w:rPr>
                <w:rFonts w:cs="Times New Roman"/>
                <w:sz w:val="24"/>
                <w:szCs w:val="24"/>
              </w:rPr>
              <w:t xml:space="preserve"> sākot ar 2017.gadu</w:t>
            </w:r>
            <w:r w:rsidR="003E6A30" w:rsidRPr="00191423">
              <w:rPr>
                <w:rFonts w:cs="Times New Roman"/>
                <w:sz w:val="24"/>
                <w:szCs w:val="24"/>
              </w:rPr>
              <w:t>,</w:t>
            </w:r>
            <w:r w:rsidR="0026319B" w:rsidRPr="00191423">
              <w:rPr>
                <w:rFonts w:cs="Times New Roman"/>
                <w:sz w:val="24"/>
                <w:szCs w:val="24"/>
              </w:rPr>
              <w:t xml:space="preserve"> nav.</w:t>
            </w:r>
          </w:p>
          <w:p w:rsidR="00FC57E7" w:rsidRPr="00191423" w:rsidRDefault="00510B96" w:rsidP="003B564E">
            <w:pPr>
              <w:pStyle w:val="ListParagraph"/>
              <w:numPr>
                <w:ilvl w:val="0"/>
                <w:numId w:val="9"/>
              </w:numPr>
              <w:ind w:left="0" w:firstLine="720"/>
              <w:jc w:val="both"/>
              <w:rPr>
                <w:rFonts w:cs="Times New Roman"/>
                <w:sz w:val="24"/>
                <w:szCs w:val="24"/>
              </w:rPr>
            </w:pPr>
            <w:r w:rsidRPr="00191423">
              <w:rPr>
                <w:rFonts w:cs="Times New Roman"/>
                <w:sz w:val="24"/>
                <w:szCs w:val="24"/>
              </w:rPr>
              <w:t>Jāparedz z</w:t>
            </w:r>
            <w:r w:rsidR="00FC57E7" w:rsidRPr="00191423">
              <w:rPr>
                <w:rFonts w:cs="Times New Roman"/>
                <w:sz w:val="24"/>
                <w:szCs w:val="24"/>
              </w:rPr>
              <w:t>audējum</w:t>
            </w:r>
            <w:r w:rsidRPr="00191423">
              <w:rPr>
                <w:rFonts w:cs="Times New Roman"/>
                <w:sz w:val="24"/>
                <w:szCs w:val="24"/>
              </w:rPr>
              <w:t>u</w:t>
            </w:r>
            <w:r w:rsidR="00FC57E7" w:rsidRPr="00191423">
              <w:rPr>
                <w:rFonts w:cs="Times New Roman"/>
                <w:sz w:val="24"/>
                <w:szCs w:val="24"/>
              </w:rPr>
              <w:t xml:space="preserve"> UP sniedzējam seg</w:t>
            </w:r>
            <w:r w:rsidRPr="00191423">
              <w:rPr>
                <w:rFonts w:cs="Times New Roman"/>
                <w:sz w:val="24"/>
                <w:szCs w:val="24"/>
              </w:rPr>
              <w:t>šana</w:t>
            </w:r>
            <w:r w:rsidR="00FC57E7" w:rsidRPr="00191423">
              <w:rPr>
                <w:rFonts w:cs="Times New Roman"/>
                <w:sz w:val="24"/>
                <w:szCs w:val="24"/>
              </w:rPr>
              <w:t xml:space="preserve"> tieši no valsts budžeta, ja tie radušies</w:t>
            </w:r>
            <w:r w:rsidR="003E6A30" w:rsidRPr="00191423">
              <w:rPr>
                <w:rFonts w:cs="Times New Roman"/>
                <w:sz w:val="24"/>
                <w:szCs w:val="24"/>
              </w:rPr>
              <w:t>,</w:t>
            </w:r>
            <w:r w:rsidR="00FC57E7" w:rsidRPr="00191423">
              <w:rPr>
                <w:rFonts w:cs="Times New Roman"/>
                <w:sz w:val="24"/>
                <w:szCs w:val="24"/>
              </w:rPr>
              <w:t xml:space="preserve"> sniedzot pakalpojumus, kas izriet no UP saistībām – īpašie</w:t>
            </w:r>
            <w:r w:rsidR="0026319B" w:rsidRPr="00191423">
              <w:rPr>
                <w:rFonts w:cs="Times New Roman"/>
                <w:sz w:val="24"/>
                <w:szCs w:val="24"/>
              </w:rPr>
              <w:t>m</w:t>
            </w:r>
            <w:r w:rsidR="00FC57E7" w:rsidRPr="00191423">
              <w:rPr>
                <w:rFonts w:cs="Times New Roman"/>
                <w:sz w:val="24"/>
                <w:szCs w:val="24"/>
              </w:rPr>
              <w:t xml:space="preserve"> pasākumi</w:t>
            </w:r>
            <w:r w:rsidR="0026319B" w:rsidRPr="00191423">
              <w:rPr>
                <w:rFonts w:cs="Times New Roman"/>
                <w:sz w:val="24"/>
                <w:szCs w:val="24"/>
              </w:rPr>
              <w:t>em</w:t>
            </w:r>
            <w:r w:rsidR="00FC57E7" w:rsidRPr="00191423">
              <w:rPr>
                <w:rFonts w:cs="Times New Roman"/>
                <w:sz w:val="24"/>
                <w:szCs w:val="24"/>
              </w:rPr>
              <w:t xml:space="preserve"> personām ar invaliditāti, lai nodrošinātu publiski pieejamu </w:t>
            </w:r>
            <w:proofErr w:type="spellStart"/>
            <w:r w:rsidR="00FC57E7" w:rsidRPr="00191423">
              <w:rPr>
                <w:rFonts w:cs="Times New Roman"/>
                <w:sz w:val="24"/>
                <w:szCs w:val="24"/>
              </w:rPr>
              <w:t>telefonpakalpojumu</w:t>
            </w:r>
            <w:proofErr w:type="spellEnd"/>
            <w:r w:rsidR="00FC57E7" w:rsidRPr="00191423">
              <w:rPr>
                <w:rFonts w:cs="Times New Roman"/>
                <w:sz w:val="24"/>
                <w:szCs w:val="24"/>
              </w:rPr>
              <w:t xml:space="preserve"> piekļuvi un pieejamību, ietverot piekļuvi neatliekamās palīdzības dienestiem, uzziņu dienestiem un sarakstiem, līdzīgu tai, k</w:t>
            </w:r>
            <w:r w:rsidRPr="00191423">
              <w:rPr>
                <w:rFonts w:cs="Times New Roman"/>
                <w:sz w:val="24"/>
                <w:szCs w:val="24"/>
              </w:rPr>
              <w:t>āda</w:t>
            </w:r>
            <w:r w:rsidR="00FC57E7" w:rsidRPr="00191423">
              <w:rPr>
                <w:rFonts w:cs="Times New Roman"/>
                <w:sz w:val="24"/>
                <w:szCs w:val="24"/>
              </w:rPr>
              <w:t xml:space="preserve"> nodrošināta citiem lietotājiem. </w:t>
            </w:r>
            <w:r w:rsidR="0026319B" w:rsidRPr="00191423">
              <w:rPr>
                <w:rFonts w:cs="Times New Roman"/>
                <w:sz w:val="24"/>
                <w:szCs w:val="24"/>
              </w:rPr>
              <w:t>Minētajā jomā UP saistības ir noteiktas kā atlaides maksai par pakalpojumiem.</w:t>
            </w:r>
          </w:p>
          <w:p w:rsidR="00FC57E7" w:rsidRPr="00191423" w:rsidRDefault="00FC57E7" w:rsidP="003B564E">
            <w:pPr>
              <w:jc w:val="both"/>
              <w:rPr>
                <w:rFonts w:cs="Times New Roman"/>
                <w:sz w:val="24"/>
                <w:szCs w:val="24"/>
              </w:rPr>
            </w:pPr>
            <w:r w:rsidRPr="00191423">
              <w:rPr>
                <w:rFonts w:cs="Times New Roman"/>
                <w:sz w:val="24"/>
                <w:szCs w:val="24"/>
              </w:rPr>
              <w:t xml:space="preserve">Iepriekšminētā pieeja tika saskaņota </w:t>
            </w:r>
            <w:r w:rsidR="006C0BE0" w:rsidRPr="00191423">
              <w:rPr>
                <w:rFonts w:cs="Times New Roman"/>
                <w:sz w:val="24"/>
                <w:szCs w:val="24"/>
              </w:rPr>
              <w:t xml:space="preserve">ar </w:t>
            </w:r>
            <w:r w:rsidRPr="00191423">
              <w:rPr>
                <w:rFonts w:cs="Times New Roman"/>
                <w:sz w:val="24"/>
                <w:szCs w:val="24"/>
              </w:rPr>
              <w:t xml:space="preserve">Satiksmes ministrijas 2014.gada 3.jūnija rīkojumu Nr.01-03/110 izveidotajā darba grupā, kurā strādāja pārstāvji no Satiksmes ministrijas, Sabiedrisko pakalpojumu regulēšanas komisijas, Ekonomikas ministrijas, Finanšu ministrijas, Konkurences padomes un elektronisko sakaru nozares nevalstiskajām </w:t>
            </w:r>
            <w:r w:rsidRPr="00191423">
              <w:rPr>
                <w:rFonts w:cs="Times New Roman"/>
                <w:sz w:val="24"/>
                <w:szCs w:val="24"/>
              </w:rPr>
              <w:lastRenderedPageBreak/>
              <w:t>organizācijām.</w:t>
            </w:r>
          </w:p>
          <w:p w:rsidR="006F06C8" w:rsidRPr="00191423" w:rsidRDefault="006F06C8" w:rsidP="003B564E">
            <w:pPr>
              <w:jc w:val="both"/>
              <w:rPr>
                <w:rFonts w:cs="Times New Roman"/>
                <w:sz w:val="24"/>
                <w:szCs w:val="24"/>
              </w:rPr>
            </w:pPr>
            <w:r w:rsidRPr="00191423">
              <w:rPr>
                <w:rFonts w:cs="Times New Roman"/>
                <w:sz w:val="24"/>
                <w:szCs w:val="24"/>
              </w:rPr>
              <w:t>Minētais secinājums ir atbilstošs arī UP direktīvas 13.panta 1.daļas a) punktā paredzētajam, ka dalībvalsts var ieviest mehānismu, lai kompensētu UP sniedzējam noteiktās neto izmaksas saskaņā ar pārskatāmiem noteikumiem no valsts finansējuma. Mainoties situācijai, kurā kādu no elektronisko sakaru jomas pakalpojumiem nevarēs nodrošināt elektronisko sakaru tirgus, iespējama mehānisma izveide UP direktīvas 13.panta b) modeļa ietvarā, kas pared</w:t>
            </w:r>
            <w:r w:rsidR="00734B1D" w:rsidRPr="00191423">
              <w:rPr>
                <w:rFonts w:cs="Times New Roman"/>
                <w:sz w:val="24"/>
                <w:szCs w:val="24"/>
              </w:rPr>
              <w:t>z sadalīt UP</w:t>
            </w:r>
            <w:r w:rsidRPr="00191423">
              <w:rPr>
                <w:rFonts w:cs="Times New Roman"/>
                <w:sz w:val="24"/>
                <w:szCs w:val="24"/>
              </w:rPr>
              <w:t xml:space="preserve"> saistību neto izmaksas starp elektronisko </w:t>
            </w:r>
            <w:r w:rsidR="00510B96" w:rsidRPr="00191423">
              <w:rPr>
                <w:rFonts w:cs="Times New Roman"/>
                <w:sz w:val="24"/>
                <w:szCs w:val="24"/>
              </w:rPr>
              <w:t xml:space="preserve">sakaru </w:t>
            </w:r>
            <w:r w:rsidRPr="00191423">
              <w:rPr>
                <w:rFonts w:cs="Times New Roman"/>
                <w:sz w:val="24"/>
                <w:szCs w:val="24"/>
              </w:rPr>
              <w:t>tīklu un pakalpojumu sniedzējiem.</w:t>
            </w:r>
          </w:p>
          <w:p w:rsidR="00FC57E7" w:rsidRPr="00191423" w:rsidRDefault="00FC57E7" w:rsidP="003B564E">
            <w:pPr>
              <w:jc w:val="both"/>
              <w:rPr>
                <w:rFonts w:cs="Times New Roman"/>
                <w:sz w:val="24"/>
                <w:szCs w:val="24"/>
              </w:rPr>
            </w:pPr>
            <w:r w:rsidRPr="00191423">
              <w:rPr>
                <w:rFonts w:cs="Times New Roman"/>
                <w:sz w:val="24"/>
                <w:szCs w:val="24"/>
              </w:rPr>
              <w:t>Papildus tam ir svarīgi atzīmēt, ka Eiropas Komisija (turpmāk – Komisija) 2016. gada 12. oktobrī nāca klajā ar priekšlikumu Eiropas Parlamenta un Padomes direktīvai par Eiropas elektronisko sakaru kodeksa izveidi (turpmāk – kodekss), pēc būtības pārskatot elektronisko sakaru jomā esošās direktīvas, tajā skaitā arī UP direktīvu. Kodekss ir izstrādes procesā un att</w:t>
            </w:r>
            <w:r w:rsidR="00734B1D" w:rsidRPr="00191423">
              <w:rPr>
                <w:rFonts w:cs="Times New Roman"/>
                <w:sz w:val="24"/>
                <w:szCs w:val="24"/>
              </w:rPr>
              <w:t>iecībā uz UP</w:t>
            </w:r>
            <w:r w:rsidRPr="00191423">
              <w:rPr>
                <w:rFonts w:cs="Times New Roman"/>
                <w:sz w:val="24"/>
                <w:szCs w:val="24"/>
              </w:rPr>
              <w:t xml:space="preserve"> sākotnēji paredz, ka </w:t>
            </w:r>
            <w:r w:rsidR="00734B1D" w:rsidRPr="00191423">
              <w:rPr>
                <w:rFonts w:cs="Times New Roman"/>
                <w:sz w:val="24"/>
                <w:szCs w:val="24"/>
              </w:rPr>
              <w:t>UP</w:t>
            </w:r>
            <w:r w:rsidRPr="00191423">
              <w:rPr>
                <w:rFonts w:cs="Times New Roman"/>
                <w:sz w:val="24"/>
                <w:szCs w:val="24"/>
              </w:rPr>
              <w:t xml:space="preserve"> radītie zaudējumi jāfinansē no valsts budžeta. Gala redakcija šobrīd nav konstatējama, jo norit aktīvs darbs pie kodeksa izstrādes un prognozējams, ka tuvāko gadu laikā kodekss</w:t>
            </w:r>
            <w:r w:rsidR="00510B96" w:rsidRPr="00191423">
              <w:rPr>
                <w:rFonts w:cs="Times New Roman"/>
                <w:sz w:val="24"/>
                <w:szCs w:val="24"/>
              </w:rPr>
              <w:t xml:space="preserve"> tiks pieņemts un dalībvalstīm tas būs jāievieš</w:t>
            </w:r>
            <w:r w:rsidRPr="00191423">
              <w:rPr>
                <w:rFonts w:cs="Times New Roman"/>
                <w:sz w:val="24"/>
                <w:szCs w:val="24"/>
              </w:rPr>
              <w:t xml:space="preserve"> nacionālajos normatīvajos aktos. Kodeksa gala redakcija ir svarīga saistībā ar tajā paredzētajiem uzdevumiem dalībvalstīm attiecībā uz UP saistību apjomu. </w:t>
            </w:r>
          </w:p>
          <w:p w:rsidR="00C20206" w:rsidRPr="00191423" w:rsidRDefault="001209FE" w:rsidP="003B564E">
            <w:pPr>
              <w:jc w:val="both"/>
              <w:rPr>
                <w:rFonts w:cs="Times New Roman"/>
                <w:sz w:val="24"/>
                <w:szCs w:val="24"/>
              </w:rPr>
            </w:pPr>
            <w:r w:rsidRPr="00191423">
              <w:rPr>
                <w:rFonts w:cs="Times New Roman"/>
                <w:sz w:val="24"/>
                <w:szCs w:val="24"/>
              </w:rPr>
              <w:t xml:space="preserve">        </w:t>
            </w:r>
            <w:r w:rsidR="00C20206" w:rsidRPr="00191423">
              <w:rPr>
                <w:rFonts w:cs="Times New Roman"/>
                <w:sz w:val="24"/>
                <w:szCs w:val="24"/>
              </w:rPr>
              <w:t>Tā kā šobrīd Latvijā UP saistībās Regulators nav noteicis tādus pakalpojumus, kas izrietētu no elektronisko sakaru tirgus nepilnībām, tad nav arī subjekta (tīrie zaudējumi, ko veido UP saistību izpilde tirgus nepilnību novēršanai), k</w:t>
            </w:r>
            <w:r w:rsidR="00FF0B52" w:rsidRPr="00191423">
              <w:rPr>
                <w:rFonts w:cs="Times New Roman"/>
                <w:sz w:val="24"/>
                <w:szCs w:val="24"/>
              </w:rPr>
              <w:t>ā</w:t>
            </w:r>
            <w:r w:rsidR="00C20206" w:rsidRPr="00191423">
              <w:rPr>
                <w:rFonts w:cs="Times New Roman"/>
                <w:sz w:val="24"/>
                <w:szCs w:val="24"/>
              </w:rPr>
              <w:t xml:space="preserve"> kompensācijai ar Ministru kabineta noteikumiem veidot regulējumu, </w:t>
            </w:r>
            <w:r w:rsidR="00FF0B52" w:rsidRPr="00191423">
              <w:rPr>
                <w:rFonts w:cs="Times New Roman"/>
                <w:sz w:val="24"/>
                <w:szCs w:val="24"/>
              </w:rPr>
              <w:t xml:space="preserve">līdz ar to </w:t>
            </w:r>
            <w:r w:rsidR="00C20206" w:rsidRPr="00191423">
              <w:rPr>
                <w:rFonts w:cs="Times New Roman"/>
                <w:sz w:val="24"/>
                <w:szCs w:val="24"/>
              </w:rPr>
              <w:t>Likuma pārejas</w:t>
            </w:r>
            <w:r w:rsidR="00FF0B52" w:rsidRPr="00191423">
              <w:rPr>
                <w:rFonts w:cs="Times New Roman"/>
                <w:sz w:val="24"/>
                <w:szCs w:val="24"/>
              </w:rPr>
              <w:t xml:space="preserve"> noteikumu</w:t>
            </w:r>
            <w:r w:rsidR="00C20206" w:rsidRPr="00191423">
              <w:rPr>
                <w:rFonts w:cs="Times New Roman"/>
                <w:sz w:val="24"/>
                <w:szCs w:val="24"/>
              </w:rPr>
              <w:t xml:space="preserve"> 14.punkta izpildes termiņš ir pagarināms līdz brīdim (indikatīvi 2022.gads), kad kodeksa ieviešanai tiks izstrādāts atbilstošs regulējums jauna likuma veidā.</w:t>
            </w:r>
          </w:p>
          <w:p w:rsidR="001209FE" w:rsidRPr="00191423" w:rsidRDefault="00FC57E7" w:rsidP="003B564E">
            <w:pPr>
              <w:jc w:val="both"/>
              <w:rPr>
                <w:rFonts w:cs="Times New Roman"/>
                <w:sz w:val="24"/>
                <w:szCs w:val="24"/>
              </w:rPr>
            </w:pPr>
            <w:r w:rsidRPr="00191423">
              <w:rPr>
                <w:rFonts w:cs="Times New Roman"/>
                <w:sz w:val="24"/>
                <w:szCs w:val="24"/>
              </w:rPr>
              <w:t>Ievērojot vidēja termiņa budžeta 2018.,</w:t>
            </w:r>
            <w:r w:rsidR="006F06C8" w:rsidRPr="00191423">
              <w:rPr>
                <w:rFonts w:cs="Times New Roman"/>
                <w:sz w:val="24"/>
                <w:szCs w:val="24"/>
              </w:rPr>
              <w:t xml:space="preserve"> </w:t>
            </w:r>
            <w:r w:rsidRPr="00191423">
              <w:rPr>
                <w:rFonts w:cs="Times New Roman"/>
                <w:sz w:val="24"/>
                <w:szCs w:val="24"/>
              </w:rPr>
              <w:t>2019. un 2020.gadam veidošanas ietvaru un fiskālo politiku kopumā valstī, kā lietderīgs atzīstams esošais UP saistību radīto tīro zaudējumu kompensācijas modelis, tas ir, SIA “Lattelecom” dividenžu, kas maksājamas valsts budžetā, samazinājums tīro zaudējumu apjomā. Šāds modelis ir ar mazām  administrēšanas izmaksām un nerada papildu slogu ne valsts budžetam, ne elektronisko sakaru komersantiem.</w:t>
            </w:r>
          </w:p>
          <w:p w:rsidR="00286579" w:rsidRPr="00191423" w:rsidRDefault="00601D13" w:rsidP="003B564E">
            <w:pPr>
              <w:jc w:val="both"/>
              <w:rPr>
                <w:rFonts w:cs="Times New Roman"/>
                <w:sz w:val="24"/>
                <w:szCs w:val="24"/>
              </w:rPr>
            </w:pPr>
            <w:r w:rsidRPr="00191423">
              <w:rPr>
                <w:rFonts w:cs="Times New Roman"/>
                <w:sz w:val="24"/>
                <w:szCs w:val="24"/>
              </w:rPr>
              <w:t>Pasākums nav kvalificējams kā komercdarbības atbalsts, jo atbilst visiem četriem Altmark</w:t>
            </w:r>
            <w:r w:rsidR="00C26EF1" w:rsidRPr="00191423">
              <w:footnoteReference w:id="1"/>
            </w:r>
            <w:r w:rsidRPr="00191423">
              <w:rPr>
                <w:rFonts w:cs="Times New Roman"/>
                <w:sz w:val="24"/>
                <w:szCs w:val="24"/>
              </w:rPr>
              <w:t xml:space="preserve"> kritērijiem. </w:t>
            </w:r>
            <w:r w:rsidR="00286579" w:rsidRPr="00191423">
              <w:rPr>
                <w:rFonts w:cs="Times New Roman"/>
                <w:sz w:val="24"/>
                <w:szCs w:val="24"/>
              </w:rPr>
              <w:t>Atbilstoši Regulatora 2017.gada 2</w:t>
            </w:r>
            <w:r w:rsidRPr="00191423">
              <w:rPr>
                <w:rFonts w:cs="Times New Roman"/>
                <w:sz w:val="24"/>
                <w:szCs w:val="24"/>
              </w:rPr>
              <w:t>2</w:t>
            </w:r>
            <w:r w:rsidR="00286579" w:rsidRPr="00191423">
              <w:rPr>
                <w:rFonts w:cs="Times New Roman"/>
                <w:sz w:val="24"/>
                <w:szCs w:val="24"/>
              </w:rPr>
              <w:t>.</w:t>
            </w:r>
            <w:r w:rsidRPr="00191423">
              <w:rPr>
                <w:rFonts w:cs="Times New Roman"/>
                <w:sz w:val="24"/>
                <w:szCs w:val="24"/>
              </w:rPr>
              <w:t>februār</w:t>
            </w:r>
            <w:r w:rsidR="00286579" w:rsidRPr="00191423">
              <w:rPr>
                <w:rFonts w:cs="Times New Roman"/>
                <w:sz w:val="24"/>
                <w:szCs w:val="24"/>
              </w:rPr>
              <w:t>a vēstul</w:t>
            </w:r>
            <w:r w:rsidR="00A475B8" w:rsidRPr="00191423">
              <w:rPr>
                <w:rFonts w:cs="Times New Roman"/>
                <w:sz w:val="24"/>
                <w:szCs w:val="24"/>
              </w:rPr>
              <w:t>ē Nr.1-2.74/</w:t>
            </w:r>
            <w:r w:rsidRPr="00191423">
              <w:rPr>
                <w:rFonts w:cs="Times New Roman"/>
                <w:sz w:val="24"/>
                <w:szCs w:val="24"/>
              </w:rPr>
              <w:t>667</w:t>
            </w:r>
            <w:r w:rsidR="00A475B8" w:rsidRPr="00191423">
              <w:rPr>
                <w:rFonts w:cs="Times New Roman"/>
                <w:sz w:val="24"/>
                <w:szCs w:val="24"/>
              </w:rPr>
              <w:t xml:space="preserve">, kas adresēta Finanšu ministrijai un Ekonomikas ministrijai, paustajam par kompensācijas atbilstību visiem četriem Altmark kritērijiem, norādām šādu papildu </w:t>
            </w:r>
            <w:r w:rsidR="00A475B8" w:rsidRPr="00191423">
              <w:rPr>
                <w:rFonts w:cs="Times New Roman"/>
                <w:sz w:val="24"/>
                <w:szCs w:val="24"/>
              </w:rPr>
              <w:lastRenderedPageBreak/>
              <w:t>informāciju (citāts no iepriekšminētās vēstules):</w:t>
            </w:r>
          </w:p>
          <w:p w:rsidR="00A475B8" w:rsidRPr="00191423" w:rsidRDefault="00A475B8" w:rsidP="003B564E">
            <w:pPr>
              <w:jc w:val="both"/>
              <w:rPr>
                <w:rFonts w:cs="Times New Roman"/>
                <w:sz w:val="24"/>
                <w:szCs w:val="24"/>
              </w:rPr>
            </w:pPr>
            <w:r w:rsidRPr="00191423">
              <w:rPr>
                <w:rFonts w:cs="Times New Roman"/>
                <w:sz w:val="24"/>
                <w:szCs w:val="24"/>
              </w:rPr>
              <w:t>“Lai Latvijas teritorijā nodrošinātu universālā pakalpojuma sniegšanu, un ievērojot lietotāju intereses, Regulators elektronisko sakaru komersantam nosaka universālā pakalpojuma saistības,  pamatojoties uz Elektronisko sakaru likuma 64.panta pirmo un otro daļu.</w:t>
            </w:r>
          </w:p>
          <w:p w:rsidR="00A475B8" w:rsidRPr="00191423" w:rsidRDefault="00A475B8" w:rsidP="003B564E">
            <w:pPr>
              <w:jc w:val="both"/>
              <w:rPr>
                <w:rFonts w:cs="Times New Roman"/>
                <w:sz w:val="24"/>
                <w:szCs w:val="24"/>
              </w:rPr>
            </w:pPr>
            <w:r w:rsidRPr="00191423">
              <w:rPr>
                <w:rFonts w:cs="Times New Roman"/>
                <w:sz w:val="24"/>
                <w:szCs w:val="24"/>
              </w:rPr>
              <w:tab/>
              <w:t xml:space="preserve">Ar Regulatora 2006.gada 27.decembra lēmumu Nr.316 „Par sabiedrības ar ierobežotu atbildību „Lattelecom” universālā pakalpojuma sniegšanu 2007.gadā”, 2007.gada 24.janvāra lēmumu Nr.12 „Par universālā pakalpojuma saistībām”, 2007.gada 6.jūnija lēmumu Nr.163 „Par sabiedrības ar ierobežotu atbildību „Lattelecom” universālā pakalpojuma sniegšanu 2007.gadā”, 2007.gada 21.decembra lēmumu Nr.616 „Par universālā pakalpojuma saistībām”, 2008.gada 10.septembra lēmumu Nr.285 „Par universālā pakalpojuma saistībām”, 2009.gada 7.decembra lēmumu Nr.427 „Par universālā pakalpojuma saistībām” un 2013.gada 4.decembra lēmumu Nr.232 “Par universālā pakalpojuma saistībām elektronisko sakaru nozarē” (turpmāk - Lēmumi) SIA „Lattelecom” noteiktas universālā pakalpojuma saistības. </w:t>
            </w:r>
          </w:p>
          <w:p w:rsidR="00A475B8" w:rsidRPr="00191423" w:rsidRDefault="00A475B8" w:rsidP="003B564E">
            <w:pPr>
              <w:jc w:val="both"/>
              <w:rPr>
                <w:rFonts w:cs="Times New Roman"/>
                <w:sz w:val="24"/>
                <w:szCs w:val="24"/>
              </w:rPr>
            </w:pPr>
            <w:r w:rsidRPr="00191423">
              <w:rPr>
                <w:rFonts w:cs="Times New Roman"/>
                <w:sz w:val="24"/>
                <w:szCs w:val="24"/>
              </w:rPr>
              <w:tab/>
              <w:t xml:space="preserve">Saskaņā ar Elektronisko sakaru likuma 65.panta trešo daļu Regulators apstiprina universālā pakalpojuma saistību tīro izmaksu aprēķināšanas un noteikšanas metodiku un elektronisko sakaru komersanta aprēķinātās universālā pakalpojuma saistību tīrās izmaksas. Elektronisko sakaru komersants, kas sniedz universālo pakalpojumu, nodrošina, ka universālā pakalpojuma saistību tīro izmaksu aprēķinu pārbauda zvērināts revidents vai zvērinātu revidentu komercsabiedrība. Tīro izmaksu aprēķins un zvērināta revidenta vai zvērinātu revidentu komercsabiedrības ziņojums ir pieejams publiski. </w:t>
            </w:r>
          </w:p>
          <w:p w:rsidR="00A475B8" w:rsidRPr="00191423" w:rsidRDefault="00A475B8" w:rsidP="003B564E">
            <w:pPr>
              <w:jc w:val="both"/>
              <w:rPr>
                <w:rFonts w:cs="Times New Roman"/>
                <w:sz w:val="24"/>
                <w:szCs w:val="24"/>
              </w:rPr>
            </w:pPr>
            <w:r w:rsidRPr="00191423">
              <w:rPr>
                <w:rFonts w:cs="Times New Roman"/>
                <w:sz w:val="24"/>
                <w:szCs w:val="24"/>
              </w:rPr>
              <w:tab/>
              <w:t xml:space="preserve">Regulators ar 2007.gada 30.maija lēmumu Nr.153 apstiprināja metodiku „Universālā pakalpojuma saistību tīro izmaksu aprēķināšanas un noteikšanas metodika” (turpmāk – Metodika), kas nosaka kārtību, kādā universālā pakalpojuma sniedzējs aprēķina un nosaka universālā pakalpojuma saistību tīrās izmaksas. Universālā pakalpojuma saistību tīrās izmaksas ir izmaksas, kas veidojas kā starpība starp izdevumiem un ieņēmumiem, kas universālā pakalpojuma sniedzējam rodas, sniedzot universālo pakalpojumu, atšķirībā no izmaksām, kad universālais pakalpojums netiek sniegts.   </w:t>
            </w:r>
          </w:p>
          <w:p w:rsidR="00A475B8" w:rsidRPr="00191423" w:rsidRDefault="00A475B8" w:rsidP="003B564E">
            <w:pPr>
              <w:jc w:val="both"/>
              <w:rPr>
                <w:rFonts w:cs="Times New Roman"/>
                <w:sz w:val="24"/>
                <w:szCs w:val="24"/>
              </w:rPr>
            </w:pPr>
            <w:r w:rsidRPr="00191423">
              <w:rPr>
                <w:rFonts w:cs="Times New Roman"/>
                <w:sz w:val="24"/>
                <w:szCs w:val="24"/>
              </w:rPr>
              <w:tab/>
              <w:t xml:space="preserve">Gadījumā, ja universālo pakalpojumu sniegtu cits elektronisko sakaru komersants, tam universālā pakalpojuma saistību tīrās izmaksas arī būtu jāaprēķina saskaņā ar Metodiku. Atbilstoši Metodikas 3.punktam, izvērtējot universālā pakalpojuma saistību tīrās izmaksas, Regulators ņem vērā tirgus priekšrocības, kādas ir universālā pakalpojuma sniedzējam elektronisko sakaru nozarē. Universālā pakalpojuma saistību tīrās izmaksas universālā </w:t>
            </w:r>
            <w:r w:rsidRPr="00191423">
              <w:rPr>
                <w:rFonts w:cs="Times New Roman"/>
                <w:sz w:val="24"/>
                <w:szCs w:val="24"/>
              </w:rPr>
              <w:lastRenderedPageBreak/>
              <w:t xml:space="preserve">pakalpojuma sniedzējs aprēķina kā universālā pakalpojuma saistību nodrošināšanas tīro izmaksu summu, atņemot nemateriālos ieguvumus. Metodikas 18.punkts noteic, ka nemateriālos ieguvumus aprēķina saskaņā ar Metodikas 19.punktā noteikto formulu un par iegūto vērtību samazina universālā pakalpojuma saistību tīrās izmaksas. Tas nozīmē, ka nemateriālie ieguvumi, aprēķinot universālā pakalpojuma saistību tīrās izmaksas, vienmēr ir ņemti vērā. </w:t>
            </w:r>
          </w:p>
          <w:p w:rsidR="00A475B8" w:rsidRPr="00191423" w:rsidRDefault="00A475B8" w:rsidP="003B564E">
            <w:pPr>
              <w:jc w:val="both"/>
              <w:rPr>
                <w:rFonts w:cs="Times New Roman"/>
                <w:sz w:val="24"/>
                <w:szCs w:val="24"/>
              </w:rPr>
            </w:pPr>
            <w:r w:rsidRPr="00191423">
              <w:rPr>
                <w:rFonts w:cs="Times New Roman"/>
                <w:sz w:val="24"/>
                <w:szCs w:val="24"/>
              </w:rPr>
              <w:tab/>
              <w:t xml:space="preserve">Atbilstoši Metodikai, universālā pakalpojuma saistību tīrās izmaksas tiek samazinātas par nemateriālo ieguvumu, kura aprēķinā izmanto pakalpojumu sniedzēja tīklam pieslēgto universālā pakalpojuma lietotāju skaitu un elektronisko sakaru komersanta kopējo lietotāju skaitu. Ņemot vērā, ka SIA “Lattelecom” ir vislielākais lietotāju skaits, SIA “Lattelecom” aprēķinātais nemateriālais ieguvums ir lielāks nekā citiem elektronisko sakaru komersantiem. Piemēram, pieņemot, ka universālo pakalpojumu ar tādām pašām universālā pakalpojuma saistībām kā SIA “Lattelecom” sniegtu otrs lielākais elektronisko sakaru komersants, kas nodrošina elektronisko sakaru pakalpojumus publiskajā fiksētajā elektronisko sakaru tīklā, un uzlikto saistību rezultātā papildus iegūtu tik pat universālā pakalpojuma lietotāju, cik SIA “Lattelecom”, šī elektronisko sakaru komersanta aprēķinātie nemateriālie ieguvumi būtu apmēram trīs reizes mazāki nekā SIA “Lattelecom” aprēķinātie. Tā rezultātā SIA “Lattelecom” aprēķinātās universālā pakalpojuma saistību tīrās izmaksas ir mazākas nekā tās būtu, ja pakalpojumu sniegtu cits elektronisko sakaru komersants. Ņemot vērā to, ka lielākā daļa kompensējamo izmaksu ir saistīta ar atlaidēm noteiktām abonentu grupām (atlaides personām ar invaliditāti), ko Regulators ir noteicis ar Lēmumiem, šī izmaksu pozīcija nav atkarīga no pakalpojuma nodrošināšanas tarifa vai izmaksām, bet gan no lietotāju skaita, kuri objektīvi kvalificējas šī pakalpojuma izmantošanai. Tas nozīmē, ka jebkuram citam pakalpojumu sniedzējam, neatkarīgi no viņa pakalpojuma nodrošināšanas izmaksām, kompensējamo izmaksu summa arī būtu atkarīga no pakalpojuma izmantotāju skaita, nevis pakalpojuma tarifa vai tā nodrošināšanas izmaksām. SIA “Lattelecom” ziņojumu par universālā pakalpojuma saistību tīrajām izmaksām par 2015.gadu Regulators lūdz skatīt SIA “Lattelecom” mājaslapā internetā </w:t>
            </w:r>
            <w:hyperlink r:id="rId9" w:history="1">
              <w:r w:rsidRPr="00191423">
                <w:rPr>
                  <w:rFonts w:cs="Times New Roman"/>
                  <w:sz w:val="24"/>
                  <w:szCs w:val="24"/>
                </w:rPr>
                <w:t>https://www.lattelecom.lv/par-lattelecom/citi/regulejosa-vide</w:t>
              </w:r>
            </w:hyperlink>
            <w:r w:rsidRPr="00191423">
              <w:rPr>
                <w:rFonts w:cs="Times New Roman"/>
                <w:sz w:val="24"/>
                <w:szCs w:val="24"/>
              </w:rPr>
              <w:t xml:space="preserve"> - dokumenta nosaukums - SIA “Lattelecom” ziņojums un Revidentu ziņojums par universālā pakalpojuma saistību tīrajām izmaksām par 2015.gadu.  Savukārt, saskaņā ar Metodikas 21.punktu, universālā pakalpojuma sniedzējs Regulatoram iesniedz arī zvērināta revidenta vai zvērinātu revidentu komercsabiedrības ziņojumu par universālā pakalpojuma saistību tīro izmaksu attiecināšanu un aprēķinu. Savukārt tas nozīmē, ka universālā pakalpojuma sniedzējam ir </w:t>
            </w:r>
            <w:r w:rsidRPr="00191423">
              <w:rPr>
                <w:rFonts w:cs="Times New Roman"/>
                <w:sz w:val="24"/>
                <w:szCs w:val="24"/>
              </w:rPr>
              <w:lastRenderedPageBreak/>
              <w:t xml:space="preserve">jāuzņemas arī zvērināta revidenta vai zvērinātu revidentu komercsabiedrības ziņojuma sagatavošanas sakarā radušās izmaksas, kas rada papildus slogu un izmaksas. </w:t>
            </w:r>
          </w:p>
          <w:p w:rsidR="00A475B8" w:rsidRPr="00191423" w:rsidRDefault="00A475B8" w:rsidP="003B564E">
            <w:pPr>
              <w:jc w:val="both"/>
              <w:rPr>
                <w:rFonts w:cs="Times New Roman"/>
                <w:sz w:val="24"/>
                <w:szCs w:val="24"/>
              </w:rPr>
            </w:pPr>
            <w:r w:rsidRPr="00191423">
              <w:rPr>
                <w:rFonts w:cs="Times New Roman"/>
                <w:sz w:val="24"/>
                <w:szCs w:val="24"/>
              </w:rPr>
              <w:tab/>
              <w:t xml:space="preserve">Tāpat SIA “Lattelecom” kā universālā pakalpojuma sniedzējam visā Latvijas teritorijā ir jānodrošina noteiktas sniegto pakalpojumu kvalitātes prasības. Regulators nosaka pakalpojumu kvalitātes parametrus un to vērtības šādiem universālā pakalpojuma sniedzēja SIA “Lattelecom” sniegtajiem pakalpojumiem: </w:t>
            </w:r>
          </w:p>
          <w:p w:rsidR="00A475B8" w:rsidRPr="00191423" w:rsidRDefault="00A475B8" w:rsidP="003B564E">
            <w:pPr>
              <w:jc w:val="both"/>
              <w:rPr>
                <w:rFonts w:cs="Times New Roman"/>
                <w:sz w:val="24"/>
                <w:szCs w:val="24"/>
              </w:rPr>
            </w:pPr>
            <w:r w:rsidRPr="00191423">
              <w:rPr>
                <w:rFonts w:cs="Times New Roman"/>
                <w:sz w:val="24"/>
                <w:szCs w:val="24"/>
              </w:rPr>
              <w:t xml:space="preserve">-iekšzemes balss telefonijas pakalpojums fiksētā elektronisko sakaru tīklā; </w:t>
            </w:r>
          </w:p>
          <w:p w:rsidR="00A475B8" w:rsidRPr="00191423" w:rsidRDefault="00A475B8" w:rsidP="003B564E">
            <w:pPr>
              <w:jc w:val="both"/>
              <w:rPr>
                <w:rFonts w:cs="Times New Roman"/>
                <w:sz w:val="24"/>
                <w:szCs w:val="24"/>
              </w:rPr>
            </w:pPr>
            <w:r w:rsidRPr="00191423">
              <w:rPr>
                <w:rFonts w:cs="Times New Roman"/>
                <w:sz w:val="24"/>
                <w:szCs w:val="24"/>
              </w:rPr>
              <w:t xml:space="preserve">-bojājumu pieteikumu pieņemšanas dienesta pakalpojums; </w:t>
            </w:r>
          </w:p>
          <w:p w:rsidR="00A475B8" w:rsidRPr="00191423" w:rsidRDefault="00A475B8" w:rsidP="003B564E">
            <w:pPr>
              <w:jc w:val="both"/>
              <w:rPr>
                <w:rFonts w:cs="Times New Roman"/>
                <w:sz w:val="24"/>
                <w:szCs w:val="24"/>
              </w:rPr>
            </w:pPr>
            <w:r w:rsidRPr="00191423">
              <w:rPr>
                <w:rFonts w:cs="Times New Roman"/>
                <w:sz w:val="24"/>
                <w:szCs w:val="24"/>
              </w:rPr>
              <w:t xml:space="preserve">-visaptveroša telefona uzziņu dienesta pakalpojums. </w:t>
            </w:r>
          </w:p>
          <w:p w:rsidR="00A475B8" w:rsidRPr="00191423" w:rsidRDefault="00A475B8" w:rsidP="003B564E">
            <w:pPr>
              <w:jc w:val="both"/>
              <w:rPr>
                <w:rFonts w:cs="Times New Roman"/>
                <w:sz w:val="24"/>
                <w:szCs w:val="24"/>
              </w:rPr>
            </w:pPr>
            <w:r w:rsidRPr="00191423">
              <w:rPr>
                <w:rFonts w:cs="Times New Roman"/>
                <w:sz w:val="24"/>
                <w:szCs w:val="24"/>
              </w:rPr>
              <w:t xml:space="preserve">    Regulatora noteiktās universālā pakalpojuma kvalitātes parametru vērtības noteiktas saskaņā ar Regulatora 2013.gada 4.decembra lēmumu Nr.1/31 „Elektronisko sakaru pakalpojumu kvalitātes prasību, kvalitātes pārskatu iesniegšanas un publiskošanas noteikumi”, kas bija spēkā līdz 2015.gada 31.decembrim, sākot ar 2016.gada janvāri ir spēkā Regulatora 2015.gada 3.decembra lēmums Nr.1/21 „Elektronisko sakaru pakalpojumu kvalitātes prasību, kvalitātes pārskatu iesniegšanas un publiskošanas noteikumi”.  Universālā pakalpojuma kvalitātes prasības ir noteiktas tikai SIA “Lattelecom”. Citiem elektronisko sakaru komersantiem nav noteiktas šādas prasības, līdz ar to, tiem līdzvērtīgu pakalpojumu sniegšanai ir vienkāršotākas prasības. </w:t>
            </w:r>
          </w:p>
          <w:p w:rsidR="00A475B8" w:rsidRPr="00191423" w:rsidRDefault="00A475B8" w:rsidP="003B564E">
            <w:pPr>
              <w:jc w:val="both"/>
              <w:rPr>
                <w:rFonts w:cs="Times New Roman"/>
                <w:sz w:val="24"/>
                <w:szCs w:val="24"/>
              </w:rPr>
            </w:pPr>
            <w:r w:rsidRPr="00191423">
              <w:rPr>
                <w:rFonts w:cs="Times New Roman"/>
                <w:sz w:val="24"/>
                <w:szCs w:val="24"/>
              </w:rPr>
              <w:tab/>
              <w:t>Papildus, likuma “Par sabiedrisko pakalpojumu regulatoriem” 26.panta otrā daļa noteic, ka elektronisko sakaru komersants kārto atsevišķu grāmatvedības uzskaiti katram sabiedriskā pakalpojuma veidam un minētā uzskaite kopējā grāmatvedības uzskaitē ir nodalīta. Izrietoši, SIA “Lattelecom” sniegto universālā pakalpojuma sarakstā ietilpstošo pakalpojumu grāmatvedība ir caurspīdīga, uzskaitīta katram sniegtajam universālajam pakalpojumam, tādējādi radot šī elektronisko sakaru komersanta labi pārvaldītas grāmatvedības uzskaiti.</w:t>
            </w:r>
          </w:p>
          <w:p w:rsidR="00A475B8" w:rsidRPr="00191423" w:rsidRDefault="00A475B8" w:rsidP="003B564E">
            <w:pPr>
              <w:jc w:val="both"/>
              <w:rPr>
                <w:rFonts w:cs="Times New Roman"/>
                <w:sz w:val="24"/>
                <w:szCs w:val="24"/>
              </w:rPr>
            </w:pPr>
            <w:r w:rsidRPr="00191423">
              <w:rPr>
                <w:rFonts w:cs="Times New Roman"/>
                <w:sz w:val="24"/>
                <w:szCs w:val="24"/>
              </w:rPr>
              <w:tab/>
              <w:t xml:space="preserve">SIA “Lattelecom” darbojas elektronisko sakaru tirgū konkurences apstākļos, gadījumā, ja universālā pakalpojuma saistību tīrās izmaksas netiktu kompensētas, elektronisko sakaru komersants būtu nostādīts nevienlīdzīgā situācijā attiecībā pret citiem tirgus dalībniekiem. Elektronisko sakaru komersants vadoties no savām komerciālajām interesēm, nesniegtu zaudējumus nesošus pakalpojumus brīvprātīgi, nodrošinot pakalpojuma pieejamību neatkarīgi no iedzīvotāju ienākumu līmeņa un izpildot noteiktas kvalitātes prasības visā Latvijas teritorijā.   </w:t>
            </w:r>
          </w:p>
          <w:p w:rsidR="00A475B8" w:rsidRPr="00191423" w:rsidRDefault="00A475B8" w:rsidP="003B564E">
            <w:pPr>
              <w:jc w:val="both"/>
              <w:rPr>
                <w:rFonts w:cs="Times New Roman"/>
                <w:sz w:val="24"/>
                <w:szCs w:val="24"/>
              </w:rPr>
            </w:pPr>
            <w:r w:rsidRPr="00191423">
              <w:rPr>
                <w:rFonts w:cs="Times New Roman"/>
                <w:sz w:val="24"/>
                <w:szCs w:val="24"/>
              </w:rPr>
              <w:tab/>
              <w:t xml:space="preserve">Ņemot vērā iepriekš minēto, Regulatora ieskatā izpildās visi ar Eiropas Kopienu Tiesas 2003.gada 24.jūlija spriedumu </w:t>
            </w:r>
            <w:proofErr w:type="spellStart"/>
            <w:r w:rsidRPr="00191423">
              <w:rPr>
                <w:rFonts w:cs="Times New Roman"/>
                <w:sz w:val="24"/>
                <w:szCs w:val="24"/>
              </w:rPr>
              <w:t>Altmark</w:t>
            </w:r>
            <w:proofErr w:type="spellEnd"/>
            <w:r w:rsidRPr="00191423">
              <w:rPr>
                <w:rFonts w:cs="Times New Roman"/>
                <w:sz w:val="24"/>
                <w:szCs w:val="24"/>
              </w:rPr>
              <w:t xml:space="preserve"> lietā noteiktie četri kumulatīvie kritēriji.”</w:t>
            </w:r>
          </w:p>
          <w:p w:rsidR="00EE6721" w:rsidRPr="00191423" w:rsidRDefault="00EE6721" w:rsidP="003B564E">
            <w:pPr>
              <w:jc w:val="both"/>
              <w:rPr>
                <w:rFonts w:cs="Times New Roman"/>
                <w:sz w:val="24"/>
                <w:szCs w:val="24"/>
              </w:rPr>
            </w:pPr>
            <w:r w:rsidRPr="00191423">
              <w:rPr>
                <w:rFonts w:cs="Times New Roman"/>
                <w:sz w:val="24"/>
                <w:szCs w:val="24"/>
              </w:rPr>
              <w:lastRenderedPageBreak/>
              <w:t xml:space="preserve">Likuma 64.panta trešā daļa noteic, ka Regulators, izmantojot efektīvu, objektīvu, caurredzamu un vienlīdzīgu saistību noteikšanas kārtību, nosaka vienu vai vairākus elektronisko sakaru komersantus, kuriem ir pienākums sniegt </w:t>
            </w:r>
            <w:r w:rsidR="003348C0" w:rsidRPr="00191423">
              <w:rPr>
                <w:rFonts w:cs="Times New Roman"/>
                <w:sz w:val="24"/>
                <w:szCs w:val="24"/>
              </w:rPr>
              <w:t>UP</w:t>
            </w:r>
            <w:r w:rsidR="00861120" w:rsidRPr="00191423">
              <w:rPr>
                <w:rFonts w:cs="Times New Roman"/>
                <w:sz w:val="24"/>
                <w:szCs w:val="24"/>
              </w:rPr>
              <w:t>. Līdz ar to</w:t>
            </w:r>
            <w:r w:rsidR="00C20206" w:rsidRPr="00191423">
              <w:rPr>
                <w:rFonts w:cs="Times New Roman"/>
                <w:sz w:val="24"/>
                <w:szCs w:val="24"/>
              </w:rPr>
              <w:t xml:space="preserve"> </w:t>
            </w:r>
            <w:r w:rsidRPr="00191423">
              <w:rPr>
                <w:rFonts w:cs="Times New Roman"/>
                <w:sz w:val="24"/>
                <w:szCs w:val="24"/>
              </w:rPr>
              <w:t xml:space="preserve"> Regulatoram jārīko konkurss, lai izraudzītos to elektronisko sakaru komersantu,</w:t>
            </w:r>
            <w:r w:rsidR="00734B1D" w:rsidRPr="00191423">
              <w:rPr>
                <w:rFonts w:cs="Times New Roman"/>
                <w:sz w:val="24"/>
                <w:szCs w:val="24"/>
              </w:rPr>
              <w:t xml:space="preserve"> kuram tiks noteiktas UP</w:t>
            </w:r>
            <w:r w:rsidRPr="00191423">
              <w:rPr>
                <w:rFonts w:cs="Times New Roman"/>
                <w:sz w:val="24"/>
                <w:szCs w:val="24"/>
              </w:rPr>
              <w:t xml:space="preserve"> saistības.</w:t>
            </w:r>
          </w:p>
          <w:p w:rsidR="00243ADA" w:rsidRPr="00191423" w:rsidRDefault="001209FE" w:rsidP="003B564E">
            <w:pPr>
              <w:jc w:val="both"/>
              <w:rPr>
                <w:rFonts w:cs="Times New Roman"/>
                <w:sz w:val="24"/>
                <w:szCs w:val="24"/>
              </w:rPr>
            </w:pPr>
            <w:r w:rsidRPr="00191423">
              <w:rPr>
                <w:rFonts w:cs="Times New Roman"/>
                <w:sz w:val="24"/>
                <w:szCs w:val="24"/>
              </w:rPr>
              <w:t xml:space="preserve">      </w:t>
            </w:r>
            <w:r w:rsidR="00336656" w:rsidRPr="00191423">
              <w:rPr>
                <w:rFonts w:cs="Times New Roman"/>
                <w:sz w:val="24"/>
                <w:szCs w:val="24"/>
              </w:rPr>
              <w:t>L</w:t>
            </w:r>
            <w:r w:rsidR="00797B7F" w:rsidRPr="00191423">
              <w:rPr>
                <w:rFonts w:cs="Times New Roman"/>
                <w:sz w:val="24"/>
                <w:szCs w:val="24"/>
              </w:rPr>
              <w:t>ikumprojekt</w:t>
            </w:r>
            <w:r w:rsidR="00336656" w:rsidRPr="00191423">
              <w:rPr>
                <w:rFonts w:cs="Times New Roman"/>
                <w:sz w:val="24"/>
                <w:szCs w:val="24"/>
              </w:rPr>
              <w:t>ā ir iekļautas</w:t>
            </w:r>
            <w:r w:rsidRPr="00191423">
              <w:rPr>
                <w:rFonts w:cs="Times New Roman"/>
                <w:sz w:val="24"/>
                <w:szCs w:val="24"/>
              </w:rPr>
              <w:t xml:space="preserve"> </w:t>
            </w:r>
            <w:r w:rsidR="00336656" w:rsidRPr="00191423">
              <w:rPr>
                <w:rFonts w:cs="Times New Roman"/>
                <w:sz w:val="24"/>
                <w:szCs w:val="24"/>
              </w:rPr>
              <w:t xml:space="preserve">pamatprasības </w:t>
            </w:r>
            <w:r w:rsidR="00C20206" w:rsidRPr="00191423">
              <w:rPr>
                <w:rFonts w:cs="Times New Roman"/>
                <w:sz w:val="24"/>
                <w:szCs w:val="24"/>
              </w:rPr>
              <w:t>konkursa rīkošanai un norisei, kā arī noteikts, ka</w:t>
            </w:r>
            <w:r w:rsidR="00336656" w:rsidRPr="00191423">
              <w:rPr>
                <w:rFonts w:cs="Times New Roman"/>
                <w:sz w:val="24"/>
                <w:szCs w:val="24"/>
              </w:rPr>
              <w:t xml:space="preserve">  uz konkursa norisi neattiecina Publisko iepirkumu likumu.</w:t>
            </w:r>
            <w:r w:rsidRPr="00191423">
              <w:rPr>
                <w:rFonts w:cs="Times New Roman"/>
                <w:sz w:val="24"/>
                <w:szCs w:val="24"/>
              </w:rPr>
              <w:t xml:space="preserve"> </w:t>
            </w:r>
            <w:r w:rsidR="00E151FD" w:rsidRPr="00191423">
              <w:rPr>
                <w:rFonts w:cs="Times New Roman"/>
                <w:sz w:val="24"/>
                <w:szCs w:val="24"/>
              </w:rPr>
              <w:t>Publisko</w:t>
            </w:r>
            <w:r w:rsidR="00174E2D" w:rsidRPr="00191423">
              <w:rPr>
                <w:rFonts w:cs="Times New Roman"/>
                <w:sz w:val="24"/>
                <w:szCs w:val="24"/>
              </w:rPr>
              <w:t xml:space="preserve"> iepirkumu likuma 11.panta pirmā daļa paredz noteikt paredzamo līgumcenu, lai būtu iespējams izvēlēties paredzamo iepirkuma veidu un attiecīgi arī piemērojamo procedūru. </w:t>
            </w:r>
            <w:r w:rsidR="00101C4A" w:rsidRPr="00191423">
              <w:rPr>
                <w:rFonts w:cs="Times New Roman"/>
                <w:sz w:val="24"/>
                <w:szCs w:val="24"/>
              </w:rPr>
              <w:t xml:space="preserve">Ņemot vērā, ka šobrīd ar Regulatora Lēmumu Nr.168 </w:t>
            </w:r>
            <w:r w:rsidR="003348C0" w:rsidRPr="00191423">
              <w:rPr>
                <w:rFonts w:cs="Times New Roman"/>
                <w:sz w:val="24"/>
                <w:szCs w:val="24"/>
              </w:rPr>
              <w:t>noteiktās UP</w:t>
            </w:r>
            <w:r w:rsidR="00101C4A" w:rsidRPr="00191423">
              <w:rPr>
                <w:rFonts w:cs="Times New Roman"/>
                <w:sz w:val="24"/>
                <w:szCs w:val="24"/>
              </w:rPr>
              <w:t xml:space="preserve"> saistības attiecināmas tikai uz tiem pakalpojumiem, ko izmanto personas ar invaliditāti, kuru skaits ik gadu ir mainīgs, n</w:t>
            </w:r>
            <w:r w:rsidR="00174E2D" w:rsidRPr="00191423">
              <w:rPr>
                <w:rFonts w:cs="Times New Roman"/>
                <w:sz w:val="24"/>
                <w:szCs w:val="24"/>
              </w:rPr>
              <w:t>osakot to elektronisko sakaru komersantu, kuram ir pienāku</w:t>
            </w:r>
            <w:r w:rsidR="003348C0" w:rsidRPr="00191423">
              <w:rPr>
                <w:rFonts w:cs="Times New Roman"/>
                <w:sz w:val="24"/>
                <w:szCs w:val="24"/>
              </w:rPr>
              <w:t>ms sniegt UP</w:t>
            </w:r>
            <w:r w:rsidR="00174E2D" w:rsidRPr="00191423">
              <w:rPr>
                <w:rFonts w:cs="Times New Roman"/>
                <w:sz w:val="24"/>
                <w:szCs w:val="24"/>
              </w:rPr>
              <w:t xml:space="preserve"> visā Latvijas teritorijā, nav iespējams noteikt paredzamo līgumcenu, jo tā ir mainīga un neprognozējama. Zaudējumi, kas</w:t>
            </w:r>
            <w:r w:rsidR="003348C0" w:rsidRPr="00191423">
              <w:rPr>
                <w:rFonts w:cs="Times New Roman"/>
                <w:sz w:val="24"/>
                <w:szCs w:val="24"/>
              </w:rPr>
              <w:t xml:space="preserve"> rodas no UP</w:t>
            </w:r>
            <w:r w:rsidR="00174E2D" w:rsidRPr="00191423">
              <w:rPr>
                <w:rFonts w:cs="Times New Roman"/>
                <w:sz w:val="24"/>
                <w:szCs w:val="24"/>
              </w:rPr>
              <w:t xml:space="preserve"> saistību izpildes, ir izrietoši no</w:t>
            </w:r>
            <w:r w:rsidR="003348C0" w:rsidRPr="00191423">
              <w:rPr>
                <w:rFonts w:cs="Times New Roman"/>
                <w:sz w:val="24"/>
                <w:szCs w:val="24"/>
              </w:rPr>
              <w:t xml:space="preserve"> noteikto UP</w:t>
            </w:r>
            <w:r w:rsidR="00174E2D" w:rsidRPr="00191423">
              <w:rPr>
                <w:rFonts w:cs="Times New Roman"/>
                <w:sz w:val="24"/>
                <w:szCs w:val="24"/>
              </w:rPr>
              <w:t xml:space="preserve"> saistību apmēra, kā arī to personu loka un personu skaita</w:t>
            </w:r>
            <w:r w:rsidR="003348C0" w:rsidRPr="00191423">
              <w:rPr>
                <w:rFonts w:cs="Times New Roman"/>
                <w:sz w:val="24"/>
                <w:szCs w:val="24"/>
              </w:rPr>
              <w:t>, kuri izmanto UP</w:t>
            </w:r>
            <w:r w:rsidR="00174E2D" w:rsidRPr="00191423">
              <w:rPr>
                <w:rFonts w:cs="Times New Roman"/>
                <w:sz w:val="24"/>
                <w:szCs w:val="24"/>
              </w:rPr>
              <w:t xml:space="preserve"> ietilpstošos elektronisko sakaru pakalpojumus.</w:t>
            </w:r>
            <w:r w:rsidR="00243ADA" w:rsidRPr="00191423">
              <w:rPr>
                <w:rFonts w:cs="Times New Roman"/>
                <w:sz w:val="24"/>
                <w:szCs w:val="24"/>
              </w:rPr>
              <w:t xml:space="preserve"> Iepriekš minētais konkurss tiek rīkots, lai Regulators noteiktu universālā pakalpojuma sniedzēju, izrietoši no šobrīd spēkā esošo noteikto saistību apmēra, kas nodrošinātu, ka personām ar invaliditāti tiesības saņemt īpašus pakalpojumus. Attiecīgi konkursa priekšmets plānots īpašo pasākumu personām ar invaliditāti nodrošināšanai. Regulators izstrādās ar konkursa norisi saistīto dokumentāciju, par kuru tiks rīkota konsultācija ar tirgus dalībniekiem, tāpat kā par jebkuru Regulatora izstrādāto nozares normatīvo aktu, saskaņā ar  Regulatora 2011.gada 24.augusta lēmumuNr.1/20 “Noteikumi par konsultāciju kārtību ar tirgus dalībniekiem elektronisko sakaru nozarē”.   </w:t>
            </w:r>
          </w:p>
          <w:p w:rsidR="00174E2D" w:rsidRPr="00191423" w:rsidRDefault="001209FE" w:rsidP="003B564E">
            <w:pPr>
              <w:jc w:val="both"/>
              <w:rPr>
                <w:rFonts w:cs="Times New Roman"/>
                <w:sz w:val="24"/>
                <w:szCs w:val="24"/>
              </w:rPr>
            </w:pPr>
            <w:r w:rsidRPr="00191423">
              <w:rPr>
                <w:rFonts w:cs="Times New Roman"/>
                <w:sz w:val="24"/>
                <w:szCs w:val="24"/>
              </w:rPr>
              <w:t xml:space="preserve">     </w:t>
            </w:r>
            <w:r w:rsidR="00243ADA" w:rsidRPr="00191423">
              <w:rPr>
                <w:rFonts w:cs="Times New Roman"/>
                <w:sz w:val="24"/>
                <w:szCs w:val="24"/>
              </w:rPr>
              <w:t>Atzīmējams</w:t>
            </w:r>
            <w:r w:rsidR="00101C4A" w:rsidRPr="00191423">
              <w:rPr>
                <w:rFonts w:cs="Times New Roman"/>
                <w:sz w:val="24"/>
                <w:szCs w:val="24"/>
              </w:rPr>
              <w:t>, ka l</w:t>
            </w:r>
            <w:r w:rsidR="00174E2D" w:rsidRPr="00191423">
              <w:rPr>
                <w:rFonts w:cs="Times New Roman"/>
                <w:sz w:val="24"/>
                <w:szCs w:val="24"/>
              </w:rPr>
              <w:t>īdzīgs regulējums jau ir noteikts pasta nozares regulējošos normatīvajos aktos. Arī pasta nozarē Regulators nosaka to pasta komersantu, kuram ir pienākums sniegt universālo pasta pakalpojumu visā Latvijas Republikas teritorijā, kā arī paredz termiņu, uz kādu tiek noteikts universālā pakalpojuma sniedzējs. Saskaņā ar Pasta likuma 27.2 panta pirmo daļu uz universālā pakalpojuma sniedzēja izraudzīšanas procedūru</w:t>
            </w:r>
            <w:r w:rsidRPr="00191423">
              <w:rPr>
                <w:rFonts w:cs="Times New Roman"/>
                <w:sz w:val="24"/>
                <w:szCs w:val="24"/>
              </w:rPr>
              <w:t xml:space="preserve"> ar</w:t>
            </w:r>
            <w:r w:rsidR="00FF0B52" w:rsidRPr="00191423">
              <w:rPr>
                <w:rFonts w:cs="Times New Roman"/>
                <w:sz w:val="24"/>
                <w:szCs w:val="24"/>
              </w:rPr>
              <w:t>ī</w:t>
            </w:r>
            <w:r w:rsidR="00174E2D" w:rsidRPr="00191423">
              <w:rPr>
                <w:rFonts w:cs="Times New Roman"/>
                <w:sz w:val="24"/>
                <w:szCs w:val="24"/>
              </w:rPr>
              <w:t xml:space="preserve"> netiek attiecināts Publisko iepirkumu likums.</w:t>
            </w:r>
          </w:p>
          <w:p w:rsidR="00256BD2" w:rsidRPr="00191423" w:rsidRDefault="00256BD2" w:rsidP="003B564E">
            <w:pPr>
              <w:jc w:val="both"/>
              <w:rPr>
                <w:rFonts w:cs="Times New Roman"/>
                <w:sz w:val="24"/>
                <w:szCs w:val="24"/>
              </w:rPr>
            </w:pPr>
            <w:r w:rsidRPr="00191423">
              <w:rPr>
                <w:rFonts w:cs="Times New Roman"/>
                <w:sz w:val="24"/>
                <w:szCs w:val="24"/>
              </w:rPr>
              <w:t xml:space="preserve">      Vēršam uzmanību, ka saskaņā ar Eiropas Parlamenta un Padomes 2002.gada 7.marta Direktīvā 2002/22/EK par universālo pakalpojumu un lietotāju tiesībām attiecībā uz elektronisko sakaru tīkliem un pakalpojumiem (universālā pakalpojuma direktīva), kas grozīta ar Eiropas Parlamenta un Padomes 2009.gada 25.novembra Direktīvas 2009/136/EK prasībām (universālā pakalpojuma direktīva) ir </w:t>
            </w:r>
            <w:r w:rsidRPr="00191423">
              <w:rPr>
                <w:rFonts w:cs="Times New Roman"/>
                <w:sz w:val="24"/>
                <w:szCs w:val="24"/>
              </w:rPr>
              <w:lastRenderedPageBreak/>
              <w:t>prasība nodrošināt UP pakalpojumu valsts teritorijā, pēc būtības tas nozīmē, ka UP sniegšanas prasība tiek attiecināta uz visu valsts teritoriju, kur pakalpojums ir nepieciešams. Tādējādi, UP ir nodrošināms visā Latvijas teritorijā, kur gala lietotājs ir pieprasījis pakalpojuma sniegšanu.</w:t>
            </w:r>
          </w:p>
          <w:p w:rsidR="00AE62D0" w:rsidRPr="00191423" w:rsidRDefault="00AE62D0" w:rsidP="003B564E">
            <w:pPr>
              <w:jc w:val="both"/>
              <w:rPr>
                <w:rFonts w:cs="Times New Roman"/>
                <w:sz w:val="24"/>
                <w:szCs w:val="24"/>
              </w:rPr>
            </w:pPr>
            <w:r w:rsidRPr="00191423">
              <w:rPr>
                <w:rFonts w:cs="Times New Roman"/>
                <w:sz w:val="24"/>
                <w:szCs w:val="24"/>
              </w:rPr>
              <w:t xml:space="preserve">Atbilstoši Ekonomikas ministrijas priekšlikumiem, kas saņemti likumprojekta saskaņošanas gaitā, likumprojekts papildināts ar Patērētāju tiesību aizsardzības  centra (PTAC) tiesību nostiprināšanu Elektronisko sakaru likumā, kas Ekonomikas ministrijas ieskatā nepieciešamas, lai nodrošinātu PTAC normatīvajos aktos noteikto funkciju un uzdevumu izpildi uz sakaru un interneta tehnoloģijām balstītā patērētāju tirgus vidē. Tai skaitā, PTAC tiesības pieprasīt un saņemt elektronisko sakaru pakalpojumu sniedzēju rīcībā esošo informāciju par to abonentiem, ir būtiski svarīgas, lai mūsdienu tehnoloģiskās tirgus vides apstākļos izmeklētu un novērstu patērētāju kolektīvo ekonomisko interešu pārkāpumus, piemēram, negodīgu maldinošu, agresīvu vai profesionālajai rūpībai neatbilstošu </w:t>
            </w:r>
            <w:proofErr w:type="spellStart"/>
            <w:r w:rsidRPr="00191423">
              <w:rPr>
                <w:rFonts w:cs="Times New Roman"/>
                <w:sz w:val="24"/>
                <w:szCs w:val="24"/>
              </w:rPr>
              <w:t>komercpraksi</w:t>
            </w:r>
            <w:proofErr w:type="spellEnd"/>
            <w:r w:rsidRPr="00191423">
              <w:rPr>
                <w:rFonts w:cs="Times New Roman"/>
                <w:sz w:val="24"/>
                <w:szCs w:val="24"/>
              </w:rPr>
              <w:t xml:space="preserve">. Vienlaikus minētās tiesības PTAC kā uzraudzības iestādei ir nepieciešamas uzraudzības pasākumu veikšanas interneta un elektronisko sakaru vidē sniegtās reklāmas jomā, kā arī veicot informācijas sabiedrības pakalpojumu aprites uzraudzību. </w:t>
            </w:r>
          </w:p>
          <w:p w:rsidR="00AE62D0" w:rsidRPr="00191423" w:rsidRDefault="00AE62D0" w:rsidP="003B564E">
            <w:pPr>
              <w:jc w:val="both"/>
              <w:rPr>
                <w:rFonts w:cs="Times New Roman"/>
                <w:sz w:val="24"/>
                <w:szCs w:val="24"/>
              </w:rPr>
            </w:pPr>
            <w:r w:rsidRPr="00191423">
              <w:rPr>
                <w:rFonts w:cs="Times New Roman"/>
                <w:sz w:val="24"/>
                <w:szCs w:val="24"/>
              </w:rPr>
              <w:t xml:space="preserve">Saskaņā ar Negodīgas </w:t>
            </w:r>
            <w:proofErr w:type="spellStart"/>
            <w:r w:rsidRPr="00191423">
              <w:rPr>
                <w:rFonts w:cs="Times New Roman"/>
                <w:sz w:val="24"/>
                <w:szCs w:val="24"/>
              </w:rPr>
              <w:t>komercprakses</w:t>
            </w:r>
            <w:proofErr w:type="spellEnd"/>
            <w:r w:rsidRPr="00191423">
              <w:rPr>
                <w:rFonts w:cs="Times New Roman"/>
                <w:sz w:val="24"/>
                <w:szCs w:val="24"/>
              </w:rPr>
              <w:t xml:space="preserve"> aizlieguma likuma 15.panta otrās daļas 1.punktu uzraudzības iestāde,  izvērtējot </w:t>
            </w:r>
            <w:proofErr w:type="spellStart"/>
            <w:r w:rsidRPr="00191423">
              <w:rPr>
                <w:rFonts w:cs="Times New Roman"/>
                <w:sz w:val="24"/>
                <w:szCs w:val="24"/>
              </w:rPr>
              <w:t>komercprakses</w:t>
            </w:r>
            <w:proofErr w:type="spellEnd"/>
            <w:r w:rsidRPr="00191423">
              <w:rPr>
                <w:rFonts w:cs="Times New Roman"/>
                <w:sz w:val="24"/>
                <w:szCs w:val="24"/>
              </w:rPr>
              <w:t xml:space="preserve"> atbilstību šā likuma prasībām, ir tiesīga pieprasīt un saņemt no </w:t>
            </w:r>
            <w:proofErr w:type="spellStart"/>
            <w:r w:rsidRPr="00191423">
              <w:rPr>
                <w:rFonts w:cs="Times New Roman"/>
                <w:sz w:val="24"/>
                <w:szCs w:val="24"/>
              </w:rPr>
              <w:t>komercprakses</w:t>
            </w:r>
            <w:proofErr w:type="spellEnd"/>
            <w:r w:rsidRPr="00191423">
              <w:rPr>
                <w:rFonts w:cs="Times New Roman"/>
                <w:sz w:val="24"/>
                <w:szCs w:val="24"/>
              </w:rPr>
              <w:t xml:space="preserve"> īstenotāja un citām fiziskajām un juridiskajām personām visu lietas būtības noskaidrošanai nepieciešamo informāciju, dokumentus un citus pierādījumus, kā arī mutvārdu paskaidrojumus par </w:t>
            </w:r>
            <w:proofErr w:type="spellStart"/>
            <w:r w:rsidRPr="00191423">
              <w:rPr>
                <w:rFonts w:cs="Times New Roman"/>
                <w:sz w:val="24"/>
                <w:szCs w:val="24"/>
              </w:rPr>
              <w:t>komercpraksē</w:t>
            </w:r>
            <w:proofErr w:type="spellEnd"/>
            <w:r w:rsidRPr="00191423">
              <w:rPr>
                <w:rFonts w:cs="Times New Roman"/>
                <w:sz w:val="24"/>
                <w:szCs w:val="24"/>
              </w:rPr>
              <w:t xml:space="preserve"> izmantotās informācijas patiesumu, darbības atbilstību šā likuma prasībām, kā arī noteikt informācijas, dokumentu un pierādījumu iesniegšanas termiņu un informācijas sniegšanas veidu. Tāpat saskaņā ar Informācijas sabiedrības pakalpojumu likuma 13.panta pirmās daļas 1.punktu uzraudzības iestāde ir tiesīga pieprasīt visu lietas būtības noskaidrošanai nepieciešamo informāciju.</w:t>
            </w:r>
          </w:p>
          <w:p w:rsidR="00AE62D0" w:rsidRPr="00191423" w:rsidRDefault="00AE62D0" w:rsidP="003B564E">
            <w:pPr>
              <w:jc w:val="both"/>
              <w:rPr>
                <w:rFonts w:cs="Times New Roman"/>
                <w:sz w:val="24"/>
                <w:szCs w:val="24"/>
              </w:rPr>
            </w:pPr>
            <w:r w:rsidRPr="00191423">
              <w:rPr>
                <w:rFonts w:cs="Times New Roman"/>
                <w:sz w:val="24"/>
                <w:szCs w:val="24"/>
              </w:rPr>
              <w:t xml:space="preserve">Veicot uzraudzības pasākumus, Patērētāju tiesību aizsardzības centrs (turpmāk – PTAC) ir saskāries ar elektronisko sakaru komersantu atteikumu sniegt PTAC pieprasīto informāciju par personām, kuras </w:t>
            </w:r>
            <w:proofErr w:type="spellStart"/>
            <w:r w:rsidRPr="00191423">
              <w:rPr>
                <w:rFonts w:cs="Times New Roman"/>
                <w:sz w:val="24"/>
                <w:szCs w:val="24"/>
              </w:rPr>
              <w:t>komercprakses</w:t>
            </w:r>
            <w:proofErr w:type="spellEnd"/>
            <w:r w:rsidRPr="00191423">
              <w:rPr>
                <w:rFonts w:cs="Times New Roman"/>
                <w:sz w:val="24"/>
                <w:szCs w:val="24"/>
              </w:rPr>
              <w:t xml:space="preserve"> īstenošanā un informācijas sabiedrības pakalpojumu sniegšanā izmanto elektronisko sakaru līdzekļus, piemēram, informāciju par personām, kurām lietošanā ir piešķirta noteikta interneta vietnes IP adrese vai tālruņa numurs. Attiecīgā informācija, PTAC veicot uzraudzības pasākumus, ir būtiska un nepieciešama, lai nodrošinātu normatīvajos aktos noteikto PTAC funkciju izpildi </w:t>
            </w:r>
            <w:proofErr w:type="spellStart"/>
            <w:r w:rsidRPr="00191423">
              <w:rPr>
                <w:rFonts w:cs="Times New Roman"/>
                <w:sz w:val="24"/>
                <w:szCs w:val="24"/>
              </w:rPr>
              <w:t>komercprakses</w:t>
            </w:r>
            <w:proofErr w:type="spellEnd"/>
            <w:r w:rsidRPr="00191423">
              <w:rPr>
                <w:rFonts w:cs="Times New Roman"/>
                <w:sz w:val="24"/>
                <w:szCs w:val="24"/>
              </w:rPr>
              <w:t xml:space="preserve"> un informācijas sabiedrības pakalpojumu jomā. </w:t>
            </w:r>
          </w:p>
          <w:p w:rsidR="00AE62D0" w:rsidRPr="00191423" w:rsidRDefault="00AE62D0" w:rsidP="003B564E">
            <w:pPr>
              <w:jc w:val="both"/>
              <w:rPr>
                <w:rFonts w:cs="Times New Roman"/>
                <w:sz w:val="24"/>
                <w:szCs w:val="24"/>
              </w:rPr>
            </w:pPr>
            <w:r w:rsidRPr="00191423">
              <w:rPr>
                <w:rFonts w:cs="Times New Roman"/>
                <w:sz w:val="24"/>
                <w:szCs w:val="24"/>
              </w:rPr>
              <w:t xml:space="preserve">Savu atteikumu sniegt PTAC pieprasīto informāciju </w:t>
            </w:r>
            <w:r w:rsidRPr="00191423">
              <w:rPr>
                <w:rFonts w:cs="Times New Roman"/>
                <w:sz w:val="24"/>
                <w:szCs w:val="24"/>
              </w:rPr>
              <w:lastRenderedPageBreak/>
              <w:t xml:space="preserve">komersanti pamato ar ESL 68.panta pirmo daļu, kurā noteikts: „Elektronisko sakaru komersantam ir pienākums bez lietotāju vai abonentu piekrišanas neizpaust ziņas par lietotājiem vai abonentiem, kā arī informāciju par to saņemtajiem elektronisko sakaru pakalpojumiem vai </w:t>
            </w:r>
            <w:proofErr w:type="spellStart"/>
            <w:r w:rsidRPr="00191423">
              <w:rPr>
                <w:rFonts w:cs="Times New Roman"/>
                <w:sz w:val="24"/>
                <w:szCs w:val="24"/>
              </w:rPr>
              <w:t>papildvērtības</w:t>
            </w:r>
            <w:proofErr w:type="spellEnd"/>
            <w:r w:rsidRPr="00191423">
              <w:rPr>
                <w:rFonts w:cs="Times New Roman"/>
                <w:sz w:val="24"/>
                <w:szCs w:val="24"/>
              </w:rPr>
              <w:t xml:space="preserve"> pakalpojumiem, izņemot gadījumus, ja šī informācija nepieciešama šā likuma 70.panta astotajā un devītajā daļā minētajām institūcijām, kā arī 71.1 panta pirmajā daļā noteiktajām iestādēm normatīvajos aktos noteikto funkciju veikšanai un 71.2 pantā minētajiem mērķiem”. </w:t>
            </w:r>
          </w:p>
          <w:p w:rsidR="00AE62D0" w:rsidRPr="00191423" w:rsidRDefault="00AE62D0" w:rsidP="003B564E">
            <w:pPr>
              <w:jc w:val="both"/>
              <w:rPr>
                <w:rFonts w:cs="Times New Roman"/>
                <w:sz w:val="24"/>
                <w:szCs w:val="24"/>
              </w:rPr>
            </w:pPr>
            <w:r w:rsidRPr="00191423">
              <w:rPr>
                <w:rFonts w:cs="Times New Roman"/>
                <w:sz w:val="24"/>
                <w:szCs w:val="24"/>
              </w:rPr>
              <w:t xml:space="preserve">Iepriekš minētais raksturo tiesisko situāciju, kura būtiski negatīvi ietekmē PTAC iespējas veikt efektīvu uzraudzību patērētāju tiesisko interešu aizsardzības jomā, tai skaitā, izmeklēt patērētāju tiesību pārkāpumus un noskaidrot personas, kuras, veicot reģistrētu vai nereģistrētu saimniecisko vai profesionālo darbību, attiecībā pret patērētājiem īsteno negodīgu </w:t>
            </w:r>
            <w:proofErr w:type="spellStart"/>
            <w:r w:rsidRPr="00191423">
              <w:rPr>
                <w:rFonts w:cs="Times New Roman"/>
                <w:sz w:val="24"/>
                <w:szCs w:val="24"/>
              </w:rPr>
              <w:t>komercpraksi</w:t>
            </w:r>
            <w:proofErr w:type="spellEnd"/>
            <w:r w:rsidRPr="00191423">
              <w:rPr>
                <w:rFonts w:cs="Times New Roman"/>
                <w:sz w:val="24"/>
                <w:szCs w:val="24"/>
              </w:rPr>
              <w:t xml:space="preserve">, tādējādi būtiski negatīvi ietekmējot daudzu patērētāju ekonomiskās intereses.  Pašreiz spēkā esošais tiesību aktu regulējums un tā interpretācija, būtiski ierobežojot PTAC uzraudzības un pārkāpumu novēršanas iespējas elektronisko sakaru pakalpojumu nodrošinātā komerciālajā vidē, neatbilst Līguma par Eiropas Savienības darbību 169.panta 1.punktā un citos Eiropas Savienības atvasinātajos patērētāju tiesību aktos noteiktajam augsta līmeņa patērētāju tiesību aizsardzības mērķim. Ņemot vērā mūsdienu tirgus un tehnoloģiskās vides attīstību un iespējas, elektronisko sakaru pakalpojumi un ar to izmantošanu saistītā komerciālā vide ir ļoti nozīmīgs līdzeklis, kurš tiek izmantots patērētāju ekonomiskās rīcības ietekmēšanai, tai skaitā </w:t>
            </w:r>
            <w:proofErr w:type="spellStart"/>
            <w:r w:rsidRPr="00191423">
              <w:rPr>
                <w:rFonts w:cs="Times New Roman"/>
                <w:sz w:val="24"/>
                <w:szCs w:val="24"/>
              </w:rPr>
              <w:t>komercprakses</w:t>
            </w:r>
            <w:proofErr w:type="spellEnd"/>
            <w:r w:rsidRPr="00191423">
              <w:rPr>
                <w:rFonts w:cs="Times New Roman"/>
                <w:sz w:val="24"/>
                <w:szCs w:val="24"/>
              </w:rPr>
              <w:t xml:space="preserve"> īstenošanā, komerciālās saziņas nodrošināšanā, kā arī </w:t>
            </w:r>
            <w:proofErr w:type="spellStart"/>
            <w:r w:rsidRPr="00191423">
              <w:rPr>
                <w:rFonts w:cs="Times New Roman"/>
                <w:sz w:val="24"/>
                <w:szCs w:val="24"/>
              </w:rPr>
              <w:t>līgumtiesisko</w:t>
            </w:r>
            <w:proofErr w:type="spellEnd"/>
            <w:r w:rsidRPr="00191423">
              <w:rPr>
                <w:rFonts w:cs="Times New Roman"/>
                <w:sz w:val="24"/>
                <w:szCs w:val="24"/>
              </w:rPr>
              <w:t xml:space="preserve"> attiecību veidošanā un izpildē. Vienlaikus elektronisko sakaru nodrošinātā komerciālā vide bieži tiek izmantota prettiesiski, radot būtisku apdraudējumu patērētāju ekonomiskajām interesēm. </w:t>
            </w:r>
          </w:p>
          <w:p w:rsidR="00AE62D0" w:rsidRPr="00191423" w:rsidRDefault="00AE62D0" w:rsidP="003B564E">
            <w:pPr>
              <w:jc w:val="both"/>
              <w:rPr>
                <w:rFonts w:cs="Times New Roman"/>
                <w:sz w:val="24"/>
                <w:szCs w:val="24"/>
              </w:rPr>
            </w:pPr>
            <w:r w:rsidRPr="00191423">
              <w:rPr>
                <w:rFonts w:cs="Times New Roman"/>
                <w:sz w:val="24"/>
                <w:szCs w:val="24"/>
              </w:rPr>
              <w:t xml:space="preserve">Ņemot vērā Eiropas Savienības tiesībās paredzēto patērētāju tiesību aizsardzības prioritāti, tai skaitā Eiropas Parlamenta un Padomes Direktīvas 2005/29/EK (2005. gada 11. maijs), kas attiecas uz uzņēmēju negodīgu </w:t>
            </w:r>
            <w:proofErr w:type="spellStart"/>
            <w:r w:rsidRPr="00191423">
              <w:rPr>
                <w:rFonts w:cs="Times New Roman"/>
                <w:sz w:val="24"/>
                <w:szCs w:val="24"/>
              </w:rPr>
              <w:t>komercpraksi</w:t>
            </w:r>
            <w:proofErr w:type="spellEnd"/>
            <w:r w:rsidRPr="00191423">
              <w:rPr>
                <w:rFonts w:cs="Times New Roman"/>
                <w:sz w:val="24"/>
                <w:szCs w:val="24"/>
              </w:rPr>
              <w:t xml:space="preserve"> iekšējā tirgū attiecībā pret patērētājiem un ar ko groza Padomes Direktīvu 84/450/EEK un Eiropas Parlamenta un Padomes Direktīvas 97/7/EK, 98/27/EK un 2002/65/EK un Eiropas Parlamenta un Padomes Regulu (EK) Nr. 2006/2004 (“Negodīgas </w:t>
            </w:r>
            <w:proofErr w:type="spellStart"/>
            <w:r w:rsidRPr="00191423">
              <w:rPr>
                <w:rFonts w:cs="Times New Roman"/>
                <w:sz w:val="24"/>
                <w:szCs w:val="24"/>
              </w:rPr>
              <w:t>komercprakses</w:t>
            </w:r>
            <w:proofErr w:type="spellEnd"/>
            <w:r w:rsidRPr="00191423">
              <w:rPr>
                <w:rFonts w:cs="Times New Roman"/>
                <w:sz w:val="24"/>
                <w:szCs w:val="24"/>
              </w:rPr>
              <w:t xml:space="preserve"> direktīva”) 1.pantā noteikto mērķi, elektronisko sakaru pakalpojumu nozare nav uzskatāma par tādu izņēmumu, kuras tirgus dalībniekiem būtu tiesības izvairīties no prasībām, kuras vērstas uz patērētāju ekonomisko interešu aizsardzību, piemēram, atsakot uzraudzības iestādēm sniegt informāciju par </w:t>
            </w:r>
            <w:proofErr w:type="spellStart"/>
            <w:r w:rsidRPr="00191423">
              <w:rPr>
                <w:rFonts w:cs="Times New Roman"/>
                <w:sz w:val="24"/>
                <w:szCs w:val="24"/>
              </w:rPr>
              <w:t>komercprakses</w:t>
            </w:r>
            <w:proofErr w:type="spellEnd"/>
            <w:r w:rsidRPr="00191423">
              <w:rPr>
                <w:rFonts w:cs="Times New Roman"/>
                <w:sz w:val="24"/>
                <w:szCs w:val="24"/>
              </w:rPr>
              <w:t xml:space="preserve"> īstenošanā iesaistītām personām. </w:t>
            </w:r>
          </w:p>
          <w:p w:rsidR="00AE62D0" w:rsidRPr="00191423" w:rsidRDefault="00AE62D0" w:rsidP="003B564E">
            <w:pPr>
              <w:jc w:val="both"/>
              <w:rPr>
                <w:rFonts w:cs="Times New Roman"/>
                <w:sz w:val="24"/>
                <w:szCs w:val="24"/>
              </w:rPr>
            </w:pPr>
            <w:r w:rsidRPr="00191423">
              <w:rPr>
                <w:rFonts w:cs="Times New Roman"/>
                <w:sz w:val="24"/>
                <w:szCs w:val="24"/>
              </w:rPr>
              <w:t xml:space="preserve">Ņemot vērā iepriekš minēto, lai novērstu tiesisko </w:t>
            </w:r>
            <w:r w:rsidRPr="00191423">
              <w:rPr>
                <w:rFonts w:cs="Times New Roman"/>
                <w:sz w:val="24"/>
                <w:szCs w:val="24"/>
              </w:rPr>
              <w:lastRenderedPageBreak/>
              <w:t xml:space="preserve">nenoteiktību un šķēršļus, kas traucē PTAC normatīvajos aktos noteikto funkciju izpildi elektroniskās vides apstākļos, tai skaitā gadījumos, kad </w:t>
            </w:r>
            <w:proofErr w:type="spellStart"/>
            <w:r w:rsidRPr="00191423">
              <w:rPr>
                <w:rFonts w:cs="Times New Roman"/>
                <w:sz w:val="24"/>
                <w:szCs w:val="24"/>
              </w:rPr>
              <w:t>komercprakses</w:t>
            </w:r>
            <w:proofErr w:type="spellEnd"/>
            <w:r w:rsidRPr="00191423">
              <w:rPr>
                <w:rFonts w:cs="Times New Roman"/>
                <w:sz w:val="24"/>
                <w:szCs w:val="24"/>
              </w:rPr>
              <w:t xml:space="preserve"> īstenošanai un informācijas sabiedrības pakalpojumu sniegšanai tiek izmantoti elektronisko sakaru pakalpojumi, nepieciešams veikt grozījumus ESL, tādejādi nodrošinot PTAC tiesības pieprasīt un saņemt no elektronisko sakaru pakalpojumu sniedzējiem informāciju par elektronisko sakaru pakalpojumu abonentiem un lietotājiem. Minētā informācijas apstrāde administratīvo lietu ietvaros atbilstoši PTAC kompetencei un konkrētās lietas izmeklēšanai atbilstošā apjomā ir paredzēts veikt saskaņā ar attiecīgās lietas izmeklēšanas mērķiem un uzdevumiem, kā arī pierādot un pamatojot administratīvajā lietā konstatētos patērētāju tiesību pārkāpumus. </w:t>
            </w:r>
          </w:p>
          <w:p w:rsidR="00AE62D0" w:rsidRPr="00191423" w:rsidRDefault="00AE62D0" w:rsidP="003B564E">
            <w:pPr>
              <w:jc w:val="both"/>
              <w:rPr>
                <w:rFonts w:cs="Times New Roman"/>
                <w:sz w:val="24"/>
                <w:szCs w:val="24"/>
              </w:rPr>
            </w:pPr>
            <w:r w:rsidRPr="00191423">
              <w:rPr>
                <w:rFonts w:cs="Times New Roman"/>
                <w:sz w:val="24"/>
                <w:szCs w:val="24"/>
              </w:rPr>
              <w:t>Minētās informācijas par fiziskajām un juridiskajām personām, kuras iesaistītas saimnieciskās vai profesionālās darbības veikšanai attiecībā uz patērētājiem, pieprasīšana un izmantošana nerada neapmatotu vai neattaisnotu personu tiesisko interešu aizskāruma risku, jo pieprasītā informācija katrā konkrētajā gadījumā, proti, konkrētajā administratīvajā vai administratīvā pārkāpuma lietā atbilstoši lietā konstatētajiem faktiskajiem apstākļiem, ir sniedzama atbilstoši skaidri un konkrēti norādītam un pamatotam informācijas apjomam saistībā ar esošu vai iespējamu patērētāju tiesību pārkāpumu. Šādi pieprasītas un sniedzamas informācijas apstrādes mērķis ir patērētāju tiesību pārkāpēju noteikšana un pārkāpumu izmeklēšana atbilstoši PTAC normatīvajos aktos noteiktajai kompetencei, pildos tiesību aktos noteiktos iestādes uzdevumus un funkcijas.</w:t>
            </w:r>
          </w:p>
          <w:p w:rsidR="00AE62D0" w:rsidRPr="00191423" w:rsidRDefault="00AE62D0" w:rsidP="003B564E">
            <w:pPr>
              <w:jc w:val="both"/>
              <w:rPr>
                <w:rFonts w:cs="Times New Roman"/>
                <w:sz w:val="24"/>
                <w:szCs w:val="24"/>
              </w:rPr>
            </w:pPr>
            <w:r w:rsidRPr="00191423">
              <w:rPr>
                <w:rFonts w:cs="Times New Roman"/>
                <w:sz w:val="24"/>
                <w:szCs w:val="24"/>
              </w:rPr>
              <w:t xml:space="preserve">Attiecīgie dati ir informācija, kura raksturo sniegto pakalpojumu un palīdz noskaidrot un pierādīt to, ka attiecīgā persona izmanto konkrētus tehniskus līdzekļus, kuri tiek nodrošināti personai sniegtā pakalpojuma ietvaros, t.i., piešķirtās IP adreses, domēna vārdi, kas tiek izmantoti tīmekļvietnes piekļuvei, elektroniskā pasta adreses (pastkastītes), telefonu numuri, tīmekļa vietnes, vienoto resursu vietrāde (URL), elektroniskā pasta adreses un  kontaktinformāciju, kuri piešķirti attiecīgā elektronisko sakaru pakalpojumu līguma ietvaros. Ar kontaktinformāciju saprotama informācija, kura ir sniegta elektronisko sakaru pakalpojumu sniedzējam, lai sazinātos ar fizisko vai juridisko personu, piemēram, tālruņa numuri, elektroniskā pasta adreses, cita tiešsaistes saziņas līdzekļa informācija (piemēram, sociālo tīklu profilu adreses un pakalpojumi (Facebook.com, </w:t>
            </w:r>
            <w:proofErr w:type="spellStart"/>
            <w:r w:rsidRPr="00191423">
              <w:rPr>
                <w:rFonts w:cs="Times New Roman"/>
                <w:sz w:val="24"/>
                <w:szCs w:val="24"/>
              </w:rPr>
              <w:t>draugiem.lv</w:t>
            </w:r>
            <w:proofErr w:type="spellEnd"/>
            <w:r w:rsidRPr="00191423">
              <w:rPr>
                <w:rFonts w:cs="Times New Roman"/>
                <w:sz w:val="24"/>
                <w:szCs w:val="24"/>
              </w:rPr>
              <w:t xml:space="preserve">, </w:t>
            </w:r>
            <w:proofErr w:type="spellStart"/>
            <w:r w:rsidRPr="00191423">
              <w:rPr>
                <w:rFonts w:cs="Times New Roman"/>
                <w:sz w:val="24"/>
                <w:szCs w:val="24"/>
              </w:rPr>
              <w:t>Skype</w:t>
            </w:r>
            <w:proofErr w:type="spellEnd"/>
            <w:r w:rsidRPr="00191423">
              <w:rPr>
                <w:rFonts w:cs="Times New Roman"/>
                <w:sz w:val="24"/>
                <w:szCs w:val="24"/>
              </w:rPr>
              <w:t xml:space="preserve">, </w:t>
            </w:r>
            <w:proofErr w:type="spellStart"/>
            <w:r w:rsidRPr="00191423">
              <w:rPr>
                <w:rFonts w:cs="Times New Roman"/>
                <w:sz w:val="24"/>
                <w:szCs w:val="24"/>
              </w:rPr>
              <w:t>WhatsUp</w:t>
            </w:r>
            <w:proofErr w:type="spellEnd"/>
            <w:r w:rsidRPr="00191423">
              <w:rPr>
                <w:rFonts w:cs="Times New Roman"/>
                <w:sz w:val="24"/>
                <w:szCs w:val="24"/>
              </w:rPr>
              <w:t xml:space="preserve"> u.tml.), kā arī adrese, ja to nav iespējams iegūt no Uzņēmumu reģistra, Komersantu reģistra vai Iedzīvotāju reģistra.</w:t>
            </w:r>
          </w:p>
          <w:p w:rsidR="00AE62D0" w:rsidRPr="00191423" w:rsidRDefault="00AE62D0" w:rsidP="003B564E">
            <w:pPr>
              <w:jc w:val="both"/>
              <w:rPr>
                <w:rFonts w:cs="Times New Roman"/>
                <w:sz w:val="24"/>
                <w:szCs w:val="24"/>
              </w:rPr>
            </w:pPr>
            <w:r w:rsidRPr="00191423">
              <w:rPr>
                <w:rFonts w:cs="Times New Roman"/>
                <w:sz w:val="24"/>
                <w:szCs w:val="24"/>
              </w:rPr>
              <w:t xml:space="preserve">Papildus jānorāda, ka minētais pants neuzliek Elektronisko sakaru komersantam par pienākumu veikt papildu pasākumus šā panta minētās informācijas iegūšanai </w:t>
            </w:r>
            <w:r w:rsidRPr="00191423">
              <w:rPr>
                <w:rFonts w:cs="Times New Roman"/>
                <w:sz w:val="24"/>
                <w:szCs w:val="24"/>
              </w:rPr>
              <w:lastRenderedPageBreak/>
              <w:t>vai saglabāšanai, bet komersantam jāsniedz tikai tā informācija, kas ir tā rīcībā par noslēgtajiem līgumiem.</w:t>
            </w:r>
          </w:p>
          <w:p w:rsidR="00396988" w:rsidRPr="00191423" w:rsidRDefault="00AE62D0" w:rsidP="003B564E">
            <w:pPr>
              <w:jc w:val="both"/>
              <w:rPr>
                <w:rFonts w:cs="Times New Roman"/>
                <w:sz w:val="24"/>
                <w:szCs w:val="24"/>
              </w:rPr>
            </w:pPr>
            <w:r w:rsidRPr="00191423">
              <w:rPr>
                <w:rFonts w:cs="Times New Roman"/>
                <w:sz w:val="24"/>
                <w:szCs w:val="24"/>
              </w:rPr>
              <w:t xml:space="preserve">Likumprojekts ir papildināts ar Centrālās statistikas pārvaldes </w:t>
            </w:r>
            <w:r w:rsidR="00AE53DF" w:rsidRPr="00191423">
              <w:rPr>
                <w:rFonts w:cs="Times New Roman"/>
                <w:sz w:val="24"/>
                <w:szCs w:val="24"/>
              </w:rPr>
              <w:t xml:space="preserve">(CSP) </w:t>
            </w:r>
            <w:r w:rsidRPr="00191423">
              <w:rPr>
                <w:rFonts w:cs="Times New Roman"/>
                <w:sz w:val="24"/>
                <w:szCs w:val="24"/>
              </w:rPr>
              <w:t>tiesībām statistikas vajadzībām saņemt no elektronisko sakaru komersantiem noslodzes un saglabājamos datus, jo</w:t>
            </w:r>
            <w:r w:rsidR="003B564E" w:rsidRPr="00191423">
              <w:rPr>
                <w:rFonts w:cs="Times New Roman"/>
                <w:sz w:val="24"/>
                <w:szCs w:val="24"/>
              </w:rPr>
              <w:t>, kā skaidro Ekonomikas ministrija,</w:t>
            </w:r>
            <w:r w:rsidRPr="00191423">
              <w:rPr>
                <w:rFonts w:cs="Times New Roman"/>
                <w:sz w:val="24"/>
                <w:szCs w:val="24"/>
              </w:rPr>
              <w:t xml:space="preserve"> </w:t>
            </w:r>
            <w:r w:rsidRPr="00191423">
              <w:rPr>
                <w:rFonts w:cs="Times New Roman"/>
                <w:color w:val="000000"/>
                <w:sz w:val="24"/>
                <w:szCs w:val="24"/>
              </w:rPr>
              <w:t xml:space="preserve">CSP oficiālā statistikas nodrošināšanai nepieciešami izlases apjomā fizisku personu tālruņa numuri datu iegūšanai apsekojumos, kā arī dati, kas ir </w:t>
            </w:r>
            <w:proofErr w:type="spellStart"/>
            <w:r w:rsidRPr="00191423">
              <w:rPr>
                <w:rFonts w:cs="Times New Roman"/>
                <w:color w:val="000000"/>
                <w:sz w:val="24"/>
                <w:szCs w:val="24"/>
              </w:rPr>
              <w:t>anonimizēti</w:t>
            </w:r>
            <w:proofErr w:type="spellEnd"/>
            <w:r w:rsidRPr="00191423">
              <w:rPr>
                <w:rFonts w:cs="Times New Roman"/>
                <w:color w:val="000000"/>
                <w:sz w:val="24"/>
                <w:szCs w:val="24"/>
              </w:rPr>
              <w:t xml:space="preserve"> (atrašanās vietas dati) un tiktu apstrādāti atbilstoši Eiropas Parlamenta un Padomes Direktīvas 2002/58/EK (2002. gada 12. jūlijs) Par personas datu apstrādi un privātās dzīves aizsardzību elektronisko komunikāciju nozarē (direktīva par privāto dzīvi un elektronisko komunikāciju) 9.panta pirmajai daļai. Šāda informāciju ir nozīmīga šādas oficiālās statistikas sagatavošanā: Latvijas iedzīvotāju skaita noteikšana mazās teritorijās. Attiecīgi tas dotu iespēju precīzāk aprēķināt iekšzemes kopproduktu; tūrisma statistika iebraucējiem, iedzīvotāju mobilitātes apsekojums, kura rezultātus var izmantot transporta infrastruktūras plānošanā u.c. apsekojumi, kas būtu nozīmīgi valsts ekonomiskās attīstības plānošanā. Vēršam uzmanību, ka Eiropas Datu aizsardzības uzraudzītājs ir sniedzis divus</w:t>
            </w:r>
            <w:r w:rsidRPr="00191423">
              <w:rPr>
                <w:rFonts w:cs="Times New Roman"/>
                <w:sz w:val="24"/>
                <w:szCs w:val="24"/>
              </w:rPr>
              <w:t xml:space="preserve"> viedokļos</w:t>
            </w:r>
            <w:r w:rsidRPr="00191423">
              <w:rPr>
                <w:rStyle w:val="FootnoteReference"/>
                <w:rFonts w:cs="Times New Roman"/>
                <w:sz w:val="24"/>
                <w:szCs w:val="24"/>
              </w:rPr>
              <w:footnoteReference w:customMarkFollows="1" w:id="2"/>
              <w:t>[1]</w:t>
            </w:r>
            <w:r w:rsidRPr="00191423">
              <w:rPr>
                <w:rFonts w:cs="Times New Roman"/>
                <w:sz w:val="24"/>
                <w:szCs w:val="24"/>
              </w:rPr>
              <w:t xml:space="preserve"> par to, ka piekļuve komunikāciju datiem oficiālās statistikas nodrošināšanai ir nepieciešams un atbalstāms mērķis. Norādām arī to, ka Norvēģijā, Zviedrijā, Dānijā, Somijā un Nīderlandē nacionālajām statistikas iestādēm ir piekļuve iepriekšminētajiem datiem.</w:t>
            </w:r>
          </w:p>
          <w:p w:rsidR="003B564E" w:rsidRPr="00191423" w:rsidRDefault="003B564E" w:rsidP="003477BF">
            <w:pPr>
              <w:jc w:val="both"/>
              <w:rPr>
                <w:rFonts w:cs="Times New Roman"/>
                <w:sz w:val="24"/>
                <w:szCs w:val="24"/>
              </w:rPr>
            </w:pPr>
            <w:r w:rsidRPr="00191423">
              <w:rPr>
                <w:rFonts w:cs="Times New Roman"/>
                <w:sz w:val="24"/>
                <w:szCs w:val="24"/>
              </w:rPr>
              <w:t xml:space="preserve">Tieslietu ministrija </w:t>
            </w:r>
            <w:r w:rsidR="003477BF" w:rsidRPr="00191423">
              <w:rPr>
                <w:rFonts w:cs="Times New Roman"/>
                <w:sz w:val="24"/>
                <w:szCs w:val="24"/>
              </w:rPr>
              <w:t xml:space="preserve">atbalsta </w:t>
            </w:r>
            <w:r w:rsidRPr="00191423">
              <w:rPr>
                <w:rFonts w:cs="Times New Roman"/>
                <w:sz w:val="24"/>
                <w:szCs w:val="24"/>
              </w:rPr>
              <w:t>Ekonomikas  priekšlikumus iekļaušanai Elektronisko sakaru likumā.</w:t>
            </w:r>
          </w:p>
        </w:tc>
      </w:tr>
      <w:tr w:rsidR="00CF4CB0" w:rsidRPr="00D01ABF" w:rsidTr="002545D7">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417277" w:rsidRPr="00D01ABF" w:rsidRDefault="00417277" w:rsidP="0024090D">
            <w:pPr>
              <w:ind w:firstLine="0"/>
              <w:rPr>
                <w:rFonts w:cs="Times New Roman"/>
                <w:sz w:val="24"/>
                <w:szCs w:val="24"/>
              </w:rPr>
            </w:pPr>
            <w:r w:rsidRPr="00D01ABF">
              <w:rPr>
                <w:rFonts w:cs="Times New Roman"/>
                <w:sz w:val="24"/>
                <w:szCs w:val="24"/>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rsidR="00417277" w:rsidRPr="00D01ABF" w:rsidRDefault="00417277" w:rsidP="0024090D">
            <w:pPr>
              <w:ind w:firstLine="0"/>
              <w:rPr>
                <w:rFonts w:cs="Times New Roman"/>
                <w:sz w:val="24"/>
                <w:szCs w:val="24"/>
              </w:rPr>
            </w:pPr>
            <w:r w:rsidRPr="00D01ABF">
              <w:rPr>
                <w:rFonts w:cs="Times New Roman"/>
                <w:sz w:val="24"/>
                <w:szCs w:val="24"/>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417277" w:rsidRPr="00191423" w:rsidRDefault="00921674" w:rsidP="006F06C8">
            <w:pPr>
              <w:ind w:firstLine="0"/>
              <w:jc w:val="both"/>
              <w:rPr>
                <w:rFonts w:cs="Times New Roman"/>
                <w:sz w:val="24"/>
                <w:szCs w:val="24"/>
              </w:rPr>
            </w:pPr>
            <w:r w:rsidRPr="00191423">
              <w:rPr>
                <w:rFonts w:cs="Times New Roman"/>
                <w:sz w:val="24"/>
                <w:szCs w:val="24"/>
              </w:rPr>
              <w:t>Satiksmes ministrija, Sabiedrisko pakalpojumu regulēšanas komisija</w:t>
            </w:r>
            <w:r w:rsidR="00AE62D0" w:rsidRPr="00191423">
              <w:rPr>
                <w:rFonts w:cs="Times New Roman"/>
                <w:sz w:val="24"/>
                <w:szCs w:val="24"/>
              </w:rPr>
              <w:t>, Ekonomikas ministrija, Tieslietu ministrija</w:t>
            </w:r>
            <w:r w:rsidR="001F7ECD">
              <w:rPr>
                <w:rFonts w:cs="Times New Roman"/>
                <w:sz w:val="24"/>
                <w:szCs w:val="24"/>
              </w:rPr>
              <w:t>, Datu valsts inspekcija.</w:t>
            </w:r>
          </w:p>
        </w:tc>
      </w:tr>
      <w:tr w:rsidR="00CF4CB0" w:rsidRPr="00611C81" w:rsidTr="002545D7">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417277" w:rsidRPr="00611C81" w:rsidRDefault="00417277" w:rsidP="0024090D">
            <w:pPr>
              <w:ind w:firstLine="0"/>
              <w:rPr>
                <w:rFonts w:cs="Times New Roman"/>
                <w:szCs w:val="24"/>
              </w:rPr>
            </w:pPr>
            <w:r w:rsidRPr="00611C81">
              <w:rPr>
                <w:rFonts w:cs="Times New Roman"/>
                <w:szCs w:val="24"/>
              </w:rPr>
              <w:t>4.</w:t>
            </w:r>
          </w:p>
        </w:tc>
        <w:tc>
          <w:tcPr>
            <w:tcW w:w="1530" w:type="pct"/>
            <w:tcBorders>
              <w:top w:val="outset" w:sz="6" w:space="0" w:color="auto"/>
              <w:left w:val="outset" w:sz="6" w:space="0" w:color="auto"/>
              <w:bottom w:val="outset" w:sz="6" w:space="0" w:color="auto"/>
              <w:right w:val="outset" w:sz="6" w:space="0" w:color="auto"/>
            </w:tcBorders>
            <w:hideMark/>
          </w:tcPr>
          <w:p w:rsidR="00417277" w:rsidRPr="00611C81" w:rsidRDefault="00417277" w:rsidP="0024090D">
            <w:pPr>
              <w:ind w:firstLine="0"/>
              <w:rPr>
                <w:rFonts w:cs="Times New Roman"/>
                <w:szCs w:val="24"/>
              </w:rPr>
            </w:pPr>
            <w:r w:rsidRPr="00611C81">
              <w:rPr>
                <w:rFonts w:cs="Times New Roman"/>
                <w:szCs w:val="24"/>
              </w:rPr>
              <w:t>Cita informācija</w:t>
            </w:r>
          </w:p>
        </w:tc>
        <w:tc>
          <w:tcPr>
            <w:tcW w:w="3159" w:type="pct"/>
            <w:tcBorders>
              <w:top w:val="outset" w:sz="6" w:space="0" w:color="auto"/>
              <w:left w:val="outset" w:sz="6" w:space="0" w:color="auto"/>
              <w:bottom w:val="outset" w:sz="6" w:space="0" w:color="auto"/>
              <w:right w:val="outset" w:sz="6" w:space="0" w:color="auto"/>
            </w:tcBorders>
          </w:tcPr>
          <w:p w:rsidR="006F06C8" w:rsidRPr="00191423" w:rsidRDefault="006F06C8" w:rsidP="00E27C9C">
            <w:pPr>
              <w:jc w:val="both"/>
              <w:rPr>
                <w:rFonts w:cs="Times New Roman"/>
                <w:sz w:val="20"/>
                <w:szCs w:val="20"/>
              </w:rPr>
            </w:pPr>
            <w:r w:rsidRPr="00191423">
              <w:rPr>
                <w:rFonts w:cs="Times New Roman"/>
                <w:sz w:val="20"/>
                <w:szCs w:val="20"/>
              </w:rPr>
              <w:t>Publiski pieejamie</w:t>
            </w:r>
            <w:r w:rsidRPr="00191423">
              <w:rPr>
                <w:rStyle w:val="FootnoteReference"/>
                <w:rFonts w:cs="Times New Roman"/>
                <w:sz w:val="20"/>
                <w:szCs w:val="20"/>
              </w:rPr>
              <w:footnoteReference w:id="3"/>
            </w:r>
            <w:r w:rsidR="009E610A" w:rsidRPr="00191423">
              <w:rPr>
                <w:rFonts w:cs="Times New Roman"/>
                <w:sz w:val="20"/>
                <w:szCs w:val="20"/>
              </w:rPr>
              <w:t xml:space="preserve"> SIA “Lattelecom” ziņojumi</w:t>
            </w:r>
            <w:r w:rsidRPr="00191423">
              <w:rPr>
                <w:rFonts w:cs="Times New Roman"/>
                <w:sz w:val="20"/>
                <w:szCs w:val="20"/>
              </w:rPr>
              <w:t xml:space="preserve"> par UP saistību izmaksām pēdējo trīs gadu griezumā:</w:t>
            </w:r>
          </w:p>
          <w:tbl>
            <w:tblPr>
              <w:tblStyle w:val="TableGrid"/>
              <w:tblW w:w="0" w:type="auto"/>
              <w:tblLook w:val="04A0" w:firstRow="1" w:lastRow="0" w:firstColumn="1" w:lastColumn="0" w:noHBand="0" w:noVBand="1"/>
            </w:tblPr>
            <w:tblGrid>
              <w:gridCol w:w="2287"/>
              <w:gridCol w:w="1276"/>
              <w:gridCol w:w="1196"/>
              <w:gridCol w:w="1276"/>
            </w:tblGrid>
            <w:tr w:rsidR="006F06C8" w:rsidRPr="00191423" w:rsidTr="00E27C9C">
              <w:tc>
                <w:tcPr>
                  <w:tcW w:w="2287" w:type="dxa"/>
                </w:tcPr>
                <w:p w:rsidR="006F06C8" w:rsidRPr="00191423" w:rsidRDefault="006F06C8" w:rsidP="00C452FA">
                  <w:pPr>
                    <w:jc w:val="both"/>
                    <w:rPr>
                      <w:rFonts w:cs="Times New Roman"/>
                      <w:sz w:val="20"/>
                      <w:szCs w:val="20"/>
                    </w:rPr>
                  </w:pPr>
                  <w:r w:rsidRPr="00191423">
                    <w:rPr>
                      <w:rFonts w:cs="Times New Roman"/>
                      <w:sz w:val="20"/>
                      <w:szCs w:val="20"/>
                    </w:rPr>
                    <w:t>UP saistība</w:t>
                  </w:r>
                </w:p>
              </w:tc>
              <w:tc>
                <w:tcPr>
                  <w:tcW w:w="1276" w:type="dxa"/>
                </w:tcPr>
                <w:p w:rsidR="006F06C8" w:rsidRPr="00191423" w:rsidRDefault="006F06C8" w:rsidP="006F06C8">
                  <w:pPr>
                    <w:ind w:firstLine="0"/>
                    <w:jc w:val="center"/>
                    <w:rPr>
                      <w:rFonts w:cs="Times New Roman"/>
                      <w:sz w:val="20"/>
                      <w:szCs w:val="20"/>
                    </w:rPr>
                  </w:pPr>
                  <w:r w:rsidRPr="00191423">
                    <w:rPr>
                      <w:rFonts w:cs="Times New Roman"/>
                      <w:sz w:val="20"/>
                      <w:szCs w:val="20"/>
                    </w:rPr>
                    <w:t>2013.gads</w:t>
                  </w:r>
                  <w:r w:rsidR="00E27C9C" w:rsidRPr="00191423">
                    <w:rPr>
                      <w:rFonts w:cs="Times New Roman"/>
                      <w:sz w:val="20"/>
                      <w:szCs w:val="20"/>
                    </w:rPr>
                    <w:t xml:space="preserve"> (</w:t>
                  </w:r>
                  <w:proofErr w:type="spellStart"/>
                  <w:r w:rsidR="00E27C9C" w:rsidRPr="00191423">
                    <w:rPr>
                      <w:rFonts w:cs="Times New Roman"/>
                      <w:i/>
                      <w:sz w:val="20"/>
                      <w:szCs w:val="20"/>
                      <w:lang w:eastAsia="en-IE"/>
                    </w:rPr>
                    <w:t>euro</w:t>
                  </w:r>
                  <w:proofErr w:type="spellEnd"/>
                  <w:r w:rsidR="00E27C9C" w:rsidRPr="00191423">
                    <w:rPr>
                      <w:rFonts w:cs="Times New Roman"/>
                      <w:i/>
                      <w:sz w:val="20"/>
                      <w:szCs w:val="20"/>
                      <w:lang w:eastAsia="en-IE"/>
                    </w:rPr>
                    <w:t>)</w:t>
                  </w:r>
                </w:p>
              </w:tc>
              <w:tc>
                <w:tcPr>
                  <w:tcW w:w="1196" w:type="dxa"/>
                </w:tcPr>
                <w:p w:rsidR="006F06C8" w:rsidRPr="00191423" w:rsidRDefault="006F06C8" w:rsidP="006F06C8">
                  <w:pPr>
                    <w:ind w:firstLine="0"/>
                    <w:jc w:val="center"/>
                    <w:rPr>
                      <w:rFonts w:cs="Times New Roman"/>
                      <w:sz w:val="20"/>
                      <w:szCs w:val="20"/>
                    </w:rPr>
                  </w:pPr>
                  <w:r w:rsidRPr="00191423">
                    <w:rPr>
                      <w:rFonts w:cs="Times New Roman"/>
                      <w:sz w:val="20"/>
                      <w:szCs w:val="20"/>
                    </w:rPr>
                    <w:t>2014.gads</w:t>
                  </w:r>
                  <w:r w:rsidR="00E27C9C" w:rsidRPr="00191423">
                    <w:rPr>
                      <w:rFonts w:cs="Times New Roman"/>
                      <w:i/>
                      <w:sz w:val="20"/>
                      <w:szCs w:val="20"/>
                      <w:lang w:eastAsia="en-IE"/>
                    </w:rPr>
                    <w:t xml:space="preserve"> (</w:t>
                  </w:r>
                  <w:proofErr w:type="spellStart"/>
                  <w:r w:rsidR="00E27C9C" w:rsidRPr="00191423">
                    <w:rPr>
                      <w:rFonts w:cs="Times New Roman"/>
                      <w:i/>
                      <w:sz w:val="20"/>
                      <w:szCs w:val="20"/>
                      <w:lang w:eastAsia="en-IE"/>
                    </w:rPr>
                    <w:t>euro</w:t>
                  </w:r>
                  <w:proofErr w:type="spellEnd"/>
                  <w:r w:rsidR="00E27C9C" w:rsidRPr="00191423">
                    <w:rPr>
                      <w:rFonts w:cs="Times New Roman"/>
                      <w:i/>
                      <w:sz w:val="20"/>
                      <w:szCs w:val="20"/>
                      <w:lang w:eastAsia="en-IE"/>
                    </w:rPr>
                    <w:t>)</w:t>
                  </w:r>
                </w:p>
              </w:tc>
              <w:tc>
                <w:tcPr>
                  <w:tcW w:w="1276" w:type="dxa"/>
                </w:tcPr>
                <w:p w:rsidR="006F06C8" w:rsidRPr="00191423" w:rsidRDefault="006F06C8" w:rsidP="006F06C8">
                  <w:pPr>
                    <w:ind w:firstLine="34"/>
                    <w:jc w:val="center"/>
                    <w:rPr>
                      <w:rFonts w:cs="Times New Roman"/>
                      <w:sz w:val="20"/>
                      <w:szCs w:val="20"/>
                    </w:rPr>
                  </w:pPr>
                  <w:r w:rsidRPr="00191423">
                    <w:rPr>
                      <w:rFonts w:cs="Times New Roman"/>
                      <w:sz w:val="20"/>
                      <w:szCs w:val="20"/>
                    </w:rPr>
                    <w:t>2015.gads</w:t>
                  </w:r>
                  <w:r w:rsidR="00E27C9C" w:rsidRPr="00191423">
                    <w:rPr>
                      <w:rFonts w:cs="Times New Roman"/>
                      <w:i/>
                      <w:sz w:val="20"/>
                      <w:szCs w:val="20"/>
                      <w:lang w:eastAsia="en-IE"/>
                    </w:rPr>
                    <w:t xml:space="preserve"> (</w:t>
                  </w:r>
                  <w:proofErr w:type="spellStart"/>
                  <w:r w:rsidR="00E27C9C" w:rsidRPr="00191423">
                    <w:rPr>
                      <w:rFonts w:cs="Times New Roman"/>
                      <w:i/>
                      <w:sz w:val="20"/>
                      <w:szCs w:val="20"/>
                      <w:lang w:eastAsia="en-IE"/>
                    </w:rPr>
                    <w:t>euro</w:t>
                  </w:r>
                  <w:proofErr w:type="spellEnd"/>
                  <w:r w:rsidR="00E27C9C" w:rsidRPr="00191423">
                    <w:rPr>
                      <w:rFonts w:cs="Times New Roman"/>
                      <w:i/>
                      <w:sz w:val="20"/>
                      <w:szCs w:val="20"/>
                      <w:lang w:eastAsia="en-IE"/>
                    </w:rPr>
                    <w:t>)</w:t>
                  </w:r>
                </w:p>
              </w:tc>
            </w:tr>
            <w:tr w:rsidR="006F06C8" w:rsidRPr="00191423" w:rsidTr="00E27C9C">
              <w:tc>
                <w:tcPr>
                  <w:tcW w:w="2287" w:type="dxa"/>
                </w:tcPr>
                <w:p w:rsidR="006F06C8" w:rsidRPr="00191423" w:rsidRDefault="006F06C8" w:rsidP="006F06C8">
                  <w:pPr>
                    <w:ind w:firstLine="53"/>
                    <w:jc w:val="both"/>
                    <w:rPr>
                      <w:rFonts w:cs="Times New Roman"/>
                      <w:sz w:val="20"/>
                      <w:szCs w:val="20"/>
                    </w:rPr>
                  </w:pPr>
                  <w:r w:rsidRPr="00191423">
                    <w:rPr>
                      <w:rFonts w:cs="Times New Roman"/>
                      <w:sz w:val="20"/>
                      <w:szCs w:val="20"/>
                    </w:rPr>
                    <w:t>Piekļuves nodrošināšana jauniem abonentiem fiksētās pieslēguma vietās</w:t>
                  </w:r>
                </w:p>
              </w:tc>
              <w:tc>
                <w:tcPr>
                  <w:tcW w:w="1276" w:type="dxa"/>
                </w:tcPr>
                <w:p w:rsidR="006F06C8" w:rsidRPr="00191423" w:rsidRDefault="006F06C8" w:rsidP="00C452FA">
                  <w:pPr>
                    <w:jc w:val="center"/>
                    <w:rPr>
                      <w:rFonts w:cs="Times New Roman"/>
                      <w:sz w:val="20"/>
                      <w:szCs w:val="20"/>
                    </w:rPr>
                  </w:pPr>
                  <w:r w:rsidRPr="00191423">
                    <w:rPr>
                      <w:rFonts w:cs="Times New Roman"/>
                      <w:sz w:val="20"/>
                      <w:szCs w:val="20"/>
                    </w:rPr>
                    <w:t>-</w:t>
                  </w:r>
                </w:p>
              </w:tc>
              <w:tc>
                <w:tcPr>
                  <w:tcW w:w="1196" w:type="dxa"/>
                </w:tcPr>
                <w:p w:rsidR="006F06C8" w:rsidRPr="00191423" w:rsidRDefault="006F06C8" w:rsidP="00C452FA">
                  <w:pPr>
                    <w:jc w:val="both"/>
                    <w:rPr>
                      <w:rFonts w:cs="Times New Roman"/>
                      <w:sz w:val="20"/>
                      <w:szCs w:val="20"/>
                    </w:rPr>
                  </w:pPr>
                  <w:r w:rsidRPr="00191423">
                    <w:rPr>
                      <w:rFonts w:cs="Times New Roman"/>
                      <w:sz w:val="20"/>
                      <w:szCs w:val="20"/>
                    </w:rPr>
                    <w:t>-</w:t>
                  </w:r>
                </w:p>
              </w:tc>
              <w:tc>
                <w:tcPr>
                  <w:tcW w:w="1276" w:type="dxa"/>
                </w:tcPr>
                <w:p w:rsidR="006F06C8" w:rsidRPr="00191423" w:rsidRDefault="006F06C8" w:rsidP="00C452FA">
                  <w:pPr>
                    <w:jc w:val="both"/>
                    <w:rPr>
                      <w:rFonts w:cs="Times New Roman"/>
                      <w:sz w:val="20"/>
                      <w:szCs w:val="20"/>
                    </w:rPr>
                  </w:pPr>
                  <w:r w:rsidRPr="00191423">
                    <w:rPr>
                      <w:rFonts w:cs="Times New Roman"/>
                      <w:sz w:val="20"/>
                      <w:szCs w:val="20"/>
                    </w:rPr>
                    <w:t>-</w:t>
                  </w:r>
                </w:p>
              </w:tc>
            </w:tr>
            <w:tr w:rsidR="006F06C8" w:rsidRPr="00191423" w:rsidTr="00E27C9C">
              <w:tc>
                <w:tcPr>
                  <w:tcW w:w="2287" w:type="dxa"/>
                </w:tcPr>
                <w:p w:rsidR="006F06C8" w:rsidRPr="00191423" w:rsidRDefault="006F06C8" w:rsidP="006F06C8">
                  <w:pPr>
                    <w:ind w:firstLine="0"/>
                    <w:jc w:val="both"/>
                    <w:rPr>
                      <w:rFonts w:cs="Times New Roman"/>
                      <w:sz w:val="20"/>
                      <w:szCs w:val="20"/>
                    </w:rPr>
                  </w:pPr>
                  <w:r w:rsidRPr="00191423">
                    <w:rPr>
                      <w:rFonts w:cs="Times New Roman"/>
                      <w:sz w:val="20"/>
                      <w:szCs w:val="20"/>
                    </w:rPr>
                    <w:t>Izvēles tarifu nodrošināšana</w:t>
                  </w:r>
                </w:p>
              </w:tc>
              <w:tc>
                <w:tcPr>
                  <w:tcW w:w="1276" w:type="dxa"/>
                </w:tcPr>
                <w:p w:rsidR="006F06C8" w:rsidRPr="00191423" w:rsidRDefault="006F06C8" w:rsidP="00E27C9C">
                  <w:pPr>
                    <w:ind w:firstLine="0"/>
                    <w:jc w:val="both"/>
                    <w:rPr>
                      <w:rFonts w:cs="Times New Roman"/>
                      <w:sz w:val="20"/>
                      <w:szCs w:val="20"/>
                    </w:rPr>
                  </w:pPr>
                  <w:r w:rsidRPr="00191423">
                    <w:rPr>
                      <w:rFonts w:cs="Times New Roman"/>
                      <w:sz w:val="20"/>
                      <w:szCs w:val="20"/>
                    </w:rPr>
                    <w:t>-110 218</w:t>
                  </w:r>
                </w:p>
              </w:tc>
              <w:tc>
                <w:tcPr>
                  <w:tcW w:w="1196" w:type="dxa"/>
                </w:tcPr>
                <w:p w:rsidR="006F06C8" w:rsidRPr="00191423" w:rsidRDefault="006F06C8" w:rsidP="00E27C9C">
                  <w:pPr>
                    <w:ind w:firstLine="0"/>
                    <w:jc w:val="both"/>
                    <w:rPr>
                      <w:rFonts w:cs="Times New Roman"/>
                      <w:sz w:val="20"/>
                      <w:szCs w:val="20"/>
                    </w:rPr>
                  </w:pPr>
                  <w:r w:rsidRPr="00191423">
                    <w:rPr>
                      <w:rFonts w:cs="Times New Roman"/>
                      <w:sz w:val="20"/>
                      <w:szCs w:val="20"/>
                    </w:rPr>
                    <w:t>-70 169</w:t>
                  </w:r>
                </w:p>
              </w:tc>
              <w:tc>
                <w:tcPr>
                  <w:tcW w:w="1276" w:type="dxa"/>
                </w:tcPr>
                <w:p w:rsidR="006F06C8" w:rsidRPr="00191423" w:rsidRDefault="006F06C8" w:rsidP="00E27C9C">
                  <w:pPr>
                    <w:ind w:firstLine="0"/>
                    <w:jc w:val="both"/>
                    <w:rPr>
                      <w:rFonts w:cs="Times New Roman"/>
                      <w:sz w:val="20"/>
                      <w:szCs w:val="20"/>
                    </w:rPr>
                  </w:pPr>
                  <w:r w:rsidRPr="00191423">
                    <w:rPr>
                      <w:rFonts w:cs="Times New Roman"/>
                      <w:sz w:val="20"/>
                      <w:szCs w:val="20"/>
                    </w:rPr>
                    <w:t>-105 775</w:t>
                  </w:r>
                </w:p>
              </w:tc>
            </w:tr>
            <w:tr w:rsidR="006F06C8" w:rsidRPr="00191423" w:rsidTr="00E27C9C">
              <w:tc>
                <w:tcPr>
                  <w:tcW w:w="2287" w:type="dxa"/>
                </w:tcPr>
                <w:p w:rsidR="006F06C8" w:rsidRPr="00191423" w:rsidRDefault="006F06C8" w:rsidP="006F06C8">
                  <w:pPr>
                    <w:ind w:firstLine="0"/>
                    <w:jc w:val="both"/>
                    <w:rPr>
                      <w:rFonts w:cs="Times New Roman"/>
                      <w:sz w:val="20"/>
                      <w:szCs w:val="20"/>
                    </w:rPr>
                  </w:pPr>
                  <w:r w:rsidRPr="00191423">
                    <w:rPr>
                      <w:rFonts w:cs="Times New Roman"/>
                      <w:sz w:val="20"/>
                      <w:szCs w:val="20"/>
                    </w:rPr>
                    <w:t>Atlaides noteiktām abonentu grupām</w:t>
                  </w:r>
                </w:p>
              </w:tc>
              <w:tc>
                <w:tcPr>
                  <w:tcW w:w="1276" w:type="dxa"/>
                </w:tcPr>
                <w:p w:rsidR="006F06C8" w:rsidRPr="00191423" w:rsidRDefault="006F06C8" w:rsidP="00E27C9C">
                  <w:pPr>
                    <w:ind w:firstLine="0"/>
                    <w:jc w:val="both"/>
                    <w:rPr>
                      <w:rFonts w:cs="Times New Roman"/>
                      <w:sz w:val="20"/>
                      <w:szCs w:val="20"/>
                    </w:rPr>
                  </w:pPr>
                  <w:r w:rsidRPr="00191423">
                    <w:rPr>
                      <w:rFonts w:cs="Times New Roman"/>
                      <w:sz w:val="20"/>
                      <w:szCs w:val="20"/>
                    </w:rPr>
                    <w:t>-255 340</w:t>
                  </w:r>
                </w:p>
              </w:tc>
              <w:tc>
                <w:tcPr>
                  <w:tcW w:w="1196" w:type="dxa"/>
                </w:tcPr>
                <w:p w:rsidR="006F06C8" w:rsidRPr="00191423" w:rsidRDefault="006F06C8" w:rsidP="00E27C9C">
                  <w:pPr>
                    <w:ind w:firstLine="0"/>
                    <w:jc w:val="both"/>
                    <w:rPr>
                      <w:rFonts w:cs="Times New Roman"/>
                      <w:sz w:val="20"/>
                      <w:szCs w:val="20"/>
                    </w:rPr>
                  </w:pPr>
                  <w:r w:rsidRPr="00191423">
                    <w:rPr>
                      <w:rFonts w:cs="Times New Roman"/>
                      <w:sz w:val="20"/>
                      <w:szCs w:val="20"/>
                    </w:rPr>
                    <w:t>-377 105</w:t>
                  </w:r>
                </w:p>
              </w:tc>
              <w:tc>
                <w:tcPr>
                  <w:tcW w:w="1276" w:type="dxa"/>
                </w:tcPr>
                <w:p w:rsidR="006F06C8" w:rsidRPr="00191423" w:rsidRDefault="006F06C8" w:rsidP="00E27C9C">
                  <w:pPr>
                    <w:ind w:firstLine="0"/>
                    <w:jc w:val="both"/>
                    <w:rPr>
                      <w:rFonts w:cs="Times New Roman"/>
                      <w:sz w:val="20"/>
                      <w:szCs w:val="20"/>
                    </w:rPr>
                  </w:pPr>
                  <w:r w:rsidRPr="00191423">
                    <w:rPr>
                      <w:rFonts w:cs="Times New Roman"/>
                      <w:sz w:val="20"/>
                      <w:szCs w:val="20"/>
                    </w:rPr>
                    <w:t>-374 314</w:t>
                  </w:r>
                </w:p>
              </w:tc>
            </w:tr>
            <w:tr w:rsidR="006F06C8" w:rsidRPr="00191423" w:rsidTr="00E27C9C">
              <w:tc>
                <w:tcPr>
                  <w:tcW w:w="2287" w:type="dxa"/>
                </w:tcPr>
                <w:p w:rsidR="006F06C8" w:rsidRPr="00191423" w:rsidRDefault="006F06C8" w:rsidP="00C452FA">
                  <w:pPr>
                    <w:jc w:val="both"/>
                    <w:rPr>
                      <w:rFonts w:cs="Times New Roman"/>
                      <w:sz w:val="20"/>
                      <w:szCs w:val="20"/>
                    </w:rPr>
                  </w:pPr>
                  <w:r w:rsidRPr="00191423">
                    <w:rPr>
                      <w:rFonts w:cs="Times New Roman"/>
                      <w:sz w:val="20"/>
                      <w:szCs w:val="20"/>
                    </w:rPr>
                    <w:t>Taksofonu pakalpojuma nodrošināšana</w:t>
                  </w:r>
                </w:p>
              </w:tc>
              <w:tc>
                <w:tcPr>
                  <w:tcW w:w="1276" w:type="dxa"/>
                </w:tcPr>
                <w:p w:rsidR="006F06C8" w:rsidRPr="00191423" w:rsidRDefault="006F06C8" w:rsidP="00E27C9C">
                  <w:pPr>
                    <w:ind w:firstLine="0"/>
                    <w:jc w:val="both"/>
                    <w:rPr>
                      <w:rFonts w:cs="Times New Roman"/>
                      <w:sz w:val="20"/>
                      <w:szCs w:val="20"/>
                    </w:rPr>
                  </w:pPr>
                  <w:r w:rsidRPr="00191423">
                    <w:rPr>
                      <w:rFonts w:cs="Times New Roman"/>
                      <w:sz w:val="20"/>
                      <w:szCs w:val="20"/>
                    </w:rPr>
                    <w:t>-23 615</w:t>
                  </w:r>
                </w:p>
              </w:tc>
              <w:tc>
                <w:tcPr>
                  <w:tcW w:w="1196" w:type="dxa"/>
                </w:tcPr>
                <w:p w:rsidR="006F06C8" w:rsidRPr="00191423" w:rsidRDefault="006F06C8" w:rsidP="00E27C9C">
                  <w:pPr>
                    <w:ind w:firstLine="0"/>
                    <w:jc w:val="both"/>
                    <w:rPr>
                      <w:rFonts w:cs="Times New Roman"/>
                      <w:sz w:val="20"/>
                      <w:szCs w:val="20"/>
                    </w:rPr>
                  </w:pPr>
                  <w:r w:rsidRPr="00191423">
                    <w:rPr>
                      <w:rFonts w:cs="Times New Roman"/>
                      <w:sz w:val="20"/>
                      <w:szCs w:val="20"/>
                    </w:rPr>
                    <w:t>-3 549</w:t>
                  </w:r>
                </w:p>
              </w:tc>
              <w:tc>
                <w:tcPr>
                  <w:tcW w:w="1276" w:type="dxa"/>
                </w:tcPr>
                <w:p w:rsidR="006F06C8" w:rsidRPr="00191423" w:rsidRDefault="006F06C8" w:rsidP="00C452FA">
                  <w:pPr>
                    <w:jc w:val="both"/>
                    <w:rPr>
                      <w:rFonts w:cs="Times New Roman"/>
                      <w:sz w:val="20"/>
                      <w:szCs w:val="20"/>
                    </w:rPr>
                  </w:pPr>
                  <w:r w:rsidRPr="00191423">
                    <w:rPr>
                      <w:rFonts w:cs="Times New Roman"/>
                      <w:sz w:val="20"/>
                      <w:szCs w:val="20"/>
                    </w:rPr>
                    <w:t>-</w:t>
                  </w:r>
                </w:p>
              </w:tc>
            </w:tr>
            <w:tr w:rsidR="006F06C8" w:rsidRPr="00191423" w:rsidTr="00E27C9C">
              <w:tc>
                <w:tcPr>
                  <w:tcW w:w="2287" w:type="dxa"/>
                </w:tcPr>
                <w:p w:rsidR="006F06C8" w:rsidRPr="00191423" w:rsidRDefault="006F06C8" w:rsidP="006F06C8">
                  <w:pPr>
                    <w:ind w:firstLine="53"/>
                    <w:jc w:val="both"/>
                    <w:rPr>
                      <w:rFonts w:cs="Times New Roman"/>
                      <w:sz w:val="20"/>
                      <w:szCs w:val="20"/>
                    </w:rPr>
                  </w:pPr>
                  <w:r w:rsidRPr="00191423">
                    <w:rPr>
                      <w:rFonts w:cs="Times New Roman"/>
                      <w:sz w:val="20"/>
                      <w:szCs w:val="20"/>
                    </w:rPr>
                    <w:lastRenderedPageBreak/>
                    <w:t>Visaptveroša uzziņu dienesta pakalpojumu nodrošināšana</w:t>
                  </w:r>
                </w:p>
              </w:tc>
              <w:tc>
                <w:tcPr>
                  <w:tcW w:w="1276" w:type="dxa"/>
                </w:tcPr>
                <w:p w:rsidR="006F06C8" w:rsidRPr="00191423" w:rsidRDefault="006F06C8" w:rsidP="00E27C9C">
                  <w:pPr>
                    <w:ind w:firstLine="0"/>
                    <w:jc w:val="both"/>
                    <w:rPr>
                      <w:rFonts w:cs="Times New Roman"/>
                      <w:sz w:val="20"/>
                      <w:szCs w:val="20"/>
                    </w:rPr>
                  </w:pPr>
                  <w:r w:rsidRPr="00191423">
                    <w:rPr>
                      <w:rFonts w:cs="Times New Roman"/>
                      <w:sz w:val="20"/>
                      <w:szCs w:val="20"/>
                    </w:rPr>
                    <w:t>-96 649</w:t>
                  </w:r>
                </w:p>
              </w:tc>
              <w:tc>
                <w:tcPr>
                  <w:tcW w:w="1196" w:type="dxa"/>
                </w:tcPr>
                <w:p w:rsidR="006F06C8" w:rsidRPr="00191423" w:rsidRDefault="006F06C8" w:rsidP="00E27C9C">
                  <w:pPr>
                    <w:ind w:firstLine="0"/>
                    <w:jc w:val="both"/>
                    <w:rPr>
                      <w:rFonts w:cs="Times New Roman"/>
                      <w:sz w:val="20"/>
                      <w:szCs w:val="20"/>
                    </w:rPr>
                  </w:pPr>
                  <w:r w:rsidRPr="00191423">
                    <w:rPr>
                      <w:rFonts w:cs="Times New Roman"/>
                      <w:sz w:val="20"/>
                      <w:szCs w:val="20"/>
                    </w:rPr>
                    <w:t>-124 553</w:t>
                  </w:r>
                </w:p>
              </w:tc>
              <w:tc>
                <w:tcPr>
                  <w:tcW w:w="1276" w:type="dxa"/>
                </w:tcPr>
                <w:p w:rsidR="006F06C8" w:rsidRPr="00191423" w:rsidRDefault="006F06C8" w:rsidP="00E27C9C">
                  <w:pPr>
                    <w:ind w:firstLine="0"/>
                    <w:jc w:val="both"/>
                    <w:rPr>
                      <w:rFonts w:cs="Times New Roman"/>
                      <w:sz w:val="20"/>
                      <w:szCs w:val="20"/>
                    </w:rPr>
                  </w:pPr>
                  <w:r w:rsidRPr="00191423">
                    <w:rPr>
                      <w:rFonts w:cs="Times New Roman"/>
                      <w:sz w:val="20"/>
                      <w:szCs w:val="20"/>
                    </w:rPr>
                    <w:t>-102 009</w:t>
                  </w:r>
                </w:p>
              </w:tc>
            </w:tr>
            <w:tr w:rsidR="006F06C8" w:rsidRPr="00191423" w:rsidTr="00E27C9C">
              <w:tc>
                <w:tcPr>
                  <w:tcW w:w="2287" w:type="dxa"/>
                </w:tcPr>
                <w:p w:rsidR="006F06C8" w:rsidRPr="00191423" w:rsidRDefault="006F06C8" w:rsidP="006F06C8">
                  <w:pPr>
                    <w:ind w:firstLine="0"/>
                    <w:jc w:val="both"/>
                    <w:rPr>
                      <w:rFonts w:cs="Times New Roman"/>
                      <w:sz w:val="20"/>
                      <w:szCs w:val="20"/>
                    </w:rPr>
                  </w:pPr>
                  <w:r w:rsidRPr="00191423">
                    <w:rPr>
                      <w:rFonts w:cs="Times New Roman"/>
                      <w:sz w:val="20"/>
                      <w:szCs w:val="20"/>
                    </w:rPr>
                    <w:t>Visaptveroša abonentu saraksta nodrošināšana</w:t>
                  </w:r>
                </w:p>
              </w:tc>
              <w:tc>
                <w:tcPr>
                  <w:tcW w:w="1276" w:type="dxa"/>
                </w:tcPr>
                <w:p w:rsidR="006F06C8" w:rsidRPr="00191423" w:rsidRDefault="006F06C8" w:rsidP="00C452FA">
                  <w:pPr>
                    <w:jc w:val="both"/>
                    <w:rPr>
                      <w:rFonts w:cs="Times New Roman"/>
                      <w:sz w:val="20"/>
                      <w:szCs w:val="20"/>
                    </w:rPr>
                  </w:pPr>
                  <w:r w:rsidRPr="00191423">
                    <w:rPr>
                      <w:rFonts w:cs="Times New Roman"/>
                      <w:sz w:val="20"/>
                      <w:szCs w:val="20"/>
                    </w:rPr>
                    <w:t>-</w:t>
                  </w:r>
                </w:p>
              </w:tc>
              <w:tc>
                <w:tcPr>
                  <w:tcW w:w="1196" w:type="dxa"/>
                </w:tcPr>
                <w:p w:rsidR="006F06C8" w:rsidRPr="00191423" w:rsidRDefault="006F06C8" w:rsidP="00C452FA">
                  <w:pPr>
                    <w:jc w:val="both"/>
                    <w:rPr>
                      <w:rFonts w:cs="Times New Roman"/>
                      <w:sz w:val="20"/>
                      <w:szCs w:val="20"/>
                    </w:rPr>
                  </w:pPr>
                  <w:r w:rsidRPr="00191423">
                    <w:rPr>
                      <w:rFonts w:cs="Times New Roman"/>
                      <w:sz w:val="20"/>
                      <w:szCs w:val="20"/>
                    </w:rPr>
                    <w:t>-</w:t>
                  </w:r>
                </w:p>
              </w:tc>
              <w:tc>
                <w:tcPr>
                  <w:tcW w:w="1276" w:type="dxa"/>
                </w:tcPr>
                <w:p w:rsidR="006F06C8" w:rsidRPr="00191423" w:rsidRDefault="006F06C8" w:rsidP="00C452FA">
                  <w:pPr>
                    <w:jc w:val="both"/>
                    <w:rPr>
                      <w:rFonts w:cs="Times New Roman"/>
                      <w:sz w:val="20"/>
                      <w:szCs w:val="20"/>
                    </w:rPr>
                  </w:pPr>
                  <w:r w:rsidRPr="00191423">
                    <w:rPr>
                      <w:rFonts w:cs="Times New Roman"/>
                      <w:sz w:val="20"/>
                      <w:szCs w:val="20"/>
                    </w:rPr>
                    <w:t>-</w:t>
                  </w:r>
                </w:p>
              </w:tc>
            </w:tr>
            <w:tr w:rsidR="006F06C8" w:rsidRPr="00191423" w:rsidTr="00E27C9C">
              <w:tc>
                <w:tcPr>
                  <w:tcW w:w="2287" w:type="dxa"/>
                </w:tcPr>
                <w:p w:rsidR="006F06C8" w:rsidRPr="00191423" w:rsidRDefault="006F06C8" w:rsidP="006F06C8">
                  <w:pPr>
                    <w:ind w:firstLine="0"/>
                    <w:jc w:val="both"/>
                    <w:rPr>
                      <w:rFonts w:cs="Times New Roman"/>
                      <w:sz w:val="20"/>
                      <w:szCs w:val="20"/>
                    </w:rPr>
                  </w:pPr>
                  <w:r w:rsidRPr="00191423">
                    <w:rPr>
                      <w:rFonts w:cs="Times New Roman"/>
                      <w:sz w:val="20"/>
                      <w:szCs w:val="20"/>
                    </w:rPr>
                    <w:t>Pakalpojumu kvalitātes prasības balss telefonijas pakalpojumiem</w:t>
                  </w:r>
                </w:p>
              </w:tc>
              <w:tc>
                <w:tcPr>
                  <w:tcW w:w="1276" w:type="dxa"/>
                </w:tcPr>
                <w:p w:rsidR="006F06C8" w:rsidRPr="00191423" w:rsidRDefault="006F06C8" w:rsidP="00C452FA">
                  <w:pPr>
                    <w:jc w:val="both"/>
                    <w:rPr>
                      <w:rFonts w:cs="Times New Roman"/>
                      <w:sz w:val="20"/>
                      <w:szCs w:val="20"/>
                    </w:rPr>
                  </w:pPr>
                  <w:r w:rsidRPr="00191423">
                    <w:rPr>
                      <w:rFonts w:cs="Times New Roman"/>
                      <w:sz w:val="20"/>
                      <w:szCs w:val="20"/>
                    </w:rPr>
                    <w:t>-</w:t>
                  </w:r>
                </w:p>
              </w:tc>
              <w:tc>
                <w:tcPr>
                  <w:tcW w:w="1196" w:type="dxa"/>
                </w:tcPr>
                <w:p w:rsidR="006F06C8" w:rsidRPr="00191423" w:rsidRDefault="006F06C8" w:rsidP="00C452FA">
                  <w:pPr>
                    <w:jc w:val="both"/>
                    <w:rPr>
                      <w:rFonts w:cs="Times New Roman"/>
                      <w:sz w:val="20"/>
                      <w:szCs w:val="20"/>
                    </w:rPr>
                  </w:pPr>
                  <w:r w:rsidRPr="00191423">
                    <w:rPr>
                      <w:rFonts w:cs="Times New Roman"/>
                      <w:sz w:val="20"/>
                      <w:szCs w:val="20"/>
                    </w:rPr>
                    <w:t>-</w:t>
                  </w:r>
                </w:p>
              </w:tc>
              <w:tc>
                <w:tcPr>
                  <w:tcW w:w="1276" w:type="dxa"/>
                </w:tcPr>
                <w:p w:rsidR="006F06C8" w:rsidRPr="00191423" w:rsidRDefault="006F06C8" w:rsidP="00C452FA">
                  <w:pPr>
                    <w:jc w:val="both"/>
                    <w:rPr>
                      <w:rFonts w:cs="Times New Roman"/>
                      <w:sz w:val="20"/>
                      <w:szCs w:val="20"/>
                    </w:rPr>
                  </w:pPr>
                  <w:r w:rsidRPr="00191423">
                    <w:rPr>
                      <w:rFonts w:cs="Times New Roman"/>
                      <w:sz w:val="20"/>
                      <w:szCs w:val="20"/>
                    </w:rPr>
                    <w:t>-</w:t>
                  </w:r>
                </w:p>
              </w:tc>
            </w:tr>
            <w:tr w:rsidR="006F06C8" w:rsidRPr="00191423" w:rsidTr="00E27C9C">
              <w:tc>
                <w:tcPr>
                  <w:tcW w:w="2287" w:type="dxa"/>
                </w:tcPr>
                <w:p w:rsidR="006F06C8" w:rsidRPr="00191423" w:rsidRDefault="006F06C8" w:rsidP="006F06C8">
                  <w:pPr>
                    <w:ind w:firstLine="0"/>
                    <w:jc w:val="both"/>
                    <w:rPr>
                      <w:rFonts w:cs="Times New Roman"/>
                      <w:sz w:val="20"/>
                      <w:szCs w:val="20"/>
                    </w:rPr>
                  </w:pPr>
                  <w:r w:rsidRPr="00191423">
                    <w:rPr>
                      <w:rFonts w:cs="Times New Roman"/>
                      <w:sz w:val="20"/>
                      <w:szCs w:val="20"/>
                    </w:rPr>
                    <w:t>Nemateriālie ieguvumi</w:t>
                  </w:r>
                </w:p>
              </w:tc>
              <w:tc>
                <w:tcPr>
                  <w:tcW w:w="1276" w:type="dxa"/>
                </w:tcPr>
                <w:p w:rsidR="006F06C8" w:rsidRPr="00191423" w:rsidRDefault="006F06C8" w:rsidP="00E27C9C">
                  <w:pPr>
                    <w:ind w:firstLine="0"/>
                    <w:jc w:val="both"/>
                    <w:rPr>
                      <w:rFonts w:cs="Times New Roman"/>
                      <w:sz w:val="20"/>
                      <w:szCs w:val="20"/>
                    </w:rPr>
                  </w:pPr>
                  <w:r w:rsidRPr="00191423">
                    <w:rPr>
                      <w:rFonts w:cs="Times New Roman"/>
                      <w:sz w:val="20"/>
                      <w:szCs w:val="20"/>
                    </w:rPr>
                    <w:t>280 494</w:t>
                  </w:r>
                </w:p>
              </w:tc>
              <w:tc>
                <w:tcPr>
                  <w:tcW w:w="1196" w:type="dxa"/>
                </w:tcPr>
                <w:p w:rsidR="006F06C8" w:rsidRPr="00191423" w:rsidRDefault="006F06C8" w:rsidP="00E27C9C">
                  <w:pPr>
                    <w:ind w:firstLine="0"/>
                    <w:jc w:val="both"/>
                    <w:rPr>
                      <w:rFonts w:cs="Times New Roman"/>
                      <w:sz w:val="20"/>
                      <w:szCs w:val="20"/>
                    </w:rPr>
                  </w:pPr>
                  <w:r w:rsidRPr="00191423">
                    <w:rPr>
                      <w:rFonts w:cs="Times New Roman"/>
                      <w:sz w:val="20"/>
                      <w:szCs w:val="20"/>
                    </w:rPr>
                    <w:t>397 956</w:t>
                  </w:r>
                </w:p>
              </w:tc>
              <w:tc>
                <w:tcPr>
                  <w:tcW w:w="1276" w:type="dxa"/>
                </w:tcPr>
                <w:p w:rsidR="006F06C8" w:rsidRPr="00191423" w:rsidRDefault="006F06C8" w:rsidP="00E27C9C">
                  <w:pPr>
                    <w:ind w:firstLine="0"/>
                    <w:jc w:val="both"/>
                    <w:rPr>
                      <w:rFonts w:cs="Times New Roman"/>
                      <w:sz w:val="20"/>
                      <w:szCs w:val="20"/>
                    </w:rPr>
                  </w:pPr>
                  <w:r w:rsidRPr="00191423">
                    <w:rPr>
                      <w:rFonts w:cs="Times New Roman"/>
                      <w:sz w:val="20"/>
                      <w:szCs w:val="20"/>
                    </w:rPr>
                    <w:t>314 485</w:t>
                  </w:r>
                </w:p>
              </w:tc>
            </w:tr>
            <w:tr w:rsidR="006F06C8" w:rsidRPr="00191423" w:rsidTr="00E27C9C">
              <w:tc>
                <w:tcPr>
                  <w:tcW w:w="2287" w:type="dxa"/>
                </w:tcPr>
                <w:p w:rsidR="006F06C8" w:rsidRPr="00191423" w:rsidRDefault="006F06C8" w:rsidP="006F06C8">
                  <w:pPr>
                    <w:ind w:firstLine="0"/>
                    <w:jc w:val="both"/>
                    <w:rPr>
                      <w:rFonts w:cs="Times New Roman"/>
                      <w:sz w:val="20"/>
                      <w:szCs w:val="20"/>
                    </w:rPr>
                  </w:pPr>
                  <w:r w:rsidRPr="00191423">
                    <w:rPr>
                      <w:rFonts w:cs="Times New Roman"/>
                      <w:sz w:val="20"/>
                      <w:szCs w:val="20"/>
                    </w:rPr>
                    <w:t>Tīrās izmaksas</w:t>
                  </w:r>
                </w:p>
              </w:tc>
              <w:tc>
                <w:tcPr>
                  <w:tcW w:w="1276" w:type="dxa"/>
                </w:tcPr>
                <w:p w:rsidR="006F06C8" w:rsidRPr="00191423" w:rsidRDefault="006F06C8" w:rsidP="00E27C9C">
                  <w:pPr>
                    <w:ind w:firstLine="0"/>
                    <w:jc w:val="both"/>
                    <w:rPr>
                      <w:rFonts w:cs="Times New Roman"/>
                      <w:b/>
                      <w:sz w:val="20"/>
                      <w:szCs w:val="20"/>
                    </w:rPr>
                  </w:pPr>
                  <w:r w:rsidRPr="00191423">
                    <w:rPr>
                      <w:rFonts w:cs="Times New Roman"/>
                      <w:b/>
                      <w:sz w:val="20"/>
                      <w:szCs w:val="20"/>
                    </w:rPr>
                    <w:t>-205 326</w:t>
                  </w:r>
                </w:p>
              </w:tc>
              <w:tc>
                <w:tcPr>
                  <w:tcW w:w="1196" w:type="dxa"/>
                </w:tcPr>
                <w:p w:rsidR="006F06C8" w:rsidRPr="00191423" w:rsidRDefault="006F06C8" w:rsidP="00E27C9C">
                  <w:pPr>
                    <w:ind w:firstLine="0"/>
                    <w:jc w:val="both"/>
                    <w:rPr>
                      <w:rFonts w:cs="Times New Roman"/>
                      <w:b/>
                      <w:sz w:val="20"/>
                      <w:szCs w:val="20"/>
                    </w:rPr>
                  </w:pPr>
                  <w:r w:rsidRPr="00191423">
                    <w:rPr>
                      <w:rFonts w:cs="Times New Roman"/>
                      <w:b/>
                      <w:sz w:val="20"/>
                      <w:szCs w:val="20"/>
                    </w:rPr>
                    <w:t>-177 420</w:t>
                  </w:r>
                </w:p>
              </w:tc>
              <w:tc>
                <w:tcPr>
                  <w:tcW w:w="1276" w:type="dxa"/>
                </w:tcPr>
                <w:p w:rsidR="006F06C8" w:rsidRPr="00191423" w:rsidRDefault="006F06C8" w:rsidP="00E27C9C">
                  <w:pPr>
                    <w:ind w:firstLine="0"/>
                    <w:jc w:val="both"/>
                    <w:rPr>
                      <w:rFonts w:cs="Times New Roman"/>
                      <w:b/>
                      <w:sz w:val="20"/>
                      <w:szCs w:val="20"/>
                    </w:rPr>
                  </w:pPr>
                  <w:r w:rsidRPr="00191423">
                    <w:rPr>
                      <w:rFonts w:cs="Times New Roman"/>
                      <w:b/>
                      <w:sz w:val="20"/>
                      <w:szCs w:val="20"/>
                    </w:rPr>
                    <w:t>-267 612</w:t>
                  </w:r>
                </w:p>
              </w:tc>
            </w:tr>
            <w:tr w:rsidR="00E27C9C" w:rsidRPr="00191423" w:rsidTr="00E22C72">
              <w:tc>
                <w:tcPr>
                  <w:tcW w:w="6035" w:type="dxa"/>
                  <w:gridSpan w:val="4"/>
                </w:tcPr>
                <w:p w:rsidR="00E27C9C" w:rsidRPr="00191423" w:rsidRDefault="00E27C9C" w:rsidP="00E27C9C">
                  <w:pPr>
                    <w:ind w:firstLine="53"/>
                    <w:jc w:val="both"/>
                    <w:rPr>
                      <w:rFonts w:cs="Times New Roman"/>
                      <w:b/>
                      <w:sz w:val="20"/>
                      <w:szCs w:val="20"/>
                    </w:rPr>
                  </w:pPr>
                  <w:r w:rsidRPr="00191423">
                    <w:rPr>
                      <w:rFonts w:cs="Times New Roman"/>
                      <w:sz w:val="20"/>
                      <w:szCs w:val="20"/>
                    </w:rPr>
                    <w:t xml:space="preserve">Izmaksas gadā uz vienu personu </w:t>
                  </w:r>
                  <w:r w:rsidR="007F3A75" w:rsidRPr="00191423">
                    <w:rPr>
                      <w:rFonts w:cs="Times New Roman"/>
                      <w:sz w:val="20"/>
                      <w:szCs w:val="20"/>
                    </w:rPr>
                    <w:t xml:space="preserve">ar invaliditāti </w:t>
                  </w:r>
                  <w:r w:rsidRPr="00191423">
                    <w:rPr>
                      <w:rFonts w:cs="Times New Roman"/>
                      <w:sz w:val="20"/>
                      <w:szCs w:val="20"/>
                    </w:rPr>
                    <w:t xml:space="preserve">~ 85-95 </w:t>
                  </w:r>
                  <w:proofErr w:type="spellStart"/>
                  <w:r w:rsidR="007F3A75" w:rsidRPr="00191423">
                    <w:rPr>
                      <w:rFonts w:cs="Times New Roman"/>
                      <w:i/>
                      <w:sz w:val="20"/>
                      <w:szCs w:val="20"/>
                      <w:lang w:eastAsia="en-IE"/>
                    </w:rPr>
                    <w:t>euro</w:t>
                  </w:r>
                  <w:proofErr w:type="spellEnd"/>
                </w:p>
              </w:tc>
            </w:tr>
            <w:tr w:rsidR="00AE62D0" w:rsidRPr="00191423" w:rsidTr="00E22C72">
              <w:tc>
                <w:tcPr>
                  <w:tcW w:w="6035" w:type="dxa"/>
                  <w:gridSpan w:val="4"/>
                </w:tcPr>
                <w:p w:rsidR="00AE62D0" w:rsidRPr="00191423" w:rsidRDefault="00AE62D0" w:rsidP="00E27C9C">
                  <w:pPr>
                    <w:ind w:firstLine="53"/>
                    <w:jc w:val="both"/>
                    <w:rPr>
                      <w:rFonts w:cs="Times New Roman"/>
                      <w:sz w:val="20"/>
                      <w:szCs w:val="20"/>
                    </w:rPr>
                  </w:pPr>
                </w:p>
              </w:tc>
            </w:tr>
          </w:tbl>
          <w:p w:rsidR="00720D12" w:rsidRPr="00191423" w:rsidRDefault="00720D12" w:rsidP="0024090D">
            <w:pPr>
              <w:ind w:firstLine="0"/>
              <w:jc w:val="both"/>
              <w:rPr>
                <w:rFonts w:cs="Times New Roman"/>
                <w:szCs w:val="24"/>
              </w:rPr>
            </w:pPr>
          </w:p>
        </w:tc>
      </w:tr>
    </w:tbl>
    <w:p w:rsidR="002D1699" w:rsidRPr="00D01ABF" w:rsidRDefault="002D1699" w:rsidP="0024090D">
      <w:pPr>
        <w:ind w:firstLine="0"/>
        <w:rPr>
          <w:rFonts w:cs="Times New Roman"/>
          <w:sz w:val="24"/>
          <w:szCs w:val="24"/>
        </w:rPr>
      </w:pPr>
      <w:r w:rsidRPr="00D01ABF">
        <w:rPr>
          <w:rFonts w:cs="Times New Roman"/>
          <w:sz w:val="24"/>
          <w:szCs w:val="24"/>
        </w:rPr>
        <w:lastRenderedPageBreak/>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
        <w:gridCol w:w="3009"/>
        <w:gridCol w:w="6196"/>
      </w:tblGrid>
      <w:tr w:rsidR="00CF4CB0" w:rsidRPr="00D01ABF" w:rsidTr="002545D7">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D1699" w:rsidRPr="00D01ABF" w:rsidRDefault="002D1699" w:rsidP="0024090D">
            <w:pPr>
              <w:ind w:firstLine="0"/>
              <w:jc w:val="center"/>
              <w:rPr>
                <w:rFonts w:cs="Times New Roman"/>
                <w:b/>
                <w:bCs/>
                <w:sz w:val="24"/>
                <w:szCs w:val="24"/>
              </w:rPr>
            </w:pPr>
            <w:r w:rsidRPr="00D01ABF">
              <w:rPr>
                <w:rFonts w:cs="Times New Roman"/>
                <w:b/>
                <w:bCs/>
                <w:sz w:val="24"/>
                <w:szCs w:val="24"/>
              </w:rPr>
              <w:t>II. Tiesību akta projekta ietekme uz sabiedrību, tautsaimniecības attīstību un administratīvo slogu</w:t>
            </w:r>
          </w:p>
        </w:tc>
      </w:tr>
      <w:tr w:rsidR="00CF4CB0" w:rsidRPr="00D01ABF" w:rsidTr="002545D7">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tcPr>
          <w:p w:rsidR="0059427E" w:rsidRPr="00D01ABF" w:rsidRDefault="0059427E" w:rsidP="0024090D">
            <w:pPr>
              <w:ind w:firstLine="0"/>
              <w:rPr>
                <w:rFonts w:cs="Times New Roman"/>
                <w:sz w:val="24"/>
                <w:szCs w:val="24"/>
              </w:rPr>
            </w:pPr>
            <w:r w:rsidRPr="00D01ABF">
              <w:rPr>
                <w:rFonts w:cs="Times New Roman"/>
                <w:sz w:val="24"/>
                <w:szCs w:val="24"/>
              </w:rPr>
              <w:t>1.</w:t>
            </w:r>
          </w:p>
        </w:tc>
        <w:tc>
          <w:tcPr>
            <w:tcW w:w="1530" w:type="pct"/>
            <w:tcBorders>
              <w:top w:val="outset" w:sz="6" w:space="0" w:color="auto"/>
              <w:left w:val="outset" w:sz="6" w:space="0" w:color="auto"/>
              <w:bottom w:val="outset" w:sz="6" w:space="0" w:color="auto"/>
              <w:right w:val="outset" w:sz="6" w:space="0" w:color="auto"/>
            </w:tcBorders>
          </w:tcPr>
          <w:p w:rsidR="0059427E" w:rsidRPr="00D01ABF" w:rsidRDefault="0059427E" w:rsidP="0024090D">
            <w:pPr>
              <w:ind w:firstLine="0"/>
              <w:rPr>
                <w:rFonts w:cs="Times New Roman"/>
                <w:sz w:val="24"/>
                <w:szCs w:val="24"/>
              </w:rPr>
            </w:pPr>
            <w:r w:rsidRPr="00D01ABF">
              <w:rPr>
                <w:rFonts w:cs="Times New Roman"/>
                <w:sz w:val="24"/>
                <w:szCs w:val="24"/>
              </w:rPr>
              <w:t xml:space="preserve">Sabiedrības </w:t>
            </w:r>
            <w:proofErr w:type="spellStart"/>
            <w:r w:rsidRPr="00D01ABF">
              <w:rPr>
                <w:rFonts w:cs="Times New Roman"/>
                <w:sz w:val="24"/>
                <w:szCs w:val="24"/>
              </w:rPr>
              <w:t>mērķgrupas</w:t>
            </w:r>
            <w:proofErr w:type="spellEnd"/>
            <w:r w:rsidRPr="00D01ABF">
              <w:rPr>
                <w:rFonts w:cs="Times New Roman"/>
                <w:sz w:val="24"/>
                <w:szCs w:val="24"/>
              </w:rPr>
              <w:t>, kuras tiesiskais regulējums ietekmē vai varētu ietekmēt</w:t>
            </w:r>
          </w:p>
        </w:tc>
        <w:tc>
          <w:tcPr>
            <w:tcW w:w="3159" w:type="pct"/>
            <w:tcBorders>
              <w:top w:val="outset" w:sz="6" w:space="0" w:color="auto"/>
              <w:left w:val="outset" w:sz="6" w:space="0" w:color="auto"/>
              <w:bottom w:val="outset" w:sz="6" w:space="0" w:color="auto"/>
              <w:right w:val="outset" w:sz="6" w:space="0" w:color="auto"/>
            </w:tcBorders>
          </w:tcPr>
          <w:p w:rsidR="000C2BE6" w:rsidRPr="00D01ABF" w:rsidRDefault="00181776" w:rsidP="001F7ECD">
            <w:pPr>
              <w:ind w:firstLine="0"/>
              <w:jc w:val="both"/>
              <w:rPr>
                <w:rFonts w:eastAsia="Times New Roman" w:cs="Times New Roman"/>
                <w:sz w:val="24"/>
                <w:szCs w:val="24"/>
                <w:lang w:eastAsia="lv-LV"/>
              </w:rPr>
            </w:pPr>
            <w:r>
              <w:rPr>
                <w:bCs/>
                <w:sz w:val="24"/>
                <w:szCs w:val="24"/>
              </w:rPr>
              <w:t xml:space="preserve"> </w:t>
            </w:r>
            <w:r w:rsidR="0003403A">
              <w:rPr>
                <w:bCs/>
                <w:sz w:val="24"/>
                <w:szCs w:val="24"/>
              </w:rPr>
              <w:t xml:space="preserve">Sabiedrisko pakalpojumu regulēšanas komisija, </w:t>
            </w:r>
            <w:r w:rsidR="001F7ECD">
              <w:rPr>
                <w:bCs/>
                <w:sz w:val="24"/>
                <w:szCs w:val="24"/>
              </w:rPr>
              <w:t>Patērētāju tiesību aizsardzības centrs, Centrālā statistikas pārvalde, e</w:t>
            </w:r>
            <w:r w:rsidR="00965DB0">
              <w:rPr>
                <w:bCs/>
                <w:sz w:val="24"/>
                <w:szCs w:val="24"/>
              </w:rPr>
              <w:t>lektronisko sakaru komersanti</w:t>
            </w:r>
            <w:r w:rsidR="001F7ECD">
              <w:rPr>
                <w:bCs/>
                <w:sz w:val="24"/>
                <w:szCs w:val="24"/>
              </w:rPr>
              <w:t>.</w:t>
            </w:r>
          </w:p>
        </w:tc>
      </w:tr>
      <w:tr w:rsidR="00CF4CB0" w:rsidRPr="00D01ABF" w:rsidTr="002545D7">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tcPr>
          <w:p w:rsidR="0059427E" w:rsidRPr="00D01ABF" w:rsidRDefault="0059427E" w:rsidP="0024090D">
            <w:pPr>
              <w:ind w:firstLine="0"/>
              <w:rPr>
                <w:rFonts w:cs="Times New Roman"/>
                <w:sz w:val="24"/>
                <w:szCs w:val="24"/>
              </w:rPr>
            </w:pPr>
            <w:r w:rsidRPr="00D01ABF">
              <w:rPr>
                <w:rFonts w:cs="Times New Roman"/>
                <w:sz w:val="24"/>
                <w:szCs w:val="24"/>
              </w:rPr>
              <w:t>2.</w:t>
            </w:r>
          </w:p>
        </w:tc>
        <w:tc>
          <w:tcPr>
            <w:tcW w:w="1530" w:type="pct"/>
            <w:tcBorders>
              <w:top w:val="outset" w:sz="6" w:space="0" w:color="auto"/>
              <w:left w:val="outset" w:sz="6" w:space="0" w:color="auto"/>
              <w:bottom w:val="outset" w:sz="6" w:space="0" w:color="auto"/>
              <w:right w:val="outset" w:sz="6" w:space="0" w:color="auto"/>
            </w:tcBorders>
          </w:tcPr>
          <w:p w:rsidR="0059427E" w:rsidRPr="00D01ABF" w:rsidRDefault="0059427E" w:rsidP="0024090D">
            <w:pPr>
              <w:ind w:firstLine="0"/>
              <w:rPr>
                <w:rFonts w:cs="Times New Roman"/>
                <w:sz w:val="24"/>
                <w:szCs w:val="24"/>
              </w:rPr>
            </w:pPr>
            <w:r w:rsidRPr="00D01ABF">
              <w:rPr>
                <w:rFonts w:cs="Times New Roman"/>
                <w:sz w:val="24"/>
                <w:szCs w:val="24"/>
              </w:rPr>
              <w:t>Tiesiskā regulējuma ietekme uz tautsaimniecību un administratīvo slogu</w:t>
            </w:r>
          </w:p>
        </w:tc>
        <w:tc>
          <w:tcPr>
            <w:tcW w:w="3159" w:type="pct"/>
            <w:tcBorders>
              <w:top w:val="outset" w:sz="6" w:space="0" w:color="auto"/>
              <w:left w:val="outset" w:sz="6" w:space="0" w:color="auto"/>
              <w:bottom w:val="outset" w:sz="6" w:space="0" w:color="auto"/>
              <w:right w:val="outset" w:sz="6" w:space="0" w:color="auto"/>
            </w:tcBorders>
          </w:tcPr>
          <w:p w:rsidR="0059427E" w:rsidRPr="00D01ABF" w:rsidRDefault="000C2BE6" w:rsidP="0024090D">
            <w:pPr>
              <w:ind w:firstLine="0"/>
              <w:jc w:val="both"/>
              <w:rPr>
                <w:rFonts w:cs="Times New Roman"/>
                <w:sz w:val="24"/>
                <w:szCs w:val="24"/>
              </w:rPr>
            </w:pPr>
            <w:r w:rsidRPr="00D01ABF">
              <w:rPr>
                <w:rFonts w:cs="Times New Roman"/>
                <w:sz w:val="24"/>
                <w:szCs w:val="24"/>
              </w:rPr>
              <w:t>Projekts šo jomu neskar.</w:t>
            </w:r>
          </w:p>
        </w:tc>
      </w:tr>
      <w:tr w:rsidR="00CF4CB0" w:rsidRPr="00D01ABF" w:rsidTr="002545D7">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9427E" w:rsidRPr="00D01ABF" w:rsidRDefault="0059427E" w:rsidP="0024090D">
            <w:pPr>
              <w:ind w:firstLine="0"/>
              <w:rPr>
                <w:rFonts w:cs="Times New Roman"/>
                <w:sz w:val="24"/>
                <w:szCs w:val="24"/>
              </w:rPr>
            </w:pPr>
            <w:r w:rsidRPr="00D01ABF">
              <w:rPr>
                <w:rFonts w:cs="Times New Roman"/>
                <w:sz w:val="24"/>
                <w:szCs w:val="24"/>
              </w:rPr>
              <w:t>3.</w:t>
            </w:r>
          </w:p>
        </w:tc>
        <w:tc>
          <w:tcPr>
            <w:tcW w:w="1530" w:type="pct"/>
            <w:tcBorders>
              <w:top w:val="outset" w:sz="6" w:space="0" w:color="auto"/>
              <w:left w:val="outset" w:sz="6" w:space="0" w:color="auto"/>
              <w:bottom w:val="outset" w:sz="6" w:space="0" w:color="auto"/>
              <w:right w:val="outset" w:sz="6" w:space="0" w:color="auto"/>
            </w:tcBorders>
            <w:hideMark/>
          </w:tcPr>
          <w:p w:rsidR="0059427E" w:rsidRPr="00D01ABF" w:rsidRDefault="0059427E" w:rsidP="0024090D">
            <w:pPr>
              <w:ind w:firstLine="0"/>
              <w:rPr>
                <w:rFonts w:cs="Times New Roman"/>
                <w:sz w:val="24"/>
                <w:szCs w:val="24"/>
              </w:rPr>
            </w:pPr>
            <w:r w:rsidRPr="00D01ABF">
              <w:rPr>
                <w:rFonts w:cs="Times New Roman"/>
                <w:sz w:val="24"/>
                <w:szCs w:val="24"/>
              </w:rPr>
              <w:t>Administratīvo izmaksu monetārs novērtējums</w:t>
            </w:r>
          </w:p>
        </w:tc>
        <w:tc>
          <w:tcPr>
            <w:tcW w:w="3159" w:type="pct"/>
            <w:tcBorders>
              <w:top w:val="outset" w:sz="6" w:space="0" w:color="auto"/>
              <w:left w:val="outset" w:sz="6" w:space="0" w:color="auto"/>
              <w:bottom w:val="outset" w:sz="6" w:space="0" w:color="auto"/>
              <w:right w:val="outset" w:sz="6" w:space="0" w:color="auto"/>
            </w:tcBorders>
            <w:hideMark/>
          </w:tcPr>
          <w:p w:rsidR="0059427E" w:rsidRPr="00D01ABF" w:rsidRDefault="0059427E" w:rsidP="0024090D">
            <w:pPr>
              <w:ind w:firstLine="0"/>
              <w:jc w:val="both"/>
              <w:rPr>
                <w:rFonts w:cs="Times New Roman"/>
                <w:sz w:val="24"/>
                <w:szCs w:val="24"/>
              </w:rPr>
            </w:pPr>
            <w:r w:rsidRPr="00D01ABF">
              <w:rPr>
                <w:rFonts w:cs="Times New Roman"/>
                <w:sz w:val="24"/>
                <w:szCs w:val="24"/>
              </w:rPr>
              <w:t>Projekts šo jomu neskar.</w:t>
            </w:r>
          </w:p>
        </w:tc>
      </w:tr>
      <w:tr w:rsidR="00CF4CB0" w:rsidRPr="00D01ABF" w:rsidTr="002545D7">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9427E" w:rsidRPr="00D01ABF" w:rsidRDefault="0059427E" w:rsidP="0024090D">
            <w:pPr>
              <w:ind w:firstLine="0"/>
              <w:rPr>
                <w:rFonts w:cs="Times New Roman"/>
                <w:sz w:val="24"/>
                <w:szCs w:val="24"/>
              </w:rPr>
            </w:pPr>
            <w:r w:rsidRPr="00D01ABF">
              <w:rPr>
                <w:rFonts w:cs="Times New Roman"/>
                <w:sz w:val="24"/>
                <w:szCs w:val="24"/>
              </w:rPr>
              <w:t>4.</w:t>
            </w:r>
          </w:p>
        </w:tc>
        <w:tc>
          <w:tcPr>
            <w:tcW w:w="1530" w:type="pct"/>
            <w:tcBorders>
              <w:top w:val="outset" w:sz="6" w:space="0" w:color="auto"/>
              <w:left w:val="outset" w:sz="6" w:space="0" w:color="auto"/>
              <w:bottom w:val="outset" w:sz="6" w:space="0" w:color="auto"/>
              <w:right w:val="outset" w:sz="6" w:space="0" w:color="auto"/>
            </w:tcBorders>
            <w:hideMark/>
          </w:tcPr>
          <w:p w:rsidR="0059427E" w:rsidRPr="00D01ABF" w:rsidRDefault="0059427E" w:rsidP="0024090D">
            <w:pPr>
              <w:ind w:firstLine="0"/>
              <w:rPr>
                <w:rFonts w:cs="Times New Roman"/>
                <w:sz w:val="24"/>
                <w:szCs w:val="24"/>
              </w:rPr>
            </w:pPr>
            <w:r w:rsidRPr="00D01ABF">
              <w:rPr>
                <w:rFonts w:cs="Times New Roman"/>
                <w:sz w:val="24"/>
                <w:szCs w:val="24"/>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59427E" w:rsidRPr="00D01ABF" w:rsidRDefault="0059427E" w:rsidP="0024090D">
            <w:pPr>
              <w:ind w:firstLine="0"/>
              <w:rPr>
                <w:rFonts w:cs="Times New Roman"/>
                <w:sz w:val="24"/>
                <w:szCs w:val="24"/>
              </w:rPr>
            </w:pPr>
            <w:r w:rsidRPr="00D01ABF">
              <w:rPr>
                <w:rFonts w:cs="Times New Roman"/>
                <w:sz w:val="24"/>
                <w:szCs w:val="24"/>
              </w:rPr>
              <w:t>Nav.</w:t>
            </w:r>
          </w:p>
        </w:tc>
      </w:tr>
    </w:tbl>
    <w:p w:rsidR="008569DD" w:rsidRPr="00D01ABF" w:rsidRDefault="002D1699" w:rsidP="0024090D">
      <w:pPr>
        <w:ind w:firstLine="0"/>
        <w:rPr>
          <w:rFonts w:cs="Times New Roman"/>
          <w:sz w:val="24"/>
          <w:szCs w:val="24"/>
        </w:rPr>
      </w:pPr>
      <w:r w:rsidRPr="00D01ABF">
        <w:rPr>
          <w:rFonts w:cs="Times New Roman"/>
          <w:sz w:val="24"/>
          <w:szCs w:val="24"/>
        </w:rPr>
        <w:t>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60"/>
        <w:gridCol w:w="2964"/>
        <w:gridCol w:w="1131"/>
        <w:gridCol w:w="1712"/>
        <w:gridCol w:w="1045"/>
        <w:gridCol w:w="1131"/>
        <w:gridCol w:w="1648"/>
        <w:gridCol w:w="60"/>
      </w:tblGrid>
      <w:tr w:rsidR="00CF4CB0" w:rsidRPr="00D01ABF" w:rsidTr="008569DD">
        <w:trPr>
          <w:trHeight w:val="360"/>
          <w:tblCellSpacing w:w="2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569DD" w:rsidRPr="00D01ABF" w:rsidRDefault="008569DD" w:rsidP="008569DD">
            <w:pPr>
              <w:ind w:firstLine="0"/>
              <w:jc w:val="center"/>
              <w:rPr>
                <w:rFonts w:eastAsia="Times New Roman" w:cs="Times New Roman"/>
                <w:b/>
                <w:bCs/>
                <w:iCs/>
                <w:sz w:val="24"/>
                <w:szCs w:val="24"/>
                <w:lang w:eastAsia="lv-LV"/>
              </w:rPr>
            </w:pPr>
            <w:r w:rsidRPr="00D01ABF">
              <w:rPr>
                <w:rFonts w:eastAsia="Times New Roman" w:cs="Times New Roman"/>
                <w:b/>
                <w:bCs/>
                <w:iCs/>
                <w:sz w:val="24"/>
                <w:szCs w:val="24"/>
                <w:lang w:eastAsia="lv-LV"/>
              </w:rPr>
              <w:t>III. Tiesību akta projekta ietekme uz valsts budžetu un pašvaldību budžetiem</w:t>
            </w:r>
          </w:p>
        </w:tc>
      </w:tr>
      <w:tr w:rsidR="00CF4CB0" w:rsidRPr="00D01ABF" w:rsidTr="00677166">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525" w:type="pct"/>
            <w:vMerge w:val="restar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ind w:firstLine="300"/>
              <w:jc w:val="center"/>
              <w:rPr>
                <w:rFonts w:eastAsia="Times New Roman"/>
                <w:b/>
                <w:bCs/>
                <w:sz w:val="24"/>
                <w:szCs w:val="24"/>
                <w:lang w:eastAsia="lv-LV"/>
              </w:rPr>
            </w:pPr>
            <w:r w:rsidRPr="00D01ABF">
              <w:rPr>
                <w:rFonts w:eastAsia="Times New Roman"/>
                <w:b/>
                <w:bCs/>
                <w:sz w:val="24"/>
                <w:szCs w:val="24"/>
                <w:lang w:eastAsia="lv-LV"/>
              </w:rPr>
              <w:t>Rādītāji</w:t>
            </w:r>
          </w:p>
        </w:tc>
        <w:tc>
          <w:tcPr>
            <w:tcW w:w="1441"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ind w:firstLine="300"/>
              <w:jc w:val="center"/>
              <w:rPr>
                <w:rFonts w:eastAsia="Times New Roman"/>
                <w:b/>
                <w:bCs/>
                <w:sz w:val="24"/>
                <w:szCs w:val="24"/>
                <w:lang w:eastAsia="lv-LV"/>
              </w:rPr>
            </w:pPr>
            <w:r w:rsidRPr="00D01ABF">
              <w:rPr>
                <w:rFonts w:eastAsia="Times New Roman"/>
                <w:b/>
                <w:bCs/>
                <w:sz w:val="24"/>
                <w:szCs w:val="24"/>
                <w:lang w:eastAsia="lv-LV"/>
              </w:rPr>
              <w:t>2016. gads</w:t>
            </w:r>
          </w:p>
        </w:tc>
        <w:tc>
          <w:tcPr>
            <w:tcW w:w="1911" w:type="pct"/>
            <w:gridSpan w:val="3"/>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ind w:firstLine="300"/>
              <w:jc w:val="center"/>
              <w:rPr>
                <w:rFonts w:eastAsia="Times New Roman"/>
                <w:sz w:val="24"/>
                <w:szCs w:val="24"/>
                <w:lang w:eastAsia="lv-LV"/>
              </w:rPr>
            </w:pPr>
            <w:r w:rsidRPr="00D01ABF">
              <w:rPr>
                <w:rFonts w:eastAsia="Times New Roman"/>
                <w:sz w:val="24"/>
                <w:szCs w:val="24"/>
                <w:lang w:eastAsia="lv-LV"/>
              </w:rPr>
              <w:t>Turpmākie trīs gadi (</w:t>
            </w:r>
            <w:proofErr w:type="spellStart"/>
            <w:r w:rsidRPr="00D01ABF">
              <w:rPr>
                <w:rFonts w:eastAsia="Times New Roman"/>
                <w:i/>
                <w:sz w:val="24"/>
                <w:szCs w:val="24"/>
                <w:lang w:eastAsia="lv-LV"/>
              </w:rPr>
              <w:t>euro</w:t>
            </w:r>
            <w:proofErr w:type="spellEnd"/>
            <w:r w:rsidRPr="00D01ABF">
              <w:rPr>
                <w:rFonts w:eastAsia="Times New Roman"/>
                <w:sz w:val="24"/>
                <w:szCs w:val="24"/>
                <w:lang w:eastAsia="lv-LV"/>
              </w:rPr>
              <w:t>)</w:t>
            </w:r>
          </w:p>
        </w:tc>
      </w:tr>
      <w:tr w:rsidR="00CF4CB0" w:rsidRPr="00D01ABF" w:rsidTr="00677166">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rPr>
                <w:rFonts w:eastAsia="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rPr>
                <w:rFonts w:eastAsia="Times New Roman"/>
                <w:b/>
                <w:bCs/>
                <w:sz w:val="24"/>
                <w:szCs w:val="24"/>
                <w:lang w:eastAsia="lv-LV"/>
              </w:rPr>
            </w:pPr>
          </w:p>
        </w:tc>
        <w:tc>
          <w:tcPr>
            <w:tcW w:w="524"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8569DD">
            <w:pPr>
              <w:ind w:firstLine="0"/>
              <w:rPr>
                <w:rFonts w:eastAsia="Times New Roman"/>
                <w:b/>
                <w:bCs/>
                <w:sz w:val="24"/>
                <w:szCs w:val="24"/>
                <w:lang w:eastAsia="lv-LV"/>
              </w:rPr>
            </w:pPr>
            <w:r w:rsidRPr="00D01ABF">
              <w:rPr>
                <w:rFonts w:eastAsia="Times New Roman"/>
                <w:b/>
                <w:bCs/>
                <w:sz w:val="24"/>
                <w:szCs w:val="24"/>
                <w:lang w:eastAsia="lv-LV"/>
              </w:rPr>
              <w:t>2017</w:t>
            </w:r>
          </w:p>
        </w:tc>
        <w:tc>
          <w:tcPr>
            <w:tcW w:w="569"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8569DD">
            <w:pPr>
              <w:ind w:firstLine="0"/>
              <w:rPr>
                <w:rFonts w:eastAsia="Times New Roman"/>
                <w:b/>
                <w:bCs/>
                <w:sz w:val="24"/>
                <w:szCs w:val="24"/>
                <w:lang w:eastAsia="lv-LV"/>
              </w:rPr>
            </w:pPr>
            <w:r w:rsidRPr="00D01ABF">
              <w:rPr>
                <w:rFonts w:eastAsia="Times New Roman"/>
                <w:b/>
                <w:bCs/>
                <w:sz w:val="24"/>
                <w:szCs w:val="24"/>
                <w:lang w:eastAsia="lv-LV"/>
              </w:rPr>
              <w:t>2018</w:t>
            </w:r>
          </w:p>
        </w:tc>
        <w:tc>
          <w:tcPr>
            <w:tcW w:w="776"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8569DD">
            <w:pPr>
              <w:ind w:firstLine="0"/>
              <w:rPr>
                <w:rFonts w:eastAsia="Times New Roman"/>
                <w:b/>
                <w:bCs/>
                <w:sz w:val="24"/>
                <w:szCs w:val="24"/>
                <w:lang w:eastAsia="lv-LV"/>
              </w:rPr>
            </w:pPr>
            <w:r w:rsidRPr="00D01ABF">
              <w:rPr>
                <w:rFonts w:eastAsia="Times New Roman"/>
                <w:b/>
                <w:bCs/>
                <w:sz w:val="24"/>
                <w:szCs w:val="24"/>
                <w:lang w:eastAsia="lv-LV"/>
              </w:rPr>
              <w:t>2019</w:t>
            </w:r>
          </w:p>
        </w:tc>
      </w:tr>
      <w:tr w:rsidR="00CF4CB0" w:rsidRPr="00D01ABF" w:rsidTr="00677166">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rPr>
                <w:rFonts w:eastAsia="Times New Roman"/>
                <w:b/>
                <w:bCs/>
                <w:sz w:val="24"/>
                <w:szCs w:val="24"/>
                <w:lang w:eastAsia="lv-LV"/>
              </w:rPr>
            </w:pPr>
          </w:p>
        </w:tc>
        <w:tc>
          <w:tcPr>
            <w:tcW w:w="569"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saskaņā ar valsts budžetu kārtējam gadam</w:t>
            </w:r>
          </w:p>
        </w:tc>
        <w:tc>
          <w:tcPr>
            <w:tcW w:w="851"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izmaiņas kārtējā gadā, salīdzinot ar valsts budžetu kārtējam gadam</w:t>
            </w:r>
          </w:p>
        </w:tc>
        <w:tc>
          <w:tcPr>
            <w:tcW w:w="524"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izmaiņas, salīdzinot ar kārtējo gadu</w:t>
            </w:r>
          </w:p>
        </w:tc>
        <w:tc>
          <w:tcPr>
            <w:tcW w:w="569"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izmaiņas, salīdzinot ar kārtējo gadu</w:t>
            </w:r>
          </w:p>
        </w:tc>
        <w:tc>
          <w:tcPr>
            <w:tcW w:w="776"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izmaiņas, salīdzinot ar kārtējo gadu</w:t>
            </w:r>
          </w:p>
        </w:tc>
      </w:tr>
      <w:tr w:rsidR="00CF4CB0" w:rsidRPr="00D01ABF" w:rsidTr="00677166">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525"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ind w:firstLine="300"/>
              <w:jc w:val="center"/>
              <w:rPr>
                <w:rFonts w:eastAsia="Times New Roman"/>
                <w:sz w:val="24"/>
                <w:szCs w:val="24"/>
                <w:lang w:eastAsia="lv-LV"/>
              </w:rPr>
            </w:pPr>
            <w:r w:rsidRPr="00D01ABF">
              <w:rPr>
                <w:rFonts w:eastAsia="Times New Roman"/>
                <w:sz w:val="24"/>
                <w:szCs w:val="24"/>
                <w:lang w:eastAsia="lv-LV"/>
              </w:rPr>
              <w:t>1</w:t>
            </w:r>
          </w:p>
        </w:tc>
        <w:tc>
          <w:tcPr>
            <w:tcW w:w="569"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2</w:t>
            </w:r>
          </w:p>
        </w:tc>
        <w:tc>
          <w:tcPr>
            <w:tcW w:w="851"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3</w:t>
            </w:r>
          </w:p>
        </w:tc>
        <w:tc>
          <w:tcPr>
            <w:tcW w:w="524"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4</w:t>
            </w:r>
          </w:p>
        </w:tc>
        <w:tc>
          <w:tcPr>
            <w:tcW w:w="569"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5</w:t>
            </w:r>
          </w:p>
        </w:tc>
        <w:tc>
          <w:tcPr>
            <w:tcW w:w="776"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6</w:t>
            </w:r>
          </w:p>
        </w:tc>
      </w:tr>
      <w:tr w:rsidR="00CF4CB0" w:rsidRPr="00D01ABF" w:rsidTr="00677166">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525"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1. Budžeta ieņēmumi:</w:t>
            </w:r>
          </w:p>
        </w:tc>
        <w:tc>
          <w:tcPr>
            <w:tcW w:w="569"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851"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24"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69"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776"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r>
      <w:tr w:rsidR="00CF4CB0" w:rsidRPr="00D01ABF" w:rsidTr="00677166">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525"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1.1. valsts pamatbudžets, tai skaitā ieņēmumi no maksas pakalpojumiem un citi pašu ieņēmumi</w:t>
            </w:r>
          </w:p>
        </w:tc>
        <w:tc>
          <w:tcPr>
            <w:tcW w:w="569"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851"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24"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69"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776"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r>
      <w:tr w:rsidR="00CF4CB0" w:rsidRPr="00D01ABF" w:rsidTr="00677166">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525"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1.2. valsts speciālais budžets</w:t>
            </w:r>
          </w:p>
        </w:tc>
        <w:tc>
          <w:tcPr>
            <w:tcW w:w="569" w:type="pct"/>
            <w:tcBorders>
              <w:top w:val="outset" w:sz="6" w:space="0" w:color="414142"/>
              <w:left w:val="outset" w:sz="6" w:space="0" w:color="414142"/>
              <w:bottom w:val="outset" w:sz="6" w:space="0" w:color="414142"/>
              <w:right w:val="outset" w:sz="6" w:space="0" w:color="414142"/>
            </w:tcBorders>
            <w:vAlign w:val="center"/>
          </w:tcPr>
          <w:p w:rsidR="008569DD" w:rsidRPr="00D01ABF" w:rsidRDefault="008569DD" w:rsidP="00C452FA">
            <w:pPr>
              <w:jc w:val="center"/>
              <w:rPr>
                <w:rFonts w:eastAsia="Times New Roman"/>
                <w:sz w:val="24"/>
                <w:szCs w:val="24"/>
                <w:lang w:eastAsia="lv-LV"/>
              </w:rPr>
            </w:pPr>
          </w:p>
        </w:tc>
        <w:tc>
          <w:tcPr>
            <w:tcW w:w="851" w:type="pct"/>
            <w:tcBorders>
              <w:top w:val="outset" w:sz="6" w:space="0" w:color="414142"/>
              <w:left w:val="outset" w:sz="6" w:space="0" w:color="414142"/>
              <w:bottom w:val="outset" w:sz="6" w:space="0" w:color="414142"/>
              <w:right w:val="outset" w:sz="6" w:space="0" w:color="414142"/>
            </w:tcBorders>
            <w:vAlign w:val="center"/>
          </w:tcPr>
          <w:p w:rsidR="008569DD" w:rsidRPr="00D01ABF" w:rsidRDefault="008569DD" w:rsidP="00C452FA">
            <w:pPr>
              <w:jc w:val="center"/>
              <w:rPr>
                <w:rFonts w:eastAsia="Times New Roman"/>
                <w:sz w:val="24"/>
                <w:szCs w:val="24"/>
                <w:lang w:eastAsia="lv-LV"/>
              </w:rPr>
            </w:pPr>
          </w:p>
        </w:tc>
        <w:tc>
          <w:tcPr>
            <w:tcW w:w="524" w:type="pct"/>
            <w:tcBorders>
              <w:top w:val="outset" w:sz="6" w:space="0" w:color="414142"/>
              <w:left w:val="outset" w:sz="6" w:space="0" w:color="414142"/>
              <w:bottom w:val="outset" w:sz="6" w:space="0" w:color="414142"/>
              <w:right w:val="outset" w:sz="6" w:space="0" w:color="414142"/>
            </w:tcBorders>
            <w:vAlign w:val="center"/>
          </w:tcPr>
          <w:p w:rsidR="008569DD" w:rsidRPr="00D01ABF" w:rsidRDefault="008569DD" w:rsidP="00C452FA">
            <w:pPr>
              <w:jc w:val="center"/>
              <w:rPr>
                <w:rFonts w:eastAsia="Times New Roman"/>
                <w:sz w:val="24"/>
                <w:szCs w:val="24"/>
                <w:lang w:eastAsia="lv-LV"/>
              </w:rPr>
            </w:pPr>
          </w:p>
        </w:tc>
        <w:tc>
          <w:tcPr>
            <w:tcW w:w="569" w:type="pct"/>
            <w:tcBorders>
              <w:top w:val="outset" w:sz="6" w:space="0" w:color="414142"/>
              <w:left w:val="outset" w:sz="6" w:space="0" w:color="414142"/>
              <w:bottom w:val="outset" w:sz="6" w:space="0" w:color="414142"/>
              <w:right w:val="outset" w:sz="6" w:space="0" w:color="414142"/>
            </w:tcBorders>
            <w:vAlign w:val="center"/>
          </w:tcPr>
          <w:p w:rsidR="008569DD" w:rsidRPr="00D01ABF" w:rsidRDefault="008569DD" w:rsidP="00C452FA">
            <w:pPr>
              <w:jc w:val="center"/>
              <w:rPr>
                <w:rFonts w:eastAsia="Times New Roman"/>
                <w:sz w:val="24"/>
                <w:szCs w:val="24"/>
                <w:lang w:eastAsia="lv-LV"/>
              </w:rPr>
            </w:pPr>
          </w:p>
        </w:tc>
        <w:tc>
          <w:tcPr>
            <w:tcW w:w="776" w:type="pct"/>
            <w:tcBorders>
              <w:top w:val="outset" w:sz="6" w:space="0" w:color="414142"/>
              <w:left w:val="outset" w:sz="6" w:space="0" w:color="414142"/>
              <w:bottom w:val="outset" w:sz="6" w:space="0" w:color="414142"/>
              <w:right w:val="outset" w:sz="6" w:space="0" w:color="414142"/>
            </w:tcBorders>
            <w:vAlign w:val="center"/>
          </w:tcPr>
          <w:p w:rsidR="008569DD" w:rsidRPr="00D01ABF" w:rsidRDefault="008569DD" w:rsidP="00C452FA">
            <w:pPr>
              <w:jc w:val="center"/>
              <w:rPr>
                <w:rFonts w:eastAsia="Times New Roman"/>
                <w:sz w:val="24"/>
                <w:szCs w:val="24"/>
                <w:lang w:eastAsia="lv-LV"/>
              </w:rPr>
            </w:pPr>
          </w:p>
        </w:tc>
      </w:tr>
      <w:tr w:rsidR="00CF4CB0" w:rsidRPr="00D01ABF" w:rsidTr="00677166">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525"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1.3. pašvaldību budžets</w:t>
            </w:r>
          </w:p>
        </w:tc>
        <w:tc>
          <w:tcPr>
            <w:tcW w:w="569" w:type="pct"/>
            <w:tcBorders>
              <w:top w:val="outset" w:sz="6" w:space="0" w:color="414142"/>
              <w:left w:val="outset" w:sz="6" w:space="0" w:color="414142"/>
              <w:bottom w:val="outset" w:sz="6" w:space="0" w:color="414142"/>
              <w:right w:val="outset" w:sz="6" w:space="0" w:color="414142"/>
            </w:tcBorders>
            <w:vAlign w:val="center"/>
          </w:tcPr>
          <w:p w:rsidR="008569DD" w:rsidRPr="00D01ABF" w:rsidRDefault="008569DD" w:rsidP="00C452FA">
            <w:pPr>
              <w:jc w:val="center"/>
              <w:rPr>
                <w:rFonts w:eastAsia="Times New Roman"/>
                <w:sz w:val="24"/>
                <w:szCs w:val="24"/>
                <w:lang w:eastAsia="lv-LV"/>
              </w:rPr>
            </w:pPr>
          </w:p>
        </w:tc>
        <w:tc>
          <w:tcPr>
            <w:tcW w:w="851" w:type="pct"/>
            <w:tcBorders>
              <w:top w:val="outset" w:sz="6" w:space="0" w:color="414142"/>
              <w:left w:val="outset" w:sz="6" w:space="0" w:color="414142"/>
              <w:bottom w:val="outset" w:sz="6" w:space="0" w:color="414142"/>
              <w:right w:val="outset" w:sz="6" w:space="0" w:color="414142"/>
            </w:tcBorders>
            <w:vAlign w:val="center"/>
          </w:tcPr>
          <w:p w:rsidR="008569DD" w:rsidRPr="00D01ABF" w:rsidRDefault="008569DD" w:rsidP="00C452FA">
            <w:pPr>
              <w:jc w:val="center"/>
              <w:rPr>
                <w:rFonts w:eastAsia="Times New Roman"/>
                <w:sz w:val="24"/>
                <w:szCs w:val="24"/>
                <w:lang w:eastAsia="lv-LV"/>
              </w:rPr>
            </w:pPr>
          </w:p>
        </w:tc>
        <w:tc>
          <w:tcPr>
            <w:tcW w:w="524" w:type="pct"/>
            <w:tcBorders>
              <w:top w:val="outset" w:sz="6" w:space="0" w:color="414142"/>
              <w:left w:val="outset" w:sz="6" w:space="0" w:color="414142"/>
              <w:bottom w:val="outset" w:sz="6" w:space="0" w:color="414142"/>
              <w:right w:val="outset" w:sz="6" w:space="0" w:color="414142"/>
            </w:tcBorders>
            <w:vAlign w:val="center"/>
          </w:tcPr>
          <w:p w:rsidR="008569DD" w:rsidRPr="00D01ABF" w:rsidRDefault="008569DD" w:rsidP="00C452FA">
            <w:pPr>
              <w:jc w:val="center"/>
              <w:rPr>
                <w:rFonts w:eastAsia="Times New Roman"/>
                <w:sz w:val="24"/>
                <w:szCs w:val="24"/>
                <w:lang w:eastAsia="lv-LV"/>
              </w:rPr>
            </w:pPr>
          </w:p>
        </w:tc>
        <w:tc>
          <w:tcPr>
            <w:tcW w:w="569" w:type="pct"/>
            <w:tcBorders>
              <w:top w:val="outset" w:sz="6" w:space="0" w:color="414142"/>
              <w:left w:val="outset" w:sz="6" w:space="0" w:color="414142"/>
              <w:bottom w:val="outset" w:sz="6" w:space="0" w:color="414142"/>
              <w:right w:val="outset" w:sz="6" w:space="0" w:color="414142"/>
            </w:tcBorders>
            <w:vAlign w:val="center"/>
          </w:tcPr>
          <w:p w:rsidR="008569DD" w:rsidRPr="00D01ABF" w:rsidRDefault="008569DD" w:rsidP="00C452FA">
            <w:pPr>
              <w:jc w:val="center"/>
              <w:rPr>
                <w:rFonts w:eastAsia="Times New Roman"/>
                <w:sz w:val="24"/>
                <w:szCs w:val="24"/>
                <w:lang w:eastAsia="lv-LV"/>
              </w:rPr>
            </w:pPr>
          </w:p>
        </w:tc>
        <w:tc>
          <w:tcPr>
            <w:tcW w:w="776" w:type="pct"/>
            <w:tcBorders>
              <w:top w:val="outset" w:sz="6" w:space="0" w:color="414142"/>
              <w:left w:val="outset" w:sz="6" w:space="0" w:color="414142"/>
              <w:bottom w:val="outset" w:sz="6" w:space="0" w:color="414142"/>
              <w:right w:val="outset" w:sz="6" w:space="0" w:color="414142"/>
            </w:tcBorders>
            <w:vAlign w:val="center"/>
          </w:tcPr>
          <w:p w:rsidR="008569DD" w:rsidRPr="00D01ABF" w:rsidRDefault="008569DD" w:rsidP="00C452FA">
            <w:pPr>
              <w:jc w:val="center"/>
              <w:rPr>
                <w:rFonts w:eastAsia="Times New Roman"/>
                <w:sz w:val="24"/>
                <w:szCs w:val="24"/>
                <w:lang w:eastAsia="lv-LV"/>
              </w:rPr>
            </w:pPr>
          </w:p>
        </w:tc>
      </w:tr>
      <w:tr w:rsidR="00CF4CB0" w:rsidRPr="00D01ABF" w:rsidTr="00677166">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525"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lastRenderedPageBreak/>
              <w:t>2. Budžeta izdevumi:</w:t>
            </w:r>
          </w:p>
        </w:tc>
        <w:tc>
          <w:tcPr>
            <w:tcW w:w="569"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851"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24"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69"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776"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r>
      <w:tr w:rsidR="00CF4CB0" w:rsidRPr="00D01ABF" w:rsidTr="00677166">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525"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2.1. valsts pamatbudžets</w:t>
            </w:r>
          </w:p>
        </w:tc>
        <w:tc>
          <w:tcPr>
            <w:tcW w:w="569"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851"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24"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69"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776"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r>
      <w:tr w:rsidR="00CF4CB0" w:rsidRPr="00D01ABF" w:rsidTr="00677166">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525"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2.2. valsts speciālais budžets</w:t>
            </w:r>
          </w:p>
        </w:tc>
        <w:tc>
          <w:tcPr>
            <w:tcW w:w="569"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851"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524"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569"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776"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r>
      <w:tr w:rsidR="00CF4CB0" w:rsidRPr="00D01ABF" w:rsidTr="00677166">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525"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2.3. pašvaldību budžets</w:t>
            </w:r>
          </w:p>
        </w:tc>
        <w:tc>
          <w:tcPr>
            <w:tcW w:w="569"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851"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524"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569"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776"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r>
      <w:tr w:rsidR="00CF4CB0" w:rsidRPr="00D01ABF" w:rsidTr="00677166">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525"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3. Finansiālā ietekme:</w:t>
            </w:r>
          </w:p>
        </w:tc>
        <w:tc>
          <w:tcPr>
            <w:tcW w:w="569"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851"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24"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69"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776"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r>
      <w:tr w:rsidR="00CF4CB0" w:rsidRPr="00D01ABF" w:rsidTr="00677166">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525"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3.1. valsts pamatbudžets</w:t>
            </w:r>
          </w:p>
        </w:tc>
        <w:tc>
          <w:tcPr>
            <w:tcW w:w="569"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851"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24"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69"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776"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r>
      <w:tr w:rsidR="00CF4CB0" w:rsidRPr="00D01ABF" w:rsidTr="00677166">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525"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3.2. speciālais budžets</w:t>
            </w:r>
          </w:p>
        </w:tc>
        <w:tc>
          <w:tcPr>
            <w:tcW w:w="569"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851"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524"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569"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776"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r>
      <w:tr w:rsidR="00CF4CB0" w:rsidRPr="00D01ABF" w:rsidTr="00677166">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Height w:val="288"/>
        </w:trPr>
        <w:tc>
          <w:tcPr>
            <w:tcW w:w="1525"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3.3. pašvaldību budžets</w:t>
            </w:r>
          </w:p>
        </w:tc>
        <w:tc>
          <w:tcPr>
            <w:tcW w:w="569"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851"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524"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569"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776"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r>
      <w:tr w:rsidR="00CF4CB0" w:rsidRPr="00D01ABF" w:rsidTr="00677166">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Height w:val="1612"/>
        </w:trPr>
        <w:tc>
          <w:tcPr>
            <w:tcW w:w="1525"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4. Finanšu līdzekļi papildu izdevumu finansēšanai (kompensējošu izdevumu samazinājumu norāda ar "+" zīmi)</w:t>
            </w:r>
          </w:p>
        </w:tc>
        <w:tc>
          <w:tcPr>
            <w:tcW w:w="569"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X</w:t>
            </w:r>
          </w:p>
        </w:tc>
        <w:tc>
          <w:tcPr>
            <w:tcW w:w="851" w:type="pct"/>
            <w:tcBorders>
              <w:top w:val="outset" w:sz="6" w:space="0" w:color="414142"/>
              <w:left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24" w:type="pct"/>
            <w:tcBorders>
              <w:top w:val="outset" w:sz="6" w:space="0" w:color="414142"/>
              <w:left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69" w:type="pct"/>
            <w:tcBorders>
              <w:top w:val="outset" w:sz="6" w:space="0" w:color="414142"/>
              <w:left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776" w:type="pct"/>
            <w:tcBorders>
              <w:top w:val="outset" w:sz="6" w:space="0" w:color="414142"/>
              <w:left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r>
      <w:tr w:rsidR="00CF4CB0" w:rsidRPr="00D01ABF" w:rsidTr="00677166">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525"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5. Precizēta finansiālā ietekme:</w:t>
            </w:r>
          </w:p>
        </w:tc>
        <w:tc>
          <w:tcPr>
            <w:tcW w:w="569" w:type="pct"/>
            <w:vMerge w:val="restar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X</w:t>
            </w:r>
          </w:p>
        </w:tc>
        <w:tc>
          <w:tcPr>
            <w:tcW w:w="851"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24" w:type="pct"/>
            <w:tcBorders>
              <w:top w:val="outset" w:sz="6" w:space="0" w:color="414142"/>
              <w:left w:val="outset" w:sz="6" w:space="0" w:color="414142"/>
              <w:bottom w:val="outset" w:sz="6" w:space="0" w:color="414142"/>
              <w:right w:val="outset" w:sz="6" w:space="0" w:color="414142"/>
            </w:tcBorders>
            <w:vAlign w:val="center"/>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69"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776"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r>
      <w:tr w:rsidR="00CF4CB0" w:rsidRPr="00D01ABF" w:rsidTr="00677166">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525"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rPr>
                <w:rFonts w:eastAsia="Times New Roman"/>
                <w:sz w:val="24"/>
                <w:szCs w:val="24"/>
                <w:lang w:eastAsia="lv-LV"/>
              </w:rPr>
            </w:pPr>
          </w:p>
        </w:tc>
        <w:tc>
          <w:tcPr>
            <w:tcW w:w="851"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24" w:type="pct"/>
            <w:tcBorders>
              <w:top w:val="outset" w:sz="6" w:space="0" w:color="414142"/>
              <w:left w:val="outset" w:sz="6" w:space="0" w:color="414142"/>
              <w:bottom w:val="outset" w:sz="6" w:space="0" w:color="414142"/>
              <w:right w:val="outset" w:sz="6" w:space="0" w:color="414142"/>
            </w:tcBorders>
            <w:vAlign w:val="center"/>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69"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776"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r>
      <w:tr w:rsidR="00CF4CB0" w:rsidRPr="00D01ABF" w:rsidTr="00677166">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525"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rPr>
                <w:rFonts w:eastAsia="Times New Roman"/>
                <w:sz w:val="24"/>
                <w:szCs w:val="24"/>
                <w:lang w:eastAsia="lv-LV"/>
              </w:rPr>
            </w:pPr>
          </w:p>
        </w:tc>
        <w:tc>
          <w:tcPr>
            <w:tcW w:w="851"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 </w:t>
            </w:r>
          </w:p>
        </w:tc>
        <w:tc>
          <w:tcPr>
            <w:tcW w:w="524"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 </w:t>
            </w:r>
          </w:p>
        </w:tc>
        <w:tc>
          <w:tcPr>
            <w:tcW w:w="569"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 </w:t>
            </w:r>
          </w:p>
        </w:tc>
        <w:tc>
          <w:tcPr>
            <w:tcW w:w="776"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 </w:t>
            </w:r>
          </w:p>
        </w:tc>
      </w:tr>
      <w:tr w:rsidR="00CF4CB0" w:rsidRPr="00D01ABF" w:rsidTr="00677166">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525"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rPr>
                <w:rFonts w:eastAsia="Times New Roman"/>
                <w:sz w:val="24"/>
                <w:szCs w:val="24"/>
                <w:lang w:eastAsia="lv-LV"/>
              </w:rPr>
            </w:pPr>
          </w:p>
        </w:tc>
        <w:tc>
          <w:tcPr>
            <w:tcW w:w="851"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 </w:t>
            </w:r>
          </w:p>
        </w:tc>
        <w:tc>
          <w:tcPr>
            <w:tcW w:w="524"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 </w:t>
            </w:r>
          </w:p>
        </w:tc>
        <w:tc>
          <w:tcPr>
            <w:tcW w:w="569"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 </w:t>
            </w:r>
          </w:p>
        </w:tc>
        <w:tc>
          <w:tcPr>
            <w:tcW w:w="776"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 </w:t>
            </w:r>
          </w:p>
        </w:tc>
      </w:tr>
      <w:tr w:rsidR="00CF4CB0" w:rsidRPr="00D01ABF" w:rsidTr="00677166">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525"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6. Detalizēts ieņēmumu un izdevumu aprēķins (ja nepieciešams, detalizētu ieņēmumu un izdevumu aprēķinu var pievienot anotācijas pielikumā):</w:t>
            </w:r>
          </w:p>
        </w:tc>
        <w:tc>
          <w:tcPr>
            <w:tcW w:w="3372" w:type="pct"/>
            <w:gridSpan w:val="5"/>
            <w:vMerge w:val="restar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ind w:left="180" w:firstLine="401"/>
              <w:jc w:val="both"/>
              <w:rPr>
                <w:sz w:val="24"/>
                <w:szCs w:val="24"/>
              </w:rPr>
            </w:pPr>
          </w:p>
          <w:p w:rsidR="008569DD" w:rsidRPr="00D01ABF" w:rsidRDefault="008569DD" w:rsidP="00C452FA">
            <w:pPr>
              <w:ind w:left="14"/>
              <w:jc w:val="both"/>
            </w:pPr>
          </w:p>
        </w:tc>
      </w:tr>
      <w:tr w:rsidR="00CF4CB0" w:rsidRPr="00D01ABF" w:rsidTr="00677166">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525"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rPr>
                <w:rFonts w:eastAsia="Times New Roman"/>
                <w:sz w:val="24"/>
                <w:szCs w:val="24"/>
                <w:lang w:eastAsia="lv-LV"/>
              </w:rPr>
            </w:pPr>
          </w:p>
        </w:tc>
      </w:tr>
      <w:tr w:rsidR="00CF4CB0" w:rsidRPr="00D01ABF" w:rsidTr="00677166">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Height w:val="867"/>
        </w:trPr>
        <w:tc>
          <w:tcPr>
            <w:tcW w:w="1525"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rPr>
                <w:rFonts w:eastAsia="Times New Roman"/>
                <w:sz w:val="24"/>
                <w:szCs w:val="24"/>
                <w:lang w:eastAsia="lv-LV"/>
              </w:rPr>
            </w:pPr>
          </w:p>
        </w:tc>
      </w:tr>
      <w:tr w:rsidR="00CF4CB0" w:rsidRPr="00D01ABF" w:rsidTr="00677166">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Height w:val="394"/>
        </w:trPr>
        <w:tc>
          <w:tcPr>
            <w:tcW w:w="1525"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7. Cita informācija</w:t>
            </w:r>
          </w:p>
        </w:tc>
        <w:tc>
          <w:tcPr>
            <w:tcW w:w="3372" w:type="pct"/>
            <w:gridSpan w:val="5"/>
            <w:tcBorders>
              <w:top w:val="outset" w:sz="6" w:space="0" w:color="414142"/>
              <w:left w:val="outset" w:sz="6" w:space="0" w:color="414142"/>
              <w:bottom w:val="outset" w:sz="6" w:space="0" w:color="414142"/>
              <w:right w:val="outset" w:sz="6" w:space="0" w:color="414142"/>
            </w:tcBorders>
            <w:hideMark/>
          </w:tcPr>
          <w:p w:rsidR="008569DD" w:rsidRPr="00D01ABF" w:rsidRDefault="001209FE" w:rsidP="00FF0B52">
            <w:pPr>
              <w:ind w:firstLine="0"/>
              <w:jc w:val="both"/>
              <w:rPr>
                <w:rFonts w:eastAsia="Times New Roman"/>
                <w:sz w:val="24"/>
                <w:szCs w:val="24"/>
                <w:lang w:eastAsia="lv-LV"/>
              </w:rPr>
            </w:pPr>
            <w:r>
              <w:rPr>
                <w:sz w:val="24"/>
                <w:szCs w:val="24"/>
              </w:rPr>
              <w:t xml:space="preserve">      </w:t>
            </w:r>
            <w:r w:rsidR="008569DD" w:rsidRPr="00D01ABF">
              <w:rPr>
                <w:sz w:val="24"/>
                <w:szCs w:val="24"/>
              </w:rPr>
              <w:t xml:space="preserve">Tiesību akta projekta ietekme uz valsts budžetu un pašvaldību budžetiem ir neitrāla, tiek saglabāta Ministru kabineta 2014.gada 22.aprīļa sēdes </w:t>
            </w:r>
            <w:proofErr w:type="spellStart"/>
            <w:r w:rsidR="008569DD" w:rsidRPr="00D01ABF">
              <w:rPr>
                <w:sz w:val="24"/>
                <w:szCs w:val="24"/>
              </w:rPr>
              <w:t>protokollēmuma</w:t>
            </w:r>
            <w:proofErr w:type="spellEnd"/>
            <w:r w:rsidR="008569DD" w:rsidRPr="00D01ABF">
              <w:rPr>
                <w:sz w:val="24"/>
                <w:szCs w:val="24"/>
              </w:rPr>
              <w:t xml:space="preserve"> (prot.Nr.24, 39.§) 4.punktā noteiktā kārtība, ka turpmākajos gados līdz Elektronisko sakaru likuma 66.pantā noteiktā universālā pakalpojuma finansēšanas un kompensācijas mehānisma izveidei, ja nepieciešams, zaudējumi tiek kompensēti, samazinot valstij pienākošos un izmaksājamo sabiedrības ar ierobežotu atbildību „Lattelecom” dividenžu summu </w:t>
            </w:r>
            <w:r w:rsidR="008569DD" w:rsidRPr="00D01ABF">
              <w:rPr>
                <w:sz w:val="24"/>
                <w:szCs w:val="24"/>
              </w:rPr>
              <w:lastRenderedPageBreak/>
              <w:t xml:space="preserve">par iepriekšējā gada darbības rezultātiem, ja sabiedrības ar ierobežotu atbildību </w:t>
            </w:r>
            <w:r w:rsidR="00FF0B52" w:rsidRPr="00D01ABF">
              <w:rPr>
                <w:sz w:val="24"/>
                <w:szCs w:val="24"/>
              </w:rPr>
              <w:t>„</w:t>
            </w:r>
            <w:r w:rsidR="008569DD" w:rsidRPr="00D01ABF">
              <w:rPr>
                <w:sz w:val="24"/>
                <w:szCs w:val="24"/>
              </w:rPr>
              <w:t>Lattelecom</w:t>
            </w:r>
            <w:r w:rsidR="00FF0B52">
              <w:rPr>
                <w:sz w:val="24"/>
                <w:szCs w:val="24"/>
              </w:rPr>
              <w:t>”</w:t>
            </w:r>
            <w:r w:rsidR="008569DD" w:rsidRPr="00D01ABF">
              <w:rPr>
                <w:sz w:val="24"/>
                <w:szCs w:val="24"/>
              </w:rPr>
              <w:t xml:space="preserve"> dalībnieku sapulcē tiks pieņemts pozitīvs lēmums par dividenžu izmaksu.</w:t>
            </w:r>
          </w:p>
        </w:tc>
      </w:tr>
    </w:tbl>
    <w:p w:rsidR="00042E41" w:rsidRDefault="00042E41" w:rsidP="0024090D">
      <w:pPr>
        <w:ind w:firstLine="0"/>
        <w:rPr>
          <w:rFonts w:cs="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75"/>
        <w:gridCol w:w="7456"/>
      </w:tblGrid>
      <w:tr w:rsidR="00677166" w:rsidRPr="00EF1D76" w:rsidTr="008068B0">
        <w:tc>
          <w:tcPr>
            <w:tcW w:w="9498" w:type="dxa"/>
            <w:gridSpan w:val="3"/>
            <w:tcMar>
              <w:top w:w="57" w:type="dxa"/>
              <w:left w:w="113" w:type="dxa"/>
              <w:bottom w:w="57" w:type="dxa"/>
              <w:right w:w="113" w:type="dxa"/>
            </w:tcMar>
          </w:tcPr>
          <w:p w:rsidR="00677166" w:rsidRPr="00677166" w:rsidRDefault="00677166" w:rsidP="00677166">
            <w:pPr>
              <w:pStyle w:val="naisnod"/>
              <w:keepNext/>
              <w:spacing w:before="0" w:after="0"/>
              <w:jc w:val="center"/>
              <w:rPr>
                <w:b/>
              </w:rPr>
            </w:pPr>
            <w:r w:rsidRPr="00677166">
              <w:rPr>
                <w:b/>
              </w:rPr>
              <w:t>IV. Tiesību akta projekta ietekme uz spēkā esošo tiesību normu sistēmu</w:t>
            </w:r>
          </w:p>
        </w:tc>
      </w:tr>
      <w:tr w:rsidR="00677166" w:rsidRPr="00EF1D76" w:rsidTr="008068B0">
        <w:trPr>
          <w:trHeight w:val="1522"/>
        </w:trPr>
        <w:tc>
          <w:tcPr>
            <w:tcW w:w="567" w:type="dxa"/>
            <w:tcMar>
              <w:top w:w="57" w:type="dxa"/>
              <w:left w:w="113" w:type="dxa"/>
              <w:bottom w:w="57" w:type="dxa"/>
              <w:right w:w="113" w:type="dxa"/>
            </w:tcMar>
          </w:tcPr>
          <w:p w:rsidR="00677166" w:rsidRPr="00EF1D76" w:rsidRDefault="00677166" w:rsidP="00805101">
            <w:pPr>
              <w:pStyle w:val="naiskr"/>
              <w:tabs>
                <w:tab w:val="left" w:pos="2628"/>
              </w:tabs>
              <w:spacing w:before="0" w:after="0"/>
              <w:jc w:val="center"/>
              <w:rPr>
                <w:iCs/>
              </w:rPr>
            </w:pPr>
            <w:r w:rsidRPr="00EF1D76">
              <w:rPr>
                <w:iCs/>
              </w:rPr>
              <w:t>1.</w:t>
            </w:r>
          </w:p>
        </w:tc>
        <w:tc>
          <w:tcPr>
            <w:tcW w:w="1475" w:type="dxa"/>
            <w:tcMar>
              <w:top w:w="57" w:type="dxa"/>
              <w:left w:w="113" w:type="dxa"/>
              <w:bottom w:w="57" w:type="dxa"/>
              <w:right w:w="113" w:type="dxa"/>
            </w:tcMar>
          </w:tcPr>
          <w:p w:rsidR="00677166" w:rsidRPr="00EF1D76" w:rsidRDefault="00677166" w:rsidP="00805101">
            <w:pPr>
              <w:pStyle w:val="naiskr"/>
              <w:tabs>
                <w:tab w:val="left" w:pos="2628"/>
              </w:tabs>
              <w:spacing w:before="0" w:after="0"/>
              <w:rPr>
                <w:iCs/>
              </w:rPr>
            </w:pPr>
            <w:r w:rsidRPr="00EF1D76">
              <w:t>Nepieciešamie saistītie tiesību aktu projekti</w:t>
            </w:r>
          </w:p>
        </w:tc>
        <w:tc>
          <w:tcPr>
            <w:tcW w:w="7456" w:type="dxa"/>
            <w:tcMar>
              <w:top w:w="57" w:type="dxa"/>
              <w:left w:w="113" w:type="dxa"/>
              <w:bottom w:w="57" w:type="dxa"/>
              <w:right w:w="113" w:type="dxa"/>
            </w:tcMar>
          </w:tcPr>
          <w:p w:rsidR="00677166" w:rsidRPr="00861242" w:rsidRDefault="00677166" w:rsidP="00861242">
            <w:pPr>
              <w:ind w:firstLine="0"/>
              <w:jc w:val="both"/>
              <w:rPr>
                <w:iCs/>
                <w:sz w:val="24"/>
                <w:szCs w:val="24"/>
              </w:rPr>
            </w:pPr>
            <w:r w:rsidRPr="00861242">
              <w:rPr>
                <w:iCs/>
                <w:sz w:val="24"/>
                <w:szCs w:val="24"/>
              </w:rPr>
              <w:t>Likumprojekts paredz:</w:t>
            </w:r>
          </w:p>
          <w:p w:rsidR="00677166" w:rsidRPr="00861242" w:rsidRDefault="00677166" w:rsidP="00861242">
            <w:pPr>
              <w:pStyle w:val="ListParagraph"/>
              <w:numPr>
                <w:ilvl w:val="0"/>
                <w:numId w:val="14"/>
              </w:numPr>
              <w:ind w:left="113" w:firstLine="57"/>
              <w:jc w:val="both"/>
              <w:rPr>
                <w:rFonts w:cs="Times New Roman"/>
                <w:sz w:val="24"/>
                <w:szCs w:val="24"/>
              </w:rPr>
            </w:pPr>
            <w:r w:rsidRPr="00861242">
              <w:rPr>
                <w:iCs/>
                <w:sz w:val="24"/>
                <w:szCs w:val="24"/>
              </w:rPr>
              <w:t>Ministru</w:t>
            </w:r>
            <w:r w:rsidR="008068B0" w:rsidRPr="00861242">
              <w:rPr>
                <w:iCs/>
                <w:sz w:val="24"/>
                <w:szCs w:val="24"/>
              </w:rPr>
              <w:t xml:space="preserve"> kabineta noteikumus, kas nosaka </w:t>
            </w:r>
            <w:r w:rsidR="00861242" w:rsidRPr="00861242">
              <w:rPr>
                <w:rFonts w:cs="Times New Roman"/>
                <w:sz w:val="24"/>
                <w:szCs w:val="24"/>
              </w:rPr>
              <w:t>informācijas, kas nepieciešama Patērētāju tiesību aizsardzības centram, pieprasīšanas kārtību un veidu, kā arī informācijas sagatavošanas un nodošanas termiņus;</w:t>
            </w:r>
          </w:p>
          <w:p w:rsidR="00861242" w:rsidRPr="00861242" w:rsidRDefault="00861242" w:rsidP="00861242">
            <w:pPr>
              <w:pStyle w:val="ListParagraph"/>
              <w:numPr>
                <w:ilvl w:val="0"/>
                <w:numId w:val="14"/>
              </w:numPr>
              <w:ind w:left="113" w:firstLine="57"/>
              <w:jc w:val="both"/>
              <w:rPr>
                <w:iCs/>
                <w:sz w:val="24"/>
                <w:szCs w:val="24"/>
              </w:rPr>
            </w:pPr>
            <w:r w:rsidRPr="00861242">
              <w:rPr>
                <w:iCs/>
                <w:sz w:val="24"/>
                <w:szCs w:val="24"/>
              </w:rPr>
              <w:t xml:space="preserve">Ministru kabineta noteikumus, kas </w:t>
            </w:r>
            <w:r w:rsidRPr="00861242">
              <w:rPr>
                <w:rFonts w:cs="Times New Roman"/>
                <w:sz w:val="24"/>
                <w:szCs w:val="24"/>
              </w:rPr>
              <w:t>nosaka informācijas, kas nepiecie</w:t>
            </w:r>
            <w:r w:rsidR="005357EC">
              <w:rPr>
                <w:rFonts w:cs="Times New Roman"/>
                <w:sz w:val="24"/>
                <w:szCs w:val="24"/>
              </w:rPr>
              <w:t>šama C</w:t>
            </w:r>
            <w:r w:rsidRPr="00861242">
              <w:rPr>
                <w:rFonts w:cs="Times New Roman"/>
                <w:sz w:val="24"/>
                <w:szCs w:val="24"/>
              </w:rPr>
              <w:t>entrālai statistikas pārvaldei, pieprasīšanas  kārtību un veidu, pieprasāmās informācijas apjomu un samaksu par pieprasītā informācijas apjoma sagatavošanu, kā arī informācijas sagatavošanas un nodošanas termiņus</w:t>
            </w:r>
            <w:r>
              <w:rPr>
                <w:rFonts w:cs="Times New Roman"/>
                <w:sz w:val="24"/>
                <w:szCs w:val="24"/>
              </w:rPr>
              <w:t>.</w:t>
            </w:r>
          </w:p>
        </w:tc>
      </w:tr>
      <w:tr w:rsidR="00677166" w:rsidRPr="00EF1D76" w:rsidTr="008068B0">
        <w:tc>
          <w:tcPr>
            <w:tcW w:w="567" w:type="dxa"/>
            <w:tcMar>
              <w:top w:w="57" w:type="dxa"/>
              <w:left w:w="113" w:type="dxa"/>
              <w:bottom w:w="57" w:type="dxa"/>
              <w:right w:w="113" w:type="dxa"/>
            </w:tcMar>
          </w:tcPr>
          <w:p w:rsidR="00677166" w:rsidRPr="00EF1D76" w:rsidRDefault="00677166" w:rsidP="00805101">
            <w:pPr>
              <w:pStyle w:val="naiskr"/>
              <w:tabs>
                <w:tab w:val="left" w:pos="2628"/>
              </w:tabs>
              <w:spacing w:before="0" w:after="0"/>
              <w:jc w:val="center"/>
              <w:rPr>
                <w:iCs/>
              </w:rPr>
            </w:pPr>
            <w:r>
              <w:rPr>
                <w:iCs/>
              </w:rPr>
              <w:t>2.</w:t>
            </w:r>
          </w:p>
        </w:tc>
        <w:tc>
          <w:tcPr>
            <w:tcW w:w="1475" w:type="dxa"/>
            <w:tcMar>
              <w:top w:w="57" w:type="dxa"/>
              <w:left w:w="113" w:type="dxa"/>
              <w:bottom w:w="57" w:type="dxa"/>
              <w:right w:w="113" w:type="dxa"/>
            </w:tcMar>
          </w:tcPr>
          <w:p w:rsidR="00677166" w:rsidRPr="00EF1D76" w:rsidRDefault="00677166" w:rsidP="00805101">
            <w:pPr>
              <w:pStyle w:val="naiskr"/>
              <w:tabs>
                <w:tab w:val="left" w:pos="2628"/>
              </w:tabs>
              <w:spacing w:before="0" w:after="0"/>
            </w:pPr>
            <w:r w:rsidRPr="00427060">
              <w:t>Atbildīgā institūcija</w:t>
            </w:r>
          </w:p>
        </w:tc>
        <w:tc>
          <w:tcPr>
            <w:tcW w:w="7456" w:type="dxa"/>
            <w:tcMar>
              <w:top w:w="57" w:type="dxa"/>
              <w:left w:w="113" w:type="dxa"/>
              <w:bottom w:w="57" w:type="dxa"/>
              <w:right w:w="113" w:type="dxa"/>
            </w:tcMar>
          </w:tcPr>
          <w:p w:rsidR="00677166" w:rsidRDefault="00861242" w:rsidP="00861242">
            <w:pPr>
              <w:pStyle w:val="naiskr"/>
              <w:tabs>
                <w:tab w:val="left" w:pos="2628"/>
              </w:tabs>
              <w:spacing w:before="0" w:after="0"/>
              <w:jc w:val="both"/>
              <w:rPr>
                <w:iCs/>
              </w:rPr>
            </w:pPr>
            <w:r>
              <w:rPr>
                <w:iCs/>
              </w:rPr>
              <w:t>Ekonomikas ministrija</w:t>
            </w:r>
          </w:p>
        </w:tc>
      </w:tr>
      <w:tr w:rsidR="00677166" w:rsidRPr="00EF1D76" w:rsidTr="008068B0">
        <w:tc>
          <w:tcPr>
            <w:tcW w:w="567" w:type="dxa"/>
            <w:tcMar>
              <w:top w:w="57" w:type="dxa"/>
              <w:left w:w="113" w:type="dxa"/>
              <w:bottom w:w="57" w:type="dxa"/>
              <w:right w:w="113" w:type="dxa"/>
            </w:tcMar>
          </w:tcPr>
          <w:p w:rsidR="00677166" w:rsidRDefault="00677166" w:rsidP="00805101">
            <w:pPr>
              <w:pStyle w:val="naiskr"/>
              <w:tabs>
                <w:tab w:val="left" w:pos="2628"/>
              </w:tabs>
              <w:spacing w:before="0" w:after="0"/>
              <w:jc w:val="center"/>
              <w:rPr>
                <w:iCs/>
              </w:rPr>
            </w:pPr>
            <w:r>
              <w:rPr>
                <w:iCs/>
              </w:rPr>
              <w:t>3.</w:t>
            </w:r>
          </w:p>
        </w:tc>
        <w:tc>
          <w:tcPr>
            <w:tcW w:w="1475" w:type="dxa"/>
            <w:tcMar>
              <w:top w:w="57" w:type="dxa"/>
              <w:left w:w="113" w:type="dxa"/>
              <w:bottom w:w="57" w:type="dxa"/>
              <w:right w:w="113" w:type="dxa"/>
            </w:tcMar>
          </w:tcPr>
          <w:p w:rsidR="00677166" w:rsidRPr="00427060" w:rsidRDefault="00677166" w:rsidP="00805101">
            <w:pPr>
              <w:pStyle w:val="naiskr"/>
              <w:tabs>
                <w:tab w:val="left" w:pos="2628"/>
              </w:tabs>
              <w:spacing w:before="0" w:after="0"/>
            </w:pPr>
            <w:r w:rsidRPr="00EF1D76">
              <w:t>Cita informācija</w:t>
            </w:r>
          </w:p>
        </w:tc>
        <w:tc>
          <w:tcPr>
            <w:tcW w:w="7456" w:type="dxa"/>
            <w:tcMar>
              <w:top w:w="57" w:type="dxa"/>
              <w:left w:w="113" w:type="dxa"/>
              <w:bottom w:w="57" w:type="dxa"/>
              <w:right w:w="113" w:type="dxa"/>
            </w:tcMar>
          </w:tcPr>
          <w:p w:rsidR="00677166" w:rsidRPr="00861242" w:rsidRDefault="00861242" w:rsidP="00861242">
            <w:pPr>
              <w:ind w:left="113" w:hanging="113"/>
              <w:jc w:val="both"/>
              <w:rPr>
                <w:sz w:val="24"/>
                <w:szCs w:val="24"/>
              </w:rPr>
            </w:pPr>
            <w:r w:rsidRPr="00861242">
              <w:rPr>
                <w:sz w:val="24"/>
                <w:szCs w:val="24"/>
              </w:rPr>
              <w:t>Nav.</w:t>
            </w:r>
          </w:p>
        </w:tc>
      </w:tr>
      <w:tr w:rsidR="008068B0" w:rsidRPr="008D55BF" w:rsidTr="008068B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A0" w:firstRow="1" w:lastRow="0" w:firstColumn="1" w:lastColumn="0" w:noHBand="0" w:noVBand="0"/>
        </w:tblPrEx>
        <w:trPr>
          <w:trHeight w:val="284"/>
        </w:trPr>
        <w:tc>
          <w:tcPr>
            <w:tcW w:w="9498" w:type="dxa"/>
            <w:gridSpan w:val="3"/>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rsidR="008068B0" w:rsidRPr="008068B0" w:rsidRDefault="008068B0" w:rsidP="00805101">
            <w:pPr>
              <w:jc w:val="center"/>
              <w:rPr>
                <w:b/>
                <w:bCs/>
                <w:sz w:val="24"/>
                <w:szCs w:val="24"/>
              </w:rPr>
            </w:pPr>
            <w:r w:rsidRPr="008068B0">
              <w:rPr>
                <w:b/>
                <w:bCs/>
                <w:sz w:val="24"/>
                <w:szCs w:val="24"/>
              </w:rPr>
              <w:t>V</w:t>
            </w:r>
            <w:r w:rsidRPr="008068B0">
              <w:rPr>
                <w:b/>
                <w:bCs/>
                <w:color w:val="414142"/>
                <w:sz w:val="24"/>
                <w:szCs w:val="24"/>
              </w:rPr>
              <w:t xml:space="preserve">. </w:t>
            </w:r>
            <w:r w:rsidRPr="008068B0">
              <w:rPr>
                <w:b/>
                <w:bCs/>
                <w:sz w:val="24"/>
                <w:szCs w:val="24"/>
              </w:rPr>
              <w:t>Tiesību akta projekta atbilstība Latvijas Republikas starptautiskajām saistībām</w:t>
            </w:r>
          </w:p>
        </w:tc>
      </w:tr>
      <w:tr w:rsidR="008068B0" w:rsidRPr="008D55BF" w:rsidTr="008068B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A0" w:firstRow="1" w:lastRow="0" w:firstColumn="1" w:lastColumn="0" w:noHBand="0" w:noVBand="0"/>
        </w:tblPrEx>
        <w:trPr>
          <w:trHeight w:val="284"/>
        </w:trPr>
        <w:tc>
          <w:tcPr>
            <w:tcW w:w="9498" w:type="dxa"/>
            <w:gridSpan w:val="3"/>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rsidR="008068B0" w:rsidRPr="008068B0" w:rsidRDefault="008068B0" w:rsidP="00805101">
            <w:pPr>
              <w:jc w:val="center"/>
              <w:rPr>
                <w:bCs/>
                <w:sz w:val="24"/>
                <w:szCs w:val="24"/>
              </w:rPr>
            </w:pPr>
            <w:r w:rsidRPr="008068B0">
              <w:rPr>
                <w:sz w:val="24"/>
                <w:szCs w:val="24"/>
              </w:rPr>
              <w:t>Likumprojekts šo jomu neskar</w:t>
            </w:r>
          </w:p>
        </w:tc>
      </w:tr>
    </w:tbl>
    <w:p w:rsidR="00677166" w:rsidRPr="00D01ABF" w:rsidRDefault="00677166" w:rsidP="0024090D">
      <w:pPr>
        <w:ind w:firstLine="0"/>
        <w:rPr>
          <w:rFonts w:cs="Times New Roman"/>
          <w:sz w:val="24"/>
          <w:szCs w:val="24"/>
        </w:rPr>
      </w:pPr>
    </w:p>
    <w:tbl>
      <w:tblPr>
        <w:tblW w:w="9509" w:type="dxa"/>
        <w:jc w:val="center"/>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6"/>
        <w:gridCol w:w="2633"/>
        <w:gridCol w:w="5960"/>
      </w:tblGrid>
      <w:tr w:rsidR="00CF4CB0" w:rsidRPr="00D01ABF" w:rsidTr="008068B0">
        <w:trPr>
          <w:trHeight w:val="421"/>
          <w:jc w:val="center"/>
        </w:trPr>
        <w:tc>
          <w:tcPr>
            <w:tcW w:w="9509" w:type="dxa"/>
            <w:gridSpan w:val="3"/>
            <w:vAlign w:val="center"/>
          </w:tcPr>
          <w:p w:rsidR="00FD34CD" w:rsidRPr="00D01ABF" w:rsidRDefault="00FD34CD" w:rsidP="0024090D">
            <w:pPr>
              <w:ind w:firstLine="0"/>
              <w:jc w:val="center"/>
              <w:rPr>
                <w:rFonts w:cs="Times New Roman"/>
                <w:sz w:val="24"/>
                <w:szCs w:val="24"/>
              </w:rPr>
            </w:pPr>
            <w:r w:rsidRPr="00D01ABF">
              <w:rPr>
                <w:rFonts w:cs="Times New Roman"/>
                <w:b/>
                <w:sz w:val="24"/>
                <w:szCs w:val="24"/>
              </w:rPr>
              <w:t>VI. Sabiedrības līdzdalība un komunikācijas aktivitātes</w:t>
            </w:r>
          </w:p>
        </w:tc>
      </w:tr>
      <w:tr w:rsidR="00CF4CB0" w:rsidRPr="00D01ABF" w:rsidTr="008068B0">
        <w:trPr>
          <w:trHeight w:val="553"/>
          <w:jc w:val="center"/>
        </w:trPr>
        <w:tc>
          <w:tcPr>
            <w:tcW w:w="916" w:type="dxa"/>
          </w:tcPr>
          <w:p w:rsidR="00FD34CD" w:rsidRPr="00D01ABF" w:rsidRDefault="00FD34CD" w:rsidP="0024090D">
            <w:pPr>
              <w:ind w:firstLine="0"/>
              <w:rPr>
                <w:rFonts w:cs="Times New Roman"/>
                <w:bCs/>
                <w:sz w:val="24"/>
                <w:szCs w:val="24"/>
              </w:rPr>
            </w:pPr>
            <w:r w:rsidRPr="00D01ABF">
              <w:rPr>
                <w:rFonts w:cs="Times New Roman"/>
                <w:bCs/>
                <w:sz w:val="24"/>
                <w:szCs w:val="24"/>
              </w:rPr>
              <w:t>1.</w:t>
            </w:r>
          </w:p>
        </w:tc>
        <w:tc>
          <w:tcPr>
            <w:tcW w:w="2633" w:type="dxa"/>
          </w:tcPr>
          <w:p w:rsidR="00FD34CD" w:rsidRPr="00D01ABF" w:rsidRDefault="00FD34CD" w:rsidP="0024090D">
            <w:pPr>
              <w:ind w:firstLine="0"/>
              <w:rPr>
                <w:rFonts w:cs="Times New Roman"/>
                <w:sz w:val="24"/>
                <w:szCs w:val="24"/>
              </w:rPr>
            </w:pPr>
            <w:r w:rsidRPr="00D01ABF">
              <w:rPr>
                <w:rFonts w:cs="Times New Roman"/>
                <w:sz w:val="24"/>
                <w:szCs w:val="24"/>
              </w:rPr>
              <w:t>Plānotās sabiedrības līdzdalības un komunikācijas aktivitātes saistībā ar projektu</w:t>
            </w:r>
          </w:p>
        </w:tc>
        <w:tc>
          <w:tcPr>
            <w:tcW w:w="5960" w:type="dxa"/>
          </w:tcPr>
          <w:p w:rsidR="00FD34CD" w:rsidRPr="00F74A2E" w:rsidRDefault="00B804BA" w:rsidP="00B804BA">
            <w:pPr>
              <w:ind w:left="146" w:firstLine="0"/>
              <w:jc w:val="both"/>
              <w:rPr>
                <w:rFonts w:cs="Times New Roman"/>
                <w:sz w:val="24"/>
                <w:szCs w:val="24"/>
              </w:rPr>
            </w:pPr>
            <w:bookmarkStart w:id="1" w:name="p61"/>
            <w:bookmarkEnd w:id="1"/>
            <w:r w:rsidRPr="00F74A2E">
              <w:rPr>
                <w:rFonts w:cs="Times New Roman"/>
                <w:sz w:val="24"/>
                <w:szCs w:val="24"/>
              </w:rPr>
              <w:t xml:space="preserve">Atbilstoši Ministru kabineta 2009.gada 25.augusta noteikumiem Nr.970 „Sabiedrības līdzdalības kārtība attīstības plānošanas procesā” par projekta izstrādi tika informēti sabiedrības pārstāvji, </w:t>
            </w:r>
            <w:r w:rsidR="00F14363">
              <w:rPr>
                <w:rFonts w:cs="Times New Roman"/>
                <w:sz w:val="24"/>
                <w:szCs w:val="24"/>
              </w:rPr>
              <w:t xml:space="preserve">2017.gada 15.jūnijā </w:t>
            </w:r>
            <w:r w:rsidRPr="00F74A2E">
              <w:rPr>
                <w:rFonts w:cs="Times New Roman"/>
                <w:sz w:val="24"/>
                <w:szCs w:val="24"/>
              </w:rPr>
              <w:t xml:space="preserve">ievietojot Paziņojumu par līdzdalības iespējām tiesību akta izstrādes procesā Satiksmes ministrijas tīmekļa vietnē. </w:t>
            </w:r>
          </w:p>
        </w:tc>
      </w:tr>
      <w:tr w:rsidR="00CF4CB0" w:rsidRPr="00D01ABF" w:rsidTr="008068B0">
        <w:trPr>
          <w:trHeight w:val="339"/>
          <w:jc w:val="center"/>
        </w:trPr>
        <w:tc>
          <w:tcPr>
            <w:tcW w:w="916" w:type="dxa"/>
          </w:tcPr>
          <w:p w:rsidR="00FD34CD" w:rsidRPr="00D01ABF" w:rsidRDefault="00FD34CD" w:rsidP="0024090D">
            <w:pPr>
              <w:ind w:firstLine="0"/>
              <w:rPr>
                <w:rFonts w:cs="Times New Roman"/>
                <w:bCs/>
                <w:sz w:val="24"/>
                <w:szCs w:val="24"/>
              </w:rPr>
            </w:pPr>
            <w:r w:rsidRPr="00D01ABF">
              <w:rPr>
                <w:rFonts w:cs="Times New Roman"/>
                <w:bCs/>
                <w:sz w:val="24"/>
                <w:szCs w:val="24"/>
              </w:rPr>
              <w:t>2.</w:t>
            </w:r>
          </w:p>
        </w:tc>
        <w:tc>
          <w:tcPr>
            <w:tcW w:w="2633" w:type="dxa"/>
          </w:tcPr>
          <w:p w:rsidR="00FD34CD" w:rsidRPr="00D01ABF" w:rsidRDefault="00FD34CD" w:rsidP="0024090D">
            <w:pPr>
              <w:ind w:firstLine="0"/>
              <w:rPr>
                <w:rFonts w:cs="Times New Roman"/>
                <w:sz w:val="24"/>
                <w:szCs w:val="24"/>
              </w:rPr>
            </w:pPr>
            <w:r w:rsidRPr="00D01ABF">
              <w:rPr>
                <w:rFonts w:cs="Times New Roman"/>
                <w:sz w:val="24"/>
                <w:szCs w:val="24"/>
              </w:rPr>
              <w:t>Sabiedrības līdzdalība projekta izstrādē</w:t>
            </w:r>
          </w:p>
        </w:tc>
        <w:tc>
          <w:tcPr>
            <w:tcW w:w="5960" w:type="dxa"/>
          </w:tcPr>
          <w:p w:rsidR="00FD34CD" w:rsidRPr="00F74A2E" w:rsidRDefault="00B804BA" w:rsidP="00B804BA">
            <w:pPr>
              <w:ind w:left="146" w:firstLine="0"/>
              <w:rPr>
                <w:rFonts w:cs="Times New Roman"/>
                <w:sz w:val="24"/>
                <w:szCs w:val="24"/>
              </w:rPr>
            </w:pPr>
            <w:bookmarkStart w:id="2" w:name="p62"/>
            <w:bookmarkEnd w:id="2"/>
            <w:r w:rsidRPr="00F74A2E">
              <w:rPr>
                <w:rFonts w:cs="Times New Roman"/>
                <w:sz w:val="24"/>
                <w:szCs w:val="24"/>
              </w:rPr>
              <w:t>Sabiedrības pārstāvjiem tika dota iespēja līdzdarboties projekta izstrādē, rakstveidā sniedzot viedokli par projektu.</w:t>
            </w:r>
          </w:p>
        </w:tc>
      </w:tr>
      <w:tr w:rsidR="00CF4CB0" w:rsidRPr="00D01ABF" w:rsidTr="008068B0">
        <w:trPr>
          <w:trHeight w:val="476"/>
          <w:jc w:val="center"/>
        </w:trPr>
        <w:tc>
          <w:tcPr>
            <w:tcW w:w="916" w:type="dxa"/>
          </w:tcPr>
          <w:p w:rsidR="00FD34CD" w:rsidRPr="00D01ABF" w:rsidRDefault="00FD34CD" w:rsidP="0024090D">
            <w:pPr>
              <w:ind w:firstLine="0"/>
              <w:rPr>
                <w:rFonts w:cs="Times New Roman"/>
                <w:bCs/>
                <w:sz w:val="24"/>
                <w:szCs w:val="24"/>
              </w:rPr>
            </w:pPr>
            <w:r w:rsidRPr="00D01ABF">
              <w:rPr>
                <w:rFonts w:cs="Times New Roman"/>
                <w:bCs/>
                <w:sz w:val="24"/>
                <w:szCs w:val="24"/>
              </w:rPr>
              <w:t>3.</w:t>
            </w:r>
          </w:p>
        </w:tc>
        <w:tc>
          <w:tcPr>
            <w:tcW w:w="2633" w:type="dxa"/>
          </w:tcPr>
          <w:p w:rsidR="00FD34CD" w:rsidRPr="00D01ABF" w:rsidRDefault="00FD34CD" w:rsidP="0024090D">
            <w:pPr>
              <w:ind w:firstLine="0"/>
              <w:rPr>
                <w:rFonts w:cs="Times New Roman"/>
                <w:sz w:val="24"/>
                <w:szCs w:val="24"/>
              </w:rPr>
            </w:pPr>
            <w:r w:rsidRPr="00D01ABF">
              <w:rPr>
                <w:rFonts w:cs="Times New Roman"/>
                <w:sz w:val="24"/>
                <w:szCs w:val="24"/>
              </w:rPr>
              <w:t>Sabiedrības līdzdalības rezultāti</w:t>
            </w:r>
          </w:p>
        </w:tc>
        <w:tc>
          <w:tcPr>
            <w:tcW w:w="5960" w:type="dxa"/>
          </w:tcPr>
          <w:p w:rsidR="00FD34CD" w:rsidRPr="00F74A2E" w:rsidRDefault="00BA43C7" w:rsidP="0024090D">
            <w:pPr>
              <w:ind w:firstLine="0"/>
              <w:rPr>
                <w:rFonts w:cs="Times New Roman"/>
                <w:sz w:val="24"/>
                <w:szCs w:val="24"/>
              </w:rPr>
            </w:pPr>
            <w:r w:rsidRPr="00F74A2E">
              <w:rPr>
                <w:rFonts w:cs="Times New Roman"/>
                <w:sz w:val="24"/>
                <w:szCs w:val="24"/>
              </w:rPr>
              <w:t xml:space="preserve"> </w:t>
            </w:r>
            <w:r w:rsidR="00B804BA" w:rsidRPr="00F74A2E">
              <w:rPr>
                <w:rFonts w:cs="Times New Roman"/>
                <w:sz w:val="24"/>
                <w:szCs w:val="24"/>
              </w:rPr>
              <w:t xml:space="preserve">  Iebildumi un priekšlikumi nav saņemti.</w:t>
            </w:r>
          </w:p>
        </w:tc>
      </w:tr>
      <w:tr w:rsidR="00CF4CB0" w:rsidRPr="00D01ABF" w:rsidTr="008068B0">
        <w:trPr>
          <w:trHeight w:val="295"/>
          <w:jc w:val="center"/>
        </w:trPr>
        <w:tc>
          <w:tcPr>
            <w:tcW w:w="916" w:type="dxa"/>
          </w:tcPr>
          <w:p w:rsidR="00FD34CD" w:rsidRPr="00D01ABF" w:rsidRDefault="00FD34CD" w:rsidP="0024090D">
            <w:pPr>
              <w:ind w:firstLine="0"/>
              <w:rPr>
                <w:rFonts w:cs="Times New Roman"/>
                <w:bCs/>
                <w:sz w:val="24"/>
                <w:szCs w:val="24"/>
              </w:rPr>
            </w:pPr>
            <w:r w:rsidRPr="00D01ABF">
              <w:rPr>
                <w:rFonts w:cs="Times New Roman"/>
                <w:bCs/>
                <w:sz w:val="24"/>
                <w:szCs w:val="24"/>
              </w:rPr>
              <w:t>4.</w:t>
            </w:r>
          </w:p>
        </w:tc>
        <w:tc>
          <w:tcPr>
            <w:tcW w:w="2633" w:type="dxa"/>
          </w:tcPr>
          <w:p w:rsidR="00FD34CD" w:rsidRPr="00D01ABF" w:rsidRDefault="00FD34CD" w:rsidP="0024090D">
            <w:pPr>
              <w:ind w:firstLine="0"/>
              <w:rPr>
                <w:rFonts w:cs="Times New Roman"/>
                <w:sz w:val="24"/>
                <w:szCs w:val="24"/>
              </w:rPr>
            </w:pPr>
            <w:r w:rsidRPr="00D01ABF">
              <w:rPr>
                <w:rFonts w:cs="Times New Roman"/>
                <w:sz w:val="24"/>
                <w:szCs w:val="24"/>
              </w:rPr>
              <w:t>Cita informācija</w:t>
            </w:r>
          </w:p>
        </w:tc>
        <w:tc>
          <w:tcPr>
            <w:tcW w:w="5960" w:type="dxa"/>
          </w:tcPr>
          <w:p w:rsidR="00FD34CD" w:rsidRPr="00D01ABF" w:rsidRDefault="00FD34CD" w:rsidP="0024090D">
            <w:pPr>
              <w:ind w:firstLine="0"/>
              <w:rPr>
                <w:rFonts w:cs="Times New Roman"/>
                <w:sz w:val="24"/>
                <w:szCs w:val="24"/>
              </w:rPr>
            </w:pPr>
            <w:r w:rsidRPr="00D01ABF">
              <w:rPr>
                <w:rFonts w:cs="Times New Roman"/>
                <w:sz w:val="24"/>
                <w:szCs w:val="24"/>
              </w:rPr>
              <w:t>Nav.</w:t>
            </w:r>
          </w:p>
        </w:tc>
      </w:tr>
    </w:tbl>
    <w:p w:rsidR="00DC4E4B" w:rsidRPr="00D01ABF" w:rsidRDefault="00DC4E4B" w:rsidP="0024090D">
      <w:pPr>
        <w:ind w:firstLine="0"/>
        <w:rPr>
          <w:rFonts w:cs="Times New Roman"/>
          <w:sz w:val="24"/>
          <w:szCs w:val="24"/>
        </w:rPr>
      </w:pPr>
    </w:p>
    <w:p w:rsidR="00DC4E4B" w:rsidRPr="00D01ABF" w:rsidRDefault="00DC4E4B" w:rsidP="0024090D">
      <w:pPr>
        <w:ind w:firstLine="0"/>
        <w:rPr>
          <w:rFonts w:cs="Times New Roman"/>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
        <w:gridCol w:w="3682"/>
        <w:gridCol w:w="5523"/>
      </w:tblGrid>
      <w:tr w:rsidR="00CF4CB0" w:rsidRPr="00D01ABF" w:rsidTr="002545D7">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D1699" w:rsidRPr="00D01ABF" w:rsidRDefault="002D1699" w:rsidP="0024090D">
            <w:pPr>
              <w:ind w:firstLine="0"/>
              <w:jc w:val="center"/>
              <w:rPr>
                <w:rFonts w:cs="Times New Roman"/>
                <w:b/>
                <w:bCs/>
                <w:sz w:val="24"/>
                <w:szCs w:val="24"/>
              </w:rPr>
            </w:pPr>
            <w:r w:rsidRPr="00D01ABF">
              <w:rPr>
                <w:rFonts w:cs="Times New Roman"/>
                <w:b/>
                <w:bCs/>
                <w:sz w:val="24"/>
                <w:szCs w:val="24"/>
              </w:rPr>
              <w:t>VII. Tiesību akta projekta izpildes nodrošināšana un tās ietekme uz institūcijām</w:t>
            </w:r>
          </w:p>
        </w:tc>
      </w:tr>
      <w:tr w:rsidR="00CF4CB0" w:rsidRPr="00D01ABF" w:rsidTr="00845D42">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D1699" w:rsidRPr="00D01ABF" w:rsidRDefault="002D1699" w:rsidP="0024090D">
            <w:pPr>
              <w:ind w:firstLine="0"/>
              <w:rPr>
                <w:rFonts w:cs="Times New Roman"/>
                <w:sz w:val="24"/>
                <w:szCs w:val="24"/>
              </w:rPr>
            </w:pPr>
            <w:r w:rsidRPr="00D01ABF">
              <w:rPr>
                <w:rFonts w:cs="Times New Roman"/>
                <w:sz w:val="24"/>
                <w:szCs w:val="24"/>
              </w:rPr>
              <w:t>1.</w:t>
            </w:r>
          </w:p>
        </w:tc>
        <w:tc>
          <w:tcPr>
            <w:tcW w:w="1876" w:type="pct"/>
            <w:tcBorders>
              <w:top w:val="outset" w:sz="6" w:space="0" w:color="auto"/>
              <w:left w:val="outset" w:sz="6" w:space="0" w:color="auto"/>
              <w:bottom w:val="outset" w:sz="6" w:space="0" w:color="auto"/>
              <w:right w:val="outset" w:sz="6" w:space="0" w:color="auto"/>
            </w:tcBorders>
            <w:hideMark/>
          </w:tcPr>
          <w:p w:rsidR="002D1699" w:rsidRPr="00D01ABF" w:rsidRDefault="002D1699" w:rsidP="0024090D">
            <w:pPr>
              <w:ind w:firstLine="0"/>
              <w:rPr>
                <w:rFonts w:cs="Times New Roman"/>
                <w:sz w:val="24"/>
                <w:szCs w:val="24"/>
              </w:rPr>
            </w:pPr>
            <w:r w:rsidRPr="00D01ABF">
              <w:rPr>
                <w:rFonts w:cs="Times New Roman"/>
                <w:sz w:val="24"/>
                <w:szCs w:val="24"/>
              </w:rPr>
              <w:t>Projekta izpildē iesaistītās institūcijas</w:t>
            </w:r>
          </w:p>
        </w:tc>
        <w:tc>
          <w:tcPr>
            <w:tcW w:w="2814" w:type="pct"/>
            <w:tcBorders>
              <w:top w:val="outset" w:sz="6" w:space="0" w:color="auto"/>
              <w:left w:val="outset" w:sz="6" w:space="0" w:color="auto"/>
              <w:bottom w:val="outset" w:sz="6" w:space="0" w:color="auto"/>
              <w:right w:val="outset" w:sz="6" w:space="0" w:color="auto"/>
            </w:tcBorders>
            <w:hideMark/>
          </w:tcPr>
          <w:p w:rsidR="002D1699" w:rsidRPr="00D01ABF" w:rsidRDefault="008569DD" w:rsidP="001F19AC">
            <w:pPr>
              <w:ind w:firstLine="0"/>
              <w:jc w:val="both"/>
              <w:rPr>
                <w:rFonts w:cs="Times New Roman"/>
                <w:sz w:val="24"/>
                <w:szCs w:val="24"/>
              </w:rPr>
            </w:pPr>
            <w:r w:rsidRPr="00D01ABF">
              <w:rPr>
                <w:rFonts w:cs="Times New Roman"/>
                <w:sz w:val="24"/>
                <w:szCs w:val="24"/>
              </w:rPr>
              <w:t>Sabiedrisko pakalpojumu regulēšanas komisija</w:t>
            </w:r>
            <w:r w:rsidR="00F74A2E">
              <w:rPr>
                <w:rFonts w:cs="Times New Roman"/>
                <w:sz w:val="24"/>
                <w:szCs w:val="24"/>
              </w:rPr>
              <w:t xml:space="preserve">, </w:t>
            </w:r>
            <w:r w:rsidR="001F7ECD">
              <w:rPr>
                <w:rFonts w:cs="Times New Roman"/>
                <w:sz w:val="24"/>
                <w:szCs w:val="24"/>
              </w:rPr>
              <w:t xml:space="preserve">Satiksmes ministrija, </w:t>
            </w:r>
            <w:r w:rsidR="00677166">
              <w:rPr>
                <w:rFonts w:cs="Times New Roman"/>
                <w:sz w:val="24"/>
                <w:szCs w:val="24"/>
              </w:rPr>
              <w:t xml:space="preserve">Ekonomikas </w:t>
            </w:r>
            <w:r w:rsidR="00F74A2E">
              <w:rPr>
                <w:rFonts w:cs="Times New Roman"/>
                <w:sz w:val="24"/>
                <w:szCs w:val="24"/>
              </w:rPr>
              <w:t>ministrija</w:t>
            </w:r>
            <w:r w:rsidR="00677166">
              <w:rPr>
                <w:rFonts w:cs="Times New Roman"/>
                <w:sz w:val="24"/>
                <w:szCs w:val="24"/>
              </w:rPr>
              <w:t xml:space="preserve"> </w:t>
            </w:r>
            <w:r w:rsidR="001F19AC">
              <w:rPr>
                <w:rFonts w:cs="Times New Roman"/>
                <w:sz w:val="24"/>
                <w:szCs w:val="24"/>
              </w:rPr>
              <w:t>(</w:t>
            </w:r>
            <w:r w:rsidR="00677166">
              <w:rPr>
                <w:rFonts w:cs="Times New Roman"/>
                <w:sz w:val="24"/>
                <w:szCs w:val="24"/>
              </w:rPr>
              <w:t>Patērētāju tiesību aizsardzības centrs, Centrālā statistikas p</w:t>
            </w:r>
            <w:r w:rsidR="001F19AC">
              <w:rPr>
                <w:rFonts w:cs="Times New Roman"/>
                <w:sz w:val="24"/>
                <w:szCs w:val="24"/>
              </w:rPr>
              <w:t>ārvalde).</w:t>
            </w:r>
          </w:p>
        </w:tc>
      </w:tr>
      <w:tr w:rsidR="00CF4CB0" w:rsidRPr="00D01ABF" w:rsidTr="00845D42">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D1699" w:rsidRPr="00D01ABF" w:rsidRDefault="002D1699" w:rsidP="0024090D">
            <w:pPr>
              <w:ind w:firstLine="0"/>
              <w:rPr>
                <w:rFonts w:cs="Times New Roman"/>
                <w:sz w:val="24"/>
                <w:szCs w:val="24"/>
              </w:rPr>
            </w:pPr>
            <w:r w:rsidRPr="00D01ABF">
              <w:rPr>
                <w:rFonts w:cs="Times New Roman"/>
                <w:sz w:val="24"/>
                <w:szCs w:val="24"/>
              </w:rPr>
              <w:t>2.</w:t>
            </w:r>
          </w:p>
        </w:tc>
        <w:tc>
          <w:tcPr>
            <w:tcW w:w="1876" w:type="pct"/>
            <w:tcBorders>
              <w:top w:val="outset" w:sz="6" w:space="0" w:color="auto"/>
              <w:left w:val="outset" w:sz="6" w:space="0" w:color="auto"/>
              <w:bottom w:val="outset" w:sz="6" w:space="0" w:color="auto"/>
              <w:right w:val="outset" w:sz="6" w:space="0" w:color="auto"/>
            </w:tcBorders>
            <w:hideMark/>
          </w:tcPr>
          <w:p w:rsidR="002D1699" w:rsidRPr="00D01ABF" w:rsidRDefault="002D1699" w:rsidP="0024090D">
            <w:pPr>
              <w:ind w:firstLine="0"/>
              <w:rPr>
                <w:rFonts w:cs="Times New Roman"/>
                <w:sz w:val="24"/>
                <w:szCs w:val="24"/>
              </w:rPr>
            </w:pPr>
            <w:r w:rsidRPr="00D01ABF">
              <w:rPr>
                <w:rFonts w:cs="Times New Roman"/>
                <w:sz w:val="24"/>
                <w:szCs w:val="24"/>
              </w:rPr>
              <w:t xml:space="preserve">Projekta izpildes ietekme uz pārvaldes funkcijām un institucionālo struktūru. </w:t>
            </w:r>
          </w:p>
          <w:p w:rsidR="002D1699" w:rsidRPr="00D01ABF" w:rsidRDefault="002D1699" w:rsidP="0024090D">
            <w:pPr>
              <w:ind w:firstLine="0"/>
              <w:rPr>
                <w:rFonts w:cs="Times New Roman"/>
                <w:sz w:val="24"/>
                <w:szCs w:val="24"/>
              </w:rPr>
            </w:pPr>
            <w:r w:rsidRPr="00D01ABF">
              <w:rPr>
                <w:rFonts w:cs="Times New Roman"/>
                <w:sz w:val="24"/>
                <w:szCs w:val="24"/>
              </w:rPr>
              <w:lastRenderedPageBreak/>
              <w:t>Jaunu institūciju izveide, esošu institūciju likvidācija vai reorganizācija, to ietekme uz institūcijas cilvēkresursiem</w:t>
            </w:r>
          </w:p>
        </w:tc>
        <w:tc>
          <w:tcPr>
            <w:tcW w:w="2814" w:type="pct"/>
            <w:tcBorders>
              <w:top w:val="outset" w:sz="6" w:space="0" w:color="auto"/>
              <w:left w:val="outset" w:sz="6" w:space="0" w:color="auto"/>
              <w:bottom w:val="outset" w:sz="6" w:space="0" w:color="auto"/>
              <w:right w:val="outset" w:sz="6" w:space="0" w:color="auto"/>
            </w:tcBorders>
            <w:hideMark/>
          </w:tcPr>
          <w:p w:rsidR="00793F53" w:rsidRPr="00D01ABF" w:rsidRDefault="00244E82" w:rsidP="0024090D">
            <w:pPr>
              <w:ind w:firstLine="0"/>
              <w:jc w:val="both"/>
              <w:rPr>
                <w:rFonts w:cs="Times New Roman"/>
                <w:sz w:val="24"/>
                <w:szCs w:val="24"/>
              </w:rPr>
            </w:pPr>
            <w:r w:rsidRPr="00D01ABF">
              <w:rPr>
                <w:sz w:val="24"/>
                <w:szCs w:val="24"/>
              </w:rPr>
              <w:lastRenderedPageBreak/>
              <w:t>Likumprojekts neparedz jaunu institūciju izveidi vai esošo institūciju</w:t>
            </w:r>
            <w:r w:rsidR="00B804BA">
              <w:rPr>
                <w:sz w:val="24"/>
                <w:szCs w:val="24"/>
              </w:rPr>
              <w:t xml:space="preserve"> likvidāciju vai reorganizāciju</w:t>
            </w:r>
          </w:p>
        </w:tc>
      </w:tr>
      <w:tr w:rsidR="00CF4CB0" w:rsidRPr="00CF4CB0" w:rsidTr="00845D42">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D1699" w:rsidRPr="00D01ABF" w:rsidRDefault="002D1699" w:rsidP="0024090D">
            <w:pPr>
              <w:ind w:firstLine="0"/>
              <w:rPr>
                <w:rFonts w:cs="Times New Roman"/>
                <w:sz w:val="24"/>
                <w:szCs w:val="24"/>
              </w:rPr>
            </w:pPr>
            <w:r w:rsidRPr="00D01ABF">
              <w:rPr>
                <w:rFonts w:cs="Times New Roman"/>
                <w:sz w:val="24"/>
                <w:szCs w:val="24"/>
              </w:rPr>
              <w:lastRenderedPageBreak/>
              <w:t>3.</w:t>
            </w:r>
          </w:p>
        </w:tc>
        <w:tc>
          <w:tcPr>
            <w:tcW w:w="1876" w:type="pct"/>
            <w:tcBorders>
              <w:top w:val="outset" w:sz="6" w:space="0" w:color="auto"/>
              <w:left w:val="outset" w:sz="6" w:space="0" w:color="auto"/>
              <w:bottom w:val="outset" w:sz="6" w:space="0" w:color="auto"/>
              <w:right w:val="outset" w:sz="6" w:space="0" w:color="auto"/>
            </w:tcBorders>
            <w:hideMark/>
          </w:tcPr>
          <w:p w:rsidR="002D1699" w:rsidRPr="00D01ABF" w:rsidRDefault="002D1699" w:rsidP="0024090D">
            <w:pPr>
              <w:ind w:firstLine="0"/>
              <w:rPr>
                <w:rFonts w:cs="Times New Roman"/>
                <w:sz w:val="24"/>
                <w:szCs w:val="24"/>
              </w:rPr>
            </w:pPr>
            <w:r w:rsidRPr="00D01ABF">
              <w:rPr>
                <w:rFonts w:cs="Times New Roman"/>
                <w:sz w:val="24"/>
                <w:szCs w:val="24"/>
              </w:rPr>
              <w:t>Cita informācija</w:t>
            </w:r>
          </w:p>
        </w:tc>
        <w:tc>
          <w:tcPr>
            <w:tcW w:w="2814" w:type="pct"/>
            <w:tcBorders>
              <w:top w:val="outset" w:sz="6" w:space="0" w:color="auto"/>
              <w:left w:val="outset" w:sz="6" w:space="0" w:color="auto"/>
              <w:bottom w:val="outset" w:sz="6" w:space="0" w:color="auto"/>
              <w:right w:val="outset" w:sz="6" w:space="0" w:color="auto"/>
            </w:tcBorders>
            <w:hideMark/>
          </w:tcPr>
          <w:p w:rsidR="002D1699" w:rsidRPr="00CF4CB0" w:rsidRDefault="002D1699" w:rsidP="0024090D">
            <w:pPr>
              <w:ind w:firstLine="0"/>
              <w:rPr>
                <w:rFonts w:cs="Times New Roman"/>
                <w:sz w:val="24"/>
                <w:szCs w:val="24"/>
              </w:rPr>
            </w:pPr>
            <w:r w:rsidRPr="00D01ABF">
              <w:rPr>
                <w:rFonts w:cs="Times New Roman"/>
                <w:sz w:val="24"/>
                <w:szCs w:val="24"/>
              </w:rPr>
              <w:t>Nav</w:t>
            </w:r>
            <w:r w:rsidR="0045312F" w:rsidRPr="00D01ABF">
              <w:rPr>
                <w:rFonts w:cs="Times New Roman"/>
                <w:sz w:val="24"/>
                <w:szCs w:val="24"/>
              </w:rPr>
              <w:t>.</w:t>
            </w:r>
          </w:p>
        </w:tc>
      </w:tr>
    </w:tbl>
    <w:p w:rsidR="002D1699" w:rsidRPr="00CF4CB0" w:rsidRDefault="002D1699" w:rsidP="0024090D">
      <w:pPr>
        <w:ind w:firstLine="0"/>
        <w:rPr>
          <w:rFonts w:cs="Times New Roman"/>
          <w:sz w:val="24"/>
          <w:szCs w:val="24"/>
        </w:rPr>
      </w:pPr>
    </w:p>
    <w:p w:rsidR="00C40580" w:rsidRDefault="00C40580" w:rsidP="0024090D">
      <w:pPr>
        <w:ind w:firstLine="0"/>
        <w:rPr>
          <w:rFonts w:cs="Times New Roman"/>
          <w:sz w:val="24"/>
          <w:szCs w:val="24"/>
        </w:rPr>
      </w:pPr>
    </w:p>
    <w:p w:rsidR="0026319B" w:rsidRPr="00CF4CB0" w:rsidRDefault="0026319B" w:rsidP="0024090D">
      <w:pPr>
        <w:ind w:firstLine="0"/>
        <w:rPr>
          <w:rFonts w:cs="Times New Roman"/>
          <w:sz w:val="24"/>
          <w:szCs w:val="24"/>
        </w:rPr>
      </w:pPr>
    </w:p>
    <w:p w:rsidR="002D1699" w:rsidRPr="00CF4CB0" w:rsidRDefault="002D1699" w:rsidP="0024090D">
      <w:pPr>
        <w:pStyle w:val="Heading3"/>
        <w:tabs>
          <w:tab w:val="left" w:pos="6840"/>
        </w:tabs>
        <w:spacing w:before="0" w:after="0"/>
        <w:rPr>
          <w:rFonts w:ascii="Times New Roman" w:hAnsi="Times New Roman"/>
          <w:b w:val="0"/>
          <w:sz w:val="24"/>
          <w:szCs w:val="24"/>
          <w:lang w:val="lv-LV"/>
        </w:rPr>
      </w:pPr>
      <w:r w:rsidRPr="00CF4CB0">
        <w:rPr>
          <w:rFonts w:ascii="Times New Roman" w:hAnsi="Times New Roman"/>
          <w:b w:val="0"/>
          <w:sz w:val="24"/>
          <w:szCs w:val="24"/>
          <w:lang w:val="lv-LV"/>
        </w:rPr>
        <w:t>Satiksmes ministr</w:t>
      </w:r>
      <w:r w:rsidR="00845D42" w:rsidRPr="00CF4CB0">
        <w:rPr>
          <w:rFonts w:ascii="Times New Roman" w:hAnsi="Times New Roman"/>
          <w:b w:val="0"/>
          <w:sz w:val="24"/>
          <w:szCs w:val="24"/>
          <w:lang w:val="lv-LV"/>
        </w:rPr>
        <w:t>s</w:t>
      </w:r>
      <w:r w:rsidR="00042E41" w:rsidRPr="00CF4CB0">
        <w:rPr>
          <w:rFonts w:ascii="Times New Roman" w:hAnsi="Times New Roman"/>
          <w:b w:val="0"/>
          <w:sz w:val="24"/>
          <w:szCs w:val="24"/>
          <w:lang w:val="lv-LV"/>
        </w:rPr>
        <w:tab/>
      </w:r>
      <w:r w:rsidR="00845D42" w:rsidRPr="00CF4CB0">
        <w:rPr>
          <w:rFonts w:ascii="Times New Roman" w:hAnsi="Times New Roman"/>
          <w:b w:val="0"/>
          <w:sz w:val="24"/>
          <w:szCs w:val="24"/>
          <w:lang w:val="lv-LV"/>
        </w:rPr>
        <w:t>U.Augulis</w:t>
      </w:r>
    </w:p>
    <w:p w:rsidR="002D1699" w:rsidRPr="00CF4CB0" w:rsidRDefault="002D1699" w:rsidP="0024090D">
      <w:pPr>
        <w:pStyle w:val="Header"/>
        <w:tabs>
          <w:tab w:val="clear" w:pos="4153"/>
          <w:tab w:val="center" w:pos="4536"/>
        </w:tabs>
      </w:pPr>
    </w:p>
    <w:p w:rsidR="002D1699" w:rsidRPr="00CF4CB0" w:rsidRDefault="002D1699" w:rsidP="0024090D">
      <w:pPr>
        <w:pStyle w:val="Header"/>
        <w:tabs>
          <w:tab w:val="clear" w:pos="4153"/>
          <w:tab w:val="center" w:pos="4536"/>
        </w:tabs>
      </w:pPr>
    </w:p>
    <w:p w:rsidR="00845D42" w:rsidRPr="00CF4CB0" w:rsidRDefault="002D1699" w:rsidP="0024090D">
      <w:pPr>
        <w:pStyle w:val="Heading3"/>
        <w:tabs>
          <w:tab w:val="left" w:pos="6840"/>
        </w:tabs>
        <w:spacing w:before="0" w:after="0"/>
        <w:jc w:val="both"/>
        <w:rPr>
          <w:rFonts w:ascii="Times New Roman" w:hAnsi="Times New Roman"/>
          <w:b w:val="0"/>
          <w:sz w:val="24"/>
          <w:szCs w:val="24"/>
          <w:lang w:val="lv-LV"/>
        </w:rPr>
      </w:pPr>
      <w:r w:rsidRPr="00CF4CB0">
        <w:rPr>
          <w:rFonts w:ascii="Times New Roman" w:hAnsi="Times New Roman"/>
          <w:b w:val="0"/>
          <w:sz w:val="24"/>
          <w:szCs w:val="24"/>
          <w:lang w:val="lv-LV"/>
        </w:rPr>
        <w:t xml:space="preserve">Vīza: </w:t>
      </w:r>
    </w:p>
    <w:p w:rsidR="00052CBF" w:rsidRPr="00CF4CB0" w:rsidRDefault="002D1699" w:rsidP="0024090D">
      <w:pPr>
        <w:pStyle w:val="Heading3"/>
        <w:tabs>
          <w:tab w:val="left" w:pos="6840"/>
        </w:tabs>
        <w:spacing w:before="0" w:after="0"/>
        <w:jc w:val="both"/>
        <w:rPr>
          <w:rFonts w:ascii="Times New Roman" w:hAnsi="Times New Roman"/>
          <w:b w:val="0"/>
          <w:sz w:val="24"/>
          <w:szCs w:val="24"/>
          <w:lang w:val="lv-LV"/>
        </w:rPr>
      </w:pPr>
      <w:r w:rsidRPr="00CF4CB0">
        <w:rPr>
          <w:rFonts w:ascii="Times New Roman" w:hAnsi="Times New Roman"/>
          <w:b w:val="0"/>
          <w:sz w:val="24"/>
          <w:szCs w:val="24"/>
          <w:lang w:val="lv-LV"/>
        </w:rPr>
        <w:t>Valsts sekretār</w:t>
      </w:r>
      <w:r w:rsidR="00052CBF" w:rsidRPr="00CF4CB0">
        <w:rPr>
          <w:rFonts w:ascii="Times New Roman" w:hAnsi="Times New Roman"/>
          <w:b w:val="0"/>
          <w:sz w:val="24"/>
          <w:szCs w:val="24"/>
          <w:lang w:val="lv-LV"/>
        </w:rPr>
        <w:t>s</w:t>
      </w:r>
      <w:r w:rsidR="00052CBF" w:rsidRPr="00CF4CB0">
        <w:rPr>
          <w:rFonts w:ascii="Times New Roman" w:hAnsi="Times New Roman"/>
          <w:b w:val="0"/>
          <w:sz w:val="24"/>
          <w:szCs w:val="24"/>
          <w:lang w:val="lv-LV"/>
        </w:rPr>
        <w:tab/>
        <w:t>K.Ozoliņš</w:t>
      </w:r>
    </w:p>
    <w:p w:rsidR="0026319B" w:rsidRDefault="0026319B" w:rsidP="0024090D">
      <w:pPr>
        <w:pStyle w:val="Heading3"/>
        <w:tabs>
          <w:tab w:val="left" w:pos="6840"/>
        </w:tabs>
        <w:spacing w:before="0" w:after="0"/>
        <w:jc w:val="both"/>
        <w:rPr>
          <w:rFonts w:ascii="Times New Roman" w:hAnsi="Times New Roman"/>
          <w:b w:val="0"/>
          <w:sz w:val="24"/>
          <w:szCs w:val="24"/>
          <w:lang w:val="lv-LV"/>
        </w:rPr>
      </w:pPr>
    </w:p>
    <w:p w:rsidR="0092053F" w:rsidRPr="00CF4CB0" w:rsidRDefault="002D1699" w:rsidP="0024090D">
      <w:pPr>
        <w:pStyle w:val="Heading3"/>
        <w:tabs>
          <w:tab w:val="left" w:pos="6840"/>
        </w:tabs>
        <w:spacing w:before="0" w:after="0"/>
        <w:jc w:val="both"/>
        <w:rPr>
          <w:rFonts w:ascii="Times New Roman" w:hAnsi="Times New Roman"/>
          <w:b w:val="0"/>
          <w:sz w:val="24"/>
          <w:szCs w:val="24"/>
          <w:lang w:val="lv-LV"/>
        </w:rPr>
      </w:pPr>
      <w:r w:rsidRPr="00CF4CB0">
        <w:rPr>
          <w:rFonts w:ascii="Times New Roman" w:hAnsi="Times New Roman"/>
          <w:b w:val="0"/>
          <w:sz w:val="24"/>
          <w:szCs w:val="24"/>
          <w:lang w:val="lv-LV"/>
        </w:rPr>
        <w:tab/>
      </w:r>
    </w:p>
    <w:p w:rsidR="00C86BBC" w:rsidRPr="0026319B" w:rsidRDefault="00362966" w:rsidP="0024090D">
      <w:pPr>
        <w:shd w:val="clear" w:color="auto" w:fill="FFFFFF"/>
        <w:tabs>
          <w:tab w:val="left" w:pos="3746"/>
        </w:tabs>
        <w:ind w:firstLine="0"/>
        <w:rPr>
          <w:rFonts w:cs="Times New Roman"/>
          <w:sz w:val="20"/>
          <w:szCs w:val="20"/>
        </w:rPr>
      </w:pPr>
      <w:r w:rsidRPr="0026319B">
        <w:rPr>
          <w:rFonts w:cs="Times New Roman"/>
          <w:sz w:val="20"/>
          <w:szCs w:val="20"/>
        </w:rPr>
        <w:tab/>
      </w:r>
    </w:p>
    <w:p w:rsidR="00C86BBC" w:rsidRPr="0026319B" w:rsidRDefault="00C40580" w:rsidP="0024090D">
      <w:pPr>
        <w:shd w:val="clear" w:color="auto" w:fill="FFFFFF"/>
        <w:tabs>
          <w:tab w:val="left" w:pos="6394"/>
        </w:tabs>
        <w:ind w:firstLine="0"/>
        <w:rPr>
          <w:rFonts w:cs="Times New Roman"/>
          <w:sz w:val="20"/>
          <w:szCs w:val="20"/>
        </w:rPr>
      </w:pPr>
      <w:r w:rsidRPr="0026319B">
        <w:rPr>
          <w:rFonts w:cs="Times New Roman"/>
          <w:sz w:val="20"/>
          <w:szCs w:val="20"/>
        </w:rPr>
        <w:t>Bankoviča</w:t>
      </w:r>
      <w:r w:rsidR="00C86BBC" w:rsidRPr="0026319B">
        <w:rPr>
          <w:rFonts w:cs="Times New Roman"/>
          <w:sz w:val="20"/>
          <w:szCs w:val="20"/>
        </w:rPr>
        <w:t xml:space="preserve"> 67028</w:t>
      </w:r>
      <w:r w:rsidRPr="0026319B">
        <w:rPr>
          <w:rFonts w:cs="Times New Roman"/>
          <w:sz w:val="20"/>
          <w:szCs w:val="20"/>
        </w:rPr>
        <w:t>111</w:t>
      </w:r>
    </w:p>
    <w:p w:rsidR="007F723D" w:rsidRDefault="007E0F20" w:rsidP="0024090D">
      <w:pPr>
        <w:shd w:val="clear" w:color="auto" w:fill="FFFFFF"/>
        <w:tabs>
          <w:tab w:val="left" w:pos="6394"/>
        </w:tabs>
        <w:ind w:firstLine="0"/>
        <w:rPr>
          <w:rFonts w:cs="Times New Roman"/>
          <w:sz w:val="20"/>
          <w:szCs w:val="20"/>
        </w:rPr>
      </w:pPr>
      <w:hyperlink r:id="rId10" w:history="1">
        <w:r w:rsidR="006B211E" w:rsidRPr="000160C0">
          <w:rPr>
            <w:rStyle w:val="Hyperlink"/>
            <w:rFonts w:cs="Times New Roman"/>
            <w:sz w:val="20"/>
            <w:szCs w:val="20"/>
          </w:rPr>
          <w:t>Dace.Bankovica@sam.gov.lv</w:t>
        </w:r>
      </w:hyperlink>
    </w:p>
    <w:p w:rsidR="006B211E" w:rsidRDefault="006B211E" w:rsidP="0024090D">
      <w:pPr>
        <w:shd w:val="clear" w:color="auto" w:fill="FFFFFF"/>
        <w:tabs>
          <w:tab w:val="left" w:pos="6394"/>
        </w:tabs>
        <w:ind w:firstLine="0"/>
        <w:rPr>
          <w:rFonts w:cs="Times New Roman"/>
          <w:sz w:val="20"/>
          <w:szCs w:val="20"/>
        </w:rPr>
      </w:pPr>
    </w:p>
    <w:p w:rsidR="006B211E" w:rsidRPr="0026319B" w:rsidRDefault="006B211E" w:rsidP="0024090D">
      <w:pPr>
        <w:shd w:val="clear" w:color="auto" w:fill="FFFFFF"/>
        <w:tabs>
          <w:tab w:val="left" w:pos="6394"/>
        </w:tabs>
        <w:ind w:firstLine="0"/>
        <w:rPr>
          <w:rFonts w:cs="Times New Roman"/>
          <w:sz w:val="20"/>
          <w:szCs w:val="20"/>
        </w:rPr>
      </w:pPr>
    </w:p>
    <w:sectPr w:rsidR="006B211E" w:rsidRPr="0026319B" w:rsidSect="006F06C8">
      <w:headerReference w:type="default" r:id="rId11"/>
      <w:footerReference w:type="default" r:id="rId12"/>
      <w:footerReference w:type="first" r:id="rId13"/>
      <w:pgSz w:w="11906" w:h="16838"/>
      <w:pgMar w:top="1021" w:right="624" w:bottom="1560"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F20" w:rsidRDefault="007E0F20">
      <w:r>
        <w:separator/>
      </w:r>
    </w:p>
  </w:endnote>
  <w:endnote w:type="continuationSeparator" w:id="0">
    <w:p w:rsidR="007E0F20" w:rsidRDefault="007E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71" w:rsidRPr="008E3E94" w:rsidRDefault="0045312F" w:rsidP="00073C71">
    <w:pPr>
      <w:pStyle w:val="Footer"/>
      <w:ind w:firstLine="0"/>
      <w:jc w:val="both"/>
      <w:rPr>
        <w:sz w:val="20"/>
        <w:szCs w:val="20"/>
      </w:rPr>
    </w:pPr>
    <w:r>
      <w:rPr>
        <w:sz w:val="20"/>
        <w:szCs w:val="20"/>
      </w:rPr>
      <w:t>SAMAnot_</w:t>
    </w:r>
    <w:r w:rsidR="00B0713B">
      <w:rPr>
        <w:sz w:val="20"/>
        <w:szCs w:val="20"/>
      </w:rPr>
      <w:t>2711</w:t>
    </w:r>
    <w:r w:rsidR="00864DAC">
      <w:rPr>
        <w:sz w:val="20"/>
        <w:szCs w:val="20"/>
      </w:rPr>
      <w:t>17</w:t>
    </w:r>
    <w:r w:rsidR="00971388">
      <w:rPr>
        <w:sz w:val="20"/>
        <w:szCs w:val="20"/>
      </w:rPr>
      <w:t>_</w:t>
    </w:r>
    <w:r w:rsidR="00DD336C">
      <w:rPr>
        <w:sz w:val="20"/>
        <w:szCs w:val="20"/>
      </w:rPr>
      <w:t>GrozES</w:t>
    </w:r>
    <w:r w:rsidR="0004621C">
      <w:rPr>
        <w:sz w:val="20"/>
        <w:szCs w:val="20"/>
      </w:rPr>
      <w:t>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23" w:rsidRPr="008E3E94" w:rsidRDefault="00656521" w:rsidP="00241323">
    <w:pPr>
      <w:pStyle w:val="Footer"/>
      <w:ind w:firstLine="0"/>
      <w:jc w:val="both"/>
      <w:rPr>
        <w:sz w:val="20"/>
        <w:szCs w:val="20"/>
      </w:rPr>
    </w:pPr>
    <w:r>
      <w:rPr>
        <w:sz w:val="20"/>
        <w:szCs w:val="20"/>
      </w:rPr>
      <w:t>SAMA</w:t>
    </w:r>
    <w:r w:rsidR="0007136D">
      <w:rPr>
        <w:sz w:val="20"/>
        <w:szCs w:val="20"/>
      </w:rPr>
      <w:t>not_</w:t>
    </w:r>
    <w:r w:rsidR="000D178C">
      <w:rPr>
        <w:sz w:val="20"/>
        <w:szCs w:val="20"/>
      </w:rPr>
      <w:t>2</w:t>
    </w:r>
    <w:r w:rsidR="00B0713B">
      <w:rPr>
        <w:sz w:val="20"/>
        <w:szCs w:val="20"/>
      </w:rPr>
      <w:t>711</w:t>
    </w:r>
    <w:r w:rsidR="00864DAC">
      <w:rPr>
        <w:sz w:val="20"/>
        <w:szCs w:val="20"/>
      </w:rPr>
      <w:t>17</w:t>
    </w:r>
    <w:r w:rsidR="00B87BE1">
      <w:rPr>
        <w:sz w:val="20"/>
        <w:szCs w:val="20"/>
      </w:rPr>
      <w:t>_</w:t>
    </w:r>
    <w:r w:rsidR="0004621C">
      <w:rPr>
        <w:sz w:val="20"/>
        <w:szCs w:val="20"/>
      </w:rPr>
      <w:t>Groz</w:t>
    </w:r>
    <w:r w:rsidR="003D0ACC">
      <w:rPr>
        <w:sz w:val="20"/>
        <w:szCs w:val="20"/>
      </w:rPr>
      <w:t>ES</w:t>
    </w:r>
    <w:r w:rsidR="000175C4">
      <w:rPr>
        <w:sz w:val="20"/>
        <w:szCs w:val="20"/>
      </w:rPr>
      <w:t>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F20" w:rsidRDefault="007E0F20">
      <w:r>
        <w:separator/>
      </w:r>
    </w:p>
  </w:footnote>
  <w:footnote w:type="continuationSeparator" w:id="0">
    <w:p w:rsidR="007E0F20" w:rsidRDefault="007E0F20">
      <w:r>
        <w:continuationSeparator/>
      </w:r>
    </w:p>
  </w:footnote>
  <w:footnote w:id="1">
    <w:p w:rsidR="00C26EF1" w:rsidRPr="00C26EF1" w:rsidRDefault="00C26EF1">
      <w:pPr>
        <w:pStyle w:val="FootnoteText"/>
        <w:rPr>
          <w:lang w:val="lv-LV"/>
        </w:rPr>
      </w:pPr>
      <w:r>
        <w:rPr>
          <w:rStyle w:val="FootnoteReference"/>
        </w:rPr>
        <w:footnoteRef/>
      </w:r>
      <w:r>
        <w:t xml:space="preserve"> </w:t>
      </w:r>
      <w:r w:rsidRPr="00A475B8">
        <w:rPr>
          <w:rFonts w:ascii="Times New Roman" w:hAnsi="Times New Roman"/>
          <w:sz w:val="16"/>
          <w:szCs w:val="16"/>
          <w:lang w:val="lv-LV"/>
        </w:rPr>
        <w:t xml:space="preserve">Eiropas Savienības Tiesa spriedumā lietā </w:t>
      </w:r>
      <w:proofErr w:type="spellStart"/>
      <w:r w:rsidRPr="00A475B8">
        <w:rPr>
          <w:rFonts w:ascii="Times New Roman" w:hAnsi="Times New Roman"/>
          <w:i/>
          <w:iCs/>
          <w:sz w:val="16"/>
          <w:szCs w:val="16"/>
          <w:lang w:val="lv-LV"/>
        </w:rPr>
        <w:t>Altmark</w:t>
      </w:r>
      <w:proofErr w:type="spellEnd"/>
      <w:r w:rsidRPr="00A475B8">
        <w:rPr>
          <w:rFonts w:ascii="Times New Roman" w:hAnsi="Times New Roman"/>
          <w:i/>
          <w:iCs/>
          <w:sz w:val="16"/>
          <w:szCs w:val="16"/>
          <w:lang w:val="lv-LV"/>
        </w:rPr>
        <w:t xml:space="preserve"> (</w:t>
      </w:r>
      <w:r w:rsidRPr="00A475B8">
        <w:rPr>
          <w:rFonts w:ascii="Times New Roman" w:hAnsi="Times New Roman"/>
          <w:sz w:val="16"/>
          <w:szCs w:val="16"/>
          <w:lang w:val="lv-LV"/>
        </w:rPr>
        <w:t xml:space="preserve">Lieta C-280/00, </w:t>
      </w:r>
      <w:proofErr w:type="spellStart"/>
      <w:r w:rsidRPr="00A475B8">
        <w:rPr>
          <w:rFonts w:ascii="Times New Roman" w:hAnsi="Times New Roman"/>
          <w:i/>
          <w:iCs/>
          <w:sz w:val="16"/>
          <w:szCs w:val="16"/>
          <w:lang w:val="lv-LV"/>
        </w:rPr>
        <w:t>Altmark</w:t>
      </w:r>
      <w:proofErr w:type="spellEnd"/>
      <w:r w:rsidRPr="00A475B8">
        <w:rPr>
          <w:rFonts w:ascii="Times New Roman" w:hAnsi="Times New Roman"/>
          <w:i/>
          <w:iCs/>
          <w:sz w:val="16"/>
          <w:szCs w:val="16"/>
          <w:lang w:val="lv-LV"/>
        </w:rPr>
        <w:t xml:space="preserve"> Trans </w:t>
      </w:r>
      <w:proofErr w:type="spellStart"/>
      <w:r w:rsidRPr="00A475B8">
        <w:rPr>
          <w:rFonts w:ascii="Times New Roman" w:hAnsi="Times New Roman"/>
          <w:i/>
          <w:iCs/>
          <w:sz w:val="16"/>
          <w:szCs w:val="16"/>
          <w:lang w:val="lv-LV"/>
        </w:rPr>
        <w:t>and</w:t>
      </w:r>
      <w:proofErr w:type="spellEnd"/>
      <w:r w:rsidRPr="00A475B8">
        <w:rPr>
          <w:rFonts w:ascii="Times New Roman" w:hAnsi="Times New Roman"/>
          <w:i/>
          <w:iCs/>
          <w:sz w:val="16"/>
          <w:szCs w:val="16"/>
          <w:lang w:val="lv-LV"/>
        </w:rPr>
        <w:t xml:space="preserve"> </w:t>
      </w:r>
      <w:proofErr w:type="spellStart"/>
      <w:r w:rsidRPr="00A475B8">
        <w:rPr>
          <w:rFonts w:ascii="Times New Roman" w:hAnsi="Times New Roman"/>
          <w:i/>
          <w:iCs/>
          <w:sz w:val="16"/>
          <w:szCs w:val="16"/>
          <w:lang w:val="lv-LV"/>
        </w:rPr>
        <w:t>Regierungspräsidium</w:t>
      </w:r>
      <w:proofErr w:type="spellEnd"/>
      <w:r w:rsidRPr="00A475B8">
        <w:rPr>
          <w:rFonts w:ascii="Times New Roman" w:hAnsi="Times New Roman"/>
          <w:i/>
          <w:iCs/>
          <w:sz w:val="16"/>
          <w:szCs w:val="16"/>
          <w:lang w:val="lv-LV"/>
        </w:rPr>
        <w:t xml:space="preserve"> </w:t>
      </w:r>
      <w:proofErr w:type="spellStart"/>
      <w:r w:rsidRPr="00A475B8">
        <w:rPr>
          <w:rFonts w:ascii="Times New Roman" w:hAnsi="Times New Roman"/>
          <w:i/>
          <w:iCs/>
          <w:sz w:val="16"/>
          <w:szCs w:val="16"/>
          <w:lang w:val="lv-LV"/>
        </w:rPr>
        <w:t>Magdeburg</w:t>
      </w:r>
      <w:proofErr w:type="spellEnd"/>
      <w:r w:rsidRPr="00A475B8">
        <w:rPr>
          <w:rFonts w:ascii="Times New Roman" w:hAnsi="Times New Roman"/>
          <w:i/>
          <w:iCs/>
          <w:sz w:val="16"/>
          <w:szCs w:val="16"/>
          <w:lang w:val="lv-LV"/>
        </w:rPr>
        <w:t xml:space="preserve"> v </w:t>
      </w:r>
      <w:proofErr w:type="spellStart"/>
      <w:r w:rsidRPr="00A475B8">
        <w:rPr>
          <w:rFonts w:ascii="Times New Roman" w:hAnsi="Times New Roman"/>
          <w:i/>
          <w:iCs/>
          <w:sz w:val="16"/>
          <w:szCs w:val="16"/>
          <w:lang w:val="lv-LV"/>
        </w:rPr>
        <w:t>Nahverkehrsgesellschaft</w:t>
      </w:r>
      <w:proofErr w:type="spellEnd"/>
    </w:p>
  </w:footnote>
  <w:footnote w:id="2">
    <w:p w:rsidR="00AE62D0" w:rsidRDefault="00AE62D0" w:rsidP="00AE62D0"/>
  </w:footnote>
  <w:footnote w:id="3">
    <w:p w:rsidR="006F06C8" w:rsidRDefault="006F06C8" w:rsidP="006F06C8">
      <w:pPr>
        <w:ind w:firstLine="0"/>
      </w:pPr>
      <w:r>
        <w:rPr>
          <w:rStyle w:val="FootnoteReference"/>
        </w:rPr>
        <w:footnoteRef/>
      </w:r>
      <w:r>
        <w:t xml:space="preserve"> </w:t>
      </w:r>
      <w:hyperlink r:id="rId1" w:history="1">
        <w:r w:rsidRPr="006F06C8">
          <w:rPr>
            <w:rStyle w:val="Hyperlink"/>
            <w:sz w:val="16"/>
            <w:szCs w:val="16"/>
          </w:rPr>
          <w:t>https://www.lattelecom.lv/par-lattelecom/citi/regulejosa-vide</w:t>
        </w:r>
      </w:hyperlink>
    </w:p>
    <w:p w:rsidR="006F06C8" w:rsidRPr="005C276A" w:rsidRDefault="006F06C8" w:rsidP="006F06C8">
      <w:pPr>
        <w:pStyle w:val="FootnoteText"/>
        <w:rPr>
          <w:lang w:val="lv-LV"/>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779969"/>
      <w:docPartObj>
        <w:docPartGallery w:val="Page Numbers (Top of Page)"/>
        <w:docPartUnique/>
      </w:docPartObj>
    </w:sdtPr>
    <w:sdtEndPr>
      <w:rPr>
        <w:noProof/>
      </w:rPr>
    </w:sdtEndPr>
    <w:sdtContent>
      <w:p w:rsidR="00241323" w:rsidRDefault="0007136D">
        <w:pPr>
          <w:pStyle w:val="Header"/>
          <w:jc w:val="center"/>
        </w:pPr>
        <w:r>
          <w:fldChar w:fldCharType="begin"/>
        </w:r>
        <w:r>
          <w:instrText xml:space="preserve"> PAGE   \* MERGEFORMAT </w:instrText>
        </w:r>
        <w:r>
          <w:fldChar w:fldCharType="separate"/>
        </w:r>
        <w:r w:rsidR="006173A7">
          <w:rPr>
            <w:noProof/>
          </w:rPr>
          <w:t>15</w:t>
        </w:r>
        <w:r>
          <w:rPr>
            <w:noProof/>
          </w:rPr>
          <w:fldChar w:fldCharType="end"/>
        </w:r>
      </w:p>
    </w:sdtContent>
  </w:sdt>
  <w:p w:rsidR="008E3E94" w:rsidRDefault="007E0F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70A"/>
    <w:multiLevelType w:val="hybridMultilevel"/>
    <w:tmpl w:val="0C7A197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0D6D4AC6"/>
    <w:multiLevelType w:val="hybridMultilevel"/>
    <w:tmpl w:val="92D80E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81C1FA3"/>
    <w:multiLevelType w:val="hybridMultilevel"/>
    <w:tmpl w:val="CFE65E9E"/>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3">
    <w:nsid w:val="35B932F2"/>
    <w:multiLevelType w:val="hybridMultilevel"/>
    <w:tmpl w:val="195A1A86"/>
    <w:lvl w:ilvl="0" w:tplc="7598CA1C">
      <w:start w:val="1"/>
      <w:numFmt w:val="decimal"/>
      <w:suff w:val="space"/>
      <w:lvlText w:val="%1)"/>
      <w:lvlJc w:val="left"/>
      <w:pPr>
        <w:ind w:left="919" w:hanging="360"/>
      </w:pPr>
      <w:rPr>
        <w:rFonts w:hint="default"/>
      </w:rPr>
    </w:lvl>
    <w:lvl w:ilvl="1" w:tplc="04260019" w:tentative="1">
      <w:start w:val="1"/>
      <w:numFmt w:val="lowerLetter"/>
      <w:lvlText w:val="%2."/>
      <w:lvlJc w:val="left"/>
      <w:pPr>
        <w:ind w:left="1639" w:hanging="360"/>
      </w:pPr>
    </w:lvl>
    <w:lvl w:ilvl="2" w:tplc="0426001B" w:tentative="1">
      <w:start w:val="1"/>
      <w:numFmt w:val="lowerRoman"/>
      <w:lvlText w:val="%3."/>
      <w:lvlJc w:val="right"/>
      <w:pPr>
        <w:ind w:left="2359" w:hanging="180"/>
      </w:pPr>
    </w:lvl>
    <w:lvl w:ilvl="3" w:tplc="0426000F" w:tentative="1">
      <w:start w:val="1"/>
      <w:numFmt w:val="decimal"/>
      <w:lvlText w:val="%4."/>
      <w:lvlJc w:val="left"/>
      <w:pPr>
        <w:ind w:left="3079" w:hanging="360"/>
      </w:pPr>
    </w:lvl>
    <w:lvl w:ilvl="4" w:tplc="04260019" w:tentative="1">
      <w:start w:val="1"/>
      <w:numFmt w:val="lowerLetter"/>
      <w:lvlText w:val="%5."/>
      <w:lvlJc w:val="left"/>
      <w:pPr>
        <w:ind w:left="3799" w:hanging="360"/>
      </w:pPr>
    </w:lvl>
    <w:lvl w:ilvl="5" w:tplc="0426001B" w:tentative="1">
      <w:start w:val="1"/>
      <w:numFmt w:val="lowerRoman"/>
      <w:lvlText w:val="%6."/>
      <w:lvlJc w:val="right"/>
      <w:pPr>
        <w:ind w:left="4519" w:hanging="180"/>
      </w:pPr>
    </w:lvl>
    <w:lvl w:ilvl="6" w:tplc="0426000F" w:tentative="1">
      <w:start w:val="1"/>
      <w:numFmt w:val="decimal"/>
      <w:lvlText w:val="%7."/>
      <w:lvlJc w:val="left"/>
      <w:pPr>
        <w:ind w:left="5239" w:hanging="360"/>
      </w:pPr>
    </w:lvl>
    <w:lvl w:ilvl="7" w:tplc="04260019" w:tentative="1">
      <w:start w:val="1"/>
      <w:numFmt w:val="lowerLetter"/>
      <w:lvlText w:val="%8."/>
      <w:lvlJc w:val="left"/>
      <w:pPr>
        <w:ind w:left="5959" w:hanging="360"/>
      </w:pPr>
    </w:lvl>
    <w:lvl w:ilvl="8" w:tplc="0426001B" w:tentative="1">
      <w:start w:val="1"/>
      <w:numFmt w:val="lowerRoman"/>
      <w:lvlText w:val="%9."/>
      <w:lvlJc w:val="right"/>
      <w:pPr>
        <w:ind w:left="6679" w:hanging="180"/>
      </w:pPr>
    </w:lvl>
  </w:abstractNum>
  <w:abstractNum w:abstractNumId="4">
    <w:nsid w:val="4CB20DBD"/>
    <w:multiLevelType w:val="hybridMultilevel"/>
    <w:tmpl w:val="9FBEB2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DD81A72"/>
    <w:multiLevelType w:val="hybridMultilevel"/>
    <w:tmpl w:val="4F7A4D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6A257D0"/>
    <w:multiLevelType w:val="hybridMultilevel"/>
    <w:tmpl w:val="DEA064D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7A85F3C"/>
    <w:multiLevelType w:val="hybridMultilevel"/>
    <w:tmpl w:val="AFC460D2"/>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8">
    <w:nsid w:val="69745BC7"/>
    <w:multiLevelType w:val="hybridMultilevel"/>
    <w:tmpl w:val="5F9C571C"/>
    <w:lvl w:ilvl="0" w:tplc="04260001">
      <w:start w:val="1"/>
      <w:numFmt w:val="bullet"/>
      <w:lvlText w:val=""/>
      <w:lvlJc w:val="left"/>
      <w:pPr>
        <w:ind w:left="1210" w:hanging="360"/>
      </w:pPr>
      <w:rPr>
        <w:rFonts w:ascii="Symbol" w:hAnsi="Symbol" w:hint="default"/>
      </w:rPr>
    </w:lvl>
    <w:lvl w:ilvl="1" w:tplc="04260019">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9">
    <w:nsid w:val="69FF228E"/>
    <w:multiLevelType w:val="hybridMultilevel"/>
    <w:tmpl w:val="BFD01B6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6ACD0EE8"/>
    <w:multiLevelType w:val="hybridMultilevel"/>
    <w:tmpl w:val="1780C7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07B5DB9"/>
    <w:multiLevelType w:val="hybridMultilevel"/>
    <w:tmpl w:val="F8FCA474"/>
    <w:lvl w:ilvl="0" w:tplc="C266680C">
      <w:start w:val="1"/>
      <w:numFmt w:val="decimal"/>
      <w:lvlText w:val="%1."/>
      <w:lvlJc w:val="left"/>
      <w:pPr>
        <w:ind w:left="695" w:hanging="525"/>
      </w:pPr>
      <w:rPr>
        <w:rFonts w:cstheme="minorBidi" w:hint="default"/>
        <w:sz w:val="24"/>
      </w:rPr>
    </w:lvl>
    <w:lvl w:ilvl="1" w:tplc="04260019" w:tentative="1">
      <w:start w:val="1"/>
      <w:numFmt w:val="lowerLetter"/>
      <w:lvlText w:val="%2."/>
      <w:lvlJc w:val="left"/>
      <w:pPr>
        <w:ind w:left="1250" w:hanging="360"/>
      </w:pPr>
    </w:lvl>
    <w:lvl w:ilvl="2" w:tplc="0426001B" w:tentative="1">
      <w:start w:val="1"/>
      <w:numFmt w:val="lowerRoman"/>
      <w:lvlText w:val="%3."/>
      <w:lvlJc w:val="right"/>
      <w:pPr>
        <w:ind w:left="1970" w:hanging="180"/>
      </w:pPr>
    </w:lvl>
    <w:lvl w:ilvl="3" w:tplc="0426000F" w:tentative="1">
      <w:start w:val="1"/>
      <w:numFmt w:val="decimal"/>
      <w:lvlText w:val="%4."/>
      <w:lvlJc w:val="left"/>
      <w:pPr>
        <w:ind w:left="2690" w:hanging="360"/>
      </w:pPr>
    </w:lvl>
    <w:lvl w:ilvl="4" w:tplc="04260019" w:tentative="1">
      <w:start w:val="1"/>
      <w:numFmt w:val="lowerLetter"/>
      <w:lvlText w:val="%5."/>
      <w:lvlJc w:val="left"/>
      <w:pPr>
        <w:ind w:left="3410" w:hanging="360"/>
      </w:pPr>
    </w:lvl>
    <w:lvl w:ilvl="5" w:tplc="0426001B" w:tentative="1">
      <w:start w:val="1"/>
      <w:numFmt w:val="lowerRoman"/>
      <w:lvlText w:val="%6."/>
      <w:lvlJc w:val="right"/>
      <w:pPr>
        <w:ind w:left="4130" w:hanging="180"/>
      </w:pPr>
    </w:lvl>
    <w:lvl w:ilvl="6" w:tplc="0426000F" w:tentative="1">
      <w:start w:val="1"/>
      <w:numFmt w:val="decimal"/>
      <w:lvlText w:val="%7."/>
      <w:lvlJc w:val="left"/>
      <w:pPr>
        <w:ind w:left="4850" w:hanging="360"/>
      </w:pPr>
    </w:lvl>
    <w:lvl w:ilvl="7" w:tplc="04260019" w:tentative="1">
      <w:start w:val="1"/>
      <w:numFmt w:val="lowerLetter"/>
      <w:lvlText w:val="%8."/>
      <w:lvlJc w:val="left"/>
      <w:pPr>
        <w:ind w:left="5570" w:hanging="360"/>
      </w:pPr>
    </w:lvl>
    <w:lvl w:ilvl="8" w:tplc="0426001B" w:tentative="1">
      <w:start w:val="1"/>
      <w:numFmt w:val="lowerRoman"/>
      <w:lvlText w:val="%9."/>
      <w:lvlJc w:val="right"/>
      <w:pPr>
        <w:ind w:left="6290" w:hanging="180"/>
      </w:pPr>
    </w:lvl>
  </w:abstractNum>
  <w:abstractNum w:abstractNumId="12">
    <w:nsid w:val="707E521E"/>
    <w:multiLevelType w:val="hybridMultilevel"/>
    <w:tmpl w:val="C0CAA286"/>
    <w:lvl w:ilvl="0" w:tplc="406E3C1E">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EDF1109"/>
    <w:multiLevelType w:val="hybridMultilevel"/>
    <w:tmpl w:val="100860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5"/>
  </w:num>
  <w:num w:numId="4">
    <w:abstractNumId w:val="4"/>
  </w:num>
  <w:num w:numId="5">
    <w:abstractNumId w:val="7"/>
  </w:num>
  <w:num w:numId="6">
    <w:abstractNumId w:val="9"/>
  </w:num>
  <w:num w:numId="7">
    <w:abstractNumId w:val="2"/>
  </w:num>
  <w:num w:numId="8">
    <w:abstractNumId w:val="10"/>
  </w:num>
  <w:num w:numId="9">
    <w:abstractNumId w:val="6"/>
  </w:num>
  <w:num w:numId="10">
    <w:abstractNumId w:val="8"/>
  </w:num>
  <w:num w:numId="11">
    <w:abstractNumId w:val="12"/>
  </w:num>
  <w:num w:numId="12">
    <w:abstractNumId w:val="0"/>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699"/>
    <w:rsid w:val="0000423A"/>
    <w:rsid w:val="00004B86"/>
    <w:rsid w:val="00012A22"/>
    <w:rsid w:val="000175C4"/>
    <w:rsid w:val="0003403A"/>
    <w:rsid w:val="000375DE"/>
    <w:rsid w:val="00042E41"/>
    <w:rsid w:val="00043A99"/>
    <w:rsid w:val="00044B41"/>
    <w:rsid w:val="0004621C"/>
    <w:rsid w:val="00052CBF"/>
    <w:rsid w:val="000544B7"/>
    <w:rsid w:val="0007136D"/>
    <w:rsid w:val="00072346"/>
    <w:rsid w:val="00073C71"/>
    <w:rsid w:val="000C2BE6"/>
    <w:rsid w:val="000D16D7"/>
    <w:rsid w:val="000D178C"/>
    <w:rsid w:val="000D395D"/>
    <w:rsid w:val="000E2A64"/>
    <w:rsid w:val="000E701D"/>
    <w:rsid w:val="00101C4A"/>
    <w:rsid w:val="00104611"/>
    <w:rsid w:val="0011598F"/>
    <w:rsid w:val="00117BC2"/>
    <w:rsid w:val="001209FE"/>
    <w:rsid w:val="001279C0"/>
    <w:rsid w:val="00131F99"/>
    <w:rsid w:val="00132829"/>
    <w:rsid w:val="00136A1C"/>
    <w:rsid w:val="00150ED4"/>
    <w:rsid w:val="00152655"/>
    <w:rsid w:val="001606F5"/>
    <w:rsid w:val="0016244E"/>
    <w:rsid w:val="00174E2D"/>
    <w:rsid w:val="001755A2"/>
    <w:rsid w:val="00181776"/>
    <w:rsid w:val="00191423"/>
    <w:rsid w:val="001A17F0"/>
    <w:rsid w:val="001A322F"/>
    <w:rsid w:val="001A52F5"/>
    <w:rsid w:val="001B18C7"/>
    <w:rsid w:val="001B298A"/>
    <w:rsid w:val="001B4759"/>
    <w:rsid w:val="001B4DAA"/>
    <w:rsid w:val="001F19AC"/>
    <w:rsid w:val="001F48DD"/>
    <w:rsid w:val="001F757F"/>
    <w:rsid w:val="001F7ECD"/>
    <w:rsid w:val="0020083C"/>
    <w:rsid w:val="00202FDF"/>
    <w:rsid w:val="00211B9F"/>
    <w:rsid w:val="00215EC0"/>
    <w:rsid w:val="002206DA"/>
    <w:rsid w:val="00224097"/>
    <w:rsid w:val="002305D9"/>
    <w:rsid w:val="0023066C"/>
    <w:rsid w:val="002314F6"/>
    <w:rsid w:val="00233986"/>
    <w:rsid w:val="0024090D"/>
    <w:rsid w:val="00243ADA"/>
    <w:rsid w:val="00243C3C"/>
    <w:rsid w:val="00244E82"/>
    <w:rsid w:val="002460C3"/>
    <w:rsid w:val="00246A04"/>
    <w:rsid w:val="00250720"/>
    <w:rsid w:val="00256BD2"/>
    <w:rsid w:val="0026319B"/>
    <w:rsid w:val="002632A2"/>
    <w:rsid w:val="00263DE9"/>
    <w:rsid w:val="002658A6"/>
    <w:rsid w:val="0026624E"/>
    <w:rsid w:val="00286579"/>
    <w:rsid w:val="002A0B99"/>
    <w:rsid w:val="002A2144"/>
    <w:rsid w:val="002A4199"/>
    <w:rsid w:val="002C1463"/>
    <w:rsid w:val="002C475D"/>
    <w:rsid w:val="002D1699"/>
    <w:rsid w:val="002E33CF"/>
    <w:rsid w:val="00300CEC"/>
    <w:rsid w:val="00315CFC"/>
    <w:rsid w:val="003161EE"/>
    <w:rsid w:val="00321199"/>
    <w:rsid w:val="003259F7"/>
    <w:rsid w:val="003348C0"/>
    <w:rsid w:val="00336656"/>
    <w:rsid w:val="00340368"/>
    <w:rsid w:val="00340D74"/>
    <w:rsid w:val="00341BCB"/>
    <w:rsid w:val="00344A90"/>
    <w:rsid w:val="003477BF"/>
    <w:rsid w:val="00362966"/>
    <w:rsid w:val="003656DD"/>
    <w:rsid w:val="0037554B"/>
    <w:rsid w:val="00377FBE"/>
    <w:rsid w:val="00383937"/>
    <w:rsid w:val="0038667C"/>
    <w:rsid w:val="003928CB"/>
    <w:rsid w:val="00393FB0"/>
    <w:rsid w:val="00396988"/>
    <w:rsid w:val="003B564E"/>
    <w:rsid w:val="003C64AA"/>
    <w:rsid w:val="003C678B"/>
    <w:rsid w:val="003D0ACC"/>
    <w:rsid w:val="003D489F"/>
    <w:rsid w:val="003D7916"/>
    <w:rsid w:val="003E40A9"/>
    <w:rsid w:val="003E4F6F"/>
    <w:rsid w:val="003E6A30"/>
    <w:rsid w:val="003F180A"/>
    <w:rsid w:val="003F3323"/>
    <w:rsid w:val="00403D0A"/>
    <w:rsid w:val="0040567E"/>
    <w:rsid w:val="004107BB"/>
    <w:rsid w:val="00410D1E"/>
    <w:rsid w:val="00413683"/>
    <w:rsid w:val="00416340"/>
    <w:rsid w:val="00417277"/>
    <w:rsid w:val="00424A28"/>
    <w:rsid w:val="00425657"/>
    <w:rsid w:val="00431BD1"/>
    <w:rsid w:val="00433590"/>
    <w:rsid w:val="004500EF"/>
    <w:rsid w:val="00451762"/>
    <w:rsid w:val="0045312F"/>
    <w:rsid w:val="004621D5"/>
    <w:rsid w:val="004813F6"/>
    <w:rsid w:val="00486883"/>
    <w:rsid w:val="004952DC"/>
    <w:rsid w:val="00495E99"/>
    <w:rsid w:val="00496E5D"/>
    <w:rsid w:val="004B4F8E"/>
    <w:rsid w:val="004C0249"/>
    <w:rsid w:val="004D0B2F"/>
    <w:rsid w:val="004D5259"/>
    <w:rsid w:val="004D5394"/>
    <w:rsid w:val="004E086F"/>
    <w:rsid w:val="004F39F4"/>
    <w:rsid w:val="00506975"/>
    <w:rsid w:val="00510B96"/>
    <w:rsid w:val="00517880"/>
    <w:rsid w:val="005238B4"/>
    <w:rsid w:val="0052690F"/>
    <w:rsid w:val="0052724E"/>
    <w:rsid w:val="00527434"/>
    <w:rsid w:val="0053338F"/>
    <w:rsid w:val="005357EC"/>
    <w:rsid w:val="00544058"/>
    <w:rsid w:val="00560FE4"/>
    <w:rsid w:val="0056352F"/>
    <w:rsid w:val="005700B7"/>
    <w:rsid w:val="00580C11"/>
    <w:rsid w:val="0058195E"/>
    <w:rsid w:val="00584434"/>
    <w:rsid w:val="00584D1D"/>
    <w:rsid w:val="0059427E"/>
    <w:rsid w:val="005B1478"/>
    <w:rsid w:val="005B70BE"/>
    <w:rsid w:val="005B7BBD"/>
    <w:rsid w:val="005C4FD0"/>
    <w:rsid w:val="005D3CD0"/>
    <w:rsid w:val="005D647E"/>
    <w:rsid w:val="005E02D3"/>
    <w:rsid w:val="005F07F5"/>
    <w:rsid w:val="005F3C48"/>
    <w:rsid w:val="005F7B49"/>
    <w:rsid w:val="00601D13"/>
    <w:rsid w:val="006028F1"/>
    <w:rsid w:val="00605F42"/>
    <w:rsid w:val="0060765B"/>
    <w:rsid w:val="00611C81"/>
    <w:rsid w:val="006145B9"/>
    <w:rsid w:val="00616893"/>
    <w:rsid w:val="006173A7"/>
    <w:rsid w:val="00617772"/>
    <w:rsid w:val="00617FF5"/>
    <w:rsid w:val="00621566"/>
    <w:rsid w:val="00621D2F"/>
    <w:rsid w:val="00627F10"/>
    <w:rsid w:val="006324F8"/>
    <w:rsid w:val="00637834"/>
    <w:rsid w:val="00642ADA"/>
    <w:rsid w:val="00645140"/>
    <w:rsid w:val="006456A7"/>
    <w:rsid w:val="006533E7"/>
    <w:rsid w:val="00656521"/>
    <w:rsid w:val="00663488"/>
    <w:rsid w:val="006751A4"/>
    <w:rsid w:val="00677166"/>
    <w:rsid w:val="00685A0E"/>
    <w:rsid w:val="006977EF"/>
    <w:rsid w:val="006A1211"/>
    <w:rsid w:val="006A3948"/>
    <w:rsid w:val="006B211E"/>
    <w:rsid w:val="006C0BE0"/>
    <w:rsid w:val="006C286E"/>
    <w:rsid w:val="006D489F"/>
    <w:rsid w:val="006E7381"/>
    <w:rsid w:val="006F06C8"/>
    <w:rsid w:val="007040FF"/>
    <w:rsid w:val="0070544E"/>
    <w:rsid w:val="00711B41"/>
    <w:rsid w:val="00712C96"/>
    <w:rsid w:val="00720D12"/>
    <w:rsid w:val="00724D9D"/>
    <w:rsid w:val="00733071"/>
    <w:rsid w:val="00734B1D"/>
    <w:rsid w:val="00741AA9"/>
    <w:rsid w:val="00742D9F"/>
    <w:rsid w:val="00747290"/>
    <w:rsid w:val="00750EF0"/>
    <w:rsid w:val="00751E39"/>
    <w:rsid w:val="00766905"/>
    <w:rsid w:val="00774508"/>
    <w:rsid w:val="00777588"/>
    <w:rsid w:val="00783F5C"/>
    <w:rsid w:val="00792A1E"/>
    <w:rsid w:val="00793F53"/>
    <w:rsid w:val="00797B7F"/>
    <w:rsid w:val="007B2A9E"/>
    <w:rsid w:val="007C09D6"/>
    <w:rsid w:val="007D3866"/>
    <w:rsid w:val="007D5ABA"/>
    <w:rsid w:val="007E0F20"/>
    <w:rsid w:val="007E5AE4"/>
    <w:rsid w:val="007F3A75"/>
    <w:rsid w:val="007F723D"/>
    <w:rsid w:val="0080393C"/>
    <w:rsid w:val="008068B0"/>
    <w:rsid w:val="0081020D"/>
    <w:rsid w:val="008144CD"/>
    <w:rsid w:val="00822A1E"/>
    <w:rsid w:val="008321F6"/>
    <w:rsid w:val="00834C7E"/>
    <w:rsid w:val="0083509F"/>
    <w:rsid w:val="00835B29"/>
    <w:rsid w:val="008431A4"/>
    <w:rsid w:val="0084353F"/>
    <w:rsid w:val="00845D42"/>
    <w:rsid w:val="00852CC3"/>
    <w:rsid w:val="008569DD"/>
    <w:rsid w:val="00861120"/>
    <w:rsid w:val="00861242"/>
    <w:rsid w:val="008619DD"/>
    <w:rsid w:val="00863EB9"/>
    <w:rsid w:val="00864DAC"/>
    <w:rsid w:val="008655FA"/>
    <w:rsid w:val="008672BB"/>
    <w:rsid w:val="00871BF6"/>
    <w:rsid w:val="008779C7"/>
    <w:rsid w:val="0088294C"/>
    <w:rsid w:val="00885764"/>
    <w:rsid w:val="0089015D"/>
    <w:rsid w:val="008A3DA5"/>
    <w:rsid w:val="008B5105"/>
    <w:rsid w:val="008C0990"/>
    <w:rsid w:val="008D20CF"/>
    <w:rsid w:val="008D361B"/>
    <w:rsid w:val="008E7EE5"/>
    <w:rsid w:val="008F5326"/>
    <w:rsid w:val="0090291A"/>
    <w:rsid w:val="009072B1"/>
    <w:rsid w:val="0090743A"/>
    <w:rsid w:val="009075F4"/>
    <w:rsid w:val="00907C73"/>
    <w:rsid w:val="0092053F"/>
    <w:rsid w:val="00920C36"/>
    <w:rsid w:val="00921674"/>
    <w:rsid w:val="00921894"/>
    <w:rsid w:val="0092588E"/>
    <w:rsid w:val="009314FC"/>
    <w:rsid w:val="0093395F"/>
    <w:rsid w:val="0094184E"/>
    <w:rsid w:val="009568E0"/>
    <w:rsid w:val="0096168C"/>
    <w:rsid w:val="00965DB0"/>
    <w:rsid w:val="00971388"/>
    <w:rsid w:val="00974AC8"/>
    <w:rsid w:val="00987C45"/>
    <w:rsid w:val="0099076B"/>
    <w:rsid w:val="00996CC6"/>
    <w:rsid w:val="00997816"/>
    <w:rsid w:val="009B24D1"/>
    <w:rsid w:val="009B73BB"/>
    <w:rsid w:val="009C086C"/>
    <w:rsid w:val="009C3B8F"/>
    <w:rsid w:val="009C4F33"/>
    <w:rsid w:val="009C7E36"/>
    <w:rsid w:val="009D10FC"/>
    <w:rsid w:val="009D52D8"/>
    <w:rsid w:val="009D6B54"/>
    <w:rsid w:val="009D7019"/>
    <w:rsid w:val="009E050B"/>
    <w:rsid w:val="009E0B19"/>
    <w:rsid w:val="009E610A"/>
    <w:rsid w:val="009E703A"/>
    <w:rsid w:val="009F593D"/>
    <w:rsid w:val="009F70EF"/>
    <w:rsid w:val="00A03455"/>
    <w:rsid w:val="00A137E8"/>
    <w:rsid w:val="00A16249"/>
    <w:rsid w:val="00A222BA"/>
    <w:rsid w:val="00A23851"/>
    <w:rsid w:val="00A37001"/>
    <w:rsid w:val="00A4234B"/>
    <w:rsid w:val="00A475B8"/>
    <w:rsid w:val="00A47755"/>
    <w:rsid w:val="00A50329"/>
    <w:rsid w:val="00A511A2"/>
    <w:rsid w:val="00A52EE0"/>
    <w:rsid w:val="00A55CC8"/>
    <w:rsid w:val="00A56080"/>
    <w:rsid w:val="00A707E1"/>
    <w:rsid w:val="00A70AD5"/>
    <w:rsid w:val="00A93660"/>
    <w:rsid w:val="00A94C6F"/>
    <w:rsid w:val="00A9777D"/>
    <w:rsid w:val="00AC0B14"/>
    <w:rsid w:val="00AC6350"/>
    <w:rsid w:val="00AC6949"/>
    <w:rsid w:val="00AD2A86"/>
    <w:rsid w:val="00AD3346"/>
    <w:rsid w:val="00AE53DF"/>
    <w:rsid w:val="00AE62D0"/>
    <w:rsid w:val="00B02D8E"/>
    <w:rsid w:val="00B04B41"/>
    <w:rsid w:val="00B0713B"/>
    <w:rsid w:val="00B12B2D"/>
    <w:rsid w:val="00B13DFA"/>
    <w:rsid w:val="00B223FE"/>
    <w:rsid w:val="00B257AB"/>
    <w:rsid w:val="00B30C00"/>
    <w:rsid w:val="00B31932"/>
    <w:rsid w:val="00B46B66"/>
    <w:rsid w:val="00B6059F"/>
    <w:rsid w:val="00B73DB7"/>
    <w:rsid w:val="00B767F3"/>
    <w:rsid w:val="00B800C2"/>
    <w:rsid w:val="00B804BA"/>
    <w:rsid w:val="00B827B0"/>
    <w:rsid w:val="00B8588C"/>
    <w:rsid w:val="00B87BE1"/>
    <w:rsid w:val="00B91B1B"/>
    <w:rsid w:val="00B9297B"/>
    <w:rsid w:val="00BA43C7"/>
    <w:rsid w:val="00BB42C3"/>
    <w:rsid w:val="00BB72F1"/>
    <w:rsid w:val="00BF58AA"/>
    <w:rsid w:val="00C01004"/>
    <w:rsid w:val="00C04273"/>
    <w:rsid w:val="00C043AE"/>
    <w:rsid w:val="00C0633E"/>
    <w:rsid w:val="00C0701A"/>
    <w:rsid w:val="00C14211"/>
    <w:rsid w:val="00C20206"/>
    <w:rsid w:val="00C20973"/>
    <w:rsid w:val="00C229F1"/>
    <w:rsid w:val="00C26EF1"/>
    <w:rsid w:val="00C30E37"/>
    <w:rsid w:val="00C36CE5"/>
    <w:rsid w:val="00C40580"/>
    <w:rsid w:val="00C51584"/>
    <w:rsid w:val="00C562E5"/>
    <w:rsid w:val="00C565F8"/>
    <w:rsid w:val="00C70001"/>
    <w:rsid w:val="00C71033"/>
    <w:rsid w:val="00C753FC"/>
    <w:rsid w:val="00C86BBC"/>
    <w:rsid w:val="00C91470"/>
    <w:rsid w:val="00CA5E0B"/>
    <w:rsid w:val="00CB13B8"/>
    <w:rsid w:val="00CB39B9"/>
    <w:rsid w:val="00CC315F"/>
    <w:rsid w:val="00CF4CB0"/>
    <w:rsid w:val="00D01ABF"/>
    <w:rsid w:val="00D02EDC"/>
    <w:rsid w:val="00D16A9D"/>
    <w:rsid w:val="00D25453"/>
    <w:rsid w:val="00D256EA"/>
    <w:rsid w:val="00D304E5"/>
    <w:rsid w:val="00D4071C"/>
    <w:rsid w:val="00D45B92"/>
    <w:rsid w:val="00D54A4C"/>
    <w:rsid w:val="00D57925"/>
    <w:rsid w:val="00D655C9"/>
    <w:rsid w:val="00D72749"/>
    <w:rsid w:val="00D741C7"/>
    <w:rsid w:val="00D81D11"/>
    <w:rsid w:val="00D86D19"/>
    <w:rsid w:val="00D927D6"/>
    <w:rsid w:val="00D933C3"/>
    <w:rsid w:val="00D94EDF"/>
    <w:rsid w:val="00D9747E"/>
    <w:rsid w:val="00DA025B"/>
    <w:rsid w:val="00DA0781"/>
    <w:rsid w:val="00DA5657"/>
    <w:rsid w:val="00DB3CDA"/>
    <w:rsid w:val="00DC0050"/>
    <w:rsid w:val="00DC0110"/>
    <w:rsid w:val="00DC4E4B"/>
    <w:rsid w:val="00DD336C"/>
    <w:rsid w:val="00DD670C"/>
    <w:rsid w:val="00DE0E2F"/>
    <w:rsid w:val="00DE11EF"/>
    <w:rsid w:val="00DE451C"/>
    <w:rsid w:val="00DE5811"/>
    <w:rsid w:val="00DF0400"/>
    <w:rsid w:val="00E00901"/>
    <w:rsid w:val="00E04939"/>
    <w:rsid w:val="00E11B77"/>
    <w:rsid w:val="00E12B35"/>
    <w:rsid w:val="00E14B57"/>
    <w:rsid w:val="00E151FD"/>
    <w:rsid w:val="00E23BAF"/>
    <w:rsid w:val="00E269F4"/>
    <w:rsid w:val="00E27C9C"/>
    <w:rsid w:val="00E30770"/>
    <w:rsid w:val="00E31807"/>
    <w:rsid w:val="00E33EBA"/>
    <w:rsid w:val="00E51A2E"/>
    <w:rsid w:val="00E549DC"/>
    <w:rsid w:val="00E55477"/>
    <w:rsid w:val="00E77DFE"/>
    <w:rsid w:val="00E81539"/>
    <w:rsid w:val="00E832E1"/>
    <w:rsid w:val="00E9363C"/>
    <w:rsid w:val="00EB5513"/>
    <w:rsid w:val="00EC607B"/>
    <w:rsid w:val="00ED04FB"/>
    <w:rsid w:val="00ED27B7"/>
    <w:rsid w:val="00ED685F"/>
    <w:rsid w:val="00EE6721"/>
    <w:rsid w:val="00EF3448"/>
    <w:rsid w:val="00EF3C5C"/>
    <w:rsid w:val="00F03774"/>
    <w:rsid w:val="00F13F05"/>
    <w:rsid w:val="00F14363"/>
    <w:rsid w:val="00F25DE9"/>
    <w:rsid w:val="00F3133D"/>
    <w:rsid w:val="00F3258C"/>
    <w:rsid w:val="00F36E98"/>
    <w:rsid w:val="00F40563"/>
    <w:rsid w:val="00F529B8"/>
    <w:rsid w:val="00F60E63"/>
    <w:rsid w:val="00F6480A"/>
    <w:rsid w:val="00F73DA7"/>
    <w:rsid w:val="00F74A2E"/>
    <w:rsid w:val="00F91241"/>
    <w:rsid w:val="00F93F27"/>
    <w:rsid w:val="00FA19AC"/>
    <w:rsid w:val="00FA5DDD"/>
    <w:rsid w:val="00FA767B"/>
    <w:rsid w:val="00FB43DD"/>
    <w:rsid w:val="00FC1014"/>
    <w:rsid w:val="00FC3F3B"/>
    <w:rsid w:val="00FC57E7"/>
    <w:rsid w:val="00FD34CD"/>
    <w:rsid w:val="00FD4B00"/>
    <w:rsid w:val="00FD4B36"/>
    <w:rsid w:val="00FE35F8"/>
    <w:rsid w:val="00FE4F4D"/>
    <w:rsid w:val="00FF0B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E41"/>
    <w:pPr>
      <w:spacing w:after="0" w:line="240" w:lineRule="auto"/>
      <w:ind w:firstLine="720"/>
    </w:pPr>
    <w:rPr>
      <w:rFonts w:ascii="Times New Roman" w:hAnsi="Times New Roman"/>
      <w:sz w:val="28"/>
    </w:rPr>
  </w:style>
  <w:style w:type="paragraph" w:styleId="Heading3">
    <w:name w:val="heading 3"/>
    <w:basedOn w:val="Normal"/>
    <w:next w:val="Normal"/>
    <w:link w:val="Heading3Char"/>
    <w:uiPriority w:val="99"/>
    <w:qFormat/>
    <w:rsid w:val="002D1699"/>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D1699"/>
    <w:rPr>
      <w:rFonts w:ascii="Cambria" w:eastAsia="Times New Roman" w:hAnsi="Cambria" w:cs="Times New Roman"/>
      <w:b/>
      <w:bCs/>
      <w:sz w:val="26"/>
      <w:szCs w:val="26"/>
      <w:lang w:val="en-US"/>
    </w:rPr>
  </w:style>
  <w:style w:type="character" w:styleId="Hyperlink">
    <w:name w:val="Hyperlink"/>
    <w:basedOn w:val="DefaultParagraphFont"/>
    <w:uiPriority w:val="99"/>
    <w:unhideWhenUsed/>
    <w:rsid w:val="002D1699"/>
    <w:rPr>
      <w:color w:val="0000FF" w:themeColor="hyperlink"/>
      <w:u w:val="single"/>
    </w:rPr>
  </w:style>
  <w:style w:type="paragraph" w:styleId="Header">
    <w:name w:val="header"/>
    <w:basedOn w:val="Normal"/>
    <w:link w:val="HeaderChar"/>
    <w:uiPriority w:val="99"/>
    <w:rsid w:val="002D1699"/>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2D1699"/>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rsid w:val="002D1699"/>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2D169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D1699"/>
    <w:pPr>
      <w:tabs>
        <w:tab w:val="center" w:pos="4153"/>
        <w:tab w:val="right" w:pos="8306"/>
      </w:tabs>
    </w:pPr>
  </w:style>
  <w:style w:type="character" w:customStyle="1" w:styleId="FooterChar">
    <w:name w:val="Footer Char"/>
    <w:basedOn w:val="DefaultParagraphFont"/>
    <w:link w:val="Footer"/>
    <w:uiPriority w:val="99"/>
    <w:rsid w:val="002D1699"/>
    <w:rPr>
      <w:rFonts w:ascii="Times New Roman" w:hAnsi="Times New Roman"/>
      <w:sz w:val="28"/>
    </w:rPr>
  </w:style>
  <w:style w:type="paragraph" w:styleId="ListParagraph">
    <w:name w:val="List Paragraph"/>
    <w:basedOn w:val="Normal"/>
    <w:link w:val="ListParagraphChar"/>
    <w:uiPriority w:val="34"/>
    <w:qFormat/>
    <w:rsid w:val="002D1699"/>
    <w:pPr>
      <w:ind w:left="720"/>
      <w:contextualSpacing/>
    </w:pPr>
  </w:style>
  <w:style w:type="character" w:styleId="Strong">
    <w:name w:val="Strong"/>
    <w:uiPriority w:val="22"/>
    <w:qFormat/>
    <w:rsid w:val="00DA0781"/>
    <w:rPr>
      <w:b/>
      <w:bCs/>
      <w:color w:val="68738C"/>
    </w:rPr>
  </w:style>
  <w:style w:type="character" w:styleId="CommentReference">
    <w:name w:val="annotation reference"/>
    <w:basedOn w:val="DefaultParagraphFont"/>
    <w:uiPriority w:val="99"/>
    <w:semiHidden/>
    <w:unhideWhenUsed/>
    <w:rsid w:val="00052CBF"/>
    <w:rPr>
      <w:sz w:val="16"/>
      <w:szCs w:val="16"/>
    </w:rPr>
  </w:style>
  <w:style w:type="paragraph" w:styleId="CommentText">
    <w:name w:val="annotation text"/>
    <w:basedOn w:val="Normal"/>
    <w:link w:val="CommentTextChar"/>
    <w:uiPriority w:val="99"/>
    <w:semiHidden/>
    <w:unhideWhenUsed/>
    <w:rsid w:val="00052CBF"/>
    <w:rPr>
      <w:sz w:val="20"/>
      <w:szCs w:val="20"/>
    </w:rPr>
  </w:style>
  <w:style w:type="character" w:customStyle="1" w:styleId="CommentTextChar">
    <w:name w:val="Comment Text Char"/>
    <w:basedOn w:val="DefaultParagraphFont"/>
    <w:link w:val="CommentText"/>
    <w:uiPriority w:val="99"/>
    <w:semiHidden/>
    <w:rsid w:val="00052CB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2CBF"/>
    <w:rPr>
      <w:b/>
      <w:bCs/>
    </w:rPr>
  </w:style>
  <w:style w:type="character" w:customStyle="1" w:styleId="CommentSubjectChar">
    <w:name w:val="Comment Subject Char"/>
    <w:basedOn w:val="CommentTextChar"/>
    <w:link w:val="CommentSubject"/>
    <w:uiPriority w:val="99"/>
    <w:semiHidden/>
    <w:rsid w:val="00052CBF"/>
    <w:rPr>
      <w:rFonts w:ascii="Times New Roman" w:hAnsi="Times New Roman"/>
      <w:b/>
      <w:bCs/>
      <w:sz w:val="20"/>
      <w:szCs w:val="20"/>
    </w:rPr>
  </w:style>
  <w:style w:type="paragraph" w:styleId="BalloonText">
    <w:name w:val="Balloon Text"/>
    <w:basedOn w:val="Normal"/>
    <w:link w:val="BalloonTextChar"/>
    <w:uiPriority w:val="99"/>
    <w:semiHidden/>
    <w:unhideWhenUsed/>
    <w:rsid w:val="00052CBF"/>
    <w:rPr>
      <w:rFonts w:ascii="Tahoma" w:hAnsi="Tahoma" w:cs="Tahoma"/>
      <w:sz w:val="16"/>
      <w:szCs w:val="16"/>
    </w:rPr>
  </w:style>
  <w:style w:type="character" w:customStyle="1" w:styleId="BalloonTextChar">
    <w:name w:val="Balloon Text Char"/>
    <w:basedOn w:val="DefaultParagraphFont"/>
    <w:link w:val="BalloonText"/>
    <w:uiPriority w:val="99"/>
    <w:semiHidden/>
    <w:rsid w:val="00052CBF"/>
    <w:rPr>
      <w:rFonts w:ascii="Tahoma" w:hAnsi="Tahoma" w:cs="Tahoma"/>
      <w:sz w:val="16"/>
      <w:szCs w:val="16"/>
    </w:rPr>
  </w:style>
  <w:style w:type="paragraph" w:customStyle="1" w:styleId="naisnod">
    <w:name w:val="naisnod"/>
    <w:basedOn w:val="Normal"/>
    <w:rsid w:val="00FD34CD"/>
    <w:pPr>
      <w:spacing w:before="100" w:beforeAutospacing="1" w:after="100" w:afterAutospacing="1"/>
      <w:ind w:firstLine="0"/>
    </w:pPr>
    <w:rPr>
      <w:rFonts w:eastAsia="Times New Roman" w:cs="Times New Roman"/>
      <w:sz w:val="24"/>
      <w:szCs w:val="24"/>
      <w:lang w:eastAsia="lv-LV"/>
    </w:rPr>
  </w:style>
  <w:style w:type="paragraph" w:customStyle="1" w:styleId="Default">
    <w:name w:val="Default"/>
    <w:rsid w:val="000C2B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CF4CB0"/>
    <w:pPr>
      <w:spacing w:before="100" w:beforeAutospacing="1" w:after="100" w:afterAutospacing="1"/>
      <w:ind w:firstLine="0"/>
    </w:pPr>
    <w:rPr>
      <w:rFonts w:cs="Times New Roman"/>
      <w:sz w:val="24"/>
      <w:szCs w:val="24"/>
      <w:lang w:eastAsia="lv-LV"/>
    </w:rPr>
  </w:style>
  <w:style w:type="paragraph" w:styleId="FootnoteText">
    <w:name w:val="footnote text"/>
    <w:basedOn w:val="Normal"/>
    <w:link w:val="FootnoteTextChar"/>
    <w:unhideWhenUsed/>
    <w:rsid w:val="00CF4CB0"/>
    <w:pPr>
      <w:widowControl w:val="0"/>
      <w:ind w:firstLine="0"/>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rsid w:val="00CF4CB0"/>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CF4CB0"/>
    <w:rPr>
      <w:vertAlign w:val="superscript"/>
    </w:rPr>
  </w:style>
  <w:style w:type="table" w:styleId="TableGrid">
    <w:name w:val="Table Grid"/>
    <w:basedOn w:val="TableNormal"/>
    <w:uiPriority w:val="59"/>
    <w:rsid w:val="006F06C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677166"/>
    <w:pPr>
      <w:spacing w:before="75" w:after="75"/>
      <w:ind w:firstLine="0"/>
    </w:pPr>
    <w:rPr>
      <w:rFonts w:eastAsia="Times New Roman" w:cs="Times New Roman"/>
      <w:sz w:val="24"/>
      <w:szCs w:val="24"/>
      <w:lang w:eastAsia="lv-LV"/>
    </w:rPr>
  </w:style>
  <w:style w:type="character" w:customStyle="1" w:styleId="ListParagraphChar">
    <w:name w:val="List Paragraph Char"/>
    <w:link w:val="ListParagraph"/>
    <w:uiPriority w:val="34"/>
    <w:rsid w:val="00677166"/>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E41"/>
    <w:pPr>
      <w:spacing w:after="0" w:line="240" w:lineRule="auto"/>
      <w:ind w:firstLine="720"/>
    </w:pPr>
    <w:rPr>
      <w:rFonts w:ascii="Times New Roman" w:hAnsi="Times New Roman"/>
      <w:sz w:val="28"/>
    </w:rPr>
  </w:style>
  <w:style w:type="paragraph" w:styleId="Heading3">
    <w:name w:val="heading 3"/>
    <w:basedOn w:val="Normal"/>
    <w:next w:val="Normal"/>
    <w:link w:val="Heading3Char"/>
    <w:uiPriority w:val="99"/>
    <w:qFormat/>
    <w:rsid w:val="002D1699"/>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D1699"/>
    <w:rPr>
      <w:rFonts w:ascii="Cambria" w:eastAsia="Times New Roman" w:hAnsi="Cambria" w:cs="Times New Roman"/>
      <w:b/>
      <w:bCs/>
      <w:sz w:val="26"/>
      <w:szCs w:val="26"/>
      <w:lang w:val="en-US"/>
    </w:rPr>
  </w:style>
  <w:style w:type="character" w:styleId="Hyperlink">
    <w:name w:val="Hyperlink"/>
    <w:basedOn w:val="DefaultParagraphFont"/>
    <w:uiPriority w:val="99"/>
    <w:unhideWhenUsed/>
    <w:rsid w:val="002D1699"/>
    <w:rPr>
      <w:color w:val="0000FF" w:themeColor="hyperlink"/>
      <w:u w:val="single"/>
    </w:rPr>
  </w:style>
  <w:style w:type="paragraph" w:styleId="Header">
    <w:name w:val="header"/>
    <w:basedOn w:val="Normal"/>
    <w:link w:val="HeaderChar"/>
    <w:uiPriority w:val="99"/>
    <w:rsid w:val="002D1699"/>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2D1699"/>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rsid w:val="002D1699"/>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2D169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D1699"/>
    <w:pPr>
      <w:tabs>
        <w:tab w:val="center" w:pos="4153"/>
        <w:tab w:val="right" w:pos="8306"/>
      </w:tabs>
    </w:pPr>
  </w:style>
  <w:style w:type="character" w:customStyle="1" w:styleId="FooterChar">
    <w:name w:val="Footer Char"/>
    <w:basedOn w:val="DefaultParagraphFont"/>
    <w:link w:val="Footer"/>
    <w:uiPriority w:val="99"/>
    <w:rsid w:val="002D1699"/>
    <w:rPr>
      <w:rFonts w:ascii="Times New Roman" w:hAnsi="Times New Roman"/>
      <w:sz w:val="28"/>
    </w:rPr>
  </w:style>
  <w:style w:type="paragraph" w:styleId="ListParagraph">
    <w:name w:val="List Paragraph"/>
    <w:basedOn w:val="Normal"/>
    <w:link w:val="ListParagraphChar"/>
    <w:uiPriority w:val="34"/>
    <w:qFormat/>
    <w:rsid w:val="002D1699"/>
    <w:pPr>
      <w:ind w:left="720"/>
      <w:contextualSpacing/>
    </w:pPr>
  </w:style>
  <w:style w:type="character" w:styleId="Strong">
    <w:name w:val="Strong"/>
    <w:uiPriority w:val="22"/>
    <w:qFormat/>
    <w:rsid w:val="00DA0781"/>
    <w:rPr>
      <w:b/>
      <w:bCs/>
      <w:color w:val="68738C"/>
    </w:rPr>
  </w:style>
  <w:style w:type="character" w:styleId="CommentReference">
    <w:name w:val="annotation reference"/>
    <w:basedOn w:val="DefaultParagraphFont"/>
    <w:uiPriority w:val="99"/>
    <w:semiHidden/>
    <w:unhideWhenUsed/>
    <w:rsid w:val="00052CBF"/>
    <w:rPr>
      <w:sz w:val="16"/>
      <w:szCs w:val="16"/>
    </w:rPr>
  </w:style>
  <w:style w:type="paragraph" w:styleId="CommentText">
    <w:name w:val="annotation text"/>
    <w:basedOn w:val="Normal"/>
    <w:link w:val="CommentTextChar"/>
    <w:uiPriority w:val="99"/>
    <w:semiHidden/>
    <w:unhideWhenUsed/>
    <w:rsid w:val="00052CBF"/>
    <w:rPr>
      <w:sz w:val="20"/>
      <w:szCs w:val="20"/>
    </w:rPr>
  </w:style>
  <w:style w:type="character" w:customStyle="1" w:styleId="CommentTextChar">
    <w:name w:val="Comment Text Char"/>
    <w:basedOn w:val="DefaultParagraphFont"/>
    <w:link w:val="CommentText"/>
    <w:uiPriority w:val="99"/>
    <w:semiHidden/>
    <w:rsid w:val="00052CB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2CBF"/>
    <w:rPr>
      <w:b/>
      <w:bCs/>
    </w:rPr>
  </w:style>
  <w:style w:type="character" w:customStyle="1" w:styleId="CommentSubjectChar">
    <w:name w:val="Comment Subject Char"/>
    <w:basedOn w:val="CommentTextChar"/>
    <w:link w:val="CommentSubject"/>
    <w:uiPriority w:val="99"/>
    <w:semiHidden/>
    <w:rsid w:val="00052CBF"/>
    <w:rPr>
      <w:rFonts w:ascii="Times New Roman" w:hAnsi="Times New Roman"/>
      <w:b/>
      <w:bCs/>
      <w:sz w:val="20"/>
      <w:szCs w:val="20"/>
    </w:rPr>
  </w:style>
  <w:style w:type="paragraph" w:styleId="BalloonText">
    <w:name w:val="Balloon Text"/>
    <w:basedOn w:val="Normal"/>
    <w:link w:val="BalloonTextChar"/>
    <w:uiPriority w:val="99"/>
    <w:semiHidden/>
    <w:unhideWhenUsed/>
    <w:rsid w:val="00052CBF"/>
    <w:rPr>
      <w:rFonts w:ascii="Tahoma" w:hAnsi="Tahoma" w:cs="Tahoma"/>
      <w:sz w:val="16"/>
      <w:szCs w:val="16"/>
    </w:rPr>
  </w:style>
  <w:style w:type="character" w:customStyle="1" w:styleId="BalloonTextChar">
    <w:name w:val="Balloon Text Char"/>
    <w:basedOn w:val="DefaultParagraphFont"/>
    <w:link w:val="BalloonText"/>
    <w:uiPriority w:val="99"/>
    <w:semiHidden/>
    <w:rsid w:val="00052CBF"/>
    <w:rPr>
      <w:rFonts w:ascii="Tahoma" w:hAnsi="Tahoma" w:cs="Tahoma"/>
      <w:sz w:val="16"/>
      <w:szCs w:val="16"/>
    </w:rPr>
  </w:style>
  <w:style w:type="paragraph" w:customStyle="1" w:styleId="naisnod">
    <w:name w:val="naisnod"/>
    <w:basedOn w:val="Normal"/>
    <w:rsid w:val="00FD34CD"/>
    <w:pPr>
      <w:spacing w:before="100" w:beforeAutospacing="1" w:after="100" w:afterAutospacing="1"/>
      <w:ind w:firstLine="0"/>
    </w:pPr>
    <w:rPr>
      <w:rFonts w:eastAsia="Times New Roman" w:cs="Times New Roman"/>
      <w:sz w:val="24"/>
      <w:szCs w:val="24"/>
      <w:lang w:eastAsia="lv-LV"/>
    </w:rPr>
  </w:style>
  <w:style w:type="paragraph" w:customStyle="1" w:styleId="Default">
    <w:name w:val="Default"/>
    <w:rsid w:val="000C2B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CF4CB0"/>
    <w:pPr>
      <w:spacing w:before="100" w:beforeAutospacing="1" w:after="100" w:afterAutospacing="1"/>
      <w:ind w:firstLine="0"/>
    </w:pPr>
    <w:rPr>
      <w:rFonts w:cs="Times New Roman"/>
      <w:sz w:val="24"/>
      <w:szCs w:val="24"/>
      <w:lang w:eastAsia="lv-LV"/>
    </w:rPr>
  </w:style>
  <w:style w:type="paragraph" w:styleId="FootnoteText">
    <w:name w:val="footnote text"/>
    <w:basedOn w:val="Normal"/>
    <w:link w:val="FootnoteTextChar"/>
    <w:unhideWhenUsed/>
    <w:rsid w:val="00CF4CB0"/>
    <w:pPr>
      <w:widowControl w:val="0"/>
      <w:ind w:firstLine="0"/>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rsid w:val="00CF4CB0"/>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CF4CB0"/>
    <w:rPr>
      <w:vertAlign w:val="superscript"/>
    </w:rPr>
  </w:style>
  <w:style w:type="table" w:styleId="TableGrid">
    <w:name w:val="Table Grid"/>
    <w:basedOn w:val="TableNormal"/>
    <w:uiPriority w:val="59"/>
    <w:rsid w:val="006F06C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677166"/>
    <w:pPr>
      <w:spacing w:before="75" w:after="75"/>
      <w:ind w:firstLine="0"/>
    </w:pPr>
    <w:rPr>
      <w:rFonts w:eastAsia="Times New Roman" w:cs="Times New Roman"/>
      <w:sz w:val="24"/>
      <w:szCs w:val="24"/>
      <w:lang w:eastAsia="lv-LV"/>
    </w:rPr>
  </w:style>
  <w:style w:type="character" w:customStyle="1" w:styleId="ListParagraphChar">
    <w:name w:val="List Paragraph Char"/>
    <w:link w:val="ListParagraph"/>
    <w:uiPriority w:val="34"/>
    <w:rsid w:val="00677166"/>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065996">
      <w:bodyDiv w:val="1"/>
      <w:marLeft w:val="0"/>
      <w:marRight w:val="0"/>
      <w:marTop w:val="0"/>
      <w:marBottom w:val="0"/>
      <w:divBdr>
        <w:top w:val="none" w:sz="0" w:space="0" w:color="auto"/>
        <w:left w:val="none" w:sz="0" w:space="0" w:color="auto"/>
        <w:bottom w:val="none" w:sz="0" w:space="0" w:color="auto"/>
        <w:right w:val="none" w:sz="0" w:space="0" w:color="auto"/>
      </w:divBdr>
      <w:divsChild>
        <w:div w:id="68970302">
          <w:marLeft w:val="0"/>
          <w:marRight w:val="0"/>
          <w:marTop w:val="0"/>
          <w:marBottom w:val="0"/>
          <w:divBdr>
            <w:top w:val="none" w:sz="0" w:space="0" w:color="auto"/>
            <w:left w:val="none" w:sz="0" w:space="0" w:color="auto"/>
            <w:bottom w:val="none" w:sz="0" w:space="0" w:color="auto"/>
            <w:right w:val="none" w:sz="0" w:space="0" w:color="auto"/>
          </w:divBdr>
          <w:divsChild>
            <w:div w:id="853690183">
              <w:marLeft w:val="0"/>
              <w:marRight w:val="0"/>
              <w:marTop w:val="0"/>
              <w:marBottom w:val="0"/>
              <w:divBdr>
                <w:top w:val="none" w:sz="0" w:space="0" w:color="auto"/>
                <w:left w:val="none" w:sz="0" w:space="0" w:color="auto"/>
                <w:bottom w:val="none" w:sz="0" w:space="0" w:color="auto"/>
                <w:right w:val="none" w:sz="0" w:space="0" w:color="auto"/>
              </w:divBdr>
              <w:divsChild>
                <w:div w:id="761071761">
                  <w:marLeft w:val="0"/>
                  <w:marRight w:val="0"/>
                  <w:marTop w:val="0"/>
                  <w:marBottom w:val="0"/>
                  <w:divBdr>
                    <w:top w:val="none" w:sz="0" w:space="0" w:color="auto"/>
                    <w:left w:val="none" w:sz="0" w:space="0" w:color="auto"/>
                    <w:bottom w:val="none" w:sz="0" w:space="0" w:color="auto"/>
                    <w:right w:val="none" w:sz="0" w:space="0" w:color="auto"/>
                  </w:divBdr>
                  <w:divsChild>
                    <w:div w:id="125397007">
                      <w:marLeft w:val="0"/>
                      <w:marRight w:val="0"/>
                      <w:marTop w:val="0"/>
                      <w:marBottom w:val="0"/>
                      <w:divBdr>
                        <w:top w:val="none" w:sz="0" w:space="0" w:color="auto"/>
                        <w:left w:val="none" w:sz="0" w:space="0" w:color="auto"/>
                        <w:bottom w:val="none" w:sz="0" w:space="0" w:color="auto"/>
                        <w:right w:val="none" w:sz="0" w:space="0" w:color="auto"/>
                      </w:divBdr>
                      <w:divsChild>
                        <w:div w:id="175071913">
                          <w:marLeft w:val="150"/>
                          <w:marRight w:val="0"/>
                          <w:marTop w:val="0"/>
                          <w:marBottom w:val="0"/>
                          <w:divBdr>
                            <w:top w:val="none" w:sz="0" w:space="0" w:color="auto"/>
                            <w:left w:val="none" w:sz="0" w:space="0" w:color="auto"/>
                            <w:bottom w:val="none" w:sz="0" w:space="0" w:color="auto"/>
                            <w:right w:val="none" w:sz="0" w:space="0" w:color="auto"/>
                          </w:divBdr>
                          <w:divsChild>
                            <w:div w:id="1874490380">
                              <w:marLeft w:val="0"/>
                              <w:marRight w:val="0"/>
                              <w:marTop w:val="0"/>
                              <w:marBottom w:val="0"/>
                              <w:divBdr>
                                <w:top w:val="none" w:sz="0" w:space="0" w:color="auto"/>
                                <w:left w:val="none" w:sz="0" w:space="0" w:color="auto"/>
                                <w:bottom w:val="none" w:sz="0" w:space="0" w:color="auto"/>
                                <w:right w:val="none" w:sz="0" w:space="0" w:color="auto"/>
                              </w:divBdr>
                              <w:divsChild>
                                <w:div w:id="873201847">
                                  <w:marLeft w:val="0"/>
                                  <w:marRight w:val="0"/>
                                  <w:marTop w:val="0"/>
                                  <w:marBottom w:val="0"/>
                                  <w:divBdr>
                                    <w:top w:val="none" w:sz="0" w:space="0" w:color="auto"/>
                                    <w:left w:val="none" w:sz="0" w:space="0" w:color="auto"/>
                                    <w:bottom w:val="none" w:sz="0" w:space="0" w:color="auto"/>
                                    <w:right w:val="none" w:sz="0" w:space="0" w:color="auto"/>
                                  </w:divBdr>
                                  <w:divsChild>
                                    <w:div w:id="1087731908">
                                      <w:marLeft w:val="0"/>
                                      <w:marRight w:val="0"/>
                                      <w:marTop w:val="0"/>
                                      <w:marBottom w:val="0"/>
                                      <w:divBdr>
                                        <w:top w:val="none" w:sz="0" w:space="0" w:color="auto"/>
                                        <w:left w:val="none" w:sz="0" w:space="0" w:color="auto"/>
                                        <w:bottom w:val="none" w:sz="0" w:space="0" w:color="auto"/>
                                        <w:right w:val="none" w:sz="0" w:space="0" w:color="auto"/>
                                      </w:divBdr>
                                      <w:divsChild>
                                        <w:div w:id="1019425352">
                                          <w:marLeft w:val="0"/>
                                          <w:marRight w:val="0"/>
                                          <w:marTop w:val="0"/>
                                          <w:marBottom w:val="0"/>
                                          <w:divBdr>
                                            <w:top w:val="none" w:sz="0" w:space="0" w:color="auto"/>
                                            <w:left w:val="none" w:sz="0" w:space="0" w:color="auto"/>
                                            <w:bottom w:val="none" w:sz="0" w:space="0" w:color="auto"/>
                                            <w:right w:val="none" w:sz="0" w:space="0" w:color="auto"/>
                                          </w:divBdr>
                                        </w:div>
                                        <w:div w:id="9765419">
                                          <w:marLeft w:val="0"/>
                                          <w:marRight w:val="0"/>
                                          <w:marTop w:val="0"/>
                                          <w:marBottom w:val="0"/>
                                          <w:divBdr>
                                            <w:top w:val="none" w:sz="0" w:space="0" w:color="auto"/>
                                            <w:left w:val="none" w:sz="0" w:space="0" w:color="auto"/>
                                            <w:bottom w:val="none" w:sz="0" w:space="0" w:color="auto"/>
                                            <w:right w:val="none" w:sz="0" w:space="0" w:color="auto"/>
                                          </w:divBdr>
                                          <w:divsChild>
                                            <w:div w:id="871772103">
                                              <w:marLeft w:val="0"/>
                                              <w:marRight w:val="270"/>
                                              <w:marTop w:val="0"/>
                                              <w:marBottom w:val="0"/>
                                              <w:divBdr>
                                                <w:top w:val="none" w:sz="0" w:space="0" w:color="auto"/>
                                                <w:left w:val="none" w:sz="0" w:space="0" w:color="auto"/>
                                                <w:bottom w:val="none" w:sz="0" w:space="0" w:color="auto"/>
                                                <w:right w:val="none" w:sz="0" w:space="0" w:color="auto"/>
                                              </w:divBdr>
                                              <w:divsChild>
                                                <w:div w:id="475221763">
                                                  <w:marLeft w:val="0"/>
                                                  <w:marRight w:val="0"/>
                                                  <w:marTop w:val="0"/>
                                                  <w:marBottom w:val="0"/>
                                                  <w:divBdr>
                                                    <w:top w:val="none" w:sz="0" w:space="0" w:color="auto"/>
                                                    <w:left w:val="none" w:sz="0" w:space="0" w:color="auto"/>
                                                    <w:bottom w:val="none" w:sz="0" w:space="0" w:color="auto"/>
                                                    <w:right w:val="none" w:sz="0" w:space="0" w:color="auto"/>
                                                  </w:divBdr>
                                                </w:div>
                                                <w:div w:id="1086342353">
                                                  <w:marLeft w:val="0"/>
                                                  <w:marRight w:val="0"/>
                                                  <w:marTop w:val="0"/>
                                                  <w:marBottom w:val="0"/>
                                                  <w:divBdr>
                                                    <w:top w:val="none" w:sz="0" w:space="0" w:color="auto"/>
                                                    <w:left w:val="none" w:sz="0" w:space="0" w:color="auto"/>
                                                    <w:bottom w:val="none" w:sz="0" w:space="0" w:color="auto"/>
                                                    <w:right w:val="none" w:sz="0" w:space="0" w:color="auto"/>
                                                  </w:divBdr>
                                                </w:div>
                                                <w:div w:id="853767390">
                                                  <w:marLeft w:val="0"/>
                                                  <w:marRight w:val="0"/>
                                                  <w:marTop w:val="0"/>
                                                  <w:marBottom w:val="0"/>
                                                  <w:divBdr>
                                                    <w:top w:val="none" w:sz="0" w:space="0" w:color="auto"/>
                                                    <w:left w:val="none" w:sz="0" w:space="0" w:color="auto"/>
                                                    <w:bottom w:val="none" w:sz="0" w:space="0" w:color="auto"/>
                                                    <w:right w:val="none" w:sz="0" w:space="0" w:color="auto"/>
                                                  </w:divBdr>
                                                </w:div>
                                                <w:div w:id="447503484">
                                                  <w:marLeft w:val="0"/>
                                                  <w:marRight w:val="0"/>
                                                  <w:marTop w:val="0"/>
                                                  <w:marBottom w:val="0"/>
                                                  <w:divBdr>
                                                    <w:top w:val="none" w:sz="0" w:space="0" w:color="auto"/>
                                                    <w:left w:val="none" w:sz="0" w:space="0" w:color="auto"/>
                                                    <w:bottom w:val="none" w:sz="0" w:space="0" w:color="auto"/>
                                                    <w:right w:val="none" w:sz="0" w:space="0" w:color="auto"/>
                                                  </w:divBdr>
                                                </w:div>
                                                <w:div w:id="475728528">
                                                  <w:marLeft w:val="0"/>
                                                  <w:marRight w:val="0"/>
                                                  <w:marTop w:val="0"/>
                                                  <w:marBottom w:val="0"/>
                                                  <w:divBdr>
                                                    <w:top w:val="none" w:sz="0" w:space="0" w:color="auto"/>
                                                    <w:left w:val="none" w:sz="0" w:space="0" w:color="auto"/>
                                                    <w:bottom w:val="none" w:sz="0" w:space="0" w:color="auto"/>
                                                    <w:right w:val="none" w:sz="0" w:space="0" w:color="auto"/>
                                                  </w:divBdr>
                                                </w:div>
                                                <w:div w:id="954487649">
                                                  <w:marLeft w:val="0"/>
                                                  <w:marRight w:val="0"/>
                                                  <w:marTop w:val="0"/>
                                                  <w:marBottom w:val="0"/>
                                                  <w:divBdr>
                                                    <w:top w:val="none" w:sz="0" w:space="0" w:color="auto"/>
                                                    <w:left w:val="none" w:sz="0" w:space="0" w:color="auto"/>
                                                    <w:bottom w:val="none" w:sz="0" w:space="0" w:color="auto"/>
                                                    <w:right w:val="none" w:sz="0" w:space="0" w:color="auto"/>
                                                  </w:divBdr>
                                                </w:div>
                                                <w:div w:id="1547184514">
                                                  <w:marLeft w:val="0"/>
                                                  <w:marRight w:val="0"/>
                                                  <w:marTop w:val="0"/>
                                                  <w:marBottom w:val="0"/>
                                                  <w:divBdr>
                                                    <w:top w:val="none" w:sz="0" w:space="0" w:color="auto"/>
                                                    <w:left w:val="none" w:sz="0" w:space="0" w:color="auto"/>
                                                    <w:bottom w:val="none" w:sz="0" w:space="0" w:color="auto"/>
                                                    <w:right w:val="none" w:sz="0" w:space="0" w:color="auto"/>
                                                  </w:divBdr>
                                                </w:div>
                                                <w:div w:id="20550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0312">
                          <w:marLeft w:val="0"/>
                          <w:marRight w:val="0"/>
                          <w:marTop w:val="0"/>
                          <w:marBottom w:val="0"/>
                          <w:divBdr>
                            <w:top w:val="none" w:sz="0" w:space="0" w:color="auto"/>
                            <w:left w:val="none" w:sz="0" w:space="0" w:color="auto"/>
                            <w:bottom w:val="none" w:sz="0" w:space="0" w:color="auto"/>
                            <w:right w:val="none" w:sz="0" w:space="0" w:color="auto"/>
                          </w:divBdr>
                          <w:divsChild>
                            <w:div w:id="440413666">
                              <w:marLeft w:val="0"/>
                              <w:marRight w:val="0"/>
                              <w:marTop w:val="480"/>
                              <w:marBottom w:val="240"/>
                              <w:divBdr>
                                <w:top w:val="none" w:sz="0" w:space="0" w:color="auto"/>
                                <w:left w:val="none" w:sz="0" w:space="0" w:color="auto"/>
                                <w:bottom w:val="none" w:sz="0" w:space="0" w:color="auto"/>
                                <w:right w:val="none" w:sz="0" w:space="0" w:color="auto"/>
                              </w:divBdr>
                            </w:div>
                            <w:div w:id="119815734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769419">
      <w:bodyDiv w:val="1"/>
      <w:marLeft w:val="0"/>
      <w:marRight w:val="0"/>
      <w:marTop w:val="0"/>
      <w:marBottom w:val="0"/>
      <w:divBdr>
        <w:top w:val="none" w:sz="0" w:space="0" w:color="auto"/>
        <w:left w:val="none" w:sz="0" w:space="0" w:color="auto"/>
        <w:bottom w:val="none" w:sz="0" w:space="0" w:color="auto"/>
        <w:right w:val="none" w:sz="0" w:space="0" w:color="auto"/>
      </w:divBdr>
    </w:div>
    <w:div w:id="199826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ce.Bankovica@sam.gov.lv" TargetMode="External"/><Relationship Id="rId4" Type="http://schemas.microsoft.com/office/2007/relationships/stylesWithEffects" Target="stylesWithEffects.xml"/><Relationship Id="rId9" Type="http://schemas.openxmlformats.org/officeDocument/2006/relationships/hyperlink" Target="https://www.lattelecom.lv/par-lattelecom/citi/regulejosa-vid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attelecom.lv/par-lattelecom/citi/regulejosa-v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F4FCE-37FC-4080-BE7F-3BE0DAAC8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15</Pages>
  <Words>22159</Words>
  <Characters>12632</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Likumprojekts "Grozījumi Elektronisko sakaru likumā"</vt:lpstr>
    </vt:vector>
  </TitlesOfParts>
  <Company>Satiksmes ministrija</Company>
  <LinksUpToDate>false</LinksUpToDate>
  <CharactersWithSpaces>34722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Elektronisko sakaru likumā"</dc:title>
  <dc:subject>Anotācija</dc:subject>
  <dc:creator>D.Bankoviča</dc:creator>
  <dc:description>t.67028111</dc:description>
  <cp:lastModifiedBy>Dace Bankoviča</cp:lastModifiedBy>
  <cp:revision>21</cp:revision>
  <cp:lastPrinted>2017-08-22T08:27:00Z</cp:lastPrinted>
  <dcterms:created xsi:type="dcterms:W3CDTF">2017-11-21T12:16:00Z</dcterms:created>
  <dcterms:modified xsi:type="dcterms:W3CDTF">2017-11-29T14:44:00Z</dcterms:modified>
</cp:coreProperties>
</file>