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243AE6" w:rsidRPr="00353CD4" w:rsidP="00D14D0B">
      <w:pPr>
        <w:spacing w:line="240" w:lineRule="auto"/>
        <w:jc w:val="center"/>
        <w:rPr>
          <w:rFonts w:ascii="Times New Roman" w:hAnsi="Times New Roman"/>
          <w:b/>
          <w:color w:val="000000"/>
          <w:sz w:val="24"/>
          <w:szCs w:val="24"/>
        </w:rPr>
      </w:pPr>
      <w:r w:rsidRPr="00671A71">
        <w:rPr>
          <w:rFonts w:ascii="Times New Roman" w:hAnsi="Times New Roman"/>
          <w:b/>
          <w:color w:val="000000"/>
          <w:sz w:val="24"/>
          <w:szCs w:val="24"/>
        </w:rPr>
        <w:t>Ministru kabineta noteikumu projekta "</w:t>
      </w:r>
      <w:r w:rsidRPr="00353CD4" w:rsidR="00353CD4">
        <w:rPr>
          <w:rFonts w:ascii="Times New Roman" w:hAnsi="Times New Roman"/>
          <w:b/>
          <w:color w:val="000000"/>
          <w:sz w:val="24"/>
          <w:szCs w:val="24"/>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Pr="00671A71">
        <w:rPr>
          <w:rFonts w:ascii="Times New Roman" w:hAnsi="Times New Roman"/>
          <w:b/>
          <w:color w:val="000000"/>
          <w:sz w:val="24"/>
          <w:szCs w:val="24"/>
        </w:rPr>
        <w:t>" sākotnējās ietekmes novērtējuma ziņojums (anotācija)</w:t>
      </w:r>
    </w:p>
    <w:p w:rsidR="00243AE6" w:rsidRPr="00671A71" w:rsidP="00243AE6">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2"/>
        <w:gridCol w:w="1836"/>
        <w:gridCol w:w="7366"/>
      </w:tblGrid>
      <w:tr w:rsidTr="00243AE6">
        <w:tblPrEx>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69"/>
        </w:trPr>
        <w:tc>
          <w:tcPr>
            <w:tcW w:w="5000" w:type="pct"/>
            <w:gridSpan w:val="3"/>
            <w:vAlign w:val="center"/>
          </w:tcPr>
          <w:p w:rsidR="00243AE6" w:rsidRPr="00893053" w:rsidP="00243AE6">
            <w:pPr>
              <w:pStyle w:val="naisnod"/>
              <w:spacing w:before="0" w:beforeAutospacing="0" w:after="0" w:afterAutospacing="0"/>
              <w:ind w:left="57" w:right="57"/>
              <w:jc w:val="center"/>
              <w:rPr>
                <w:b/>
                <w:spacing w:val="-2"/>
              </w:rPr>
            </w:pPr>
            <w:r w:rsidRPr="00893053">
              <w:rPr>
                <w:b/>
                <w:spacing w:val="-2"/>
              </w:rPr>
              <w:t>I. Tiesību akta projekta izstrādes nepieciešamība</w:t>
            </w:r>
          </w:p>
        </w:tc>
      </w:tr>
      <w:tr w:rsidTr="00243AE6">
        <w:tblPrEx>
          <w:tblW w:w="5316" w:type="pct"/>
          <w:tblCellMar>
            <w:left w:w="0" w:type="dxa"/>
            <w:right w:w="0" w:type="dxa"/>
          </w:tblCellMar>
          <w:tblLook w:val="0000"/>
        </w:tblPrEx>
        <w:trPr>
          <w:trHeight w:val="415"/>
        </w:trPr>
        <w:tc>
          <w:tcPr>
            <w:tcW w:w="224" w:type="pct"/>
          </w:tcPr>
          <w:p w:rsidR="00243AE6" w:rsidRPr="00D225E9" w:rsidP="00243AE6">
            <w:pPr>
              <w:pStyle w:val="naiskr"/>
              <w:spacing w:before="0" w:beforeAutospacing="0" w:after="0" w:afterAutospacing="0"/>
              <w:ind w:left="57" w:right="57"/>
              <w:rPr>
                <w:spacing w:val="-2"/>
                <w:highlight w:val="yellow"/>
              </w:rPr>
            </w:pPr>
            <w:r w:rsidRPr="00893053">
              <w:rPr>
                <w:spacing w:val="-2"/>
              </w:rPr>
              <w:t>1.</w:t>
            </w:r>
          </w:p>
        </w:tc>
        <w:tc>
          <w:tcPr>
            <w:tcW w:w="953" w:type="pct"/>
          </w:tcPr>
          <w:p w:rsidR="00243AE6" w:rsidRPr="00893053" w:rsidP="00243AE6">
            <w:pPr>
              <w:pStyle w:val="naiskr"/>
              <w:spacing w:before="0" w:beforeAutospacing="0" w:after="0" w:afterAutospacing="0"/>
              <w:ind w:left="57" w:right="57"/>
              <w:rPr>
                <w:spacing w:val="-2"/>
              </w:rPr>
            </w:pPr>
            <w:r w:rsidRPr="00893053">
              <w:rPr>
                <w:rFonts w:eastAsia="Calibri"/>
                <w:spacing w:val="-2"/>
                <w:lang w:eastAsia="en-US"/>
              </w:rPr>
              <w:t>Pamatojums</w:t>
            </w:r>
          </w:p>
          <w:p w:rsidR="00243AE6" w:rsidRPr="00893053" w:rsidP="00243AE6">
            <w:pPr>
              <w:spacing w:line="240" w:lineRule="auto"/>
              <w:rPr>
                <w:lang w:eastAsia="lv-LV"/>
              </w:rPr>
            </w:pPr>
          </w:p>
          <w:p w:rsidR="00243AE6" w:rsidRPr="00893053" w:rsidP="008C54C2">
            <w:pPr>
              <w:spacing w:line="240" w:lineRule="auto"/>
              <w:ind w:firstLine="720"/>
              <w:rPr>
                <w:lang w:eastAsia="lv-LV"/>
              </w:rPr>
            </w:pPr>
          </w:p>
          <w:p w:rsidR="00243AE6" w:rsidRPr="00893053" w:rsidP="00243AE6">
            <w:pPr>
              <w:spacing w:line="240" w:lineRule="auto"/>
              <w:rPr>
                <w:lang w:eastAsia="lv-LV"/>
              </w:rPr>
            </w:pPr>
          </w:p>
          <w:p w:rsidR="00243AE6" w:rsidRPr="00893053" w:rsidP="00243AE6">
            <w:pPr>
              <w:spacing w:line="240" w:lineRule="auto"/>
              <w:rPr>
                <w:lang w:eastAsia="lv-LV"/>
              </w:rPr>
            </w:pPr>
          </w:p>
          <w:p w:rsidR="00243AE6" w:rsidRPr="00893053" w:rsidP="00243AE6">
            <w:pPr>
              <w:spacing w:line="240" w:lineRule="auto"/>
              <w:rPr>
                <w:lang w:eastAsia="lv-LV"/>
              </w:rPr>
            </w:pPr>
          </w:p>
          <w:p w:rsidR="00243AE6" w:rsidRPr="00893053" w:rsidP="00243AE6">
            <w:pPr>
              <w:spacing w:line="240" w:lineRule="auto"/>
              <w:rPr>
                <w:lang w:eastAsia="lv-LV"/>
              </w:rPr>
            </w:pPr>
          </w:p>
          <w:p w:rsidR="00243AE6" w:rsidRPr="00893053" w:rsidP="00243AE6">
            <w:pPr>
              <w:spacing w:line="240" w:lineRule="auto"/>
              <w:jc w:val="center"/>
              <w:rPr>
                <w:lang w:eastAsia="lv-LV"/>
              </w:rPr>
            </w:pPr>
          </w:p>
        </w:tc>
        <w:tc>
          <w:tcPr>
            <w:tcW w:w="3823" w:type="pct"/>
            <w:shd w:val="clear" w:color="auto" w:fill="auto"/>
          </w:tcPr>
          <w:p w:rsidR="00641A3F" w:rsidRPr="00893053" w:rsidP="00890885">
            <w:pPr>
              <w:spacing w:after="100" w:afterAutospacing="1" w:line="240" w:lineRule="auto"/>
              <w:ind w:left="137" w:right="62"/>
              <w:jc w:val="both"/>
              <w:rPr>
                <w:rFonts w:ascii="Times New Roman" w:hAnsi="Times New Roman"/>
                <w:spacing w:val="-2"/>
                <w:sz w:val="24"/>
                <w:szCs w:val="24"/>
              </w:rPr>
            </w:pPr>
            <w:r w:rsidRPr="00893053">
              <w:rPr>
                <w:rFonts w:ascii="Times New Roman" w:hAnsi="Times New Roman"/>
                <w:spacing w:val="-2"/>
                <w:sz w:val="24"/>
                <w:szCs w:val="24"/>
              </w:rPr>
              <w:t>Ministru kabineta (turpmāk – MK) noteikumu "</w:t>
            </w:r>
            <w:r w:rsidRPr="00893053" w:rsidR="007205B6">
              <w:rPr>
                <w:rFonts w:ascii="Times New Roman" w:hAnsi="Times New Roman"/>
                <w:spacing w:val="-2"/>
                <w:sz w:val="24"/>
                <w:szCs w:val="24"/>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Pr="00893053" w:rsidR="00DA50B6">
              <w:rPr>
                <w:rFonts w:ascii="Times New Roman" w:hAnsi="Times New Roman"/>
                <w:spacing w:val="-2"/>
                <w:sz w:val="24"/>
                <w:szCs w:val="24"/>
              </w:rPr>
              <w:t xml:space="preserve">"" </w:t>
            </w:r>
            <w:r w:rsidRPr="00893053" w:rsidR="00E60AD0">
              <w:rPr>
                <w:rFonts w:ascii="Times New Roman" w:hAnsi="Times New Roman"/>
                <w:spacing w:val="-2"/>
                <w:sz w:val="24"/>
                <w:szCs w:val="24"/>
              </w:rPr>
              <w:t xml:space="preserve">projekts </w:t>
            </w:r>
            <w:r w:rsidRPr="00893053" w:rsidR="00DA50B6">
              <w:rPr>
                <w:rFonts w:ascii="Times New Roman" w:hAnsi="Times New Roman"/>
                <w:spacing w:val="-2"/>
                <w:sz w:val="24"/>
                <w:szCs w:val="24"/>
              </w:rPr>
              <w:t>(turpmāk –</w:t>
            </w:r>
            <w:r w:rsidR="00137A27">
              <w:rPr>
                <w:rFonts w:ascii="Times New Roman" w:hAnsi="Times New Roman"/>
                <w:spacing w:val="-2"/>
                <w:sz w:val="24"/>
                <w:szCs w:val="24"/>
              </w:rPr>
              <w:t xml:space="preserve"> </w:t>
            </w:r>
            <w:r w:rsidR="00E60AD0">
              <w:rPr>
                <w:rFonts w:ascii="Times New Roman" w:hAnsi="Times New Roman"/>
                <w:spacing w:val="-2"/>
                <w:sz w:val="24"/>
                <w:szCs w:val="24"/>
              </w:rPr>
              <w:t xml:space="preserve">MK </w:t>
            </w:r>
            <w:r w:rsidRPr="00893053">
              <w:rPr>
                <w:rFonts w:ascii="Times New Roman" w:hAnsi="Times New Roman"/>
                <w:spacing w:val="-2"/>
                <w:sz w:val="24"/>
                <w:szCs w:val="24"/>
              </w:rPr>
              <w:t>noteikumu proje</w:t>
            </w:r>
            <w:r w:rsidRPr="00893053" w:rsidR="007030A4">
              <w:rPr>
                <w:rFonts w:ascii="Times New Roman" w:hAnsi="Times New Roman"/>
                <w:spacing w:val="-2"/>
                <w:sz w:val="24"/>
                <w:szCs w:val="24"/>
              </w:rPr>
              <w:t>kts) izstrādāts pamatojoties uz</w:t>
            </w:r>
            <w:r w:rsidRPr="00893053">
              <w:rPr>
                <w:rFonts w:ascii="Times New Roman" w:hAnsi="Times New Roman"/>
                <w:spacing w:val="-2"/>
                <w:sz w:val="24"/>
                <w:szCs w:val="24"/>
              </w:rPr>
              <w:t>:</w:t>
            </w:r>
          </w:p>
          <w:p w:rsidR="00641A3F" w:rsidRPr="00893053" w:rsidP="001B086C">
            <w:pPr>
              <w:pStyle w:val="ListParagraph"/>
              <w:numPr>
                <w:ilvl w:val="0"/>
                <w:numId w:val="38"/>
              </w:numPr>
              <w:spacing w:after="100" w:afterAutospacing="1" w:line="240" w:lineRule="auto"/>
              <w:ind w:right="62"/>
              <w:jc w:val="both"/>
              <w:rPr>
                <w:rFonts w:ascii="Times New Roman" w:hAnsi="Times New Roman"/>
                <w:sz w:val="24"/>
                <w:szCs w:val="24"/>
              </w:rPr>
            </w:pPr>
            <w:r w:rsidRPr="00893053">
              <w:rPr>
                <w:rFonts w:ascii="Times New Roman" w:hAnsi="Times New Roman"/>
                <w:spacing w:val="-2"/>
                <w:sz w:val="24"/>
                <w:szCs w:val="24"/>
              </w:rPr>
              <w:t>Eiropas Savienības struktūrfondu un Kohēzijas fonda 2014.–2020. gada plānošanas perioda vadības li</w:t>
            </w:r>
            <w:r w:rsidRPr="00893053" w:rsidR="007030A4">
              <w:rPr>
                <w:rFonts w:ascii="Times New Roman" w:hAnsi="Times New Roman"/>
                <w:spacing w:val="-2"/>
                <w:sz w:val="24"/>
                <w:szCs w:val="24"/>
              </w:rPr>
              <w:t>kuma 20. panta 6. un 13. punktu</w:t>
            </w:r>
            <w:r w:rsidRPr="00893053">
              <w:rPr>
                <w:rFonts w:ascii="Times New Roman" w:hAnsi="Times New Roman"/>
                <w:spacing w:val="-2"/>
                <w:sz w:val="24"/>
                <w:szCs w:val="24"/>
              </w:rPr>
              <w:t>;</w:t>
            </w:r>
          </w:p>
          <w:p w:rsidR="007030A4" w:rsidRPr="00893053" w:rsidP="00386D07">
            <w:pPr>
              <w:pStyle w:val="ListParagraph"/>
              <w:numPr>
                <w:ilvl w:val="0"/>
                <w:numId w:val="38"/>
              </w:numPr>
              <w:spacing w:after="100" w:afterAutospacing="1" w:line="240" w:lineRule="auto"/>
              <w:ind w:right="62"/>
              <w:jc w:val="both"/>
              <w:rPr>
                <w:rFonts w:ascii="Times New Roman" w:hAnsi="Times New Roman"/>
                <w:sz w:val="24"/>
                <w:szCs w:val="24"/>
              </w:rPr>
            </w:pPr>
            <w:r w:rsidRPr="00893053">
              <w:rPr>
                <w:rFonts w:ascii="Times New Roman" w:hAnsi="Times New Roman"/>
                <w:sz w:val="24"/>
                <w:szCs w:val="24"/>
              </w:rPr>
              <w:t xml:space="preserve">Eiropas </w:t>
            </w:r>
            <w:r w:rsidRPr="00893053" w:rsidR="004A432F">
              <w:rPr>
                <w:rFonts w:ascii="Times New Roman" w:hAnsi="Times New Roman"/>
                <w:sz w:val="24"/>
                <w:szCs w:val="24"/>
              </w:rPr>
              <w:t xml:space="preserve">Komisijas </w:t>
            </w:r>
            <w:r w:rsidRPr="00893053">
              <w:rPr>
                <w:rFonts w:ascii="Times New Roman" w:hAnsi="Times New Roman"/>
                <w:sz w:val="24"/>
                <w:szCs w:val="24"/>
              </w:rPr>
              <w:t xml:space="preserve">2017. gada 14. jūnija </w:t>
            </w:r>
            <w:r w:rsidRPr="00893053" w:rsidR="004A432F">
              <w:rPr>
                <w:rFonts w:ascii="Times New Roman" w:hAnsi="Times New Roman"/>
                <w:sz w:val="24"/>
                <w:szCs w:val="24"/>
              </w:rPr>
              <w:t xml:space="preserve">Regulas (ES) 2017/1084  </w:t>
            </w:r>
            <w:r w:rsidRPr="00893053" w:rsidR="004A432F">
              <w:rPr>
                <w:rFonts w:ascii="Times New Roman" w:hAnsi="Times New Roman"/>
                <w:i/>
                <w:sz w:val="24"/>
                <w:szCs w:val="24"/>
              </w:rPr>
              <w:t xml:space="preserve">ar ko Regulu (ES) Nr. 651/2014 groza attiecībā uz atbalstu ostu un lidostu infrastruktūrai, paziņošanas robežvērtībām atbalstam kultūrai un kultūrvēsturiskā mantojuma saglabāšanai un atbalstam sporta un </w:t>
            </w:r>
            <w:r w:rsidRPr="00893053" w:rsidR="004A432F">
              <w:rPr>
                <w:rFonts w:ascii="Times New Roman" w:hAnsi="Times New Roman"/>
                <w:i/>
                <w:sz w:val="24"/>
                <w:szCs w:val="24"/>
              </w:rPr>
              <w:t>multifunkcionālai</w:t>
            </w:r>
            <w:r w:rsidRPr="00893053" w:rsidR="004A432F">
              <w:rPr>
                <w:rFonts w:ascii="Times New Roman" w:hAnsi="Times New Roman"/>
                <w:i/>
                <w:sz w:val="24"/>
                <w:szCs w:val="24"/>
              </w:rPr>
              <w:t xml:space="preserve"> atpūtas infrastruktūrai un reģionālā darbības atbalsta shēmām tālākajos reģionos un ar ko Regulu (ES) Nr. 702/2014 groza attiecībā uz attiecināmo izmaksu </w:t>
            </w:r>
            <w:r w:rsidRPr="00B46FF6" w:rsidR="004A432F">
              <w:rPr>
                <w:rFonts w:ascii="Times New Roman" w:hAnsi="Times New Roman"/>
                <w:i/>
                <w:sz w:val="24"/>
                <w:szCs w:val="24"/>
              </w:rPr>
              <w:t>aprēķinu</w:t>
            </w:r>
            <w:r w:rsidRPr="00B46FF6" w:rsidR="004F0BA7">
              <w:rPr>
                <w:rFonts w:ascii="Times New Roman" w:hAnsi="Times New Roman"/>
                <w:sz w:val="24"/>
                <w:szCs w:val="24"/>
              </w:rPr>
              <w:t xml:space="preserve"> (turpmāk – </w:t>
            </w:r>
            <w:r w:rsidRPr="00B46FF6" w:rsidR="00536217">
              <w:rPr>
                <w:rFonts w:ascii="Times New Roman" w:hAnsi="Times New Roman"/>
                <w:sz w:val="24"/>
                <w:szCs w:val="24"/>
              </w:rPr>
              <w:t>Komisijas r</w:t>
            </w:r>
            <w:r w:rsidRPr="00B46FF6" w:rsidR="004F0BA7">
              <w:rPr>
                <w:rFonts w:ascii="Times New Roman" w:hAnsi="Times New Roman"/>
                <w:sz w:val="24"/>
                <w:szCs w:val="24"/>
              </w:rPr>
              <w:t>egula Nr. 2017/1084</w:t>
            </w:r>
            <w:r w:rsidRPr="00B46FF6" w:rsidR="00536217">
              <w:rPr>
                <w:rFonts w:ascii="Times New Roman" w:hAnsi="Times New Roman"/>
                <w:sz w:val="24"/>
                <w:szCs w:val="24"/>
              </w:rPr>
              <w:t>)</w:t>
            </w:r>
            <w:r w:rsidRPr="00B46FF6" w:rsidR="0056514B">
              <w:rPr>
                <w:rFonts w:ascii="Times New Roman" w:hAnsi="Times New Roman"/>
                <w:i/>
                <w:sz w:val="24"/>
                <w:szCs w:val="24"/>
              </w:rPr>
              <w:t xml:space="preserve"> </w:t>
            </w:r>
            <w:r w:rsidRPr="00B46FF6" w:rsidR="0056514B">
              <w:rPr>
                <w:rFonts w:ascii="Times New Roman" w:hAnsi="Times New Roman"/>
                <w:sz w:val="24"/>
                <w:szCs w:val="24"/>
              </w:rPr>
              <w:t>13. un 14. panta grozījumiem</w:t>
            </w:r>
            <w:r w:rsidRPr="00B46FF6" w:rsidR="004F0BA7">
              <w:rPr>
                <w:rFonts w:ascii="Times New Roman" w:hAnsi="Times New Roman"/>
                <w:sz w:val="24"/>
                <w:szCs w:val="24"/>
              </w:rPr>
              <w:t xml:space="preserve"> </w:t>
            </w:r>
            <w:r w:rsidRPr="00B46FF6" w:rsidR="000C07FD">
              <w:rPr>
                <w:rFonts w:ascii="Times New Roman" w:hAnsi="Times New Roman"/>
                <w:sz w:val="24"/>
                <w:szCs w:val="24"/>
              </w:rPr>
              <w:t xml:space="preserve"> </w:t>
            </w:r>
            <w:r w:rsidRPr="00B46FF6">
              <w:rPr>
                <w:rFonts w:ascii="Times New Roman" w:hAnsi="Times New Roman"/>
                <w:sz w:val="24"/>
                <w:szCs w:val="24"/>
              </w:rPr>
              <w:t xml:space="preserve">Eiropas </w:t>
            </w:r>
            <w:r w:rsidRPr="00B46FF6" w:rsidR="000C07FD">
              <w:rPr>
                <w:rFonts w:ascii="Times New Roman" w:hAnsi="Times New Roman"/>
                <w:sz w:val="24"/>
                <w:szCs w:val="24"/>
              </w:rPr>
              <w:t>Komisijas 2014. gada 17. jūnija Regulā (ES) Nr. </w:t>
            </w:r>
            <w:r>
              <w:fldChar w:fldCharType="begin"/>
            </w:r>
            <w:r>
              <w:instrText xml:space="preserve"> HYPERLINK "http://eur-lex.europa.eu/eli/reg/2014/651/oj/?locale=LV" \t "_blank" </w:instrText>
            </w:r>
            <w:r>
              <w:fldChar w:fldCharType="separate"/>
            </w:r>
            <w:r w:rsidRPr="00B46FF6" w:rsidR="000C07FD">
              <w:rPr>
                <w:rFonts w:ascii="Times New Roman" w:hAnsi="Times New Roman"/>
                <w:sz w:val="24"/>
                <w:szCs w:val="24"/>
              </w:rPr>
              <w:t>651/2014</w:t>
            </w:r>
            <w:r>
              <w:fldChar w:fldCharType="end"/>
            </w:r>
            <w:r w:rsidRPr="00B46FF6" w:rsidR="000C07FD">
              <w:rPr>
                <w:rFonts w:ascii="Times New Roman" w:hAnsi="Times New Roman"/>
                <w:sz w:val="24"/>
                <w:szCs w:val="24"/>
              </w:rPr>
              <w:t xml:space="preserve">, </w:t>
            </w:r>
            <w:r w:rsidRPr="00B46FF6" w:rsidR="000C07FD">
              <w:rPr>
                <w:rFonts w:ascii="Times New Roman" w:hAnsi="Times New Roman"/>
                <w:i/>
                <w:sz w:val="24"/>
                <w:szCs w:val="24"/>
              </w:rPr>
              <w:t>ar ko noteiktas atbalsta kategorijas atzīst par saderīgām ar iekšējo tirgu, piemērojot Līguma 107. un 108. pantu</w:t>
            </w:r>
            <w:r w:rsidRPr="00B46FF6" w:rsidR="000C07FD">
              <w:rPr>
                <w:rFonts w:ascii="Times New Roman" w:hAnsi="Times New Roman"/>
                <w:sz w:val="24"/>
                <w:szCs w:val="24"/>
              </w:rPr>
              <w:t xml:space="preserve"> (turpmāk – Komisijas regula Nr. </w:t>
            </w:r>
            <w:r>
              <w:fldChar w:fldCharType="begin"/>
            </w:r>
            <w:r>
              <w:instrText xml:space="preserve"> HYPERLINK "http://eur-lex.europa.eu/eli/reg/2014/651/oj/?locale=LV" \t "_blank" </w:instrText>
            </w:r>
            <w:r>
              <w:fldChar w:fldCharType="separate"/>
            </w:r>
            <w:r w:rsidRPr="00B46FF6" w:rsidR="000C07FD">
              <w:rPr>
                <w:rFonts w:ascii="Times New Roman" w:hAnsi="Times New Roman"/>
                <w:sz w:val="24"/>
                <w:szCs w:val="24"/>
              </w:rPr>
              <w:t>651/2014</w:t>
            </w:r>
            <w:r>
              <w:fldChar w:fldCharType="end"/>
            </w:r>
            <w:r w:rsidRPr="00B46FF6" w:rsidR="000C07FD">
              <w:rPr>
                <w:rFonts w:ascii="Times New Roman" w:hAnsi="Times New Roman"/>
                <w:sz w:val="24"/>
                <w:szCs w:val="24"/>
              </w:rPr>
              <w:t>)</w:t>
            </w:r>
            <w:r w:rsidRPr="00B46FF6" w:rsidR="000F6165">
              <w:rPr>
                <w:rFonts w:ascii="Times New Roman" w:hAnsi="Times New Roman"/>
                <w:sz w:val="24"/>
                <w:szCs w:val="24"/>
              </w:rPr>
              <w:t>.</w:t>
            </w:r>
          </w:p>
        </w:tc>
      </w:tr>
      <w:tr w:rsidTr="00243AE6">
        <w:tblPrEx>
          <w:tblW w:w="5316" w:type="pct"/>
          <w:tblCellMar>
            <w:left w:w="0" w:type="dxa"/>
            <w:right w:w="0" w:type="dxa"/>
          </w:tblCellMar>
          <w:tblLook w:val="0000"/>
        </w:tblPrEx>
        <w:trPr>
          <w:trHeight w:val="415"/>
        </w:trPr>
        <w:tc>
          <w:tcPr>
            <w:tcW w:w="224" w:type="pct"/>
          </w:tcPr>
          <w:p w:rsidR="00F151A3" w:rsidRPr="00893053" w:rsidP="00243AE6">
            <w:pPr>
              <w:pStyle w:val="naiskr"/>
              <w:spacing w:before="0" w:beforeAutospacing="0" w:after="0" w:afterAutospacing="0"/>
              <w:ind w:left="57" w:right="57"/>
              <w:rPr>
                <w:spacing w:val="-2"/>
              </w:rPr>
            </w:pPr>
            <w:r w:rsidRPr="00056CB9">
              <w:rPr>
                <w:spacing w:val="-2"/>
              </w:rPr>
              <w:t>2.</w:t>
            </w:r>
          </w:p>
        </w:tc>
        <w:tc>
          <w:tcPr>
            <w:tcW w:w="953" w:type="pct"/>
          </w:tcPr>
          <w:p w:rsidR="00F151A3" w:rsidRPr="00893053" w:rsidP="00243AE6">
            <w:pPr>
              <w:pStyle w:val="naiskr"/>
              <w:spacing w:before="0" w:beforeAutospacing="0" w:after="0" w:afterAutospacing="0"/>
              <w:ind w:left="57" w:right="57"/>
              <w:rPr>
                <w:rFonts w:eastAsia="Calibri"/>
                <w:spacing w:val="-2"/>
                <w:lang w:eastAsia="en-US"/>
              </w:rPr>
            </w:pPr>
            <w:r w:rsidRPr="00056CB9">
              <w:rPr>
                <w:spacing w:val="-2"/>
              </w:rPr>
              <w:t>Pašreizējā situācija un problēmas, kuru risināšanai tiesību akta projekts izstrādāts, tiesiskā regulējuma mērķis un būtība</w:t>
            </w:r>
          </w:p>
        </w:tc>
        <w:tc>
          <w:tcPr>
            <w:tcW w:w="3823" w:type="pct"/>
            <w:shd w:val="clear" w:color="auto" w:fill="auto"/>
          </w:tcPr>
          <w:p w:rsidR="00F151A3" w:rsidRPr="00B46FF6" w:rsidP="00F151A3">
            <w:pPr>
              <w:autoSpaceDE w:val="0"/>
              <w:autoSpaceDN w:val="0"/>
              <w:spacing w:after="0" w:line="240" w:lineRule="auto"/>
              <w:ind w:left="137" w:right="62"/>
              <w:jc w:val="both"/>
              <w:rPr>
                <w:rFonts w:ascii="Times New Roman" w:hAnsi="Times New Roman"/>
                <w:sz w:val="24"/>
                <w:szCs w:val="24"/>
              </w:rPr>
            </w:pPr>
            <w:r w:rsidRPr="00EA0A6B">
              <w:rPr>
                <w:rFonts w:ascii="Times New Roman" w:eastAsia="Times New Roman" w:hAnsi="Times New Roman"/>
                <w:sz w:val="24"/>
                <w:szCs w:val="24"/>
                <w:lang w:eastAsia="lv-LV"/>
              </w:rPr>
              <w:t>1. </w:t>
            </w:r>
            <w:r w:rsidR="00193B6D">
              <w:rPr>
                <w:rFonts w:ascii="Times New Roman" w:hAnsi="Times New Roman"/>
                <w:sz w:val="24"/>
                <w:szCs w:val="24"/>
              </w:rPr>
              <w:t xml:space="preserve">Lai </w:t>
            </w:r>
            <w:r w:rsidR="00645425">
              <w:rPr>
                <w:rFonts w:ascii="Times New Roman" w:hAnsi="Times New Roman"/>
                <w:sz w:val="24"/>
                <w:szCs w:val="24"/>
              </w:rPr>
              <w:t xml:space="preserve">MK </w:t>
            </w:r>
            <w:r w:rsidRPr="00893053" w:rsidR="00645425">
              <w:rPr>
                <w:rFonts w:ascii="Times New Roman" w:hAnsi="Times New Roman"/>
                <w:spacing w:val="-2"/>
                <w:sz w:val="24"/>
                <w:szCs w:val="24"/>
              </w:rPr>
              <w:t>2015. gada 13. oktobra noteikum</w:t>
            </w:r>
            <w:r w:rsidR="00645425">
              <w:rPr>
                <w:rFonts w:ascii="Times New Roman" w:hAnsi="Times New Roman"/>
                <w:spacing w:val="-2"/>
                <w:sz w:val="24"/>
                <w:szCs w:val="24"/>
              </w:rPr>
              <w:t>u</w:t>
            </w:r>
            <w:r w:rsidRPr="00893053" w:rsidR="00645425">
              <w:rPr>
                <w:rFonts w:ascii="Times New Roman" w:hAnsi="Times New Roman"/>
                <w:spacing w:val="-2"/>
                <w:sz w:val="24"/>
                <w:szCs w:val="24"/>
              </w:rPr>
              <w:t xml:space="preserve">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645425">
              <w:rPr>
                <w:rFonts w:ascii="Times New Roman" w:hAnsi="Times New Roman"/>
                <w:spacing w:val="-2"/>
                <w:sz w:val="24"/>
                <w:szCs w:val="24"/>
              </w:rPr>
              <w:t xml:space="preserve"> (turpmāk – MK noteikumi Nr.593) </w:t>
            </w:r>
            <w:r w:rsidR="00B8655C">
              <w:rPr>
                <w:rFonts w:ascii="Times New Roman" w:hAnsi="Times New Roman"/>
                <w:sz w:val="24"/>
                <w:szCs w:val="24"/>
              </w:rPr>
              <w:t>41. punktā ietvertais nosacījums būtu vispārīgāks un tai pat laikā korekts</w:t>
            </w:r>
            <w:r w:rsidRPr="00EA0A6B">
              <w:rPr>
                <w:rFonts w:ascii="Times New Roman" w:hAnsi="Times New Roman"/>
                <w:sz w:val="24"/>
                <w:szCs w:val="24"/>
              </w:rPr>
              <w:t xml:space="preserve">, MK noteikumu </w:t>
            </w:r>
            <w:r w:rsidR="00E60AD0">
              <w:rPr>
                <w:rFonts w:ascii="Times New Roman" w:hAnsi="Times New Roman"/>
                <w:sz w:val="24"/>
                <w:szCs w:val="24"/>
              </w:rPr>
              <w:t>Nr.</w:t>
            </w:r>
            <w:r w:rsidR="000848DF">
              <w:rPr>
                <w:rFonts w:ascii="Times New Roman" w:hAnsi="Times New Roman"/>
                <w:sz w:val="24"/>
                <w:szCs w:val="24"/>
              </w:rPr>
              <w:t> </w:t>
            </w:r>
            <w:r w:rsidR="00E60AD0">
              <w:rPr>
                <w:rFonts w:ascii="Times New Roman" w:hAnsi="Times New Roman"/>
                <w:sz w:val="24"/>
                <w:szCs w:val="24"/>
              </w:rPr>
              <w:t xml:space="preserve">593 </w:t>
            </w:r>
            <w:r w:rsidRPr="00EA0A6B">
              <w:rPr>
                <w:rFonts w:ascii="Times New Roman" w:hAnsi="Times New Roman"/>
                <w:sz w:val="24"/>
                <w:szCs w:val="24"/>
              </w:rPr>
              <w:t>41. punktā tiek svītroti vārdi "sadarbības iestāde", ņemot vērā, ka lēmumu par valsts atbalsta sniegšanu komersantam var pieņemt ne tikai sadarbības iestāde, bet arī republikas pilsētas pašvaldība atbilstoši tai dotajam deleģējumam</w:t>
            </w:r>
            <w:r w:rsidR="00645425">
              <w:rPr>
                <w:rFonts w:ascii="Times New Roman" w:hAnsi="Times New Roman"/>
                <w:sz w:val="24"/>
                <w:szCs w:val="24"/>
              </w:rPr>
              <w:t>, kas ir paredzēts</w:t>
            </w:r>
            <w:r w:rsidRPr="00EA0A6B">
              <w:rPr>
                <w:rFonts w:ascii="Times New Roman" w:hAnsi="Times New Roman"/>
                <w:sz w:val="24"/>
                <w:szCs w:val="24"/>
              </w:rPr>
              <w:t xml:space="preserve"> Eiropas Savienības struktūrfondu un Kohēzijas fonda 2014.—2020. gada plānošanas perioda vadības likuma 10. panta otrās daļas 17. punktā</w:t>
            </w:r>
            <w:r w:rsidRPr="00B46FF6">
              <w:rPr>
                <w:rFonts w:ascii="Times New Roman" w:hAnsi="Times New Roman"/>
                <w:sz w:val="24"/>
                <w:szCs w:val="24"/>
              </w:rPr>
              <w:t>.</w:t>
            </w:r>
          </w:p>
          <w:p w:rsidR="00F151A3" w:rsidRPr="00B46FF6" w:rsidP="00F151A3">
            <w:pPr>
              <w:autoSpaceDE w:val="0"/>
              <w:autoSpaceDN w:val="0"/>
              <w:spacing w:after="0" w:line="240" w:lineRule="auto"/>
              <w:ind w:right="62"/>
              <w:jc w:val="both"/>
              <w:rPr>
                <w:rFonts w:ascii="Times New Roman" w:hAnsi="Times New Roman"/>
                <w:sz w:val="24"/>
                <w:szCs w:val="24"/>
              </w:rPr>
            </w:pPr>
          </w:p>
          <w:p w:rsidR="00306BF5" w:rsidP="00F151A3">
            <w:pPr>
              <w:autoSpaceDE w:val="0"/>
              <w:autoSpaceDN w:val="0"/>
              <w:spacing w:after="0" w:line="240" w:lineRule="auto"/>
              <w:ind w:left="137" w:right="62"/>
              <w:jc w:val="both"/>
              <w:rPr>
                <w:rFonts w:ascii="Times New Roman" w:hAnsi="Times New Roman"/>
                <w:sz w:val="24"/>
                <w:szCs w:val="24"/>
              </w:rPr>
            </w:pPr>
            <w:r w:rsidRPr="00A35B58">
              <w:rPr>
                <w:rFonts w:ascii="Times New Roman" w:hAnsi="Times New Roman"/>
                <w:sz w:val="24"/>
                <w:szCs w:val="24"/>
              </w:rPr>
              <w:t>2. MK noteikum</w:t>
            </w:r>
            <w:r w:rsidR="00645425">
              <w:rPr>
                <w:rFonts w:ascii="Times New Roman" w:hAnsi="Times New Roman"/>
                <w:sz w:val="24"/>
                <w:szCs w:val="24"/>
              </w:rPr>
              <w:t>i Nr.593</w:t>
            </w:r>
            <w:r w:rsidRPr="00A35B58">
              <w:rPr>
                <w:rFonts w:ascii="Times New Roman" w:hAnsi="Times New Roman"/>
                <w:sz w:val="24"/>
                <w:szCs w:val="24"/>
              </w:rPr>
              <w:t xml:space="preserve"> precizēt</w:t>
            </w:r>
            <w:r w:rsidR="00645425">
              <w:rPr>
                <w:rFonts w:ascii="Times New Roman" w:hAnsi="Times New Roman"/>
                <w:sz w:val="24"/>
                <w:szCs w:val="24"/>
              </w:rPr>
              <w:t>i</w:t>
            </w:r>
            <w:r w:rsidRPr="00A35B58">
              <w:rPr>
                <w:rFonts w:ascii="Times New Roman" w:hAnsi="Times New Roman"/>
                <w:sz w:val="24"/>
                <w:szCs w:val="24"/>
              </w:rPr>
              <w:t>, ņemot vērā  Komisijas regulā Nr</w:t>
            </w:r>
            <w:r w:rsidRPr="006D57E9">
              <w:rPr>
                <w:rFonts w:ascii="Times New Roman" w:hAnsi="Times New Roman"/>
                <w:sz w:val="24"/>
                <w:szCs w:val="24"/>
              </w:rPr>
              <w:t xml:space="preserve">. 651/2014 ar Komisijas regulu Nr. 2017/1084 veiktos grozījumus, kas pieņemti un stājās spēkā  2017. gadā, veicot atsevišķus tehniskus precizējumus, piemēram, precizējot </w:t>
            </w:r>
            <w:r w:rsidRPr="00A35B58" w:rsidR="00645425">
              <w:rPr>
                <w:rFonts w:ascii="Times New Roman" w:hAnsi="Times New Roman"/>
                <w:sz w:val="24"/>
                <w:szCs w:val="24"/>
              </w:rPr>
              <w:t>MK noteikum</w:t>
            </w:r>
            <w:r w:rsidR="00AB744D">
              <w:rPr>
                <w:rFonts w:ascii="Times New Roman" w:hAnsi="Times New Roman"/>
                <w:sz w:val="24"/>
                <w:szCs w:val="24"/>
              </w:rPr>
              <w:t>u</w:t>
            </w:r>
            <w:r w:rsidR="00645425">
              <w:rPr>
                <w:rFonts w:ascii="Times New Roman" w:hAnsi="Times New Roman"/>
                <w:sz w:val="24"/>
                <w:szCs w:val="24"/>
              </w:rPr>
              <w:t xml:space="preserve"> Nr.593</w:t>
            </w:r>
            <w:r w:rsidRPr="00A35B58" w:rsidR="00645425">
              <w:rPr>
                <w:rFonts w:ascii="Times New Roman" w:hAnsi="Times New Roman"/>
                <w:sz w:val="24"/>
                <w:szCs w:val="24"/>
              </w:rPr>
              <w:t xml:space="preserve"> </w:t>
            </w:r>
            <w:r w:rsidRPr="001936C4" w:rsidR="00772DF5">
              <w:rPr>
                <w:rFonts w:ascii="Times New Roman" w:hAnsi="Times New Roman"/>
                <w:sz w:val="24"/>
                <w:szCs w:val="24"/>
              </w:rPr>
              <w:t>59</w:t>
            </w:r>
            <w:r w:rsidRPr="001936C4">
              <w:rPr>
                <w:rFonts w:ascii="Times New Roman" w:hAnsi="Times New Roman"/>
                <w:sz w:val="24"/>
                <w:szCs w:val="24"/>
              </w:rPr>
              <w:t xml:space="preserve">.1.6. apakšpunktu, jo Komisijas regulas </w:t>
            </w:r>
            <w:r w:rsidR="00723212">
              <w:rPr>
                <w:rFonts w:ascii="Times New Roman" w:hAnsi="Times New Roman"/>
                <w:sz w:val="24"/>
                <w:szCs w:val="24"/>
              </w:rPr>
              <w:t>Nr. </w:t>
            </w:r>
            <w:r w:rsidRPr="001936C4">
              <w:rPr>
                <w:rFonts w:ascii="Times New Roman" w:hAnsi="Times New Roman"/>
                <w:sz w:val="24"/>
                <w:szCs w:val="24"/>
              </w:rPr>
              <w:t xml:space="preserve">651/2014 13. panta a) </w:t>
            </w:r>
            <w:r w:rsidRPr="001936C4">
              <w:rPr>
                <w:rFonts w:ascii="Times New Roman" w:hAnsi="Times New Roman"/>
                <w:sz w:val="24"/>
                <w:szCs w:val="24"/>
              </w:rPr>
              <w:t xml:space="preserve">apakšpunkts attiecīgās regulas grozījumu rezultātā tika sadalīts a) un b) apakšpunktā, kas nozīmē, ka projektu iesniedzējiem netiek paredzēti jauni ierobežojumi (tiek paredzēti atvieglojumi attālākajiem reģioniem). </w:t>
            </w:r>
            <w:r w:rsidRPr="00A35B58">
              <w:rPr>
                <w:rFonts w:ascii="Times New Roman" w:hAnsi="Times New Roman"/>
                <w:sz w:val="24"/>
                <w:szCs w:val="24"/>
              </w:rPr>
              <w:t xml:space="preserve">Komisijas regulas </w:t>
            </w:r>
            <w:r w:rsidR="00EA5BDE">
              <w:rPr>
                <w:rFonts w:ascii="Times New Roman" w:hAnsi="Times New Roman"/>
                <w:sz w:val="24"/>
                <w:szCs w:val="24"/>
              </w:rPr>
              <w:t>Nr. </w:t>
            </w:r>
            <w:r w:rsidRPr="00A35B58">
              <w:rPr>
                <w:rFonts w:ascii="Times New Roman" w:hAnsi="Times New Roman"/>
                <w:sz w:val="24"/>
                <w:szCs w:val="24"/>
              </w:rPr>
              <w:t>651/2014 13. panta d) apakšpunkts tika svītrots un tajā iekļautā prasība pārveidota un iekļauta Komisijas regulas</w:t>
            </w:r>
            <w:r w:rsidR="00EA5BDE">
              <w:rPr>
                <w:rFonts w:ascii="Times New Roman" w:hAnsi="Times New Roman"/>
                <w:sz w:val="24"/>
                <w:szCs w:val="24"/>
              </w:rPr>
              <w:t xml:space="preserve"> Nr. </w:t>
            </w:r>
            <w:r w:rsidRPr="00A35B58">
              <w:rPr>
                <w:rFonts w:ascii="Times New Roman" w:hAnsi="Times New Roman"/>
                <w:sz w:val="24"/>
                <w:szCs w:val="24"/>
              </w:rPr>
              <w:t xml:space="preserve"> 651/2014 14. panta 16. punktā. Grozījumu rezultātā Komisijas regulas </w:t>
            </w:r>
            <w:r w:rsidR="00EA5BDE">
              <w:rPr>
                <w:rFonts w:ascii="Times New Roman" w:hAnsi="Times New Roman"/>
                <w:sz w:val="24"/>
                <w:szCs w:val="24"/>
              </w:rPr>
              <w:t>Nr. </w:t>
            </w:r>
            <w:r w:rsidRPr="00A35B58">
              <w:rPr>
                <w:rFonts w:ascii="Times New Roman" w:hAnsi="Times New Roman"/>
                <w:sz w:val="24"/>
                <w:szCs w:val="24"/>
              </w:rPr>
              <w:t>651/2014 14.</w:t>
            </w:r>
            <w:r w:rsidR="00193B6D">
              <w:rPr>
                <w:rFonts w:ascii="Times New Roman" w:hAnsi="Times New Roman"/>
                <w:sz w:val="24"/>
                <w:szCs w:val="24"/>
              </w:rPr>
              <w:t> </w:t>
            </w:r>
            <w:r w:rsidRPr="00A35B58">
              <w:rPr>
                <w:rFonts w:ascii="Times New Roman" w:hAnsi="Times New Roman"/>
                <w:sz w:val="24"/>
                <w:szCs w:val="24"/>
              </w:rPr>
              <w:t xml:space="preserve">pants tika papildināts ar jaunu 16.punktu, kas neparedz jaunu ierobežojumu, bet gan </w:t>
            </w:r>
            <w:r w:rsidRPr="00A35B58">
              <w:rPr>
                <w:rFonts w:ascii="Times New Roman" w:hAnsi="Times New Roman"/>
                <w:bCs/>
                <w:sz w:val="24"/>
                <w:szCs w:val="24"/>
              </w:rPr>
              <w:t>pārveido</w:t>
            </w:r>
            <w:r w:rsidRPr="00A35B58">
              <w:rPr>
                <w:rFonts w:ascii="Times New Roman" w:hAnsi="Times New Roman"/>
                <w:sz w:val="24"/>
                <w:szCs w:val="24"/>
              </w:rPr>
              <w:t xml:space="preserve"> prasību, kas līdz šim bija iekļauta Komisijas regulas </w:t>
            </w:r>
            <w:r w:rsidR="00EA5BDE">
              <w:rPr>
                <w:rFonts w:ascii="Times New Roman" w:hAnsi="Times New Roman"/>
                <w:sz w:val="24"/>
                <w:szCs w:val="24"/>
              </w:rPr>
              <w:t>Nr. </w:t>
            </w:r>
            <w:r w:rsidRPr="00A35B58">
              <w:rPr>
                <w:rFonts w:ascii="Times New Roman" w:hAnsi="Times New Roman"/>
                <w:sz w:val="24"/>
                <w:szCs w:val="24"/>
              </w:rPr>
              <w:t>651/2014 13. panta d) apakšpunktā. Līdzšinējā prasība</w:t>
            </w:r>
            <w:r w:rsidRPr="00A35B58">
              <w:rPr>
                <w:rFonts w:ascii="Times New Roman" w:hAnsi="Times New Roman"/>
                <w:sz w:val="24"/>
                <w:szCs w:val="24"/>
                <w:lang w:eastAsia="lv-LV"/>
              </w:rPr>
              <w:t xml:space="preserve"> par darbības izbeigšanas ierobežojumu ir aizstāta ar nosacījumu par darbības pārcelšanu, tas ir – iepriekšējā prasība paredzēja</w:t>
            </w:r>
            <w:r w:rsidRPr="00A35B58">
              <w:rPr>
                <w:rFonts w:ascii="Times New Roman" w:hAnsi="Times New Roman"/>
                <w:sz w:val="24"/>
                <w:szCs w:val="24"/>
              </w:rPr>
              <w:t xml:space="preserve">, ka </w:t>
            </w:r>
            <w:r w:rsidRPr="00A35B58">
              <w:rPr>
                <w:rFonts w:ascii="Times New Roman" w:hAnsi="Times New Roman"/>
                <w:sz w:val="24"/>
                <w:szCs w:val="24"/>
                <w:lang w:eastAsia="lv-LV"/>
              </w:rPr>
              <w:t xml:space="preserve">atbalstu nepiemēro saņēmējam, kas ir beidzis to pašu vai līdzīgu darbību Eiropas Ekonomikas zonā divu gadu laikā pirms reģionālā </w:t>
            </w:r>
            <w:r w:rsidRPr="00A35B58">
              <w:rPr>
                <w:rFonts w:ascii="Times New Roman" w:hAnsi="Times New Roman"/>
                <w:sz w:val="24"/>
                <w:szCs w:val="24"/>
              </w:rPr>
              <w:t>ieguldījumu</w:t>
            </w:r>
            <w:r w:rsidRPr="00A35B58">
              <w:rPr>
                <w:rFonts w:ascii="Times New Roman" w:hAnsi="Times New Roman"/>
                <w:sz w:val="24"/>
                <w:szCs w:val="24"/>
                <w:lang w:eastAsia="lv-LV"/>
              </w:rPr>
              <w:t xml:space="preserve"> atbalsta pieteikuma vai kam atbalsta pieteikuma laikā ir konkrēti plāni izbeigt šādu darbību ne vēlāk kā divu gadu laikā no dienas, kad attiecīgajā apgabalā pabeigts sākotnē</w:t>
            </w:r>
            <w:r w:rsidRPr="00A35B58">
              <w:rPr>
                <w:rFonts w:ascii="Times New Roman" w:hAnsi="Times New Roman"/>
                <w:sz w:val="24"/>
                <w:szCs w:val="24"/>
                <w:lang w:eastAsia="lv-LV"/>
              </w:rPr>
              <w:softHyphen/>
              <w:t xml:space="preserve">jais ieguldījums, kuram tiek prasīts atbalsts, savukārt jaunais nosacījums, kas iekļauts </w:t>
            </w:r>
            <w:r w:rsidRPr="00A35B58">
              <w:rPr>
                <w:rFonts w:ascii="Times New Roman" w:hAnsi="Times New Roman"/>
                <w:sz w:val="24"/>
                <w:szCs w:val="24"/>
              </w:rPr>
              <w:t xml:space="preserve">Komisijas regulas </w:t>
            </w:r>
            <w:r w:rsidR="00EA5BDE">
              <w:rPr>
                <w:rFonts w:ascii="Times New Roman" w:hAnsi="Times New Roman"/>
                <w:sz w:val="24"/>
                <w:szCs w:val="24"/>
              </w:rPr>
              <w:t>Nr. </w:t>
            </w:r>
            <w:r w:rsidRPr="00A35B58">
              <w:rPr>
                <w:rFonts w:ascii="Times New Roman" w:hAnsi="Times New Roman"/>
                <w:sz w:val="24"/>
                <w:szCs w:val="24"/>
              </w:rPr>
              <w:t>651/2014 14. panta 16. punktā</w:t>
            </w:r>
            <w:r w:rsidR="007F150E">
              <w:rPr>
                <w:rFonts w:ascii="Times New Roman" w:hAnsi="Times New Roman"/>
                <w:sz w:val="24"/>
                <w:szCs w:val="24"/>
              </w:rPr>
              <w:t>,</w:t>
            </w:r>
            <w:r w:rsidRPr="00A35B58">
              <w:rPr>
                <w:rFonts w:ascii="Times New Roman" w:hAnsi="Times New Roman"/>
                <w:sz w:val="24"/>
                <w:szCs w:val="24"/>
              </w:rPr>
              <w:t xml:space="preserve"> paredz, ka saņēmējs apliecina, ka tas pēdējo divu gadu laikā pirms pieteikšanās uz atbalstu nav veicis pārcelšanu uz uzņēmējdarbības vietu, kurā tiks veikts sākotnējais ieguldījums, kuram pieprasīts atbalsts, un apņemas to nedarīt divus gadus pēc tam, kad ir pabeigts sākotnējais ieguldījums, kuram tiek pieprasīts atbalsts</w:t>
            </w:r>
            <w:r w:rsidRPr="00A35B58">
              <w:rPr>
                <w:rFonts w:ascii="Times New Roman" w:hAnsi="Times New Roman"/>
                <w:sz w:val="24"/>
                <w:szCs w:val="24"/>
                <w:lang w:eastAsia="lv-LV"/>
              </w:rPr>
              <w:t>.</w:t>
            </w:r>
            <w:r w:rsidRPr="00A35B58">
              <w:rPr>
                <w:rFonts w:ascii="Times New Roman" w:eastAsia="Times New Roman" w:hAnsi="Times New Roman"/>
                <w:sz w:val="24"/>
                <w:szCs w:val="24"/>
                <w:lang w:eastAsia="lv-LV"/>
              </w:rPr>
              <w:t xml:space="preserve"> </w:t>
            </w:r>
            <w:r w:rsidRPr="00A35B58">
              <w:rPr>
                <w:rFonts w:ascii="Times New Roman" w:hAnsi="Times New Roman"/>
                <w:sz w:val="24"/>
                <w:szCs w:val="24"/>
              </w:rPr>
              <w:t xml:space="preserve"> </w:t>
            </w:r>
          </w:p>
          <w:p w:rsidR="004716B0" w:rsidRPr="005511B5" w:rsidP="004716B0">
            <w:pPr>
              <w:autoSpaceDE w:val="0"/>
              <w:autoSpaceDN w:val="0"/>
              <w:spacing w:after="0" w:line="240" w:lineRule="auto"/>
              <w:ind w:left="137" w:right="62"/>
              <w:jc w:val="both"/>
              <w:rPr>
                <w:rFonts w:ascii="Times New Roman" w:hAnsi="Times New Roman"/>
                <w:sz w:val="24"/>
                <w:szCs w:val="24"/>
              </w:rPr>
            </w:pPr>
            <w:r w:rsidRPr="005511B5">
              <w:rPr>
                <w:rFonts w:ascii="Times New Roman" w:hAnsi="Times New Roman"/>
                <w:sz w:val="24"/>
                <w:szCs w:val="24"/>
              </w:rPr>
              <w:t xml:space="preserve">Komisijas regulas </w:t>
            </w:r>
            <w:r w:rsidRPr="005511B5" w:rsidR="00EA5BDE">
              <w:rPr>
                <w:rFonts w:ascii="Times New Roman" w:hAnsi="Times New Roman"/>
                <w:sz w:val="24"/>
                <w:szCs w:val="24"/>
              </w:rPr>
              <w:t>Nr. </w:t>
            </w:r>
            <w:r w:rsidRPr="005511B5">
              <w:rPr>
                <w:rFonts w:ascii="Times New Roman" w:hAnsi="Times New Roman"/>
                <w:sz w:val="24"/>
                <w:szCs w:val="24"/>
              </w:rPr>
              <w:t xml:space="preserve">651/2014 14. panta 17. punkts ir jauns punkts, kas paredz ierobežojumu zvejniecības un akvakultūras nozares uzņēmumiem, kuri ir izdarījuši pārkāpumus nozarē, tajā skaitā pārkāpumus, kas saistīti ar nelegālu, nereģistrētu un neregulētu zveju, kā arī </w:t>
            </w:r>
            <w:r w:rsidRPr="005511B5">
              <w:rPr>
                <w:rFonts w:ascii="Times New Roman" w:hAnsi="Times New Roman"/>
                <w:sz w:val="24"/>
                <w:szCs w:val="24"/>
              </w:rPr>
              <w:t>krāpniecību</w:t>
            </w:r>
            <w:r w:rsidRPr="005511B5">
              <w:rPr>
                <w:rFonts w:ascii="Times New Roman" w:hAnsi="Times New Roman"/>
                <w:sz w:val="24"/>
                <w:szCs w:val="24"/>
              </w:rPr>
              <w:t>, pretendēt uz atbalstu.</w:t>
            </w:r>
            <w:r w:rsidRPr="005511B5" w:rsidR="00A53DBA">
              <w:rPr>
                <w:rFonts w:ascii="Times New Roman" w:hAnsi="Times New Roman"/>
                <w:sz w:val="24"/>
                <w:szCs w:val="24"/>
              </w:rPr>
              <w:t xml:space="preserve"> </w:t>
            </w:r>
            <w:r w:rsidRPr="005511B5" w:rsidR="00E05C31">
              <w:rPr>
                <w:rFonts w:ascii="Times New Roman" w:hAnsi="Times New Roman"/>
                <w:sz w:val="24"/>
                <w:szCs w:val="24"/>
              </w:rPr>
              <w:t xml:space="preserve">Atbalstu nepiešķir uzņēmumiem, kuri ir izdarījuši vienu vai vairākus pārkāpumus, kas minēti </w:t>
            </w:r>
            <w:r w:rsidRPr="005511B5" w:rsidR="00BA1BCE">
              <w:rPr>
                <w:rFonts w:ascii="Times New Roman" w:hAnsi="Times New Roman"/>
                <w:sz w:val="24"/>
                <w:szCs w:val="24"/>
              </w:rPr>
              <w:t xml:space="preserve"> Eiropas Parlamenta un Padomes 2014. gada 15. maija Regulas (ES) Nr. 508/2014 </w:t>
            </w:r>
            <w:r w:rsidRPr="005511B5" w:rsidR="00BA1BCE">
              <w:rPr>
                <w:rFonts w:ascii="Times New Roman" w:hAnsi="Times New Roman"/>
                <w:i/>
                <w:sz w:val="24"/>
                <w:szCs w:val="24"/>
              </w:rPr>
              <w:t xml:space="preserve">par Eiropas Jūrlietu un zivsaimniecības fondu un ar ko atceļ Padomes Regulas (EK) Nr. 2328/2003, (EK) Nr. 861/2006, (EK) Nr. 1198/2006 un (EK) Nr. 791/2007 un Eiropas Parlamenta un Padomes Regulu (ES) Nr. 1255/2011 </w:t>
            </w:r>
            <w:r w:rsidRPr="005511B5" w:rsidR="00BA1BCE">
              <w:rPr>
                <w:rFonts w:ascii="Times New Roman" w:hAnsi="Times New Roman"/>
                <w:sz w:val="24"/>
                <w:szCs w:val="24"/>
              </w:rPr>
              <w:t xml:space="preserve">(turpmāk - Eiropas Parlamenta un Padomes regula Nr. 508/2014) </w:t>
            </w:r>
            <w:r w:rsidRPr="005511B5" w:rsidR="0003076F">
              <w:rPr>
                <w:rFonts w:ascii="Times New Roman" w:hAnsi="Times New Roman"/>
                <w:sz w:val="24"/>
                <w:szCs w:val="24"/>
              </w:rPr>
              <w:t>10. panta 1. </w:t>
            </w:r>
            <w:r w:rsidRPr="005511B5" w:rsidR="00E05C31">
              <w:rPr>
                <w:rFonts w:ascii="Times New Roman" w:hAnsi="Times New Roman"/>
                <w:sz w:val="24"/>
                <w:szCs w:val="24"/>
              </w:rPr>
              <w:t>punkta "a" - "d" apakšpunktā u</w:t>
            </w:r>
            <w:r w:rsidRPr="005511B5" w:rsidR="0003076F">
              <w:rPr>
                <w:rFonts w:ascii="Times New Roman" w:hAnsi="Times New Roman"/>
                <w:sz w:val="24"/>
                <w:szCs w:val="24"/>
              </w:rPr>
              <w:t>n 10. panta 3. </w:t>
            </w:r>
            <w:r w:rsidRPr="005511B5" w:rsidR="00E05C31">
              <w:rPr>
                <w:rFonts w:ascii="Times New Roman" w:hAnsi="Times New Roman"/>
                <w:sz w:val="24"/>
                <w:szCs w:val="24"/>
              </w:rPr>
              <w:t>punktā atbi</w:t>
            </w:r>
            <w:r w:rsidRPr="005511B5" w:rsidR="0003076F">
              <w:rPr>
                <w:rFonts w:ascii="Times New Roman" w:hAnsi="Times New Roman"/>
                <w:sz w:val="24"/>
                <w:szCs w:val="24"/>
              </w:rPr>
              <w:t>lstoši Komisijas 2014. </w:t>
            </w:r>
            <w:r w:rsidRPr="005511B5" w:rsidR="00375890">
              <w:rPr>
                <w:rFonts w:ascii="Times New Roman" w:hAnsi="Times New Roman"/>
                <w:sz w:val="24"/>
                <w:szCs w:val="24"/>
              </w:rPr>
              <w:t>gada 17. </w:t>
            </w:r>
            <w:r w:rsidRPr="005511B5" w:rsidR="00E05C31">
              <w:rPr>
                <w:rFonts w:ascii="Times New Roman" w:hAnsi="Times New Roman"/>
                <w:sz w:val="24"/>
                <w:szCs w:val="24"/>
              </w:rPr>
              <w:t xml:space="preserve">decembra </w:t>
            </w:r>
            <w:r w:rsidRPr="005511B5" w:rsidR="00375890">
              <w:rPr>
                <w:rFonts w:ascii="Times New Roman" w:hAnsi="Times New Roman"/>
                <w:sz w:val="24"/>
                <w:szCs w:val="24"/>
              </w:rPr>
              <w:t xml:space="preserve">deleģētai </w:t>
            </w:r>
            <w:r w:rsidRPr="005511B5" w:rsidR="00E05C31">
              <w:rPr>
                <w:rFonts w:ascii="Times New Roman" w:hAnsi="Times New Roman"/>
                <w:sz w:val="24"/>
                <w:szCs w:val="24"/>
              </w:rPr>
              <w:t xml:space="preserve">Regulai (ES) 2015/288 </w:t>
            </w:r>
            <w:r w:rsidRPr="005511B5" w:rsidR="00E05C31">
              <w:rPr>
                <w:rFonts w:ascii="Times New Roman" w:hAnsi="Times New Roman"/>
                <w:i/>
                <w:sz w:val="24"/>
                <w:szCs w:val="24"/>
              </w:rPr>
              <w:t xml:space="preserve">ar ko Eiropas Parlamenta un Padomes Regulu (ES) Nr. 508/2014 par Eiropas Jūrlietu un zivsaimniecības fondu papildina attiecībā uz pieteikumu </w:t>
            </w:r>
            <w:r w:rsidRPr="005511B5" w:rsidR="00E05C31">
              <w:rPr>
                <w:rFonts w:ascii="Times New Roman" w:hAnsi="Times New Roman"/>
                <w:i/>
                <w:sz w:val="24"/>
                <w:szCs w:val="24"/>
              </w:rPr>
              <w:t>nepieņemamības</w:t>
            </w:r>
            <w:r w:rsidRPr="005511B5" w:rsidR="00E05C31">
              <w:rPr>
                <w:rFonts w:ascii="Times New Roman" w:hAnsi="Times New Roman"/>
                <w:i/>
                <w:sz w:val="24"/>
                <w:szCs w:val="24"/>
              </w:rPr>
              <w:t xml:space="preserve"> laikposmu un tā sākuma un beigu dienu</w:t>
            </w:r>
            <w:r w:rsidRPr="005511B5" w:rsidR="00E05C31">
              <w:rPr>
                <w:rFonts w:ascii="Times New Roman" w:hAnsi="Times New Roman"/>
                <w:sz w:val="24"/>
                <w:szCs w:val="24"/>
              </w:rPr>
              <w:t>.</w:t>
            </w:r>
            <w:r w:rsidRPr="005511B5" w:rsidR="00E05C31">
              <w:rPr>
                <w:rFonts w:ascii="Times New Roman" w:hAnsi="Times New Roman"/>
                <w:color w:val="FF0000"/>
                <w:sz w:val="24"/>
                <w:szCs w:val="24"/>
              </w:rPr>
              <w:t xml:space="preserve"> </w:t>
            </w:r>
            <w:r w:rsidRPr="005511B5">
              <w:rPr>
                <w:rFonts w:ascii="Times New Roman" w:eastAsia="Times New Roman" w:hAnsi="Times New Roman"/>
                <w:spacing w:val="-4"/>
                <w:sz w:val="24"/>
                <w:szCs w:val="24"/>
                <w:lang w:eastAsia="lv-LV"/>
              </w:rPr>
              <w:t xml:space="preserve">Ja vērtēšanai tiks saņemts projekta iesniegums, kura ietvaros sadarbības partneris – komersants, kas darbojas zvejniecības un akvakultūras nozarē, pretendēs uz atbalstu saskaņā ar </w:t>
            </w:r>
            <w:r w:rsidRPr="005511B5">
              <w:rPr>
                <w:rFonts w:ascii="Times New Roman" w:hAnsi="Times New Roman"/>
                <w:sz w:val="24"/>
                <w:szCs w:val="24"/>
              </w:rPr>
              <w:t>Komisijas regulas Nr. 651/2014 14.</w:t>
            </w:r>
            <w:r w:rsidRPr="005511B5" w:rsidR="00194B89">
              <w:rPr>
                <w:rFonts w:ascii="Times New Roman" w:hAnsi="Times New Roman"/>
                <w:sz w:val="24"/>
                <w:szCs w:val="24"/>
              </w:rPr>
              <w:t> </w:t>
            </w:r>
            <w:r w:rsidRPr="005511B5">
              <w:rPr>
                <w:rFonts w:ascii="Times New Roman" w:hAnsi="Times New Roman"/>
                <w:sz w:val="24"/>
                <w:szCs w:val="24"/>
              </w:rPr>
              <w:t xml:space="preserve">pantu, nepieciešams pārbaudīt ne tikai </w:t>
            </w:r>
            <w:r w:rsidRPr="005511B5">
              <w:rPr>
                <w:rFonts w:ascii="Times New Roman" w:eastAsia="Times New Roman" w:hAnsi="Times New Roman"/>
                <w:spacing w:val="-4"/>
                <w:sz w:val="24"/>
                <w:szCs w:val="24"/>
                <w:lang w:eastAsia="lv-LV"/>
              </w:rPr>
              <w:t>Eiropas Savienības struktūrfondu un Kohēzijas fonda 2014.-2020.gada plānošanas perioda vadības likuma 23.</w:t>
            </w:r>
            <w:r w:rsidRPr="005511B5" w:rsidR="00194B89">
              <w:rPr>
                <w:rFonts w:ascii="Times New Roman" w:eastAsia="Times New Roman" w:hAnsi="Times New Roman"/>
                <w:spacing w:val="-4"/>
                <w:sz w:val="24"/>
                <w:szCs w:val="24"/>
                <w:lang w:eastAsia="lv-LV"/>
              </w:rPr>
              <w:t> </w:t>
            </w:r>
            <w:r w:rsidRPr="005511B5">
              <w:rPr>
                <w:rFonts w:ascii="Times New Roman" w:eastAsia="Times New Roman" w:hAnsi="Times New Roman"/>
                <w:spacing w:val="-4"/>
                <w:sz w:val="24"/>
                <w:szCs w:val="24"/>
                <w:lang w:eastAsia="lv-LV"/>
              </w:rPr>
              <w:t>pantā norādīto informāciju, bet arī informāciju par pārkāpumu izdarīšanu zvejniecības un akvakultūras nozarē.</w:t>
            </w:r>
            <w:r w:rsidRPr="005511B5">
              <w:rPr>
                <w:rFonts w:ascii="Times New Roman" w:hAnsi="Times New Roman"/>
                <w:sz w:val="24"/>
                <w:szCs w:val="24"/>
              </w:rPr>
              <w:t xml:space="preserve"> Šīs informācijas pārbaudi projektu iesniegumu atlases ietvaros nodrošinās </w:t>
            </w:r>
            <w:r w:rsidRPr="005511B5">
              <w:rPr>
                <w:rFonts w:ascii="Times New Roman" w:eastAsia="Times New Roman" w:hAnsi="Times New Roman"/>
                <w:spacing w:val="-4"/>
                <w:sz w:val="24"/>
                <w:szCs w:val="24"/>
                <w:lang w:eastAsia="lv-LV"/>
              </w:rPr>
              <w:t xml:space="preserve">Centrālā finanšu un līgumu aģentūra (turpmāk –  CFLA) kā sadarbības iestāde (tai skaitā </w:t>
            </w:r>
            <w:r w:rsidRPr="005511B5">
              <w:rPr>
                <w:rFonts w:ascii="Times New Roman" w:hAnsi="Times New Roman"/>
                <w:sz w:val="24"/>
                <w:szCs w:val="24"/>
              </w:rPr>
              <w:t>republikas pilsētu pašvaldību izveidotajās projektu iesniegumu vērtēšanas komisijās)</w:t>
            </w:r>
            <w:r w:rsidRPr="005511B5" w:rsidR="000A414B">
              <w:rPr>
                <w:rFonts w:ascii="Times New Roman" w:eastAsia="Times New Roman" w:hAnsi="Times New Roman"/>
                <w:spacing w:val="-4"/>
                <w:sz w:val="24"/>
                <w:szCs w:val="24"/>
                <w:lang w:eastAsia="lv-LV"/>
              </w:rPr>
              <w:t xml:space="preserve">.  Informāciju atkarībā no pārkāpumu veida iegūst no valsts informācijas sistēmas </w:t>
            </w:r>
            <w:r w:rsidRPr="005511B5" w:rsidR="000A414B">
              <w:rPr>
                <w:rFonts w:ascii="Times New Roman" w:hAnsi="Times New Roman"/>
                <w:sz w:val="24"/>
                <w:szCs w:val="24"/>
              </w:rPr>
              <w:t>"</w:t>
            </w:r>
            <w:r w:rsidRPr="005511B5" w:rsidR="000A414B">
              <w:rPr>
                <w:rFonts w:ascii="Times New Roman" w:eastAsia="Times New Roman" w:hAnsi="Times New Roman"/>
                <w:spacing w:val="-4"/>
                <w:sz w:val="24"/>
                <w:szCs w:val="24"/>
                <w:lang w:eastAsia="lv-LV"/>
              </w:rPr>
              <w:t>Sodu reģistrs</w:t>
            </w:r>
            <w:r w:rsidRPr="005511B5" w:rsidR="000A414B">
              <w:rPr>
                <w:rFonts w:ascii="Times New Roman" w:hAnsi="Times New Roman"/>
                <w:sz w:val="24"/>
                <w:szCs w:val="24"/>
              </w:rPr>
              <w:t>"</w:t>
            </w:r>
            <w:r w:rsidRPr="005511B5" w:rsidR="0012791B">
              <w:rPr>
                <w:rFonts w:ascii="Times New Roman" w:hAnsi="Times New Roman"/>
                <w:spacing w:val="-2"/>
                <w:sz w:val="24"/>
                <w:szCs w:val="24"/>
              </w:rPr>
              <w:t xml:space="preserve">, Zemkopības ministrijas vai </w:t>
            </w:r>
            <w:r w:rsidRPr="005511B5" w:rsidR="00877074">
              <w:rPr>
                <w:rFonts w:ascii="Times New Roman" w:hAnsi="Times New Roman"/>
                <w:spacing w:val="-2"/>
                <w:sz w:val="24"/>
                <w:szCs w:val="24"/>
              </w:rPr>
              <w:t>Valsts vides dienesta, nosūtot attiecīgu informācijas</w:t>
            </w:r>
            <w:r w:rsidRPr="005511B5" w:rsidR="000A414B">
              <w:rPr>
                <w:rFonts w:ascii="Times New Roman" w:hAnsi="Times New Roman"/>
                <w:spacing w:val="-2"/>
                <w:sz w:val="24"/>
                <w:szCs w:val="24"/>
              </w:rPr>
              <w:t xml:space="preserve"> </w:t>
            </w:r>
            <w:r w:rsidRPr="005511B5" w:rsidR="00877074">
              <w:rPr>
                <w:rFonts w:ascii="Times New Roman" w:hAnsi="Times New Roman"/>
                <w:spacing w:val="-2"/>
                <w:sz w:val="24"/>
                <w:szCs w:val="24"/>
              </w:rPr>
              <w:t>pieprasījumu.</w:t>
            </w:r>
            <w:r w:rsidRPr="005511B5" w:rsidR="000A414B">
              <w:rPr>
                <w:rFonts w:ascii="Times New Roman" w:eastAsia="Times New Roman" w:hAnsi="Times New Roman"/>
                <w:spacing w:val="-4"/>
                <w:sz w:val="24"/>
                <w:szCs w:val="24"/>
                <w:lang w:eastAsia="lv-LV"/>
              </w:rPr>
              <w:t xml:space="preserve"> </w:t>
            </w:r>
            <w:r w:rsidRPr="005511B5" w:rsidR="00FC6950">
              <w:rPr>
                <w:rFonts w:ascii="Times New Roman" w:eastAsia="Times New Roman" w:hAnsi="Times New Roman"/>
                <w:spacing w:val="-4"/>
                <w:sz w:val="24"/>
                <w:szCs w:val="24"/>
                <w:lang w:eastAsia="lv-LV"/>
              </w:rPr>
              <w:t>Valsts informācijas sistēmā “Sodu reģistrs</w:t>
            </w:r>
            <w:r w:rsidRPr="005511B5" w:rsidR="00FC6950">
              <w:rPr>
                <w:rFonts w:ascii="Times New Roman" w:hAnsi="Times New Roman"/>
                <w:spacing w:val="-2"/>
                <w:sz w:val="24"/>
                <w:szCs w:val="24"/>
              </w:rPr>
              <w:t>”</w:t>
            </w:r>
            <w:r w:rsidRPr="005511B5">
              <w:rPr>
                <w:rFonts w:ascii="Times New Roman" w:eastAsia="Times New Roman" w:hAnsi="Times New Roman"/>
                <w:spacing w:val="-4"/>
                <w:sz w:val="24"/>
                <w:szCs w:val="24"/>
                <w:lang w:eastAsia="lv-LV"/>
              </w:rPr>
              <w:t xml:space="preserve">, kuras pārzinis un turētājs ir </w:t>
            </w:r>
            <w:r w:rsidRPr="005511B5">
              <w:rPr>
                <w:rFonts w:ascii="Times New Roman" w:eastAsia="Times New Roman" w:hAnsi="Times New Roman"/>
                <w:spacing w:val="-4"/>
                <w:sz w:val="24"/>
                <w:szCs w:val="24"/>
                <w:lang w:eastAsia="lv-LV"/>
              </w:rPr>
              <w:t>Iekšlietu</w:t>
            </w:r>
            <w:r w:rsidRPr="005511B5">
              <w:rPr>
                <w:rFonts w:ascii="Times New Roman" w:eastAsia="Times New Roman" w:hAnsi="Times New Roman"/>
                <w:spacing w:val="-4"/>
                <w:sz w:val="24"/>
                <w:szCs w:val="24"/>
                <w:lang w:eastAsia="lv-LV"/>
              </w:rPr>
              <w:t xml:space="preserve"> ministrijas Informācijas centrs, veiks ziņu pārbaudi, vai komersants nav izdarījis administratīvo pārkāpumu un sodīts saskaņā ar Latvijas </w:t>
            </w:r>
            <w:r w:rsidRPr="005511B5">
              <w:rPr>
                <w:rFonts w:ascii="Times New Roman" w:eastAsia="Times New Roman" w:hAnsi="Times New Roman"/>
                <w:spacing w:val="-4"/>
                <w:sz w:val="24"/>
                <w:szCs w:val="24"/>
                <w:lang w:eastAsia="lv-LV"/>
              </w:rPr>
              <w:t xml:space="preserve">Administratīvo pārkāpumu kodeksa </w:t>
            </w:r>
            <w:r w:rsidRPr="005511B5">
              <w:rPr>
                <w:rFonts w:ascii="Times New Roman" w:hAnsi="Times New Roman"/>
                <w:bCs/>
                <w:sz w:val="24"/>
                <w:szCs w:val="24"/>
              </w:rPr>
              <w:t>80.</w:t>
            </w:r>
            <w:r w:rsidRPr="005511B5">
              <w:rPr>
                <w:rFonts w:ascii="Times New Roman" w:hAnsi="Times New Roman"/>
                <w:bCs/>
                <w:sz w:val="24"/>
                <w:szCs w:val="24"/>
                <w:vertAlign w:val="superscript"/>
              </w:rPr>
              <w:t>2</w:t>
            </w:r>
            <w:r w:rsidRPr="005511B5" w:rsidR="00194B89">
              <w:rPr>
                <w:rFonts w:ascii="Times New Roman" w:hAnsi="Times New Roman"/>
                <w:bCs/>
                <w:sz w:val="24"/>
                <w:szCs w:val="24"/>
              </w:rPr>
              <w:t> </w:t>
            </w:r>
            <w:r w:rsidRPr="005511B5">
              <w:rPr>
                <w:rFonts w:ascii="Times New Roman" w:hAnsi="Times New Roman"/>
                <w:bCs/>
                <w:sz w:val="24"/>
                <w:szCs w:val="24"/>
              </w:rPr>
              <w:t>pantu, 80.</w:t>
            </w:r>
            <w:r w:rsidRPr="005511B5">
              <w:rPr>
                <w:rFonts w:ascii="Times New Roman" w:hAnsi="Times New Roman"/>
                <w:bCs/>
                <w:sz w:val="24"/>
                <w:szCs w:val="24"/>
                <w:vertAlign w:val="superscript"/>
              </w:rPr>
              <w:t>3</w:t>
            </w:r>
            <w:r w:rsidRPr="005511B5" w:rsidR="00194B89">
              <w:rPr>
                <w:rFonts w:ascii="Times New Roman" w:hAnsi="Times New Roman"/>
                <w:bCs/>
                <w:sz w:val="24"/>
                <w:szCs w:val="24"/>
              </w:rPr>
              <w:t> </w:t>
            </w:r>
            <w:r w:rsidRPr="005511B5">
              <w:rPr>
                <w:rFonts w:ascii="Times New Roman" w:hAnsi="Times New Roman"/>
                <w:bCs/>
                <w:sz w:val="24"/>
                <w:szCs w:val="24"/>
              </w:rPr>
              <w:t xml:space="preserve">panta </w:t>
            </w:r>
            <w:r w:rsidRPr="005511B5">
              <w:rPr>
                <w:rFonts w:ascii="Times New Roman" w:eastAsia="Times New Roman" w:hAnsi="Times New Roman"/>
                <w:sz w:val="24"/>
                <w:szCs w:val="24"/>
                <w:lang w:eastAsia="lv-LV"/>
              </w:rPr>
              <w:t xml:space="preserve">piekto, sesto vai septīto daļu, </w:t>
            </w:r>
            <w:r w:rsidRPr="005511B5">
              <w:rPr>
                <w:rFonts w:ascii="Times New Roman" w:hAnsi="Times New Roman"/>
                <w:bCs/>
                <w:sz w:val="24"/>
                <w:szCs w:val="24"/>
              </w:rPr>
              <w:t>116. pantu, 155.</w:t>
            </w:r>
            <w:r w:rsidRPr="005511B5">
              <w:rPr>
                <w:rFonts w:ascii="Times New Roman" w:hAnsi="Times New Roman"/>
                <w:bCs/>
                <w:sz w:val="24"/>
                <w:szCs w:val="24"/>
                <w:vertAlign w:val="superscript"/>
              </w:rPr>
              <w:t>18</w:t>
            </w:r>
            <w:r w:rsidRPr="005511B5" w:rsidR="00194B89">
              <w:rPr>
                <w:rFonts w:ascii="Times New Roman" w:hAnsi="Times New Roman"/>
                <w:bCs/>
                <w:sz w:val="24"/>
                <w:szCs w:val="24"/>
              </w:rPr>
              <w:t> </w:t>
            </w:r>
            <w:r w:rsidRPr="005511B5">
              <w:rPr>
                <w:rFonts w:ascii="Times New Roman" w:hAnsi="Times New Roman"/>
                <w:bCs/>
                <w:sz w:val="24"/>
                <w:szCs w:val="24"/>
              </w:rPr>
              <w:t>pantu, 166.</w:t>
            </w:r>
            <w:r w:rsidRPr="005511B5">
              <w:rPr>
                <w:rFonts w:ascii="Times New Roman" w:hAnsi="Times New Roman"/>
                <w:bCs/>
                <w:sz w:val="24"/>
                <w:szCs w:val="24"/>
                <w:vertAlign w:val="superscript"/>
              </w:rPr>
              <w:t>2</w:t>
            </w:r>
            <w:r w:rsidRPr="005511B5">
              <w:rPr>
                <w:rFonts w:ascii="Times New Roman" w:hAnsi="Times New Roman"/>
                <w:bCs/>
                <w:sz w:val="24"/>
                <w:szCs w:val="24"/>
              </w:rPr>
              <w:t> pantu</w:t>
            </w:r>
            <w:r w:rsidRPr="005511B5">
              <w:rPr>
                <w:rFonts w:ascii="Times New Roman" w:hAnsi="Times New Roman"/>
                <w:spacing w:val="-2"/>
                <w:sz w:val="24"/>
                <w:szCs w:val="24"/>
              </w:rPr>
              <w:t>,</w:t>
            </w:r>
            <w:r w:rsidRPr="005511B5">
              <w:rPr>
                <w:rFonts w:ascii="Times New Roman" w:hAnsi="Times New Roman"/>
                <w:bCs/>
                <w:sz w:val="24"/>
                <w:szCs w:val="24"/>
              </w:rPr>
              <w:t xml:space="preserve"> </w:t>
            </w:r>
            <w:r w:rsidRPr="005511B5">
              <w:rPr>
                <w:rFonts w:ascii="Times New Roman" w:eastAsia="Times New Roman" w:hAnsi="Times New Roman"/>
                <w:sz w:val="24"/>
                <w:szCs w:val="24"/>
                <w:lang w:eastAsia="lv-LV"/>
              </w:rPr>
              <w:t>vai nav izdarījis noziedzīgu nodarījumu un sodīts pēc Krimināllikuma 110.</w:t>
            </w:r>
            <w:r w:rsidRPr="005511B5" w:rsidR="00194B89">
              <w:rPr>
                <w:rFonts w:ascii="Times New Roman" w:eastAsia="Times New Roman" w:hAnsi="Times New Roman"/>
                <w:sz w:val="24"/>
                <w:szCs w:val="24"/>
                <w:lang w:eastAsia="lv-LV"/>
              </w:rPr>
              <w:t> </w:t>
            </w:r>
            <w:r w:rsidRPr="005511B5">
              <w:rPr>
                <w:rFonts w:ascii="Times New Roman" w:eastAsia="Times New Roman" w:hAnsi="Times New Roman"/>
                <w:sz w:val="24"/>
                <w:szCs w:val="24"/>
                <w:lang w:eastAsia="lv-LV"/>
              </w:rPr>
              <w:t>panta, 111.</w:t>
            </w:r>
            <w:r w:rsidRPr="005511B5" w:rsidR="00194B89">
              <w:rPr>
                <w:rFonts w:ascii="Times New Roman" w:eastAsia="Times New Roman" w:hAnsi="Times New Roman"/>
                <w:sz w:val="24"/>
                <w:szCs w:val="24"/>
                <w:lang w:eastAsia="lv-LV"/>
              </w:rPr>
              <w:t> </w:t>
            </w:r>
            <w:r w:rsidRPr="005511B5">
              <w:rPr>
                <w:rFonts w:ascii="Times New Roman" w:eastAsia="Times New Roman" w:hAnsi="Times New Roman"/>
                <w:sz w:val="24"/>
                <w:szCs w:val="24"/>
                <w:lang w:eastAsia="lv-LV"/>
              </w:rPr>
              <w:t>panta</w:t>
            </w:r>
            <w:r w:rsidRPr="005511B5">
              <w:rPr>
                <w:rFonts w:ascii="Times New Roman" w:hAnsi="Times New Roman"/>
                <w:bCs/>
                <w:sz w:val="24"/>
                <w:szCs w:val="24"/>
              </w:rPr>
              <w:t xml:space="preserve">, </w:t>
            </w:r>
            <w:r w:rsidRPr="005511B5">
              <w:rPr>
                <w:rFonts w:ascii="Times New Roman" w:hAnsi="Times New Roman"/>
                <w:sz w:val="24"/>
                <w:szCs w:val="24"/>
              </w:rPr>
              <w:t xml:space="preserve"> </w:t>
            </w:r>
            <w:r w:rsidRPr="005511B5">
              <w:rPr>
                <w:rFonts w:ascii="Times New Roman" w:hAnsi="Times New Roman"/>
                <w:bCs/>
                <w:sz w:val="24"/>
                <w:szCs w:val="24"/>
              </w:rPr>
              <w:t>191.</w:t>
            </w:r>
            <w:r w:rsidRPr="005511B5" w:rsidR="00194B89">
              <w:rPr>
                <w:rFonts w:ascii="Times New Roman" w:hAnsi="Times New Roman"/>
                <w:bCs/>
                <w:sz w:val="24"/>
                <w:szCs w:val="24"/>
              </w:rPr>
              <w:t> </w:t>
            </w:r>
            <w:r w:rsidRPr="005511B5">
              <w:rPr>
                <w:rFonts w:ascii="Times New Roman" w:hAnsi="Times New Roman"/>
                <w:bCs/>
                <w:sz w:val="24"/>
                <w:szCs w:val="24"/>
              </w:rPr>
              <w:t>panta, 207.</w:t>
            </w:r>
            <w:r w:rsidRPr="005511B5" w:rsidR="00194B89">
              <w:rPr>
                <w:rFonts w:ascii="Times New Roman" w:hAnsi="Times New Roman"/>
                <w:bCs/>
                <w:sz w:val="24"/>
                <w:szCs w:val="24"/>
              </w:rPr>
              <w:t> panta</w:t>
            </w:r>
            <w:r w:rsidRPr="005511B5">
              <w:rPr>
                <w:rFonts w:ascii="Times New Roman" w:hAnsi="Times New Roman"/>
                <w:bCs/>
                <w:sz w:val="24"/>
                <w:szCs w:val="24"/>
              </w:rPr>
              <w:t xml:space="preserve"> un 275.</w:t>
            </w:r>
            <w:r w:rsidRPr="005511B5" w:rsidR="00194B89">
              <w:rPr>
                <w:rFonts w:ascii="Times New Roman" w:hAnsi="Times New Roman"/>
                <w:bCs/>
                <w:sz w:val="24"/>
                <w:szCs w:val="24"/>
              </w:rPr>
              <w:t> </w:t>
            </w:r>
            <w:r w:rsidRPr="005511B5">
              <w:rPr>
                <w:rFonts w:ascii="Times New Roman" w:hAnsi="Times New Roman"/>
                <w:bCs/>
                <w:sz w:val="24"/>
                <w:szCs w:val="24"/>
              </w:rPr>
              <w:t>panta.</w:t>
            </w:r>
            <w:r w:rsidRPr="005511B5" w:rsidR="005643BC">
              <w:rPr>
                <w:rFonts w:ascii="Times New Roman" w:hAnsi="Times New Roman"/>
                <w:bCs/>
                <w:sz w:val="24"/>
                <w:szCs w:val="24"/>
              </w:rPr>
              <w:t xml:space="preserve"> </w:t>
            </w:r>
          </w:p>
          <w:p w:rsidR="00F54792" w:rsidRPr="005511B5" w:rsidP="00F151A3">
            <w:pPr>
              <w:autoSpaceDE w:val="0"/>
              <w:autoSpaceDN w:val="0"/>
              <w:spacing w:after="0" w:line="240" w:lineRule="auto"/>
              <w:ind w:left="137" w:right="62"/>
              <w:jc w:val="both"/>
              <w:rPr>
                <w:rFonts w:ascii="Times New Roman" w:hAnsi="Times New Roman"/>
                <w:sz w:val="24"/>
                <w:szCs w:val="24"/>
              </w:rPr>
            </w:pPr>
            <w:bookmarkStart w:id="0" w:name="_GoBack"/>
            <w:bookmarkEnd w:id="0"/>
          </w:p>
          <w:p w:rsidR="00F151A3" w:rsidRPr="00893053" w:rsidP="00DA0ABA">
            <w:pPr>
              <w:spacing w:after="100" w:afterAutospacing="1" w:line="240" w:lineRule="auto"/>
              <w:ind w:left="137" w:right="62"/>
              <w:jc w:val="both"/>
              <w:rPr>
                <w:rFonts w:ascii="Times New Roman" w:hAnsi="Times New Roman"/>
                <w:spacing w:val="-2"/>
                <w:sz w:val="24"/>
                <w:szCs w:val="24"/>
              </w:rPr>
            </w:pPr>
            <w:r>
              <w:rPr>
                <w:rFonts w:ascii="Times New Roman" w:hAnsi="Times New Roman"/>
                <w:sz w:val="24"/>
                <w:szCs w:val="24"/>
              </w:rPr>
              <w:t>3. </w:t>
            </w:r>
            <w:r w:rsidR="003C051A">
              <w:rPr>
                <w:rFonts w:ascii="Times New Roman" w:hAnsi="Times New Roman"/>
                <w:sz w:val="24"/>
                <w:szCs w:val="24"/>
              </w:rPr>
              <w:t xml:space="preserve"> MK noteikumu projektā iekļautie grozījumi </w:t>
            </w:r>
            <w:r w:rsidR="00B01B72">
              <w:rPr>
                <w:rFonts w:ascii="Times New Roman" w:hAnsi="Times New Roman"/>
                <w:sz w:val="24"/>
                <w:szCs w:val="24"/>
              </w:rPr>
              <w:t>no spēkā stāšanās dienas ietekmēs tos vērtēšanā esošos projektu iesniegumus, kuros valsts atbalsts komercdarbībai tiks sniegts saskaņā ar</w:t>
            </w:r>
            <w:r w:rsidRPr="001936C4" w:rsidR="00B01B72">
              <w:rPr>
                <w:rFonts w:ascii="Times New Roman" w:hAnsi="Times New Roman"/>
                <w:sz w:val="24"/>
                <w:szCs w:val="24"/>
              </w:rPr>
              <w:t xml:space="preserve"> Komisijas regulas </w:t>
            </w:r>
            <w:r w:rsidR="00BE2A32">
              <w:rPr>
                <w:rFonts w:ascii="Times New Roman" w:hAnsi="Times New Roman"/>
                <w:sz w:val="24"/>
                <w:szCs w:val="24"/>
              </w:rPr>
              <w:t>Nr. </w:t>
            </w:r>
            <w:r w:rsidRPr="001936C4" w:rsidR="00B01B72">
              <w:rPr>
                <w:rFonts w:ascii="Times New Roman" w:hAnsi="Times New Roman"/>
                <w:sz w:val="24"/>
                <w:szCs w:val="24"/>
              </w:rPr>
              <w:t xml:space="preserve">651/2014 </w:t>
            </w:r>
            <w:r w:rsidR="00F52BDA">
              <w:rPr>
                <w:rFonts w:ascii="Times New Roman" w:hAnsi="Times New Roman"/>
                <w:sz w:val="24"/>
                <w:szCs w:val="24"/>
              </w:rPr>
              <w:t>14. pantu</w:t>
            </w:r>
            <w:r w:rsidR="004225A7">
              <w:rPr>
                <w:rFonts w:ascii="Times New Roman" w:hAnsi="Times New Roman"/>
                <w:sz w:val="24"/>
                <w:szCs w:val="24"/>
              </w:rPr>
              <w:t xml:space="preserve"> un lēmums par šāda atbalsta piešķiršanu tiks pieņemts pēc </w:t>
            </w:r>
            <w:r w:rsidR="00DA0ABA">
              <w:rPr>
                <w:rFonts w:ascii="Times New Roman" w:hAnsi="Times New Roman"/>
                <w:sz w:val="24"/>
                <w:szCs w:val="24"/>
              </w:rPr>
              <w:t>MK noteikumu stāšanās spēkā</w:t>
            </w:r>
            <w:r w:rsidR="004225A7">
              <w:rPr>
                <w:rFonts w:ascii="Times New Roman" w:hAnsi="Times New Roman"/>
                <w:sz w:val="24"/>
                <w:szCs w:val="24"/>
              </w:rPr>
              <w:t>.</w:t>
            </w:r>
          </w:p>
        </w:tc>
      </w:tr>
      <w:tr w:rsidTr="00243AE6">
        <w:tblPrEx>
          <w:tblW w:w="5316" w:type="pct"/>
          <w:tblCellMar>
            <w:left w:w="0" w:type="dxa"/>
            <w:right w:w="0" w:type="dxa"/>
          </w:tblCellMar>
          <w:tblLook w:val="0000"/>
        </w:tblPrEx>
        <w:trPr>
          <w:trHeight w:val="476"/>
        </w:trPr>
        <w:tc>
          <w:tcPr>
            <w:tcW w:w="224" w:type="pct"/>
            <w:shd w:val="clear" w:color="auto" w:fill="auto"/>
          </w:tcPr>
          <w:p w:rsidR="00243AE6" w:rsidRPr="002F389B" w:rsidP="00243AE6">
            <w:pPr>
              <w:pStyle w:val="naiskr"/>
              <w:spacing w:before="0" w:beforeAutospacing="0" w:after="0" w:afterAutospacing="0"/>
              <w:ind w:left="57" w:right="57"/>
              <w:rPr>
                <w:spacing w:val="-2"/>
              </w:rPr>
            </w:pPr>
            <w:r w:rsidRPr="002F389B">
              <w:rPr>
                <w:spacing w:val="-2"/>
              </w:rPr>
              <w:t>3.</w:t>
            </w:r>
          </w:p>
        </w:tc>
        <w:tc>
          <w:tcPr>
            <w:tcW w:w="953" w:type="pct"/>
            <w:shd w:val="clear" w:color="auto" w:fill="auto"/>
          </w:tcPr>
          <w:p w:rsidR="00243AE6" w:rsidRPr="002F389B" w:rsidP="00243AE6">
            <w:pPr>
              <w:pStyle w:val="naiskr"/>
              <w:spacing w:before="0" w:beforeAutospacing="0" w:after="0" w:afterAutospacing="0"/>
              <w:ind w:left="57" w:right="57"/>
              <w:rPr>
                <w:spacing w:val="-2"/>
              </w:rPr>
            </w:pPr>
            <w:r w:rsidRPr="002F389B">
              <w:rPr>
                <w:spacing w:val="-2"/>
              </w:rPr>
              <w:t>Projekta izstrādē iesaistītās institūcijas</w:t>
            </w:r>
          </w:p>
        </w:tc>
        <w:tc>
          <w:tcPr>
            <w:tcW w:w="3823" w:type="pct"/>
            <w:shd w:val="clear" w:color="auto" w:fill="auto"/>
          </w:tcPr>
          <w:p w:rsidR="00243AE6" w:rsidRPr="002F389B" w:rsidP="00243AE6">
            <w:pPr>
              <w:spacing w:after="0" w:line="240" w:lineRule="auto"/>
              <w:ind w:left="57" w:right="113"/>
              <w:rPr>
                <w:rFonts w:ascii="Times New Roman" w:hAnsi="Times New Roman"/>
                <w:b/>
                <w:spacing w:val="-2"/>
                <w:sz w:val="24"/>
                <w:szCs w:val="24"/>
              </w:rPr>
            </w:pPr>
            <w:r w:rsidRPr="002F389B">
              <w:rPr>
                <w:rFonts w:ascii="Times New Roman" w:hAnsi="Times New Roman"/>
                <w:spacing w:val="-2"/>
                <w:sz w:val="24"/>
                <w:szCs w:val="24"/>
              </w:rPr>
              <w:t>Projekts šo jomu neskar</w:t>
            </w:r>
          </w:p>
        </w:tc>
      </w:tr>
      <w:tr w:rsidTr="00243AE6">
        <w:tblPrEx>
          <w:tblW w:w="5316" w:type="pct"/>
          <w:tblCellMar>
            <w:left w:w="0" w:type="dxa"/>
            <w:right w:w="0" w:type="dxa"/>
          </w:tblCellMar>
          <w:tblLook w:val="0000"/>
        </w:tblPrEx>
        <w:tc>
          <w:tcPr>
            <w:tcW w:w="224" w:type="pct"/>
            <w:shd w:val="clear" w:color="auto" w:fill="auto"/>
          </w:tcPr>
          <w:p w:rsidR="00243AE6" w:rsidRPr="002F389B" w:rsidP="00243AE6">
            <w:pPr>
              <w:pStyle w:val="naiskr"/>
              <w:spacing w:before="0" w:beforeAutospacing="0" w:after="0" w:afterAutospacing="0"/>
              <w:ind w:left="57" w:right="57"/>
              <w:rPr>
                <w:spacing w:val="-2"/>
              </w:rPr>
            </w:pPr>
            <w:r w:rsidRPr="002F389B">
              <w:rPr>
                <w:spacing w:val="-2"/>
              </w:rPr>
              <w:t>4.</w:t>
            </w:r>
          </w:p>
        </w:tc>
        <w:tc>
          <w:tcPr>
            <w:tcW w:w="953" w:type="pct"/>
            <w:shd w:val="clear" w:color="auto" w:fill="auto"/>
          </w:tcPr>
          <w:p w:rsidR="00243AE6" w:rsidRPr="002F389B" w:rsidP="00243AE6">
            <w:pPr>
              <w:pStyle w:val="naiskr"/>
              <w:spacing w:before="0" w:beforeAutospacing="0" w:after="0" w:afterAutospacing="0"/>
              <w:ind w:left="57" w:right="57"/>
              <w:rPr>
                <w:spacing w:val="-2"/>
              </w:rPr>
            </w:pPr>
            <w:r w:rsidRPr="002F389B">
              <w:rPr>
                <w:spacing w:val="-2"/>
              </w:rPr>
              <w:t>Cita informācija</w:t>
            </w:r>
          </w:p>
        </w:tc>
        <w:tc>
          <w:tcPr>
            <w:tcW w:w="3823" w:type="pct"/>
            <w:shd w:val="clear" w:color="auto" w:fill="auto"/>
          </w:tcPr>
          <w:p w:rsidR="00243AE6" w:rsidRPr="002F389B" w:rsidP="00243AE6">
            <w:pPr>
              <w:spacing w:after="0" w:line="240" w:lineRule="auto"/>
              <w:ind w:left="57" w:right="113"/>
              <w:rPr>
                <w:rFonts w:ascii="Times New Roman" w:hAnsi="Times New Roman"/>
                <w:spacing w:val="-2"/>
                <w:sz w:val="24"/>
                <w:szCs w:val="24"/>
              </w:rPr>
            </w:pPr>
            <w:r w:rsidRPr="002F389B">
              <w:rPr>
                <w:rFonts w:ascii="Times New Roman" w:hAnsi="Times New Roman"/>
                <w:spacing w:val="-2"/>
                <w:sz w:val="24"/>
                <w:szCs w:val="24"/>
              </w:rPr>
              <w:t>Nav</w:t>
            </w:r>
          </w:p>
          <w:p w:rsidR="00243AE6" w:rsidRPr="002F389B" w:rsidP="00243AE6">
            <w:pPr>
              <w:spacing w:after="0" w:line="240" w:lineRule="auto"/>
              <w:ind w:left="57" w:right="113"/>
              <w:rPr>
                <w:rFonts w:ascii="Times New Roman" w:hAnsi="Times New Roman"/>
                <w:spacing w:val="-2"/>
                <w:sz w:val="24"/>
                <w:szCs w:val="24"/>
              </w:rPr>
            </w:pPr>
          </w:p>
        </w:tc>
      </w:tr>
    </w:tbl>
    <w:p w:rsidR="00243AE6" w:rsidRPr="00671A71" w:rsidP="00243AE6">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268"/>
        <w:gridCol w:w="6941"/>
      </w:tblGrid>
      <w:tr w:rsidTr="007E334B">
        <w:tblPrEx>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56"/>
        </w:trPr>
        <w:tc>
          <w:tcPr>
            <w:tcW w:w="9640" w:type="dxa"/>
            <w:gridSpan w:val="3"/>
            <w:shd w:val="clear" w:color="auto" w:fill="auto"/>
            <w:vAlign w:val="center"/>
          </w:tcPr>
          <w:p w:rsidR="00243AE6" w:rsidRPr="007E334B" w:rsidP="00243AE6">
            <w:pPr>
              <w:pStyle w:val="naisnod"/>
              <w:spacing w:before="0" w:beforeAutospacing="0" w:after="0" w:afterAutospacing="0"/>
              <w:ind w:left="57" w:right="57"/>
              <w:jc w:val="center"/>
              <w:rPr>
                <w:b/>
              </w:rPr>
            </w:pPr>
            <w:r w:rsidRPr="007E334B">
              <w:rPr>
                <w:b/>
              </w:rPr>
              <w:t>II. Tiesību akta projekta ietekme uz sabiedrību, tautsaimniecības attīstību un</w:t>
            </w:r>
            <w:r w:rsidRPr="007E334B">
              <w:rPr>
                <w:b/>
              </w:rPr>
              <w:br/>
              <w:t xml:space="preserve"> administratīvo slogu</w:t>
            </w:r>
          </w:p>
        </w:tc>
      </w:tr>
      <w:tr w:rsidTr="007E334B">
        <w:tblPrEx>
          <w:tblW w:w="9640" w:type="dxa"/>
          <w:tblCellMar>
            <w:left w:w="0" w:type="dxa"/>
            <w:right w:w="0" w:type="dxa"/>
          </w:tblCellMar>
          <w:tblLook w:val="0000"/>
        </w:tblPrEx>
        <w:trPr>
          <w:trHeight w:val="467"/>
        </w:trPr>
        <w:tc>
          <w:tcPr>
            <w:tcW w:w="431" w:type="dxa"/>
            <w:shd w:val="clear" w:color="auto" w:fill="auto"/>
          </w:tcPr>
          <w:p w:rsidR="00243AE6" w:rsidRPr="007E334B" w:rsidP="00243AE6">
            <w:pPr>
              <w:pStyle w:val="naiskr"/>
              <w:spacing w:before="0" w:beforeAutospacing="0" w:after="0" w:afterAutospacing="0"/>
              <w:ind w:left="57" w:right="57"/>
            </w:pPr>
            <w:r w:rsidRPr="007E334B">
              <w:t>1.</w:t>
            </w:r>
          </w:p>
        </w:tc>
        <w:tc>
          <w:tcPr>
            <w:tcW w:w="2268" w:type="dxa"/>
            <w:shd w:val="clear" w:color="auto" w:fill="auto"/>
          </w:tcPr>
          <w:p w:rsidR="00243AE6" w:rsidRPr="007E334B" w:rsidP="00243AE6">
            <w:pPr>
              <w:pStyle w:val="naiskr"/>
              <w:spacing w:before="0" w:beforeAutospacing="0" w:after="0" w:afterAutospacing="0"/>
              <w:ind w:left="57" w:right="57"/>
            </w:pPr>
            <w:r w:rsidRPr="007E334B">
              <w:t xml:space="preserve">Sabiedrības </w:t>
            </w:r>
            <w:r w:rsidRPr="007E334B">
              <w:t>mērķgrupas</w:t>
            </w:r>
            <w:r w:rsidRPr="007E334B">
              <w:t>, kuras tiesiskais regulējums ietekmē vai varētu ietekmēt</w:t>
            </w:r>
          </w:p>
        </w:tc>
        <w:tc>
          <w:tcPr>
            <w:tcW w:w="6941" w:type="dxa"/>
            <w:shd w:val="clear" w:color="auto" w:fill="auto"/>
          </w:tcPr>
          <w:p w:rsidR="00243AE6" w:rsidRPr="007E334B" w:rsidP="00A53DBA">
            <w:pPr>
              <w:spacing w:after="0" w:line="240" w:lineRule="auto"/>
              <w:ind w:left="57" w:right="113"/>
              <w:jc w:val="both"/>
              <w:rPr>
                <w:rFonts w:ascii="Times New Roman" w:hAnsi="Times New Roman"/>
                <w:sz w:val="24"/>
                <w:szCs w:val="24"/>
              </w:rPr>
            </w:pPr>
            <w:bookmarkStart w:id="1" w:name="p21"/>
            <w:bookmarkEnd w:id="1"/>
            <w:r>
              <w:rPr>
                <w:rFonts w:ascii="Times New Roman" w:eastAsia="Times New Roman" w:hAnsi="Times New Roman"/>
                <w:spacing w:val="-4"/>
                <w:sz w:val="24"/>
                <w:szCs w:val="24"/>
                <w:lang w:eastAsia="lv-LV"/>
              </w:rPr>
              <w:t xml:space="preserve">Vides aizsardzības un reģionālās attīstības ministrija (turpmāk – </w:t>
            </w:r>
            <w:r w:rsidRPr="007E334B" w:rsidR="007E334B">
              <w:rPr>
                <w:rFonts w:ascii="Times New Roman" w:eastAsia="Times New Roman" w:hAnsi="Times New Roman"/>
                <w:spacing w:val="-4"/>
                <w:sz w:val="24"/>
                <w:szCs w:val="24"/>
                <w:lang w:eastAsia="lv-LV"/>
              </w:rPr>
              <w:t>VARAM</w:t>
            </w:r>
            <w:r>
              <w:rPr>
                <w:rFonts w:ascii="Times New Roman" w:eastAsia="Times New Roman" w:hAnsi="Times New Roman"/>
                <w:spacing w:val="-4"/>
                <w:sz w:val="24"/>
                <w:szCs w:val="24"/>
                <w:lang w:eastAsia="lv-LV"/>
              </w:rPr>
              <w:t>)</w:t>
            </w:r>
            <w:r w:rsidRPr="007E334B" w:rsidR="007E334B">
              <w:rPr>
                <w:rFonts w:ascii="Times New Roman" w:eastAsia="Times New Roman" w:hAnsi="Times New Roman"/>
                <w:spacing w:val="-4"/>
                <w:sz w:val="24"/>
                <w:szCs w:val="24"/>
                <w:lang w:eastAsia="lv-LV"/>
              </w:rPr>
              <w:t xml:space="preserve">, </w:t>
            </w:r>
            <w:r w:rsidRPr="006D57E9" w:rsidR="00D16F0B">
              <w:rPr>
                <w:rFonts w:ascii="Times New Roman" w:hAnsi="Times New Roman"/>
                <w:sz w:val="24"/>
                <w:szCs w:val="24"/>
              </w:rPr>
              <w:t xml:space="preserve">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r w:rsidR="00D16F0B">
              <w:rPr>
                <w:rFonts w:ascii="Times New Roman" w:hAnsi="Times New Roman"/>
                <w:sz w:val="24"/>
                <w:szCs w:val="24"/>
              </w:rPr>
              <w:t xml:space="preserve">(turpmāk – </w:t>
            </w:r>
            <w:r w:rsidR="00D16F0B">
              <w:rPr>
                <w:rFonts w:ascii="Times New Roman" w:eastAsia="Times New Roman" w:hAnsi="Times New Roman"/>
                <w:spacing w:val="-4"/>
                <w:sz w:val="24"/>
                <w:szCs w:val="24"/>
                <w:lang w:eastAsia="lv-LV"/>
              </w:rPr>
              <w:t>SAM </w:t>
            </w:r>
            <w:r w:rsidRPr="007E334B" w:rsidR="007E334B">
              <w:rPr>
                <w:rFonts w:ascii="Times New Roman" w:eastAsia="Times New Roman" w:hAnsi="Times New Roman"/>
                <w:spacing w:val="-4"/>
                <w:sz w:val="24"/>
                <w:szCs w:val="24"/>
                <w:lang w:eastAsia="lv-LV"/>
              </w:rPr>
              <w:t>3.3.1</w:t>
            </w:r>
            <w:r w:rsidRPr="007E334B" w:rsidR="0068486A">
              <w:rPr>
                <w:rFonts w:ascii="Times New Roman" w:eastAsia="Times New Roman" w:hAnsi="Times New Roman"/>
                <w:spacing w:val="-4"/>
                <w:sz w:val="24"/>
                <w:szCs w:val="24"/>
                <w:lang w:eastAsia="lv-LV"/>
              </w:rPr>
              <w:t>.</w:t>
            </w:r>
            <w:r w:rsidR="00D16F0B">
              <w:rPr>
                <w:rFonts w:ascii="Times New Roman" w:eastAsia="Times New Roman" w:hAnsi="Times New Roman"/>
                <w:spacing w:val="-4"/>
                <w:sz w:val="24"/>
                <w:szCs w:val="24"/>
                <w:lang w:eastAsia="lv-LV"/>
              </w:rPr>
              <w:t>)</w:t>
            </w:r>
            <w:r w:rsidR="00193B6D">
              <w:rPr>
                <w:rFonts w:ascii="Times New Roman" w:eastAsia="Times New Roman" w:hAnsi="Times New Roman"/>
                <w:spacing w:val="-4"/>
                <w:sz w:val="24"/>
                <w:szCs w:val="24"/>
                <w:lang w:eastAsia="lv-LV"/>
              </w:rPr>
              <w:t> projektu</w:t>
            </w:r>
            <w:r w:rsidRPr="007E334B" w:rsidR="0068486A">
              <w:rPr>
                <w:rFonts w:ascii="Times New Roman" w:eastAsia="Times New Roman" w:hAnsi="Times New Roman"/>
                <w:spacing w:val="-4"/>
                <w:sz w:val="24"/>
                <w:szCs w:val="24"/>
                <w:lang w:eastAsia="lv-LV"/>
              </w:rPr>
              <w:t xml:space="preserve"> iesniegumu iesniedzēji, to sadarbības partneri, </w:t>
            </w:r>
            <w:r w:rsidRPr="007E334B" w:rsidR="0068486A">
              <w:rPr>
                <w:rFonts w:ascii="Times New Roman" w:hAnsi="Times New Roman"/>
                <w:sz w:val="24"/>
                <w:szCs w:val="24"/>
              </w:rPr>
              <w:t>republikas pilsēt</w:t>
            </w:r>
            <w:r w:rsidR="00A53DBA">
              <w:rPr>
                <w:rFonts w:ascii="Times New Roman" w:hAnsi="Times New Roman"/>
                <w:sz w:val="24"/>
                <w:szCs w:val="24"/>
              </w:rPr>
              <w:t>u</w:t>
            </w:r>
            <w:r w:rsidRPr="007E334B" w:rsidR="0068486A">
              <w:rPr>
                <w:rFonts w:ascii="Times New Roman" w:hAnsi="Times New Roman"/>
                <w:sz w:val="24"/>
                <w:szCs w:val="24"/>
              </w:rPr>
              <w:t xml:space="preserve"> pašvaldību izveidotās projektu iesniegumu vērtēšanas komisijas</w:t>
            </w:r>
            <w:r w:rsidRPr="007E334B" w:rsidR="0068486A">
              <w:rPr>
                <w:rFonts w:ascii="Times New Roman" w:eastAsia="Times New Roman" w:hAnsi="Times New Roman"/>
                <w:spacing w:val="-4"/>
                <w:sz w:val="24"/>
                <w:szCs w:val="24"/>
                <w:lang w:eastAsia="lv-LV"/>
              </w:rPr>
              <w:t xml:space="preserve"> un CFLA.</w:t>
            </w:r>
          </w:p>
        </w:tc>
      </w:tr>
      <w:tr w:rsidTr="00243AE6">
        <w:tblPrEx>
          <w:tblW w:w="9640" w:type="dxa"/>
          <w:tblCellMar>
            <w:left w:w="0" w:type="dxa"/>
            <w:right w:w="0" w:type="dxa"/>
          </w:tblCellMar>
          <w:tblLook w:val="0000"/>
        </w:tblPrEx>
        <w:trPr>
          <w:trHeight w:val="523"/>
        </w:trPr>
        <w:tc>
          <w:tcPr>
            <w:tcW w:w="431" w:type="dxa"/>
          </w:tcPr>
          <w:p w:rsidR="00243AE6" w:rsidRPr="00040A11" w:rsidP="00243AE6">
            <w:pPr>
              <w:pStyle w:val="naiskr"/>
              <w:spacing w:before="0" w:beforeAutospacing="0" w:after="0" w:afterAutospacing="0"/>
              <w:ind w:left="57" w:right="57"/>
            </w:pPr>
            <w:r w:rsidRPr="00040A11">
              <w:t>2.</w:t>
            </w:r>
          </w:p>
        </w:tc>
        <w:tc>
          <w:tcPr>
            <w:tcW w:w="2268" w:type="dxa"/>
            <w:shd w:val="clear" w:color="auto" w:fill="auto"/>
          </w:tcPr>
          <w:p w:rsidR="00243AE6" w:rsidRPr="00040A11" w:rsidP="00243AE6">
            <w:pPr>
              <w:pStyle w:val="naiskr"/>
              <w:spacing w:before="0" w:beforeAutospacing="0" w:after="0" w:afterAutospacing="0"/>
              <w:ind w:left="57" w:right="57"/>
            </w:pPr>
            <w:r w:rsidRPr="00040A11">
              <w:t>Tiesiskā regulējuma ietekme uz tautsaimniecību un administratīvo slogu</w:t>
            </w:r>
          </w:p>
        </w:tc>
        <w:tc>
          <w:tcPr>
            <w:tcW w:w="6941" w:type="dxa"/>
            <w:shd w:val="clear" w:color="auto" w:fill="auto"/>
          </w:tcPr>
          <w:p w:rsidR="00243AE6" w:rsidRPr="00040A11" w:rsidP="007C3197">
            <w:pPr>
              <w:spacing w:after="0" w:line="240" w:lineRule="auto"/>
              <w:ind w:right="113"/>
              <w:jc w:val="both"/>
              <w:rPr>
                <w:rFonts w:ascii="Times New Roman" w:hAnsi="Times New Roman"/>
                <w:sz w:val="24"/>
                <w:szCs w:val="24"/>
              </w:rPr>
            </w:pPr>
            <w:r w:rsidRPr="00040A11">
              <w:rPr>
                <w:rFonts w:ascii="Times New Roman" w:hAnsi="Times New Roman"/>
                <w:sz w:val="24"/>
                <w:szCs w:val="24"/>
              </w:rPr>
              <w:t>Vērtējot projektu īstenošanas ietekmi uz administratīvajām procedūrām un to izmaksām, nav identificēts administratīvā sloga palielinājums ne potenciālajiem finansējuma saņēmējiem, ne ES fondu vadībā iesaistītajām institūcijām</w:t>
            </w:r>
            <w:r w:rsidRPr="00040A11" w:rsidR="007C3197">
              <w:rPr>
                <w:rFonts w:ascii="Times New Roman" w:hAnsi="Times New Roman"/>
                <w:sz w:val="24"/>
                <w:szCs w:val="24"/>
              </w:rPr>
              <w:t>.</w:t>
            </w:r>
          </w:p>
        </w:tc>
      </w:tr>
      <w:tr w:rsidTr="00CD7C84">
        <w:tblPrEx>
          <w:tblW w:w="9640" w:type="dxa"/>
          <w:tblCellMar>
            <w:left w:w="0" w:type="dxa"/>
            <w:right w:w="0" w:type="dxa"/>
          </w:tblCellMar>
          <w:tblLook w:val="0000"/>
        </w:tblPrEx>
        <w:trPr>
          <w:trHeight w:val="523"/>
        </w:trPr>
        <w:tc>
          <w:tcPr>
            <w:tcW w:w="431" w:type="dxa"/>
            <w:shd w:val="clear" w:color="auto" w:fill="auto"/>
          </w:tcPr>
          <w:p w:rsidR="00243AE6" w:rsidRPr="00CD7C84" w:rsidP="00243AE6">
            <w:pPr>
              <w:pStyle w:val="naiskr"/>
              <w:spacing w:before="0" w:beforeAutospacing="0" w:after="0" w:afterAutospacing="0"/>
              <w:ind w:left="57" w:right="57"/>
            </w:pPr>
            <w:r w:rsidRPr="00CD7C84">
              <w:t>3.</w:t>
            </w:r>
          </w:p>
        </w:tc>
        <w:tc>
          <w:tcPr>
            <w:tcW w:w="2268" w:type="dxa"/>
            <w:shd w:val="clear" w:color="auto" w:fill="auto"/>
          </w:tcPr>
          <w:p w:rsidR="00243AE6" w:rsidRPr="00CD7C84" w:rsidP="00243AE6">
            <w:pPr>
              <w:pStyle w:val="naiskr"/>
              <w:spacing w:before="0" w:beforeAutospacing="0" w:after="0" w:afterAutospacing="0"/>
              <w:ind w:left="57" w:right="57"/>
            </w:pPr>
            <w:r w:rsidRPr="00CD7C84">
              <w:t>Administratīvo izmaksu monetārs novērtējums</w:t>
            </w:r>
          </w:p>
        </w:tc>
        <w:tc>
          <w:tcPr>
            <w:tcW w:w="6941" w:type="dxa"/>
            <w:shd w:val="clear" w:color="auto" w:fill="auto"/>
          </w:tcPr>
          <w:p w:rsidR="00243AE6" w:rsidRPr="00CD7C84" w:rsidP="00285E00">
            <w:pPr>
              <w:spacing w:after="0" w:line="240" w:lineRule="auto"/>
              <w:ind w:left="57" w:right="113"/>
              <w:jc w:val="both"/>
              <w:rPr>
                <w:rFonts w:ascii="Times New Roman" w:hAnsi="Times New Roman"/>
                <w:sz w:val="24"/>
                <w:szCs w:val="24"/>
              </w:rPr>
            </w:pPr>
            <w:r w:rsidRPr="00CD7C84">
              <w:rPr>
                <w:rFonts w:ascii="Times New Roman" w:hAnsi="Times New Roman"/>
                <w:bCs/>
                <w:sz w:val="24"/>
                <w:szCs w:val="24"/>
              </w:rPr>
              <w:t xml:space="preserve">Eiropas Savienības fondu administrēšanas izmaksas plānots segt no </w:t>
            </w:r>
            <w:r w:rsidRPr="00CD7C84">
              <w:rPr>
                <w:rFonts w:ascii="Times New Roman" w:hAnsi="Times New Roman"/>
                <w:sz w:val="24"/>
                <w:szCs w:val="24"/>
              </w:rPr>
              <w:t>Eiropas Savienības struktūrfondu un Kohēzijas fonda 2014.-2020. gada plānošanas perioda</w:t>
            </w:r>
            <w:r w:rsidRPr="00CD7C84">
              <w:rPr>
                <w:rFonts w:ascii="Times New Roman" w:hAnsi="Times New Roman"/>
                <w:bCs/>
                <w:sz w:val="24"/>
                <w:szCs w:val="24"/>
              </w:rPr>
              <w:t xml:space="preserve"> tehniskās palīdzības projekta līdzekļiem.</w:t>
            </w:r>
          </w:p>
        </w:tc>
      </w:tr>
      <w:tr w:rsidTr="00243AE6">
        <w:tblPrEx>
          <w:tblW w:w="9640" w:type="dxa"/>
          <w:tblCellMar>
            <w:left w:w="0" w:type="dxa"/>
            <w:right w:w="0" w:type="dxa"/>
          </w:tblCellMar>
          <w:tblLook w:val="0000"/>
        </w:tblPrEx>
        <w:trPr>
          <w:trHeight w:val="357"/>
        </w:trPr>
        <w:tc>
          <w:tcPr>
            <w:tcW w:w="431" w:type="dxa"/>
          </w:tcPr>
          <w:p w:rsidR="00243AE6" w:rsidRPr="00BF2596" w:rsidP="00243AE6">
            <w:pPr>
              <w:pStyle w:val="naiskr"/>
              <w:spacing w:before="0" w:beforeAutospacing="0" w:after="0" w:afterAutospacing="0"/>
              <w:ind w:left="57" w:right="57"/>
            </w:pPr>
            <w:r w:rsidRPr="00BF2596">
              <w:t>4.</w:t>
            </w:r>
          </w:p>
        </w:tc>
        <w:tc>
          <w:tcPr>
            <w:tcW w:w="2268" w:type="dxa"/>
            <w:shd w:val="clear" w:color="auto" w:fill="auto"/>
          </w:tcPr>
          <w:p w:rsidR="00243AE6" w:rsidRPr="00BF2596" w:rsidP="00243AE6">
            <w:pPr>
              <w:pStyle w:val="naiskr"/>
              <w:spacing w:before="0" w:beforeAutospacing="0" w:after="0" w:afterAutospacing="0"/>
              <w:ind w:left="57" w:right="57"/>
            </w:pPr>
            <w:r w:rsidRPr="00BF2596">
              <w:t>Cita informācija</w:t>
            </w:r>
          </w:p>
        </w:tc>
        <w:tc>
          <w:tcPr>
            <w:tcW w:w="6941" w:type="dxa"/>
            <w:shd w:val="clear" w:color="auto" w:fill="auto"/>
          </w:tcPr>
          <w:p w:rsidR="00243AE6" w:rsidRPr="00BF2596" w:rsidP="00EB7006">
            <w:pPr>
              <w:spacing w:after="0" w:line="240" w:lineRule="auto"/>
              <w:ind w:left="57" w:right="113"/>
              <w:rPr>
                <w:rFonts w:ascii="Times New Roman" w:hAnsi="Times New Roman"/>
                <w:sz w:val="24"/>
                <w:szCs w:val="24"/>
                <w:lang w:eastAsia="lv-LV"/>
              </w:rPr>
            </w:pPr>
            <w:r w:rsidRPr="00BF2596">
              <w:rPr>
                <w:rFonts w:ascii="Times New Roman" w:hAnsi="Times New Roman"/>
                <w:spacing w:val="-2"/>
                <w:sz w:val="24"/>
                <w:szCs w:val="24"/>
              </w:rPr>
              <w:t>Nav</w:t>
            </w:r>
          </w:p>
        </w:tc>
      </w:tr>
    </w:tbl>
    <w:p w:rsidR="00243AE6" w:rsidP="00243AE6">
      <w:pPr>
        <w:spacing w:after="0" w:line="240" w:lineRule="auto"/>
        <w:rPr>
          <w:rFonts w:ascii="Times New Roman" w:hAnsi="Times New Roman"/>
          <w:sz w:val="24"/>
          <w:szCs w:val="24"/>
          <w:highlight w:val="yellow"/>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0"/>
      </w:tblGrid>
      <w:tr w:rsidTr="00243AE6">
        <w:tblPrEx>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1"/>
          <w:jc w:val="center"/>
        </w:trPr>
        <w:tc>
          <w:tcPr>
            <w:tcW w:w="9610" w:type="dxa"/>
            <w:vAlign w:val="center"/>
          </w:tcPr>
          <w:p w:rsidR="00544E4A" w:rsidRPr="00671A71" w:rsidP="00243AE6">
            <w:pPr>
              <w:pStyle w:val="naisnod"/>
              <w:spacing w:before="0" w:beforeAutospacing="0" w:after="0" w:afterAutospacing="0"/>
              <w:jc w:val="center"/>
              <w:rPr>
                <w:b/>
                <w:i/>
              </w:rPr>
            </w:pPr>
            <w:r w:rsidRPr="00671A71">
              <w:br w:type="page"/>
            </w:r>
            <w:r w:rsidRPr="00671A71">
              <w:rPr>
                <w:b/>
              </w:rPr>
              <w:t>III. Tiesību akta projekta ietekme uz valsts budžetu un pašvaldību budžetiem</w:t>
            </w:r>
          </w:p>
        </w:tc>
      </w:tr>
      <w:tr w:rsidTr="00243AE6">
        <w:tblPrEx>
          <w:tblW w:w="9610" w:type="dxa"/>
          <w:jc w:val="center"/>
          <w:tblLook w:val="01E0"/>
        </w:tblPrEx>
        <w:trPr>
          <w:trHeight w:val="361"/>
          <w:jc w:val="center"/>
        </w:trPr>
        <w:tc>
          <w:tcPr>
            <w:tcW w:w="9610" w:type="dxa"/>
            <w:vAlign w:val="center"/>
          </w:tcPr>
          <w:p w:rsidR="00544E4A" w:rsidRPr="00DD4937" w:rsidP="00243AE6">
            <w:pPr>
              <w:pStyle w:val="naisnod"/>
              <w:spacing w:before="0" w:beforeAutospacing="0" w:after="0" w:afterAutospacing="0"/>
              <w:jc w:val="center"/>
            </w:pPr>
            <w:r w:rsidRPr="00DD4937">
              <w:rPr>
                <w:spacing w:val="-4"/>
              </w:rPr>
              <w:t>Projekts šo jomu neskar</w:t>
            </w:r>
          </w:p>
        </w:tc>
      </w:tr>
    </w:tbl>
    <w:p w:rsidR="00544E4A" w:rsidP="00243AE6">
      <w:pPr>
        <w:spacing w:after="0" w:line="240" w:lineRule="auto"/>
        <w:rPr>
          <w:rFonts w:ascii="Times New Roman" w:hAnsi="Times New Roman"/>
          <w:sz w:val="24"/>
          <w:szCs w:val="24"/>
          <w:highlight w:val="yellow"/>
        </w:rPr>
      </w:pPr>
    </w:p>
    <w:p w:rsidR="00544E4A" w:rsidRPr="00C775C5" w:rsidP="00243AE6">
      <w:pPr>
        <w:spacing w:after="0" w:line="240" w:lineRule="auto"/>
        <w:rPr>
          <w:rFonts w:ascii="Times New Roman" w:hAnsi="Times New Roman"/>
          <w:sz w:val="24"/>
          <w:szCs w:val="24"/>
          <w:highlight w:val="yellow"/>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9"/>
      </w:tblGrid>
      <w:tr w:rsidTr="00243AE6">
        <w:tblPrEx>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1"/>
          <w:jc w:val="center"/>
        </w:trPr>
        <w:tc>
          <w:tcPr>
            <w:tcW w:w="9659" w:type="dxa"/>
            <w:vAlign w:val="center"/>
          </w:tcPr>
          <w:p w:rsidR="00243AE6" w:rsidRPr="00D225E9" w:rsidP="00243AE6">
            <w:pPr>
              <w:pStyle w:val="naisnod"/>
              <w:spacing w:before="0" w:beforeAutospacing="0" w:after="0" w:afterAutospacing="0"/>
              <w:jc w:val="center"/>
              <w:rPr>
                <w:b/>
                <w:highlight w:val="yellow"/>
              </w:rPr>
            </w:pPr>
            <w:r w:rsidRPr="004C385B">
              <w:br w:type="page"/>
            </w:r>
            <w:r w:rsidRPr="00DF44A6">
              <w:rPr>
                <w:b/>
              </w:rPr>
              <w:t>IV. Tiesību akta projekta ietekme uz spēkā esošo tiesību normu sistēmu</w:t>
            </w:r>
          </w:p>
        </w:tc>
      </w:tr>
      <w:tr w:rsidTr="00243AE6">
        <w:tblPrEx>
          <w:tblW w:w="9659" w:type="dxa"/>
          <w:jc w:val="center"/>
          <w:tblLook w:val="01E0"/>
        </w:tblPrEx>
        <w:trPr>
          <w:trHeight w:val="251"/>
          <w:jc w:val="center"/>
        </w:trPr>
        <w:tc>
          <w:tcPr>
            <w:tcW w:w="9659" w:type="dxa"/>
            <w:vAlign w:val="center"/>
          </w:tcPr>
          <w:p w:rsidR="00DF44A6" w:rsidRPr="004C385B" w:rsidP="00243AE6">
            <w:pPr>
              <w:pStyle w:val="naisnod"/>
              <w:spacing w:before="0" w:beforeAutospacing="0" w:after="0" w:afterAutospacing="0"/>
              <w:jc w:val="center"/>
            </w:pPr>
            <w:r w:rsidRPr="00DD4937">
              <w:rPr>
                <w:spacing w:val="-4"/>
              </w:rPr>
              <w:t>Projekts šo jomu neskar</w:t>
            </w:r>
          </w:p>
        </w:tc>
      </w:tr>
    </w:tbl>
    <w:p w:rsidR="00243AE6" w:rsidP="00243AE6">
      <w:pPr>
        <w:spacing w:after="0" w:line="240" w:lineRule="auto"/>
        <w:rPr>
          <w:rFonts w:ascii="Times New Roman" w:hAnsi="Times New Roman"/>
          <w:sz w:val="24"/>
          <w:szCs w:val="24"/>
          <w:highlight w:val="yellow"/>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9"/>
        <w:gridCol w:w="2149"/>
        <w:gridCol w:w="2268"/>
        <w:gridCol w:w="715"/>
        <w:gridCol w:w="1664"/>
        <w:gridCol w:w="2292"/>
      </w:tblGrid>
      <w:tr w:rsidTr="00243AE6">
        <w:tblPrEx>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78"/>
          <w:jc w:val="center"/>
        </w:trPr>
        <w:tc>
          <w:tcPr>
            <w:tcW w:w="96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2404" w:rsidRPr="00DF44A6" w:rsidP="00243AE6">
            <w:pPr>
              <w:spacing w:after="0" w:line="240" w:lineRule="auto"/>
              <w:jc w:val="center"/>
              <w:rPr>
                <w:rFonts w:ascii="Times New Roman" w:hAnsi="Times New Roman"/>
                <w:b/>
                <w:sz w:val="24"/>
                <w:szCs w:val="24"/>
              </w:rPr>
            </w:pPr>
            <w:r w:rsidRPr="00DF44A6">
              <w:rPr>
                <w:rFonts w:ascii="Times New Roman" w:hAnsi="Times New Roman"/>
                <w:b/>
                <w:sz w:val="24"/>
                <w:szCs w:val="24"/>
              </w:rPr>
              <w:t>V. Tiesību akta projekta atbilstība Latvijas Republikas starptautiskajām saistībām</w:t>
            </w: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39" w:type="dxa"/>
            <w:tcBorders>
              <w:top w:val="outset" w:sz="6" w:space="0" w:color="auto"/>
              <w:left w:val="outset" w:sz="6" w:space="0" w:color="auto"/>
              <w:bottom w:val="outset" w:sz="6" w:space="0" w:color="auto"/>
              <w:right w:val="outset" w:sz="6" w:space="0" w:color="auto"/>
            </w:tcBorders>
          </w:tcPr>
          <w:p w:rsidR="00492404" w:rsidRPr="000C66EC" w:rsidP="00243AE6">
            <w:pPr>
              <w:spacing w:after="0" w:line="240" w:lineRule="auto"/>
              <w:rPr>
                <w:rFonts w:ascii="Times New Roman" w:hAnsi="Times New Roman"/>
                <w:sz w:val="24"/>
                <w:szCs w:val="24"/>
              </w:rPr>
            </w:pPr>
            <w:r w:rsidRPr="000C66EC">
              <w:rPr>
                <w:rFonts w:ascii="Times New Roman" w:hAnsi="Times New Roman"/>
                <w:sz w:val="24"/>
                <w:szCs w:val="24"/>
              </w:rPr>
              <w:t>1.</w:t>
            </w:r>
          </w:p>
        </w:tc>
        <w:tc>
          <w:tcPr>
            <w:tcW w:w="2149" w:type="dxa"/>
            <w:tcBorders>
              <w:top w:val="outset" w:sz="6" w:space="0" w:color="auto"/>
              <w:left w:val="outset" w:sz="6" w:space="0" w:color="auto"/>
              <w:bottom w:val="outset" w:sz="6" w:space="0" w:color="auto"/>
              <w:right w:val="outset" w:sz="6" w:space="0" w:color="auto"/>
            </w:tcBorders>
            <w:shd w:val="clear" w:color="auto" w:fill="auto"/>
          </w:tcPr>
          <w:p w:rsidR="00492404" w:rsidRPr="000C66EC" w:rsidP="00243AE6">
            <w:pPr>
              <w:spacing w:after="0" w:line="240" w:lineRule="auto"/>
              <w:rPr>
                <w:rFonts w:ascii="Times New Roman" w:hAnsi="Times New Roman"/>
                <w:sz w:val="24"/>
                <w:szCs w:val="24"/>
              </w:rPr>
            </w:pPr>
            <w:r w:rsidRPr="000C66EC">
              <w:rPr>
                <w:rFonts w:ascii="Times New Roman" w:hAnsi="Times New Roman"/>
                <w:sz w:val="24"/>
                <w:szCs w:val="24"/>
              </w:rPr>
              <w:t>Saistības pret Eiropas Savienību</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492404" w:rsidRPr="00A35B58" w:rsidP="00243AE6">
            <w:pPr>
              <w:spacing w:after="0" w:line="240" w:lineRule="auto"/>
              <w:ind w:left="57" w:right="113"/>
              <w:rPr>
                <w:rFonts w:ascii="Times New Roman" w:hAnsi="Times New Roman"/>
                <w:sz w:val="24"/>
                <w:szCs w:val="24"/>
              </w:rPr>
            </w:pPr>
            <w:r w:rsidRPr="00A35B58">
              <w:rPr>
                <w:rFonts w:ascii="Times New Roman" w:hAnsi="Times New Roman"/>
                <w:sz w:val="24"/>
                <w:szCs w:val="24"/>
              </w:rPr>
              <w:t>Komisijas regula Nr. </w:t>
            </w:r>
            <w:r>
              <w:fldChar w:fldCharType="begin"/>
            </w:r>
            <w:r>
              <w:instrText xml:space="preserve"> HYPERLINK "http://eur-lex.europa.eu/eli/reg/2014/651/oj/?locale=LV" \t "_blank" </w:instrText>
            </w:r>
            <w:r>
              <w:fldChar w:fldCharType="separate"/>
            </w:r>
            <w:r w:rsidRPr="00A35B58">
              <w:rPr>
                <w:rFonts w:ascii="Times New Roman" w:hAnsi="Times New Roman"/>
                <w:sz w:val="24"/>
                <w:szCs w:val="24"/>
              </w:rPr>
              <w:t>651/2014</w:t>
            </w:r>
            <w:r>
              <w:fldChar w:fldCharType="end"/>
            </w:r>
          </w:p>
          <w:p w:rsidR="007D119B" w:rsidRPr="00A35B58" w:rsidP="00243AE6">
            <w:pPr>
              <w:spacing w:after="0" w:line="240" w:lineRule="auto"/>
              <w:ind w:left="57" w:right="113"/>
              <w:rPr>
                <w:rFonts w:ascii="Times New Roman" w:hAnsi="Times New Roman"/>
                <w:sz w:val="24"/>
                <w:szCs w:val="24"/>
              </w:rPr>
            </w:pPr>
            <w:r w:rsidRPr="00A35B58">
              <w:rPr>
                <w:rFonts w:ascii="Times New Roman" w:hAnsi="Times New Roman"/>
                <w:sz w:val="24"/>
                <w:szCs w:val="24"/>
              </w:rPr>
              <w:t>Komisijas regula Nr. 2017/1084</w:t>
            </w: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39" w:type="dxa"/>
            <w:tcBorders>
              <w:top w:val="outset" w:sz="6" w:space="0" w:color="auto"/>
              <w:left w:val="outset" w:sz="6" w:space="0" w:color="auto"/>
              <w:bottom w:val="outset" w:sz="6" w:space="0" w:color="auto"/>
              <w:right w:val="outset" w:sz="6" w:space="0" w:color="auto"/>
            </w:tcBorders>
          </w:tcPr>
          <w:p w:rsidR="00492404" w:rsidRPr="000C66EC" w:rsidP="00243AE6">
            <w:pPr>
              <w:spacing w:after="0" w:line="240" w:lineRule="auto"/>
              <w:rPr>
                <w:rFonts w:ascii="Times New Roman" w:hAnsi="Times New Roman"/>
                <w:sz w:val="24"/>
                <w:szCs w:val="24"/>
              </w:rPr>
            </w:pPr>
            <w:r w:rsidRPr="000C66EC">
              <w:rPr>
                <w:rFonts w:ascii="Times New Roman" w:hAnsi="Times New Roman"/>
                <w:sz w:val="24"/>
                <w:szCs w:val="24"/>
              </w:rPr>
              <w:t>2.</w:t>
            </w:r>
          </w:p>
        </w:tc>
        <w:tc>
          <w:tcPr>
            <w:tcW w:w="2149" w:type="dxa"/>
            <w:tcBorders>
              <w:top w:val="outset" w:sz="6" w:space="0" w:color="auto"/>
              <w:left w:val="outset" w:sz="6" w:space="0" w:color="auto"/>
              <w:bottom w:val="outset" w:sz="6" w:space="0" w:color="auto"/>
              <w:right w:val="outset" w:sz="6" w:space="0" w:color="auto"/>
            </w:tcBorders>
            <w:shd w:val="clear" w:color="auto" w:fill="auto"/>
          </w:tcPr>
          <w:p w:rsidR="00492404" w:rsidRPr="000C66EC" w:rsidP="00243AE6">
            <w:pPr>
              <w:spacing w:after="0" w:line="240" w:lineRule="auto"/>
              <w:rPr>
                <w:rFonts w:ascii="Times New Roman" w:hAnsi="Times New Roman"/>
                <w:sz w:val="24"/>
                <w:szCs w:val="24"/>
              </w:rPr>
            </w:pPr>
            <w:r w:rsidRPr="000C66EC">
              <w:rPr>
                <w:rFonts w:ascii="Times New Roman" w:hAnsi="Times New Roman"/>
                <w:sz w:val="24"/>
                <w:szCs w:val="24"/>
              </w:rPr>
              <w:t>Citas starptautiskās saistības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492404" w:rsidRPr="00A35B58" w:rsidP="00243AE6">
            <w:pPr>
              <w:spacing w:after="0" w:line="240" w:lineRule="auto"/>
              <w:ind w:left="57" w:right="113"/>
              <w:jc w:val="both"/>
              <w:rPr>
                <w:rFonts w:ascii="Times New Roman" w:hAnsi="Times New Roman"/>
                <w:sz w:val="24"/>
                <w:szCs w:val="24"/>
              </w:rPr>
            </w:pPr>
            <w:r w:rsidRPr="00A35B58">
              <w:rPr>
                <w:rFonts w:ascii="Times New Roman" w:hAnsi="Times New Roman"/>
                <w:sz w:val="24"/>
                <w:szCs w:val="24"/>
              </w:rPr>
              <w:t>Projekts šo jomu neskar.</w:t>
            </w: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39" w:type="dxa"/>
            <w:tcBorders>
              <w:top w:val="outset" w:sz="6" w:space="0" w:color="auto"/>
              <w:left w:val="outset" w:sz="6" w:space="0" w:color="auto"/>
              <w:bottom w:val="outset" w:sz="6" w:space="0" w:color="auto"/>
              <w:right w:val="outset" w:sz="6" w:space="0" w:color="auto"/>
            </w:tcBorders>
          </w:tcPr>
          <w:p w:rsidR="00492404" w:rsidRPr="000C66EC" w:rsidP="00243AE6">
            <w:pPr>
              <w:spacing w:after="0" w:line="240" w:lineRule="auto"/>
              <w:rPr>
                <w:rFonts w:ascii="Times New Roman" w:hAnsi="Times New Roman"/>
                <w:sz w:val="24"/>
                <w:szCs w:val="24"/>
              </w:rPr>
            </w:pPr>
            <w:r w:rsidRPr="000C66EC">
              <w:rPr>
                <w:rFonts w:ascii="Times New Roman" w:hAnsi="Times New Roman"/>
                <w:sz w:val="24"/>
                <w:szCs w:val="24"/>
              </w:rPr>
              <w:t>3.</w:t>
            </w:r>
          </w:p>
        </w:tc>
        <w:tc>
          <w:tcPr>
            <w:tcW w:w="2149" w:type="dxa"/>
            <w:tcBorders>
              <w:top w:val="outset" w:sz="6" w:space="0" w:color="auto"/>
              <w:left w:val="outset" w:sz="6" w:space="0" w:color="auto"/>
              <w:bottom w:val="outset" w:sz="6" w:space="0" w:color="auto"/>
              <w:right w:val="outset" w:sz="6" w:space="0" w:color="auto"/>
            </w:tcBorders>
            <w:shd w:val="clear" w:color="auto" w:fill="auto"/>
          </w:tcPr>
          <w:p w:rsidR="00492404" w:rsidRPr="000C66EC" w:rsidP="00243AE6">
            <w:pPr>
              <w:spacing w:after="0" w:line="240" w:lineRule="auto"/>
              <w:rPr>
                <w:rFonts w:ascii="Times New Roman" w:hAnsi="Times New Roman"/>
                <w:sz w:val="24"/>
                <w:szCs w:val="24"/>
              </w:rPr>
            </w:pPr>
            <w:r w:rsidRPr="000C66EC">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1E3ACD" w:rsidRPr="006C3EB9" w:rsidP="000B1B35">
            <w:pPr>
              <w:spacing w:after="0" w:line="240" w:lineRule="auto"/>
              <w:ind w:left="57" w:right="113"/>
              <w:jc w:val="both"/>
              <w:rPr>
                <w:rFonts w:ascii="Times New Roman" w:hAnsi="Times New Roman"/>
                <w:sz w:val="24"/>
                <w:szCs w:val="24"/>
                <w:shd w:val="clear" w:color="auto" w:fill="FFFFFF"/>
              </w:rPr>
            </w:pPr>
            <w:r w:rsidRPr="006C3EB9">
              <w:rPr>
                <w:rFonts w:ascii="Times New Roman" w:hAnsi="Times New Roman"/>
                <w:sz w:val="24"/>
                <w:szCs w:val="24"/>
              </w:rPr>
              <w:t xml:space="preserve">Komisijas regulas Nr. 651/2014 13. panta b) apakšpunkts, 16. pants un 17. pants ir izteikts ar Komisijas regulu Nr. 2017/1084. </w:t>
            </w:r>
            <w:r w:rsidRPr="00A35B58">
              <w:rPr>
                <w:rFonts w:ascii="Times New Roman" w:hAnsi="Times New Roman"/>
                <w:sz w:val="24"/>
                <w:szCs w:val="24"/>
              </w:rPr>
              <w:t>Komisijas regulas Nr. </w:t>
            </w:r>
            <w:r>
              <w:fldChar w:fldCharType="begin"/>
            </w:r>
            <w:r>
              <w:instrText xml:space="preserve"> HYPERLINK "http://eur-lex.europa.eu/eli/reg/2014/651/oj/?locale=LV" \t "_blank" </w:instrText>
            </w:r>
            <w:r>
              <w:fldChar w:fldCharType="separate"/>
            </w:r>
            <w:r w:rsidRPr="00A35B58">
              <w:rPr>
                <w:rFonts w:ascii="Times New Roman" w:hAnsi="Times New Roman"/>
                <w:sz w:val="24"/>
                <w:szCs w:val="24"/>
              </w:rPr>
              <w:t>651/2014</w:t>
            </w:r>
            <w:r>
              <w:fldChar w:fldCharType="end"/>
            </w:r>
            <w:r w:rsidRPr="00A35B58">
              <w:rPr>
                <w:rFonts w:ascii="Times New Roman" w:hAnsi="Times New Roman"/>
                <w:sz w:val="24"/>
                <w:szCs w:val="24"/>
              </w:rPr>
              <w:t xml:space="preserve"> </w:t>
            </w:r>
            <w:r w:rsidRPr="00A35B58">
              <w:rPr>
                <w:rFonts w:ascii="Times New Roman" w:hAnsi="Times New Roman"/>
                <w:sz w:val="24"/>
                <w:szCs w:val="24"/>
                <w:shd w:val="clear" w:color="auto" w:fill="FFFFFF"/>
              </w:rPr>
              <w:t xml:space="preserve">14. pants tika ieviests pilnībā, kad </w:t>
            </w:r>
            <w:r w:rsidRPr="00A35B58">
              <w:rPr>
                <w:rFonts w:ascii="Times New Roman" w:hAnsi="Times New Roman"/>
                <w:sz w:val="24"/>
                <w:szCs w:val="24"/>
              </w:rPr>
              <w:t xml:space="preserve">2015. gada 13. oktobrī </w:t>
            </w:r>
            <w:r w:rsidRPr="00A35B58">
              <w:rPr>
                <w:rFonts w:ascii="Times New Roman" w:hAnsi="Times New Roman"/>
                <w:sz w:val="24"/>
                <w:szCs w:val="24"/>
                <w:shd w:val="clear" w:color="auto" w:fill="FFFFFF"/>
              </w:rPr>
              <w:t>tika apstiprināti MK noteikumi Nr. 593.</w:t>
            </w:r>
          </w:p>
          <w:p w:rsidR="00492404" w:rsidRPr="00A35B58" w:rsidP="001E3ACD">
            <w:pPr>
              <w:spacing w:after="0" w:line="240" w:lineRule="auto"/>
              <w:ind w:left="57" w:right="113"/>
              <w:jc w:val="both"/>
              <w:rPr>
                <w:rFonts w:ascii="Times New Roman" w:hAnsi="Times New Roman"/>
                <w:sz w:val="24"/>
                <w:szCs w:val="24"/>
              </w:rPr>
            </w:pPr>
            <w:r w:rsidRPr="006C3EB9">
              <w:rPr>
                <w:rFonts w:ascii="Times New Roman" w:hAnsi="Times New Roman"/>
                <w:sz w:val="24"/>
                <w:szCs w:val="24"/>
              </w:rPr>
              <w:t>Eiropas Parlamenta un Padomes regula</w:t>
            </w:r>
            <w:r w:rsidR="00F260A7">
              <w:rPr>
                <w:rFonts w:ascii="Times New Roman" w:hAnsi="Times New Roman"/>
                <w:sz w:val="24"/>
                <w:szCs w:val="24"/>
              </w:rPr>
              <w:t>s</w:t>
            </w:r>
            <w:r w:rsidRPr="006C3EB9">
              <w:rPr>
                <w:rFonts w:ascii="Times New Roman" w:hAnsi="Times New Roman"/>
                <w:sz w:val="24"/>
                <w:szCs w:val="24"/>
              </w:rPr>
              <w:t xml:space="preserve"> Nr. 508/2014 10. panta 1. un 3. punkta un 11. panta normas netiks ieviestas ar šo MK noteikumu projektu. Eiropas Parlamenta un Padomes regulas Nr. 508/2014 normas netiek ieviestas ar VARAM kompetencē esošajiem investīciju jautājumus reglamentējošiem normatīvajiem aktiem.</w:t>
            </w: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trHeight w:val="390"/>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492404" w:rsidRPr="00A35B58" w:rsidP="000C66EC">
            <w:pPr>
              <w:spacing w:after="0" w:line="240" w:lineRule="auto"/>
              <w:jc w:val="center"/>
              <w:rPr>
                <w:rFonts w:ascii="Times New Roman" w:hAnsi="Times New Roman"/>
                <w:b/>
                <w:sz w:val="24"/>
                <w:szCs w:val="24"/>
              </w:rPr>
            </w:pPr>
            <w:r w:rsidRPr="00A35B58">
              <w:rPr>
                <w:rFonts w:ascii="Times New Roman" w:hAnsi="Times New Roman"/>
                <w:b/>
                <w:sz w:val="24"/>
                <w:szCs w:val="24"/>
              </w:rPr>
              <w:t>1. tabula</w:t>
            </w:r>
          </w:p>
          <w:p w:rsidR="00492404" w:rsidRPr="00A35B58" w:rsidP="000C66EC">
            <w:pPr>
              <w:spacing w:after="0" w:line="240" w:lineRule="auto"/>
              <w:jc w:val="center"/>
              <w:rPr>
                <w:rFonts w:ascii="Times New Roman" w:hAnsi="Times New Roman"/>
                <w:b/>
                <w:sz w:val="24"/>
                <w:szCs w:val="24"/>
              </w:rPr>
            </w:pPr>
            <w:r w:rsidRPr="00A35B58">
              <w:rPr>
                <w:rFonts w:ascii="Times New Roman" w:hAnsi="Times New Roman"/>
                <w:b/>
                <w:sz w:val="24"/>
                <w:szCs w:val="24"/>
              </w:rPr>
              <w:t>Tiesību akta projekta atbilstība ES tiesību aktiem</w:t>
            </w: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492404" w:rsidRPr="000C66EC" w:rsidP="00243AE6">
            <w:pPr>
              <w:spacing w:after="0" w:line="240" w:lineRule="auto"/>
              <w:rPr>
                <w:rFonts w:ascii="Times New Roman" w:hAnsi="Times New Roman"/>
                <w:spacing w:val="-4"/>
                <w:sz w:val="24"/>
                <w:szCs w:val="24"/>
              </w:rPr>
            </w:pPr>
            <w:r w:rsidRPr="000C66EC">
              <w:rPr>
                <w:rFonts w:ascii="Times New Roman" w:hAnsi="Times New Roman"/>
                <w:spacing w:val="-4"/>
                <w:sz w:val="24"/>
                <w:szCs w:val="24"/>
              </w:rPr>
              <w:t>Attiecīgā ES tiesību akta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492404" w:rsidRPr="00A35B58" w:rsidP="00243AE6">
            <w:pPr>
              <w:spacing w:after="0" w:line="240" w:lineRule="auto"/>
              <w:rPr>
                <w:rFonts w:ascii="Times New Roman" w:hAnsi="Times New Roman"/>
                <w:sz w:val="24"/>
                <w:szCs w:val="24"/>
              </w:rPr>
            </w:pPr>
            <w:r w:rsidRPr="00A35B58">
              <w:rPr>
                <w:rFonts w:ascii="Times New Roman" w:hAnsi="Times New Roman"/>
                <w:sz w:val="24"/>
                <w:szCs w:val="24"/>
              </w:rPr>
              <w:t>Komisijas regula Nr. </w:t>
            </w:r>
            <w:r>
              <w:fldChar w:fldCharType="begin"/>
            </w:r>
            <w:r>
              <w:instrText xml:space="preserve"> HYPERLINK "http://eur-lex.europa.eu/eli/reg/2014/651/oj/?locale=LV" \t "_blank" </w:instrText>
            </w:r>
            <w:r>
              <w:fldChar w:fldCharType="separate"/>
            </w:r>
            <w:r w:rsidRPr="00A35B58">
              <w:rPr>
                <w:rFonts w:ascii="Times New Roman" w:hAnsi="Times New Roman"/>
                <w:sz w:val="24"/>
                <w:szCs w:val="24"/>
              </w:rPr>
              <w:t>651/2014</w:t>
            </w:r>
            <w:r>
              <w:fldChar w:fldCharType="end"/>
            </w:r>
            <w:r w:rsidRPr="00A35B58">
              <w:rPr>
                <w:rFonts w:ascii="Times New Roman" w:hAnsi="Times New Roman"/>
                <w:sz w:val="24"/>
                <w:szCs w:val="24"/>
              </w:rPr>
              <w:t xml:space="preserve">  </w:t>
            </w:r>
          </w:p>
          <w:p w:rsidR="007D119B" w:rsidRPr="00A35B58" w:rsidP="00243AE6">
            <w:pPr>
              <w:spacing w:after="0" w:line="240" w:lineRule="auto"/>
              <w:rPr>
                <w:rFonts w:ascii="Times New Roman" w:hAnsi="Times New Roman"/>
                <w:b/>
                <w:spacing w:val="-4"/>
                <w:sz w:val="24"/>
                <w:szCs w:val="24"/>
              </w:rPr>
            </w:pP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92404" w:rsidRPr="000C66EC" w:rsidP="00A960B1">
            <w:pPr>
              <w:spacing w:after="0" w:line="240" w:lineRule="auto"/>
              <w:jc w:val="center"/>
              <w:rPr>
                <w:rFonts w:ascii="Times New Roman" w:hAnsi="Times New Roman"/>
                <w:sz w:val="24"/>
                <w:szCs w:val="24"/>
              </w:rPr>
            </w:pPr>
            <w:r w:rsidRPr="000C66EC">
              <w:rPr>
                <w:rFonts w:ascii="Times New Roman" w:hAnsi="Times New Roman"/>
                <w:sz w:val="24"/>
                <w:szCs w:val="24"/>
              </w:rPr>
              <w: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rsidR="00492404" w:rsidRPr="000C66EC" w:rsidP="00A960B1">
            <w:pPr>
              <w:spacing w:after="0" w:line="240" w:lineRule="auto"/>
              <w:jc w:val="center"/>
              <w:rPr>
                <w:rFonts w:ascii="Times New Roman" w:hAnsi="Times New Roman"/>
                <w:sz w:val="24"/>
                <w:szCs w:val="24"/>
              </w:rPr>
            </w:pPr>
            <w:r w:rsidRPr="000C66EC">
              <w:rPr>
                <w:rFonts w:ascii="Times New Roman" w:hAnsi="Times New Roman"/>
                <w:sz w:val="24"/>
                <w:szCs w:val="24"/>
              </w:rPr>
              <w:t>B</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92404" w:rsidRPr="000C66EC" w:rsidP="00A960B1">
            <w:pPr>
              <w:spacing w:after="0" w:line="240" w:lineRule="auto"/>
              <w:jc w:val="center"/>
              <w:rPr>
                <w:rFonts w:ascii="Times New Roman" w:hAnsi="Times New Roman"/>
                <w:sz w:val="24"/>
                <w:szCs w:val="24"/>
              </w:rPr>
            </w:pPr>
            <w:r w:rsidRPr="000C66EC">
              <w:rPr>
                <w:rFonts w:ascii="Times New Roman" w:hAnsi="Times New Roman"/>
                <w:sz w:val="24"/>
                <w:szCs w:val="24"/>
              </w:rPr>
              <w:t>C</w:t>
            </w:r>
          </w:p>
        </w:tc>
        <w:tc>
          <w:tcPr>
            <w:tcW w:w="2292" w:type="dxa"/>
            <w:tcBorders>
              <w:top w:val="outset" w:sz="6" w:space="0" w:color="auto"/>
              <w:left w:val="outset" w:sz="6" w:space="0" w:color="auto"/>
              <w:bottom w:val="outset" w:sz="6" w:space="0" w:color="auto"/>
              <w:right w:val="outset" w:sz="6" w:space="0" w:color="auto"/>
            </w:tcBorders>
            <w:shd w:val="clear" w:color="auto" w:fill="auto"/>
            <w:vAlign w:val="center"/>
          </w:tcPr>
          <w:p w:rsidR="00492404" w:rsidRPr="000C66EC" w:rsidP="00A960B1">
            <w:pPr>
              <w:spacing w:after="0" w:line="240" w:lineRule="auto"/>
              <w:jc w:val="center"/>
              <w:rPr>
                <w:rFonts w:ascii="Times New Roman" w:hAnsi="Times New Roman"/>
                <w:sz w:val="24"/>
                <w:szCs w:val="24"/>
              </w:rPr>
            </w:pPr>
            <w:r w:rsidRPr="000C66EC">
              <w:rPr>
                <w:rFonts w:ascii="Times New Roman" w:hAnsi="Times New Roman"/>
                <w:sz w:val="24"/>
                <w:szCs w:val="24"/>
              </w:rPr>
              <w:t>D</w:t>
            </w: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492404" w:rsidRPr="000C66EC" w:rsidP="00243AE6">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Attiecīgā ES tiesību akta panta numurs (uzskaitot katru tiesību akta vienību – pantu, daļu, punktu, apakšpunktu)</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492404" w:rsidRPr="000C66EC" w:rsidP="00243AE6">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Projekta vienība, kas pārņem vai ievieš katru šīs tabulas A ailē minēto ES tiesību akta vienību, vai tiesību akts, kur attiecīgā ES tiesību akta vienība pārņemta vai ieviesta</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492404" w:rsidRPr="000C66EC" w:rsidP="00243AE6">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Informācija par to, vai šīs tabulas A ailē minētās ES tiesību akta vienības tiek pārņemtas vai ieviestas pilnībā vai daļēji.</w:t>
            </w:r>
          </w:p>
          <w:p w:rsidR="00492404" w:rsidRPr="000C66EC" w:rsidP="00243AE6">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Ja attiecīgā ES tiesību akta vienība tiek pārņemta vai ieviesta daļēji, sniedz attiecīgu skaidrojumu, kā arī precīzi norāda, kad un kādā veidā ES tiesību akta vienība tiks pārņemta vai ieviesta pilnībā.</w:t>
            </w:r>
          </w:p>
          <w:p w:rsidR="00492404" w:rsidRPr="000C66EC" w:rsidP="00243AE6">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Norāda institūciju, kas ir atbildīga par šo saistību izpildi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492404" w:rsidRPr="000C66EC" w:rsidP="00243AE6">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Informācija par to, vai šīs tabulas B ailē minētās projekta vienības paredz stingrākas prasības nekā šīs tabulas A ailē minētās ES tiesību akta vienības.</w:t>
            </w:r>
          </w:p>
          <w:p w:rsidR="00492404" w:rsidRPr="000C66EC" w:rsidP="00243AE6">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Ja projekts satur stingrākas prasības nekā attiecīgais ES tiesību akts, norāda pamatojumu un samērīgumu.</w:t>
            </w:r>
          </w:p>
          <w:p w:rsidR="00492404" w:rsidRPr="000C66EC" w:rsidP="00243AE6">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Norāda iespējamās alternatīvas (t. sk. alternatīvas, kas neparedz tiesiskā regulējuma izstrādi) – kādos gadījumos būtu iespējams izvairīties no stingrāku prasību noteikšanas, nekā paredzēts attiecīgajos ES tiesību aktos</w:t>
            </w: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7D119B" w:rsidRPr="00B066B5" w:rsidP="007D119B">
            <w:pPr>
              <w:spacing w:after="0" w:line="240" w:lineRule="auto"/>
              <w:ind w:left="57" w:right="113"/>
              <w:rPr>
                <w:rFonts w:ascii="Times New Roman" w:hAnsi="Times New Roman"/>
                <w:sz w:val="24"/>
                <w:szCs w:val="24"/>
              </w:rPr>
            </w:pPr>
            <w:r w:rsidRPr="00B066B5">
              <w:rPr>
                <w:rFonts w:ascii="Times New Roman" w:hAnsi="Times New Roman"/>
                <w:sz w:val="24"/>
                <w:szCs w:val="24"/>
              </w:rPr>
              <w:t>Komisijas regulas Nr.</w:t>
            </w:r>
            <w:r>
              <w:fldChar w:fldCharType="begin"/>
            </w:r>
            <w:r>
              <w:instrText xml:space="preserve"> HYPERLINK "http://eur-lex.europa.eu/eli/reg/2014/651/oj/?locale=LV" \t "_blank" </w:instrText>
            </w:r>
            <w:r>
              <w:fldChar w:fldCharType="separate"/>
            </w:r>
            <w:r w:rsidRPr="00B066B5">
              <w:rPr>
                <w:rFonts w:ascii="Times New Roman" w:hAnsi="Times New Roman"/>
                <w:sz w:val="24"/>
                <w:szCs w:val="24"/>
              </w:rPr>
              <w:t>651/2014</w:t>
            </w:r>
            <w:r>
              <w:fldChar w:fldCharType="end"/>
            </w:r>
            <w:r w:rsidRPr="00B066B5">
              <w:rPr>
                <w:rFonts w:ascii="Times New Roman" w:hAnsi="Times New Roman"/>
                <w:sz w:val="24"/>
                <w:szCs w:val="24"/>
              </w:rPr>
              <w:t> 13. panta b) apakšpunktu</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7D119B" w:rsidRPr="00B066B5" w:rsidP="00B066B5">
            <w:pPr>
              <w:spacing w:after="0" w:line="240" w:lineRule="auto"/>
              <w:ind w:left="57" w:right="113"/>
              <w:rPr>
                <w:rFonts w:ascii="Times New Roman" w:hAnsi="Times New Roman"/>
                <w:sz w:val="24"/>
                <w:szCs w:val="24"/>
              </w:rPr>
            </w:pPr>
            <w:r w:rsidRPr="00B066B5">
              <w:rPr>
                <w:rFonts w:ascii="Times New Roman" w:hAnsi="Times New Roman"/>
                <w:sz w:val="24"/>
                <w:szCs w:val="24"/>
              </w:rPr>
              <w:t xml:space="preserve">MK noteikumu projekta </w:t>
            </w:r>
            <w:r w:rsidRPr="00B066B5" w:rsidR="00B066B5">
              <w:rPr>
                <w:rFonts w:ascii="Times New Roman" w:hAnsi="Times New Roman"/>
                <w:sz w:val="24"/>
                <w:szCs w:val="24"/>
              </w:rPr>
              <w:t>2</w:t>
            </w:r>
            <w:r w:rsidRPr="00B066B5">
              <w:rPr>
                <w:rFonts w:ascii="Times New Roman" w:hAnsi="Times New Roman"/>
                <w:sz w:val="24"/>
                <w:szCs w:val="24"/>
              </w:rPr>
              <w:t>.</w:t>
            </w:r>
            <w:r w:rsidRPr="00B066B5" w:rsidR="00C93386">
              <w:rPr>
                <w:rFonts w:ascii="Times New Roman" w:hAnsi="Times New Roman"/>
                <w:sz w:val="24"/>
                <w:szCs w:val="24"/>
              </w:rPr>
              <w:t> </w:t>
            </w:r>
            <w:r w:rsidRPr="00B066B5">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7D119B" w:rsidRPr="00B066B5" w:rsidP="007D119B">
            <w:pPr>
              <w:spacing w:after="0" w:line="240" w:lineRule="auto"/>
              <w:ind w:left="57" w:right="113"/>
              <w:rPr>
                <w:rFonts w:ascii="Times New Roman" w:hAnsi="Times New Roman"/>
                <w:sz w:val="24"/>
                <w:szCs w:val="24"/>
              </w:rPr>
            </w:pPr>
            <w:r w:rsidRPr="00B066B5">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7D119B" w:rsidRPr="00B066B5" w:rsidP="007D119B">
            <w:pPr>
              <w:spacing w:after="0" w:line="240" w:lineRule="auto"/>
              <w:ind w:left="57" w:right="113"/>
              <w:rPr>
                <w:rFonts w:ascii="Times New Roman" w:hAnsi="Times New Roman"/>
                <w:sz w:val="24"/>
                <w:szCs w:val="24"/>
              </w:rPr>
            </w:pPr>
            <w:r w:rsidRPr="00B066B5">
              <w:rPr>
                <w:rFonts w:ascii="Times New Roman" w:hAnsi="Times New Roman"/>
                <w:sz w:val="24"/>
                <w:szCs w:val="24"/>
              </w:rPr>
              <w:t>Netiek paredzētas stingrākas prasības</w:t>
            </w: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7D119B" w:rsidRPr="00B066B5" w:rsidP="007D119B">
            <w:pPr>
              <w:spacing w:after="0" w:line="240" w:lineRule="auto"/>
              <w:ind w:left="57" w:right="113"/>
              <w:rPr>
                <w:rFonts w:ascii="Times New Roman" w:hAnsi="Times New Roman"/>
                <w:sz w:val="24"/>
                <w:szCs w:val="24"/>
              </w:rPr>
            </w:pPr>
            <w:r w:rsidRPr="00510B56">
              <w:rPr>
                <w:rFonts w:ascii="Times New Roman" w:hAnsi="Times New Roman"/>
                <w:sz w:val="24"/>
                <w:szCs w:val="24"/>
              </w:rPr>
              <w:t>Komisijas regulas Nr.</w:t>
            </w:r>
            <w:r>
              <w:fldChar w:fldCharType="begin"/>
            </w:r>
            <w:r>
              <w:instrText xml:space="preserve"> HYPERLINK "http://eur-lex.europa.eu/eli/reg/2014/651/oj/?locale=LV" \t "_blank" </w:instrText>
            </w:r>
            <w:r>
              <w:fldChar w:fldCharType="separate"/>
            </w:r>
            <w:r w:rsidRPr="00510B56">
              <w:rPr>
                <w:rFonts w:ascii="Times New Roman" w:hAnsi="Times New Roman"/>
                <w:sz w:val="24"/>
                <w:szCs w:val="24"/>
              </w:rPr>
              <w:t>651/2014</w:t>
            </w:r>
            <w:r>
              <w:fldChar w:fldCharType="end"/>
            </w:r>
            <w:r w:rsidRPr="00510B56">
              <w:rPr>
                <w:rFonts w:ascii="Times New Roman" w:hAnsi="Times New Roman"/>
                <w:sz w:val="24"/>
                <w:szCs w:val="24"/>
              </w:rPr>
              <w:t> 14. panta 16.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7D119B" w:rsidRPr="00B066B5" w:rsidP="00B066B5">
            <w:pPr>
              <w:spacing w:after="0" w:line="240" w:lineRule="auto"/>
              <w:ind w:left="57" w:right="113"/>
              <w:rPr>
                <w:rFonts w:ascii="Times New Roman" w:hAnsi="Times New Roman"/>
                <w:sz w:val="24"/>
                <w:szCs w:val="24"/>
              </w:rPr>
            </w:pPr>
            <w:r w:rsidRPr="00B066B5">
              <w:rPr>
                <w:rFonts w:ascii="Times New Roman" w:hAnsi="Times New Roman"/>
                <w:sz w:val="24"/>
                <w:szCs w:val="24"/>
              </w:rPr>
              <w:t xml:space="preserve">MK noteikumu projekta </w:t>
            </w:r>
            <w:r w:rsidRPr="00B066B5" w:rsidR="00B066B5">
              <w:rPr>
                <w:rFonts w:ascii="Times New Roman" w:hAnsi="Times New Roman"/>
                <w:sz w:val="24"/>
                <w:szCs w:val="24"/>
              </w:rPr>
              <w:t>3</w:t>
            </w:r>
            <w:r w:rsidRPr="00B066B5">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7D119B" w:rsidRPr="00B066B5" w:rsidP="007D119B">
            <w:pPr>
              <w:spacing w:after="0" w:line="240" w:lineRule="auto"/>
              <w:ind w:left="57" w:right="113"/>
              <w:rPr>
                <w:rFonts w:ascii="Times New Roman" w:hAnsi="Times New Roman"/>
                <w:sz w:val="24"/>
                <w:szCs w:val="24"/>
              </w:rPr>
            </w:pPr>
            <w:r w:rsidRPr="00B066B5">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7D119B" w:rsidRPr="00B066B5" w:rsidP="007D119B">
            <w:pPr>
              <w:spacing w:after="0" w:line="240" w:lineRule="auto"/>
              <w:ind w:left="57" w:right="113"/>
              <w:rPr>
                <w:rFonts w:ascii="Times New Roman" w:hAnsi="Times New Roman"/>
                <w:sz w:val="24"/>
                <w:szCs w:val="24"/>
              </w:rPr>
            </w:pPr>
            <w:r w:rsidRPr="00B066B5">
              <w:rPr>
                <w:rFonts w:ascii="Times New Roman" w:hAnsi="Times New Roman"/>
                <w:sz w:val="24"/>
                <w:szCs w:val="24"/>
              </w:rPr>
              <w:t>Netiek paredzētas stingrākas prasības</w:t>
            </w: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7012E9" w:rsidRPr="00510B56" w:rsidP="007012E9">
            <w:pPr>
              <w:spacing w:after="0" w:line="240" w:lineRule="auto"/>
              <w:ind w:left="57" w:right="113"/>
              <w:rPr>
                <w:rFonts w:ascii="Times New Roman" w:hAnsi="Times New Roman"/>
                <w:sz w:val="24"/>
                <w:szCs w:val="24"/>
              </w:rPr>
            </w:pPr>
            <w:r w:rsidRPr="00510B56">
              <w:rPr>
                <w:rFonts w:ascii="Times New Roman" w:hAnsi="Times New Roman"/>
                <w:sz w:val="24"/>
                <w:szCs w:val="24"/>
              </w:rPr>
              <w:t>Komisijas regulas Nr. </w:t>
            </w:r>
            <w:r>
              <w:fldChar w:fldCharType="begin"/>
            </w:r>
            <w:r>
              <w:instrText xml:space="preserve"> HYPERLINK "http://eur-lex.europa.eu/eli/reg/2014/651/oj/?locale=LV" \t "_blank" </w:instrText>
            </w:r>
            <w:r>
              <w:fldChar w:fldCharType="separate"/>
            </w:r>
            <w:r w:rsidRPr="00510B56">
              <w:rPr>
                <w:rFonts w:ascii="Times New Roman" w:hAnsi="Times New Roman"/>
                <w:sz w:val="24"/>
                <w:szCs w:val="24"/>
              </w:rPr>
              <w:t>651/2014</w:t>
            </w:r>
            <w:r>
              <w:fldChar w:fldCharType="end"/>
            </w:r>
            <w:r w:rsidRPr="00510B56">
              <w:rPr>
                <w:rFonts w:ascii="Times New Roman" w:hAnsi="Times New Roman"/>
                <w:sz w:val="24"/>
                <w:szCs w:val="24"/>
              </w:rPr>
              <w:t> 14. panta 17.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rsidR="007012E9" w:rsidRPr="00B066B5" w:rsidP="007012E9">
            <w:pPr>
              <w:spacing w:after="0" w:line="240" w:lineRule="auto"/>
              <w:ind w:left="57" w:right="113"/>
              <w:rPr>
                <w:rFonts w:ascii="Times New Roman" w:hAnsi="Times New Roman"/>
                <w:sz w:val="24"/>
                <w:szCs w:val="24"/>
              </w:rPr>
            </w:pPr>
            <w:r w:rsidRPr="00B066B5">
              <w:rPr>
                <w:rFonts w:ascii="Times New Roman" w:hAnsi="Times New Roman"/>
                <w:sz w:val="24"/>
                <w:szCs w:val="24"/>
              </w:rPr>
              <w:t>MK noteikumu projekta 3.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rsidR="007012E9" w:rsidRPr="00B066B5" w:rsidP="007012E9">
            <w:pPr>
              <w:spacing w:after="0" w:line="240" w:lineRule="auto"/>
              <w:ind w:left="57" w:right="113"/>
              <w:rPr>
                <w:rFonts w:ascii="Times New Roman" w:hAnsi="Times New Roman"/>
                <w:sz w:val="24"/>
                <w:szCs w:val="24"/>
              </w:rPr>
            </w:pPr>
            <w:r w:rsidRPr="00B066B5">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rsidR="007012E9" w:rsidRPr="00B066B5" w:rsidP="007012E9">
            <w:pPr>
              <w:spacing w:after="0" w:line="240" w:lineRule="auto"/>
              <w:ind w:left="57" w:right="113"/>
              <w:rPr>
                <w:rFonts w:ascii="Times New Roman" w:hAnsi="Times New Roman"/>
                <w:sz w:val="24"/>
                <w:szCs w:val="24"/>
              </w:rPr>
            </w:pPr>
            <w:r w:rsidRPr="00B066B5">
              <w:rPr>
                <w:rFonts w:ascii="Times New Roman" w:hAnsi="Times New Roman"/>
                <w:sz w:val="24"/>
                <w:szCs w:val="24"/>
              </w:rPr>
              <w:t>Netiek paredzētas stingrākas prasības</w:t>
            </w: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7012E9" w:rsidRPr="000C66EC" w:rsidP="007012E9">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 xml:space="preserve">Kā ir izmantota ES tiesību aktā paredzētā rīcības </w:t>
            </w:r>
            <w:r w:rsidRPr="000C66EC">
              <w:rPr>
                <w:rFonts w:ascii="Times New Roman" w:hAnsi="Times New Roman"/>
                <w:spacing w:val="-4"/>
                <w:sz w:val="24"/>
                <w:szCs w:val="24"/>
              </w:rPr>
              <w:t>brīvība dalībvalstij pārņemt vai ieviest noteiktas ES tiesību akta normas? Kādēļ?</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7012E9" w:rsidRPr="000C66EC" w:rsidP="007012E9">
            <w:pPr>
              <w:spacing w:after="0" w:line="240" w:lineRule="auto"/>
              <w:ind w:left="57" w:right="113"/>
              <w:rPr>
                <w:rFonts w:ascii="Times New Roman" w:hAnsi="Times New Roman"/>
                <w:sz w:val="24"/>
                <w:szCs w:val="24"/>
              </w:rPr>
            </w:pPr>
            <w:r w:rsidRPr="000C66EC">
              <w:rPr>
                <w:rFonts w:ascii="Times New Roman" w:hAnsi="Times New Roman"/>
                <w:sz w:val="24"/>
                <w:szCs w:val="24"/>
              </w:rPr>
              <w:t>Projekts šo jomu neskar</w:t>
            </w: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7012E9" w:rsidRPr="000C66EC" w:rsidP="007012E9">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Saistības sniegt paziņojumu ES institū</w:t>
            </w:r>
            <w:r w:rsidRPr="000C66EC">
              <w:rPr>
                <w:rFonts w:ascii="Times New Roman" w:hAnsi="Times New Roman"/>
                <w:spacing w:val="-4"/>
                <w:sz w:val="24"/>
                <w:szCs w:val="24"/>
              </w:rPr>
              <w:softHyphen/>
              <w:t>cijām un ES dalībvalstīm atbilstoši normatīvajiem aktiem, kas regulē informācijas sniegšanu par tehnisko noteikumu, valsts atbalsta piešķiršanas un finanšu noteikumu (attiecībā uz monetāro politiku) projektiem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7012E9" w:rsidRPr="000C66EC" w:rsidP="007012E9">
            <w:pPr>
              <w:spacing w:after="0" w:line="240" w:lineRule="auto"/>
              <w:ind w:right="113"/>
              <w:rPr>
                <w:rFonts w:ascii="Times New Roman" w:hAnsi="Times New Roman"/>
                <w:sz w:val="24"/>
                <w:szCs w:val="24"/>
              </w:rPr>
            </w:pPr>
            <w:r w:rsidRPr="000C66EC">
              <w:rPr>
                <w:rFonts w:ascii="Times New Roman" w:hAnsi="Times New Roman"/>
                <w:sz w:val="24"/>
                <w:szCs w:val="24"/>
              </w:rPr>
              <w:t>Projekts šo jomu neskar</w:t>
            </w: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7012E9" w:rsidRPr="000C66EC" w:rsidP="007012E9">
            <w:pPr>
              <w:spacing w:after="0" w:line="240" w:lineRule="auto"/>
              <w:ind w:left="57" w:right="113"/>
              <w:rPr>
                <w:rFonts w:ascii="Times New Roman" w:hAnsi="Times New Roman"/>
                <w:sz w:val="24"/>
                <w:szCs w:val="24"/>
              </w:rPr>
            </w:pPr>
            <w:r w:rsidRPr="000C66EC">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7012E9" w:rsidRPr="000C66EC" w:rsidP="007012E9">
            <w:pPr>
              <w:spacing w:after="0" w:line="240" w:lineRule="auto"/>
              <w:ind w:left="57" w:right="113"/>
              <w:rPr>
                <w:rFonts w:ascii="Times New Roman" w:hAnsi="Times New Roman"/>
                <w:sz w:val="24"/>
                <w:szCs w:val="24"/>
                <w:highlight w:val="yellow"/>
              </w:rPr>
            </w:pPr>
            <w:r w:rsidRPr="000C66EC">
              <w:rPr>
                <w:rFonts w:ascii="Times New Roman" w:hAnsi="Times New Roman"/>
                <w:sz w:val="24"/>
                <w:szCs w:val="24"/>
              </w:rPr>
              <w:t>Nav</w:t>
            </w: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7012E9" w:rsidRPr="000C66EC" w:rsidP="007012E9">
            <w:pPr>
              <w:spacing w:after="0" w:line="240" w:lineRule="auto"/>
              <w:ind w:left="57" w:right="113"/>
              <w:jc w:val="center"/>
              <w:rPr>
                <w:rFonts w:ascii="Times New Roman Bold" w:hAnsi="Times New Roman Bold"/>
                <w:b/>
                <w:spacing w:val="-4"/>
                <w:sz w:val="24"/>
                <w:szCs w:val="24"/>
              </w:rPr>
            </w:pPr>
            <w:r w:rsidRPr="000C66EC">
              <w:rPr>
                <w:rFonts w:ascii="Times New Roman Bold" w:hAnsi="Times New Roman Bold"/>
                <w:b/>
                <w:spacing w:val="-4"/>
                <w:sz w:val="24"/>
                <w:szCs w:val="24"/>
              </w:rPr>
              <w:t>2. tabula</w:t>
            </w:r>
          </w:p>
          <w:p w:rsidR="007012E9" w:rsidRPr="000C66EC" w:rsidP="007012E9">
            <w:pPr>
              <w:spacing w:after="0" w:line="240" w:lineRule="auto"/>
              <w:ind w:left="57" w:right="113"/>
              <w:jc w:val="center"/>
              <w:rPr>
                <w:rFonts w:ascii="Times New Roman Bold" w:hAnsi="Times New Roman Bold"/>
                <w:b/>
                <w:spacing w:val="-4"/>
                <w:sz w:val="24"/>
                <w:szCs w:val="24"/>
              </w:rPr>
            </w:pPr>
            <w:r w:rsidRPr="000C66EC">
              <w:rPr>
                <w:rFonts w:ascii="Times New Roman Bold" w:hAnsi="Times New Roman Bold"/>
                <w:b/>
                <w:spacing w:val="-4"/>
                <w:sz w:val="24"/>
                <w:szCs w:val="24"/>
              </w:rPr>
              <w:t>Ar tiesību akta projektu izpildītās vai uzņemtās saistības, kas izriet no starptautiskajiem tiesību aktiem vai starptautiskas institūcijas vai organizācijas dokumentiem.</w:t>
            </w:r>
          </w:p>
          <w:p w:rsidR="007012E9" w:rsidRPr="000C66EC" w:rsidP="007012E9">
            <w:pPr>
              <w:spacing w:after="0" w:line="240" w:lineRule="auto"/>
              <w:ind w:left="57" w:right="113"/>
              <w:jc w:val="center"/>
              <w:rPr>
                <w:rFonts w:ascii="Times New Roman Bold" w:hAnsi="Times New Roman Bold"/>
                <w:b/>
                <w:spacing w:val="-4"/>
                <w:sz w:val="24"/>
                <w:szCs w:val="24"/>
              </w:rPr>
            </w:pPr>
            <w:r w:rsidRPr="000C66EC">
              <w:rPr>
                <w:rFonts w:ascii="Times New Roman Bold" w:hAnsi="Times New Roman Bold"/>
                <w:b/>
                <w:spacing w:val="-4"/>
                <w:sz w:val="24"/>
                <w:szCs w:val="24"/>
              </w:rPr>
              <w:t>Pas</w:t>
            </w:r>
            <w:r w:rsidRPr="000C66EC">
              <w:rPr>
                <w:rFonts w:ascii="Times New Roman Bold" w:hAnsi="Times New Roman Bold" w:hint="eastAsia"/>
                <w:b/>
                <w:spacing w:val="-4"/>
                <w:sz w:val="24"/>
                <w:szCs w:val="24"/>
              </w:rPr>
              <w:t>ā</w:t>
            </w:r>
            <w:r w:rsidRPr="000C66EC">
              <w:rPr>
                <w:rFonts w:ascii="Times New Roman Bold" w:hAnsi="Times New Roman Bold"/>
                <w:b/>
                <w:spacing w:val="-4"/>
                <w:sz w:val="24"/>
                <w:szCs w:val="24"/>
              </w:rPr>
              <w:t xml:space="preserve">kumi </w:t>
            </w:r>
            <w:r w:rsidRPr="000C66EC">
              <w:rPr>
                <w:rFonts w:ascii="Times New Roman Bold" w:hAnsi="Times New Roman Bold" w:hint="eastAsia"/>
                <w:b/>
                <w:spacing w:val="-4"/>
                <w:sz w:val="24"/>
                <w:szCs w:val="24"/>
              </w:rPr>
              <w:t>š</w:t>
            </w:r>
            <w:r w:rsidRPr="000C66EC">
              <w:rPr>
                <w:rFonts w:ascii="Times New Roman Bold" w:hAnsi="Times New Roman Bold"/>
                <w:b/>
                <w:spacing w:val="-4"/>
                <w:sz w:val="24"/>
                <w:szCs w:val="24"/>
              </w:rPr>
              <w:t>o saist</w:t>
            </w:r>
            <w:r w:rsidRPr="000C66EC">
              <w:rPr>
                <w:rFonts w:ascii="Times New Roman Bold" w:hAnsi="Times New Roman Bold" w:hint="eastAsia"/>
                <w:b/>
                <w:spacing w:val="-4"/>
                <w:sz w:val="24"/>
                <w:szCs w:val="24"/>
              </w:rPr>
              <w:t>ī</w:t>
            </w:r>
            <w:r w:rsidRPr="000C66EC">
              <w:rPr>
                <w:rFonts w:ascii="Times New Roman Bold" w:hAnsi="Times New Roman Bold"/>
                <w:b/>
                <w:spacing w:val="-4"/>
                <w:sz w:val="24"/>
                <w:szCs w:val="24"/>
              </w:rPr>
              <w:t>bu izpildei</w:t>
            </w: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012E9" w:rsidRPr="006B46B8" w:rsidP="007012E9">
            <w:pPr>
              <w:spacing w:after="0" w:line="240" w:lineRule="auto"/>
              <w:ind w:left="57" w:right="113"/>
              <w:rPr>
                <w:rFonts w:ascii="Times New Roman" w:hAnsi="Times New Roman"/>
                <w:spacing w:val="-4"/>
                <w:sz w:val="24"/>
                <w:szCs w:val="24"/>
              </w:rPr>
            </w:pPr>
            <w:r w:rsidRPr="006B46B8">
              <w:rPr>
                <w:rFonts w:ascii="Times New Roman" w:hAnsi="Times New Roman"/>
                <w:spacing w:val="-4"/>
                <w:sz w:val="24"/>
                <w:szCs w:val="24"/>
              </w:rPr>
              <w:t>Attiecīgā starptautiskā tiesību akta vai starptau</w:t>
            </w:r>
            <w:r w:rsidRPr="006B46B8">
              <w:rPr>
                <w:rFonts w:ascii="Times New Roman" w:hAnsi="Times New Roman"/>
                <w:spacing w:val="-4"/>
                <w:sz w:val="24"/>
                <w:szCs w:val="24"/>
              </w:rPr>
              <w:softHyphen/>
              <w:t>tiskas institūcijas vai organizācijas dokumenta (turpmāk – starptautiskais dokuments)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7012E9" w:rsidRPr="000C66EC" w:rsidP="007012E9">
            <w:pPr>
              <w:spacing w:after="0" w:line="240" w:lineRule="auto"/>
              <w:ind w:right="113"/>
              <w:rPr>
                <w:rFonts w:ascii="Times New Roman" w:hAnsi="Times New Roman"/>
                <w:spacing w:val="-4"/>
                <w:sz w:val="24"/>
                <w:szCs w:val="24"/>
              </w:rPr>
            </w:pPr>
            <w:r w:rsidRPr="000C66EC">
              <w:rPr>
                <w:rFonts w:ascii="Times New Roman" w:hAnsi="Times New Roman"/>
                <w:spacing w:val="-4"/>
                <w:sz w:val="24"/>
                <w:szCs w:val="24"/>
              </w:rPr>
              <w:t>Projekts šo jomu neskar</w:t>
            </w: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012E9" w:rsidRPr="006B46B8" w:rsidP="007012E9">
            <w:pPr>
              <w:spacing w:after="0" w:line="240" w:lineRule="auto"/>
              <w:jc w:val="center"/>
              <w:rPr>
                <w:rFonts w:ascii="Times New Roman" w:hAnsi="Times New Roman"/>
                <w:sz w:val="24"/>
                <w:szCs w:val="24"/>
              </w:rPr>
            </w:pPr>
            <w:r w:rsidRPr="006B46B8">
              <w:rPr>
                <w:rFonts w:ascii="Times New Roman" w:hAnsi="Times New Roman"/>
                <w:sz w:val="24"/>
                <w:szCs w:val="24"/>
              </w:rPr>
              <w:t>A</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012E9" w:rsidRPr="006B46B8" w:rsidP="007012E9">
            <w:pPr>
              <w:spacing w:after="0" w:line="240" w:lineRule="auto"/>
              <w:jc w:val="center"/>
              <w:rPr>
                <w:rFonts w:ascii="Times New Roman" w:hAnsi="Times New Roman"/>
                <w:sz w:val="24"/>
                <w:szCs w:val="24"/>
              </w:rPr>
            </w:pPr>
            <w:r w:rsidRPr="006B46B8">
              <w:rPr>
                <w:rFonts w:ascii="Times New Roman" w:hAnsi="Times New Roman"/>
                <w:sz w:val="24"/>
                <w:szCs w:val="24"/>
              </w:rPr>
              <w:t>B</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7012E9" w:rsidRPr="006B46B8" w:rsidP="007012E9">
            <w:pPr>
              <w:spacing w:after="0" w:line="240" w:lineRule="auto"/>
              <w:jc w:val="center"/>
              <w:rPr>
                <w:rFonts w:ascii="Times New Roman" w:hAnsi="Times New Roman"/>
                <w:sz w:val="24"/>
                <w:szCs w:val="24"/>
              </w:rPr>
            </w:pPr>
            <w:r w:rsidRPr="006B46B8">
              <w:rPr>
                <w:rFonts w:ascii="Times New Roman" w:hAnsi="Times New Roman"/>
                <w:sz w:val="24"/>
                <w:szCs w:val="24"/>
              </w:rPr>
              <w:t>C</w:t>
            </w: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7012E9" w:rsidRPr="006B46B8" w:rsidP="007012E9">
            <w:pPr>
              <w:spacing w:after="0" w:line="240" w:lineRule="auto"/>
              <w:ind w:left="57" w:right="113"/>
              <w:rPr>
                <w:rFonts w:ascii="Times New Roman" w:hAnsi="Times New Roman"/>
                <w:spacing w:val="-4"/>
                <w:sz w:val="24"/>
                <w:szCs w:val="24"/>
              </w:rPr>
            </w:pPr>
            <w:r w:rsidRPr="006B46B8">
              <w:rPr>
                <w:rFonts w:ascii="Times New Roman" w:hAnsi="Times New Roman"/>
                <w:spacing w:val="-4"/>
                <w:sz w:val="24"/>
                <w:szCs w:val="24"/>
              </w:rPr>
              <w:t>Starptautiskās saistības (pēc būtības), kas izriet no norādītā starptautiskā dokumenta.</w:t>
            </w:r>
          </w:p>
          <w:p w:rsidR="007012E9" w:rsidRPr="006B46B8" w:rsidP="007012E9">
            <w:pPr>
              <w:spacing w:after="0" w:line="240" w:lineRule="auto"/>
              <w:ind w:left="57" w:right="113"/>
              <w:rPr>
                <w:rFonts w:ascii="Times New Roman" w:hAnsi="Times New Roman"/>
                <w:spacing w:val="-4"/>
                <w:sz w:val="24"/>
                <w:szCs w:val="24"/>
              </w:rPr>
            </w:pPr>
            <w:r w:rsidRPr="006B46B8">
              <w:rPr>
                <w:rFonts w:ascii="Times New Roman" w:hAnsi="Times New Roman"/>
                <w:spacing w:val="-4"/>
                <w:sz w:val="24"/>
                <w:szCs w:val="24"/>
              </w:rPr>
              <w:t>Konkrēti veicamie pasākumi vai uzdevumi, kas nepieciešami šo starptautisko saistību izpildei</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rsidR="007012E9" w:rsidRPr="006B46B8" w:rsidP="007012E9">
            <w:pPr>
              <w:spacing w:after="0" w:line="240" w:lineRule="auto"/>
              <w:ind w:left="57" w:right="113"/>
              <w:rPr>
                <w:rFonts w:ascii="Times New Roman" w:hAnsi="Times New Roman"/>
                <w:spacing w:val="-4"/>
                <w:sz w:val="24"/>
                <w:szCs w:val="24"/>
              </w:rPr>
            </w:pPr>
            <w:r w:rsidRPr="006B46B8">
              <w:rPr>
                <w:rFonts w:ascii="Times New Roman" w:hAnsi="Times New Roman"/>
                <w:spacing w:val="-4"/>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rsidR="007012E9" w:rsidRPr="006B46B8" w:rsidP="007012E9">
            <w:pPr>
              <w:spacing w:after="0" w:line="240" w:lineRule="auto"/>
              <w:ind w:left="57" w:right="113"/>
              <w:rPr>
                <w:rFonts w:ascii="Times New Roman" w:hAnsi="Times New Roman"/>
                <w:spacing w:val="-6"/>
                <w:sz w:val="24"/>
                <w:szCs w:val="24"/>
              </w:rPr>
            </w:pPr>
            <w:r w:rsidRPr="006B46B8">
              <w:rPr>
                <w:rFonts w:ascii="Times New Roman" w:hAnsi="Times New Roman"/>
                <w:spacing w:val="-6"/>
                <w:sz w:val="24"/>
                <w:szCs w:val="24"/>
              </w:rPr>
              <w:t>Informācija par to, vai starptautiskās saistības, kas minētas šīs tabulas A ailē, tiek izpildītas pilnībā vai daļēji.</w:t>
            </w:r>
          </w:p>
          <w:p w:rsidR="007012E9" w:rsidRPr="006B46B8" w:rsidP="007012E9">
            <w:pPr>
              <w:spacing w:after="0" w:line="240" w:lineRule="auto"/>
              <w:ind w:left="57" w:right="113"/>
              <w:rPr>
                <w:rFonts w:ascii="Times New Roman" w:hAnsi="Times New Roman"/>
                <w:spacing w:val="-6"/>
                <w:sz w:val="24"/>
                <w:szCs w:val="24"/>
              </w:rPr>
            </w:pPr>
            <w:r w:rsidRPr="006B46B8">
              <w:rPr>
                <w:rFonts w:ascii="Times New Roman" w:hAnsi="Times New Roman"/>
                <w:spacing w:val="-6"/>
                <w:sz w:val="24"/>
                <w:szCs w:val="24"/>
              </w:rPr>
              <w:t>Ja attiecīgās starptautiskās saistības tiek izpildītas daļēji, sniedz skaidrojumu, kā arī precīzi norāda, kad un kādā veidā starptautiskās saistības tiks izpildītas pilnībā.</w:t>
            </w:r>
          </w:p>
          <w:p w:rsidR="007012E9" w:rsidRPr="006B46B8" w:rsidP="007012E9">
            <w:pPr>
              <w:spacing w:after="0" w:line="240" w:lineRule="auto"/>
              <w:ind w:left="57" w:right="113"/>
              <w:rPr>
                <w:rFonts w:ascii="Times New Roman" w:hAnsi="Times New Roman"/>
                <w:spacing w:val="-4"/>
                <w:sz w:val="24"/>
                <w:szCs w:val="24"/>
              </w:rPr>
            </w:pPr>
            <w:r w:rsidRPr="006B46B8">
              <w:rPr>
                <w:rFonts w:ascii="Times New Roman" w:hAnsi="Times New Roman"/>
                <w:spacing w:val="-4"/>
                <w:sz w:val="24"/>
                <w:szCs w:val="24"/>
              </w:rPr>
              <w:t>Norāda institūciju, kas ir atbildīga par šo saistību izpildi pilnībā</w:t>
            </w: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7012E9" w:rsidRPr="000C66EC" w:rsidP="007012E9">
            <w:pPr>
              <w:spacing w:after="0" w:line="240" w:lineRule="auto"/>
              <w:ind w:right="113"/>
              <w:rPr>
                <w:rFonts w:ascii="Times New Roman" w:hAnsi="Times New Roman"/>
                <w:spacing w:val="-4"/>
                <w:sz w:val="24"/>
                <w:szCs w:val="24"/>
              </w:rPr>
            </w:pPr>
            <w:r w:rsidRPr="000C66EC">
              <w:rPr>
                <w:rFonts w:ascii="Times New Roman" w:hAnsi="Times New Roman"/>
                <w:spacing w:val="-4"/>
                <w:sz w:val="24"/>
                <w:szCs w:val="24"/>
              </w:rPr>
              <w:t>Projekts šo jomu neskar</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rsidR="007012E9" w:rsidRPr="000C66EC" w:rsidP="007012E9">
            <w:pPr>
              <w:spacing w:after="0" w:line="240" w:lineRule="auto"/>
              <w:ind w:right="113"/>
              <w:rPr>
                <w:rFonts w:ascii="Times New Roman" w:hAnsi="Times New Roman"/>
                <w:spacing w:val="-4"/>
                <w:sz w:val="24"/>
                <w:szCs w:val="24"/>
              </w:rPr>
            </w:pPr>
            <w:r w:rsidRPr="000C66EC">
              <w:rPr>
                <w:rFonts w:ascii="Times New Roman" w:hAnsi="Times New Roman"/>
                <w:spacing w:val="-4"/>
                <w:sz w:val="24"/>
                <w:szCs w:val="24"/>
              </w:rPr>
              <w:t>Projekts šo jomu neskar</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rsidR="007012E9" w:rsidRPr="000C66EC" w:rsidP="007012E9">
            <w:pPr>
              <w:spacing w:after="0" w:line="240" w:lineRule="auto"/>
              <w:ind w:right="113"/>
              <w:rPr>
                <w:rFonts w:ascii="Times New Roman" w:hAnsi="Times New Roman"/>
                <w:spacing w:val="-4"/>
                <w:sz w:val="24"/>
                <w:szCs w:val="24"/>
              </w:rPr>
            </w:pPr>
            <w:r w:rsidRPr="000C66EC">
              <w:rPr>
                <w:rFonts w:ascii="Times New Roman" w:hAnsi="Times New Roman"/>
                <w:spacing w:val="-4"/>
                <w:sz w:val="24"/>
                <w:szCs w:val="24"/>
              </w:rPr>
              <w:t>Projekts šo jomu neskar</w:t>
            </w: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7012E9" w:rsidRPr="000C66EC" w:rsidP="007012E9">
            <w:pPr>
              <w:spacing w:after="0" w:line="240" w:lineRule="auto"/>
              <w:ind w:left="57" w:right="113"/>
              <w:rPr>
                <w:rFonts w:ascii="Times New Roman" w:hAnsi="Times New Roman"/>
                <w:b/>
                <w:spacing w:val="-4"/>
                <w:sz w:val="24"/>
                <w:szCs w:val="24"/>
              </w:rPr>
            </w:pPr>
            <w:r w:rsidRPr="000C66EC">
              <w:rPr>
                <w:rFonts w:ascii="Times New Roman" w:hAnsi="Times New Roman"/>
                <w:b/>
                <w:spacing w:val="-4"/>
                <w:sz w:val="24"/>
                <w:szCs w:val="24"/>
              </w:rPr>
              <w:t>Vai starptautiskajā dokumentā paredzētās saistības nav pretrunā ar jau esošajām Latvijas Republikas starptautis</w:t>
            </w:r>
            <w:r w:rsidRPr="000C66EC">
              <w:rPr>
                <w:rFonts w:ascii="Times New Roman" w:hAnsi="Times New Roman"/>
                <w:b/>
                <w:spacing w:val="-4"/>
                <w:sz w:val="24"/>
                <w:szCs w:val="24"/>
              </w:rPr>
              <w:softHyphen/>
              <w:t>kajām saistībām?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7012E9" w:rsidRPr="000C66EC" w:rsidP="007012E9">
            <w:pPr>
              <w:spacing w:after="0" w:line="240" w:lineRule="auto"/>
              <w:ind w:right="113"/>
              <w:rPr>
                <w:rFonts w:ascii="Times New Roman" w:hAnsi="Times New Roman"/>
                <w:spacing w:val="-4"/>
                <w:sz w:val="24"/>
                <w:szCs w:val="24"/>
              </w:rPr>
            </w:pPr>
            <w:r w:rsidRPr="000C66EC">
              <w:rPr>
                <w:rFonts w:ascii="Times New Roman" w:hAnsi="Times New Roman"/>
                <w:spacing w:val="-4"/>
                <w:sz w:val="24"/>
                <w:szCs w:val="24"/>
              </w:rPr>
              <w:t>Projekts šo jomu neskar</w:t>
            </w:r>
          </w:p>
        </w:tc>
      </w:tr>
      <w:tr w:rsidTr="00243AE6">
        <w:tblPrEx>
          <w:tblW w:w="9627"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rsidR="007012E9" w:rsidRPr="000C66EC" w:rsidP="007012E9">
            <w:pPr>
              <w:spacing w:after="0" w:line="240" w:lineRule="auto"/>
              <w:ind w:left="57" w:right="113"/>
              <w:rPr>
                <w:rFonts w:ascii="Times New Roman" w:hAnsi="Times New Roman"/>
                <w:b/>
                <w:spacing w:val="-4"/>
                <w:sz w:val="24"/>
                <w:szCs w:val="24"/>
              </w:rPr>
            </w:pPr>
            <w:r w:rsidRPr="000C66EC">
              <w:rPr>
                <w:rFonts w:ascii="Times New Roman" w:hAnsi="Times New Roman"/>
                <w:b/>
                <w:spacing w:val="-4"/>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rsidR="007012E9" w:rsidRPr="000C66EC" w:rsidP="007012E9">
            <w:pPr>
              <w:spacing w:after="0" w:line="240" w:lineRule="auto"/>
              <w:ind w:left="57" w:right="113"/>
              <w:rPr>
                <w:rFonts w:ascii="Times New Roman" w:hAnsi="Times New Roman"/>
                <w:spacing w:val="-4"/>
                <w:sz w:val="24"/>
                <w:szCs w:val="24"/>
              </w:rPr>
            </w:pPr>
            <w:r w:rsidRPr="000C66EC">
              <w:rPr>
                <w:rFonts w:ascii="Times New Roman" w:hAnsi="Times New Roman"/>
                <w:spacing w:val="-4"/>
                <w:sz w:val="24"/>
                <w:szCs w:val="24"/>
              </w:rPr>
              <w:t>Nav</w:t>
            </w:r>
          </w:p>
        </w:tc>
      </w:tr>
    </w:tbl>
    <w:p w:rsidR="00492404" w:rsidRPr="00C775C5" w:rsidP="00243AE6">
      <w:pPr>
        <w:spacing w:after="0" w:line="240" w:lineRule="auto"/>
        <w:rPr>
          <w:rFonts w:ascii="Times New Roman" w:hAnsi="Times New Roman"/>
          <w:sz w:val="24"/>
          <w:szCs w:val="24"/>
          <w:highlight w:val="yellow"/>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3"/>
        <w:gridCol w:w="2132"/>
        <w:gridCol w:w="6916"/>
      </w:tblGrid>
      <w:tr w:rsidTr="00243AE6">
        <w:tblPrEx>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jc w:val="center"/>
        </w:trPr>
        <w:tc>
          <w:tcPr>
            <w:tcW w:w="9581" w:type="dxa"/>
            <w:gridSpan w:val="3"/>
            <w:shd w:val="clear" w:color="auto" w:fill="auto"/>
            <w:vAlign w:val="center"/>
          </w:tcPr>
          <w:p w:rsidR="00243AE6" w:rsidRPr="00D225E9" w:rsidP="00243AE6">
            <w:pPr>
              <w:pStyle w:val="naisnod"/>
              <w:spacing w:before="0" w:beforeAutospacing="0" w:after="0" w:afterAutospacing="0"/>
              <w:ind w:left="57" w:right="57"/>
              <w:jc w:val="center"/>
              <w:rPr>
                <w:highlight w:val="yellow"/>
              </w:rPr>
            </w:pPr>
            <w:r w:rsidRPr="00070C93">
              <w:rPr>
                <w:b/>
              </w:rPr>
              <w:t>VI. Sabiedrības līdzdalība un komunikācijas aktivitātes</w:t>
            </w:r>
          </w:p>
        </w:tc>
      </w:tr>
      <w:tr w:rsidTr="00243AE6">
        <w:tblPrEx>
          <w:tblW w:w="9581" w:type="dxa"/>
          <w:jc w:val="center"/>
          <w:tblCellMar>
            <w:left w:w="0" w:type="dxa"/>
            <w:right w:w="0" w:type="dxa"/>
          </w:tblCellMar>
          <w:tblLook w:val="0000"/>
        </w:tblPrEx>
        <w:trPr>
          <w:trHeight w:val="553"/>
          <w:jc w:val="center"/>
        </w:trPr>
        <w:tc>
          <w:tcPr>
            <w:tcW w:w="533" w:type="dxa"/>
            <w:shd w:val="clear" w:color="auto" w:fill="auto"/>
          </w:tcPr>
          <w:p w:rsidR="00243AE6" w:rsidRPr="00070C93" w:rsidP="00243AE6">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1.</w:t>
            </w:r>
          </w:p>
        </w:tc>
        <w:tc>
          <w:tcPr>
            <w:tcW w:w="2132" w:type="dxa"/>
            <w:shd w:val="clear" w:color="auto" w:fill="auto"/>
          </w:tcPr>
          <w:p w:rsidR="00243AE6" w:rsidRPr="00070C93" w:rsidP="00243AE6">
            <w:pPr>
              <w:tabs>
                <w:tab w:val="left" w:pos="170"/>
              </w:tabs>
              <w:spacing w:after="0" w:line="240" w:lineRule="auto"/>
              <w:ind w:left="57" w:right="57"/>
              <w:rPr>
                <w:rFonts w:ascii="Times New Roman" w:hAnsi="Times New Roman"/>
                <w:sz w:val="24"/>
                <w:szCs w:val="24"/>
                <w:lang w:eastAsia="lv-LV"/>
              </w:rPr>
            </w:pPr>
            <w:r w:rsidRPr="00070C93">
              <w:rPr>
                <w:rFonts w:ascii="Times New Roman" w:hAnsi="Times New Roman"/>
                <w:sz w:val="24"/>
                <w:szCs w:val="24"/>
                <w:lang w:eastAsia="lv-LV"/>
              </w:rPr>
              <w:t xml:space="preserve">Plānotās sabiedrības līdzdalības un </w:t>
            </w:r>
            <w:r w:rsidRPr="00070C93">
              <w:rPr>
                <w:rFonts w:ascii="Times New Roman" w:hAnsi="Times New Roman"/>
                <w:sz w:val="24"/>
                <w:szCs w:val="24"/>
                <w:lang w:eastAsia="lv-LV"/>
              </w:rPr>
              <w:t>komunikācijas aktivitātes saistībā ar projektu</w:t>
            </w:r>
          </w:p>
        </w:tc>
        <w:tc>
          <w:tcPr>
            <w:tcW w:w="6916" w:type="dxa"/>
            <w:shd w:val="clear" w:color="auto" w:fill="auto"/>
          </w:tcPr>
          <w:p w:rsidR="00192691" w:rsidRPr="00F41975" w:rsidP="00192691">
            <w:pPr>
              <w:spacing w:after="0" w:line="240" w:lineRule="auto"/>
              <w:ind w:left="57" w:right="113"/>
              <w:jc w:val="both"/>
              <w:rPr>
                <w:rFonts w:ascii="Times New Roman" w:hAnsi="Times New Roman"/>
                <w:sz w:val="24"/>
                <w:szCs w:val="24"/>
              </w:rPr>
            </w:pPr>
            <w:bookmarkStart w:id="2" w:name="p61"/>
            <w:bookmarkEnd w:id="2"/>
            <w:r w:rsidRPr="00F41975">
              <w:rPr>
                <w:rFonts w:ascii="Times New Roman" w:hAnsi="Times New Roman"/>
                <w:sz w:val="24"/>
                <w:szCs w:val="24"/>
              </w:rPr>
              <w:t>Sabiedrībai ir iespējas līdzdarboties noteikumu projekta izstrādē šādā veidā:</w:t>
            </w:r>
          </w:p>
          <w:p w:rsidR="00192691" w:rsidRPr="00C011F3" w:rsidP="00192691">
            <w:pPr>
              <w:numPr>
                <w:ilvl w:val="0"/>
                <w:numId w:val="31"/>
              </w:numPr>
              <w:spacing w:after="0" w:line="240" w:lineRule="auto"/>
              <w:ind w:right="113"/>
              <w:jc w:val="both"/>
              <w:rPr>
                <w:rFonts w:ascii="Times New Roman" w:hAnsi="Times New Roman"/>
                <w:sz w:val="24"/>
                <w:szCs w:val="24"/>
              </w:rPr>
            </w:pPr>
            <w:r w:rsidRPr="00F41975">
              <w:rPr>
                <w:rFonts w:ascii="Times New Roman" w:hAnsi="Times New Roman"/>
                <w:sz w:val="24"/>
                <w:szCs w:val="24"/>
              </w:rPr>
              <w:t xml:space="preserve">rakstiski sniegt viedokli par MK noteikumu projektu tā izstrādes stadijā, pēc MK noteikumu projekta ievietošanas VARAM tīmekļvietnes </w:t>
            </w:r>
            <w:r w:rsidRPr="00C011F3">
              <w:rPr>
                <w:rFonts w:ascii="Times New Roman" w:hAnsi="Times New Roman"/>
                <w:sz w:val="24"/>
                <w:szCs w:val="24"/>
              </w:rPr>
              <w:t xml:space="preserve">sadaļā "Sabiedrības līdzdalība" laika periodā no 2017. gada </w:t>
            </w:r>
            <w:r w:rsidRPr="00C011F3" w:rsidR="00586919">
              <w:rPr>
                <w:rFonts w:ascii="Times New Roman" w:hAnsi="Times New Roman"/>
                <w:sz w:val="24"/>
                <w:szCs w:val="24"/>
              </w:rPr>
              <w:t>3. oktobra</w:t>
            </w:r>
            <w:r w:rsidRPr="00C011F3">
              <w:rPr>
                <w:rFonts w:ascii="Times New Roman" w:hAnsi="Times New Roman"/>
                <w:sz w:val="24"/>
                <w:szCs w:val="24"/>
              </w:rPr>
              <w:t xml:space="preserve"> līdz 2017. </w:t>
            </w:r>
            <w:r w:rsidRPr="00C011F3" w:rsidR="0040017C">
              <w:rPr>
                <w:rFonts w:ascii="Times New Roman" w:hAnsi="Times New Roman"/>
                <w:sz w:val="24"/>
                <w:szCs w:val="24"/>
              </w:rPr>
              <w:t>gada 1</w:t>
            </w:r>
            <w:r w:rsidRPr="00C011F3" w:rsidR="00586919">
              <w:rPr>
                <w:rFonts w:ascii="Times New Roman" w:hAnsi="Times New Roman"/>
                <w:sz w:val="24"/>
                <w:szCs w:val="24"/>
              </w:rPr>
              <w:t>7</w:t>
            </w:r>
            <w:r w:rsidRPr="00C011F3" w:rsidR="0040017C">
              <w:rPr>
                <w:rFonts w:ascii="Times New Roman" w:hAnsi="Times New Roman"/>
                <w:sz w:val="24"/>
                <w:szCs w:val="24"/>
              </w:rPr>
              <w:t>. </w:t>
            </w:r>
            <w:r w:rsidRPr="00C011F3" w:rsidR="00586919">
              <w:rPr>
                <w:rFonts w:ascii="Times New Roman" w:hAnsi="Times New Roman"/>
                <w:sz w:val="24"/>
                <w:szCs w:val="24"/>
              </w:rPr>
              <w:t>oktobrim</w:t>
            </w:r>
            <w:r w:rsidRPr="00C011F3">
              <w:rPr>
                <w:rFonts w:ascii="Times New Roman" w:hAnsi="Times New Roman"/>
                <w:sz w:val="24"/>
                <w:szCs w:val="24"/>
              </w:rPr>
              <w:t>;</w:t>
            </w:r>
          </w:p>
          <w:p w:rsidR="00192691" w:rsidRPr="00F41975" w:rsidP="00192691">
            <w:pPr>
              <w:numPr>
                <w:ilvl w:val="0"/>
                <w:numId w:val="31"/>
              </w:numPr>
              <w:spacing w:after="0" w:line="240" w:lineRule="auto"/>
              <w:ind w:right="113"/>
              <w:jc w:val="both"/>
              <w:rPr>
                <w:rFonts w:ascii="Times New Roman" w:hAnsi="Times New Roman"/>
                <w:sz w:val="24"/>
                <w:szCs w:val="24"/>
              </w:rPr>
            </w:pPr>
            <w:r w:rsidRPr="00C011F3">
              <w:rPr>
                <w:rFonts w:ascii="Times New Roman" w:hAnsi="Times New Roman"/>
                <w:sz w:val="24"/>
                <w:szCs w:val="24"/>
              </w:rPr>
              <w:t>sagatavot atzinumu par MK noteikumu projektu</w:t>
            </w:r>
            <w:r w:rsidRPr="00F41975">
              <w:rPr>
                <w:rFonts w:ascii="Times New Roman" w:hAnsi="Times New Roman"/>
                <w:sz w:val="24"/>
                <w:szCs w:val="24"/>
              </w:rPr>
              <w:t xml:space="preserve"> pēc tā izsludināšanas VSS.</w:t>
            </w:r>
          </w:p>
          <w:p w:rsidR="00192691" w:rsidRPr="00D225E9" w:rsidP="00192691">
            <w:pPr>
              <w:spacing w:after="0" w:line="240" w:lineRule="auto"/>
              <w:ind w:left="417" w:right="113"/>
              <w:jc w:val="both"/>
              <w:rPr>
                <w:rFonts w:ascii="Times New Roman" w:hAnsi="Times New Roman"/>
                <w:sz w:val="24"/>
                <w:szCs w:val="24"/>
                <w:highlight w:val="yellow"/>
              </w:rPr>
            </w:pPr>
          </w:p>
          <w:p w:rsidR="00243AE6" w:rsidRPr="000344AE" w:rsidP="000344AE">
            <w:pPr>
              <w:spacing w:after="0" w:line="240" w:lineRule="auto"/>
              <w:ind w:left="24" w:right="113"/>
              <w:jc w:val="both"/>
              <w:rPr>
                <w:rFonts w:ascii="Times New Roman" w:hAnsi="Times New Roman"/>
                <w:spacing w:val="-3"/>
                <w:sz w:val="24"/>
                <w:szCs w:val="24"/>
              </w:rPr>
            </w:pPr>
            <w:r w:rsidRPr="000344AE">
              <w:rPr>
                <w:rFonts w:ascii="Times New Roman" w:hAnsi="Times New Roman"/>
                <w:spacing w:val="-3"/>
                <w:sz w:val="24"/>
                <w:szCs w:val="24"/>
              </w:rPr>
              <w:t>MK n</w:t>
            </w:r>
            <w:r w:rsidRPr="000344AE">
              <w:rPr>
                <w:rFonts w:ascii="Times New Roman" w:hAnsi="Times New Roman"/>
                <w:sz w:val="24"/>
                <w:szCs w:val="24"/>
              </w:rPr>
              <w:t>oteikumu projekts tik</w:t>
            </w:r>
            <w:r w:rsidR="00CB2683">
              <w:rPr>
                <w:rFonts w:ascii="Times New Roman" w:hAnsi="Times New Roman"/>
                <w:sz w:val="24"/>
                <w:szCs w:val="24"/>
              </w:rPr>
              <w:t>a</w:t>
            </w:r>
            <w:r w:rsidRPr="000344AE">
              <w:rPr>
                <w:rFonts w:ascii="Times New Roman" w:hAnsi="Times New Roman"/>
                <w:sz w:val="24"/>
                <w:szCs w:val="24"/>
              </w:rPr>
              <w:t xml:space="preserve"> saskaņots ar Finanšu ministriju</w:t>
            </w:r>
            <w:r w:rsidR="000344AE">
              <w:rPr>
                <w:rFonts w:ascii="Times New Roman" w:hAnsi="Times New Roman"/>
                <w:sz w:val="24"/>
                <w:szCs w:val="24"/>
              </w:rPr>
              <w:t xml:space="preserve"> (turpmāk – FM)</w:t>
            </w:r>
            <w:r w:rsidRPr="000344AE">
              <w:rPr>
                <w:rFonts w:ascii="Times New Roman" w:hAnsi="Times New Roman"/>
                <w:sz w:val="24"/>
                <w:szCs w:val="24"/>
              </w:rPr>
              <w:t>, Tieslietu ministriju,</w:t>
            </w:r>
            <w:r w:rsidRPr="000344AE" w:rsidR="000344AE">
              <w:rPr>
                <w:rFonts w:ascii="Times New Roman" w:hAnsi="Times New Roman"/>
                <w:sz w:val="24"/>
                <w:szCs w:val="24"/>
              </w:rPr>
              <w:t xml:space="preserve"> Zemkopības ministriju, </w:t>
            </w:r>
            <w:r w:rsidR="00CB2683">
              <w:rPr>
                <w:rFonts w:ascii="Times New Roman" w:hAnsi="Times New Roman"/>
                <w:sz w:val="24"/>
                <w:szCs w:val="24"/>
              </w:rPr>
              <w:t xml:space="preserve">Ekonomikas ministriju, </w:t>
            </w:r>
            <w:r w:rsidR="00CB2683">
              <w:rPr>
                <w:rFonts w:ascii="Times New Roman" w:hAnsi="Times New Roman"/>
                <w:sz w:val="24"/>
                <w:szCs w:val="24"/>
              </w:rPr>
              <w:t>Iekšlietu</w:t>
            </w:r>
            <w:r w:rsidR="00CB2683">
              <w:rPr>
                <w:rFonts w:ascii="Times New Roman" w:hAnsi="Times New Roman"/>
                <w:sz w:val="24"/>
                <w:szCs w:val="24"/>
              </w:rPr>
              <w:t xml:space="preserve"> ministriju, </w:t>
            </w:r>
            <w:r w:rsidRPr="000344AE">
              <w:rPr>
                <w:rFonts w:ascii="Times New Roman" w:hAnsi="Times New Roman"/>
                <w:sz w:val="24"/>
                <w:szCs w:val="24"/>
              </w:rPr>
              <w:t>Latvijas Lielo pilsētu asociāciju,</w:t>
            </w:r>
            <w:r w:rsidRPr="000344AE" w:rsidR="000344AE">
              <w:rPr>
                <w:rFonts w:ascii="Times New Roman" w:hAnsi="Times New Roman"/>
                <w:sz w:val="24"/>
                <w:szCs w:val="24"/>
              </w:rPr>
              <w:t xml:space="preserve"> Latvijas Pašvaldību savienību</w:t>
            </w:r>
            <w:r w:rsidR="00CB2683">
              <w:rPr>
                <w:rFonts w:ascii="Times New Roman" w:hAnsi="Times New Roman"/>
                <w:sz w:val="24"/>
                <w:szCs w:val="24"/>
              </w:rPr>
              <w:t xml:space="preserve">, Latvijas Brīvo arodbiedrību savienību, </w:t>
            </w:r>
            <w:r w:rsidR="00CB2683">
              <w:rPr>
                <w:rFonts w:ascii="Times New Roman" w:hAnsi="Times New Roman"/>
                <w:sz w:val="24"/>
                <w:szCs w:val="24"/>
              </w:rPr>
              <w:t>Pārresoru</w:t>
            </w:r>
            <w:r w:rsidR="00CB2683">
              <w:rPr>
                <w:rFonts w:ascii="Times New Roman" w:hAnsi="Times New Roman"/>
                <w:sz w:val="24"/>
                <w:szCs w:val="24"/>
              </w:rPr>
              <w:t xml:space="preserve"> koordinācijas centru, Latvijas Darba devēja konfederāciju</w:t>
            </w:r>
            <w:r w:rsidRPr="000344AE" w:rsidR="000344AE">
              <w:rPr>
                <w:rFonts w:ascii="Times New Roman" w:hAnsi="Times New Roman"/>
                <w:sz w:val="24"/>
                <w:szCs w:val="24"/>
              </w:rPr>
              <w:t xml:space="preserve"> un Reģionālo attīstības centru apvienību</w:t>
            </w:r>
            <w:r w:rsidR="000344AE">
              <w:rPr>
                <w:rFonts w:ascii="Times New Roman" w:hAnsi="Times New Roman"/>
                <w:sz w:val="24"/>
                <w:szCs w:val="24"/>
              </w:rPr>
              <w:t>.</w:t>
            </w:r>
          </w:p>
        </w:tc>
      </w:tr>
      <w:tr w:rsidTr="00243AE6">
        <w:tblPrEx>
          <w:tblW w:w="9581" w:type="dxa"/>
          <w:jc w:val="center"/>
          <w:tblCellMar>
            <w:left w:w="0" w:type="dxa"/>
            <w:right w:w="0" w:type="dxa"/>
          </w:tblCellMar>
          <w:tblLook w:val="0000"/>
        </w:tblPrEx>
        <w:trPr>
          <w:trHeight w:val="339"/>
          <w:jc w:val="center"/>
        </w:trPr>
        <w:tc>
          <w:tcPr>
            <w:tcW w:w="533" w:type="dxa"/>
            <w:shd w:val="clear" w:color="auto" w:fill="auto"/>
          </w:tcPr>
          <w:p w:rsidR="00243AE6" w:rsidRPr="00070C93" w:rsidP="00243AE6">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2.</w:t>
            </w:r>
          </w:p>
        </w:tc>
        <w:tc>
          <w:tcPr>
            <w:tcW w:w="2132" w:type="dxa"/>
            <w:shd w:val="clear" w:color="auto" w:fill="auto"/>
          </w:tcPr>
          <w:p w:rsidR="00243AE6" w:rsidRPr="00070C93" w:rsidP="00243AE6">
            <w:pPr>
              <w:spacing w:after="0" w:line="240" w:lineRule="auto"/>
              <w:ind w:left="57" w:right="57"/>
              <w:rPr>
                <w:rFonts w:ascii="Times New Roman" w:hAnsi="Times New Roman"/>
                <w:sz w:val="24"/>
                <w:szCs w:val="24"/>
                <w:lang w:eastAsia="lv-LV"/>
              </w:rPr>
            </w:pPr>
            <w:r w:rsidRPr="00070C93">
              <w:rPr>
                <w:rFonts w:ascii="Times New Roman" w:hAnsi="Times New Roman"/>
                <w:sz w:val="24"/>
                <w:szCs w:val="24"/>
                <w:lang w:eastAsia="lv-LV"/>
              </w:rPr>
              <w:t>Sabiedrības līdzdalība projekta izstrādē</w:t>
            </w:r>
          </w:p>
        </w:tc>
        <w:tc>
          <w:tcPr>
            <w:tcW w:w="6916" w:type="dxa"/>
            <w:shd w:val="clear" w:color="auto" w:fill="auto"/>
          </w:tcPr>
          <w:p w:rsidR="00243AE6" w:rsidRPr="000344AE" w:rsidP="000344AE">
            <w:pPr>
              <w:spacing w:after="0" w:line="240" w:lineRule="auto"/>
              <w:ind w:left="79" w:right="93"/>
              <w:jc w:val="both"/>
              <w:rPr>
                <w:rFonts w:ascii="Times New Roman" w:hAnsi="Times New Roman"/>
                <w:sz w:val="24"/>
                <w:szCs w:val="24"/>
                <w:lang w:eastAsia="lv-LV"/>
              </w:rPr>
            </w:pPr>
            <w:bookmarkStart w:id="3" w:name="p62"/>
            <w:bookmarkEnd w:id="3"/>
            <w:r w:rsidRPr="000344AE">
              <w:rPr>
                <w:rFonts w:ascii="Times New Roman" w:hAnsi="Times New Roman"/>
                <w:spacing w:val="-4"/>
                <w:sz w:val="24"/>
                <w:szCs w:val="24"/>
              </w:rPr>
              <w:t xml:space="preserve">MK noteikumu projekta izstrādes procesā ir notikušas konsultācijas ar </w:t>
            </w:r>
            <w:r w:rsidRPr="000344AE" w:rsidR="000344AE">
              <w:rPr>
                <w:rFonts w:ascii="Times New Roman" w:hAnsi="Times New Roman"/>
                <w:sz w:val="24"/>
                <w:szCs w:val="24"/>
              </w:rPr>
              <w:t>FM</w:t>
            </w:r>
            <w:r w:rsidRPr="000344AE" w:rsidR="00192691">
              <w:rPr>
                <w:rFonts w:ascii="Times New Roman" w:hAnsi="Times New Roman"/>
                <w:sz w:val="24"/>
                <w:szCs w:val="24"/>
              </w:rPr>
              <w:t>.</w:t>
            </w:r>
            <w:r w:rsidRPr="000344AE" w:rsidR="00386EB1">
              <w:rPr>
                <w:rFonts w:ascii="Times New Roman" w:hAnsi="Times New Roman"/>
                <w:sz w:val="24"/>
                <w:szCs w:val="24"/>
              </w:rPr>
              <w:t xml:space="preserve"> </w:t>
            </w:r>
          </w:p>
        </w:tc>
      </w:tr>
      <w:tr w:rsidTr="00243AE6">
        <w:tblPrEx>
          <w:tblW w:w="9581" w:type="dxa"/>
          <w:jc w:val="center"/>
          <w:tblCellMar>
            <w:left w:w="0" w:type="dxa"/>
            <w:right w:w="0" w:type="dxa"/>
          </w:tblCellMar>
          <w:tblLook w:val="0000"/>
        </w:tblPrEx>
        <w:trPr>
          <w:trHeight w:val="476"/>
          <w:jc w:val="center"/>
        </w:trPr>
        <w:tc>
          <w:tcPr>
            <w:tcW w:w="533" w:type="dxa"/>
            <w:shd w:val="clear" w:color="auto" w:fill="auto"/>
          </w:tcPr>
          <w:p w:rsidR="00243AE6" w:rsidRPr="00070C93" w:rsidP="00243AE6">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3.</w:t>
            </w:r>
          </w:p>
        </w:tc>
        <w:tc>
          <w:tcPr>
            <w:tcW w:w="2132" w:type="dxa"/>
            <w:shd w:val="clear" w:color="auto" w:fill="auto"/>
          </w:tcPr>
          <w:p w:rsidR="00243AE6" w:rsidRPr="00070C93" w:rsidP="00243AE6">
            <w:pPr>
              <w:spacing w:after="0" w:line="240" w:lineRule="auto"/>
              <w:ind w:left="57" w:right="57"/>
              <w:rPr>
                <w:rFonts w:ascii="Times New Roman" w:hAnsi="Times New Roman"/>
                <w:sz w:val="24"/>
                <w:szCs w:val="24"/>
                <w:lang w:eastAsia="lv-LV"/>
              </w:rPr>
            </w:pPr>
            <w:r w:rsidRPr="00070C93">
              <w:rPr>
                <w:rFonts w:ascii="Times New Roman" w:hAnsi="Times New Roman"/>
                <w:sz w:val="24"/>
                <w:szCs w:val="24"/>
                <w:lang w:eastAsia="lv-LV"/>
              </w:rPr>
              <w:t>Sabiedrības līdzdalības rezultāti</w:t>
            </w:r>
          </w:p>
        </w:tc>
        <w:tc>
          <w:tcPr>
            <w:tcW w:w="6916" w:type="dxa"/>
            <w:shd w:val="clear" w:color="auto" w:fill="auto"/>
          </w:tcPr>
          <w:p w:rsidR="00243AE6" w:rsidRPr="000344AE" w:rsidP="00243AE6">
            <w:pPr>
              <w:spacing w:after="0" w:line="240" w:lineRule="auto"/>
              <w:ind w:left="79" w:right="93"/>
              <w:rPr>
                <w:rFonts w:ascii="Times New Roman" w:hAnsi="Times New Roman"/>
                <w:sz w:val="24"/>
                <w:szCs w:val="24"/>
              </w:rPr>
            </w:pPr>
            <w:r w:rsidRPr="000344AE">
              <w:rPr>
                <w:rFonts w:ascii="Times New Roman" w:hAnsi="Times New Roman"/>
                <w:sz w:val="24"/>
                <w:szCs w:val="24"/>
                <w:lang w:eastAsia="lv-LV"/>
              </w:rPr>
              <w:t>Nav</w:t>
            </w:r>
          </w:p>
        </w:tc>
      </w:tr>
      <w:tr w:rsidTr="00243AE6">
        <w:tblPrEx>
          <w:tblW w:w="9581" w:type="dxa"/>
          <w:jc w:val="center"/>
          <w:tblCellMar>
            <w:left w:w="0" w:type="dxa"/>
            <w:right w:w="0" w:type="dxa"/>
          </w:tblCellMar>
          <w:tblLook w:val="0000"/>
        </w:tblPrEx>
        <w:trPr>
          <w:trHeight w:val="257"/>
          <w:jc w:val="center"/>
        </w:trPr>
        <w:tc>
          <w:tcPr>
            <w:tcW w:w="533" w:type="dxa"/>
            <w:shd w:val="clear" w:color="auto" w:fill="auto"/>
          </w:tcPr>
          <w:p w:rsidR="00243AE6" w:rsidRPr="00070C93" w:rsidP="00243AE6">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4.</w:t>
            </w:r>
          </w:p>
        </w:tc>
        <w:tc>
          <w:tcPr>
            <w:tcW w:w="2132" w:type="dxa"/>
            <w:shd w:val="clear" w:color="auto" w:fill="auto"/>
          </w:tcPr>
          <w:p w:rsidR="00243AE6" w:rsidRPr="00070C93" w:rsidP="00243AE6">
            <w:pPr>
              <w:spacing w:after="0" w:line="240" w:lineRule="auto"/>
              <w:ind w:left="57" w:right="57"/>
              <w:rPr>
                <w:rFonts w:ascii="Times New Roman" w:hAnsi="Times New Roman"/>
                <w:sz w:val="24"/>
                <w:szCs w:val="24"/>
                <w:lang w:eastAsia="lv-LV"/>
              </w:rPr>
            </w:pPr>
            <w:r w:rsidRPr="00070C93">
              <w:rPr>
                <w:rFonts w:ascii="Times New Roman" w:hAnsi="Times New Roman"/>
                <w:sz w:val="24"/>
                <w:szCs w:val="24"/>
                <w:lang w:eastAsia="lv-LV"/>
              </w:rPr>
              <w:t>Cita informācija</w:t>
            </w:r>
          </w:p>
        </w:tc>
        <w:tc>
          <w:tcPr>
            <w:tcW w:w="6916" w:type="dxa"/>
            <w:shd w:val="clear" w:color="auto" w:fill="auto"/>
          </w:tcPr>
          <w:p w:rsidR="00243AE6" w:rsidRPr="000344AE" w:rsidP="00243AE6">
            <w:pPr>
              <w:spacing w:after="0" w:line="240" w:lineRule="auto"/>
              <w:ind w:left="57" w:right="113"/>
              <w:jc w:val="both"/>
              <w:rPr>
                <w:rFonts w:ascii="Times New Roman" w:hAnsi="Times New Roman"/>
                <w:sz w:val="24"/>
                <w:szCs w:val="24"/>
                <w:lang w:eastAsia="lv-LV"/>
              </w:rPr>
            </w:pPr>
            <w:r w:rsidRPr="000344AE">
              <w:rPr>
                <w:rFonts w:ascii="Times New Roman" w:hAnsi="Times New Roman"/>
                <w:sz w:val="24"/>
                <w:szCs w:val="24"/>
              </w:rPr>
              <w:t>Nav</w:t>
            </w:r>
          </w:p>
        </w:tc>
      </w:tr>
    </w:tbl>
    <w:p w:rsidR="00243AE6" w:rsidRPr="00C775C5" w:rsidP="00243AE6">
      <w:pPr>
        <w:spacing w:after="0" w:line="240" w:lineRule="auto"/>
        <w:rPr>
          <w:rFonts w:ascii="Times New Roman" w:hAnsi="Times New Roman"/>
          <w:sz w:val="24"/>
          <w:szCs w:val="24"/>
          <w:highlight w:val="yellow"/>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7"/>
        <w:gridCol w:w="3473"/>
        <w:gridCol w:w="5608"/>
      </w:tblGrid>
      <w:tr w:rsidTr="00243AE6">
        <w:tblPrEx>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trHeight w:val="381"/>
          <w:jc w:val="center"/>
        </w:trPr>
        <w:tc>
          <w:tcPr>
            <w:tcW w:w="9518" w:type="dxa"/>
            <w:gridSpan w:val="3"/>
            <w:shd w:val="clear" w:color="auto" w:fill="auto"/>
            <w:vAlign w:val="center"/>
          </w:tcPr>
          <w:p w:rsidR="00243AE6" w:rsidRPr="006A443B" w:rsidP="00243AE6">
            <w:pPr>
              <w:pStyle w:val="naisnod"/>
              <w:spacing w:before="0" w:beforeAutospacing="0" w:after="0" w:afterAutospacing="0"/>
              <w:ind w:left="57" w:right="57"/>
              <w:jc w:val="center"/>
              <w:rPr>
                <w:spacing w:val="-4"/>
              </w:rPr>
            </w:pPr>
            <w:r w:rsidRPr="006A443B">
              <w:rPr>
                <w:b/>
                <w:spacing w:val="-4"/>
              </w:rPr>
              <w:t>VII. Tiesību akta projekta izpildes nodrošināšana un tās ietekme uz institūcijām</w:t>
            </w:r>
          </w:p>
        </w:tc>
      </w:tr>
      <w:tr w:rsidTr="00243AE6">
        <w:tblPrEx>
          <w:tblW w:w="9518" w:type="dxa"/>
          <w:jc w:val="center"/>
          <w:tblCellMar>
            <w:top w:w="28" w:type="dxa"/>
            <w:left w:w="28" w:type="dxa"/>
            <w:bottom w:w="28" w:type="dxa"/>
            <w:right w:w="28" w:type="dxa"/>
          </w:tblCellMar>
          <w:tblLook w:val="0000"/>
        </w:tblPrEx>
        <w:trPr>
          <w:trHeight w:val="427"/>
          <w:jc w:val="center"/>
        </w:trPr>
        <w:tc>
          <w:tcPr>
            <w:tcW w:w="437" w:type="dxa"/>
          </w:tcPr>
          <w:p w:rsidR="00243AE6" w:rsidRPr="006A443B" w:rsidP="00243AE6">
            <w:pPr>
              <w:pStyle w:val="naisnod"/>
              <w:spacing w:before="0" w:beforeAutospacing="0" w:after="0" w:afterAutospacing="0"/>
              <w:ind w:left="57" w:right="57"/>
              <w:jc w:val="both"/>
              <w:rPr>
                <w:spacing w:val="-4"/>
              </w:rPr>
            </w:pPr>
            <w:r w:rsidRPr="006A443B">
              <w:rPr>
                <w:spacing w:val="-4"/>
              </w:rPr>
              <w:t>1.</w:t>
            </w:r>
          </w:p>
        </w:tc>
        <w:tc>
          <w:tcPr>
            <w:tcW w:w="3473" w:type="dxa"/>
            <w:shd w:val="clear" w:color="auto" w:fill="auto"/>
          </w:tcPr>
          <w:p w:rsidR="00243AE6" w:rsidRPr="006A443B" w:rsidP="00243AE6">
            <w:pPr>
              <w:pStyle w:val="naisf"/>
              <w:spacing w:before="0" w:beforeAutospacing="0" w:after="0" w:afterAutospacing="0"/>
              <w:ind w:left="57" w:right="57"/>
              <w:rPr>
                <w:spacing w:val="-4"/>
              </w:rPr>
            </w:pPr>
            <w:r w:rsidRPr="006A443B">
              <w:rPr>
                <w:spacing w:val="-4"/>
              </w:rPr>
              <w:t>Projekta izpildē iesaistītās institūcijas</w:t>
            </w:r>
          </w:p>
        </w:tc>
        <w:tc>
          <w:tcPr>
            <w:tcW w:w="5608" w:type="dxa"/>
            <w:shd w:val="clear" w:color="auto" w:fill="auto"/>
          </w:tcPr>
          <w:p w:rsidR="00243AE6" w:rsidRPr="006A443B" w:rsidP="00D16F0B">
            <w:pPr>
              <w:spacing w:after="0" w:line="240" w:lineRule="auto"/>
              <w:ind w:left="57" w:right="113"/>
              <w:jc w:val="both"/>
              <w:rPr>
                <w:rFonts w:ascii="Times New Roman" w:eastAsia="Times New Roman" w:hAnsi="Times New Roman"/>
                <w:spacing w:val="-4"/>
                <w:sz w:val="24"/>
                <w:szCs w:val="24"/>
                <w:lang w:eastAsia="lv-LV"/>
              </w:rPr>
            </w:pPr>
            <w:bookmarkStart w:id="4" w:name="p66"/>
            <w:bookmarkStart w:id="5" w:name="p67"/>
            <w:bookmarkStart w:id="6" w:name="p68"/>
            <w:bookmarkStart w:id="7" w:name="p69"/>
            <w:bookmarkEnd w:id="4"/>
            <w:bookmarkEnd w:id="5"/>
            <w:bookmarkEnd w:id="6"/>
            <w:bookmarkEnd w:id="7"/>
            <w:r w:rsidRPr="006A443B">
              <w:rPr>
                <w:rFonts w:ascii="Times New Roman" w:eastAsia="Times New Roman" w:hAnsi="Times New Roman"/>
                <w:spacing w:val="-4"/>
                <w:sz w:val="24"/>
                <w:szCs w:val="24"/>
                <w:lang w:eastAsia="lv-LV"/>
              </w:rPr>
              <w:t xml:space="preserve">VARAM, </w:t>
            </w:r>
            <w:r w:rsidRPr="006A443B" w:rsidR="00966614">
              <w:rPr>
                <w:rFonts w:ascii="Times New Roman" w:eastAsia="Times New Roman" w:hAnsi="Times New Roman"/>
                <w:spacing w:val="-4"/>
                <w:sz w:val="24"/>
                <w:szCs w:val="24"/>
                <w:lang w:eastAsia="lv-LV"/>
              </w:rPr>
              <w:t xml:space="preserve">SAM </w:t>
            </w:r>
            <w:r w:rsidRPr="006A443B" w:rsidR="00D16F0B">
              <w:rPr>
                <w:rFonts w:ascii="Times New Roman" w:eastAsia="Times New Roman" w:hAnsi="Times New Roman"/>
                <w:spacing w:val="-4"/>
                <w:sz w:val="24"/>
                <w:szCs w:val="24"/>
                <w:lang w:eastAsia="lv-LV"/>
              </w:rPr>
              <w:t>3.3.1</w:t>
            </w:r>
            <w:r w:rsidRPr="006A443B" w:rsidR="00966614">
              <w:rPr>
                <w:rFonts w:ascii="Times New Roman" w:eastAsia="Times New Roman" w:hAnsi="Times New Roman"/>
                <w:spacing w:val="-4"/>
                <w:sz w:val="24"/>
                <w:szCs w:val="24"/>
                <w:lang w:eastAsia="lv-LV"/>
              </w:rPr>
              <w:t>. projektu iesniegumu iesniedzēji, to sadarbības partneri</w:t>
            </w:r>
            <w:r w:rsidRPr="006A443B">
              <w:rPr>
                <w:rFonts w:ascii="Times New Roman" w:eastAsia="Times New Roman" w:hAnsi="Times New Roman"/>
                <w:spacing w:val="-4"/>
                <w:sz w:val="24"/>
                <w:szCs w:val="24"/>
                <w:lang w:eastAsia="lv-LV"/>
              </w:rPr>
              <w:t xml:space="preserve">, </w:t>
            </w:r>
            <w:r w:rsidRPr="006A443B">
              <w:rPr>
                <w:rFonts w:ascii="Times New Roman" w:hAnsi="Times New Roman"/>
                <w:sz w:val="24"/>
                <w:szCs w:val="24"/>
              </w:rPr>
              <w:t>republikas pilsētas pašvaldību izveidotās projektu iesniegumu vērtēšanas komisijas</w:t>
            </w:r>
            <w:r w:rsidRPr="006A443B" w:rsidR="00966614">
              <w:rPr>
                <w:rFonts w:ascii="Times New Roman" w:eastAsia="Times New Roman" w:hAnsi="Times New Roman"/>
                <w:spacing w:val="-4"/>
                <w:sz w:val="24"/>
                <w:szCs w:val="24"/>
                <w:lang w:eastAsia="lv-LV"/>
              </w:rPr>
              <w:t xml:space="preserve"> un CFLA.</w:t>
            </w:r>
          </w:p>
        </w:tc>
      </w:tr>
      <w:tr w:rsidTr="00243AE6">
        <w:tblPrEx>
          <w:tblW w:w="9518" w:type="dxa"/>
          <w:jc w:val="center"/>
          <w:tblCellMar>
            <w:top w:w="28" w:type="dxa"/>
            <w:left w:w="28" w:type="dxa"/>
            <w:bottom w:w="28" w:type="dxa"/>
            <w:right w:w="28" w:type="dxa"/>
          </w:tblCellMar>
          <w:tblLook w:val="0000"/>
        </w:tblPrEx>
        <w:trPr>
          <w:trHeight w:val="463"/>
          <w:jc w:val="center"/>
        </w:trPr>
        <w:tc>
          <w:tcPr>
            <w:tcW w:w="437" w:type="dxa"/>
          </w:tcPr>
          <w:p w:rsidR="00243AE6" w:rsidRPr="006A443B" w:rsidP="00243AE6">
            <w:pPr>
              <w:pStyle w:val="naisnod"/>
              <w:spacing w:before="0" w:beforeAutospacing="0" w:after="0" w:afterAutospacing="0"/>
              <w:ind w:left="57" w:right="57"/>
              <w:jc w:val="both"/>
              <w:rPr>
                <w:spacing w:val="-4"/>
              </w:rPr>
            </w:pPr>
            <w:r w:rsidRPr="006A443B">
              <w:rPr>
                <w:spacing w:val="-4"/>
              </w:rPr>
              <w:t>2.</w:t>
            </w:r>
          </w:p>
        </w:tc>
        <w:tc>
          <w:tcPr>
            <w:tcW w:w="3473" w:type="dxa"/>
            <w:shd w:val="clear" w:color="auto" w:fill="auto"/>
          </w:tcPr>
          <w:p w:rsidR="00243AE6" w:rsidRPr="006A443B" w:rsidP="00243AE6">
            <w:pPr>
              <w:pStyle w:val="naisf"/>
              <w:spacing w:before="0" w:beforeAutospacing="0" w:after="0" w:afterAutospacing="0"/>
              <w:ind w:left="57" w:right="57"/>
              <w:rPr>
                <w:spacing w:val="-4"/>
              </w:rPr>
            </w:pPr>
            <w:r w:rsidRPr="006A443B">
              <w:rPr>
                <w:spacing w:val="-4"/>
              </w:rPr>
              <w:t>Projekta izpildes ietekme uz pārvaldes funkcijām un institucionālo struktūru.</w:t>
            </w:r>
          </w:p>
          <w:p w:rsidR="00243AE6" w:rsidRPr="006A443B" w:rsidP="00243AE6">
            <w:pPr>
              <w:pStyle w:val="naisf"/>
              <w:spacing w:before="0" w:beforeAutospacing="0" w:after="0" w:afterAutospacing="0"/>
              <w:ind w:left="57" w:right="57"/>
              <w:rPr>
                <w:spacing w:val="-4"/>
              </w:rPr>
            </w:pPr>
            <w:r w:rsidRPr="006A443B">
              <w:rPr>
                <w:spacing w:val="-4"/>
              </w:rPr>
              <w:t>Jaunu institūciju izveide, esošu institūciju likvidācija vai reorga</w:t>
            </w:r>
            <w:r w:rsidRPr="006A443B">
              <w:rPr>
                <w:spacing w:val="-4"/>
              </w:rPr>
              <w:softHyphen/>
              <w:t>nizācija, to ietekme uz institūcijas cilvēkresursiem</w:t>
            </w:r>
          </w:p>
        </w:tc>
        <w:tc>
          <w:tcPr>
            <w:tcW w:w="5608" w:type="dxa"/>
            <w:shd w:val="clear" w:color="auto" w:fill="auto"/>
          </w:tcPr>
          <w:p w:rsidR="00243AE6" w:rsidRPr="006A443B" w:rsidP="00243AE6">
            <w:pPr>
              <w:spacing w:after="0" w:line="240" w:lineRule="auto"/>
              <w:ind w:right="113"/>
              <w:rPr>
                <w:rFonts w:ascii="Times New Roman" w:hAnsi="Times New Roman"/>
                <w:spacing w:val="-4"/>
                <w:sz w:val="24"/>
                <w:szCs w:val="24"/>
              </w:rPr>
            </w:pPr>
            <w:r w:rsidRPr="006A443B">
              <w:rPr>
                <w:rFonts w:ascii="Times New Roman" w:hAnsi="Times New Roman"/>
                <w:spacing w:val="-4"/>
                <w:sz w:val="24"/>
                <w:szCs w:val="24"/>
              </w:rPr>
              <w:t>Projekts šo jomu neskar</w:t>
            </w:r>
            <w:r w:rsidRPr="006A443B" w:rsidR="005422DA">
              <w:rPr>
                <w:rFonts w:ascii="Times New Roman" w:hAnsi="Times New Roman"/>
                <w:spacing w:val="-4"/>
                <w:sz w:val="24"/>
                <w:szCs w:val="24"/>
              </w:rPr>
              <w:t>.</w:t>
            </w:r>
          </w:p>
        </w:tc>
      </w:tr>
      <w:tr w:rsidTr="00243AE6">
        <w:tblPrEx>
          <w:tblW w:w="9518" w:type="dxa"/>
          <w:jc w:val="center"/>
          <w:tblCellMar>
            <w:top w:w="28" w:type="dxa"/>
            <w:left w:w="28" w:type="dxa"/>
            <w:bottom w:w="28" w:type="dxa"/>
            <w:right w:w="28" w:type="dxa"/>
          </w:tblCellMar>
          <w:tblLook w:val="0000"/>
        </w:tblPrEx>
        <w:trPr>
          <w:trHeight w:val="289"/>
          <w:jc w:val="center"/>
        </w:trPr>
        <w:tc>
          <w:tcPr>
            <w:tcW w:w="437" w:type="dxa"/>
            <w:tcBorders>
              <w:top w:val="single" w:sz="4" w:space="0" w:color="auto"/>
              <w:left w:val="single" w:sz="4" w:space="0" w:color="auto"/>
              <w:bottom w:val="single" w:sz="4" w:space="0" w:color="auto"/>
              <w:right w:val="single" w:sz="4" w:space="0" w:color="auto"/>
            </w:tcBorders>
          </w:tcPr>
          <w:p w:rsidR="00243AE6" w:rsidRPr="006A443B" w:rsidP="00243AE6">
            <w:pPr>
              <w:pStyle w:val="naisnod"/>
              <w:spacing w:before="0" w:beforeAutospacing="0" w:after="0" w:afterAutospacing="0"/>
              <w:ind w:left="57" w:right="57"/>
              <w:jc w:val="both"/>
              <w:rPr>
                <w:spacing w:val="-4"/>
              </w:rPr>
            </w:pPr>
            <w:r w:rsidRPr="006A443B">
              <w:rPr>
                <w:spacing w:val="-4"/>
              </w:rPr>
              <w:br w:type="page"/>
              <w:t>3.</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243AE6" w:rsidRPr="006A443B" w:rsidP="00243AE6">
            <w:pPr>
              <w:pStyle w:val="naisf"/>
              <w:spacing w:before="0" w:beforeAutospacing="0" w:after="0" w:afterAutospacing="0"/>
              <w:ind w:left="57" w:right="57"/>
              <w:rPr>
                <w:spacing w:val="-4"/>
              </w:rPr>
            </w:pPr>
            <w:r w:rsidRPr="006A443B">
              <w:rPr>
                <w:spacing w:val="-4"/>
              </w:rPr>
              <w:t>Cita informācija</w:t>
            </w:r>
          </w:p>
        </w:tc>
        <w:tc>
          <w:tcPr>
            <w:tcW w:w="5608" w:type="dxa"/>
            <w:tcBorders>
              <w:top w:val="single" w:sz="4" w:space="0" w:color="auto"/>
              <w:left w:val="single" w:sz="4" w:space="0" w:color="auto"/>
              <w:bottom w:val="single" w:sz="4" w:space="0" w:color="auto"/>
              <w:right w:val="single" w:sz="4" w:space="0" w:color="auto"/>
            </w:tcBorders>
            <w:shd w:val="clear" w:color="auto" w:fill="auto"/>
          </w:tcPr>
          <w:p w:rsidR="00243AE6" w:rsidRPr="006A443B" w:rsidP="00243AE6">
            <w:pPr>
              <w:spacing w:after="0" w:line="240" w:lineRule="auto"/>
              <w:ind w:left="57" w:right="57"/>
              <w:jc w:val="both"/>
              <w:rPr>
                <w:rFonts w:ascii="Times New Roman" w:hAnsi="Times New Roman"/>
                <w:spacing w:val="-4"/>
                <w:sz w:val="24"/>
                <w:szCs w:val="24"/>
                <w:lang w:eastAsia="lv-LV"/>
              </w:rPr>
            </w:pPr>
            <w:r w:rsidRPr="006A443B">
              <w:rPr>
                <w:rFonts w:ascii="Times New Roman" w:hAnsi="Times New Roman"/>
                <w:spacing w:val="-4"/>
                <w:sz w:val="24"/>
                <w:szCs w:val="24"/>
              </w:rPr>
              <w:t>Nav</w:t>
            </w:r>
          </w:p>
        </w:tc>
      </w:tr>
    </w:tbl>
    <w:p w:rsidR="00125F5A" w:rsidRPr="00671A71" w:rsidP="00243AE6">
      <w:pPr>
        <w:spacing w:after="0" w:line="240" w:lineRule="auto"/>
        <w:jc w:val="both"/>
        <w:rPr>
          <w:rFonts w:ascii="Times New Roman" w:eastAsia="Times New Roman" w:hAnsi="Times New Roman"/>
          <w:sz w:val="28"/>
          <w:szCs w:val="28"/>
          <w:lang w:eastAsia="lv-LV"/>
        </w:rPr>
      </w:pPr>
    </w:p>
    <w:p w:rsidR="001E217A" w:rsidP="00243AE6">
      <w:pPr>
        <w:spacing w:after="0"/>
        <w:rPr>
          <w:rFonts w:ascii="Times New Roman" w:hAnsi="Times New Roman"/>
          <w:color w:val="000000"/>
          <w:sz w:val="24"/>
          <w:szCs w:val="24"/>
        </w:rPr>
      </w:pPr>
    </w:p>
    <w:p w:rsidR="00243AE6" w:rsidRPr="00671A71" w:rsidP="00243AE6">
      <w:pPr>
        <w:spacing w:after="0"/>
        <w:rPr>
          <w:rFonts w:ascii="Times New Roman" w:hAnsi="Times New Roman"/>
          <w:color w:val="000000"/>
          <w:sz w:val="24"/>
          <w:szCs w:val="24"/>
        </w:rPr>
      </w:pPr>
      <w:r>
        <w:rPr>
          <w:rFonts w:ascii="Times New Roman" w:hAnsi="Times New Roman"/>
          <w:color w:val="000000"/>
          <w:sz w:val="24"/>
          <w:szCs w:val="24"/>
        </w:rPr>
        <w:t>V</w:t>
      </w:r>
      <w:r w:rsidRPr="00671A71">
        <w:rPr>
          <w:rFonts w:ascii="Times New Roman" w:hAnsi="Times New Roman"/>
          <w:color w:val="000000"/>
          <w:sz w:val="24"/>
          <w:szCs w:val="24"/>
        </w:rPr>
        <w:t xml:space="preserve">ides aizsardzības un </w:t>
      </w:r>
    </w:p>
    <w:p w:rsidR="00243AE6" w:rsidP="00243AE6">
      <w:pPr>
        <w:spacing w:after="0"/>
        <w:rPr>
          <w:rFonts w:ascii="Times New Roman" w:hAnsi="Times New Roman"/>
          <w:color w:val="000000"/>
          <w:sz w:val="24"/>
          <w:szCs w:val="24"/>
        </w:rPr>
      </w:pPr>
      <w:r w:rsidRPr="00671A71">
        <w:rPr>
          <w:rFonts w:ascii="Times New Roman" w:hAnsi="Times New Roman"/>
          <w:color w:val="000000"/>
          <w:sz w:val="24"/>
          <w:szCs w:val="24"/>
        </w:rPr>
        <w:t>reģionālās attīstības ministrs</w:t>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t xml:space="preserve">Kaspars Gerhards </w:t>
      </w:r>
    </w:p>
    <w:p w:rsidR="001E217A" w:rsidP="001E217A">
      <w:pPr>
        <w:spacing w:after="0" w:line="240" w:lineRule="auto"/>
        <w:rPr>
          <w:rFonts w:ascii="Times New Roman" w:hAnsi="Times New Roman"/>
          <w:sz w:val="24"/>
          <w:szCs w:val="24"/>
        </w:rPr>
      </w:pPr>
    </w:p>
    <w:p w:rsidR="001E217A" w:rsidRPr="00D073A1" w:rsidP="001E217A">
      <w:pPr>
        <w:spacing w:after="0" w:line="240" w:lineRule="auto"/>
        <w:rPr>
          <w:rFonts w:ascii="Times New Roman" w:hAnsi="Times New Roman"/>
          <w:sz w:val="24"/>
          <w:szCs w:val="24"/>
        </w:rPr>
      </w:pPr>
      <w:r w:rsidRPr="00D073A1">
        <w:rPr>
          <w:rFonts w:ascii="Times New Roman" w:hAnsi="Times New Roman"/>
          <w:sz w:val="24"/>
          <w:szCs w:val="24"/>
        </w:rPr>
        <w:t>Vīza:</w:t>
      </w:r>
    </w:p>
    <w:p w:rsidR="001E217A" w:rsidRPr="00D073A1" w:rsidP="001E217A">
      <w:pPr>
        <w:spacing w:after="0" w:line="240" w:lineRule="auto"/>
        <w:rPr>
          <w:rFonts w:ascii="Times New Roman" w:hAnsi="Times New Roman"/>
          <w:sz w:val="24"/>
          <w:szCs w:val="24"/>
        </w:rPr>
      </w:pPr>
      <w:r w:rsidRPr="003D0AEF">
        <w:rPr>
          <w:rFonts w:ascii="Times New Roman" w:hAnsi="Times New Roman"/>
          <w:sz w:val="24"/>
          <w:szCs w:val="24"/>
        </w:rPr>
        <w:t xml:space="preserve">valsts sekretārs                                                   </w:t>
      </w:r>
      <w:r>
        <w:rPr>
          <w:rFonts w:ascii="Times New Roman" w:hAnsi="Times New Roman"/>
          <w:sz w:val="24"/>
          <w:szCs w:val="24"/>
        </w:rPr>
        <w:t xml:space="preserve">          </w:t>
      </w:r>
      <w:r w:rsidRPr="003D0AEF">
        <w:rPr>
          <w:rFonts w:ascii="Times New Roman" w:hAnsi="Times New Roman"/>
          <w:sz w:val="24"/>
          <w:szCs w:val="24"/>
        </w:rPr>
        <w:t xml:space="preserve">    </w:t>
      </w:r>
      <w:r w:rsidRPr="00D073A1">
        <w:rPr>
          <w:rFonts w:ascii="Times New Roman" w:hAnsi="Times New Roman"/>
          <w:sz w:val="24"/>
          <w:szCs w:val="24"/>
        </w:rPr>
        <w:t xml:space="preserve">                              Rinalds </w:t>
      </w:r>
      <w:r w:rsidRPr="003D0AEF">
        <w:rPr>
          <w:rFonts w:ascii="Times New Roman" w:hAnsi="Times New Roman"/>
          <w:sz w:val="24"/>
          <w:szCs w:val="24"/>
        </w:rPr>
        <w:t>Muciņš</w:t>
      </w:r>
    </w:p>
    <w:p w:rsidR="00243AE6" w:rsidP="00243AE6">
      <w:pPr>
        <w:spacing w:after="0" w:line="240" w:lineRule="auto"/>
        <w:rPr>
          <w:rFonts w:ascii="Times New Roman" w:hAnsi="Times New Roman"/>
          <w:sz w:val="24"/>
          <w:szCs w:val="24"/>
        </w:rPr>
      </w:pPr>
    </w:p>
    <w:p w:rsidR="00540D42" w:rsidRPr="002B38A4" w:rsidP="00243AE6">
      <w:pPr>
        <w:spacing w:after="0" w:line="240" w:lineRule="auto"/>
        <w:rPr>
          <w:rFonts w:ascii="Times New Roman" w:hAnsi="Times New Roman"/>
          <w:color w:val="000000"/>
          <w:sz w:val="20"/>
          <w:szCs w:val="20"/>
        </w:rPr>
      </w:pPr>
      <w:r>
        <w:rPr>
          <w:rFonts w:ascii="Times New Roman" w:hAnsi="Times New Roman"/>
          <w:color w:val="000000"/>
          <w:sz w:val="20"/>
          <w:szCs w:val="20"/>
        </w:rPr>
        <w:t>12</w:t>
      </w:r>
      <w:r w:rsidRPr="002B38A4" w:rsidR="00DC6043">
        <w:rPr>
          <w:rFonts w:ascii="Times New Roman" w:hAnsi="Times New Roman"/>
          <w:color w:val="000000"/>
          <w:sz w:val="20"/>
          <w:szCs w:val="20"/>
        </w:rPr>
        <w:t>.</w:t>
      </w:r>
      <w:r w:rsidR="002B38A4">
        <w:rPr>
          <w:rFonts w:ascii="Times New Roman" w:hAnsi="Times New Roman"/>
          <w:color w:val="000000"/>
          <w:sz w:val="20"/>
          <w:szCs w:val="20"/>
        </w:rPr>
        <w:t>1</w:t>
      </w:r>
      <w:r w:rsidR="004146C0">
        <w:rPr>
          <w:rFonts w:ascii="Times New Roman" w:hAnsi="Times New Roman"/>
          <w:color w:val="000000"/>
          <w:sz w:val="20"/>
          <w:szCs w:val="20"/>
        </w:rPr>
        <w:t>2</w:t>
      </w:r>
      <w:r w:rsidRPr="002B38A4">
        <w:rPr>
          <w:rFonts w:ascii="Times New Roman" w:hAnsi="Times New Roman"/>
          <w:color w:val="000000"/>
          <w:sz w:val="20"/>
          <w:szCs w:val="20"/>
        </w:rPr>
        <w:t>.2017</w:t>
      </w:r>
      <w:r w:rsidRPr="002B38A4" w:rsidR="00591471">
        <w:rPr>
          <w:rFonts w:ascii="Times New Roman" w:hAnsi="Times New Roman"/>
          <w:color w:val="000000"/>
          <w:sz w:val="20"/>
          <w:szCs w:val="20"/>
        </w:rPr>
        <w:t>.</w:t>
      </w:r>
      <w:r w:rsidRPr="002B38A4">
        <w:rPr>
          <w:rFonts w:ascii="Times New Roman" w:hAnsi="Times New Roman"/>
          <w:color w:val="000000"/>
          <w:sz w:val="20"/>
          <w:szCs w:val="20"/>
        </w:rPr>
        <w:t xml:space="preserve"> </w:t>
      </w:r>
      <w:r w:rsidR="00F00DB7">
        <w:rPr>
          <w:rFonts w:ascii="Times New Roman" w:hAnsi="Times New Roman"/>
          <w:color w:val="000000"/>
          <w:sz w:val="20"/>
          <w:szCs w:val="20"/>
        </w:rPr>
        <w:t>1</w:t>
      </w:r>
      <w:r w:rsidR="003F22E7">
        <w:rPr>
          <w:rFonts w:ascii="Times New Roman" w:hAnsi="Times New Roman"/>
          <w:color w:val="000000"/>
          <w:sz w:val="20"/>
          <w:szCs w:val="20"/>
        </w:rPr>
        <w:t>5</w:t>
      </w:r>
      <w:r w:rsidR="00257B2C">
        <w:rPr>
          <w:rFonts w:ascii="Times New Roman" w:hAnsi="Times New Roman"/>
          <w:color w:val="000000"/>
          <w:sz w:val="20"/>
          <w:szCs w:val="20"/>
        </w:rPr>
        <w:t>:</w:t>
      </w:r>
      <w:r w:rsidR="003F22E7">
        <w:rPr>
          <w:rFonts w:ascii="Times New Roman" w:hAnsi="Times New Roman"/>
          <w:color w:val="000000"/>
          <w:sz w:val="20"/>
          <w:szCs w:val="20"/>
        </w:rPr>
        <w:t>17</w:t>
      </w:r>
    </w:p>
    <w:p w:rsidR="00243AE6" w:rsidRPr="002862C4" w:rsidP="00243AE6">
      <w:pPr>
        <w:spacing w:after="0" w:line="240" w:lineRule="auto"/>
        <w:rPr>
          <w:rFonts w:ascii="Times New Roman" w:hAnsi="Times New Roman"/>
          <w:color w:val="000000"/>
          <w:sz w:val="20"/>
          <w:szCs w:val="20"/>
        </w:rPr>
      </w:pPr>
      <w:r>
        <w:rPr>
          <w:rFonts w:ascii="Times New Roman" w:hAnsi="Times New Roman"/>
          <w:color w:val="000000"/>
          <w:sz w:val="20"/>
          <w:szCs w:val="20"/>
        </w:rPr>
        <w:t>20</w:t>
      </w:r>
      <w:r w:rsidR="003F22E7">
        <w:rPr>
          <w:rFonts w:ascii="Times New Roman" w:hAnsi="Times New Roman"/>
          <w:color w:val="000000"/>
          <w:sz w:val="20"/>
          <w:szCs w:val="20"/>
        </w:rPr>
        <w:t>20</w:t>
      </w:r>
    </w:p>
    <w:p w:rsidR="00243AE6" w:rsidRPr="00671A71" w:rsidP="00243AE6">
      <w:pPr>
        <w:spacing w:after="0" w:line="240" w:lineRule="auto"/>
        <w:rPr>
          <w:rFonts w:ascii="Times New Roman" w:hAnsi="Times New Roman"/>
          <w:color w:val="000000"/>
          <w:sz w:val="20"/>
          <w:szCs w:val="20"/>
        </w:rPr>
      </w:pPr>
      <w:r w:rsidRPr="00671A71">
        <w:rPr>
          <w:rFonts w:ascii="Times New Roman" w:hAnsi="Times New Roman"/>
          <w:color w:val="000000"/>
          <w:sz w:val="20"/>
          <w:szCs w:val="20"/>
        </w:rPr>
        <w:t>L. Dorbe, 66016767</w:t>
      </w:r>
    </w:p>
    <w:p w:rsidR="00243AE6" w:rsidRPr="00DE0BEB" w:rsidP="00243AE6">
      <w:pPr>
        <w:spacing w:after="0" w:line="240" w:lineRule="auto"/>
        <w:rPr>
          <w:rFonts w:ascii="Times New Roman" w:hAnsi="Times New Roman"/>
          <w:sz w:val="28"/>
          <w:szCs w:val="28"/>
        </w:rPr>
      </w:pPr>
      <w:r>
        <w:fldChar w:fldCharType="begin"/>
      </w:r>
      <w:r>
        <w:instrText xml:space="preserve"> HYPERLINK "mailto:liene.dorbe@varam.gov.lv" </w:instrText>
      </w:r>
      <w:r>
        <w:fldChar w:fldCharType="separate"/>
      </w:r>
      <w:r w:rsidRPr="00671A71" w:rsidR="00966614">
        <w:rPr>
          <w:rStyle w:val="Hyperlink"/>
          <w:rFonts w:ascii="Times New Roman" w:hAnsi="Times New Roman"/>
          <w:sz w:val="20"/>
          <w:szCs w:val="20"/>
        </w:rPr>
        <w:t>liene.dorbe@varam.gov.lv</w:t>
      </w:r>
      <w:r>
        <w:fldChar w:fldCharType="end"/>
      </w:r>
    </w:p>
    <w:sectPr w:rsidSect="00243AE6">
      <w:headerReference w:type="default" r:id="rId5"/>
      <w:footerReference w:type="default" r:id="rId6"/>
      <w:footerReference w:type="first" r:id="rId7"/>
      <w:pgSz w:w="11906" w:h="16838" w:code="9"/>
      <w:pgMar w:top="709" w:right="1134"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AE6" w:rsidRPr="00CB5CED" w:rsidP="00243AE6">
    <w:pPr>
      <w:spacing w:line="240" w:lineRule="auto"/>
      <w:jc w:val="both"/>
      <w:rPr>
        <w:sz w:val="20"/>
      </w:rPr>
    </w:pPr>
    <w:r w:rsidRPr="007C165A">
      <w:rPr>
        <w:rFonts w:ascii="Times New Roman" w:hAnsi="Times New Roman"/>
        <w:sz w:val="20"/>
        <w:szCs w:val="20"/>
      </w:rPr>
      <w:t>VARAMAnot</w:t>
    </w:r>
    <w:r w:rsidRPr="009676B0">
      <w:rPr>
        <w:rFonts w:ascii="Times New Roman" w:hAnsi="Times New Roman"/>
        <w:sz w:val="20"/>
        <w:szCs w:val="20"/>
      </w:rPr>
      <w:t>_</w:t>
    </w:r>
    <w:r w:rsidR="00A617F9">
      <w:rPr>
        <w:rFonts w:ascii="Times New Roman" w:hAnsi="Times New Roman"/>
        <w:sz w:val="20"/>
        <w:szCs w:val="20"/>
      </w:rPr>
      <w:t>12</w:t>
    </w:r>
    <w:r w:rsidR="00EA5D6A">
      <w:rPr>
        <w:rFonts w:ascii="Times New Roman" w:hAnsi="Times New Roman"/>
        <w:sz w:val="20"/>
        <w:szCs w:val="20"/>
      </w:rPr>
      <w:t>1</w:t>
    </w:r>
    <w:r w:rsidR="00203929">
      <w:rPr>
        <w:rFonts w:ascii="Times New Roman" w:hAnsi="Times New Roman"/>
        <w:sz w:val="20"/>
        <w:szCs w:val="20"/>
      </w:rPr>
      <w:t>2</w:t>
    </w:r>
    <w:r w:rsidR="002A75A8">
      <w:rPr>
        <w:rFonts w:ascii="Times New Roman" w:hAnsi="Times New Roman"/>
        <w:sz w:val="20"/>
        <w:szCs w:val="20"/>
      </w:rPr>
      <w:t>17</w:t>
    </w:r>
    <w:r>
      <w:rPr>
        <w:rFonts w:ascii="Times New Roman" w:hAnsi="Times New Roman"/>
        <w:sz w:val="20"/>
        <w:szCs w:val="20"/>
      </w:rPr>
      <w:t>_groz</w:t>
    </w:r>
    <w:r w:rsidR="00D225E9">
      <w:rPr>
        <w:rFonts w:ascii="Times New Roman" w:hAnsi="Times New Roman"/>
        <w:sz w:val="20"/>
        <w:szCs w:val="20"/>
      </w:rPr>
      <w:t>593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AE6" w:rsidRPr="00CB5CED" w:rsidP="00243AE6">
    <w:pPr>
      <w:spacing w:line="240" w:lineRule="auto"/>
      <w:jc w:val="both"/>
      <w:rPr>
        <w:sz w:val="20"/>
      </w:rPr>
    </w:pPr>
    <w:r w:rsidRPr="007C165A">
      <w:rPr>
        <w:rFonts w:ascii="Times New Roman" w:hAnsi="Times New Roman"/>
        <w:sz w:val="20"/>
        <w:szCs w:val="20"/>
      </w:rPr>
      <w:t>VARAMAnot</w:t>
    </w:r>
    <w:r w:rsidRPr="009676B0">
      <w:rPr>
        <w:rFonts w:ascii="Times New Roman" w:hAnsi="Times New Roman"/>
        <w:sz w:val="20"/>
        <w:szCs w:val="20"/>
      </w:rPr>
      <w:t>_</w:t>
    </w:r>
    <w:r w:rsidR="00A617F9">
      <w:rPr>
        <w:rFonts w:ascii="Times New Roman" w:hAnsi="Times New Roman"/>
        <w:sz w:val="20"/>
        <w:szCs w:val="20"/>
      </w:rPr>
      <w:t>12</w:t>
    </w:r>
    <w:r w:rsidR="00EA5D6A">
      <w:rPr>
        <w:rFonts w:ascii="Times New Roman" w:hAnsi="Times New Roman"/>
        <w:sz w:val="20"/>
        <w:szCs w:val="20"/>
      </w:rPr>
      <w:t>1</w:t>
    </w:r>
    <w:r w:rsidR="00203929">
      <w:rPr>
        <w:rFonts w:ascii="Times New Roman" w:hAnsi="Times New Roman"/>
        <w:sz w:val="20"/>
        <w:szCs w:val="20"/>
      </w:rPr>
      <w:t>2</w:t>
    </w:r>
    <w:r w:rsidRPr="009676B0" w:rsidR="002A75A8">
      <w:rPr>
        <w:rFonts w:ascii="Times New Roman" w:hAnsi="Times New Roman"/>
        <w:sz w:val="20"/>
        <w:szCs w:val="20"/>
      </w:rPr>
      <w:t>17</w:t>
    </w:r>
    <w:r>
      <w:rPr>
        <w:rFonts w:ascii="Times New Roman" w:hAnsi="Times New Roman"/>
        <w:sz w:val="20"/>
        <w:szCs w:val="20"/>
      </w:rPr>
      <w:t>_groz</w:t>
    </w:r>
    <w:r w:rsidR="00D225E9">
      <w:rPr>
        <w:rFonts w:ascii="Times New Roman" w:hAnsi="Times New Roman"/>
        <w:sz w:val="20"/>
        <w:szCs w:val="20"/>
      </w:rPr>
      <w:t>593</w:t>
    </w:r>
  </w:p>
  <w:p w:rsidR="00243AE6" w:rsidRPr="00CB5CED" w:rsidP="00243AE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AE6" w:rsidRPr="001116A5">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sidR="005511B5">
      <w:rPr>
        <w:rFonts w:ascii="Times New Roman" w:hAnsi="Times New Roman"/>
        <w:noProof/>
      </w:rPr>
      <w:t>6</w:t>
    </w:r>
    <w:r w:rsidRPr="001116A5">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43709"/>
    <w:multiLevelType w:val="hybridMultilevel"/>
    <w:tmpl w:val="0750CBEE"/>
    <w:lvl w:ilvl="0">
      <w:start w:val="1"/>
      <w:numFmt w:val="bullet"/>
      <w:lvlText w:val="-"/>
      <w:lvlJc w:val="left"/>
      <w:pPr>
        <w:ind w:left="644" w:hanging="360"/>
      </w:pPr>
      <w:rPr>
        <w:rFonts w:ascii="Times New Roman" w:eastAsia="Times New Roman" w:hAnsi="Times New Roman" w:cs="Times New Roman" w:hint="default"/>
      </w:rPr>
    </w:lvl>
    <w:lvl w:ilvl="1" w:tentative="1">
      <w:start w:val="1"/>
      <w:numFmt w:val="bullet"/>
      <w:lvlText w:val="o"/>
      <w:lvlJc w:val="left"/>
      <w:pPr>
        <w:ind w:left="1582" w:hanging="360"/>
      </w:pPr>
      <w:rPr>
        <w:rFonts w:ascii="Courier New" w:hAnsi="Courier New" w:cs="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5058DC"/>
    <w:multiLevelType w:val="multilevel"/>
    <w:tmpl w:val="6FC6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21299"/>
    <w:multiLevelType w:val="hybridMultilevel"/>
    <w:tmpl w:val="53AEA578"/>
    <w:lvl w:ilvl="0">
      <w:start w:val="1"/>
      <w:numFmt w:val="decimal"/>
      <w:lvlText w:val="%1."/>
      <w:lvlJc w:val="left"/>
      <w:pPr>
        <w:ind w:left="497" w:hanging="360"/>
      </w:pPr>
      <w:rPr>
        <w:rFonts w:hint="default"/>
      </w:rPr>
    </w:lvl>
    <w:lvl w:ilvl="1" w:tentative="1">
      <w:start w:val="1"/>
      <w:numFmt w:val="lowerLetter"/>
      <w:lvlText w:val="%2."/>
      <w:lvlJc w:val="left"/>
      <w:pPr>
        <w:ind w:left="1217" w:hanging="360"/>
      </w:pPr>
    </w:lvl>
    <w:lvl w:ilvl="2" w:tentative="1">
      <w:start w:val="1"/>
      <w:numFmt w:val="lowerRoman"/>
      <w:lvlText w:val="%3."/>
      <w:lvlJc w:val="right"/>
      <w:pPr>
        <w:ind w:left="1937" w:hanging="180"/>
      </w:pPr>
    </w:lvl>
    <w:lvl w:ilvl="3" w:tentative="1">
      <w:start w:val="1"/>
      <w:numFmt w:val="decimal"/>
      <w:lvlText w:val="%4."/>
      <w:lvlJc w:val="left"/>
      <w:pPr>
        <w:ind w:left="2657" w:hanging="360"/>
      </w:pPr>
    </w:lvl>
    <w:lvl w:ilvl="4" w:tentative="1">
      <w:start w:val="1"/>
      <w:numFmt w:val="lowerLetter"/>
      <w:lvlText w:val="%5."/>
      <w:lvlJc w:val="left"/>
      <w:pPr>
        <w:ind w:left="3377" w:hanging="360"/>
      </w:pPr>
    </w:lvl>
    <w:lvl w:ilvl="5" w:tentative="1">
      <w:start w:val="1"/>
      <w:numFmt w:val="lowerRoman"/>
      <w:lvlText w:val="%6."/>
      <w:lvlJc w:val="right"/>
      <w:pPr>
        <w:ind w:left="4097" w:hanging="180"/>
      </w:pPr>
    </w:lvl>
    <w:lvl w:ilvl="6" w:tentative="1">
      <w:start w:val="1"/>
      <w:numFmt w:val="decimal"/>
      <w:lvlText w:val="%7."/>
      <w:lvlJc w:val="left"/>
      <w:pPr>
        <w:ind w:left="4817" w:hanging="360"/>
      </w:pPr>
    </w:lvl>
    <w:lvl w:ilvl="7" w:tentative="1">
      <w:start w:val="1"/>
      <w:numFmt w:val="lowerLetter"/>
      <w:lvlText w:val="%8."/>
      <w:lvlJc w:val="left"/>
      <w:pPr>
        <w:ind w:left="5537" w:hanging="360"/>
      </w:pPr>
    </w:lvl>
    <w:lvl w:ilvl="8" w:tentative="1">
      <w:start w:val="1"/>
      <w:numFmt w:val="lowerRoman"/>
      <w:lvlText w:val="%9."/>
      <w:lvlJc w:val="right"/>
      <w:pPr>
        <w:ind w:left="6257" w:hanging="180"/>
      </w:pPr>
    </w:lvl>
  </w:abstractNum>
  <w:abstractNum w:abstractNumId="4">
    <w:nsid w:val="105550CB"/>
    <w:multiLevelType w:val="hybridMultilevel"/>
    <w:tmpl w:val="0908B396"/>
    <w:lvl w:ilvl="0">
      <w:start w:val="2014"/>
      <w:numFmt w:val="bullet"/>
      <w:lvlText w:val="-"/>
      <w:lvlJc w:val="left"/>
      <w:pPr>
        <w:ind w:left="499" w:hanging="360"/>
      </w:pPr>
      <w:rPr>
        <w:rFonts w:ascii="Times New Roman" w:eastAsia="Calibri" w:hAnsi="Times New Roman" w:cs="Times New Roman" w:hint="default"/>
      </w:rPr>
    </w:lvl>
    <w:lvl w:ilvl="1" w:tentative="1">
      <w:start w:val="1"/>
      <w:numFmt w:val="bullet"/>
      <w:lvlText w:val="o"/>
      <w:lvlJc w:val="left"/>
      <w:pPr>
        <w:ind w:left="1219" w:hanging="360"/>
      </w:pPr>
      <w:rPr>
        <w:rFonts w:ascii="Courier New" w:hAnsi="Courier New" w:cs="Courier New" w:hint="default"/>
      </w:rPr>
    </w:lvl>
    <w:lvl w:ilvl="2" w:tentative="1">
      <w:start w:val="1"/>
      <w:numFmt w:val="bullet"/>
      <w:lvlText w:val=""/>
      <w:lvlJc w:val="left"/>
      <w:pPr>
        <w:ind w:left="1939" w:hanging="360"/>
      </w:pPr>
      <w:rPr>
        <w:rFonts w:ascii="Wingdings" w:hAnsi="Wingdings" w:hint="default"/>
      </w:rPr>
    </w:lvl>
    <w:lvl w:ilvl="3" w:tentative="1">
      <w:start w:val="1"/>
      <w:numFmt w:val="bullet"/>
      <w:lvlText w:val=""/>
      <w:lvlJc w:val="left"/>
      <w:pPr>
        <w:ind w:left="2659" w:hanging="360"/>
      </w:pPr>
      <w:rPr>
        <w:rFonts w:ascii="Symbol" w:hAnsi="Symbol" w:hint="default"/>
      </w:rPr>
    </w:lvl>
    <w:lvl w:ilvl="4" w:tentative="1">
      <w:start w:val="1"/>
      <w:numFmt w:val="bullet"/>
      <w:lvlText w:val="o"/>
      <w:lvlJc w:val="left"/>
      <w:pPr>
        <w:ind w:left="3379" w:hanging="360"/>
      </w:pPr>
      <w:rPr>
        <w:rFonts w:ascii="Courier New" w:hAnsi="Courier New" w:cs="Courier New" w:hint="default"/>
      </w:rPr>
    </w:lvl>
    <w:lvl w:ilvl="5" w:tentative="1">
      <w:start w:val="1"/>
      <w:numFmt w:val="bullet"/>
      <w:lvlText w:val=""/>
      <w:lvlJc w:val="left"/>
      <w:pPr>
        <w:ind w:left="4099" w:hanging="360"/>
      </w:pPr>
      <w:rPr>
        <w:rFonts w:ascii="Wingdings" w:hAnsi="Wingdings" w:hint="default"/>
      </w:rPr>
    </w:lvl>
    <w:lvl w:ilvl="6" w:tentative="1">
      <w:start w:val="1"/>
      <w:numFmt w:val="bullet"/>
      <w:lvlText w:val=""/>
      <w:lvlJc w:val="left"/>
      <w:pPr>
        <w:ind w:left="4819" w:hanging="360"/>
      </w:pPr>
      <w:rPr>
        <w:rFonts w:ascii="Symbol" w:hAnsi="Symbol" w:hint="default"/>
      </w:rPr>
    </w:lvl>
    <w:lvl w:ilvl="7" w:tentative="1">
      <w:start w:val="1"/>
      <w:numFmt w:val="bullet"/>
      <w:lvlText w:val="o"/>
      <w:lvlJc w:val="left"/>
      <w:pPr>
        <w:ind w:left="5539" w:hanging="360"/>
      </w:pPr>
      <w:rPr>
        <w:rFonts w:ascii="Courier New" w:hAnsi="Courier New" w:cs="Courier New" w:hint="default"/>
      </w:rPr>
    </w:lvl>
    <w:lvl w:ilvl="8" w:tentative="1">
      <w:start w:val="1"/>
      <w:numFmt w:val="bullet"/>
      <w:lvlText w:val=""/>
      <w:lvlJc w:val="left"/>
      <w:pPr>
        <w:ind w:left="6259" w:hanging="360"/>
      </w:pPr>
      <w:rPr>
        <w:rFonts w:ascii="Wingdings" w:hAnsi="Wingdings" w:hint="default"/>
      </w:rPr>
    </w:lvl>
  </w:abstractNum>
  <w:abstractNum w:abstractNumId="5">
    <w:nsid w:val="11E82C1A"/>
    <w:multiLevelType w:val="hybridMultilevel"/>
    <w:tmpl w:val="F7BA3C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297265"/>
    <w:multiLevelType w:val="hybridMultilevel"/>
    <w:tmpl w:val="C834F5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C4E1453"/>
    <w:multiLevelType w:val="hybridMultilevel"/>
    <w:tmpl w:val="13D4F4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DAB523F"/>
    <w:multiLevelType w:val="hybridMultilevel"/>
    <w:tmpl w:val="F61E9D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AE0505"/>
    <w:multiLevelType w:val="hybridMultilevel"/>
    <w:tmpl w:val="9A949A50"/>
    <w:lvl w:ilvl="0">
      <w:start w:val="1"/>
      <w:numFmt w:val="decimal"/>
      <w:lvlText w:val="%1)"/>
      <w:lvlJc w:val="left"/>
      <w:pPr>
        <w:ind w:left="777" w:hanging="360"/>
      </w:pPr>
    </w:lvl>
    <w:lvl w:ilvl="1" w:tentative="1">
      <w:start w:val="1"/>
      <w:numFmt w:val="lowerLetter"/>
      <w:lvlText w:val="%2."/>
      <w:lvlJc w:val="left"/>
      <w:pPr>
        <w:ind w:left="1497" w:hanging="360"/>
      </w:pPr>
    </w:lvl>
    <w:lvl w:ilvl="2" w:tentative="1">
      <w:start w:val="1"/>
      <w:numFmt w:val="lowerRoman"/>
      <w:lvlText w:val="%3."/>
      <w:lvlJc w:val="right"/>
      <w:pPr>
        <w:ind w:left="2217" w:hanging="180"/>
      </w:pPr>
    </w:lvl>
    <w:lvl w:ilvl="3" w:tentative="1">
      <w:start w:val="1"/>
      <w:numFmt w:val="decimal"/>
      <w:lvlText w:val="%4."/>
      <w:lvlJc w:val="left"/>
      <w:pPr>
        <w:ind w:left="2937" w:hanging="360"/>
      </w:pPr>
    </w:lvl>
    <w:lvl w:ilvl="4" w:tentative="1">
      <w:start w:val="1"/>
      <w:numFmt w:val="lowerLetter"/>
      <w:lvlText w:val="%5."/>
      <w:lvlJc w:val="left"/>
      <w:pPr>
        <w:ind w:left="3657" w:hanging="360"/>
      </w:pPr>
    </w:lvl>
    <w:lvl w:ilvl="5" w:tentative="1">
      <w:start w:val="1"/>
      <w:numFmt w:val="lowerRoman"/>
      <w:lvlText w:val="%6."/>
      <w:lvlJc w:val="right"/>
      <w:pPr>
        <w:ind w:left="4377" w:hanging="180"/>
      </w:pPr>
    </w:lvl>
    <w:lvl w:ilvl="6" w:tentative="1">
      <w:start w:val="1"/>
      <w:numFmt w:val="decimal"/>
      <w:lvlText w:val="%7."/>
      <w:lvlJc w:val="left"/>
      <w:pPr>
        <w:ind w:left="5097" w:hanging="360"/>
      </w:pPr>
    </w:lvl>
    <w:lvl w:ilvl="7" w:tentative="1">
      <w:start w:val="1"/>
      <w:numFmt w:val="lowerLetter"/>
      <w:lvlText w:val="%8."/>
      <w:lvlJc w:val="left"/>
      <w:pPr>
        <w:ind w:left="5817" w:hanging="360"/>
      </w:pPr>
    </w:lvl>
    <w:lvl w:ilvl="8" w:tentative="1">
      <w:start w:val="1"/>
      <w:numFmt w:val="lowerRoman"/>
      <w:lvlText w:val="%9."/>
      <w:lvlJc w:val="right"/>
      <w:pPr>
        <w:ind w:left="6537" w:hanging="180"/>
      </w:pPr>
    </w:lvl>
  </w:abstractNum>
  <w:abstractNum w:abstractNumId="10">
    <w:nsid w:val="2944405F"/>
    <w:multiLevelType w:val="hybridMultilevel"/>
    <w:tmpl w:val="2B12BB3E"/>
    <w:lvl w:ilvl="0">
      <w:start w:val="3"/>
      <w:numFmt w:val="bullet"/>
      <w:lvlText w:val="-"/>
      <w:lvlJc w:val="left"/>
      <w:pPr>
        <w:ind w:left="417" w:hanging="360"/>
      </w:pPr>
      <w:rPr>
        <w:rFonts w:ascii="Times New Roman" w:eastAsia="Calibri"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1">
    <w:nsid w:val="2C4330B4"/>
    <w:multiLevelType w:val="hybridMultilevel"/>
    <w:tmpl w:val="46C6A3A6"/>
    <w:lvl w:ilvl="0">
      <w:start w:val="1"/>
      <w:numFmt w:val="decimal"/>
      <w:lvlText w:val="%1."/>
      <w:lvlJc w:val="left"/>
      <w:pPr>
        <w:ind w:left="499" w:hanging="360"/>
      </w:pPr>
      <w:rPr>
        <w:rFonts w:ascii="Times New Roman" w:eastAsia="Calibri" w:hAnsi="Times New Roman" w:cs="Times New Roman" w:hint="default"/>
      </w:rPr>
    </w:lvl>
    <w:lvl w:ilvl="1" w:tentative="1">
      <w:start w:val="1"/>
      <w:numFmt w:val="lowerLetter"/>
      <w:lvlText w:val="%2."/>
      <w:lvlJc w:val="left"/>
      <w:pPr>
        <w:ind w:left="1219" w:hanging="360"/>
      </w:pPr>
    </w:lvl>
    <w:lvl w:ilvl="2" w:tentative="1">
      <w:start w:val="1"/>
      <w:numFmt w:val="lowerRoman"/>
      <w:lvlText w:val="%3."/>
      <w:lvlJc w:val="right"/>
      <w:pPr>
        <w:ind w:left="1939" w:hanging="180"/>
      </w:pPr>
    </w:lvl>
    <w:lvl w:ilvl="3" w:tentative="1">
      <w:start w:val="1"/>
      <w:numFmt w:val="decimal"/>
      <w:lvlText w:val="%4."/>
      <w:lvlJc w:val="left"/>
      <w:pPr>
        <w:ind w:left="2659" w:hanging="360"/>
      </w:pPr>
    </w:lvl>
    <w:lvl w:ilvl="4" w:tentative="1">
      <w:start w:val="1"/>
      <w:numFmt w:val="lowerLetter"/>
      <w:lvlText w:val="%5."/>
      <w:lvlJc w:val="left"/>
      <w:pPr>
        <w:ind w:left="3379" w:hanging="360"/>
      </w:pPr>
    </w:lvl>
    <w:lvl w:ilvl="5" w:tentative="1">
      <w:start w:val="1"/>
      <w:numFmt w:val="lowerRoman"/>
      <w:lvlText w:val="%6."/>
      <w:lvlJc w:val="right"/>
      <w:pPr>
        <w:ind w:left="4099" w:hanging="180"/>
      </w:pPr>
    </w:lvl>
    <w:lvl w:ilvl="6" w:tentative="1">
      <w:start w:val="1"/>
      <w:numFmt w:val="decimal"/>
      <w:lvlText w:val="%7."/>
      <w:lvlJc w:val="left"/>
      <w:pPr>
        <w:ind w:left="4819" w:hanging="360"/>
      </w:pPr>
    </w:lvl>
    <w:lvl w:ilvl="7" w:tentative="1">
      <w:start w:val="1"/>
      <w:numFmt w:val="lowerLetter"/>
      <w:lvlText w:val="%8."/>
      <w:lvlJc w:val="left"/>
      <w:pPr>
        <w:ind w:left="5539" w:hanging="360"/>
      </w:pPr>
    </w:lvl>
    <w:lvl w:ilvl="8" w:tentative="1">
      <w:start w:val="1"/>
      <w:numFmt w:val="lowerRoman"/>
      <w:lvlText w:val="%9."/>
      <w:lvlJc w:val="right"/>
      <w:pPr>
        <w:ind w:left="6259" w:hanging="180"/>
      </w:pPr>
    </w:lvl>
  </w:abstractNum>
  <w:abstractNum w:abstractNumId="12">
    <w:nsid w:val="2F4056A2"/>
    <w:multiLevelType w:val="hybridMultilevel"/>
    <w:tmpl w:val="F738B738"/>
    <w:lvl w:ilvl="0">
      <w:start w:val="1"/>
      <w:numFmt w:val="decimal"/>
      <w:lvlText w:val="%1."/>
      <w:lvlJc w:val="left"/>
      <w:pPr>
        <w:ind w:left="497" w:hanging="360"/>
      </w:pPr>
      <w:rPr>
        <w:rFonts w:hint="default"/>
      </w:rPr>
    </w:lvl>
    <w:lvl w:ilvl="1" w:tentative="1">
      <w:start w:val="1"/>
      <w:numFmt w:val="lowerLetter"/>
      <w:lvlText w:val="%2."/>
      <w:lvlJc w:val="left"/>
      <w:pPr>
        <w:ind w:left="1217" w:hanging="360"/>
      </w:pPr>
    </w:lvl>
    <w:lvl w:ilvl="2" w:tentative="1">
      <w:start w:val="1"/>
      <w:numFmt w:val="lowerRoman"/>
      <w:lvlText w:val="%3."/>
      <w:lvlJc w:val="right"/>
      <w:pPr>
        <w:ind w:left="1937" w:hanging="180"/>
      </w:pPr>
    </w:lvl>
    <w:lvl w:ilvl="3" w:tentative="1">
      <w:start w:val="1"/>
      <w:numFmt w:val="decimal"/>
      <w:lvlText w:val="%4."/>
      <w:lvlJc w:val="left"/>
      <w:pPr>
        <w:ind w:left="2657" w:hanging="360"/>
      </w:pPr>
    </w:lvl>
    <w:lvl w:ilvl="4" w:tentative="1">
      <w:start w:val="1"/>
      <w:numFmt w:val="lowerLetter"/>
      <w:lvlText w:val="%5."/>
      <w:lvlJc w:val="left"/>
      <w:pPr>
        <w:ind w:left="3377" w:hanging="360"/>
      </w:pPr>
    </w:lvl>
    <w:lvl w:ilvl="5" w:tentative="1">
      <w:start w:val="1"/>
      <w:numFmt w:val="lowerRoman"/>
      <w:lvlText w:val="%6."/>
      <w:lvlJc w:val="right"/>
      <w:pPr>
        <w:ind w:left="4097" w:hanging="180"/>
      </w:pPr>
    </w:lvl>
    <w:lvl w:ilvl="6" w:tentative="1">
      <w:start w:val="1"/>
      <w:numFmt w:val="decimal"/>
      <w:lvlText w:val="%7."/>
      <w:lvlJc w:val="left"/>
      <w:pPr>
        <w:ind w:left="4817" w:hanging="360"/>
      </w:pPr>
    </w:lvl>
    <w:lvl w:ilvl="7" w:tentative="1">
      <w:start w:val="1"/>
      <w:numFmt w:val="lowerLetter"/>
      <w:lvlText w:val="%8."/>
      <w:lvlJc w:val="left"/>
      <w:pPr>
        <w:ind w:left="5537" w:hanging="360"/>
      </w:pPr>
    </w:lvl>
    <w:lvl w:ilvl="8" w:tentative="1">
      <w:start w:val="1"/>
      <w:numFmt w:val="lowerRoman"/>
      <w:lvlText w:val="%9."/>
      <w:lvlJc w:val="right"/>
      <w:pPr>
        <w:ind w:left="6257" w:hanging="180"/>
      </w:pPr>
    </w:lvl>
  </w:abstractNum>
  <w:abstractNum w:abstractNumId="13">
    <w:nsid w:val="32645BEF"/>
    <w:multiLevelType w:val="hybridMultilevel"/>
    <w:tmpl w:val="81066C24"/>
    <w:lvl w:ilvl="0">
      <w:start w:val="2014"/>
      <w:numFmt w:val="bullet"/>
      <w:lvlText w:val="-"/>
      <w:lvlJc w:val="left"/>
      <w:pPr>
        <w:ind w:left="420" w:hanging="360"/>
      </w:pPr>
      <w:rPr>
        <w:rFonts w:ascii="Times New Roman" w:eastAsia="Calibri"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4">
    <w:nsid w:val="41D0025A"/>
    <w:multiLevelType w:val="hybridMultilevel"/>
    <w:tmpl w:val="B43289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1FE7163"/>
    <w:multiLevelType w:val="hybridMultilevel"/>
    <w:tmpl w:val="459A7C6C"/>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6">
    <w:nsid w:val="48B04E60"/>
    <w:multiLevelType w:val="hybridMultilevel"/>
    <w:tmpl w:val="26282DB4"/>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8C02390"/>
    <w:multiLevelType w:val="hybridMultilevel"/>
    <w:tmpl w:val="EF227934"/>
    <w:lvl w:ilvl="0">
      <w:start w:val="2014"/>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BED7D84"/>
    <w:multiLevelType w:val="hybridMultilevel"/>
    <w:tmpl w:val="1146179C"/>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9">
    <w:nsid w:val="4C0533FF"/>
    <w:multiLevelType w:val="hybridMultilevel"/>
    <w:tmpl w:val="03A08396"/>
    <w:lvl w:ilvl="0">
      <w:start w:val="1"/>
      <w:numFmt w:val="bullet"/>
      <w:lvlText w:val=""/>
      <w:lvlJc w:val="left"/>
      <w:pPr>
        <w:ind w:left="862" w:hanging="360"/>
      </w:pPr>
      <w:rPr>
        <w:rFonts w:ascii="Symbol" w:hAnsi="Symbol" w:hint="default"/>
      </w:rPr>
    </w:lvl>
    <w:lvl w:ilvl="1" w:tentative="1">
      <w:start w:val="1"/>
      <w:numFmt w:val="bullet"/>
      <w:lvlText w:val="o"/>
      <w:lvlJc w:val="left"/>
      <w:pPr>
        <w:ind w:left="1582" w:hanging="360"/>
      </w:pPr>
      <w:rPr>
        <w:rFonts w:ascii="Courier New" w:hAnsi="Courier New" w:cs="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abstractNum w:abstractNumId="20">
    <w:nsid w:val="4DD644C1"/>
    <w:multiLevelType w:val="hybridMultilevel"/>
    <w:tmpl w:val="A7B2CA6E"/>
    <w:lvl w:ilvl="0">
      <w:start w:val="1"/>
      <w:numFmt w:val="bullet"/>
      <w:lvlText w:val="-"/>
      <w:lvlJc w:val="left"/>
      <w:pPr>
        <w:ind w:left="502" w:hanging="360"/>
      </w:pPr>
      <w:rPr>
        <w:rFonts w:ascii="Times New Roman" w:eastAsia="Times New Roman" w:hAnsi="Times New Roman" w:cs="Times New Roman" w:hint="default"/>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21">
    <w:nsid w:val="4ED0508D"/>
    <w:multiLevelType w:val="hybridMultilevel"/>
    <w:tmpl w:val="802815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F332D52"/>
    <w:multiLevelType w:val="hybridMultilevel"/>
    <w:tmpl w:val="0CBE4F80"/>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3">
    <w:nsid w:val="51515C55"/>
    <w:multiLevelType w:val="multilevel"/>
    <w:tmpl w:val="C7C438B2"/>
    <w:lvl w:ilvl="0">
      <w:start w:val="1"/>
      <w:numFmt w:val="decimal"/>
      <w:lvlText w:val="%1."/>
      <w:lvlJc w:val="left"/>
      <w:pPr>
        <w:ind w:left="720" w:hanging="360"/>
      </w:pPr>
      <w:rPr>
        <w:rFonts w:hint="default"/>
      </w:rPr>
    </w:lvl>
    <w:lvl w:ilvl="1">
      <w:start w:val="5"/>
      <w:numFmt w:val="decimalZero"/>
      <w:isLgl/>
      <w:lvlText w:val="%1.%2"/>
      <w:lvlJc w:val="left"/>
      <w:pPr>
        <w:ind w:left="1320" w:hanging="960"/>
      </w:pPr>
      <w:rPr>
        <w:rFonts w:hint="default"/>
      </w:rPr>
    </w:lvl>
    <w:lvl w:ilvl="2">
      <w:start w:val="2017"/>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320" w:hanging="96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5352C4A"/>
    <w:multiLevelType w:val="hybridMultilevel"/>
    <w:tmpl w:val="BA6067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6833238"/>
    <w:multiLevelType w:val="hybridMultilevel"/>
    <w:tmpl w:val="FD9A92E0"/>
    <w:lvl w:ilvl="0">
      <w:start w:val="1"/>
      <w:numFmt w:val="decimal"/>
      <w:lvlText w:val="%1."/>
      <w:lvlJc w:val="left"/>
      <w:pPr>
        <w:ind w:left="529" w:hanging="360"/>
      </w:pPr>
      <w:rPr>
        <w:rFonts w:hint="default"/>
      </w:rPr>
    </w:lvl>
    <w:lvl w:ilvl="1" w:tentative="1">
      <w:start w:val="1"/>
      <w:numFmt w:val="lowerLetter"/>
      <w:lvlText w:val="%2."/>
      <w:lvlJc w:val="left"/>
      <w:pPr>
        <w:ind w:left="1249" w:hanging="360"/>
      </w:pPr>
    </w:lvl>
    <w:lvl w:ilvl="2" w:tentative="1">
      <w:start w:val="1"/>
      <w:numFmt w:val="lowerRoman"/>
      <w:lvlText w:val="%3."/>
      <w:lvlJc w:val="right"/>
      <w:pPr>
        <w:ind w:left="1969" w:hanging="180"/>
      </w:pPr>
    </w:lvl>
    <w:lvl w:ilvl="3" w:tentative="1">
      <w:start w:val="1"/>
      <w:numFmt w:val="decimal"/>
      <w:lvlText w:val="%4."/>
      <w:lvlJc w:val="left"/>
      <w:pPr>
        <w:ind w:left="2689" w:hanging="360"/>
      </w:pPr>
    </w:lvl>
    <w:lvl w:ilvl="4" w:tentative="1">
      <w:start w:val="1"/>
      <w:numFmt w:val="lowerLetter"/>
      <w:lvlText w:val="%5."/>
      <w:lvlJc w:val="left"/>
      <w:pPr>
        <w:ind w:left="3409" w:hanging="360"/>
      </w:pPr>
    </w:lvl>
    <w:lvl w:ilvl="5" w:tentative="1">
      <w:start w:val="1"/>
      <w:numFmt w:val="lowerRoman"/>
      <w:lvlText w:val="%6."/>
      <w:lvlJc w:val="right"/>
      <w:pPr>
        <w:ind w:left="4129" w:hanging="180"/>
      </w:pPr>
    </w:lvl>
    <w:lvl w:ilvl="6" w:tentative="1">
      <w:start w:val="1"/>
      <w:numFmt w:val="decimal"/>
      <w:lvlText w:val="%7."/>
      <w:lvlJc w:val="left"/>
      <w:pPr>
        <w:ind w:left="4849" w:hanging="360"/>
      </w:pPr>
    </w:lvl>
    <w:lvl w:ilvl="7" w:tentative="1">
      <w:start w:val="1"/>
      <w:numFmt w:val="lowerLetter"/>
      <w:lvlText w:val="%8."/>
      <w:lvlJc w:val="left"/>
      <w:pPr>
        <w:ind w:left="5569" w:hanging="360"/>
      </w:pPr>
    </w:lvl>
    <w:lvl w:ilvl="8" w:tentative="1">
      <w:start w:val="1"/>
      <w:numFmt w:val="lowerRoman"/>
      <w:lvlText w:val="%9."/>
      <w:lvlJc w:val="right"/>
      <w:pPr>
        <w:ind w:left="6289" w:hanging="180"/>
      </w:pPr>
    </w:lvl>
  </w:abstractNum>
  <w:abstractNum w:abstractNumId="26">
    <w:nsid w:val="58BA1CE9"/>
    <w:multiLevelType w:val="hybridMultilevel"/>
    <w:tmpl w:val="215E7DF4"/>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E60637A"/>
    <w:multiLevelType w:val="hybridMultilevel"/>
    <w:tmpl w:val="63B0E60E"/>
    <w:lvl w:ilvl="0">
      <w:start w:val="1"/>
      <w:numFmt w:val="decimal"/>
      <w:lvlText w:val="%1."/>
      <w:lvlJc w:val="left"/>
      <w:pPr>
        <w:ind w:left="499" w:hanging="360"/>
      </w:pPr>
      <w:rPr>
        <w:rFonts w:hint="default"/>
      </w:rPr>
    </w:lvl>
    <w:lvl w:ilvl="1" w:tentative="1">
      <w:start w:val="1"/>
      <w:numFmt w:val="lowerLetter"/>
      <w:lvlText w:val="%2."/>
      <w:lvlJc w:val="left"/>
      <w:pPr>
        <w:ind w:left="1219" w:hanging="360"/>
      </w:pPr>
    </w:lvl>
    <w:lvl w:ilvl="2" w:tentative="1">
      <w:start w:val="1"/>
      <w:numFmt w:val="lowerRoman"/>
      <w:lvlText w:val="%3."/>
      <w:lvlJc w:val="right"/>
      <w:pPr>
        <w:ind w:left="1939" w:hanging="180"/>
      </w:pPr>
    </w:lvl>
    <w:lvl w:ilvl="3" w:tentative="1">
      <w:start w:val="1"/>
      <w:numFmt w:val="decimal"/>
      <w:lvlText w:val="%4."/>
      <w:lvlJc w:val="left"/>
      <w:pPr>
        <w:ind w:left="2659" w:hanging="360"/>
      </w:pPr>
    </w:lvl>
    <w:lvl w:ilvl="4" w:tentative="1">
      <w:start w:val="1"/>
      <w:numFmt w:val="lowerLetter"/>
      <w:lvlText w:val="%5."/>
      <w:lvlJc w:val="left"/>
      <w:pPr>
        <w:ind w:left="3379" w:hanging="360"/>
      </w:pPr>
    </w:lvl>
    <w:lvl w:ilvl="5" w:tentative="1">
      <w:start w:val="1"/>
      <w:numFmt w:val="lowerRoman"/>
      <w:lvlText w:val="%6."/>
      <w:lvlJc w:val="right"/>
      <w:pPr>
        <w:ind w:left="4099" w:hanging="180"/>
      </w:pPr>
    </w:lvl>
    <w:lvl w:ilvl="6" w:tentative="1">
      <w:start w:val="1"/>
      <w:numFmt w:val="decimal"/>
      <w:lvlText w:val="%7."/>
      <w:lvlJc w:val="left"/>
      <w:pPr>
        <w:ind w:left="4819" w:hanging="360"/>
      </w:pPr>
    </w:lvl>
    <w:lvl w:ilvl="7" w:tentative="1">
      <w:start w:val="1"/>
      <w:numFmt w:val="lowerLetter"/>
      <w:lvlText w:val="%8."/>
      <w:lvlJc w:val="left"/>
      <w:pPr>
        <w:ind w:left="5539" w:hanging="360"/>
      </w:pPr>
    </w:lvl>
    <w:lvl w:ilvl="8" w:tentative="1">
      <w:start w:val="1"/>
      <w:numFmt w:val="lowerRoman"/>
      <w:lvlText w:val="%9."/>
      <w:lvlJc w:val="right"/>
      <w:pPr>
        <w:ind w:left="6259" w:hanging="180"/>
      </w:pPr>
    </w:lvl>
  </w:abstractNum>
  <w:abstractNum w:abstractNumId="28">
    <w:nsid w:val="60D761E5"/>
    <w:multiLevelType w:val="hybridMultilevel"/>
    <w:tmpl w:val="802815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2D25EAD"/>
    <w:multiLevelType w:val="hybridMultilevel"/>
    <w:tmpl w:val="052A9822"/>
    <w:lvl w:ilvl="0">
      <w:start w:val="0"/>
      <w:numFmt w:val="bullet"/>
      <w:lvlText w:val="-"/>
      <w:lvlJc w:val="left"/>
      <w:pPr>
        <w:ind w:left="777" w:hanging="360"/>
      </w:pPr>
      <w:rPr>
        <w:rFonts w:ascii="Times New Roman" w:eastAsia="Calibri" w:hAnsi="Times New Roman" w:cs="Times New Roman" w:hint="default"/>
      </w:rPr>
    </w:lvl>
    <w:lvl w:ilvl="1">
      <w:start w:val="1"/>
      <w:numFmt w:val="bullet"/>
      <w:lvlText w:val="•"/>
      <w:lvlJc w:val="left"/>
      <w:pPr>
        <w:ind w:left="1497" w:hanging="360"/>
      </w:pPr>
      <w:rPr>
        <w:rFonts w:ascii="Times New Roman" w:eastAsia="Calibri" w:hAnsi="Times New Roman" w:cs="Times New Roman" w:hint="default"/>
      </w:rPr>
    </w:lvl>
    <w:lvl w:ilvl="2" w:tentative="1">
      <w:start w:val="1"/>
      <w:numFmt w:val="bullet"/>
      <w:lvlText w:val=""/>
      <w:lvlJc w:val="left"/>
      <w:pPr>
        <w:ind w:left="2217" w:hanging="360"/>
      </w:pPr>
      <w:rPr>
        <w:rFonts w:ascii="Wingdings" w:hAnsi="Wingdings" w:hint="default"/>
      </w:rPr>
    </w:lvl>
    <w:lvl w:ilvl="3" w:tentative="1">
      <w:start w:val="1"/>
      <w:numFmt w:val="bullet"/>
      <w:lvlText w:val=""/>
      <w:lvlJc w:val="left"/>
      <w:pPr>
        <w:ind w:left="2937" w:hanging="360"/>
      </w:pPr>
      <w:rPr>
        <w:rFonts w:ascii="Symbol" w:hAnsi="Symbol" w:hint="default"/>
      </w:rPr>
    </w:lvl>
    <w:lvl w:ilvl="4" w:tentative="1">
      <w:start w:val="1"/>
      <w:numFmt w:val="bullet"/>
      <w:lvlText w:val="o"/>
      <w:lvlJc w:val="left"/>
      <w:pPr>
        <w:ind w:left="3657" w:hanging="360"/>
      </w:pPr>
      <w:rPr>
        <w:rFonts w:ascii="Courier New" w:hAnsi="Courier New" w:cs="Courier New" w:hint="default"/>
      </w:rPr>
    </w:lvl>
    <w:lvl w:ilvl="5" w:tentative="1">
      <w:start w:val="1"/>
      <w:numFmt w:val="bullet"/>
      <w:lvlText w:val=""/>
      <w:lvlJc w:val="left"/>
      <w:pPr>
        <w:ind w:left="4377" w:hanging="360"/>
      </w:pPr>
      <w:rPr>
        <w:rFonts w:ascii="Wingdings" w:hAnsi="Wingdings" w:hint="default"/>
      </w:rPr>
    </w:lvl>
    <w:lvl w:ilvl="6" w:tentative="1">
      <w:start w:val="1"/>
      <w:numFmt w:val="bullet"/>
      <w:lvlText w:val=""/>
      <w:lvlJc w:val="left"/>
      <w:pPr>
        <w:ind w:left="5097" w:hanging="360"/>
      </w:pPr>
      <w:rPr>
        <w:rFonts w:ascii="Symbol" w:hAnsi="Symbol" w:hint="default"/>
      </w:rPr>
    </w:lvl>
    <w:lvl w:ilvl="7" w:tentative="1">
      <w:start w:val="1"/>
      <w:numFmt w:val="bullet"/>
      <w:lvlText w:val="o"/>
      <w:lvlJc w:val="left"/>
      <w:pPr>
        <w:ind w:left="5817" w:hanging="360"/>
      </w:pPr>
      <w:rPr>
        <w:rFonts w:ascii="Courier New" w:hAnsi="Courier New" w:cs="Courier New" w:hint="default"/>
      </w:rPr>
    </w:lvl>
    <w:lvl w:ilvl="8" w:tentative="1">
      <w:start w:val="1"/>
      <w:numFmt w:val="bullet"/>
      <w:lvlText w:val=""/>
      <w:lvlJc w:val="left"/>
      <w:pPr>
        <w:ind w:left="6537" w:hanging="360"/>
      </w:pPr>
      <w:rPr>
        <w:rFonts w:ascii="Wingdings" w:hAnsi="Wingdings" w:hint="default"/>
      </w:rPr>
    </w:lvl>
  </w:abstractNum>
  <w:abstractNum w:abstractNumId="30">
    <w:nsid w:val="63910C64"/>
    <w:multiLevelType w:val="hybridMultilevel"/>
    <w:tmpl w:val="5EC0631E"/>
    <w:lvl w:ilvl="0">
      <w:start w:val="1"/>
      <w:numFmt w:val="bullet"/>
      <w:lvlText w:val="-"/>
      <w:lvlJc w:val="left"/>
      <w:pPr>
        <w:ind w:left="417" w:hanging="360"/>
      </w:pPr>
      <w:rPr>
        <w:rFonts w:ascii="Times New Roman" w:eastAsia="Calibri"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31">
    <w:nsid w:val="66C429B9"/>
    <w:multiLevelType w:val="hybridMultilevel"/>
    <w:tmpl w:val="903819C2"/>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32">
    <w:nsid w:val="66F470F8"/>
    <w:multiLevelType w:val="hybridMultilevel"/>
    <w:tmpl w:val="2F1E01E8"/>
    <w:lvl w:ilvl="0">
      <w:start w:val="1"/>
      <w:numFmt w:val="bullet"/>
      <w:lvlText w:val=""/>
      <w:lvlJc w:val="left"/>
      <w:pPr>
        <w:ind w:left="862" w:hanging="360"/>
      </w:pPr>
      <w:rPr>
        <w:rFonts w:ascii="Symbol" w:hAnsi="Symbol" w:hint="default"/>
      </w:rPr>
    </w:lvl>
    <w:lvl w:ilvl="1" w:tentative="1">
      <w:start w:val="1"/>
      <w:numFmt w:val="bullet"/>
      <w:lvlText w:val="o"/>
      <w:lvlJc w:val="left"/>
      <w:pPr>
        <w:ind w:left="1582" w:hanging="360"/>
      </w:pPr>
      <w:rPr>
        <w:rFonts w:ascii="Courier New" w:hAnsi="Courier New" w:cs="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abstractNum w:abstractNumId="33">
    <w:nsid w:val="69053448"/>
    <w:multiLevelType w:val="hybridMultilevel"/>
    <w:tmpl w:val="ED683456"/>
    <w:lvl w:ilvl="0">
      <w:start w:val="0"/>
      <w:numFmt w:val="bullet"/>
      <w:lvlText w:val="-"/>
      <w:lvlJc w:val="left"/>
      <w:pPr>
        <w:ind w:left="777" w:hanging="360"/>
      </w:pPr>
      <w:rPr>
        <w:rFonts w:ascii="Times New Roman" w:eastAsia="Calibri" w:hAnsi="Times New Roman" w:cs="Times New Roman" w:hint="default"/>
      </w:rPr>
    </w:lvl>
    <w:lvl w:ilvl="1" w:tentative="1">
      <w:start w:val="1"/>
      <w:numFmt w:val="bullet"/>
      <w:lvlText w:val="o"/>
      <w:lvlJc w:val="left"/>
      <w:pPr>
        <w:ind w:left="1497" w:hanging="360"/>
      </w:pPr>
      <w:rPr>
        <w:rFonts w:ascii="Courier New" w:hAnsi="Courier New" w:cs="Courier New" w:hint="default"/>
      </w:rPr>
    </w:lvl>
    <w:lvl w:ilvl="2" w:tentative="1">
      <w:start w:val="1"/>
      <w:numFmt w:val="bullet"/>
      <w:lvlText w:val=""/>
      <w:lvlJc w:val="left"/>
      <w:pPr>
        <w:ind w:left="2217" w:hanging="360"/>
      </w:pPr>
      <w:rPr>
        <w:rFonts w:ascii="Wingdings" w:hAnsi="Wingdings" w:hint="default"/>
      </w:rPr>
    </w:lvl>
    <w:lvl w:ilvl="3" w:tentative="1">
      <w:start w:val="1"/>
      <w:numFmt w:val="bullet"/>
      <w:lvlText w:val=""/>
      <w:lvlJc w:val="left"/>
      <w:pPr>
        <w:ind w:left="2937" w:hanging="360"/>
      </w:pPr>
      <w:rPr>
        <w:rFonts w:ascii="Symbol" w:hAnsi="Symbol" w:hint="default"/>
      </w:rPr>
    </w:lvl>
    <w:lvl w:ilvl="4" w:tentative="1">
      <w:start w:val="1"/>
      <w:numFmt w:val="bullet"/>
      <w:lvlText w:val="o"/>
      <w:lvlJc w:val="left"/>
      <w:pPr>
        <w:ind w:left="3657" w:hanging="360"/>
      </w:pPr>
      <w:rPr>
        <w:rFonts w:ascii="Courier New" w:hAnsi="Courier New" w:cs="Courier New" w:hint="default"/>
      </w:rPr>
    </w:lvl>
    <w:lvl w:ilvl="5" w:tentative="1">
      <w:start w:val="1"/>
      <w:numFmt w:val="bullet"/>
      <w:lvlText w:val=""/>
      <w:lvlJc w:val="left"/>
      <w:pPr>
        <w:ind w:left="4377" w:hanging="360"/>
      </w:pPr>
      <w:rPr>
        <w:rFonts w:ascii="Wingdings" w:hAnsi="Wingdings" w:hint="default"/>
      </w:rPr>
    </w:lvl>
    <w:lvl w:ilvl="6" w:tentative="1">
      <w:start w:val="1"/>
      <w:numFmt w:val="bullet"/>
      <w:lvlText w:val=""/>
      <w:lvlJc w:val="left"/>
      <w:pPr>
        <w:ind w:left="5097" w:hanging="360"/>
      </w:pPr>
      <w:rPr>
        <w:rFonts w:ascii="Symbol" w:hAnsi="Symbol" w:hint="default"/>
      </w:rPr>
    </w:lvl>
    <w:lvl w:ilvl="7" w:tentative="1">
      <w:start w:val="1"/>
      <w:numFmt w:val="bullet"/>
      <w:lvlText w:val="o"/>
      <w:lvlJc w:val="left"/>
      <w:pPr>
        <w:ind w:left="5817" w:hanging="360"/>
      </w:pPr>
      <w:rPr>
        <w:rFonts w:ascii="Courier New" w:hAnsi="Courier New" w:cs="Courier New" w:hint="default"/>
      </w:rPr>
    </w:lvl>
    <w:lvl w:ilvl="8" w:tentative="1">
      <w:start w:val="1"/>
      <w:numFmt w:val="bullet"/>
      <w:lvlText w:val=""/>
      <w:lvlJc w:val="left"/>
      <w:pPr>
        <w:ind w:left="6537" w:hanging="360"/>
      </w:pPr>
      <w:rPr>
        <w:rFonts w:ascii="Wingdings" w:hAnsi="Wingdings" w:hint="default"/>
      </w:rPr>
    </w:lvl>
  </w:abstractNum>
  <w:abstractNum w:abstractNumId="34">
    <w:nsid w:val="6A06318C"/>
    <w:multiLevelType w:val="hybridMultilevel"/>
    <w:tmpl w:val="6FBAAFDA"/>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35">
    <w:nsid w:val="6AD41150"/>
    <w:multiLevelType w:val="hybridMultilevel"/>
    <w:tmpl w:val="763C7CEA"/>
    <w:lvl w:ilvl="0">
      <w:start w:val="1"/>
      <w:numFmt w:val="lowerLetter"/>
      <w:lvlText w:val="%1)"/>
      <w:lvlJc w:val="left"/>
      <w:pPr>
        <w:ind w:left="777" w:hanging="360"/>
      </w:pPr>
      <w:rPr>
        <w:rFonts w:hint="default"/>
      </w:rPr>
    </w:lvl>
    <w:lvl w:ilvl="1" w:tentative="1">
      <w:start w:val="1"/>
      <w:numFmt w:val="lowerLetter"/>
      <w:lvlText w:val="%2."/>
      <w:lvlJc w:val="left"/>
      <w:pPr>
        <w:ind w:left="1497" w:hanging="360"/>
      </w:pPr>
    </w:lvl>
    <w:lvl w:ilvl="2" w:tentative="1">
      <w:start w:val="1"/>
      <w:numFmt w:val="lowerRoman"/>
      <w:lvlText w:val="%3."/>
      <w:lvlJc w:val="right"/>
      <w:pPr>
        <w:ind w:left="2217" w:hanging="180"/>
      </w:pPr>
    </w:lvl>
    <w:lvl w:ilvl="3" w:tentative="1">
      <w:start w:val="1"/>
      <w:numFmt w:val="decimal"/>
      <w:lvlText w:val="%4."/>
      <w:lvlJc w:val="left"/>
      <w:pPr>
        <w:ind w:left="2937" w:hanging="360"/>
      </w:pPr>
    </w:lvl>
    <w:lvl w:ilvl="4" w:tentative="1">
      <w:start w:val="1"/>
      <w:numFmt w:val="lowerLetter"/>
      <w:lvlText w:val="%5."/>
      <w:lvlJc w:val="left"/>
      <w:pPr>
        <w:ind w:left="3657" w:hanging="360"/>
      </w:pPr>
    </w:lvl>
    <w:lvl w:ilvl="5" w:tentative="1">
      <w:start w:val="1"/>
      <w:numFmt w:val="lowerRoman"/>
      <w:lvlText w:val="%6."/>
      <w:lvlJc w:val="right"/>
      <w:pPr>
        <w:ind w:left="4377" w:hanging="180"/>
      </w:pPr>
    </w:lvl>
    <w:lvl w:ilvl="6" w:tentative="1">
      <w:start w:val="1"/>
      <w:numFmt w:val="decimal"/>
      <w:lvlText w:val="%7."/>
      <w:lvlJc w:val="left"/>
      <w:pPr>
        <w:ind w:left="5097" w:hanging="360"/>
      </w:pPr>
    </w:lvl>
    <w:lvl w:ilvl="7" w:tentative="1">
      <w:start w:val="1"/>
      <w:numFmt w:val="lowerLetter"/>
      <w:lvlText w:val="%8."/>
      <w:lvlJc w:val="left"/>
      <w:pPr>
        <w:ind w:left="5817" w:hanging="360"/>
      </w:pPr>
    </w:lvl>
    <w:lvl w:ilvl="8" w:tentative="1">
      <w:start w:val="1"/>
      <w:numFmt w:val="lowerRoman"/>
      <w:lvlText w:val="%9."/>
      <w:lvlJc w:val="right"/>
      <w:pPr>
        <w:ind w:left="6537" w:hanging="180"/>
      </w:pPr>
    </w:lvl>
  </w:abstractNum>
  <w:abstractNum w:abstractNumId="36">
    <w:nsid w:val="6B311536"/>
    <w:multiLevelType w:val="hybridMultilevel"/>
    <w:tmpl w:val="75A2611A"/>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7">
    <w:nsid w:val="73FA1807"/>
    <w:multiLevelType w:val="hybridMultilevel"/>
    <w:tmpl w:val="9B80E704"/>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38">
    <w:nsid w:val="797E3890"/>
    <w:multiLevelType w:val="hybridMultilevel"/>
    <w:tmpl w:val="7CF65F76"/>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33"/>
  </w:num>
  <w:num w:numId="5">
    <w:abstractNumId w:val="29"/>
  </w:num>
  <w:num w:numId="6">
    <w:abstractNumId w:val="1"/>
  </w:num>
  <w:num w:numId="7">
    <w:abstractNumId w:val="32"/>
  </w:num>
  <w:num w:numId="8">
    <w:abstractNumId w:val="20"/>
  </w:num>
  <w:num w:numId="9">
    <w:abstractNumId w:val="0"/>
  </w:num>
  <w:num w:numId="10">
    <w:abstractNumId w:val="19"/>
  </w:num>
  <w:num w:numId="11">
    <w:abstractNumId w:val="31"/>
  </w:num>
  <w:num w:numId="12">
    <w:abstractNumId w:val="22"/>
  </w:num>
  <w:num w:numId="13">
    <w:abstractNumId w:val="36"/>
  </w:num>
  <w:num w:numId="14">
    <w:abstractNumId w:val="27"/>
  </w:num>
  <w:num w:numId="15">
    <w:abstractNumId w:val="11"/>
  </w:num>
  <w:num w:numId="16">
    <w:abstractNumId w:val="4"/>
  </w:num>
  <w:num w:numId="17">
    <w:abstractNumId w:val="17"/>
  </w:num>
  <w:num w:numId="18">
    <w:abstractNumId w:val="13"/>
  </w:num>
  <w:num w:numId="19">
    <w:abstractNumId w:val="25"/>
  </w:num>
  <w:num w:numId="20">
    <w:abstractNumId w:val="18"/>
  </w:num>
  <w:num w:numId="21">
    <w:abstractNumId w:val="7"/>
  </w:num>
  <w:num w:numId="22">
    <w:abstractNumId w:val="34"/>
  </w:num>
  <w:num w:numId="23">
    <w:abstractNumId w:val="30"/>
  </w:num>
  <w:num w:numId="24">
    <w:abstractNumId w:val="9"/>
  </w:num>
  <w:num w:numId="25">
    <w:abstractNumId w:val="10"/>
  </w:num>
  <w:num w:numId="26">
    <w:abstractNumId w:val="23"/>
  </w:num>
  <w:num w:numId="27">
    <w:abstractNumId w:val="21"/>
  </w:num>
  <w:num w:numId="28">
    <w:abstractNumId w:val="14"/>
  </w:num>
  <w:num w:numId="29">
    <w:abstractNumId w:val="28"/>
  </w:num>
  <w:num w:numId="30">
    <w:abstractNumId w:val="15"/>
  </w:num>
  <w:num w:numId="31">
    <w:abstractNumId w:val="37"/>
  </w:num>
  <w:num w:numId="32">
    <w:abstractNumId w:val="35"/>
  </w:num>
  <w:num w:numId="33">
    <w:abstractNumId w:val="5"/>
  </w:num>
  <w:num w:numId="34">
    <w:abstractNumId w:val="24"/>
  </w:num>
  <w:num w:numId="35">
    <w:abstractNumId w:val="38"/>
  </w:num>
  <w:num w:numId="36">
    <w:abstractNumId w:val="2"/>
  </w:num>
  <w:num w:numId="37">
    <w:abstractNumId w:val="3"/>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B4"/>
    <w:rsid w:val="000070FB"/>
    <w:rsid w:val="00014293"/>
    <w:rsid w:val="0003076F"/>
    <w:rsid w:val="000344AE"/>
    <w:rsid w:val="00040A11"/>
    <w:rsid w:val="00047AEF"/>
    <w:rsid w:val="00053768"/>
    <w:rsid w:val="0005593C"/>
    <w:rsid w:val="00056BC8"/>
    <w:rsid w:val="00056CB9"/>
    <w:rsid w:val="00062930"/>
    <w:rsid w:val="00070C93"/>
    <w:rsid w:val="000775A2"/>
    <w:rsid w:val="000848DF"/>
    <w:rsid w:val="00090BD2"/>
    <w:rsid w:val="000A414B"/>
    <w:rsid w:val="000B0B9D"/>
    <w:rsid w:val="000B1B35"/>
    <w:rsid w:val="000C07FD"/>
    <w:rsid w:val="000C66EC"/>
    <w:rsid w:val="000C77C0"/>
    <w:rsid w:val="000D342B"/>
    <w:rsid w:val="000D606F"/>
    <w:rsid w:val="000F4F04"/>
    <w:rsid w:val="000F5069"/>
    <w:rsid w:val="000F6165"/>
    <w:rsid w:val="001004EE"/>
    <w:rsid w:val="001015B5"/>
    <w:rsid w:val="00102C11"/>
    <w:rsid w:val="00110E17"/>
    <w:rsid w:val="00110FDD"/>
    <w:rsid w:val="001116A5"/>
    <w:rsid w:val="001144B2"/>
    <w:rsid w:val="00125F5A"/>
    <w:rsid w:val="0012791B"/>
    <w:rsid w:val="00135D53"/>
    <w:rsid w:val="00137A27"/>
    <w:rsid w:val="00142E19"/>
    <w:rsid w:val="00143CC4"/>
    <w:rsid w:val="00147AF7"/>
    <w:rsid w:val="00154FCD"/>
    <w:rsid w:val="00165BBC"/>
    <w:rsid w:val="00174C21"/>
    <w:rsid w:val="00192691"/>
    <w:rsid w:val="001936C4"/>
    <w:rsid w:val="00193B6D"/>
    <w:rsid w:val="00193D01"/>
    <w:rsid w:val="00194B89"/>
    <w:rsid w:val="001B086C"/>
    <w:rsid w:val="001C7689"/>
    <w:rsid w:val="001E15CD"/>
    <w:rsid w:val="001E217A"/>
    <w:rsid w:val="001E3ACD"/>
    <w:rsid w:val="001E40E8"/>
    <w:rsid w:val="001F0A9A"/>
    <w:rsid w:val="00203929"/>
    <w:rsid w:val="002417CB"/>
    <w:rsid w:val="00243AE6"/>
    <w:rsid w:val="00257B2C"/>
    <w:rsid w:val="002670A3"/>
    <w:rsid w:val="00270AC7"/>
    <w:rsid w:val="002711DA"/>
    <w:rsid w:val="002779E6"/>
    <w:rsid w:val="00277A54"/>
    <w:rsid w:val="00285E00"/>
    <w:rsid w:val="002862C4"/>
    <w:rsid w:val="002A75A8"/>
    <w:rsid w:val="002B0AB2"/>
    <w:rsid w:val="002B38A4"/>
    <w:rsid w:val="002B4631"/>
    <w:rsid w:val="002D6CEE"/>
    <w:rsid w:val="002E0E59"/>
    <w:rsid w:val="002E4C7A"/>
    <w:rsid w:val="002F1BB4"/>
    <w:rsid w:val="002F389B"/>
    <w:rsid w:val="00304B1B"/>
    <w:rsid w:val="00304D76"/>
    <w:rsid w:val="00306BF5"/>
    <w:rsid w:val="00311CEB"/>
    <w:rsid w:val="00323334"/>
    <w:rsid w:val="003416D5"/>
    <w:rsid w:val="003448D0"/>
    <w:rsid w:val="00353CD4"/>
    <w:rsid w:val="00361D18"/>
    <w:rsid w:val="003746E2"/>
    <w:rsid w:val="00375890"/>
    <w:rsid w:val="00376D0F"/>
    <w:rsid w:val="00384140"/>
    <w:rsid w:val="00386D07"/>
    <w:rsid w:val="00386EB1"/>
    <w:rsid w:val="00387508"/>
    <w:rsid w:val="003936B4"/>
    <w:rsid w:val="0039581B"/>
    <w:rsid w:val="003B66A5"/>
    <w:rsid w:val="003C051A"/>
    <w:rsid w:val="003C4168"/>
    <w:rsid w:val="003D0AEF"/>
    <w:rsid w:val="003D34AC"/>
    <w:rsid w:val="003D48C2"/>
    <w:rsid w:val="003E1F47"/>
    <w:rsid w:val="003E5A63"/>
    <w:rsid w:val="003F05FC"/>
    <w:rsid w:val="003F22E7"/>
    <w:rsid w:val="0040017C"/>
    <w:rsid w:val="00403F4F"/>
    <w:rsid w:val="004146C0"/>
    <w:rsid w:val="004225A7"/>
    <w:rsid w:val="00431F47"/>
    <w:rsid w:val="00432573"/>
    <w:rsid w:val="0043625B"/>
    <w:rsid w:val="00451086"/>
    <w:rsid w:val="00454890"/>
    <w:rsid w:val="00463BF4"/>
    <w:rsid w:val="00464CF1"/>
    <w:rsid w:val="00467439"/>
    <w:rsid w:val="004716B0"/>
    <w:rsid w:val="00482254"/>
    <w:rsid w:val="00491ADF"/>
    <w:rsid w:val="00492404"/>
    <w:rsid w:val="004A164C"/>
    <w:rsid w:val="004A2FAC"/>
    <w:rsid w:val="004A432F"/>
    <w:rsid w:val="004B5D6B"/>
    <w:rsid w:val="004C385B"/>
    <w:rsid w:val="004C4BE0"/>
    <w:rsid w:val="004D3723"/>
    <w:rsid w:val="004D3CD6"/>
    <w:rsid w:val="004E1479"/>
    <w:rsid w:val="004E3695"/>
    <w:rsid w:val="004F0BA7"/>
    <w:rsid w:val="004F31CC"/>
    <w:rsid w:val="004F564F"/>
    <w:rsid w:val="00503090"/>
    <w:rsid w:val="0050358B"/>
    <w:rsid w:val="00510B56"/>
    <w:rsid w:val="0053057A"/>
    <w:rsid w:val="0053075E"/>
    <w:rsid w:val="00533DB6"/>
    <w:rsid w:val="00535C16"/>
    <w:rsid w:val="00536217"/>
    <w:rsid w:val="00540D42"/>
    <w:rsid w:val="005422DA"/>
    <w:rsid w:val="00544E4A"/>
    <w:rsid w:val="005511B5"/>
    <w:rsid w:val="00552D25"/>
    <w:rsid w:val="005643BC"/>
    <w:rsid w:val="0056514B"/>
    <w:rsid w:val="005770A7"/>
    <w:rsid w:val="00581219"/>
    <w:rsid w:val="00583C9F"/>
    <w:rsid w:val="005849D4"/>
    <w:rsid w:val="00586919"/>
    <w:rsid w:val="00591471"/>
    <w:rsid w:val="005A6060"/>
    <w:rsid w:val="005C190E"/>
    <w:rsid w:val="005C4687"/>
    <w:rsid w:val="005D0C6A"/>
    <w:rsid w:val="005D4A6E"/>
    <w:rsid w:val="005E1085"/>
    <w:rsid w:val="00602AF3"/>
    <w:rsid w:val="00612A31"/>
    <w:rsid w:val="0062009B"/>
    <w:rsid w:val="00623C3A"/>
    <w:rsid w:val="00630CFF"/>
    <w:rsid w:val="00633F34"/>
    <w:rsid w:val="00635170"/>
    <w:rsid w:val="00637F24"/>
    <w:rsid w:val="00641A3F"/>
    <w:rsid w:val="00645425"/>
    <w:rsid w:val="00646C40"/>
    <w:rsid w:val="00650C6E"/>
    <w:rsid w:val="00671A71"/>
    <w:rsid w:val="0068486A"/>
    <w:rsid w:val="006A1AF1"/>
    <w:rsid w:val="006A2793"/>
    <w:rsid w:val="006A2910"/>
    <w:rsid w:val="006A3B05"/>
    <w:rsid w:val="006A443B"/>
    <w:rsid w:val="006B46B8"/>
    <w:rsid w:val="006C2D9E"/>
    <w:rsid w:val="006C3EB9"/>
    <w:rsid w:val="006D4BFF"/>
    <w:rsid w:val="006D57E9"/>
    <w:rsid w:val="006D5ECC"/>
    <w:rsid w:val="006D75F6"/>
    <w:rsid w:val="006F6310"/>
    <w:rsid w:val="007012E9"/>
    <w:rsid w:val="00701625"/>
    <w:rsid w:val="007030A4"/>
    <w:rsid w:val="00712068"/>
    <w:rsid w:val="007205B6"/>
    <w:rsid w:val="00723212"/>
    <w:rsid w:val="00726A7A"/>
    <w:rsid w:val="00730AD0"/>
    <w:rsid w:val="007312C9"/>
    <w:rsid w:val="00733037"/>
    <w:rsid w:val="0074180C"/>
    <w:rsid w:val="00762FBD"/>
    <w:rsid w:val="007654D5"/>
    <w:rsid w:val="00765E88"/>
    <w:rsid w:val="00766C07"/>
    <w:rsid w:val="00771909"/>
    <w:rsid w:val="00772DF5"/>
    <w:rsid w:val="00790335"/>
    <w:rsid w:val="007972CC"/>
    <w:rsid w:val="007A73BE"/>
    <w:rsid w:val="007B3DA1"/>
    <w:rsid w:val="007C165A"/>
    <w:rsid w:val="007C3197"/>
    <w:rsid w:val="007D119B"/>
    <w:rsid w:val="007D37B4"/>
    <w:rsid w:val="007D431E"/>
    <w:rsid w:val="007E29DF"/>
    <w:rsid w:val="007E334B"/>
    <w:rsid w:val="007E3A08"/>
    <w:rsid w:val="007E60E3"/>
    <w:rsid w:val="007F150E"/>
    <w:rsid w:val="00802356"/>
    <w:rsid w:val="00803C6E"/>
    <w:rsid w:val="00812648"/>
    <w:rsid w:val="00821DFE"/>
    <w:rsid w:val="008512FF"/>
    <w:rsid w:val="00851EBA"/>
    <w:rsid w:val="00852C17"/>
    <w:rsid w:val="008645EC"/>
    <w:rsid w:val="008752D8"/>
    <w:rsid w:val="00877074"/>
    <w:rsid w:val="00890885"/>
    <w:rsid w:val="00893053"/>
    <w:rsid w:val="008937C2"/>
    <w:rsid w:val="008A73B0"/>
    <w:rsid w:val="008B187D"/>
    <w:rsid w:val="008B773B"/>
    <w:rsid w:val="008C3CED"/>
    <w:rsid w:val="008C54C2"/>
    <w:rsid w:val="008C7299"/>
    <w:rsid w:val="008E5992"/>
    <w:rsid w:val="00916043"/>
    <w:rsid w:val="00927A8D"/>
    <w:rsid w:val="00966614"/>
    <w:rsid w:val="009676B0"/>
    <w:rsid w:val="00985D8E"/>
    <w:rsid w:val="00990802"/>
    <w:rsid w:val="009A1004"/>
    <w:rsid w:val="009A590D"/>
    <w:rsid w:val="009A6D8A"/>
    <w:rsid w:val="009B23B3"/>
    <w:rsid w:val="009B5513"/>
    <w:rsid w:val="009C4058"/>
    <w:rsid w:val="009C4B4C"/>
    <w:rsid w:val="009D4F1C"/>
    <w:rsid w:val="009F6FAE"/>
    <w:rsid w:val="00A20D63"/>
    <w:rsid w:val="00A218D6"/>
    <w:rsid w:val="00A2318A"/>
    <w:rsid w:val="00A35B58"/>
    <w:rsid w:val="00A40E7A"/>
    <w:rsid w:val="00A446B8"/>
    <w:rsid w:val="00A47FE9"/>
    <w:rsid w:val="00A53DBA"/>
    <w:rsid w:val="00A617F9"/>
    <w:rsid w:val="00A65B03"/>
    <w:rsid w:val="00A7040B"/>
    <w:rsid w:val="00A72D14"/>
    <w:rsid w:val="00A73CE3"/>
    <w:rsid w:val="00A960B1"/>
    <w:rsid w:val="00AA4DEB"/>
    <w:rsid w:val="00AB0205"/>
    <w:rsid w:val="00AB2007"/>
    <w:rsid w:val="00AB744D"/>
    <w:rsid w:val="00AC3B3E"/>
    <w:rsid w:val="00AC3EF3"/>
    <w:rsid w:val="00AC5B4A"/>
    <w:rsid w:val="00AF0A51"/>
    <w:rsid w:val="00AF4653"/>
    <w:rsid w:val="00AF6B5D"/>
    <w:rsid w:val="00B01902"/>
    <w:rsid w:val="00B01B72"/>
    <w:rsid w:val="00B05DA2"/>
    <w:rsid w:val="00B066B5"/>
    <w:rsid w:val="00B3355A"/>
    <w:rsid w:val="00B46FF6"/>
    <w:rsid w:val="00B50E64"/>
    <w:rsid w:val="00B76B08"/>
    <w:rsid w:val="00B81E0A"/>
    <w:rsid w:val="00B8655C"/>
    <w:rsid w:val="00B926CC"/>
    <w:rsid w:val="00B92B5A"/>
    <w:rsid w:val="00B96708"/>
    <w:rsid w:val="00B96E5D"/>
    <w:rsid w:val="00BA1BCE"/>
    <w:rsid w:val="00BA650D"/>
    <w:rsid w:val="00BB7687"/>
    <w:rsid w:val="00BB798C"/>
    <w:rsid w:val="00BC1065"/>
    <w:rsid w:val="00BC1FB3"/>
    <w:rsid w:val="00BC3356"/>
    <w:rsid w:val="00BD6D11"/>
    <w:rsid w:val="00BE00A4"/>
    <w:rsid w:val="00BE2A32"/>
    <w:rsid w:val="00BE54D9"/>
    <w:rsid w:val="00BF2596"/>
    <w:rsid w:val="00C011F3"/>
    <w:rsid w:val="00C04B65"/>
    <w:rsid w:val="00C05979"/>
    <w:rsid w:val="00C14902"/>
    <w:rsid w:val="00C173BC"/>
    <w:rsid w:val="00C24F78"/>
    <w:rsid w:val="00C53A66"/>
    <w:rsid w:val="00C548DA"/>
    <w:rsid w:val="00C65C82"/>
    <w:rsid w:val="00C775C5"/>
    <w:rsid w:val="00C84290"/>
    <w:rsid w:val="00C8730D"/>
    <w:rsid w:val="00C92292"/>
    <w:rsid w:val="00C93386"/>
    <w:rsid w:val="00C969BE"/>
    <w:rsid w:val="00CA3849"/>
    <w:rsid w:val="00CA52FD"/>
    <w:rsid w:val="00CB2683"/>
    <w:rsid w:val="00CB3341"/>
    <w:rsid w:val="00CB5CED"/>
    <w:rsid w:val="00CC5E56"/>
    <w:rsid w:val="00CD2E61"/>
    <w:rsid w:val="00CD316D"/>
    <w:rsid w:val="00CD7C84"/>
    <w:rsid w:val="00CE4526"/>
    <w:rsid w:val="00CF3EB5"/>
    <w:rsid w:val="00D04DA0"/>
    <w:rsid w:val="00D05DCE"/>
    <w:rsid w:val="00D073A1"/>
    <w:rsid w:val="00D14D0B"/>
    <w:rsid w:val="00D16F0B"/>
    <w:rsid w:val="00D2058D"/>
    <w:rsid w:val="00D22479"/>
    <w:rsid w:val="00D225E9"/>
    <w:rsid w:val="00D23999"/>
    <w:rsid w:val="00D25789"/>
    <w:rsid w:val="00D266F2"/>
    <w:rsid w:val="00D31B30"/>
    <w:rsid w:val="00D32ACB"/>
    <w:rsid w:val="00D36052"/>
    <w:rsid w:val="00D37D2A"/>
    <w:rsid w:val="00D43404"/>
    <w:rsid w:val="00D5174C"/>
    <w:rsid w:val="00D52053"/>
    <w:rsid w:val="00D63A81"/>
    <w:rsid w:val="00D71787"/>
    <w:rsid w:val="00D94E03"/>
    <w:rsid w:val="00D977CD"/>
    <w:rsid w:val="00DA0ABA"/>
    <w:rsid w:val="00DA1276"/>
    <w:rsid w:val="00DA50B6"/>
    <w:rsid w:val="00DC6043"/>
    <w:rsid w:val="00DD35C9"/>
    <w:rsid w:val="00DD4937"/>
    <w:rsid w:val="00DD5721"/>
    <w:rsid w:val="00DD6ABC"/>
    <w:rsid w:val="00DE0BEB"/>
    <w:rsid w:val="00DF0D46"/>
    <w:rsid w:val="00DF393B"/>
    <w:rsid w:val="00DF44A6"/>
    <w:rsid w:val="00E0447E"/>
    <w:rsid w:val="00E05C31"/>
    <w:rsid w:val="00E3639B"/>
    <w:rsid w:val="00E41701"/>
    <w:rsid w:val="00E51DC9"/>
    <w:rsid w:val="00E60AD0"/>
    <w:rsid w:val="00E63CBD"/>
    <w:rsid w:val="00E837E3"/>
    <w:rsid w:val="00EA0A6B"/>
    <w:rsid w:val="00EA41CE"/>
    <w:rsid w:val="00EA5BDE"/>
    <w:rsid w:val="00EA5D6A"/>
    <w:rsid w:val="00EB7006"/>
    <w:rsid w:val="00EC6EB2"/>
    <w:rsid w:val="00ED6579"/>
    <w:rsid w:val="00EE03FF"/>
    <w:rsid w:val="00EF133F"/>
    <w:rsid w:val="00F00DB7"/>
    <w:rsid w:val="00F021C9"/>
    <w:rsid w:val="00F05209"/>
    <w:rsid w:val="00F10F39"/>
    <w:rsid w:val="00F145F6"/>
    <w:rsid w:val="00F151A3"/>
    <w:rsid w:val="00F16425"/>
    <w:rsid w:val="00F260A7"/>
    <w:rsid w:val="00F35F59"/>
    <w:rsid w:val="00F406FB"/>
    <w:rsid w:val="00F41975"/>
    <w:rsid w:val="00F45D7F"/>
    <w:rsid w:val="00F52BDA"/>
    <w:rsid w:val="00F54792"/>
    <w:rsid w:val="00F818B0"/>
    <w:rsid w:val="00F86305"/>
    <w:rsid w:val="00F870CF"/>
    <w:rsid w:val="00F91E40"/>
    <w:rsid w:val="00F93916"/>
    <w:rsid w:val="00FB0E53"/>
    <w:rsid w:val="00FB682A"/>
    <w:rsid w:val="00FC6950"/>
    <w:rsid w:val="00FE5EA2"/>
    <w:rsid w:val="00FF161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A6FC0D95-0032-41D5-93BB-90876DC7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12"/>
    <w:pPr>
      <w:spacing w:after="200" w:line="276" w:lineRule="auto"/>
    </w:pPr>
    <w:rPr>
      <w:sz w:val="22"/>
      <w:szCs w:val="22"/>
      <w:lang w:eastAsia="en-US"/>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sz w:val="21"/>
      <w:szCs w:val="21"/>
      <w:lang w:eastAsia="ar-SA"/>
    </w:rPr>
  </w:style>
  <w:style w:type="character" w:customStyle="1" w:styleId="PlainTextChar">
    <w:name w:val="Plain Text Char"/>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D05"/>
    <w:rPr>
      <w:rFonts w:ascii="Tahoma" w:hAnsi="Tahoma" w:cs="Tahoma"/>
      <w:sz w:val="16"/>
      <w:szCs w:val="16"/>
    </w:rPr>
  </w:style>
  <w:style w:type="character" w:styleId="CommentReference">
    <w:name w:val="annotation reference"/>
    <w:semiHidden/>
    <w:unhideWhenUsed/>
    <w:rsid w:val="00065E19"/>
    <w:rPr>
      <w:sz w:val="16"/>
      <w:szCs w:val="16"/>
    </w:rPr>
  </w:style>
  <w:style w:type="paragraph" w:styleId="CommentText">
    <w:name w:val="annotation text"/>
    <w:basedOn w:val="Normal"/>
    <w:link w:val="CommentTextChar"/>
    <w:semiHidden/>
    <w:unhideWhenUsed/>
    <w:rsid w:val="00065E19"/>
    <w:pPr>
      <w:spacing w:line="240" w:lineRule="auto"/>
    </w:pPr>
    <w:rPr>
      <w:sz w:val="20"/>
      <w:szCs w:val="20"/>
    </w:rPr>
  </w:style>
  <w:style w:type="character" w:customStyle="1" w:styleId="CommentTextChar">
    <w:name w:val="Comment Text Char"/>
    <w:link w:val="CommentText"/>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3B0FBE"/>
    <w:pPr>
      <w:ind w:left="720"/>
      <w:contextualSpacing/>
    </w:pPr>
  </w:style>
  <w:style w:type="character" w:customStyle="1" w:styleId="Heading4Char">
    <w:name w:val="Heading 4 Char"/>
    <w:link w:val="Heading4"/>
    <w:uiPriority w:val="9"/>
    <w:semiHidden/>
    <w:rsid w:val="00246978"/>
    <w:rPr>
      <w:rFonts w:ascii="Cambria" w:eastAsia="Times New Roman" w:hAnsi="Cambria" w:cs="Times New Roman"/>
      <w:b/>
      <w:bCs/>
      <w:i/>
      <w:iCs/>
      <w:color w:val="4F81BD"/>
    </w:rPr>
  </w:style>
  <w:style w:type="character" w:styleId="Hyperlink">
    <w:name w:val="Hyperlink"/>
    <w:unhideWhenUsed/>
    <w:rsid w:val="008260C4"/>
    <w:rPr>
      <w:color w:val="0000FF"/>
      <w:u w:val="single"/>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D5496A"/>
    <w:pPr>
      <w:spacing w:after="0" w:line="240" w:lineRule="auto"/>
      <w:jc w:val="both"/>
    </w:pPr>
    <w:rPr>
      <w:rFonts w:ascii="Times New Roman" w:eastAsia="Times New Roman" w:hAnsi="Times New Roman"/>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Footnote Reference Superscript,Footnote Refernece,Footnote symbol,SUPERS,ftref"/>
    <w:uiPriority w:val="99"/>
    <w:rsid w:val="00D5496A"/>
    <w:rPr>
      <w:rFonts w:ascii="Times New Roman" w:hAnsi="Times New Roman"/>
      <w:vertAlign w:val="superscript"/>
    </w:rPr>
  </w:style>
  <w:style w:type="character" w:styleId="Strong">
    <w:name w:val="Strong"/>
    <w:uiPriority w:val="22"/>
    <w:qFormat/>
    <w:rsid w:val="001B3E7D"/>
    <w:rPr>
      <w:b/>
      <w:bCs/>
    </w:rPr>
  </w:style>
  <w:style w:type="character" w:styleId="Emphasis">
    <w:name w:val="Emphasis"/>
    <w:uiPriority w:val="20"/>
    <w:qFormat/>
    <w:rsid w:val="002F7353"/>
    <w:rPr>
      <w:i/>
      <w:iCs/>
    </w:rPr>
  </w:style>
  <w:style w:type="character" w:customStyle="1" w:styleId="ListParagraphChar">
    <w:name w:val="List Paragraph Char"/>
    <w:aliases w:val="2 Char,Bullet 1 Char,Bullet Points Char,Dot pt Char,F5 List Paragraph Char,H&amp;P List Paragraph Char,Indicator Text Char,List Paragraph Char Char Char Char,List Paragraph1 Char,No Spacing1 Char,Numbered Para 1 Char,Strip Char"/>
    <w:link w:val="ListParagraph"/>
    <w:uiPriority w:val="34"/>
    <w:qFormat/>
    <w:rsid w:val="000565BC"/>
    <w:rPr>
      <w:sz w:val="22"/>
      <w:szCs w:val="22"/>
      <w:lang w:eastAsia="en-US"/>
    </w:rPr>
  </w:style>
  <w:style w:type="character" w:customStyle="1" w:styleId="apple-converted-space">
    <w:name w:val="apple-converted-space"/>
    <w:rsid w:val="009F0819"/>
  </w:style>
  <w:style w:type="paragraph" w:styleId="NormalWeb">
    <w:name w:val="Normal (Web)"/>
    <w:basedOn w:val="Normal"/>
    <w:uiPriority w:val="99"/>
    <w:rsid w:val="00F82FC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elect">
    <w:name w:val="select"/>
    <w:basedOn w:val="Normal"/>
    <w:uiPriority w:val="99"/>
    <w:rsid w:val="009B6E6E"/>
    <w:pPr>
      <w:shd w:val="clear" w:color="auto" w:fill="F0F8F8"/>
      <w:spacing w:before="100" w:beforeAutospacing="1" w:after="100" w:afterAutospacing="1" w:line="240" w:lineRule="auto"/>
    </w:pPr>
    <w:rPr>
      <w:rFonts w:ascii="Times New Roman" w:eastAsia="Times New Roman" w:hAnsi="Times New Roman"/>
      <w:color w:val="333333"/>
      <w:sz w:val="24"/>
      <w:szCs w:val="24"/>
      <w:lang w:eastAsia="lv-LV"/>
    </w:rPr>
  </w:style>
  <w:style w:type="character" w:styleId="FollowedHyperlink">
    <w:name w:val="FollowedHyperlink"/>
    <w:basedOn w:val="DefaultParagraphFont"/>
    <w:uiPriority w:val="99"/>
    <w:semiHidden/>
    <w:unhideWhenUsed/>
    <w:rsid w:val="00A361DF"/>
    <w:rPr>
      <w:color w:val="954F72" w:themeColor="followedHyperlink"/>
      <w:u w:val="single"/>
    </w:rPr>
  </w:style>
  <w:style w:type="paragraph" w:customStyle="1" w:styleId="tv213">
    <w:name w:val="tv213"/>
    <w:basedOn w:val="Normal"/>
    <w:rsid w:val="008645EC"/>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641A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D26F-960E-4BB2-BEBC-873F04B1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10486</Words>
  <Characters>5978</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13. oktobra noteikumos Nr. 593 "Darbības programmas "Izaugsme un nodarbinātība" 3.3.1. specifiskā atbalsta mērķa "Palielināt privāto investīciju apjomu reģionos, veicot ieguldīju</vt:lpstr>
      <vt:lpstr>VKAnot_342_17022015;</vt:lpstr>
    </vt:vector>
  </TitlesOfParts>
  <Company>VARAM</Company>
  <LinksUpToDate>false</LinksUpToDate>
  <CharactersWithSpaces>16432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13. oktobra noteikumos Nr. 593 "Darbības programmas "Izaugsme un nodarbinātība" 3.3.1. specifiskā atbalsta mērķa "Palielināt privāto investīciju apjomu reģionos, veicot ieguldīju</dc:title>
  <dc:subject>Anotācija</dc:subject>
  <dc:creator>Liene Dorbe</dc:creator>
  <cp:lastModifiedBy>Liene Dorbe</cp:lastModifiedBy>
  <cp:revision>78</cp:revision>
  <cp:lastPrinted>2015-07-07T07:38:00Z</cp:lastPrinted>
  <dcterms:created xsi:type="dcterms:W3CDTF">2017-11-23T13:42:00Z</dcterms:created>
  <dcterms:modified xsi:type="dcterms:W3CDTF">2017-12-12T13:17:00Z</dcterms:modified>
</cp:coreProperties>
</file>