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6E30DA" w:rsidP="00B31E8B" w14:paraId="7E76C2A2" w14:textId="77777777">
      <w:pPr>
        <w:spacing w:after="0"/>
        <w:jc w:val="center"/>
        <w:rPr>
          <w:rFonts w:ascii="Times New Roman" w:hAnsi="Times New Roman"/>
          <w:b/>
          <w:sz w:val="24"/>
          <w:szCs w:val="24"/>
        </w:rPr>
      </w:pPr>
      <w:r w:rsidRPr="00C80C6C">
        <w:rPr>
          <w:rFonts w:ascii="Times New Roman" w:hAnsi="Times New Roman"/>
          <w:b/>
          <w:sz w:val="24"/>
          <w:szCs w:val="24"/>
        </w:rPr>
        <w:t>Minis</w:t>
      </w:r>
      <w:r w:rsidR="00C80C6C">
        <w:rPr>
          <w:rFonts w:ascii="Times New Roman" w:hAnsi="Times New Roman"/>
          <w:b/>
          <w:sz w:val="24"/>
          <w:szCs w:val="24"/>
        </w:rPr>
        <w:t xml:space="preserve">tru </w:t>
      </w:r>
      <w:r w:rsidRPr="00B31E8B" w:rsidR="00C80C6C">
        <w:rPr>
          <w:rFonts w:ascii="Times New Roman" w:hAnsi="Times New Roman"/>
          <w:b/>
          <w:sz w:val="24"/>
          <w:szCs w:val="24"/>
        </w:rPr>
        <w:t xml:space="preserve">kabineta noteikumu projekta </w:t>
      </w:r>
    </w:p>
    <w:p w:rsidR="0073448B" w:rsidRPr="00B31E8B" w:rsidP="00B31E8B" w14:paraId="0F4340B7" w14:textId="2D15AD46">
      <w:pPr>
        <w:spacing w:after="0"/>
        <w:jc w:val="center"/>
        <w:rPr>
          <w:rFonts w:ascii="Times New Roman" w:eastAsia="Times New Roman" w:hAnsi="Times New Roman"/>
          <w:bCs/>
          <w:sz w:val="24"/>
          <w:szCs w:val="24"/>
          <w:lang w:eastAsia="lv-LV"/>
        </w:rPr>
      </w:pPr>
      <w:r w:rsidRPr="00602BBE">
        <w:rPr>
          <w:rFonts w:ascii="Times New Roman" w:hAnsi="Times New Roman"/>
          <w:b/>
          <w:sz w:val="24"/>
          <w:szCs w:val="24"/>
        </w:rPr>
        <w:t>“</w:t>
      </w:r>
      <w:r w:rsidRPr="00602BBE" w:rsidR="00C80C6C">
        <w:rPr>
          <w:rFonts w:ascii="Times New Roman" w:hAnsi="Times New Roman"/>
          <w:b/>
          <w:sz w:val="24"/>
          <w:szCs w:val="24"/>
        </w:rPr>
        <w:t>Siltumnīcefekta gāzu inventarizācijas un prognožu sagatavošanas nacionālās sistēmas izveidošanas un uzturēšanas noteikumi</w:t>
      </w:r>
      <w:r w:rsidRPr="00602BBE">
        <w:rPr>
          <w:rFonts w:ascii="Times New Roman" w:hAnsi="Times New Roman"/>
          <w:b/>
          <w:sz w:val="24"/>
          <w:szCs w:val="24"/>
        </w:rPr>
        <w:t>”</w:t>
      </w:r>
    </w:p>
    <w:p w:rsidR="00CB4AAB" w:rsidP="00B31E8B" w14:paraId="787C8C1F" w14:textId="2B2C3226">
      <w:pPr>
        <w:pStyle w:val="naislab"/>
        <w:spacing w:before="0" w:after="60"/>
        <w:jc w:val="center"/>
        <w:outlineLvl w:val="0"/>
        <w:rPr>
          <w:b/>
        </w:rPr>
      </w:pPr>
      <w:r w:rsidRPr="00B31E8B">
        <w:rPr>
          <w:b/>
        </w:rPr>
        <w:t xml:space="preserve">sākotnējās ietekmes novērtējuma </w:t>
      </w:r>
      <w:smartTag w:uri="schemas-tilde-lv/tildestengine" w:element="veidnes">
        <w:smartTagPr>
          <w:attr w:name="baseform" w:val="ziņojums"/>
          <w:attr w:name="id" w:val="-1"/>
          <w:attr w:name="text" w:val="ziņojums"/>
        </w:smartTagPr>
        <w:r w:rsidRPr="00B31E8B">
          <w:rPr>
            <w:b/>
          </w:rPr>
          <w:t>ziņojums</w:t>
        </w:r>
      </w:smartTag>
      <w:r w:rsidRPr="00B31E8B">
        <w:rPr>
          <w:b/>
        </w:rPr>
        <w:t xml:space="preserve"> (anotācija)</w:t>
      </w:r>
    </w:p>
    <w:p w:rsidR="00F83FA7" w:rsidRPr="00B31E8B" w:rsidP="00B31E8B" w14:paraId="6C42EFFA" w14:textId="77777777">
      <w:pPr>
        <w:pStyle w:val="naislab"/>
        <w:spacing w:before="0" w:after="60"/>
        <w:jc w:val="center"/>
        <w:outlineLvl w:val="0"/>
        <w:rPr>
          <w:b/>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41"/>
        <w:gridCol w:w="2206"/>
        <w:gridCol w:w="6638"/>
      </w:tblGrid>
      <w:tr w14:paraId="10650165" w14:textId="77777777" w:rsidTr="00DC5242">
        <w:tblPrEx>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Ex>
        <w:trPr>
          <w:trHeight w:val="255"/>
          <w:jc w:val="center"/>
        </w:trPr>
        <w:tc>
          <w:tcPr>
            <w:tcW w:w="9185" w:type="dxa"/>
            <w:gridSpan w:val="3"/>
            <w:vAlign w:val="center"/>
          </w:tcPr>
          <w:p w:rsidR="00CB4AAB" w:rsidRPr="00B31E8B" w:rsidP="00B31E8B" w14:paraId="5D1882F6" w14:textId="77777777">
            <w:pPr>
              <w:spacing w:before="60" w:after="60"/>
              <w:jc w:val="center"/>
              <w:rPr>
                <w:rFonts w:ascii="Times New Roman" w:hAnsi="Times New Roman"/>
                <w:b/>
                <w:bCs/>
                <w:sz w:val="24"/>
                <w:szCs w:val="24"/>
                <w:lang w:eastAsia="lv-LV"/>
              </w:rPr>
            </w:pPr>
            <w:r w:rsidRPr="00B31E8B">
              <w:rPr>
                <w:rFonts w:ascii="Times New Roman" w:hAnsi="Times New Roman"/>
                <w:b/>
                <w:bCs/>
                <w:sz w:val="24"/>
                <w:szCs w:val="24"/>
                <w:lang w:eastAsia="lv-LV"/>
              </w:rPr>
              <w:t>I.</w:t>
            </w:r>
            <w:r w:rsidRPr="00B31E8B" w:rsidR="00316D9D">
              <w:rPr>
                <w:rFonts w:ascii="Times New Roman" w:hAnsi="Times New Roman"/>
                <w:b/>
                <w:bCs/>
                <w:sz w:val="24"/>
                <w:szCs w:val="24"/>
                <w:lang w:eastAsia="lv-LV"/>
              </w:rPr>
              <w:t> </w:t>
            </w:r>
            <w:r w:rsidRPr="00B31E8B">
              <w:rPr>
                <w:rFonts w:ascii="Times New Roman" w:hAnsi="Times New Roman"/>
                <w:b/>
                <w:bCs/>
                <w:sz w:val="24"/>
                <w:szCs w:val="24"/>
                <w:lang w:eastAsia="lv-LV"/>
              </w:rPr>
              <w:t>Tiesību akta projekta izstrādes nepieciešamība</w:t>
            </w:r>
          </w:p>
        </w:tc>
      </w:tr>
      <w:tr w14:paraId="1A66E6DF" w14:textId="77777777" w:rsidTr="00F46BF0">
        <w:tblPrEx>
          <w:tblW w:w="9185" w:type="dxa"/>
          <w:jc w:val="center"/>
          <w:tblLayout w:type="fixed"/>
          <w:tblCellMar>
            <w:left w:w="57" w:type="dxa"/>
            <w:right w:w="57" w:type="dxa"/>
          </w:tblCellMar>
          <w:tblLook w:val="00A0"/>
        </w:tblPrEx>
        <w:trPr>
          <w:trHeight w:val="405"/>
          <w:jc w:val="center"/>
        </w:trPr>
        <w:tc>
          <w:tcPr>
            <w:tcW w:w="341" w:type="dxa"/>
          </w:tcPr>
          <w:p w:rsidR="00CB4AAB" w:rsidRPr="00B31E8B" w:rsidP="00B31E8B" w14:paraId="0DF333FF" w14:textId="77777777">
            <w:pPr>
              <w:spacing w:before="60" w:after="60"/>
              <w:jc w:val="center"/>
              <w:rPr>
                <w:rFonts w:ascii="Times New Roman" w:hAnsi="Times New Roman"/>
                <w:sz w:val="24"/>
                <w:szCs w:val="24"/>
                <w:lang w:eastAsia="lv-LV"/>
              </w:rPr>
            </w:pPr>
            <w:r w:rsidRPr="00B31E8B">
              <w:rPr>
                <w:rFonts w:ascii="Times New Roman" w:hAnsi="Times New Roman"/>
                <w:sz w:val="24"/>
                <w:szCs w:val="24"/>
                <w:lang w:eastAsia="lv-LV"/>
              </w:rPr>
              <w:t>1.</w:t>
            </w:r>
          </w:p>
        </w:tc>
        <w:tc>
          <w:tcPr>
            <w:tcW w:w="2206" w:type="dxa"/>
          </w:tcPr>
          <w:p w:rsidR="00CB4AAB" w:rsidRPr="00B31E8B" w:rsidP="00B31E8B" w14:paraId="461E68DF" w14:textId="77777777">
            <w:pPr>
              <w:spacing w:before="60" w:after="60"/>
              <w:jc w:val="left"/>
              <w:rPr>
                <w:rFonts w:ascii="Times New Roman" w:hAnsi="Times New Roman"/>
                <w:sz w:val="24"/>
                <w:szCs w:val="24"/>
                <w:lang w:eastAsia="lv-LV"/>
              </w:rPr>
            </w:pPr>
            <w:r w:rsidRPr="00B31E8B">
              <w:rPr>
                <w:rFonts w:ascii="Times New Roman" w:hAnsi="Times New Roman"/>
                <w:sz w:val="24"/>
                <w:szCs w:val="24"/>
                <w:lang w:eastAsia="lv-LV"/>
              </w:rPr>
              <w:t>Pamatojums</w:t>
            </w:r>
          </w:p>
        </w:tc>
        <w:tc>
          <w:tcPr>
            <w:tcW w:w="6638" w:type="dxa"/>
            <w:shd w:val="clear" w:color="auto" w:fill="auto"/>
          </w:tcPr>
          <w:p w:rsidR="00BF06C9" w:rsidRPr="00B31E8B" w:rsidP="00B31E8B" w14:paraId="70E7E8C4" w14:textId="2F2C5AAB">
            <w:pPr>
              <w:spacing w:before="60" w:after="60"/>
              <w:rPr>
                <w:rFonts w:ascii="Times New Roman" w:hAnsi="Times New Roman"/>
                <w:sz w:val="24"/>
                <w:szCs w:val="24"/>
              </w:rPr>
            </w:pPr>
            <w:r w:rsidRPr="00B31E8B">
              <w:rPr>
                <w:rFonts w:ascii="Times New Roman" w:hAnsi="Times New Roman"/>
                <w:sz w:val="24"/>
                <w:szCs w:val="24"/>
              </w:rPr>
              <w:t>Minist</w:t>
            </w:r>
            <w:r w:rsidRPr="00B31E8B" w:rsidR="00642F42">
              <w:rPr>
                <w:rFonts w:ascii="Times New Roman" w:hAnsi="Times New Roman"/>
                <w:sz w:val="24"/>
                <w:szCs w:val="24"/>
              </w:rPr>
              <w:t>ru kabineta noteikumu projekts “</w:t>
            </w:r>
            <w:r w:rsidRPr="00B31E8B" w:rsidR="00C80C6C">
              <w:rPr>
                <w:rFonts w:ascii="Times New Roman" w:hAnsi="Times New Roman"/>
                <w:sz w:val="24"/>
                <w:szCs w:val="24"/>
              </w:rPr>
              <w:t>Siltumnīcefekta gāzu inventarizācijas un prognožu sagatavošanas nacionālās sistēmas izveidošanas un uzturēšanas noteikumi</w:t>
            </w:r>
            <w:r w:rsidRPr="00B31E8B">
              <w:rPr>
                <w:rFonts w:ascii="Times New Roman" w:hAnsi="Times New Roman"/>
                <w:sz w:val="24"/>
                <w:szCs w:val="24"/>
              </w:rPr>
              <w:t>”</w:t>
            </w:r>
            <w:r w:rsidRPr="00B31E8B" w:rsidR="001B06D8">
              <w:rPr>
                <w:rFonts w:ascii="Times New Roman" w:hAnsi="Times New Roman"/>
                <w:sz w:val="24"/>
                <w:szCs w:val="24"/>
              </w:rPr>
              <w:t xml:space="preserve"> (turpmāk – noteikumu projekts)</w:t>
            </w:r>
            <w:r w:rsidRPr="00B31E8B">
              <w:rPr>
                <w:rFonts w:ascii="Times New Roman" w:hAnsi="Times New Roman"/>
                <w:sz w:val="24"/>
                <w:szCs w:val="24"/>
              </w:rPr>
              <w:t xml:space="preserve"> ir sagatavots saskaņā ar likuma “Par piesārņojumu”</w:t>
            </w:r>
            <w:r w:rsidRPr="00B31E8B">
              <w:rPr>
                <w:rFonts w:ascii="Times New Roman" w:hAnsi="Times New Roman"/>
                <w:b/>
                <w:sz w:val="24"/>
                <w:szCs w:val="24"/>
              </w:rPr>
              <w:t xml:space="preserve"> </w:t>
            </w:r>
            <w:r w:rsidRPr="00B31E8B">
              <w:rPr>
                <w:rFonts w:ascii="Times New Roman" w:hAnsi="Times New Roman"/>
                <w:sz w:val="24"/>
                <w:szCs w:val="24"/>
              </w:rPr>
              <w:t xml:space="preserve"> </w:t>
            </w:r>
            <w:r w:rsidRPr="00F46BF0" w:rsidR="00F46BF0">
              <w:rPr>
                <w:rFonts w:ascii="Times New Roman" w:hAnsi="Times New Roman"/>
                <w:sz w:val="24"/>
                <w:szCs w:val="24"/>
              </w:rPr>
              <w:t xml:space="preserve">(turpmāk – </w:t>
            </w:r>
            <w:r w:rsidR="00F46BF0">
              <w:rPr>
                <w:rFonts w:ascii="Times New Roman" w:hAnsi="Times New Roman"/>
                <w:sz w:val="24"/>
                <w:szCs w:val="24"/>
              </w:rPr>
              <w:t xml:space="preserve">Likums) </w:t>
            </w:r>
            <w:r>
              <w:fldChar w:fldCharType="begin"/>
            </w:r>
            <w:r>
              <w:instrText xml:space="preserve"> HYPERLINK "http://likumi.lv/ta/id/167091-par-latvijas-republikas-dalibu-kioto-protokola-elastigajos-mehanismos" \l "p6" \t "_blank" </w:instrText>
            </w:r>
            <w:r>
              <w:fldChar w:fldCharType="separate"/>
            </w:r>
            <w:r w:rsidRPr="00B31E8B">
              <w:rPr>
                <w:rFonts w:ascii="Times New Roman" w:eastAsia="Times New Roman" w:hAnsi="Times New Roman"/>
                <w:iCs/>
                <w:sz w:val="24"/>
                <w:szCs w:val="24"/>
                <w:lang w:eastAsia="lv-LV"/>
              </w:rPr>
              <w:t>53. panta</w:t>
            </w:r>
            <w:r>
              <w:fldChar w:fldCharType="end"/>
            </w:r>
            <w:r w:rsidRPr="00B31E8B">
              <w:rPr>
                <w:rFonts w:ascii="Times New Roman" w:eastAsia="Times New Roman" w:hAnsi="Times New Roman"/>
                <w:iCs/>
                <w:sz w:val="24"/>
                <w:szCs w:val="24"/>
                <w:lang w:eastAsia="lv-LV"/>
              </w:rPr>
              <w:t> otrās daļas 1. punktu</w:t>
            </w:r>
            <w:r w:rsidRPr="00B31E8B" w:rsidR="005E42C0">
              <w:rPr>
                <w:rFonts w:ascii="Times New Roman" w:hAnsi="Times New Roman"/>
                <w:sz w:val="24"/>
                <w:szCs w:val="24"/>
              </w:rPr>
              <w:t>.</w:t>
            </w:r>
            <w:r w:rsidRPr="00B31E8B" w:rsidR="000B587D">
              <w:rPr>
                <w:rFonts w:ascii="Times New Roman" w:hAnsi="Times New Roman"/>
                <w:sz w:val="24"/>
                <w:szCs w:val="24"/>
              </w:rPr>
              <w:t xml:space="preserve"> </w:t>
            </w:r>
          </w:p>
          <w:p w:rsidR="00D76CC5" w:rsidRPr="00B31E8B" w:rsidP="006E30DA" w14:paraId="4566F8E3" w14:textId="3090F9E2">
            <w:pPr>
              <w:spacing w:before="60" w:after="60"/>
              <w:rPr>
                <w:bCs/>
              </w:rPr>
            </w:pPr>
            <w:r w:rsidRPr="00B31E8B">
              <w:rPr>
                <w:rFonts w:ascii="Times New Roman" w:hAnsi="Times New Roman"/>
                <w:sz w:val="24"/>
                <w:szCs w:val="24"/>
              </w:rPr>
              <w:t xml:space="preserve">Izpildot </w:t>
            </w:r>
            <w:r w:rsidR="00F46BF0">
              <w:rPr>
                <w:rFonts w:ascii="Times New Roman" w:hAnsi="Times New Roman"/>
                <w:sz w:val="24"/>
                <w:szCs w:val="24"/>
              </w:rPr>
              <w:t xml:space="preserve">Likuma </w:t>
            </w:r>
            <w:r w:rsidRPr="00697C71" w:rsidR="00697C71">
              <w:rPr>
                <w:rFonts w:ascii="Times New Roman" w:hAnsi="Times New Roman"/>
                <w:iCs/>
                <w:sz w:val="24"/>
                <w:szCs w:val="24"/>
              </w:rPr>
              <w:t>53. panta</w:t>
            </w:r>
            <w:r w:rsidRPr="00E175C1" w:rsidR="00E175C1">
              <w:rPr>
                <w:rFonts w:ascii="Times New Roman" w:hAnsi="Times New Roman"/>
                <w:iCs/>
                <w:sz w:val="24"/>
                <w:szCs w:val="24"/>
              </w:rPr>
              <w:t> otrā</w:t>
            </w:r>
            <w:r w:rsidR="00E175C1">
              <w:rPr>
                <w:rFonts w:ascii="Times New Roman" w:hAnsi="Times New Roman"/>
                <w:iCs/>
                <w:sz w:val="24"/>
                <w:szCs w:val="24"/>
              </w:rPr>
              <w:t xml:space="preserve">s daļas 1. punktā </w:t>
            </w:r>
            <w:r w:rsidRPr="00B31E8B">
              <w:rPr>
                <w:rFonts w:ascii="Times New Roman" w:hAnsi="Times New Roman"/>
                <w:sz w:val="24"/>
                <w:szCs w:val="24"/>
              </w:rPr>
              <w:t xml:space="preserve">doto uzdevumu, </w:t>
            </w:r>
            <w:r w:rsidRPr="00B31E8B" w:rsidR="006746FF">
              <w:rPr>
                <w:rFonts w:ascii="Times New Roman" w:hAnsi="Times New Roman"/>
                <w:sz w:val="24"/>
                <w:szCs w:val="24"/>
              </w:rPr>
              <w:t>Vides aizsardzības un reģionālās attīstības ministrija (turpmāk – VARAM)</w:t>
            </w:r>
            <w:r w:rsidR="006E30DA">
              <w:rPr>
                <w:rFonts w:ascii="Times New Roman" w:hAnsi="Times New Roman"/>
                <w:sz w:val="24"/>
                <w:szCs w:val="24"/>
              </w:rPr>
              <w:t xml:space="preserve"> izstrādāja</w:t>
            </w:r>
            <w:r w:rsidRPr="00B31E8B">
              <w:rPr>
                <w:rFonts w:ascii="Times New Roman" w:hAnsi="Times New Roman"/>
                <w:sz w:val="24"/>
                <w:szCs w:val="24"/>
              </w:rPr>
              <w:t xml:space="preserve"> </w:t>
            </w:r>
            <w:r w:rsidRPr="00B31E8B" w:rsidR="006B6EDE">
              <w:rPr>
                <w:rFonts w:ascii="Times New Roman" w:hAnsi="Times New Roman"/>
                <w:sz w:val="24"/>
                <w:szCs w:val="24"/>
              </w:rPr>
              <w:t xml:space="preserve">grozījumus </w:t>
            </w:r>
            <w:r w:rsidRPr="00B31E8B" w:rsidR="006746FF">
              <w:rPr>
                <w:rFonts w:ascii="Times New Roman" w:hAnsi="Times New Roman"/>
                <w:sz w:val="24"/>
                <w:szCs w:val="24"/>
              </w:rPr>
              <w:t xml:space="preserve">Ministru kabineta </w:t>
            </w:r>
            <w:r w:rsidRPr="00B31E8B" w:rsidR="004E58D0">
              <w:rPr>
                <w:rFonts w:ascii="Times New Roman" w:hAnsi="Times New Roman"/>
                <w:sz w:val="24"/>
                <w:szCs w:val="24"/>
              </w:rPr>
              <w:t>2012.</w:t>
            </w:r>
            <w:r w:rsidRPr="00B31E8B" w:rsidR="00A225B4">
              <w:rPr>
                <w:rFonts w:ascii="Times New Roman" w:hAnsi="Times New Roman"/>
                <w:sz w:val="24"/>
                <w:szCs w:val="24"/>
              </w:rPr>
              <w:t> </w:t>
            </w:r>
            <w:r w:rsidRPr="00B31E8B" w:rsidR="004E58D0">
              <w:rPr>
                <w:rFonts w:ascii="Times New Roman" w:hAnsi="Times New Roman"/>
                <w:sz w:val="24"/>
                <w:szCs w:val="24"/>
              </w:rPr>
              <w:t>gada 27.</w:t>
            </w:r>
            <w:r w:rsidRPr="00B31E8B" w:rsidR="00A225B4">
              <w:rPr>
                <w:rFonts w:ascii="Times New Roman" w:hAnsi="Times New Roman"/>
                <w:sz w:val="24"/>
                <w:szCs w:val="24"/>
              </w:rPr>
              <w:t> </w:t>
            </w:r>
            <w:r w:rsidRPr="00B31E8B" w:rsidR="004E58D0">
              <w:rPr>
                <w:rFonts w:ascii="Times New Roman" w:hAnsi="Times New Roman"/>
                <w:sz w:val="24"/>
                <w:szCs w:val="24"/>
              </w:rPr>
              <w:t>marta</w:t>
            </w:r>
            <w:r w:rsidRPr="00B31E8B" w:rsidR="004E58D0">
              <w:rPr>
                <w:rFonts w:ascii="Times New Roman" w:hAnsi="Times New Roman"/>
                <w:b/>
                <w:sz w:val="24"/>
                <w:szCs w:val="24"/>
              </w:rPr>
              <w:t xml:space="preserve"> </w:t>
            </w:r>
            <w:r w:rsidRPr="00B31E8B" w:rsidR="006B6EDE">
              <w:rPr>
                <w:rFonts w:ascii="Times New Roman" w:hAnsi="Times New Roman"/>
                <w:sz w:val="24"/>
                <w:szCs w:val="24"/>
              </w:rPr>
              <w:t>noteikumos Nr.</w:t>
            </w:r>
            <w:r w:rsidRPr="00B31E8B" w:rsidR="00A225B4">
              <w:rPr>
                <w:rFonts w:ascii="Times New Roman" w:hAnsi="Times New Roman"/>
                <w:sz w:val="24"/>
                <w:szCs w:val="24"/>
              </w:rPr>
              <w:t> </w:t>
            </w:r>
            <w:r w:rsidRPr="00B31E8B" w:rsidR="00642F42">
              <w:rPr>
                <w:rFonts w:ascii="Times New Roman" w:hAnsi="Times New Roman"/>
                <w:sz w:val="24"/>
                <w:szCs w:val="24"/>
              </w:rPr>
              <w:t>217 “</w:t>
            </w:r>
            <w:r w:rsidRPr="00B31E8B" w:rsidR="006B6EDE">
              <w:rPr>
                <w:rFonts w:ascii="Times New Roman" w:hAnsi="Times New Roman"/>
                <w:sz w:val="24"/>
                <w:szCs w:val="24"/>
              </w:rPr>
              <w:t>Noteikumi par siltumnīcefekta gāzu emisijas vienību inven</w:t>
            </w:r>
            <w:r w:rsidRPr="00B31E8B" w:rsidR="002D670A">
              <w:rPr>
                <w:rFonts w:ascii="Times New Roman" w:hAnsi="Times New Roman"/>
                <w:sz w:val="24"/>
                <w:szCs w:val="24"/>
              </w:rPr>
              <w:t>tarizācijas nacionālo sistēmu”</w:t>
            </w:r>
            <w:r w:rsidRPr="00F83FA7" w:rsidR="00F83FA7">
              <w:rPr>
                <w:rFonts w:ascii="Times New Roman" w:hAnsi="Times New Roman"/>
                <w:sz w:val="24"/>
                <w:szCs w:val="24"/>
              </w:rPr>
              <w:t xml:space="preserve"> (turpmāk –</w:t>
            </w:r>
            <w:r w:rsidR="00F83FA7">
              <w:rPr>
                <w:rFonts w:ascii="Times New Roman" w:hAnsi="Times New Roman"/>
                <w:sz w:val="24"/>
                <w:szCs w:val="24"/>
              </w:rPr>
              <w:t xml:space="preserve"> MK noteikumi Nr.</w:t>
            </w:r>
            <w:r w:rsidR="006E30DA">
              <w:rPr>
                <w:rFonts w:ascii="Times New Roman" w:hAnsi="Times New Roman"/>
                <w:sz w:val="24"/>
                <w:szCs w:val="24"/>
              </w:rPr>
              <w:t> </w:t>
            </w:r>
            <w:r w:rsidR="00F83FA7">
              <w:rPr>
                <w:rFonts w:ascii="Times New Roman" w:hAnsi="Times New Roman"/>
                <w:sz w:val="24"/>
                <w:szCs w:val="24"/>
              </w:rPr>
              <w:t>217)</w:t>
            </w:r>
            <w:r w:rsidRPr="00B31E8B" w:rsidR="006746FF">
              <w:rPr>
                <w:rFonts w:ascii="Times New Roman" w:hAnsi="Times New Roman"/>
                <w:sz w:val="24"/>
                <w:szCs w:val="24"/>
              </w:rPr>
              <w:t>. Ņemot vērā to, ka</w:t>
            </w:r>
            <w:r w:rsidRPr="00B31E8B" w:rsidR="001B06D8">
              <w:rPr>
                <w:rFonts w:ascii="Times New Roman" w:hAnsi="Times New Roman"/>
                <w:sz w:val="24"/>
                <w:szCs w:val="24"/>
              </w:rPr>
              <w:t xml:space="preserve"> </w:t>
            </w:r>
            <w:r w:rsidRPr="00B31E8B" w:rsidR="006B6EDE">
              <w:rPr>
                <w:rFonts w:ascii="Times New Roman" w:hAnsi="Times New Roman"/>
                <w:sz w:val="24"/>
                <w:szCs w:val="24"/>
              </w:rPr>
              <w:t>nepieciešam</w:t>
            </w:r>
            <w:r w:rsidRPr="00B31E8B" w:rsidR="001B06D8">
              <w:rPr>
                <w:rFonts w:ascii="Times New Roman" w:hAnsi="Times New Roman"/>
                <w:sz w:val="24"/>
                <w:szCs w:val="24"/>
              </w:rPr>
              <w:t>o</w:t>
            </w:r>
            <w:r w:rsidRPr="00B31E8B" w:rsidR="006B6EDE">
              <w:rPr>
                <w:rFonts w:ascii="Times New Roman" w:hAnsi="Times New Roman"/>
                <w:sz w:val="24"/>
                <w:szCs w:val="24"/>
              </w:rPr>
              <w:t xml:space="preserve"> grozījum</w:t>
            </w:r>
            <w:r w:rsidRPr="00B31E8B" w:rsidR="006746FF">
              <w:rPr>
                <w:rFonts w:ascii="Times New Roman" w:hAnsi="Times New Roman"/>
                <w:sz w:val="24"/>
                <w:szCs w:val="24"/>
              </w:rPr>
              <w:t xml:space="preserve">u apjoms </w:t>
            </w:r>
            <w:r w:rsidRPr="00B31E8B" w:rsidR="006B6EDE">
              <w:rPr>
                <w:rFonts w:ascii="Times New Roman" w:hAnsi="Times New Roman"/>
                <w:sz w:val="24"/>
                <w:szCs w:val="24"/>
              </w:rPr>
              <w:t xml:space="preserve"> ir vairāk kā 50%</w:t>
            </w:r>
            <w:r w:rsidRPr="00B31E8B" w:rsidR="006746FF">
              <w:rPr>
                <w:rFonts w:ascii="Times New Roman" w:hAnsi="Times New Roman"/>
                <w:sz w:val="24"/>
                <w:szCs w:val="24"/>
              </w:rPr>
              <w:t xml:space="preserve"> no</w:t>
            </w:r>
            <w:r w:rsidRPr="00B31E8B" w:rsidR="003C7D32">
              <w:rPr>
                <w:rFonts w:ascii="Times New Roman" w:hAnsi="Times New Roman"/>
                <w:sz w:val="24"/>
                <w:szCs w:val="24"/>
              </w:rPr>
              <w:t xml:space="preserve"> šo</w:t>
            </w:r>
            <w:r w:rsidRPr="00B31E8B" w:rsidR="006746FF">
              <w:rPr>
                <w:rFonts w:ascii="Times New Roman" w:hAnsi="Times New Roman"/>
                <w:sz w:val="24"/>
                <w:szCs w:val="24"/>
              </w:rPr>
              <w:t xml:space="preserve"> </w:t>
            </w:r>
            <w:r w:rsidR="00F83FA7">
              <w:rPr>
                <w:rFonts w:ascii="Times New Roman" w:hAnsi="Times New Roman"/>
                <w:sz w:val="24"/>
                <w:szCs w:val="24"/>
              </w:rPr>
              <w:t xml:space="preserve">MK </w:t>
            </w:r>
            <w:r w:rsidRPr="00B31E8B" w:rsidR="006746FF">
              <w:rPr>
                <w:rFonts w:ascii="Times New Roman" w:hAnsi="Times New Roman"/>
                <w:sz w:val="24"/>
                <w:szCs w:val="24"/>
              </w:rPr>
              <w:t>noteikumu</w:t>
            </w:r>
            <w:r w:rsidR="00F83FA7">
              <w:rPr>
                <w:rFonts w:ascii="Times New Roman" w:hAnsi="Times New Roman"/>
                <w:sz w:val="24"/>
                <w:szCs w:val="24"/>
              </w:rPr>
              <w:t xml:space="preserve"> Nr.217</w:t>
            </w:r>
            <w:r w:rsidRPr="00B31E8B" w:rsidR="006746FF">
              <w:rPr>
                <w:rFonts w:ascii="Times New Roman" w:hAnsi="Times New Roman"/>
                <w:sz w:val="24"/>
                <w:szCs w:val="24"/>
              </w:rPr>
              <w:t xml:space="preserve"> teksta</w:t>
            </w:r>
            <w:r w:rsidRPr="00B31E8B" w:rsidR="006B6EDE">
              <w:rPr>
                <w:rFonts w:ascii="Times New Roman" w:hAnsi="Times New Roman"/>
                <w:sz w:val="24"/>
                <w:szCs w:val="24"/>
              </w:rPr>
              <w:t>,</w:t>
            </w:r>
            <w:r w:rsidR="00F83FA7">
              <w:rPr>
                <w:rFonts w:ascii="Times New Roman" w:hAnsi="Times New Roman"/>
                <w:sz w:val="24"/>
                <w:szCs w:val="24"/>
              </w:rPr>
              <w:t xml:space="preserve"> pamatojoties </w:t>
            </w:r>
            <w:r w:rsidRPr="00B31E8B" w:rsidR="006B6EDE">
              <w:rPr>
                <w:rFonts w:ascii="Times New Roman" w:hAnsi="Times New Roman"/>
                <w:sz w:val="24"/>
                <w:szCs w:val="24"/>
              </w:rPr>
              <w:t xml:space="preserve"> </w:t>
            </w:r>
            <w:r w:rsidR="00F83FA7">
              <w:rPr>
                <w:rFonts w:ascii="Times New Roman" w:hAnsi="Times New Roman"/>
                <w:sz w:val="24"/>
                <w:szCs w:val="24"/>
              </w:rPr>
              <w:t xml:space="preserve"> uz </w:t>
            </w:r>
            <w:r w:rsidRPr="00B31E8B" w:rsidR="006746FF">
              <w:rPr>
                <w:rFonts w:ascii="Times New Roman" w:hAnsi="Times New Roman"/>
                <w:sz w:val="24"/>
                <w:szCs w:val="24"/>
              </w:rPr>
              <w:t xml:space="preserve">Ministru kabineta </w:t>
            </w:r>
            <w:r w:rsidRPr="00B31E8B" w:rsidR="00780C97">
              <w:rPr>
                <w:rFonts w:ascii="Times New Roman" w:hAnsi="Times New Roman"/>
                <w:sz w:val="24"/>
                <w:szCs w:val="24"/>
              </w:rPr>
              <w:t>200</w:t>
            </w:r>
            <w:r w:rsidRPr="00B31E8B" w:rsidR="00642F42">
              <w:rPr>
                <w:rFonts w:ascii="Times New Roman" w:hAnsi="Times New Roman"/>
                <w:sz w:val="24"/>
                <w:szCs w:val="24"/>
              </w:rPr>
              <w:t>9.gada 3.februāra noteikumu Nr.</w:t>
            </w:r>
            <w:r w:rsidR="005B097A">
              <w:rPr>
                <w:rFonts w:ascii="Times New Roman" w:hAnsi="Times New Roman"/>
                <w:sz w:val="24"/>
                <w:szCs w:val="24"/>
              </w:rPr>
              <w:t> </w:t>
            </w:r>
            <w:r w:rsidRPr="00B31E8B" w:rsidR="00780C97">
              <w:rPr>
                <w:rFonts w:ascii="Times New Roman" w:hAnsi="Times New Roman"/>
                <w:sz w:val="24"/>
                <w:szCs w:val="24"/>
              </w:rPr>
              <w:t xml:space="preserve">108 </w:t>
            </w:r>
            <w:r w:rsidRPr="00961A09" w:rsidR="00961A09">
              <w:rPr>
                <w:rFonts w:ascii="Times New Roman" w:hAnsi="Times New Roman"/>
                <w:sz w:val="24"/>
                <w:szCs w:val="24"/>
              </w:rPr>
              <w:t>“</w:t>
            </w:r>
            <w:r w:rsidRPr="00B31E8B" w:rsidR="00780C97">
              <w:rPr>
                <w:rFonts w:ascii="Times New Roman" w:hAnsi="Times New Roman"/>
                <w:sz w:val="24"/>
                <w:szCs w:val="24"/>
              </w:rPr>
              <w:t>Normatīvo aktu projektu sagatavošanas noteikumi”</w:t>
            </w:r>
            <w:r w:rsidRPr="00B31E8B" w:rsidR="004B7339">
              <w:rPr>
                <w:rFonts w:ascii="Times New Roman" w:hAnsi="Times New Roman"/>
                <w:sz w:val="24"/>
                <w:szCs w:val="24"/>
              </w:rPr>
              <w:t xml:space="preserve"> </w:t>
            </w:r>
            <w:r w:rsidRPr="00B31E8B" w:rsidR="00642F42">
              <w:rPr>
                <w:rFonts w:ascii="Times New Roman" w:hAnsi="Times New Roman"/>
                <w:sz w:val="24"/>
                <w:szCs w:val="24"/>
              </w:rPr>
              <w:t>140.</w:t>
            </w:r>
            <w:r w:rsidR="00F83FA7">
              <w:rPr>
                <w:rFonts w:ascii="Times New Roman" w:hAnsi="Times New Roman"/>
                <w:sz w:val="24"/>
                <w:szCs w:val="24"/>
              </w:rPr>
              <w:t> </w:t>
            </w:r>
            <w:r w:rsidRPr="00B31E8B" w:rsidR="001B06D8">
              <w:rPr>
                <w:rFonts w:ascii="Times New Roman" w:hAnsi="Times New Roman"/>
                <w:sz w:val="24"/>
                <w:szCs w:val="24"/>
              </w:rPr>
              <w:t>p</w:t>
            </w:r>
            <w:r w:rsidRPr="00B31E8B" w:rsidR="00780C97">
              <w:rPr>
                <w:rFonts w:ascii="Times New Roman" w:hAnsi="Times New Roman"/>
                <w:sz w:val="24"/>
                <w:szCs w:val="24"/>
              </w:rPr>
              <w:t>unktu</w:t>
            </w:r>
            <w:r w:rsidRPr="00B31E8B" w:rsidR="001B06D8">
              <w:rPr>
                <w:rFonts w:ascii="Times New Roman" w:hAnsi="Times New Roman"/>
                <w:sz w:val="24"/>
                <w:szCs w:val="24"/>
              </w:rPr>
              <w:t xml:space="preserve">, </w:t>
            </w:r>
            <w:r w:rsidRPr="00B31E8B" w:rsidR="003C7D32">
              <w:rPr>
                <w:rFonts w:ascii="Times New Roman" w:hAnsi="Times New Roman"/>
                <w:sz w:val="24"/>
                <w:szCs w:val="24"/>
              </w:rPr>
              <w:t xml:space="preserve">tika izstrādāti </w:t>
            </w:r>
            <w:r w:rsidRPr="00B31E8B" w:rsidR="006746FF">
              <w:rPr>
                <w:rFonts w:ascii="Times New Roman" w:hAnsi="Times New Roman"/>
                <w:sz w:val="24"/>
                <w:szCs w:val="24"/>
              </w:rPr>
              <w:t>ja</w:t>
            </w:r>
            <w:r w:rsidRPr="00B31E8B" w:rsidR="00780C97">
              <w:rPr>
                <w:rFonts w:ascii="Times New Roman" w:hAnsi="Times New Roman"/>
                <w:sz w:val="24"/>
                <w:szCs w:val="24"/>
              </w:rPr>
              <w:t>u</w:t>
            </w:r>
            <w:r w:rsidRPr="00B31E8B" w:rsidR="006746FF">
              <w:rPr>
                <w:rFonts w:ascii="Times New Roman" w:hAnsi="Times New Roman"/>
                <w:sz w:val="24"/>
                <w:szCs w:val="24"/>
              </w:rPr>
              <w:t>ni Ministru kabineta</w:t>
            </w:r>
            <w:r w:rsidRPr="00B31E8B" w:rsidR="006B6EDE">
              <w:rPr>
                <w:rFonts w:ascii="Times New Roman" w:hAnsi="Times New Roman"/>
                <w:sz w:val="24"/>
                <w:szCs w:val="24"/>
              </w:rPr>
              <w:t xml:space="preserve"> noteikumi</w:t>
            </w:r>
            <w:r w:rsidRPr="00B31E8B" w:rsidR="00D3416D">
              <w:rPr>
                <w:rFonts w:ascii="Times New Roman" w:hAnsi="Times New Roman"/>
                <w:sz w:val="24"/>
                <w:szCs w:val="24"/>
              </w:rPr>
              <w:t>.</w:t>
            </w:r>
          </w:p>
        </w:tc>
      </w:tr>
      <w:tr w14:paraId="03733C3B" w14:textId="77777777" w:rsidTr="00F46BF0">
        <w:tblPrEx>
          <w:tblW w:w="9185" w:type="dxa"/>
          <w:jc w:val="center"/>
          <w:tblLayout w:type="fixed"/>
          <w:tblCellMar>
            <w:left w:w="57" w:type="dxa"/>
            <w:right w:w="57" w:type="dxa"/>
          </w:tblCellMar>
          <w:tblLook w:val="00A0"/>
        </w:tblPrEx>
        <w:trPr>
          <w:trHeight w:val="3675"/>
          <w:jc w:val="center"/>
        </w:trPr>
        <w:tc>
          <w:tcPr>
            <w:tcW w:w="341" w:type="dxa"/>
          </w:tcPr>
          <w:p w:rsidR="00CB4AAB" w:rsidRPr="00B31E8B" w:rsidP="00B31E8B" w14:paraId="78B3BAA5" w14:textId="77777777">
            <w:pPr>
              <w:spacing w:before="60" w:after="60"/>
              <w:jc w:val="center"/>
              <w:rPr>
                <w:rFonts w:ascii="Times New Roman" w:hAnsi="Times New Roman"/>
                <w:sz w:val="24"/>
                <w:szCs w:val="24"/>
                <w:lang w:eastAsia="lv-LV"/>
              </w:rPr>
            </w:pPr>
            <w:r w:rsidRPr="00B31E8B">
              <w:rPr>
                <w:rFonts w:ascii="Times New Roman" w:hAnsi="Times New Roman"/>
                <w:sz w:val="24"/>
                <w:szCs w:val="24"/>
                <w:lang w:eastAsia="lv-LV"/>
              </w:rPr>
              <w:t>2.</w:t>
            </w:r>
          </w:p>
        </w:tc>
        <w:tc>
          <w:tcPr>
            <w:tcW w:w="2206" w:type="dxa"/>
          </w:tcPr>
          <w:p w:rsidR="00CB4AAB" w:rsidRPr="00B31E8B" w:rsidP="00B31E8B" w14:paraId="220C50A4" w14:textId="77777777">
            <w:pPr>
              <w:spacing w:before="60" w:after="60"/>
              <w:jc w:val="left"/>
              <w:rPr>
                <w:rFonts w:ascii="Times New Roman" w:hAnsi="Times New Roman"/>
                <w:sz w:val="24"/>
                <w:szCs w:val="24"/>
                <w:lang w:eastAsia="lv-LV"/>
              </w:rPr>
            </w:pPr>
            <w:r w:rsidRPr="00B31E8B">
              <w:rPr>
                <w:rFonts w:ascii="Times New Roman" w:hAnsi="Times New Roman"/>
                <w:sz w:val="24"/>
                <w:szCs w:val="24"/>
                <w:lang w:eastAsia="lv-LV"/>
              </w:rPr>
              <w:t>Pašreizējā situācija un problēmas, kuru risināšanai tiesību akta projekts izstrādāts, tiesiskā regulējuma mērķis un būtība</w:t>
            </w:r>
          </w:p>
        </w:tc>
        <w:tc>
          <w:tcPr>
            <w:tcW w:w="6638" w:type="dxa"/>
          </w:tcPr>
          <w:p w:rsidR="00FD5A20" w:rsidRPr="00B31E8B" w:rsidP="00B31E8B" w14:paraId="4D7E716E" w14:textId="77777777">
            <w:pPr>
              <w:pStyle w:val="naiskr"/>
              <w:spacing w:before="60" w:after="60"/>
              <w:jc w:val="both"/>
              <w:rPr>
                <w:u w:val="single"/>
              </w:rPr>
            </w:pPr>
            <w:r w:rsidRPr="00B31E8B">
              <w:rPr>
                <w:u w:val="single"/>
              </w:rPr>
              <w:t xml:space="preserve">Pašreizējā situācija un problēmas, pastāvošais tiesiskais regulējums, tā būtība un </w:t>
            </w:r>
            <w:r w:rsidRPr="00B31E8B" w:rsidR="006E6F43">
              <w:rPr>
                <w:u w:val="single"/>
              </w:rPr>
              <w:t>nepilnības</w:t>
            </w:r>
          </w:p>
          <w:p w:rsidR="00545237" w:rsidRPr="00B31E8B" w:rsidP="00B31E8B" w14:paraId="091E4D99" w14:textId="1F9E2CEB">
            <w:pPr>
              <w:spacing w:before="60" w:after="60"/>
              <w:rPr>
                <w:rFonts w:ascii="Times New Roman" w:hAnsi="Times New Roman"/>
                <w:sz w:val="24"/>
                <w:szCs w:val="24"/>
                <w:shd w:val="clear" w:color="auto" w:fill="FFFFFF"/>
              </w:rPr>
            </w:pPr>
            <w:r w:rsidRPr="00B31E8B">
              <w:rPr>
                <w:rFonts w:ascii="Times New Roman" w:hAnsi="Times New Roman"/>
                <w:sz w:val="24"/>
                <w:szCs w:val="24"/>
              </w:rPr>
              <w:t>Latvijā šobrīd s</w:t>
            </w:r>
            <w:r w:rsidRPr="00B31E8B" w:rsidR="008C007B">
              <w:rPr>
                <w:rFonts w:ascii="Times New Roman" w:hAnsi="Times New Roman"/>
                <w:sz w:val="24"/>
                <w:szCs w:val="24"/>
              </w:rPr>
              <w:t xml:space="preserve">iltumnīcefekta gāzu </w:t>
            </w:r>
            <w:r w:rsidRPr="00B31E8B" w:rsidR="008C007B">
              <w:rPr>
                <w:rFonts w:ascii="Times New Roman" w:hAnsi="Times New Roman"/>
                <w:sz w:val="24"/>
                <w:szCs w:val="24"/>
                <w:shd w:val="clear" w:color="auto" w:fill="FFFFFF"/>
              </w:rPr>
              <w:t>(turpmāk – SEG)</w:t>
            </w:r>
            <w:r w:rsidRPr="00B31E8B" w:rsidR="008C007B">
              <w:rPr>
                <w:rFonts w:ascii="Times New Roman" w:hAnsi="Times New Roman"/>
                <w:sz w:val="24"/>
                <w:szCs w:val="24"/>
              </w:rPr>
              <w:t xml:space="preserve"> inventarizācijas</w:t>
            </w:r>
            <w:r w:rsidRPr="00B31E8B">
              <w:rPr>
                <w:rFonts w:ascii="Times New Roman" w:hAnsi="Times New Roman"/>
                <w:sz w:val="24"/>
                <w:szCs w:val="24"/>
              </w:rPr>
              <w:t xml:space="preserve"> nacionālā sistēma ir izveidota un darbojas saskaņā ar </w:t>
            </w:r>
            <w:r w:rsidRPr="0068189F" w:rsidR="005B097A">
              <w:rPr>
                <w:rFonts w:ascii="Times New Roman" w:hAnsi="Times New Roman"/>
                <w:sz w:val="24"/>
                <w:szCs w:val="24"/>
              </w:rPr>
              <w:t xml:space="preserve">MK </w:t>
            </w:r>
            <w:r w:rsidRPr="00B31E8B">
              <w:rPr>
                <w:rFonts w:ascii="Times New Roman" w:hAnsi="Times New Roman"/>
                <w:sz w:val="24"/>
                <w:szCs w:val="24"/>
              </w:rPr>
              <w:t xml:space="preserve">noteikumiem Nr. 217. Savukārt SEG </w:t>
            </w:r>
            <w:r w:rsidRPr="00B31E8B" w:rsidR="008C007B">
              <w:rPr>
                <w:rFonts w:ascii="Times New Roman" w:hAnsi="Times New Roman"/>
                <w:sz w:val="24"/>
                <w:szCs w:val="24"/>
              </w:rPr>
              <w:t>prognožu</w:t>
            </w:r>
            <w:r w:rsidRPr="00B31E8B">
              <w:rPr>
                <w:rFonts w:ascii="Times New Roman" w:hAnsi="Times New Roman"/>
                <w:sz w:val="24"/>
                <w:szCs w:val="24"/>
              </w:rPr>
              <w:t xml:space="preserve"> nacionālā sistēma </w:t>
            </w:r>
            <w:r w:rsidRPr="00B31E8B">
              <w:rPr>
                <w:rFonts w:ascii="Times New Roman" w:hAnsi="Times New Roman"/>
                <w:sz w:val="24"/>
                <w:szCs w:val="24"/>
                <w:shd w:val="clear" w:color="auto" w:fill="FFFFFF"/>
              </w:rPr>
              <w:t xml:space="preserve">nav noteikta ar </w:t>
            </w:r>
            <w:r w:rsidRPr="00B31E8B" w:rsidR="00921B6C">
              <w:rPr>
                <w:rFonts w:ascii="Times New Roman" w:hAnsi="Times New Roman"/>
                <w:sz w:val="24"/>
                <w:szCs w:val="24"/>
                <w:shd w:val="clear" w:color="auto" w:fill="FFFFFF"/>
              </w:rPr>
              <w:t>Ministru kabineta noteikumiem</w:t>
            </w:r>
            <w:r w:rsidRPr="00B31E8B">
              <w:rPr>
                <w:rFonts w:ascii="Times New Roman" w:hAnsi="Times New Roman"/>
                <w:sz w:val="24"/>
                <w:szCs w:val="24"/>
                <w:shd w:val="clear" w:color="auto" w:fill="FFFFFF"/>
              </w:rPr>
              <w:t xml:space="preserve">,  kas saskaņā ar </w:t>
            </w:r>
            <w:r w:rsidRPr="00E724B4" w:rsidR="00D126FF">
              <w:rPr>
                <w:rFonts w:ascii="Times New Roman" w:hAnsi="Times New Roman"/>
                <w:sz w:val="24"/>
                <w:szCs w:val="24"/>
              </w:rPr>
              <w:t>Eiropas Parlamenta un Padomes 2013.gada 21.maija regulas Nr.525/2013 par mehānismu siltumnīcefekta gāzu emisiju pārraudzībai un ziņošanai un citas informācijas ziņošanai valstu un Savienības līmenī saistībā ar klimata pārmaiņām un par Lēmuma Nr. 280/2004/EK atcelšanu  (turpmāk – Regula Nr.525/2013)</w:t>
            </w:r>
            <w:r w:rsidR="00D126FF">
              <w:t xml:space="preserve"> </w:t>
            </w:r>
            <w:r w:rsidR="00D126FF">
              <w:rPr>
                <w:rFonts w:ascii="Times New Roman" w:hAnsi="Times New Roman"/>
                <w:sz w:val="24"/>
                <w:szCs w:val="24"/>
                <w:shd w:val="clear" w:color="auto" w:fill="FFFFFF"/>
              </w:rPr>
              <w:t xml:space="preserve"> ir obligāta prasība</w:t>
            </w:r>
            <w:r w:rsidRPr="00B31E8B">
              <w:rPr>
                <w:rFonts w:ascii="Times New Roman" w:hAnsi="Times New Roman"/>
                <w:sz w:val="24"/>
                <w:szCs w:val="24"/>
                <w:shd w:val="clear" w:color="auto" w:fill="FFFFFF"/>
              </w:rPr>
              <w:t>.</w:t>
            </w:r>
          </w:p>
          <w:p w:rsidR="008C007B" w:rsidRPr="00B31E8B" w:rsidP="00B31E8B" w14:paraId="1F651186" w14:textId="0AC10129">
            <w:pPr>
              <w:spacing w:before="60" w:after="60"/>
              <w:rPr>
                <w:rFonts w:ascii="Times New Roman" w:hAnsi="Times New Roman"/>
                <w:sz w:val="24"/>
                <w:szCs w:val="24"/>
              </w:rPr>
            </w:pPr>
            <w:r w:rsidRPr="00B31E8B">
              <w:rPr>
                <w:rFonts w:ascii="Times New Roman" w:hAnsi="Times New Roman"/>
                <w:sz w:val="24"/>
                <w:szCs w:val="24"/>
                <w:shd w:val="clear" w:color="auto" w:fill="FFFFFF"/>
              </w:rPr>
              <w:t xml:space="preserve">SEG inventarizācijas un SEG prognožu sagatavošanas nacionālā sistēma </w:t>
            </w:r>
            <w:r w:rsidRPr="00B31E8B">
              <w:rPr>
                <w:rFonts w:ascii="Times New Roman" w:hAnsi="Times New Roman"/>
                <w:sz w:val="24"/>
                <w:szCs w:val="24"/>
              </w:rPr>
              <w:t>ir institucionāla, juridiska un procesuāla pasākumu sistēma, kas izveidota, lai aprēķinātu SEG antropogēnās emisijas un CO</w:t>
            </w:r>
            <w:r w:rsidRPr="00B31E8B">
              <w:rPr>
                <w:rFonts w:ascii="Times New Roman" w:hAnsi="Times New Roman"/>
                <w:sz w:val="24"/>
                <w:szCs w:val="24"/>
                <w:vertAlign w:val="subscript"/>
              </w:rPr>
              <w:t>2</w:t>
            </w:r>
            <w:r w:rsidRPr="00B31E8B">
              <w:rPr>
                <w:rFonts w:ascii="Times New Roman" w:hAnsi="Times New Roman"/>
                <w:sz w:val="24"/>
                <w:szCs w:val="24"/>
              </w:rPr>
              <w:t xml:space="preserve"> piesaisti</w:t>
            </w:r>
            <w:r w:rsidRPr="00B31E8B" w:rsidR="003A30F3">
              <w:rPr>
                <w:rFonts w:ascii="Times New Roman" w:hAnsi="Times New Roman"/>
                <w:sz w:val="24"/>
                <w:szCs w:val="24"/>
              </w:rPr>
              <w:t xml:space="preserve"> (i</w:t>
            </w:r>
            <w:r w:rsidRPr="00B31E8B">
              <w:rPr>
                <w:rFonts w:ascii="Times New Roman" w:hAnsi="Times New Roman"/>
                <w:sz w:val="24"/>
                <w:szCs w:val="24"/>
              </w:rPr>
              <w:t>kgadējā SEG inventarizācijā aprēķini jāsagatavo par laika posmu X-2 gads</w:t>
            </w:r>
            <w:r w:rsidRPr="00B31E8B" w:rsidR="003C7D32">
              <w:rPr>
                <w:rFonts w:ascii="Times New Roman" w:hAnsi="Times New Roman"/>
                <w:sz w:val="24"/>
                <w:szCs w:val="24"/>
              </w:rPr>
              <w:t>, kur “X” ir gads, kurā konkrētie aprēķini tiek iesniegti konkrētajām Eiropas Savienības (</w:t>
            </w:r>
            <w:r w:rsidRPr="00B31E8B" w:rsidR="006E30DA">
              <w:rPr>
                <w:rFonts w:ascii="Times New Roman" w:hAnsi="Times New Roman"/>
                <w:sz w:val="24"/>
                <w:szCs w:val="24"/>
                <w:shd w:val="clear" w:color="auto" w:fill="FFFFFF"/>
              </w:rPr>
              <w:t xml:space="preserve">turpmāk – </w:t>
            </w:r>
            <w:r w:rsidRPr="00B31E8B" w:rsidR="003C7D32">
              <w:rPr>
                <w:rFonts w:ascii="Times New Roman" w:hAnsi="Times New Roman"/>
                <w:sz w:val="24"/>
                <w:szCs w:val="24"/>
              </w:rPr>
              <w:t>ES) un starptautiskajām institūcijām</w:t>
            </w:r>
            <w:r w:rsidRPr="00B31E8B">
              <w:rPr>
                <w:rFonts w:ascii="Times New Roman" w:hAnsi="Times New Roman"/>
                <w:sz w:val="24"/>
                <w:szCs w:val="24"/>
              </w:rPr>
              <w:t xml:space="preserve">, piemēram, 2017. gadā </w:t>
            </w:r>
            <w:r w:rsidRPr="00B31E8B" w:rsidR="00CF1C0A">
              <w:rPr>
                <w:rFonts w:ascii="Times New Roman" w:hAnsi="Times New Roman"/>
                <w:sz w:val="24"/>
                <w:szCs w:val="24"/>
              </w:rPr>
              <w:t>ir</w:t>
            </w:r>
            <w:r w:rsidRPr="00B31E8B">
              <w:rPr>
                <w:rFonts w:ascii="Times New Roman" w:hAnsi="Times New Roman"/>
                <w:sz w:val="24"/>
                <w:szCs w:val="24"/>
              </w:rPr>
              <w:t xml:space="preserve"> jāiesniedz </w:t>
            </w:r>
            <w:r w:rsidRPr="00B31E8B" w:rsidR="00010AF1">
              <w:rPr>
                <w:rFonts w:ascii="Times New Roman" w:hAnsi="Times New Roman"/>
                <w:sz w:val="24"/>
                <w:szCs w:val="24"/>
              </w:rPr>
              <w:t xml:space="preserve">dati </w:t>
            </w:r>
            <w:r w:rsidRPr="00B31E8B">
              <w:rPr>
                <w:rFonts w:ascii="Times New Roman" w:hAnsi="Times New Roman"/>
                <w:sz w:val="24"/>
                <w:szCs w:val="24"/>
              </w:rPr>
              <w:t>par 2015.gadu), kā arī, lai ziņotu un arhivētu inventarizācijas informāciju</w:t>
            </w:r>
            <w:r>
              <w:rPr>
                <w:rStyle w:val="FootnoteReference"/>
                <w:rFonts w:ascii="Times New Roman" w:hAnsi="Times New Roman"/>
                <w:sz w:val="24"/>
                <w:szCs w:val="24"/>
              </w:rPr>
              <w:footnoteReference w:id="3"/>
            </w:r>
            <w:r w:rsidRPr="00B31E8B">
              <w:rPr>
                <w:rFonts w:ascii="Times New Roman" w:hAnsi="Times New Roman"/>
                <w:sz w:val="24"/>
                <w:szCs w:val="24"/>
              </w:rPr>
              <w:t xml:space="preserve">. </w:t>
            </w:r>
            <w:r w:rsidRPr="00B31E8B" w:rsidR="00010AF1">
              <w:rPr>
                <w:rFonts w:ascii="Times New Roman" w:hAnsi="Times New Roman"/>
                <w:sz w:val="24"/>
                <w:szCs w:val="24"/>
              </w:rPr>
              <w:t>P</w:t>
            </w:r>
            <w:r w:rsidRPr="00B31E8B">
              <w:rPr>
                <w:rFonts w:ascii="Times New Roman" w:hAnsi="Times New Roman"/>
                <w:sz w:val="24"/>
                <w:szCs w:val="24"/>
              </w:rPr>
              <w:t>rocesuāl</w:t>
            </w:r>
            <w:r w:rsidRPr="00B31E8B" w:rsidR="00010AF1">
              <w:rPr>
                <w:rFonts w:ascii="Times New Roman" w:hAnsi="Times New Roman"/>
                <w:sz w:val="24"/>
                <w:szCs w:val="24"/>
              </w:rPr>
              <w:t>ā</w:t>
            </w:r>
            <w:r w:rsidRPr="00B31E8B">
              <w:rPr>
                <w:rFonts w:ascii="Times New Roman" w:hAnsi="Times New Roman"/>
                <w:sz w:val="24"/>
                <w:szCs w:val="24"/>
              </w:rPr>
              <w:t xml:space="preserve"> pasākumu sistēma ietver </w:t>
            </w:r>
            <w:r w:rsidRPr="00B31E8B" w:rsidR="00010AF1">
              <w:rPr>
                <w:rFonts w:ascii="Times New Roman" w:hAnsi="Times New Roman"/>
                <w:sz w:val="24"/>
                <w:szCs w:val="24"/>
              </w:rPr>
              <w:t xml:space="preserve">arī </w:t>
            </w:r>
            <w:r w:rsidRPr="00B31E8B">
              <w:rPr>
                <w:rFonts w:ascii="Times New Roman" w:hAnsi="Times New Roman"/>
                <w:sz w:val="24"/>
                <w:szCs w:val="24"/>
              </w:rPr>
              <w:t>SEG inventarizācijas un SEG prognožu kvalitātes kontroles procedūras un kvalitātes nodrošināšana  darbības, kā arī ziņošanas un uzraudzības kārtību.</w:t>
            </w:r>
          </w:p>
          <w:p w:rsidR="00545237" w:rsidRPr="00B31E8B" w:rsidP="00B31E8B" w14:paraId="4753D649" w14:textId="3B19D948">
            <w:pPr>
              <w:pStyle w:val="PlainText"/>
              <w:spacing w:before="60" w:after="60"/>
              <w:jc w:val="both"/>
              <w:rPr>
                <w:rFonts w:ascii="Times New Roman" w:hAnsi="Times New Roman"/>
                <w:color w:val="000000" w:themeColor="text1"/>
                <w:sz w:val="24"/>
                <w:szCs w:val="24"/>
              </w:rPr>
            </w:pPr>
            <w:r w:rsidRPr="00B31E8B">
              <w:rPr>
                <w:rFonts w:ascii="Times New Roman" w:hAnsi="Times New Roman"/>
                <w:sz w:val="24"/>
                <w:szCs w:val="24"/>
              </w:rPr>
              <w:t xml:space="preserve">Šobrīd </w:t>
            </w:r>
            <w:r w:rsidRPr="00B31E8B" w:rsidR="00010AF1">
              <w:rPr>
                <w:rFonts w:ascii="Times New Roman" w:hAnsi="Times New Roman"/>
                <w:sz w:val="24"/>
                <w:szCs w:val="24"/>
              </w:rPr>
              <w:t xml:space="preserve">spēkā </w:t>
            </w:r>
            <w:r w:rsidRPr="00B31E8B" w:rsidR="000236E8">
              <w:rPr>
                <w:rFonts w:ascii="Times New Roman" w:hAnsi="Times New Roman"/>
                <w:sz w:val="24"/>
                <w:szCs w:val="24"/>
              </w:rPr>
              <w:t>esošie</w:t>
            </w:r>
            <w:r w:rsidRPr="00B31E8B" w:rsidR="002D670A">
              <w:rPr>
                <w:rFonts w:ascii="Times New Roman" w:hAnsi="Times New Roman"/>
                <w:sz w:val="24"/>
                <w:szCs w:val="24"/>
              </w:rPr>
              <w:t xml:space="preserve"> </w:t>
            </w:r>
            <w:r w:rsidR="005B097A">
              <w:rPr>
                <w:rFonts w:ascii="Times New Roman" w:hAnsi="Times New Roman"/>
                <w:color w:val="000000" w:themeColor="text1"/>
                <w:sz w:val="24"/>
                <w:szCs w:val="24"/>
              </w:rPr>
              <w:t xml:space="preserve">MK </w:t>
            </w:r>
            <w:r w:rsidRPr="00B31E8B" w:rsidR="000236E8">
              <w:rPr>
                <w:rFonts w:ascii="Times New Roman" w:hAnsi="Times New Roman"/>
                <w:color w:val="000000" w:themeColor="text1"/>
                <w:sz w:val="24"/>
                <w:szCs w:val="24"/>
              </w:rPr>
              <w:t>noteikumi Nr.</w:t>
            </w:r>
            <w:r w:rsidRPr="00B31E8B" w:rsidR="001261AE">
              <w:rPr>
                <w:rFonts w:ascii="Times New Roman" w:hAnsi="Times New Roman"/>
                <w:color w:val="000000" w:themeColor="text1"/>
                <w:sz w:val="24"/>
                <w:szCs w:val="24"/>
              </w:rPr>
              <w:t> </w:t>
            </w:r>
            <w:r w:rsidRPr="00B31E8B" w:rsidR="000236E8">
              <w:rPr>
                <w:rFonts w:ascii="Times New Roman" w:hAnsi="Times New Roman"/>
                <w:color w:val="000000" w:themeColor="text1"/>
                <w:sz w:val="24"/>
                <w:szCs w:val="24"/>
              </w:rPr>
              <w:t xml:space="preserve">217 </w:t>
            </w:r>
            <w:r w:rsidRPr="00B31E8B" w:rsidR="00A1513C">
              <w:rPr>
                <w:rFonts w:ascii="Times New Roman" w:hAnsi="Times New Roman"/>
                <w:color w:val="000000" w:themeColor="text1"/>
                <w:sz w:val="24"/>
                <w:szCs w:val="24"/>
              </w:rPr>
              <w:t xml:space="preserve">neietver jaunākās pārraudzības un ziņošanas prasības, kas pieņemtas </w:t>
            </w:r>
            <w:r w:rsidRPr="00B31E8B" w:rsidR="00A1513C">
              <w:rPr>
                <w:rFonts w:ascii="Times New Roman" w:hAnsi="Times New Roman"/>
                <w:sz w:val="24"/>
                <w:szCs w:val="24"/>
              </w:rPr>
              <w:t xml:space="preserve">Apvienoto Nāciju </w:t>
            </w:r>
            <w:r w:rsidRPr="00B31E8B" w:rsidR="00A1513C">
              <w:rPr>
                <w:rFonts w:ascii="Times New Roman" w:hAnsi="Times New Roman"/>
                <w:sz w:val="24"/>
                <w:szCs w:val="24"/>
              </w:rPr>
              <w:t xml:space="preserve">Organizācijas (turpmāk – ANO) </w:t>
            </w:r>
            <w:r w:rsidRPr="00B31E8B" w:rsidR="00A1513C">
              <w:rPr>
                <w:rFonts w:ascii="Times New Roman" w:hAnsi="Times New Roman"/>
                <w:color w:val="000000" w:themeColor="text1"/>
                <w:sz w:val="24"/>
                <w:szCs w:val="24"/>
              </w:rPr>
              <w:t xml:space="preserve"> Vispārējās konvencijas par klimata pārmaiņām</w:t>
            </w:r>
            <w:r>
              <w:rPr>
                <w:rStyle w:val="FootnoteReference"/>
                <w:rFonts w:ascii="Times New Roman" w:hAnsi="Times New Roman"/>
                <w:color w:val="000000" w:themeColor="text1"/>
                <w:sz w:val="24"/>
                <w:szCs w:val="24"/>
              </w:rPr>
              <w:footnoteReference w:id="4"/>
            </w:r>
            <w:r w:rsidRPr="00B31E8B" w:rsidR="00A1513C">
              <w:rPr>
                <w:rFonts w:ascii="Times New Roman" w:hAnsi="Times New Roman"/>
                <w:color w:val="000000" w:themeColor="text1"/>
                <w:sz w:val="24"/>
                <w:szCs w:val="24"/>
              </w:rPr>
              <w:t xml:space="preserve"> (turpmāk – Klimata konvencija) un tās Kioto protokola</w:t>
            </w:r>
            <w:r>
              <w:rPr>
                <w:rStyle w:val="FootnoteReference"/>
                <w:rFonts w:ascii="Times New Roman" w:hAnsi="Times New Roman"/>
                <w:color w:val="000000" w:themeColor="text1"/>
                <w:sz w:val="24"/>
                <w:szCs w:val="24"/>
              </w:rPr>
              <w:footnoteReference w:id="5"/>
            </w:r>
            <w:r w:rsidRPr="00B31E8B" w:rsidR="00A1513C">
              <w:rPr>
                <w:rFonts w:ascii="Times New Roman" w:hAnsi="Times New Roman"/>
                <w:color w:val="000000" w:themeColor="text1"/>
                <w:sz w:val="24"/>
                <w:szCs w:val="24"/>
              </w:rPr>
              <w:t xml:space="preserve"> (t.s. Kioto protokola Dohas grozījuma</w:t>
            </w:r>
            <w:r>
              <w:rPr>
                <w:rStyle w:val="FootnoteReference"/>
                <w:rFonts w:ascii="Times New Roman" w:hAnsi="Times New Roman"/>
                <w:color w:val="000000" w:themeColor="text1"/>
                <w:sz w:val="24"/>
                <w:szCs w:val="24"/>
              </w:rPr>
              <w:footnoteReference w:id="6"/>
            </w:r>
            <w:r w:rsidRPr="00B31E8B" w:rsidR="00A1513C">
              <w:rPr>
                <w:rFonts w:ascii="Times New Roman" w:hAnsi="Times New Roman"/>
                <w:color w:val="000000" w:themeColor="text1"/>
                <w:sz w:val="24"/>
                <w:szCs w:val="24"/>
              </w:rPr>
              <w:t>) un Eiropas Savienības tiesību aktu un Vides monitoringa programmas 2015. –2020. gadam, tai skaitā Gaisa un klimata pārmaiņu monitoringa programma, kura izstrādāta pamatojoties uz Vides politikas pamatnostādnēm 2014.–2020. gadam, ietvaros un tāpēc ir nepieciešams atjaunināt šajos noteikumos iekļautos nosacījumus</w:t>
            </w:r>
            <w:r w:rsidRPr="00B31E8B">
              <w:rPr>
                <w:rFonts w:ascii="Times New Roman" w:hAnsi="Times New Roman"/>
                <w:color w:val="000000" w:themeColor="text1"/>
                <w:sz w:val="24"/>
                <w:szCs w:val="24"/>
              </w:rPr>
              <w:t>.</w:t>
            </w:r>
          </w:p>
          <w:p w:rsidR="00DC7AB3" w:rsidRPr="00B31E8B" w:rsidP="00B31E8B" w14:paraId="6933D88B" w14:textId="161B5487">
            <w:pPr>
              <w:pStyle w:val="PlainText"/>
              <w:spacing w:before="60" w:after="60"/>
              <w:jc w:val="both"/>
              <w:rPr>
                <w:rFonts w:ascii="Times New Roman" w:hAnsi="Times New Roman"/>
                <w:sz w:val="24"/>
                <w:szCs w:val="24"/>
              </w:rPr>
            </w:pPr>
            <w:r w:rsidRPr="00B31E8B">
              <w:rPr>
                <w:rFonts w:ascii="Times New Roman" w:hAnsi="Times New Roman"/>
                <w:sz w:val="24"/>
                <w:szCs w:val="24"/>
              </w:rPr>
              <w:t>Ar noteikumu projektu paredzēts nodrošināt SEG inventarizācijas un ziņojumu par politiku, pasākumiem un SEG prognozēm pēctecību. Pirmie šāda veida</w:t>
            </w:r>
            <w:r w:rsidR="00961A09">
              <w:rPr>
                <w:rFonts w:ascii="Times New Roman" w:hAnsi="Times New Roman"/>
                <w:sz w:val="24"/>
                <w:szCs w:val="24"/>
              </w:rPr>
              <w:t xml:space="preserve"> Ministru kabineta</w:t>
            </w:r>
            <w:r w:rsidRPr="00B31E8B">
              <w:rPr>
                <w:rFonts w:ascii="Times New Roman" w:hAnsi="Times New Roman"/>
                <w:sz w:val="24"/>
                <w:szCs w:val="24"/>
              </w:rPr>
              <w:t xml:space="preserve"> noteikumi tika izstrādāti un pieņemti 2009. </w:t>
            </w:r>
            <w:r w:rsidRPr="00B31E8B" w:rsidR="00972761">
              <w:rPr>
                <w:rFonts w:ascii="Times New Roman" w:hAnsi="Times New Roman"/>
                <w:sz w:val="24"/>
                <w:szCs w:val="24"/>
              </w:rPr>
              <w:t>g</w:t>
            </w:r>
            <w:r w:rsidRPr="00B31E8B">
              <w:rPr>
                <w:rFonts w:ascii="Times New Roman" w:hAnsi="Times New Roman"/>
                <w:sz w:val="24"/>
                <w:szCs w:val="24"/>
              </w:rPr>
              <w:t>adā (Ministru kabineta 2009.</w:t>
            </w:r>
            <w:r w:rsidR="005B097A">
              <w:rPr>
                <w:rFonts w:ascii="Times New Roman" w:hAnsi="Times New Roman"/>
                <w:sz w:val="24"/>
                <w:szCs w:val="24"/>
              </w:rPr>
              <w:t> </w:t>
            </w:r>
            <w:r w:rsidRPr="00B31E8B">
              <w:rPr>
                <w:rFonts w:ascii="Times New Roman" w:hAnsi="Times New Roman"/>
                <w:sz w:val="24"/>
                <w:szCs w:val="24"/>
              </w:rPr>
              <w:t>gada 17.</w:t>
            </w:r>
            <w:r w:rsidR="00961A09">
              <w:rPr>
                <w:rFonts w:ascii="Times New Roman" w:hAnsi="Times New Roman"/>
                <w:sz w:val="24"/>
                <w:szCs w:val="24"/>
              </w:rPr>
              <w:t> </w:t>
            </w:r>
            <w:r w:rsidRPr="00B31E8B">
              <w:rPr>
                <w:rFonts w:ascii="Times New Roman" w:hAnsi="Times New Roman"/>
                <w:sz w:val="24"/>
                <w:szCs w:val="24"/>
              </w:rPr>
              <w:t>februāra noteikumi Nr.157 “Noteikumi par siltumnīcefekta gāzu emisijas vienību inventarizācijas nacionālo sistēmu”</w:t>
            </w:r>
            <w:r w:rsidR="005B097A">
              <w:rPr>
                <w:rFonts w:ascii="Times New Roman" w:hAnsi="Times New Roman"/>
                <w:sz w:val="24"/>
                <w:szCs w:val="24"/>
              </w:rPr>
              <w:t xml:space="preserve">, kas zaudēja spēku </w:t>
            </w:r>
            <w:r w:rsidRPr="0068189F" w:rsidR="0068189F">
              <w:rPr>
                <w:rFonts w:ascii="Times New Roman" w:hAnsi="Times New Roman"/>
                <w:sz w:val="24"/>
                <w:szCs w:val="24"/>
              </w:rPr>
              <w:t>2012.</w:t>
            </w:r>
            <w:r w:rsidR="005B097A">
              <w:rPr>
                <w:rFonts w:ascii="Times New Roman" w:hAnsi="Times New Roman"/>
                <w:sz w:val="24"/>
                <w:szCs w:val="24"/>
              </w:rPr>
              <w:t xml:space="preserve"> gada 31.martā</w:t>
            </w:r>
            <w:r w:rsidRPr="00B31E8B">
              <w:rPr>
                <w:rFonts w:ascii="Times New Roman" w:hAnsi="Times New Roman"/>
                <w:sz w:val="24"/>
                <w:szCs w:val="24"/>
              </w:rPr>
              <w:t xml:space="preserve">). </w:t>
            </w:r>
          </w:p>
          <w:p w:rsidR="00DC7AB3" w:rsidRPr="00B31E8B" w:rsidP="00B31E8B" w14:paraId="070CDFB6" w14:textId="77777777">
            <w:pPr>
              <w:pStyle w:val="PlainText"/>
              <w:spacing w:before="60" w:after="60"/>
              <w:jc w:val="both"/>
              <w:rPr>
                <w:rFonts w:ascii="Times New Roman" w:hAnsi="Times New Roman"/>
                <w:sz w:val="24"/>
                <w:szCs w:val="24"/>
              </w:rPr>
            </w:pPr>
          </w:p>
          <w:p w:rsidR="00CB4AAB" w:rsidRPr="00B31E8B" w:rsidP="00B31E8B" w14:paraId="4E8FD661" w14:textId="3E68DD76">
            <w:pPr>
              <w:pStyle w:val="PlainText"/>
              <w:spacing w:before="60" w:after="60"/>
              <w:jc w:val="both"/>
              <w:rPr>
                <w:rFonts w:ascii="Times New Roman" w:hAnsi="Times New Roman"/>
                <w:sz w:val="24"/>
                <w:szCs w:val="24"/>
                <w:u w:val="single"/>
              </w:rPr>
            </w:pPr>
            <w:r w:rsidRPr="00B31E8B">
              <w:rPr>
                <w:rFonts w:ascii="Times New Roman" w:hAnsi="Times New Roman"/>
                <w:sz w:val="24"/>
                <w:szCs w:val="24"/>
                <w:u w:val="single"/>
              </w:rPr>
              <w:t xml:space="preserve"> </w:t>
            </w:r>
            <w:r w:rsidRPr="00B31E8B" w:rsidR="00EC336E">
              <w:rPr>
                <w:rFonts w:ascii="Times New Roman" w:hAnsi="Times New Roman"/>
                <w:sz w:val="24"/>
                <w:szCs w:val="24"/>
                <w:u w:val="single"/>
              </w:rPr>
              <w:t>N</w:t>
            </w:r>
            <w:r w:rsidRPr="00B31E8B" w:rsidR="00210EC9">
              <w:rPr>
                <w:rFonts w:ascii="Times New Roman" w:hAnsi="Times New Roman"/>
                <w:sz w:val="24"/>
                <w:szCs w:val="24"/>
                <w:u w:val="single"/>
              </w:rPr>
              <w:t>oteikumu projekts</w:t>
            </w:r>
            <w:r w:rsidRPr="00B31E8B" w:rsidR="006E6F43">
              <w:rPr>
                <w:rFonts w:ascii="Times New Roman" w:hAnsi="Times New Roman"/>
                <w:sz w:val="24"/>
                <w:szCs w:val="24"/>
                <w:u w:val="single"/>
              </w:rPr>
              <w:t xml:space="preserve"> izstrādāts ar mērķi:</w:t>
            </w:r>
          </w:p>
          <w:p w:rsidR="00A753E5" w:rsidRPr="00B31E8B" w:rsidP="00B873C3" w14:paraId="074F4AF7" w14:textId="57C3A896">
            <w:pPr>
              <w:pStyle w:val="ListParagraph"/>
              <w:numPr>
                <w:ilvl w:val="0"/>
                <w:numId w:val="26"/>
              </w:numPr>
              <w:spacing w:before="60" w:after="60"/>
              <w:contextualSpacing w:val="0"/>
              <w:rPr>
                <w:sz w:val="24"/>
                <w:szCs w:val="24"/>
              </w:rPr>
            </w:pPr>
            <w:r w:rsidRPr="00B31E8B">
              <w:rPr>
                <w:sz w:val="24"/>
                <w:szCs w:val="24"/>
              </w:rPr>
              <w:t xml:space="preserve">iekļaut jaunākās pārraudzības un ziņošanas prasības, kas pieņemtas </w:t>
            </w:r>
            <w:r w:rsidRPr="00B31E8B" w:rsidR="00DF48CD">
              <w:rPr>
                <w:sz w:val="24"/>
                <w:szCs w:val="24"/>
              </w:rPr>
              <w:t xml:space="preserve">ANO </w:t>
            </w:r>
            <w:r w:rsidRPr="00B31E8B">
              <w:rPr>
                <w:sz w:val="24"/>
                <w:szCs w:val="24"/>
              </w:rPr>
              <w:t xml:space="preserve"> </w:t>
            </w:r>
            <w:r w:rsidRPr="00B31E8B" w:rsidR="00DF48CD">
              <w:rPr>
                <w:sz w:val="24"/>
                <w:szCs w:val="24"/>
              </w:rPr>
              <w:t>Klimata konvencijas</w:t>
            </w:r>
            <w:r w:rsidRPr="00B31E8B" w:rsidR="008C5D8E">
              <w:rPr>
                <w:sz w:val="24"/>
                <w:szCs w:val="24"/>
              </w:rPr>
              <w:t xml:space="preserve">, </w:t>
            </w:r>
            <w:r w:rsidRPr="00B31E8B" w:rsidR="00E27A2C">
              <w:rPr>
                <w:sz w:val="24"/>
                <w:szCs w:val="24"/>
              </w:rPr>
              <w:t>tās</w:t>
            </w:r>
            <w:r w:rsidRPr="00B31E8B">
              <w:rPr>
                <w:sz w:val="24"/>
                <w:szCs w:val="24"/>
              </w:rPr>
              <w:t xml:space="preserve"> Kioto protokola</w:t>
            </w:r>
            <w:r w:rsidRPr="00B31E8B" w:rsidR="008C5D8E">
              <w:rPr>
                <w:sz w:val="24"/>
                <w:szCs w:val="24"/>
              </w:rPr>
              <w:t xml:space="preserve"> (t.s. Kioto protokola Dohas grozījuma)</w:t>
            </w:r>
            <w:r w:rsidRPr="00B31E8B">
              <w:rPr>
                <w:sz w:val="24"/>
                <w:szCs w:val="24"/>
              </w:rPr>
              <w:t xml:space="preserve"> un </w:t>
            </w:r>
            <w:r w:rsidR="00E724B4">
              <w:rPr>
                <w:sz w:val="24"/>
                <w:szCs w:val="24"/>
              </w:rPr>
              <w:t>ES</w:t>
            </w:r>
            <w:r w:rsidRPr="00B31E8B">
              <w:rPr>
                <w:sz w:val="24"/>
                <w:szCs w:val="24"/>
              </w:rPr>
              <w:t xml:space="preserve"> tiesību aktu un Vides monitoringa programmas 2015. – 2020. gadam ietvaros; </w:t>
            </w:r>
          </w:p>
          <w:p w:rsidR="00210EC9" w:rsidRPr="00B31E8B" w:rsidP="00B873C3" w14:paraId="7F20263E" w14:textId="36AD3E49">
            <w:pPr>
              <w:pStyle w:val="naiskr"/>
              <w:numPr>
                <w:ilvl w:val="0"/>
                <w:numId w:val="26"/>
              </w:numPr>
              <w:spacing w:before="60" w:after="60"/>
              <w:jc w:val="both"/>
            </w:pPr>
            <w:r w:rsidRPr="00B31E8B">
              <w:t xml:space="preserve">paplašināt </w:t>
            </w:r>
            <w:r w:rsidRPr="00B31E8B">
              <w:rPr>
                <w:shd w:val="clear" w:color="auto" w:fill="FFFFFF"/>
              </w:rPr>
              <w:t xml:space="preserve">esošo ikgadējās  </w:t>
            </w:r>
            <w:r w:rsidRPr="00B31E8B" w:rsidR="008C5D8E">
              <w:rPr>
                <w:shd w:val="clear" w:color="auto" w:fill="FFFFFF"/>
              </w:rPr>
              <w:t>SEG</w:t>
            </w:r>
            <w:r w:rsidRPr="00B31E8B">
              <w:rPr>
                <w:shd w:val="clear" w:color="auto" w:fill="FFFFFF"/>
              </w:rPr>
              <w:t xml:space="preserve">  inventarizācijas</w:t>
            </w:r>
            <w:r w:rsidRPr="00B31E8B">
              <w:t xml:space="preserve"> institucionālo (nacionālo) sistēmu ar atbildīg</w:t>
            </w:r>
            <w:r w:rsidRPr="00B31E8B" w:rsidR="00010AF1">
              <w:t>aj</w:t>
            </w:r>
            <w:r w:rsidRPr="00B31E8B">
              <w:t xml:space="preserve">ām institūcijām, kas iesniedz darbības datus, </w:t>
            </w:r>
            <w:r w:rsidRPr="00B31E8B" w:rsidR="00010AF1">
              <w:t>t.i.</w:t>
            </w:r>
            <w:r w:rsidR="00240E3D">
              <w:t>,</w:t>
            </w:r>
            <w:r w:rsidRPr="00B31E8B">
              <w:t xml:space="preserve"> Valsts meža dienestu,</w:t>
            </w:r>
            <w:r w:rsidRPr="00B31E8B" w:rsidR="00747436">
              <w:t xml:space="preserve"> </w:t>
            </w:r>
            <w:r w:rsidRPr="00B31E8B">
              <w:t xml:space="preserve"> </w:t>
            </w:r>
            <w:r w:rsidRPr="00B31E8B" w:rsidR="00747436">
              <w:t xml:space="preserve">Lauksaimniecības datu centru, Lauku atbalsta dienestu, </w:t>
            </w:r>
            <w:r w:rsidRPr="00B31E8B" w:rsidR="00EC336E">
              <w:t>v</w:t>
            </w:r>
            <w:r w:rsidRPr="00B31E8B" w:rsidR="00747436">
              <w:t xml:space="preserve">alsts </w:t>
            </w:r>
            <w:r w:rsidRPr="00B31E8B" w:rsidR="005D6421">
              <w:t xml:space="preserve">sabiedrību </w:t>
            </w:r>
            <w:r w:rsidRPr="00B31E8B" w:rsidR="00747436">
              <w:t xml:space="preserve">ar ierobežotu atbildību “Zemkopības </w:t>
            </w:r>
            <w:r w:rsidRPr="00B31E8B" w:rsidR="00EC336E">
              <w:t>m</w:t>
            </w:r>
            <w:r w:rsidRPr="00B31E8B" w:rsidR="00747436">
              <w:t>inistrijas nekustamie īpašum</w:t>
            </w:r>
            <w:r w:rsidRPr="00B31E8B" w:rsidR="00EC336E">
              <w:t>i</w:t>
            </w:r>
            <w:r w:rsidRPr="00B31E8B" w:rsidR="00747436">
              <w:t xml:space="preserve">”, </w:t>
            </w:r>
            <w:r w:rsidRPr="00B31E8B" w:rsidR="00EC336E">
              <w:t>a</w:t>
            </w:r>
            <w:r w:rsidRPr="00B31E8B" w:rsidR="00747436">
              <w:t xml:space="preserve">kciju </w:t>
            </w:r>
            <w:r w:rsidRPr="00B31E8B" w:rsidR="005D6421">
              <w:t xml:space="preserve">sabiedrību </w:t>
            </w:r>
            <w:r w:rsidRPr="00B31E8B" w:rsidR="00747436">
              <w:t xml:space="preserve">“Latvijas valsts meži”, </w:t>
            </w:r>
            <w:r w:rsidRPr="00B31E8B" w:rsidR="00786190">
              <w:t>biedrību “</w:t>
            </w:r>
            <w:r w:rsidRPr="00B31E8B" w:rsidR="00747436">
              <w:t>Latvijas kūdras asociācija</w:t>
            </w:r>
            <w:r w:rsidRPr="00B31E8B" w:rsidR="00786190">
              <w:t>”</w:t>
            </w:r>
            <w:r w:rsidRPr="00B31E8B" w:rsidR="00F5572C">
              <w:t xml:space="preserve"> u.c.</w:t>
            </w:r>
            <w:r w:rsidR="00E724B4">
              <w:t>, un noteikt</w:t>
            </w:r>
            <w:r w:rsidR="00240E3D">
              <w:t xml:space="preserve">, ka </w:t>
            </w:r>
            <w:r w:rsidRPr="00B31E8B">
              <w:t xml:space="preserve"> emisijas</w:t>
            </w:r>
            <w:r w:rsidR="00240E3D">
              <w:t xml:space="preserve"> </w:t>
            </w:r>
            <w:r w:rsidR="00E724B4">
              <w:t xml:space="preserve">no transporta sektora </w:t>
            </w:r>
            <w:r w:rsidR="00240E3D">
              <w:t>aprēķina</w:t>
            </w:r>
            <w:r w:rsidR="00E724B4">
              <w:t xml:space="preserve"> </w:t>
            </w:r>
            <w:r w:rsidRPr="00B31E8B">
              <w:t>Fizikāl</w:t>
            </w:r>
            <w:r w:rsidR="00240E3D">
              <w:t xml:space="preserve">ais </w:t>
            </w:r>
            <w:r w:rsidRPr="00B31E8B">
              <w:t xml:space="preserve"> enerģētikas institūt</w:t>
            </w:r>
            <w:r w:rsidR="00240E3D">
              <w:t xml:space="preserve">s </w:t>
            </w:r>
            <w:r w:rsidRPr="00B31E8B">
              <w:t>;</w:t>
            </w:r>
          </w:p>
          <w:p w:rsidR="00F314DE" w:rsidRPr="00B31E8B" w:rsidP="00B873C3" w14:paraId="74337C1A" w14:textId="2084AA5E">
            <w:pPr>
              <w:pStyle w:val="naiskr"/>
              <w:numPr>
                <w:ilvl w:val="0"/>
                <w:numId w:val="26"/>
              </w:numPr>
              <w:spacing w:before="60" w:after="60"/>
              <w:jc w:val="both"/>
              <w:rPr>
                <w:shd w:val="clear" w:color="auto" w:fill="FFFFFF"/>
              </w:rPr>
            </w:pPr>
            <w:r w:rsidRPr="00B31E8B">
              <w:rPr>
                <w:shd w:val="clear" w:color="auto" w:fill="FFFFFF"/>
              </w:rPr>
              <w:t>noteikt</w:t>
            </w:r>
            <w:r w:rsidRPr="00B31E8B" w:rsidR="00210EC9">
              <w:rPr>
                <w:shd w:val="clear" w:color="auto" w:fill="FFFFFF"/>
              </w:rPr>
              <w:t xml:space="preserve"> </w:t>
            </w:r>
            <w:r w:rsidRPr="00B31E8B" w:rsidR="00010AF1">
              <w:rPr>
                <w:shd w:val="clear" w:color="auto" w:fill="FFFFFF"/>
              </w:rPr>
              <w:t>SEG</w:t>
            </w:r>
            <w:r w:rsidRPr="00B31E8B" w:rsidR="00210EC9">
              <w:rPr>
                <w:shd w:val="clear" w:color="auto" w:fill="FFFFFF"/>
              </w:rPr>
              <w:t xml:space="preserve"> prognožu sagatavošanas nacionālo sistēmu, </w:t>
            </w:r>
            <w:r w:rsidRPr="00B31E8B" w:rsidR="00010AF1">
              <w:rPr>
                <w:shd w:val="clear" w:color="auto" w:fill="FFFFFF"/>
              </w:rPr>
              <w:t>t.i.</w:t>
            </w:r>
            <w:r w:rsidRPr="00B31E8B" w:rsidR="00210EC9">
              <w:rPr>
                <w:shd w:val="clear" w:color="auto" w:fill="FFFFFF"/>
              </w:rPr>
              <w:t xml:space="preserve"> atbildīgās institūcijas gan par darbības datu </w:t>
            </w:r>
            <w:r w:rsidRPr="00B31E8B" w:rsidR="007D7BA7">
              <w:rPr>
                <w:shd w:val="clear" w:color="auto" w:fill="FFFFFF"/>
              </w:rPr>
              <w:t xml:space="preserve">sagatavošanu un </w:t>
            </w:r>
            <w:r w:rsidRPr="00B31E8B" w:rsidR="00210EC9">
              <w:rPr>
                <w:shd w:val="clear" w:color="auto" w:fill="FFFFFF"/>
              </w:rPr>
              <w:t>iesniegšanu (Ekonomikas ministrija, Zemkopības minis</w:t>
            </w:r>
            <w:r w:rsidRPr="00B31E8B" w:rsidR="004E58D0">
              <w:rPr>
                <w:shd w:val="clear" w:color="auto" w:fill="FFFFFF"/>
              </w:rPr>
              <w:t>trija, Satiksmes ministrija</w:t>
            </w:r>
            <w:r w:rsidRPr="00B31E8B" w:rsidR="00210EC9">
              <w:rPr>
                <w:shd w:val="clear" w:color="auto" w:fill="FFFFFF"/>
              </w:rPr>
              <w:t xml:space="preserve">), gan </w:t>
            </w:r>
            <w:r w:rsidRPr="00B31E8B" w:rsidR="00010AF1">
              <w:rPr>
                <w:shd w:val="clear" w:color="auto" w:fill="FFFFFF"/>
              </w:rPr>
              <w:t>SEG</w:t>
            </w:r>
            <w:r w:rsidRPr="00B31E8B" w:rsidR="00210EC9">
              <w:rPr>
                <w:shd w:val="clear" w:color="auto" w:fill="FFFFFF"/>
              </w:rPr>
              <w:t xml:space="preserve"> aprēķiniem (</w:t>
            </w:r>
            <w:r w:rsidRPr="00B31E8B" w:rsidR="00EC336E">
              <w:rPr>
                <w:shd w:val="clear" w:color="auto" w:fill="FFFFFF"/>
              </w:rPr>
              <w:t>valsts sabiedrība ar ierobežotu atbildību “</w:t>
            </w:r>
            <w:r w:rsidRPr="00B31E8B" w:rsidR="004E58D0">
              <w:t>Latvijas Vides, ģeoloģijas un meteoroloģijas centrs</w:t>
            </w:r>
            <w:r w:rsidRPr="00B31E8B" w:rsidR="00EC336E">
              <w:t>”</w:t>
            </w:r>
            <w:r w:rsidRPr="00B31E8B" w:rsidR="004E58D0">
              <w:t xml:space="preserve">, </w:t>
            </w:r>
            <w:r w:rsidRPr="00B31E8B" w:rsidR="00210EC9">
              <w:t xml:space="preserve">Fizikālās enerģētikas institūts, Latvijas Valsts mežzinātnes institūts </w:t>
            </w:r>
            <w:r w:rsidRPr="00B31E8B" w:rsidR="005A0385">
              <w:t>“</w:t>
            </w:r>
            <w:r w:rsidRPr="00B31E8B" w:rsidR="00210EC9">
              <w:t>Silava</w:t>
            </w:r>
            <w:r w:rsidRPr="00B31E8B" w:rsidR="005A0385">
              <w:t xml:space="preserve">”, </w:t>
            </w:r>
            <w:r w:rsidRPr="00B31E8B" w:rsidR="00210EC9">
              <w:t>Latvija</w:t>
            </w:r>
            <w:r w:rsidRPr="00B31E8B" w:rsidR="004E58D0">
              <w:t>s Lauksaimniecības universitāte</w:t>
            </w:r>
            <w:r w:rsidRPr="00B31E8B" w:rsidR="00661B81">
              <w:t>)</w:t>
            </w:r>
            <w:r w:rsidRPr="00B31E8B" w:rsidR="00210EC9">
              <w:t xml:space="preserve">, gan nacionālās sistēmas koordinēšanu </w:t>
            </w:r>
            <w:r w:rsidRPr="00B31E8B" w:rsidR="005A0385">
              <w:t xml:space="preserve">– </w:t>
            </w:r>
            <w:r w:rsidRPr="00B31E8B" w:rsidR="00054CEF">
              <w:t>VARAM</w:t>
            </w:r>
            <w:r w:rsidRPr="00B31E8B" w:rsidR="00002C48">
              <w:t>.</w:t>
            </w:r>
            <w:r w:rsidRPr="00B31E8B" w:rsidR="00002C48">
              <w:rPr>
                <w:shd w:val="clear" w:color="auto" w:fill="FFFFFF"/>
              </w:rPr>
              <w:t xml:space="preserve"> Iepriekš </w:t>
            </w:r>
            <w:r w:rsidRPr="00B31E8B" w:rsidR="00DF48CD">
              <w:rPr>
                <w:shd w:val="clear" w:color="auto" w:fill="FFFFFF"/>
              </w:rPr>
              <w:t>SEG</w:t>
            </w:r>
            <w:r w:rsidRPr="00B31E8B" w:rsidR="00002C48">
              <w:rPr>
                <w:shd w:val="clear" w:color="auto" w:fill="FFFFFF"/>
              </w:rPr>
              <w:t xml:space="preserve"> prognožu sagatavošanas nacionālā sistēmas nebija noteikta ar M</w:t>
            </w:r>
            <w:r w:rsidRPr="00B31E8B" w:rsidR="00642F42">
              <w:rPr>
                <w:shd w:val="clear" w:color="auto" w:fill="FFFFFF"/>
              </w:rPr>
              <w:t>inistru kabineta</w:t>
            </w:r>
            <w:r w:rsidRPr="00B31E8B" w:rsidR="00002C48">
              <w:rPr>
                <w:shd w:val="clear" w:color="auto" w:fill="FFFFFF"/>
              </w:rPr>
              <w:t xml:space="preserve"> noteikumiem un nepieciešamā informācija tika sagatavota </w:t>
            </w:r>
            <w:r w:rsidRPr="00B31E8B" w:rsidR="00010AF1">
              <w:rPr>
                <w:shd w:val="clear" w:color="auto" w:fill="FFFFFF"/>
              </w:rPr>
              <w:t xml:space="preserve">organizējot </w:t>
            </w:r>
            <w:r w:rsidRPr="00B31E8B" w:rsidR="00002C48">
              <w:rPr>
                <w:shd w:val="clear" w:color="auto" w:fill="FFFFFF"/>
              </w:rPr>
              <w:t>iepirkumu</w:t>
            </w:r>
            <w:r w:rsidRPr="00B31E8B" w:rsidR="00010AF1">
              <w:rPr>
                <w:shd w:val="clear" w:color="auto" w:fill="FFFFFF"/>
              </w:rPr>
              <w:t>s</w:t>
            </w:r>
            <w:r w:rsidRPr="00B31E8B" w:rsidR="00002C48">
              <w:rPr>
                <w:shd w:val="clear" w:color="auto" w:fill="FFFFFF"/>
              </w:rPr>
              <w:t xml:space="preserve">, kas saskaņā ar jauno tiesisko regulējumu vairs nav pieļaujams. </w:t>
            </w:r>
            <w:r w:rsidRPr="00B31E8B" w:rsidR="00545237">
              <w:t>R</w:t>
            </w:r>
            <w:r w:rsidRPr="00B31E8B" w:rsidR="007D7BA7">
              <w:t>egula</w:t>
            </w:r>
            <w:r w:rsidR="00E724B4">
              <w:t>s</w:t>
            </w:r>
            <w:r w:rsidRPr="00B31E8B" w:rsidR="007D7BA7">
              <w:t xml:space="preserve"> Nr.525/2013 12.</w:t>
            </w:r>
            <w:r w:rsidR="00961A09">
              <w:t> panta 1.</w:t>
            </w:r>
            <w:r w:rsidR="00442329">
              <w:t> </w:t>
            </w:r>
            <w:r w:rsidR="00961A09">
              <w:t>punkts noteic</w:t>
            </w:r>
            <w:r w:rsidRPr="00B31E8B" w:rsidR="007D7BA7">
              <w:t xml:space="preserve">, ka </w:t>
            </w:r>
            <w:r w:rsidRPr="00B31E8B" w:rsidR="007D7BA7">
              <w:rPr>
                <w:shd w:val="clear" w:color="auto" w:fill="FFFFFF"/>
              </w:rPr>
              <w:t>i</w:t>
            </w:r>
            <w:r w:rsidRPr="00B31E8B" w:rsidR="00002C48">
              <w:rPr>
                <w:shd w:val="clear" w:color="auto" w:fill="FFFFFF"/>
              </w:rPr>
              <w:t xml:space="preserve">r jābūt izveidotai </w:t>
            </w:r>
            <w:r w:rsidRPr="00B31E8B" w:rsidR="00002C48">
              <w:rPr>
                <w:shd w:val="clear" w:color="auto" w:fill="FFFFFF"/>
              </w:rPr>
              <w:t xml:space="preserve">sistēmai, lai Latvija ziņotu precīzu, pilnīgu, salīdzināmu, pārskatāmu informāciju un noteiktā laikā. </w:t>
            </w:r>
            <w:r w:rsidRPr="00B31E8B" w:rsidR="00002C48">
              <w:t>Nacionālā sistēma nodrošina pēctecību, kas ir ļoti svarīga pie institucionālās maiņas.</w:t>
            </w:r>
            <w:r w:rsidRPr="00B31E8B" w:rsidR="00F14EA5">
              <w:t xml:space="preserve"> </w:t>
            </w:r>
            <w:r w:rsidRPr="00B31E8B" w:rsidR="003921A7">
              <w:t xml:space="preserve">Nacionālā SEG prognožu sagatavošanas sistēma nodrošina to, ka </w:t>
            </w:r>
            <w:r w:rsidRPr="00B31E8B" w:rsidR="003921A7">
              <w:rPr>
                <w:shd w:val="clear" w:color="auto" w:fill="FFFFFF"/>
              </w:rPr>
              <w:t>n</w:t>
            </w:r>
            <w:r w:rsidRPr="00B31E8B" w:rsidR="00F14EA5">
              <w:rPr>
                <w:shd w:val="clear" w:color="auto" w:fill="FFFFFF"/>
              </w:rPr>
              <w:t xml:space="preserve">ozaru ministriju kompetencē esošie pasākumi, politikas un uzdevumi, kas saistīti ar </w:t>
            </w:r>
            <w:r w:rsidRPr="00B31E8B" w:rsidR="00010AF1">
              <w:rPr>
                <w:shd w:val="clear" w:color="auto" w:fill="FFFFFF"/>
              </w:rPr>
              <w:t>SEG</w:t>
            </w:r>
            <w:r w:rsidRPr="00B31E8B" w:rsidR="00F14EA5">
              <w:rPr>
                <w:shd w:val="clear" w:color="auto" w:fill="FFFFFF"/>
              </w:rPr>
              <w:t xml:space="preserve"> samazināšanu, un kas iekļauti politikas plānošanas dokumentos</w:t>
            </w:r>
            <w:r w:rsidRPr="00B31E8B" w:rsidR="00010AF1">
              <w:rPr>
                <w:shd w:val="clear" w:color="auto" w:fill="FFFFFF"/>
              </w:rPr>
              <w:t>,</w:t>
            </w:r>
            <w:r w:rsidRPr="00B31E8B" w:rsidR="00F14EA5">
              <w:rPr>
                <w:shd w:val="clear" w:color="auto" w:fill="FFFFFF"/>
              </w:rPr>
              <w:t xml:space="preserve"> </w:t>
            </w:r>
            <w:r w:rsidRPr="00B31E8B" w:rsidR="003921A7">
              <w:rPr>
                <w:shd w:val="clear" w:color="auto" w:fill="FFFFFF"/>
              </w:rPr>
              <w:t xml:space="preserve">tiek </w:t>
            </w:r>
            <w:r w:rsidRPr="00B31E8B" w:rsidR="00F14EA5">
              <w:rPr>
                <w:shd w:val="clear" w:color="auto" w:fill="FFFFFF"/>
              </w:rPr>
              <w:t>izmanto</w:t>
            </w:r>
            <w:r w:rsidRPr="00B31E8B" w:rsidR="003921A7">
              <w:rPr>
                <w:shd w:val="clear" w:color="auto" w:fill="FFFFFF"/>
              </w:rPr>
              <w:t>ti</w:t>
            </w:r>
            <w:r w:rsidRPr="00B31E8B" w:rsidR="00F14EA5">
              <w:rPr>
                <w:shd w:val="clear" w:color="auto" w:fill="FFFFFF"/>
              </w:rPr>
              <w:t xml:space="preserve"> </w:t>
            </w:r>
            <w:r w:rsidRPr="00B31E8B" w:rsidR="00010AF1">
              <w:rPr>
                <w:shd w:val="clear" w:color="auto" w:fill="FFFFFF"/>
              </w:rPr>
              <w:t>SEG</w:t>
            </w:r>
            <w:r w:rsidRPr="00B31E8B" w:rsidR="00F14EA5">
              <w:rPr>
                <w:shd w:val="clear" w:color="auto" w:fill="FFFFFF"/>
              </w:rPr>
              <w:t xml:space="preserve"> prognožu sagatavošanā.</w:t>
            </w:r>
            <w:r w:rsidRPr="00B31E8B" w:rsidR="00F8475E">
              <w:rPr>
                <w:shd w:val="clear" w:color="auto" w:fill="FFFFFF"/>
              </w:rPr>
              <w:t xml:space="preserve"> </w:t>
            </w:r>
          </w:p>
          <w:p w:rsidR="00B873C3" w:rsidRPr="007F270B" w:rsidP="00E86CD0" w14:paraId="47FE9513" w14:textId="5EC75BB3">
            <w:pPr>
              <w:pStyle w:val="naiskr"/>
              <w:numPr>
                <w:ilvl w:val="0"/>
                <w:numId w:val="26"/>
              </w:numPr>
              <w:spacing w:before="60" w:after="60"/>
              <w:jc w:val="both"/>
              <w:rPr>
                <w:shd w:val="clear" w:color="auto" w:fill="FFFFFF"/>
              </w:rPr>
            </w:pPr>
            <w:r w:rsidRPr="007F270B">
              <w:rPr>
                <w:shd w:val="clear" w:color="auto" w:fill="FFFFFF"/>
              </w:rPr>
              <w:t xml:space="preserve">noteikt, ka SEG prognozes balstās uz Latvijas makroekonomisko rādītāju – Iekšzemes kopprodukts, pievienotā vērtība tautsaimniecības nozarēs, iedzīvotāju skaits u.c., </w:t>
            </w:r>
            <w:r w:rsidR="00AC1640">
              <w:rPr>
                <w:shd w:val="clear" w:color="auto" w:fill="FFFFFF"/>
              </w:rPr>
              <w:t xml:space="preserve">ilgtermiņa </w:t>
            </w:r>
            <w:r w:rsidRPr="007F270B">
              <w:rPr>
                <w:shd w:val="clear" w:color="auto" w:fill="FFFFFF"/>
              </w:rPr>
              <w:t xml:space="preserve">prognozēm, ko Latvijā ikgadēji sagatavo Ekonomikas ministrija. </w:t>
            </w:r>
            <w:r w:rsidRPr="007F270B" w:rsidR="00E31BF6">
              <w:rPr>
                <w:shd w:val="clear" w:color="auto" w:fill="FFFFFF"/>
              </w:rPr>
              <w:t>Saskaņā ar Ministru kabineta 2010.</w:t>
            </w:r>
            <w:r w:rsidR="00442329">
              <w:rPr>
                <w:shd w:val="clear" w:color="auto" w:fill="FFFFFF"/>
              </w:rPr>
              <w:t> </w:t>
            </w:r>
            <w:r w:rsidRPr="007F270B" w:rsidR="00E31BF6">
              <w:rPr>
                <w:shd w:val="clear" w:color="auto" w:fill="FFFFFF"/>
              </w:rPr>
              <w:t>gada 23.</w:t>
            </w:r>
            <w:r w:rsidR="00442329">
              <w:rPr>
                <w:shd w:val="clear" w:color="auto" w:fill="FFFFFF"/>
              </w:rPr>
              <w:t> </w:t>
            </w:r>
            <w:r w:rsidRPr="007F270B" w:rsidR="00E31BF6">
              <w:rPr>
                <w:shd w:val="clear" w:color="auto" w:fill="FFFFFF"/>
              </w:rPr>
              <w:t>marta noteikumu Nr.</w:t>
            </w:r>
            <w:r w:rsidR="00442329">
              <w:rPr>
                <w:shd w:val="clear" w:color="auto" w:fill="FFFFFF"/>
              </w:rPr>
              <w:t> </w:t>
            </w:r>
            <w:r w:rsidRPr="007F270B" w:rsidR="00E31BF6">
              <w:rPr>
                <w:shd w:val="clear" w:color="auto" w:fill="FFFFFF"/>
              </w:rPr>
              <w:t>271 “Ekonomikas minis</w:t>
            </w:r>
            <w:r w:rsidRPr="007F270B" w:rsidR="009171CA">
              <w:rPr>
                <w:shd w:val="clear" w:color="auto" w:fill="FFFFFF"/>
              </w:rPr>
              <w:t>trijas nolikums” 5.1.2</w:t>
            </w:r>
            <w:r w:rsidR="00442329">
              <w:rPr>
                <w:shd w:val="clear" w:color="auto" w:fill="FFFFFF"/>
              </w:rPr>
              <w:t>. </w:t>
            </w:r>
            <w:r w:rsidRPr="007F270B" w:rsidR="00E31BF6">
              <w:rPr>
                <w:shd w:val="clear" w:color="auto" w:fill="FFFFFF"/>
              </w:rPr>
              <w:t>apakšpunktu, E</w:t>
            </w:r>
            <w:r w:rsidRPr="007F270B" w:rsidR="00A57917">
              <w:rPr>
                <w:shd w:val="clear" w:color="auto" w:fill="FFFFFF"/>
              </w:rPr>
              <w:t>konomikas min</w:t>
            </w:r>
            <w:r w:rsidRPr="007F270B" w:rsidR="003C699E">
              <w:rPr>
                <w:shd w:val="clear" w:color="auto" w:fill="FFFFFF"/>
              </w:rPr>
              <w:t>i</w:t>
            </w:r>
            <w:r w:rsidRPr="007F270B" w:rsidR="00A57917">
              <w:rPr>
                <w:shd w:val="clear" w:color="auto" w:fill="FFFFFF"/>
              </w:rPr>
              <w:t>strija</w:t>
            </w:r>
            <w:r w:rsidR="00805CDB">
              <w:rPr>
                <w:shd w:val="clear" w:color="auto" w:fill="FFFFFF"/>
              </w:rPr>
              <w:t xml:space="preserve"> </w:t>
            </w:r>
            <w:r w:rsidRPr="007F270B" w:rsidR="00E31BF6">
              <w:rPr>
                <w:shd w:val="clear" w:color="auto" w:fill="FFFFFF"/>
              </w:rPr>
              <w:t>veic makroekonomisko analīzi un izstrādā tautsaimniecības att</w:t>
            </w:r>
            <w:r w:rsidR="00805CDB">
              <w:rPr>
                <w:shd w:val="clear" w:color="auto" w:fill="FFFFFF"/>
              </w:rPr>
              <w:t>īstības scenārijus un prognozes</w:t>
            </w:r>
            <w:r w:rsidR="00AC1640">
              <w:rPr>
                <w:shd w:val="clear" w:color="auto" w:fill="FFFFFF"/>
              </w:rPr>
              <w:t>.</w:t>
            </w:r>
            <w:r w:rsidRPr="007F270B" w:rsidR="00E31BF6">
              <w:rPr>
                <w:shd w:val="clear" w:color="auto" w:fill="FFFFFF"/>
              </w:rPr>
              <w:t xml:space="preserve"> </w:t>
            </w:r>
            <w:r w:rsidRPr="007F270B">
              <w:rPr>
                <w:shd w:val="clear" w:color="auto" w:fill="FFFFFF"/>
              </w:rPr>
              <w:t xml:space="preserve">SEG prognozes ir jāsagatavo termiņam </w:t>
            </w:r>
            <w:r w:rsidRPr="007F270B" w:rsidR="003C699E">
              <w:rPr>
                <w:shd w:val="clear" w:color="auto" w:fill="FFFFFF"/>
              </w:rPr>
              <w:t xml:space="preserve">vismaz </w:t>
            </w:r>
            <w:r w:rsidRPr="007F270B">
              <w:rPr>
                <w:shd w:val="clear" w:color="auto" w:fill="FFFFFF"/>
              </w:rPr>
              <w:t>līdz 203</w:t>
            </w:r>
            <w:r w:rsidRPr="007F270B" w:rsidR="009A2AC6">
              <w:rPr>
                <w:shd w:val="clear" w:color="auto" w:fill="FFFFFF"/>
              </w:rPr>
              <w:t>5</w:t>
            </w:r>
            <w:r w:rsidRPr="007F270B">
              <w:rPr>
                <w:shd w:val="clear" w:color="auto" w:fill="FFFFFF"/>
              </w:rPr>
              <w:t>.</w:t>
            </w:r>
            <w:r w:rsidR="00442329">
              <w:rPr>
                <w:shd w:val="clear" w:color="auto" w:fill="FFFFFF"/>
              </w:rPr>
              <w:t> </w:t>
            </w:r>
            <w:r w:rsidRPr="007F270B">
              <w:rPr>
                <w:shd w:val="clear" w:color="auto" w:fill="FFFFFF"/>
              </w:rPr>
              <w:t>gadam (</w:t>
            </w:r>
            <w:r w:rsidRPr="007F270B" w:rsidR="003C699E">
              <w:rPr>
                <w:shd w:val="clear" w:color="auto" w:fill="FFFFFF"/>
              </w:rPr>
              <w:t xml:space="preserve">iespēju robežās </w:t>
            </w:r>
            <w:r w:rsidRPr="007F270B">
              <w:rPr>
                <w:shd w:val="clear" w:color="auto" w:fill="FFFFFF"/>
              </w:rPr>
              <w:t>līdz 2050.</w:t>
            </w:r>
            <w:r w:rsidR="00442329">
              <w:rPr>
                <w:shd w:val="clear" w:color="auto" w:fill="FFFFFF"/>
              </w:rPr>
              <w:t> </w:t>
            </w:r>
            <w:r w:rsidRPr="007F270B">
              <w:rPr>
                <w:shd w:val="clear" w:color="auto" w:fill="FFFFFF"/>
              </w:rPr>
              <w:t>gadam), tāpēc to sagatavošanai ir nepieciešama</w:t>
            </w:r>
            <w:r w:rsidRPr="007F270B" w:rsidR="00A061E6">
              <w:rPr>
                <w:shd w:val="clear" w:color="auto" w:fill="FFFFFF"/>
              </w:rPr>
              <w:t>s</w:t>
            </w:r>
            <w:r w:rsidRPr="007F270B">
              <w:rPr>
                <w:shd w:val="clear" w:color="auto" w:fill="FFFFFF"/>
              </w:rPr>
              <w:t xml:space="preserve"> arī ilgtermiņa makroekonomiskās prognozes, ko Latvijā sagatavo tikai Ekonomikas ministrija</w:t>
            </w:r>
            <w:r w:rsidRPr="007F270B" w:rsidR="0004455D">
              <w:rPr>
                <w:shd w:val="clear" w:color="auto" w:fill="FFFFFF"/>
              </w:rPr>
              <w:t>, ņemot vērā savas noteiktās metodes</w:t>
            </w:r>
            <w:r w:rsidRPr="007F270B">
              <w:rPr>
                <w:shd w:val="clear" w:color="auto" w:fill="FFFFFF"/>
              </w:rPr>
              <w:t>.</w:t>
            </w:r>
            <w:r w:rsidRPr="007F270B" w:rsidR="00E31BF6">
              <w:rPr>
                <w:shd w:val="clear" w:color="auto" w:fill="FFFFFF"/>
              </w:rPr>
              <w:t xml:space="preserve"> </w:t>
            </w:r>
            <w:r w:rsidRPr="007F270B" w:rsidR="0004455D">
              <w:rPr>
                <w:shd w:val="clear" w:color="auto" w:fill="FFFFFF"/>
              </w:rPr>
              <w:t xml:space="preserve">Lai </w:t>
            </w:r>
            <w:r w:rsidRPr="007F270B" w:rsidR="007803A4">
              <w:rPr>
                <w:shd w:val="clear" w:color="auto" w:fill="FFFFFF"/>
              </w:rPr>
              <w:t xml:space="preserve">veicinātu starpinstitūciju sadarbību un informācijas apriti par ilgtermiņa makroekonomisko rādītāju prognožu, </w:t>
            </w:r>
            <w:r w:rsidRPr="007F270B" w:rsidR="007803A4">
              <w:t>ko nozaru eksperti izmantos SEG prognozēšanai,</w:t>
            </w:r>
            <w:r w:rsidRPr="007F270B" w:rsidR="007803A4">
              <w:rPr>
                <w:shd w:val="clear" w:color="auto" w:fill="FFFFFF"/>
              </w:rPr>
              <w:t xml:space="preserve"> sagatavošanas gaitu, </w:t>
            </w:r>
            <w:r w:rsidRPr="007F270B" w:rsidR="0004455D">
              <w:t xml:space="preserve"> </w:t>
            </w:r>
            <w:r w:rsidRPr="0068189F" w:rsidR="007803A4">
              <w:t>plānots</w:t>
            </w:r>
            <w:r w:rsidRPr="0068189F" w:rsidR="003E7E26">
              <w:t xml:space="preserve"> </w:t>
            </w:r>
            <w:r w:rsidRPr="0068189F" w:rsidR="0004455D">
              <w:rPr>
                <w:shd w:val="clear" w:color="auto" w:fill="FFFFFF"/>
              </w:rPr>
              <w:t>nodrošināt Finanšu ministrijas un Latvijas Bankas ekspertu viedokļu apmaiņu, pieaicinot</w:t>
            </w:r>
            <w:r w:rsidRPr="007F270B" w:rsidR="0004455D">
              <w:rPr>
                <w:shd w:val="clear" w:color="auto" w:fill="FFFFFF"/>
              </w:rPr>
              <w:t xml:space="preserve"> Satiksmes ministrijas, Zemkopības ministrijas un </w:t>
            </w:r>
            <w:r w:rsidR="00965CF8">
              <w:rPr>
                <w:shd w:val="clear" w:color="auto" w:fill="FFFFFF"/>
              </w:rPr>
              <w:t xml:space="preserve">VARAM </w:t>
            </w:r>
            <w:r w:rsidRPr="007F270B" w:rsidR="0004455D">
              <w:rPr>
                <w:shd w:val="clear" w:color="auto" w:fill="FFFFFF"/>
              </w:rPr>
              <w:t>ekspertus</w:t>
            </w:r>
            <w:r w:rsidRPr="007F270B" w:rsidR="00A061E6">
              <w:rPr>
                <w:shd w:val="clear" w:color="auto" w:fill="FFFFFF"/>
              </w:rPr>
              <w:t>.</w:t>
            </w:r>
            <w:r w:rsidRPr="007F270B" w:rsidR="0004455D">
              <w:rPr>
                <w:shd w:val="clear" w:color="auto" w:fill="FFFFFF"/>
              </w:rPr>
              <w:t xml:space="preserve"> </w:t>
            </w:r>
            <w:r w:rsidRPr="007F270B" w:rsidR="00E86CD0">
              <w:t>S</w:t>
            </w:r>
            <w:r w:rsidRPr="007F270B" w:rsidR="00700F37">
              <w:t xml:space="preserve">askaņā ar </w:t>
            </w:r>
            <w:r w:rsidR="00D126FF">
              <w:t xml:space="preserve">VARAM </w:t>
            </w:r>
            <w:r w:rsidRPr="00442329" w:rsidR="00442329">
              <w:t xml:space="preserve">2017. gada 22. maijā </w:t>
            </w:r>
            <w:r w:rsidR="0068189F">
              <w:t>notikušo starpministriju ekspertu sanāksm</w:t>
            </w:r>
            <w:r w:rsidR="00B078B3">
              <w:t>ē nolemto</w:t>
            </w:r>
            <w:r w:rsidR="00D126FF">
              <w:t xml:space="preserve"> </w:t>
            </w:r>
            <w:r w:rsidRPr="007F270B" w:rsidR="00700F37">
              <w:t xml:space="preserve"> Ekonomikas ministrija </w:t>
            </w:r>
            <w:r w:rsidRPr="007F270B" w:rsidR="008C1A6C">
              <w:t xml:space="preserve">papildus </w:t>
            </w:r>
            <w:r w:rsidRPr="007F270B" w:rsidR="00700F37">
              <w:t xml:space="preserve">sagatavos arī alternatīvu makroekonomisko rādītāju prognozi, ko nozaru eksperti izmantos, lai </w:t>
            </w:r>
            <w:r w:rsidRPr="007F270B" w:rsidR="008C1A6C">
              <w:t xml:space="preserve">veiktu </w:t>
            </w:r>
            <w:r w:rsidRPr="007F270B" w:rsidR="00700F37">
              <w:t>SEG prognožu jutīguma analīzi</w:t>
            </w:r>
            <w:r w:rsidRPr="007F270B" w:rsidR="008F4213">
              <w:t>.</w:t>
            </w:r>
            <w:r w:rsidRPr="007F270B" w:rsidR="00700F37">
              <w:t xml:space="preserve"> </w:t>
            </w:r>
          </w:p>
          <w:p w:rsidR="00F314DE" w:rsidRPr="00B31E8B" w:rsidP="00B873C3" w14:paraId="52AD6F9F" w14:textId="2FC92BE9">
            <w:pPr>
              <w:pStyle w:val="ListParagraph"/>
              <w:numPr>
                <w:ilvl w:val="0"/>
                <w:numId w:val="26"/>
              </w:numPr>
              <w:spacing w:before="60" w:after="60"/>
              <w:contextualSpacing w:val="0"/>
              <w:rPr>
                <w:sz w:val="24"/>
                <w:szCs w:val="24"/>
              </w:rPr>
            </w:pPr>
            <w:r w:rsidRPr="00B31E8B">
              <w:rPr>
                <w:sz w:val="24"/>
                <w:szCs w:val="24"/>
              </w:rPr>
              <w:t>papildināt</w:t>
            </w:r>
            <w:r w:rsidRPr="00B31E8B" w:rsidR="00210EC9">
              <w:rPr>
                <w:sz w:val="24"/>
                <w:szCs w:val="24"/>
              </w:rPr>
              <w:t xml:space="preserve"> ikgadējās </w:t>
            </w:r>
            <w:r w:rsidRPr="00B31E8B" w:rsidR="00DF48CD">
              <w:rPr>
                <w:sz w:val="24"/>
                <w:szCs w:val="24"/>
              </w:rPr>
              <w:t>SEG</w:t>
            </w:r>
            <w:r w:rsidRPr="00B31E8B" w:rsidR="00210EC9">
              <w:rPr>
                <w:sz w:val="24"/>
                <w:szCs w:val="24"/>
              </w:rPr>
              <w:t xml:space="preserve"> inventarizācijas</w:t>
            </w:r>
            <w:r w:rsidRPr="00B31E8B" w:rsidR="00A1513C">
              <w:rPr>
                <w:sz w:val="24"/>
                <w:szCs w:val="24"/>
              </w:rPr>
              <w:t xml:space="preserve">, vai SEG prognožu sagatavošanai noteikt jaunas </w:t>
            </w:r>
            <w:r w:rsidRPr="00B31E8B" w:rsidR="00010AF1">
              <w:rPr>
                <w:sz w:val="24"/>
                <w:szCs w:val="24"/>
              </w:rPr>
              <w:t>SEG</w:t>
            </w:r>
            <w:r w:rsidRPr="00B31E8B" w:rsidR="00210EC9">
              <w:rPr>
                <w:sz w:val="24"/>
                <w:szCs w:val="24"/>
              </w:rPr>
              <w:t xml:space="preserve"> prognožu </w:t>
            </w:r>
            <w:r w:rsidRPr="00B31E8B" w:rsidR="004E58D0">
              <w:rPr>
                <w:sz w:val="24"/>
                <w:szCs w:val="24"/>
              </w:rPr>
              <w:t xml:space="preserve">sagatavošanas </w:t>
            </w:r>
            <w:r w:rsidRPr="00B31E8B" w:rsidR="00210EC9">
              <w:rPr>
                <w:sz w:val="24"/>
                <w:szCs w:val="24"/>
              </w:rPr>
              <w:t xml:space="preserve">kvalitātes kontroles un kvalitātes nodrošināšanas procedūras, tai skaitā arī dalību starptautiskajā pārbaužu procesā </w:t>
            </w:r>
            <w:r w:rsidRPr="00B31E8B" w:rsidR="005A0385">
              <w:rPr>
                <w:sz w:val="24"/>
                <w:szCs w:val="24"/>
              </w:rPr>
              <w:t xml:space="preserve">– </w:t>
            </w:r>
            <w:r w:rsidRPr="00B31E8B" w:rsidR="00210EC9">
              <w:rPr>
                <w:sz w:val="24"/>
                <w:szCs w:val="24"/>
              </w:rPr>
              <w:t>koordinējot un sniedzot atbildes uz starptautisko auditoru jautājumiem.</w:t>
            </w:r>
            <w:r w:rsidRPr="00B31E8B">
              <w:rPr>
                <w:sz w:val="24"/>
                <w:szCs w:val="24"/>
              </w:rPr>
              <w:t xml:space="preserve"> </w:t>
            </w:r>
          </w:p>
          <w:p w:rsidR="00210EC9" w:rsidRPr="00B31E8B" w:rsidP="00B31E8B" w14:paraId="2960D41C" w14:textId="071950F1">
            <w:pPr>
              <w:pStyle w:val="ListParagraph"/>
              <w:spacing w:before="60" w:after="60"/>
              <w:ind w:firstLine="0"/>
              <w:contextualSpacing w:val="0"/>
              <w:rPr>
                <w:sz w:val="24"/>
                <w:szCs w:val="24"/>
              </w:rPr>
            </w:pPr>
            <w:r w:rsidRPr="00B31E8B">
              <w:rPr>
                <w:sz w:val="24"/>
                <w:szCs w:val="24"/>
              </w:rPr>
              <w:t>Lai pilnveidotu visos posmos SEG inventarizācijas kvalitātes sistēmu tiks izstrādāta Kvalitātes kontroles/kvalitātes nodrošināšanas programma, kurā detalizēti tiks atrunātas visas nepieciešamās darbības, kas saistītas ar kvalitātes kontroles procedūru ieviešanu gan ikgadējā SEG inventarizācijas sagatavošanā, gan SEG prognožu sagatavošanā, tai skaitā par iesniedzamajiem datiem. Kvalitātes kontroles/kvalitātes nodrošināšanas programma tiks saskaņota ar iesaistīt</w:t>
            </w:r>
            <w:r w:rsidRPr="00B31E8B" w:rsidR="00D7521D">
              <w:rPr>
                <w:sz w:val="24"/>
                <w:szCs w:val="24"/>
              </w:rPr>
              <w:t>ajā</w:t>
            </w:r>
            <w:r w:rsidRPr="00B31E8B">
              <w:rPr>
                <w:sz w:val="24"/>
                <w:szCs w:val="24"/>
              </w:rPr>
              <w:t>m institūcijām</w:t>
            </w:r>
            <w:r w:rsidRPr="00B31E8B" w:rsidR="00D7521D">
              <w:rPr>
                <w:sz w:val="24"/>
                <w:szCs w:val="24"/>
              </w:rPr>
              <w:t>, kas noteiktas SEG inventarizācijas un prognožu sagatavošanas nacionālajā sistēmā.</w:t>
            </w:r>
          </w:p>
          <w:p w:rsidR="00C4088E" w:rsidRPr="00B31E8B" w:rsidP="00B873C3" w14:paraId="632019D5" w14:textId="395A804E">
            <w:pPr>
              <w:pStyle w:val="ListParagraph"/>
              <w:numPr>
                <w:ilvl w:val="0"/>
                <w:numId w:val="26"/>
              </w:numPr>
              <w:spacing w:before="60" w:after="60"/>
              <w:contextualSpacing w:val="0"/>
              <w:rPr>
                <w:sz w:val="24"/>
                <w:szCs w:val="24"/>
              </w:rPr>
            </w:pPr>
            <w:r w:rsidRPr="00B31E8B">
              <w:rPr>
                <w:sz w:val="24"/>
                <w:szCs w:val="24"/>
              </w:rPr>
              <w:t xml:space="preserve">iekļaut un noteikt ziņošanas un uzskaites kārtību par </w:t>
            </w:r>
            <w:r w:rsidRPr="00B31E8B" w:rsidR="00DF48CD">
              <w:rPr>
                <w:sz w:val="24"/>
                <w:szCs w:val="24"/>
              </w:rPr>
              <w:t>SEG</w:t>
            </w:r>
            <w:r w:rsidRPr="00B31E8B">
              <w:rPr>
                <w:sz w:val="24"/>
                <w:szCs w:val="24"/>
              </w:rPr>
              <w:t xml:space="preserve"> emisiju un piesaisti no zemes izmantošanas, zemes izmantošanas maiņas un mežsaimniecības darbībām, kā arī aramzemes un ganību apsaimniekošanas  sistēmām. </w:t>
            </w:r>
          </w:p>
          <w:p w:rsidR="00D20C83" w:rsidRPr="00B31E8B" w:rsidP="00B873C3" w14:paraId="02B5FEDB" w14:textId="6FEB734F">
            <w:pPr>
              <w:pStyle w:val="ListParagraph"/>
              <w:numPr>
                <w:ilvl w:val="0"/>
                <w:numId w:val="26"/>
              </w:numPr>
              <w:spacing w:before="60" w:after="60"/>
              <w:contextualSpacing w:val="0"/>
              <w:rPr>
                <w:sz w:val="24"/>
                <w:szCs w:val="24"/>
              </w:rPr>
            </w:pPr>
            <w:r w:rsidRPr="00B31E8B">
              <w:rPr>
                <w:sz w:val="24"/>
                <w:szCs w:val="24"/>
              </w:rPr>
              <w:t>papildināt jau esošo</w:t>
            </w:r>
            <w:r w:rsidRPr="00B31E8B" w:rsidR="00210EC9">
              <w:rPr>
                <w:sz w:val="24"/>
                <w:szCs w:val="24"/>
              </w:rPr>
              <w:t xml:space="preserve"> ziņošanas un uzraudzības kārtību</w:t>
            </w:r>
            <w:r w:rsidRPr="00B31E8B">
              <w:rPr>
                <w:sz w:val="24"/>
                <w:szCs w:val="24"/>
              </w:rPr>
              <w:t xml:space="preserve"> ikgadējai </w:t>
            </w:r>
            <w:r w:rsidRPr="00B31E8B" w:rsidR="00DF48CD">
              <w:rPr>
                <w:sz w:val="24"/>
                <w:szCs w:val="24"/>
              </w:rPr>
              <w:t>SEG</w:t>
            </w:r>
            <w:r w:rsidRPr="00B31E8B">
              <w:rPr>
                <w:sz w:val="24"/>
                <w:szCs w:val="24"/>
              </w:rPr>
              <w:t xml:space="preserve"> inventarizācijai;</w:t>
            </w:r>
          </w:p>
          <w:p w:rsidR="0080043E" w:rsidRPr="00B31E8B" w:rsidP="00B873C3" w14:paraId="5CD6802D" w14:textId="2DB82BD3">
            <w:pPr>
              <w:pStyle w:val="ListParagraph"/>
              <w:numPr>
                <w:ilvl w:val="0"/>
                <w:numId w:val="26"/>
              </w:numPr>
              <w:spacing w:before="60" w:after="60"/>
              <w:contextualSpacing w:val="0"/>
              <w:rPr>
                <w:sz w:val="24"/>
                <w:szCs w:val="24"/>
              </w:rPr>
            </w:pPr>
            <w:r w:rsidRPr="00B31E8B">
              <w:rPr>
                <w:sz w:val="24"/>
                <w:szCs w:val="24"/>
              </w:rPr>
              <w:t xml:space="preserve">noteikt ziņošanas un uzraudzības kārtību </w:t>
            </w:r>
            <w:r w:rsidRPr="00B31E8B" w:rsidR="00DF48CD">
              <w:rPr>
                <w:sz w:val="24"/>
                <w:szCs w:val="24"/>
              </w:rPr>
              <w:t>SEG</w:t>
            </w:r>
            <w:r w:rsidRPr="00B31E8B">
              <w:rPr>
                <w:sz w:val="24"/>
                <w:szCs w:val="24"/>
              </w:rPr>
              <w:t xml:space="preserve"> prognožu sagatavošanai,</w:t>
            </w:r>
            <w:r w:rsidRPr="00B31E8B" w:rsidR="0090628A">
              <w:rPr>
                <w:sz w:val="24"/>
                <w:szCs w:val="24"/>
              </w:rPr>
              <w:t xml:space="preserve"> saskaņā ar </w:t>
            </w:r>
            <w:r w:rsidRPr="00B31E8B">
              <w:rPr>
                <w:sz w:val="24"/>
                <w:szCs w:val="24"/>
              </w:rPr>
              <w:t xml:space="preserve"> </w:t>
            </w:r>
            <w:r w:rsidRPr="00B31E8B" w:rsidR="0090628A">
              <w:rPr>
                <w:sz w:val="24"/>
                <w:szCs w:val="24"/>
              </w:rPr>
              <w:t>Konvencijas,</w:t>
            </w:r>
            <w:r w:rsidRPr="00B31E8B" w:rsidR="002426D2">
              <w:rPr>
                <w:sz w:val="24"/>
                <w:szCs w:val="24"/>
              </w:rPr>
              <w:t xml:space="preserve"> Kioto protokola un regulas Nr.</w:t>
            </w:r>
            <w:r w:rsidR="00442329">
              <w:rPr>
                <w:sz w:val="24"/>
                <w:szCs w:val="24"/>
              </w:rPr>
              <w:t> </w:t>
            </w:r>
            <w:r w:rsidRPr="00B31E8B" w:rsidR="0090628A">
              <w:rPr>
                <w:sz w:val="24"/>
                <w:szCs w:val="24"/>
              </w:rPr>
              <w:t xml:space="preserve">525/2013 </w:t>
            </w:r>
            <w:r w:rsidRPr="00B31E8B" w:rsidR="002426D2">
              <w:rPr>
                <w:sz w:val="24"/>
                <w:szCs w:val="24"/>
              </w:rPr>
              <w:t>12., 13., un 14.</w:t>
            </w:r>
            <w:r w:rsidRPr="00B31E8B" w:rsidR="00DF48CD">
              <w:rPr>
                <w:sz w:val="24"/>
                <w:szCs w:val="24"/>
              </w:rPr>
              <w:t xml:space="preserve"> </w:t>
            </w:r>
            <w:r w:rsidRPr="00B31E8B" w:rsidR="0090628A">
              <w:rPr>
                <w:sz w:val="24"/>
                <w:szCs w:val="24"/>
              </w:rPr>
              <w:t xml:space="preserve">panta </w:t>
            </w:r>
            <w:r w:rsidRPr="00B31E8B" w:rsidR="005E0206">
              <w:rPr>
                <w:sz w:val="24"/>
                <w:szCs w:val="24"/>
              </w:rPr>
              <w:t xml:space="preserve">prasībām, </w:t>
            </w:r>
            <w:r w:rsidRPr="00B31E8B" w:rsidR="00210EC9">
              <w:rPr>
                <w:sz w:val="24"/>
                <w:szCs w:val="24"/>
              </w:rPr>
              <w:t>tai skaitā uzraudzības komitejai plānotās darbības.</w:t>
            </w:r>
          </w:p>
          <w:p w:rsidR="00216C72" w:rsidRPr="00B31E8B" w:rsidP="00B31E8B" w14:paraId="02793D88" w14:textId="77777777">
            <w:pPr>
              <w:pStyle w:val="PlainText"/>
              <w:spacing w:before="60" w:after="60"/>
              <w:jc w:val="both"/>
              <w:rPr>
                <w:rFonts w:ascii="Times New Roman" w:hAnsi="Times New Roman"/>
                <w:sz w:val="24"/>
                <w:szCs w:val="24"/>
              </w:rPr>
            </w:pPr>
          </w:p>
          <w:p w:rsidR="0003475E" w:rsidRPr="00B31E8B" w:rsidP="00B31E8B" w14:paraId="0635860C" w14:textId="3A34E215">
            <w:pPr>
              <w:pStyle w:val="PlainText"/>
              <w:spacing w:before="60" w:after="60"/>
              <w:jc w:val="both"/>
              <w:rPr>
                <w:rFonts w:ascii="Times New Roman" w:hAnsi="Times New Roman"/>
                <w:sz w:val="24"/>
                <w:szCs w:val="24"/>
              </w:rPr>
            </w:pPr>
            <w:r w:rsidRPr="00B31E8B">
              <w:rPr>
                <w:rFonts w:ascii="Times New Roman" w:hAnsi="Times New Roman"/>
                <w:sz w:val="24"/>
                <w:szCs w:val="24"/>
              </w:rPr>
              <w:t>Klimata konvencijas un tās Kioto protokola Līgumslēdzējpušu konferencēs katru gadu tiek pieņemt</w:t>
            </w:r>
            <w:r w:rsidRPr="00B31E8B">
              <w:rPr>
                <w:rFonts w:ascii="Times New Roman" w:hAnsi="Times New Roman"/>
                <w:color w:val="1F497D"/>
                <w:sz w:val="24"/>
                <w:szCs w:val="24"/>
              </w:rPr>
              <w:t>i</w:t>
            </w:r>
            <w:r w:rsidRPr="00B31E8B">
              <w:rPr>
                <w:rFonts w:ascii="Times New Roman" w:hAnsi="Times New Roman"/>
                <w:sz w:val="24"/>
                <w:szCs w:val="24"/>
              </w:rPr>
              <w:t xml:space="preserve"> lēmumi, kas Latvijai ir tieši saistoši kā Klimata konvencijas, tās Kioto protokola un Parīzes nolīguma līgumslēdzējpusei</w:t>
            </w:r>
            <w:r w:rsidRPr="00B31E8B">
              <w:rPr>
                <w:rFonts w:ascii="Times New Roman" w:hAnsi="Times New Roman"/>
                <w:color w:val="1F497D"/>
                <w:sz w:val="24"/>
                <w:szCs w:val="24"/>
              </w:rPr>
              <w:t xml:space="preserve">. </w:t>
            </w:r>
            <w:r w:rsidRPr="00B31E8B">
              <w:rPr>
                <w:rFonts w:ascii="Times New Roman" w:hAnsi="Times New Roman"/>
                <w:sz w:val="24"/>
                <w:szCs w:val="24"/>
              </w:rPr>
              <w:t>Atbilstoši Klimata konvencijai un Kioto protokolam Latvijai ir jāizveido nacionālā inventarizācijas sistēma SEG emisiju un CO</w:t>
            </w:r>
            <w:r w:rsidRPr="00B31E8B">
              <w:rPr>
                <w:rFonts w:ascii="Times New Roman" w:hAnsi="Times New Roman"/>
                <w:sz w:val="24"/>
                <w:szCs w:val="24"/>
                <w:vertAlign w:val="subscript"/>
              </w:rPr>
              <w:t xml:space="preserve">2 </w:t>
            </w:r>
            <w:r w:rsidRPr="00B31E8B">
              <w:rPr>
                <w:rFonts w:ascii="Times New Roman" w:hAnsi="Times New Roman"/>
                <w:sz w:val="24"/>
                <w:szCs w:val="24"/>
              </w:rPr>
              <w:t xml:space="preserve">piesaistes ziņojumu sagatavošanai un iesniegšanai, kā arī atbilstoši Klimata konvencijai un Kioto protokolam Latvijai katrus divus gadus un katrus </w:t>
            </w:r>
            <w:r w:rsidR="00D974D2">
              <w:rPr>
                <w:rFonts w:ascii="Times New Roman" w:hAnsi="Times New Roman"/>
                <w:sz w:val="24"/>
                <w:szCs w:val="24"/>
              </w:rPr>
              <w:t xml:space="preserve">četrus </w:t>
            </w:r>
            <w:r w:rsidRPr="00B31E8B">
              <w:rPr>
                <w:rFonts w:ascii="Times New Roman" w:hAnsi="Times New Roman"/>
                <w:sz w:val="24"/>
                <w:szCs w:val="24"/>
              </w:rPr>
              <w:t xml:space="preserve"> gadus ir jāsagatavo un jāiesniedz ziņojumi par SEG emisiju un CO</w:t>
            </w:r>
            <w:r w:rsidRPr="00B31E8B">
              <w:rPr>
                <w:rFonts w:ascii="Times New Roman" w:hAnsi="Times New Roman"/>
                <w:sz w:val="24"/>
                <w:szCs w:val="24"/>
                <w:vertAlign w:val="subscript"/>
              </w:rPr>
              <w:t xml:space="preserve">2 </w:t>
            </w:r>
            <w:r w:rsidRPr="00B31E8B">
              <w:rPr>
                <w:rFonts w:ascii="Times New Roman" w:hAnsi="Times New Roman"/>
                <w:sz w:val="24"/>
                <w:szCs w:val="24"/>
              </w:rPr>
              <w:t>piesaistes saistību izpildi – ziņojumi par SEG prognozēm, politiku un pasākumiem, kā arī mērķu izpildi.</w:t>
            </w:r>
            <w:r w:rsidR="00D974D2">
              <w:rPr>
                <w:rFonts w:ascii="Times New Roman" w:hAnsi="Times New Roman"/>
                <w:sz w:val="24"/>
                <w:szCs w:val="24"/>
              </w:rPr>
              <w:t xml:space="preserve"> </w:t>
            </w:r>
            <w:r w:rsidRPr="00B31E8B">
              <w:rPr>
                <w:rFonts w:ascii="Times New Roman" w:hAnsi="Times New Roman"/>
                <w:sz w:val="24"/>
                <w:szCs w:val="24"/>
              </w:rPr>
              <w:t xml:space="preserve">Klimata konvencijas Līgumslēdzēju pušu lēmums 24/CP.19 nosaka Klimata pārmaiņu starpvaldību padomes vadlīniju izmantošanu. Savukārt </w:t>
            </w:r>
            <w:r w:rsidRPr="00B31E8B" w:rsidR="00545237">
              <w:rPr>
                <w:rFonts w:ascii="Times New Roman" w:hAnsi="Times New Roman"/>
                <w:sz w:val="24"/>
                <w:szCs w:val="24"/>
              </w:rPr>
              <w:t>R</w:t>
            </w:r>
            <w:r w:rsidRPr="00B31E8B">
              <w:rPr>
                <w:rFonts w:ascii="Times New Roman" w:hAnsi="Times New Roman"/>
                <w:sz w:val="24"/>
                <w:szCs w:val="24"/>
              </w:rPr>
              <w:t>egula Nr.525/2013 no</w:t>
            </w:r>
            <w:r w:rsidR="00D974D2">
              <w:rPr>
                <w:rFonts w:ascii="Times New Roman" w:hAnsi="Times New Roman"/>
                <w:sz w:val="24"/>
                <w:szCs w:val="24"/>
              </w:rPr>
              <w:t>teic</w:t>
            </w:r>
            <w:r w:rsidRPr="00B31E8B">
              <w:rPr>
                <w:rFonts w:ascii="Times New Roman" w:hAnsi="Times New Roman"/>
                <w:sz w:val="24"/>
                <w:szCs w:val="24"/>
              </w:rPr>
              <w:t>, ka dalībvalstu nacionālajām inventarizācijas sistēmām ir jāatbilst Klimata konvencijas noteiktajām prasībām.</w:t>
            </w:r>
          </w:p>
          <w:p w:rsidR="00DC7AB3" w:rsidRPr="00B31E8B" w:rsidP="00B31E8B" w14:paraId="4AEC583C" w14:textId="2A9B341D">
            <w:pPr>
              <w:pStyle w:val="PlainText"/>
              <w:spacing w:before="60" w:after="60"/>
              <w:jc w:val="both"/>
              <w:rPr>
                <w:rFonts w:ascii="Times New Roman" w:hAnsi="Times New Roman"/>
                <w:i/>
                <w:sz w:val="24"/>
                <w:szCs w:val="24"/>
              </w:rPr>
            </w:pPr>
            <w:r w:rsidRPr="00B31E8B">
              <w:rPr>
                <w:rFonts w:ascii="Times New Roman" w:hAnsi="Times New Roman"/>
                <w:sz w:val="24"/>
                <w:szCs w:val="24"/>
              </w:rPr>
              <w:t>1995.</w:t>
            </w:r>
            <w:r w:rsidR="00D974D2">
              <w:rPr>
                <w:rFonts w:ascii="Times New Roman" w:hAnsi="Times New Roman"/>
                <w:sz w:val="24"/>
                <w:szCs w:val="24"/>
              </w:rPr>
              <w:t> </w:t>
            </w:r>
            <w:r w:rsidRPr="00B31E8B">
              <w:rPr>
                <w:rFonts w:ascii="Times New Roman" w:hAnsi="Times New Roman"/>
                <w:sz w:val="24"/>
                <w:szCs w:val="24"/>
              </w:rPr>
              <w:t>gada 21.</w:t>
            </w:r>
            <w:r w:rsidR="00D974D2">
              <w:rPr>
                <w:rFonts w:ascii="Times New Roman" w:hAnsi="Times New Roman"/>
                <w:sz w:val="24"/>
                <w:szCs w:val="24"/>
              </w:rPr>
              <w:t> </w:t>
            </w:r>
            <w:r w:rsidRPr="00B31E8B">
              <w:rPr>
                <w:rFonts w:ascii="Times New Roman" w:hAnsi="Times New Roman"/>
                <w:sz w:val="24"/>
                <w:szCs w:val="24"/>
              </w:rPr>
              <w:t xml:space="preserve">jūnija </w:t>
            </w:r>
            <w:r w:rsidRPr="00B31E8B" w:rsidR="002426D2">
              <w:rPr>
                <w:rFonts w:ascii="Times New Roman" w:hAnsi="Times New Roman"/>
                <w:sz w:val="24"/>
                <w:szCs w:val="24"/>
              </w:rPr>
              <w:t>Latvijas Republikas l</w:t>
            </w:r>
            <w:r w:rsidRPr="00B31E8B" w:rsidR="00216C72">
              <w:rPr>
                <w:rFonts w:ascii="Times New Roman" w:hAnsi="Times New Roman"/>
                <w:sz w:val="24"/>
                <w:szCs w:val="24"/>
              </w:rPr>
              <w:t xml:space="preserve">ikuma par “ANO Vispārējo konvenciju par klimata pārmaiņām”  </w:t>
            </w:r>
            <w:r w:rsidRPr="00B31E8B" w:rsidR="00216C72">
              <w:rPr>
                <w:rFonts w:ascii="Times New Roman" w:hAnsi="Times New Roman"/>
                <w:bCs/>
                <w:sz w:val="24"/>
                <w:szCs w:val="24"/>
              </w:rPr>
              <w:t>4. panta</w:t>
            </w:r>
            <w:r w:rsidRPr="00B31E8B" w:rsidR="00216C72">
              <w:rPr>
                <w:rFonts w:ascii="Times New Roman" w:hAnsi="Times New Roman"/>
                <w:sz w:val="24"/>
                <w:szCs w:val="24"/>
              </w:rPr>
              <w:t xml:space="preserve"> 1. punkt</w:t>
            </w:r>
            <w:r w:rsidRPr="00B31E8B" w:rsidR="00322B5B">
              <w:rPr>
                <w:rFonts w:ascii="Times New Roman" w:hAnsi="Times New Roman"/>
                <w:sz w:val="24"/>
                <w:szCs w:val="24"/>
              </w:rPr>
              <w:t>s</w:t>
            </w:r>
            <w:r w:rsidRPr="00B31E8B" w:rsidR="002426D2">
              <w:rPr>
                <w:rFonts w:ascii="Times New Roman" w:hAnsi="Times New Roman"/>
                <w:sz w:val="24"/>
                <w:szCs w:val="24"/>
              </w:rPr>
              <w:t xml:space="preserve"> no</w:t>
            </w:r>
            <w:r w:rsidR="00D974D2">
              <w:rPr>
                <w:rFonts w:ascii="Times New Roman" w:hAnsi="Times New Roman"/>
                <w:sz w:val="24"/>
                <w:szCs w:val="24"/>
              </w:rPr>
              <w:t>teic</w:t>
            </w:r>
            <w:r w:rsidRPr="00B31E8B" w:rsidR="002426D2">
              <w:rPr>
                <w:rFonts w:ascii="Times New Roman" w:hAnsi="Times New Roman"/>
                <w:sz w:val="24"/>
                <w:szCs w:val="24"/>
              </w:rPr>
              <w:t>, ka “</w:t>
            </w:r>
            <w:r w:rsidRPr="00B31E8B" w:rsidR="002426D2">
              <w:rPr>
                <w:rFonts w:ascii="Times New Roman" w:hAnsi="Times New Roman"/>
                <w:i/>
                <w:sz w:val="24"/>
                <w:szCs w:val="24"/>
              </w:rPr>
              <w:t>v</w:t>
            </w:r>
            <w:r w:rsidRPr="00B31E8B" w:rsidR="00216C72">
              <w:rPr>
                <w:rFonts w:ascii="Times New Roman" w:hAnsi="Times New Roman"/>
                <w:i/>
                <w:sz w:val="24"/>
                <w:szCs w:val="24"/>
              </w:rPr>
              <w:t>isas Līgumslēdzējas puses, ņemot vērā to kopējo, tomēr diferencēto atbildību un savas raksturīgās valstiskās un reģionālās attīstības vaj</w:t>
            </w:r>
            <w:r w:rsidRPr="00B31E8B" w:rsidR="002426D2">
              <w:rPr>
                <w:rFonts w:ascii="Times New Roman" w:hAnsi="Times New Roman"/>
                <w:i/>
                <w:sz w:val="24"/>
                <w:szCs w:val="24"/>
              </w:rPr>
              <w:t>adzības, uzdevumus un apstākļus</w:t>
            </w:r>
            <w:r w:rsidRPr="00B31E8B" w:rsidR="008F7F05">
              <w:rPr>
                <w:rFonts w:ascii="Times New Roman" w:hAnsi="Times New Roman"/>
                <w:i/>
                <w:sz w:val="24"/>
                <w:szCs w:val="24"/>
              </w:rPr>
              <w:t>:</w:t>
            </w:r>
            <w:r w:rsidRPr="00B31E8B" w:rsidR="00322B5B">
              <w:rPr>
                <w:rFonts w:ascii="Times New Roman" w:hAnsi="Times New Roman"/>
                <w:i/>
                <w:sz w:val="24"/>
                <w:szCs w:val="24"/>
              </w:rPr>
              <w:t xml:space="preserve"> (a)</w:t>
            </w:r>
            <w:r w:rsidRPr="00B31E8B" w:rsidR="002426D2">
              <w:rPr>
                <w:rFonts w:ascii="Times New Roman" w:hAnsi="Times New Roman"/>
                <w:sz w:val="24"/>
                <w:szCs w:val="24"/>
              </w:rPr>
              <w:t xml:space="preserve"> </w:t>
            </w:r>
            <w:r w:rsidRPr="00B31E8B" w:rsidR="00216C72">
              <w:rPr>
                <w:rFonts w:ascii="Times New Roman" w:hAnsi="Times New Roman"/>
                <w:i/>
                <w:sz w:val="24"/>
                <w:szCs w:val="24"/>
              </w:rPr>
              <w:t>ttīstīs, periodiski atjaunos, publicēs un saskaņā ar 12. pantu darīs pieejamus Līgumslēdzēju pušu konferencei valstī izdarītos atklājumus attiecībā uz Monreālas protokolā neiekļauto siltumnīcefekta gāzu antropogēno i</w:t>
            </w:r>
            <w:r w:rsidRPr="00B31E8B" w:rsidR="002426D2">
              <w:rPr>
                <w:rFonts w:ascii="Times New Roman" w:hAnsi="Times New Roman"/>
                <w:i/>
                <w:sz w:val="24"/>
                <w:szCs w:val="24"/>
              </w:rPr>
              <w:t xml:space="preserve">zmeti no avotiem un piesaisti, </w:t>
            </w:r>
            <w:r w:rsidRPr="00B31E8B" w:rsidR="00216C72">
              <w:rPr>
                <w:rFonts w:ascii="Times New Roman" w:hAnsi="Times New Roman"/>
                <w:i/>
                <w:sz w:val="24"/>
                <w:szCs w:val="24"/>
                <w:u w:val="single"/>
              </w:rPr>
              <w:t>lietojot salīdzināmas metodikas, par kuru izmantošanu jāvienojas Līgumslēdzēju pušu konferencē</w:t>
            </w:r>
            <w:r w:rsidRPr="00B31E8B" w:rsidR="002426D2">
              <w:rPr>
                <w:rFonts w:ascii="Times New Roman" w:hAnsi="Times New Roman"/>
                <w:i/>
                <w:sz w:val="24"/>
                <w:szCs w:val="24"/>
                <w:u w:val="single"/>
              </w:rPr>
              <w:t>”</w:t>
            </w:r>
            <w:r w:rsidRPr="00B31E8B" w:rsidR="00216C72">
              <w:rPr>
                <w:rFonts w:ascii="Times New Roman" w:hAnsi="Times New Roman"/>
                <w:i/>
                <w:sz w:val="24"/>
                <w:szCs w:val="24"/>
              </w:rPr>
              <w:t>.</w:t>
            </w:r>
            <w:r w:rsidRPr="00B31E8B" w:rsidR="00216C72">
              <w:rPr>
                <w:rFonts w:ascii="Times New Roman" w:hAnsi="Times New Roman"/>
                <w:sz w:val="24"/>
                <w:szCs w:val="24"/>
              </w:rPr>
              <w:t xml:space="preserve"> </w:t>
            </w:r>
          </w:p>
          <w:p w:rsidR="00216C72" w:rsidRPr="00B31E8B" w:rsidP="00B31E8B" w14:paraId="5E34156E" w14:textId="1D644319">
            <w:pPr>
              <w:pStyle w:val="PlainText"/>
              <w:spacing w:before="60" w:after="60"/>
              <w:jc w:val="both"/>
              <w:rPr>
                <w:rFonts w:ascii="Times New Roman" w:hAnsi="Times New Roman"/>
                <w:sz w:val="24"/>
                <w:szCs w:val="24"/>
              </w:rPr>
            </w:pPr>
            <w:r w:rsidRPr="00B31E8B">
              <w:rPr>
                <w:rFonts w:ascii="Times New Roman" w:hAnsi="Times New Roman"/>
                <w:sz w:val="24"/>
                <w:szCs w:val="24"/>
              </w:rPr>
              <w:t xml:space="preserve"> </w:t>
            </w:r>
          </w:p>
          <w:p w:rsidR="004F7ECD" w:rsidRPr="00B31E8B" w:rsidP="005C6466" w14:paraId="3CD99D45" w14:textId="5DDF7E28">
            <w:pPr>
              <w:pStyle w:val="PlainText"/>
              <w:spacing w:before="60" w:after="60"/>
              <w:jc w:val="both"/>
              <w:rPr>
                <w:rFonts w:ascii="Times New Roman" w:hAnsi="Times New Roman"/>
                <w:sz w:val="24"/>
                <w:szCs w:val="24"/>
              </w:rPr>
            </w:pPr>
            <w:r w:rsidRPr="00B31E8B">
              <w:rPr>
                <w:rFonts w:ascii="Times New Roman" w:hAnsi="Times New Roman"/>
                <w:sz w:val="24"/>
                <w:szCs w:val="24"/>
              </w:rPr>
              <w:t>N</w:t>
            </w:r>
            <w:r w:rsidRPr="00B31E8B" w:rsidR="00216C72">
              <w:rPr>
                <w:rFonts w:ascii="Times New Roman" w:hAnsi="Times New Roman"/>
                <w:sz w:val="24"/>
                <w:szCs w:val="24"/>
              </w:rPr>
              <w:t xml:space="preserve">oteikumu projektā minētās </w:t>
            </w:r>
            <w:r w:rsidRPr="00B31E8B" w:rsidR="00DC7AB3">
              <w:rPr>
                <w:rFonts w:ascii="Times New Roman" w:hAnsi="Times New Roman"/>
                <w:sz w:val="24"/>
                <w:szCs w:val="24"/>
              </w:rPr>
              <w:t xml:space="preserve">Klimata pārmaiņu starpvaldību padomes </w:t>
            </w:r>
            <w:r w:rsidRPr="00B31E8B" w:rsidR="00216C72">
              <w:rPr>
                <w:rFonts w:ascii="Times New Roman" w:hAnsi="Times New Roman"/>
                <w:sz w:val="24"/>
                <w:szCs w:val="24"/>
              </w:rPr>
              <w:t xml:space="preserve">vadlīnijas netiek noteiktas kā saistošas privātpersonām, bet ir saistošas pēc būtības tikai nozaru ministrijām un </w:t>
            </w:r>
            <w:r w:rsidR="005C6466">
              <w:rPr>
                <w:rFonts w:ascii="Times New Roman" w:hAnsi="Times New Roman"/>
                <w:sz w:val="24"/>
                <w:szCs w:val="24"/>
              </w:rPr>
              <w:t>to padotībā esošām</w:t>
            </w:r>
            <w:r w:rsidRPr="00B31E8B" w:rsidR="00216C72">
              <w:rPr>
                <w:rFonts w:ascii="Times New Roman" w:hAnsi="Times New Roman"/>
                <w:sz w:val="24"/>
                <w:szCs w:val="24"/>
              </w:rPr>
              <w:t xml:space="preserve"> institūcijām. Tās ir saistošas</w:t>
            </w:r>
            <w:r w:rsidRPr="00B31E8B" w:rsidR="00DC7AB3">
              <w:rPr>
                <w:rFonts w:ascii="Times New Roman" w:hAnsi="Times New Roman"/>
                <w:sz w:val="24"/>
                <w:szCs w:val="24"/>
              </w:rPr>
              <w:t>,</w:t>
            </w:r>
            <w:r w:rsidRPr="00B31E8B" w:rsidR="00216C72">
              <w:rPr>
                <w:rFonts w:ascii="Times New Roman" w:hAnsi="Times New Roman"/>
                <w:sz w:val="24"/>
                <w:szCs w:val="24"/>
              </w:rPr>
              <w:t xml:space="preserve"> sagatavojot ziņojumus valsts mērogā.</w:t>
            </w:r>
          </w:p>
        </w:tc>
      </w:tr>
      <w:tr w14:paraId="7E31346E" w14:textId="77777777" w:rsidTr="00F46BF0">
        <w:tblPrEx>
          <w:tblW w:w="9185" w:type="dxa"/>
          <w:jc w:val="center"/>
          <w:tblLayout w:type="fixed"/>
          <w:tblCellMar>
            <w:left w:w="57" w:type="dxa"/>
            <w:right w:w="57" w:type="dxa"/>
          </w:tblCellMar>
          <w:tblLook w:val="00A0"/>
        </w:tblPrEx>
        <w:trPr>
          <w:trHeight w:val="274"/>
          <w:jc w:val="center"/>
        </w:trPr>
        <w:tc>
          <w:tcPr>
            <w:tcW w:w="341" w:type="dxa"/>
          </w:tcPr>
          <w:p w:rsidR="00CB4AAB" w:rsidRPr="00B31E8B" w:rsidP="00B31E8B" w14:paraId="76DA66F1" w14:textId="76509219">
            <w:pPr>
              <w:spacing w:before="60" w:after="60"/>
              <w:jc w:val="center"/>
              <w:rPr>
                <w:rFonts w:ascii="Times New Roman" w:hAnsi="Times New Roman"/>
                <w:sz w:val="24"/>
                <w:szCs w:val="24"/>
                <w:lang w:eastAsia="lv-LV"/>
              </w:rPr>
            </w:pPr>
            <w:r w:rsidRPr="00B31E8B">
              <w:rPr>
                <w:rFonts w:ascii="Times New Roman" w:hAnsi="Times New Roman"/>
                <w:sz w:val="24"/>
                <w:szCs w:val="24"/>
                <w:lang w:eastAsia="lv-LV"/>
              </w:rPr>
              <w:t>3.</w:t>
            </w:r>
          </w:p>
        </w:tc>
        <w:tc>
          <w:tcPr>
            <w:tcW w:w="2206" w:type="dxa"/>
          </w:tcPr>
          <w:p w:rsidR="00CB4AAB" w:rsidRPr="00B31E8B" w:rsidP="00B31E8B" w14:paraId="33AC1EA4" w14:textId="77777777">
            <w:pPr>
              <w:spacing w:before="60" w:after="60"/>
              <w:jc w:val="left"/>
              <w:rPr>
                <w:rFonts w:ascii="Times New Roman" w:hAnsi="Times New Roman"/>
                <w:sz w:val="24"/>
                <w:szCs w:val="24"/>
                <w:lang w:eastAsia="lv-LV"/>
              </w:rPr>
            </w:pPr>
            <w:r w:rsidRPr="00B31E8B">
              <w:rPr>
                <w:rFonts w:ascii="Times New Roman" w:hAnsi="Times New Roman"/>
                <w:sz w:val="24"/>
                <w:szCs w:val="24"/>
                <w:lang w:eastAsia="lv-LV"/>
              </w:rPr>
              <w:t>Projekta izstrādē iesaistītās institūcijas</w:t>
            </w:r>
          </w:p>
        </w:tc>
        <w:tc>
          <w:tcPr>
            <w:tcW w:w="6638" w:type="dxa"/>
          </w:tcPr>
          <w:p w:rsidR="00F07CD0" w:rsidRPr="00B31E8B" w:rsidP="00B31E8B" w14:paraId="35A10B09" w14:textId="05F48D8A">
            <w:pPr>
              <w:pStyle w:val="naiskr"/>
              <w:spacing w:before="60" w:after="60"/>
              <w:jc w:val="both"/>
              <w:rPr>
                <w:iCs/>
              </w:rPr>
            </w:pPr>
            <w:r w:rsidRPr="00B31E8B">
              <w:rPr>
                <w:iCs/>
              </w:rPr>
              <w:t>N</w:t>
            </w:r>
            <w:r w:rsidRPr="00B31E8B" w:rsidR="00E077A0">
              <w:rPr>
                <w:iCs/>
              </w:rPr>
              <w:t>oteikumu projekta</w:t>
            </w:r>
            <w:r w:rsidRPr="00B31E8B" w:rsidR="006E6F43">
              <w:rPr>
                <w:iCs/>
              </w:rPr>
              <w:t xml:space="preserve"> izstrādē tika </w:t>
            </w:r>
            <w:r w:rsidR="0091146B">
              <w:rPr>
                <w:iCs/>
              </w:rPr>
              <w:t xml:space="preserve">iesaistītas šādas institūcijas </w:t>
            </w:r>
            <w:r w:rsidRPr="00B31E8B" w:rsidR="0091146B">
              <w:t>–</w:t>
            </w:r>
            <w:r w:rsidR="0091146B">
              <w:t xml:space="preserve"> </w:t>
            </w:r>
            <w:r w:rsidRPr="00B31E8B">
              <w:t>v</w:t>
            </w:r>
            <w:r w:rsidRPr="00B31E8B" w:rsidR="00E077A0">
              <w:t>alsts sabiedrība ar ierobežotu atbildību “Latvijas Vides, ģeoloģijas un meteoroloģijas centrs</w:t>
            </w:r>
            <w:r w:rsidR="00F47B09">
              <w:t>”</w:t>
            </w:r>
            <w:r w:rsidRPr="00B31E8B" w:rsidR="00E077A0">
              <w:t xml:space="preserve">, Fizikālās enerģētikas institūts, </w:t>
            </w:r>
            <w:r w:rsidRPr="00B31E8B" w:rsidR="003D68B0">
              <w:t>Latvijas V</w:t>
            </w:r>
            <w:r w:rsidRPr="00B31E8B" w:rsidR="00E077A0">
              <w:t xml:space="preserve">alsts mežzinātnes institūts </w:t>
            </w:r>
            <w:r w:rsidRPr="00B31E8B" w:rsidR="005A0385">
              <w:t>“</w:t>
            </w:r>
            <w:r w:rsidRPr="00B31E8B" w:rsidR="00E077A0">
              <w:t>Silava</w:t>
            </w:r>
            <w:r w:rsidRPr="00B31E8B" w:rsidR="005A0385">
              <w:t>”</w:t>
            </w:r>
            <w:r w:rsidRPr="00B31E8B" w:rsidR="00E077A0">
              <w:t>, Latvijas Lauksaimniecības universitāte.</w:t>
            </w:r>
            <w:r w:rsidRPr="00B31E8B" w:rsidR="001B06D8">
              <w:t xml:space="preserve"> </w:t>
            </w:r>
            <w:r w:rsidRPr="00B31E8B">
              <w:rPr>
                <w:iCs/>
              </w:rPr>
              <w:t>N</w:t>
            </w:r>
            <w:r w:rsidRPr="00B31E8B" w:rsidR="00E077A0">
              <w:rPr>
                <w:iCs/>
              </w:rPr>
              <w:t xml:space="preserve">oteikumu projekta </w:t>
            </w:r>
            <w:r w:rsidRPr="00B31E8B" w:rsidR="00DC7AB3">
              <w:rPr>
                <w:iCs/>
              </w:rPr>
              <w:t xml:space="preserve">izstrādei </w:t>
            </w:r>
            <w:r w:rsidRPr="00B31E8B" w:rsidR="005472D6">
              <w:rPr>
                <w:iCs/>
              </w:rPr>
              <w:t>netika organizēta darba grupa</w:t>
            </w:r>
            <w:r w:rsidRPr="00B31E8B" w:rsidR="00DC7AB3">
              <w:rPr>
                <w:iCs/>
              </w:rPr>
              <w:t xml:space="preserve">, taču notika konsultācijas ar visām noteikumu projektā minētajām institūcijām. </w:t>
            </w:r>
          </w:p>
        </w:tc>
      </w:tr>
      <w:tr w14:paraId="1EE7F9E4" w14:textId="77777777" w:rsidTr="00F46BF0">
        <w:tblPrEx>
          <w:tblW w:w="9185" w:type="dxa"/>
          <w:jc w:val="center"/>
          <w:tblLayout w:type="fixed"/>
          <w:tblCellMar>
            <w:left w:w="57" w:type="dxa"/>
            <w:right w:w="57" w:type="dxa"/>
          </w:tblCellMar>
          <w:tblLook w:val="00A0"/>
        </w:tblPrEx>
        <w:trPr>
          <w:jc w:val="center"/>
        </w:trPr>
        <w:tc>
          <w:tcPr>
            <w:tcW w:w="341" w:type="dxa"/>
          </w:tcPr>
          <w:p w:rsidR="00CB4AAB" w:rsidRPr="00B31E8B" w:rsidP="00B31E8B" w14:paraId="40B549D6" w14:textId="77777777">
            <w:pPr>
              <w:spacing w:before="60" w:after="60"/>
              <w:jc w:val="center"/>
              <w:rPr>
                <w:rFonts w:ascii="Times New Roman" w:hAnsi="Times New Roman"/>
                <w:sz w:val="24"/>
                <w:szCs w:val="24"/>
                <w:lang w:eastAsia="lv-LV"/>
              </w:rPr>
            </w:pPr>
            <w:r w:rsidRPr="00B31E8B">
              <w:rPr>
                <w:rFonts w:ascii="Times New Roman" w:hAnsi="Times New Roman"/>
                <w:sz w:val="24"/>
                <w:szCs w:val="24"/>
                <w:lang w:eastAsia="lv-LV"/>
              </w:rPr>
              <w:t>4.</w:t>
            </w:r>
          </w:p>
        </w:tc>
        <w:tc>
          <w:tcPr>
            <w:tcW w:w="2206" w:type="dxa"/>
          </w:tcPr>
          <w:p w:rsidR="00CB4AAB" w:rsidRPr="00B31E8B" w:rsidP="00B31E8B" w14:paraId="05DE638C" w14:textId="77777777">
            <w:pPr>
              <w:spacing w:before="60" w:after="60"/>
              <w:jc w:val="left"/>
              <w:rPr>
                <w:rFonts w:ascii="Times New Roman" w:hAnsi="Times New Roman"/>
                <w:sz w:val="24"/>
                <w:szCs w:val="24"/>
                <w:lang w:eastAsia="lv-LV"/>
              </w:rPr>
            </w:pPr>
            <w:r w:rsidRPr="00B31E8B">
              <w:rPr>
                <w:rFonts w:ascii="Times New Roman" w:hAnsi="Times New Roman"/>
                <w:sz w:val="24"/>
                <w:szCs w:val="24"/>
                <w:lang w:eastAsia="lv-LV"/>
              </w:rPr>
              <w:t>Cita informācija</w:t>
            </w:r>
          </w:p>
        </w:tc>
        <w:tc>
          <w:tcPr>
            <w:tcW w:w="6638" w:type="dxa"/>
          </w:tcPr>
          <w:p w:rsidR="00CB4AAB" w:rsidRPr="00D3416D" w:rsidP="00B31E8B" w14:paraId="3F9DAC4E" w14:textId="39044921">
            <w:pPr>
              <w:spacing w:before="60" w:beforeAutospacing="1" w:after="60" w:afterAutospacing="1"/>
              <w:jc w:val="left"/>
              <w:rPr>
                <w:rFonts w:ascii="Times New Roman" w:hAnsi="Times New Roman"/>
                <w:sz w:val="24"/>
                <w:szCs w:val="24"/>
                <w:lang w:eastAsia="lv-LV"/>
              </w:rPr>
            </w:pPr>
            <w:r w:rsidRPr="00B31E8B">
              <w:rPr>
                <w:rFonts w:ascii="Times New Roman" w:hAnsi="Times New Roman"/>
                <w:sz w:val="24"/>
                <w:szCs w:val="24"/>
                <w:lang w:eastAsia="lv-LV"/>
              </w:rPr>
              <w:t>Nav</w:t>
            </w:r>
            <w:r w:rsidRPr="00B31E8B" w:rsidR="005A0385">
              <w:rPr>
                <w:rFonts w:ascii="Times New Roman" w:hAnsi="Times New Roman"/>
                <w:sz w:val="24"/>
                <w:szCs w:val="24"/>
                <w:lang w:eastAsia="lv-LV"/>
              </w:rPr>
              <w:t>.</w:t>
            </w:r>
          </w:p>
        </w:tc>
      </w:tr>
    </w:tbl>
    <w:p w:rsidR="00CB4AAB" w:rsidRPr="00D3416D" w:rsidP="0034370D" w14:paraId="446A533B" w14:textId="77777777">
      <w:pPr>
        <w:spacing w:after="0"/>
        <w:ind w:firstLine="301"/>
        <w:jc w:val="left"/>
        <w:rPr>
          <w:rFonts w:ascii="Times New Roman" w:hAnsi="Times New Roman"/>
          <w:sz w:val="24"/>
          <w:szCs w:val="24"/>
          <w:lang w:eastAsia="lv-LV"/>
        </w:rPr>
      </w:pPr>
      <w:r w:rsidRPr="00D3416D">
        <w:rPr>
          <w:rFonts w:ascii="Times New Roman" w:hAnsi="Times New Roman"/>
          <w:sz w:val="24"/>
          <w:szCs w:val="24"/>
          <w:lang w:eastAsia="lv-LV"/>
        </w:rPr>
        <w:t>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54"/>
        <w:gridCol w:w="1682"/>
        <w:gridCol w:w="6936"/>
      </w:tblGrid>
      <w:tr w14:paraId="4BBC213A" w14:textId="77777777" w:rsidTr="00DC5242">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555"/>
          <w:jc w:val="center"/>
        </w:trPr>
        <w:tc>
          <w:tcPr>
            <w:tcW w:w="0" w:type="auto"/>
            <w:gridSpan w:val="3"/>
            <w:vAlign w:val="center"/>
          </w:tcPr>
          <w:p w:rsidR="00CB4AAB" w:rsidRPr="00D3416D" w:rsidP="00B63F0E" w14:paraId="3E07C923" w14:textId="77777777">
            <w:pPr>
              <w:spacing w:before="60" w:after="60"/>
              <w:jc w:val="center"/>
              <w:rPr>
                <w:rFonts w:ascii="Times New Roman" w:hAnsi="Times New Roman"/>
                <w:b/>
                <w:bCs/>
                <w:sz w:val="24"/>
                <w:szCs w:val="24"/>
                <w:lang w:eastAsia="lv-LV"/>
              </w:rPr>
            </w:pPr>
            <w:r w:rsidRPr="00D3416D">
              <w:rPr>
                <w:rFonts w:ascii="Times New Roman" w:hAnsi="Times New Roman"/>
                <w:b/>
                <w:bCs/>
                <w:sz w:val="24"/>
                <w:szCs w:val="24"/>
                <w:lang w:eastAsia="lv-LV"/>
              </w:rPr>
              <w:t>II.</w:t>
            </w:r>
            <w:r w:rsidRPr="00D3416D" w:rsidR="00316D9D">
              <w:rPr>
                <w:rFonts w:ascii="Times New Roman" w:hAnsi="Times New Roman"/>
                <w:b/>
                <w:bCs/>
                <w:sz w:val="24"/>
                <w:szCs w:val="24"/>
                <w:lang w:eastAsia="lv-LV"/>
              </w:rPr>
              <w:t> </w:t>
            </w:r>
            <w:r w:rsidRPr="00D3416D">
              <w:rPr>
                <w:rFonts w:ascii="Times New Roman" w:hAnsi="Times New Roman"/>
                <w:b/>
                <w:bCs/>
                <w:sz w:val="24"/>
                <w:szCs w:val="24"/>
                <w:lang w:eastAsia="lv-LV"/>
              </w:rPr>
              <w:t>Tiesību akta projekta ietekme uz sabiedrību, tautsaimniecības attīstību un administratīvo slogu</w:t>
            </w:r>
          </w:p>
        </w:tc>
      </w:tr>
      <w:tr w14:paraId="007D854A" w14:textId="77777777" w:rsidTr="00DC5242">
        <w:tblPrEx>
          <w:tblW w:w="9072" w:type="dxa"/>
          <w:jc w:val="center"/>
          <w:tblCellMar>
            <w:left w:w="57" w:type="dxa"/>
            <w:right w:w="57" w:type="dxa"/>
          </w:tblCellMar>
          <w:tblLook w:val="00A0"/>
        </w:tblPrEx>
        <w:trPr>
          <w:trHeight w:val="274"/>
          <w:jc w:val="center"/>
        </w:trPr>
        <w:tc>
          <w:tcPr>
            <w:tcW w:w="250" w:type="pct"/>
          </w:tcPr>
          <w:p w:rsidR="00CB4AAB" w:rsidRPr="00D3416D" w:rsidP="00B63F0E" w14:paraId="0B537BED" w14:textId="77777777">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1.</w:t>
            </w:r>
          </w:p>
        </w:tc>
        <w:tc>
          <w:tcPr>
            <w:tcW w:w="927" w:type="pct"/>
          </w:tcPr>
          <w:p w:rsidR="00CB4AAB" w:rsidRPr="00DE53F3" w:rsidP="00B63F0E" w14:paraId="1CC5DC03" w14:textId="77777777">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Sabiedrības mērķgrupas, kuras tiesiskais regulējums ietekmē vai varētu ietekmēt</w:t>
            </w:r>
          </w:p>
        </w:tc>
        <w:tc>
          <w:tcPr>
            <w:tcW w:w="3823" w:type="pct"/>
          </w:tcPr>
          <w:p w:rsidR="00CB4AAB" w:rsidRPr="00DE53F3" w:rsidP="001833AE" w14:paraId="6D96194F" w14:textId="1BCE5DEA">
            <w:pPr>
              <w:pStyle w:val="naiskr"/>
              <w:spacing w:before="60" w:after="60"/>
              <w:jc w:val="both"/>
              <w:rPr>
                <w:bCs/>
                <w:u w:val="single"/>
                <w:shd w:val="clear" w:color="auto" w:fill="FFFFFF"/>
              </w:rPr>
            </w:pPr>
            <w:r w:rsidRPr="00DE53F3">
              <w:rPr>
                <w:iCs/>
                <w:u w:val="single"/>
              </w:rPr>
              <w:t>N</w:t>
            </w:r>
            <w:r w:rsidRPr="00DE53F3" w:rsidR="00E077A0">
              <w:rPr>
                <w:iCs/>
                <w:u w:val="single"/>
              </w:rPr>
              <w:t xml:space="preserve">oteikumu </w:t>
            </w:r>
            <w:r w:rsidRPr="00DE53F3">
              <w:rPr>
                <w:iCs/>
                <w:u w:val="single"/>
              </w:rPr>
              <w:t xml:space="preserve"> projekta </w:t>
            </w:r>
            <w:r w:rsidRPr="00DE53F3" w:rsidR="00E077A0">
              <w:rPr>
                <w:iCs/>
                <w:u w:val="single"/>
              </w:rPr>
              <w:t xml:space="preserve">tiesiskais regulējums </w:t>
            </w:r>
            <w:r w:rsidRPr="00DE53F3" w:rsidR="00E077A0">
              <w:rPr>
                <w:bCs/>
                <w:u w:val="single"/>
                <w:shd w:val="clear" w:color="auto" w:fill="FFFFFF"/>
              </w:rPr>
              <w:t>ietekmē vai var ietekmēt:</w:t>
            </w:r>
          </w:p>
          <w:p w:rsidR="00E077A0" w:rsidRPr="00DE53F3" w:rsidP="001833AE" w14:paraId="3255CAB6" w14:textId="03A43D46">
            <w:pPr>
              <w:pStyle w:val="naiskr"/>
              <w:numPr>
                <w:ilvl w:val="0"/>
                <w:numId w:val="27"/>
              </w:numPr>
              <w:spacing w:before="60" w:after="60"/>
              <w:ind w:left="354"/>
              <w:jc w:val="both"/>
              <w:rPr>
                <w:bCs/>
                <w:shd w:val="clear" w:color="auto" w:fill="FFFFFF"/>
              </w:rPr>
            </w:pPr>
            <w:r w:rsidRPr="00DE53F3">
              <w:rPr>
                <w:bCs/>
                <w:shd w:val="clear" w:color="auto" w:fill="FFFFFF"/>
              </w:rPr>
              <w:t xml:space="preserve">ikgadējās </w:t>
            </w:r>
            <w:r w:rsidR="00010AF1">
              <w:rPr>
                <w:bCs/>
                <w:shd w:val="clear" w:color="auto" w:fill="FFFFFF"/>
              </w:rPr>
              <w:t>SEG</w:t>
            </w:r>
            <w:r w:rsidRPr="00DE53F3">
              <w:rPr>
                <w:bCs/>
                <w:shd w:val="clear" w:color="auto" w:fill="FFFFFF"/>
              </w:rPr>
              <w:t xml:space="preserve"> inventarizācijas sagatavošanā iesaistītās institūcijas;</w:t>
            </w:r>
          </w:p>
          <w:p w:rsidR="00E077A0" w:rsidRPr="00DE53F3" w14:paraId="204E67E2" w14:textId="4ECF5243">
            <w:pPr>
              <w:pStyle w:val="naiskr"/>
              <w:numPr>
                <w:ilvl w:val="0"/>
                <w:numId w:val="27"/>
              </w:numPr>
              <w:spacing w:before="60" w:after="60"/>
              <w:ind w:left="354"/>
              <w:jc w:val="both"/>
              <w:rPr>
                <w:bCs/>
                <w:shd w:val="clear" w:color="auto" w:fill="FFFFFF"/>
              </w:rPr>
            </w:pPr>
            <w:r>
              <w:rPr>
                <w:bCs/>
                <w:shd w:val="clear" w:color="auto" w:fill="FFFFFF"/>
              </w:rPr>
              <w:t>SEG</w:t>
            </w:r>
            <w:r w:rsidRPr="00DE53F3">
              <w:rPr>
                <w:bCs/>
                <w:shd w:val="clear" w:color="auto" w:fill="FFFFFF"/>
              </w:rPr>
              <w:t xml:space="preserve"> prognožu sagatavošanā iesaistītās institūcijas;</w:t>
            </w:r>
          </w:p>
          <w:p w:rsidR="00957009" w:rsidRPr="00DE53F3" w14:paraId="7AF412AE" w14:textId="6F65E01B">
            <w:pPr>
              <w:pStyle w:val="naiskr"/>
              <w:numPr>
                <w:ilvl w:val="0"/>
                <w:numId w:val="27"/>
              </w:numPr>
              <w:spacing w:before="60" w:after="60"/>
              <w:ind w:left="354"/>
              <w:jc w:val="both"/>
              <w:rPr>
                <w:bCs/>
                <w:shd w:val="clear" w:color="auto" w:fill="FFFFFF"/>
              </w:rPr>
            </w:pPr>
            <w:r w:rsidRPr="00DE53F3">
              <w:rPr>
                <w:bCs/>
                <w:shd w:val="clear" w:color="auto" w:fill="FFFFFF"/>
              </w:rPr>
              <w:t xml:space="preserve">komersantus, kuriem jāiesniedz informācija par </w:t>
            </w:r>
            <w:r w:rsidRPr="00DE53F3">
              <w:t>saražotā cementa klinkera sastāvu, oglekļa saturu izmantotajā čugunā, čuguna lūžņos un saražotajā neapstrādātajā tēraudā; oglekļa elektrodu patēriņu elektrokrāsnīs, d</w:t>
            </w:r>
            <w:r w:rsidRPr="00DE53F3" w:rsidR="00F962C3">
              <w:t xml:space="preserve">abasgāzes importēšanu, transportēšanu un uzglabāšanu, </w:t>
            </w:r>
            <w:r w:rsidRPr="00DE53F3" w:rsidR="00F962C3">
              <w:rPr>
                <w:bdr w:val="none" w:sz="0" w:space="0" w:color="auto" w:frame="1"/>
              </w:rPr>
              <w:t>notekūdeņu dūņu gāzi.</w:t>
            </w:r>
          </w:p>
        </w:tc>
      </w:tr>
      <w:tr w14:paraId="38572313" w14:textId="77777777" w:rsidTr="00DC5242">
        <w:tblPrEx>
          <w:tblW w:w="9072" w:type="dxa"/>
          <w:jc w:val="center"/>
          <w:tblCellMar>
            <w:left w:w="57" w:type="dxa"/>
            <w:right w:w="57" w:type="dxa"/>
          </w:tblCellMar>
          <w:tblLook w:val="00A0"/>
        </w:tblPrEx>
        <w:trPr>
          <w:trHeight w:val="510"/>
          <w:jc w:val="center"/>
        </w:trPr>
        <w:tc>
          <w:tcPr>
            <w:tcW w:w="250" w:type="pct"/>
          </w:tcPr>
          <w:p w:rsidR="00CB4AAB" w:rsidRPr="00D3416D" w:rsidP="00B63F0E" w14:paraId="6A6F26E5" w14:textId="77777777">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2.</w:t>
            </w:r>
          </w:p>
        </w:tc>
        <w:tc>
          <w:tcPr>
            <w:tcW w:w="927" w:type="pct"/>
          </w:tcPr>
          <w:p w:rsidR="00757C6A" w:rsidP="00B63F0E" w14:paraId="4534162E" w14:textId="0AE4A74D">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Tiesiskā regulējuma ietekme uz tautsaimniecību un administratīvo slogu</w:t>
            </w:r>
          </w:p>
          <w:p w:rsidR="00757C6A" w:rsidRPr="00757C6A" w:rsidP="00757C6A" w14:paraId="2CBC8E9F" w14:textId="77777777">
            <w:pPr>
              <w:rPr>
                <w:rFonts w:ascii="Times New Roman" w:hAnsi="Times New Roman"/>
                <w:sz w:val="24"/>
                <w:szCs w:val="24"/>
                <w:lang w:eastAsia="lv-LV"/>
              </w:rPr>
            </w:pPr>
          </w:p>
          <w:p w:rsidR="00757C6A" w:rsidRPr="00757C6A" w:rsidP="00757C6A" w14:paraId="2CB1DBF6" w14:textId="77777777">
            <w:pPr>
              <w:rPr>
                <w:rFonts w:ascii="Times New Roman" w:hAnsi="Times New Roman"/>
                <w:sz w:val="24"/>
                <w:szCs w:val="24"/>
                <w:lang w:eastAsia="lv-LV"/>
              </w:rPr>
            </w:pPr>
          </w:p>
          <w:p w:rsidR="00757C6A" w:rsidRPr="00757C6A" w:rsidP="00757C6A" w14:paraId="26326CFE" w14:textId="77777777">
            <w:pPr>
              <w:rPr>
                <w:rFonts w:ascii="Times New Roman" w:hAnsi="Times New Roman"/>
                <w:sz w:val="24"/>
                <w:szCs w:val="24"/>
                <w:lang w:eastAsia="lv-LV"/>
              </w:rPr>
            </w:pPr>
          </w:p>
          <w:p w:rsidR="00757C6A" w:rsidRPr="00757C6A" w:rsidP="00757C6A" w14:paraId="529706A2" w14:textId="77777777">
            <w:pPr>
              <w:rPr>
                <w:rFonts w:ascii="Times New Roman" w:hAnsi="Times New Roman"/>
                <w:sz w:val="24"/>
                <w:szCs w:val="24"/>
                <w:lang w:eastAsia="lv-LV"/>
              </w:rPr>
            </w:pPr>
          </w:p>
          <w:p w:rsidR="00757C6A" w:rsidRPr="00757C6A" w:rsidP="00757C6A" w14:paraId="4F96093E" w14:textId="77777777">
            <w:pPr>
              <w:rPr>
                <w:rFonts w:ascii="Times New Roman" w:hAnsi="Times New Roman"/>
                <w:sz w:val="24"/>
                <w:szCs w:val="24"/>
                <w:lang w:eastAsia="lv-LV"/>
              </w:rPr>
            </w:pPr>
          </w:p>
          <w:p w:rsidR="00757C6A" w:rsidRPr="00757C6A" w:rsidP="00757C6A" w14:paraId="36B306A5" w14:textId="77777777">
            <w:pPr>
              <w:rPr>
                <w:rFonts w:ascii="Times New Roman" w:hAnsi="Times New Roman"/>
                <w:sz w:val="24"/>
                <w:szCs w:val="24"/>
                <w:lang w:eastAsia="lv-LV"/>
              </w:rPr>
            </w:pPr>
          </w:p>
          <w:p w:rsidR="00757C6A" w:rsidRPr="00757C6A" w:rsidP="00757C6A" w14:paraId="211D044D" w14:textId="77777777">
            <w:pPr>
              <w:rPr>
                <w:rFonts w:ascii="Times New Roman" w:hAnsi="Times New Roman"/>
                <w:sz w:val="24"/>
                <w:szCs w:val="24"/>
                <w:lang w:eastAsia="lv-LV"/>
              </w:rPr>
            </w:pPr>
          </w:p>
          <w:p w:rsidR="00757C6A" w:rsidRPr="00757C6A" w:rsidP="00757C6A" w14:paraId="74011715" w14:textId="77777777">
            <w:pPr>
              <w:rPr>
                <w:rFonts w:ascii="Times New Roman" w:hAnsi="Times New Roman"/>
                <w:sz w:val="24"/>
                <w:szCs w:val="24"/>
                <w:lang w:eastAsia="lv-LV"/>
              </w:rPr>
            </w:pPr>
          </w:p>
          <w:p w:rsidR="00757C6A" w:rsidRPr="00757C6A" w:rsidP="00757C6A" w14:paraId="627DB031" w14:textId="77777777">
            <w:pPr>
              <w:rPr>
                <w:rFonts w:ascii="Times New Roman" w:hAnsi="Times New Roman"/>
                <w:sz w:val="24"/>
                <w:szCs w:val="24"/>
                <w:lang w:eastAsia="lv-LV"/>
              </w:rPr>
            </w:pPr>
          </w:p>
          <w:p w:rsidR="00757C6A" w:rsidP="00757C6A" w14:paraId="00F2E408" w14:textId="0ADD320D">
            <w:pPr>
              <w:rPr>
                <w:rFonts w:ascii="Times New Roman" w:hAnsi="Times New Roman"/>
                <w:sz w:val="24"/>
                <w:szCs w:val="24"/>
                <w:lang w:eastAsia="lv-LV"/>
              </w:rPr>
            </w:pPr>
          </w:p>
          <w:p w:rsidR="00757C6A" w:rsidP="00757C6A" w14:paraId="62D5E5ED" w14:textId="42E2A0B2">
            <w:pPr>
              <w:rPr>
                <w:rFonts w:ascii="Times New Roman" w:hAnsi="Times New Roman"/>
                <w:sz w:val="24"/>
                <w:szCs w:val="24"/>
                <w:lang w:eastAsia="lv-LV"/>
              </w:rPr>
            </w:pPr>
          </w:p>
          <w:p w:rsidR="00CB4AAB" w:rsidRPr="00757C6A" w:rsidP="00757C6A" w14:paraId="0B3BA036" w14:textId="77777777">
            <w:pPr>
              <w:rPr>
                <w:rFonts w:ascii="Times New Roman" w:hAnsi="Times New Roman"/>
                <w:sz w:val="24"/>
                <w:szCs w:val="24"/>
                <w:lang w:eastAsia="lv-LV"/>
              </w:rPr>
            </w:pPr>
          </w:p>
        </w:tc>
        <w:tc>
          <w:tcPr>
            <w:tcW w:w="3823" w:type="pct"/>
          </w:tcPr>
          <w:p w:rsidR="00CB4AAB" w:rsidRPr="00DE53F3" w:rsidP="001833AE" w14:paraId="7A43B2BB" w14:textId="1529503E">
            <w:pPr>
              <w:spacing w:before="60" w:after="60"/>
              <w:rPr>
                <w:rFonts w:ascii="Times New Roman" w:hAnsi="Times New Roman"/>
                <w:sz w:val="24"/>
                <w:szCs w:val="24"/>
              </w:rPr>
            </w:pPr>
            <w:r w:rsidRPr="00DE53F3">
              <w:rPr>
                <w:rFonts w:ascii="Times New Roman" w:hAnsi="Times New Roman"/>
                <w:iCs/>
                <w:sz w:val="24"/>
                <w:szCs w:val="24"/>
              </w:rPr>
              <w:t>N</w:t>
            </w:r>
            <w:r w:rsidRPr="00DE53F3" w:rsidR="00F962C3">
              <w:rPr>
                <w:rFonts w:ascii="Times New Roman" w:hAnsi="Times New Roman"/>
                <w:iCs/>
                <w:sz w:val="24"/>
                <w:szCs w:val="24"/>
              </w:rPr>
              <w:t>oteikumu</w:t>
            </w:r>
            <w:r w:rsidRPr="00DE53F3" w:rsidR="00F962C3">
              <w:rPr>
                <w:rFonts w:ascii="Times New Roman" w:hAnsi="Times New Roman"/>
                <w:sz w:val="24"/>
                <w:szCs w:val="24"/>
              </w:rPr>
              <w:t xml:space="preserve"> projekta </w:t>
            </w:r>
            <w:r w:rsidRPr="00DE53F3" w:rsidR="005472D6">
              <w:rPr>
                <w:rFonts w:ascii="Times New Roman" w:hAnsi="Times New Roman"/>
                <w:sz w:val="24"/>
                <w:szCs w:val="24"/>
              </w:rPr>
              <w:t xml:space="preserve">tiesiskā regulējuma </w:t>
            </w:r>
            <w:r w:rsidRPr="00DE53F3" w:rsidR="00DC25F0">
              <w:rPr>
                <w:rFonts w:ascii="Times New Roman" w:hAnsi="Times New Roman"/>
                <w:sz w:val="24"/>
                <w:szCs w:val="24"/>
              </w:rPr>
              <w:t xml:space="preserve">papildus </w:t>
            </w:r>
            <w:r w:rsidRPr="00DE53F3" w:rsidR="00F962C3">
              <w:rPr>
                <w:rFonts w:ascii="Times New Roman" w:hAnsi="Times New Roman"/>
                <w:sz w:val="24"/>
                <w:szCs w:val="24"/>
              </w:rPr>
              <w:t xml:space="preserve">ietekme uz administratīvo slogu netiek plānota, jo pēc būtības šāda kārtība </w:t>
            </w:r>
            <w:r w:rsidR="00DC7AB3">
              <w:rPr>
                <w:rFonts w:ascii="Times New Roman" w:hAnsi="Times New Roman"/>
                <w:sz w:val="24"/>
                <w:szCs w:val="24"/>
              </w:rPr>
              <w:t xml:space="preserve">šobrīd </w:t>
            </w:r>
            <w:r w:rsidRPr="00DE53F3" w:rsidR="00F962C3">
              <w:rPr>
                <w:rFonts w:ascii="Times New Roman" w:hAnsi="Times New Roman"/>
                <w:sz w:val="24"/>
                <w:szCs w:val="24"/>
              </w:rPr>
              <w:t>jau tiek īstenota.</w:t>
            </w:r>
            <w:r w:rsidR="00BF3C4D">
              <w:rPr>
                <w:rFonts w:ascii="Times New Roman" w:hAnsi="Times New Roman"/>
                <w:sz w:val="24"/>
                <w:szCs w:val="24"/>
              </w:rPr>
              <w:t xml:space="preserve"> Noteikumu projekta īstenošana </w:t>
            </w:r>
            <w:r w:rsidR="00545237">
              <w:rPr>
                <w:rFonts w:ascii="Times New Roman" w:hAnsi="Times New Roman"/>
                <w:sz w:val="24"/>
                <w:szCs w:val="24"/>
              </w:rPr>
              <w:t xml:space="preserve">būtu </w:t>
            </w:r>
            <w:r w:rsidR="00BF3C4D">
              <w:rPr>
                <w:rFonts w:ascii="Times New Roman" w:hAnsi="Times New Roman"/>
                <w:sz w:val="24"/>
                <w:szCs w:val="24"/>
              </w:rPr>
              <w:t>jānodrošina iesaistīto institūciju budžetā esošo</w:t>
            </w:r>
            <w:r w:rsidR="00A57917">
              <w:rPr>
                <w:rFonts w:ascii="Times New Roman" w:hAnsi="Times New Roman"/>
                <w:sz w:val="24"/>
                <w:szCs w:val="24"/>
              </w:rPr>
              <w:t xml:space="preserve"> finanšu</w:t>
            </w:r>
            <w:r w:rsidR="00BF3C4D">
              <w:rPr>
                <w:rFonts w:ascii="Times New Roman" w:hAnsi="Times New Roman"/>
                <w:sz w:val="24"/>
                <w:szCs w:val="24"/>
              </w:rPr>
              <w:t xml:space="preserve"> līdzekļu ietvaros.</w:t>
            </w:r>
          </w:p>
          <w:p w:rsidR="00E614C0" w:rsidP="001833AE" w14:paraId="6E5CF482" w14:textId="281D99FC">
            <w:pPr>
              <w:spacing w:before="60" w:after="60"/>
              <w:rPr>
                <w:rFonts w:ascii="Times New Roman" w:hAnsi="Times New Roman"/>
                <w:sz w:val="24"/>
                <w:szCs w:val="24"/>
              </w:rPr>
            </w:pPr>
            <w:r w:rsidRPr="00DE53F3">
              <w:rPr>
                <w:rFonts w:ascii="Times New Roman" w:hAnsi="Times New Roman"/>
                <w:sz w:val="24"/>
                <w:szCs w:val="24"/>
              </w:rPr>
              <w:t xml:space="preserve">Visa informācija, kas nepieciešama ikgadējai </w:t>
            </w:r>
            <w:r w:rsidR="00010AF1">
              <w:rPr>
                <w:rFonts w:ascii="Times New Roman" w:hAnsi="Times New Roman"/>
                <w:sz w:val="24"/>
                <w:szCs w:val="24"/>
              </w:rPr>
              <w:t>SEG</w:t>
            </w:r>
            <w:r w:rsidRPr="00DE53F3">
              <w:rPr>
                <w:rFonts w:ascii="Times New Roman" w:hAnsi="Times New Roman"/>
                <w:sz w:val="24"/>
                <w:szCs w:val="24"/>
              </w:rPr>
              <w:t xml:space="preserve"> inventarizācijas sagatavošana</w:t>
            </w:r>
            <w:r w:rsidR="009171CA">
              <w:rPr>
                <w:rFonts w:ascii="Times New Roman" w:hAnsi="Times New Roman"/>
                <w:sz w:val="24"/>
                <w:szCs w:val="24"/>
              </w:rPr>
              <w:t>i</w:t>
            </w:r>
            <w:r w:rsidR="00545237">
              <w:rPr>
                <w:rFonts w:ascii="Times New Roman" w:hAnsi="Times New Roman"/>
                <w:sz w:val="24"/>
                <w:szCs w:val="24"/>
              </w:rPr>
              <w:t>,</w:t>
            </w:r>
            <w:r w:rsidRPr="00DE53F3" w:rsidR="00346562">
              <w:rPr>
                <w:rFonts w:ascii="Times New Roman" w:hAnsi="Times New Roman"/>
                <w:sz w:val="24"/>
                <w:szCs w:val="24"/>
              </w:rPr>
              <w:t xml:space="preserve"> </w:t>
            </w:r>
            <w:r w:rsidRPr="00DE53F3" w:rsidR="00054CEF">
              <w:rPr>
                <w:rFonts w:ascii="Times New Roman" w:hAnsi="Times New Roman"/>
                <w:iCs/>
                <w:sz w:val="24"/>
                <w:szCs w:val="24"/>
              </w:rPr>
              <w:t>n</w:t>
            </w:r>
            <w:r w:rsidRPr="00DE53F3" w:rsidR="00326E76">
              <w:rPr>
                <w:rFonts w:ascii="Times New Roman" w:hAnsi="Times New Roman"/>
                <w:iCs/>
                <w:sz w:val="24"/>
                <w:szCs w:val="24"/>
              </w:rPr>
              <w:t>oteikumu</w:t>
            </w:r>
            <w:r w:rsidRPr="00DE53F3" w:rsidR="00326E76">
              <w:rPr>
                <w:rFonts w:ascii="Times New Roman" w:hAnsi="Times New Roman"/>
                <w:sz w:val="24"/>
                <w:szCs w:val="24"/>
              </w:rPr>
              <w:t xml:space="preserve"> projekta noteiktajās institūcijās </w:t>
            </w:r>
            <w:r w:rsidRPr="00DE53F3">
              <w:rPr>
                <w:rFonts w:ascii="Times New Roman" w:hAnsi="Times New Roman"/>
                <w:sz w:val="24"/>
                <w:szCs w:val="24"/>
              </w:rPr>
              <w:t>tiek apkopota</w:t>
            </w:r>
            <w:r w:rsidR="00010AF1">
              <w:rPr>
                <w:rFonts w:ascii="Times New Roman" w:hAnsi="Times New Roman"/>
                <w:sz w:val="24"/>
                <w:szCs w:val="24"/>
              </w:rPr>
              <w:t xml:space="preserve"> jau šobrīd</w:t>
            </w:r>
            <w:r w:rsidRPr="00DE53F3">
              <w:rPr>
                <w:rFonts w:ascii="Times New Roman" w:hAnsi="Times New Roman"/>
                <w:sz w:val="24"/>
                <w:szCs w:val="24"/>
              </w:rPr>
              <w:t>, līdz ar to papildus</w:t>
            </w:r>
            <w:r w:rsidR="00A57917">
              <w:rPr>
                <w:rFonts w:ascii="Times New Roman" w:hAnsi="Times New Roman"/>
                <w:sz w:val="24"/>
                <w:szCs w:val="24"/>
              </w:rPr>
              <w:t xml:space="preserve"> finanšu</w:t>
            </w:r>
            <w:r w:rsidRPr="00DE53F3">
              <w:rPr>
                <w:rFonts w:ascii="Times New Roman" w:hAnsi="Times New Roman"/>
                <w:sz w:val="24"/>
                <w:szCs w:val="24"/>
              </w:rPr>
              <w:t xml:space="preserve"> līdzekļi nebūs vajadzīgi.  Darbības dati, kas nepieciešami </w:t>
            </w:r>
            <w:r w:rsidR="00010AF1">
              <w:rPr>
                <w:rFonts w:ascii="Times New Roman" w:hAnsi="Times New Roman"/>
                <w:sz w:val="24"/>
                <w:szCs w:val="24"/>
              </w:rPr>
              <w:t>SEG</w:t>
            </w:r>
            <w:r w:rsidRPr="00DE53F3">
              <w:rPr>
                <w:rFonts w:ascii="Times New Roman" w:hAnsi="Times New Roman"/>
                <w:sz w:val="24"/>
                <w:szCs w:val="24"/>
              </w:rPr>
              <w:t xml:space="preserve"> prognožu sagatavošanai</w:t>
            </w:r>
            <w:r w:rsidRPr="00DE53F3" w:rsidR="00C76483">
              <w:rPr>
                <w:rFonts w:ascii="Times New Roman" w:hAnsi="Times New Roman"/>
                <w:sz w:val="24"/>
                <w:szCs w:val="24"/>
              </w:rPr>
              <w:t>,</w:t>
            </w:r>
            <w:r w:rsidRPr="00DE53F3" w:rsidR="00326E76">
              <w:rPr>
                <w:rFonts w:ascii="Times New Roman" w:hAnsi="Times New Roman"/>
                <w:sz w:val="24"/>
                <w:szCs w:val="24"/>
              </w:rPr>
              <w:t xml:space="preserve"> ir nozaru ministriju </w:t>
            </w:r>
            <w:r w:rsidR="005C6466">
              <w:rPr>
                <w:rFonts w:ascii="Times New Roman" w:hAnsi="Times New Roman"/>
                <w:sz w:val="24"/>
                <w:szCs w:val="24"/>
              </w:rPr>
              <w:t>kompetencē</w:t>
            </w:r>
            <w:r w:rsidRPr="00DE53F3" w:rsidR="00F5572C">
              <w:rPr>
                <w:rFonts w:ascii="Times New Roman" w:hAnsi="Times New Roman"/>
                <w:sz w:val="24"/>
                <w:szCs w:val="24"/>
              </w:rPr>
              <w:t>, jo tās ir atbildīgas</w:t>
            </w:r>
            <w:r w:rsidRPr="00DE53F3" w:rsidR="00064636">
              <w:rPr>
                <w:rFonts w:ascii="Times New Roman" w:hAnsi="Times New Roman"/>
                <w:sz w:val="24"/>
                <w:szCs w:val="24"/>
              </w:rPr>
              <w:t xml:space="preserve"> par savas nozares po</w:t>
            </w:r>
            <w:r w:rsidR="00C80C6C">
              <w:rPr>
                <w:rFonts w:ascii="Times New Roman" w:hAnsi="Times New Roman"/>
                <w:sz w:val="24"/>
                <w:szCs w:val="24"/>
              </w:rPr>
              <w:t xml:space="preserve">litikas izstrādi arī ilgtermiņā. </w:t>
            </w:r>
          </w:p>
          <w:p w:rsidR="004900AA" w:rsidRPr="00DF48CD" w:rsidP="009A2AC6" w14:paraId="4090F4C5" w14:textId="429D2569">
            <w:pPr>
              <w:pStyle w:val="NormalWeb"/>
              <w:spacing w:before="60" w:beforeAutospacing="0" w:after="60" w:afterAutospacing="0"/>
              <w:jc w:val="both"/>
            </w:pPr>
            <w:r>
              <w:t xml:space="preserve">SEG </w:t>
            </w:r>
            <w:r w:rsidRPr="00DF48CD">
              <w:t>inventarizācijas uzlabojumi tiek veikti</w:t>
            </w:r>
            <w:r w:rsidR="00010AF1">
              <w:t>,</w:t>
            </w:r>
            <w:r w:rsidRPr="00DF48CD">
              <w:t xml:space="preserve"> </w:t>
            </w:r>
            <w:r w:rsidR="009171CA">
              <w:t>galvenokārt</w:t>
            </w:r>
            <w:r w:rsidRPr="00DF48CD">
              <w:t xml:space="preserve"> pamatavotiem</w:t>
            </w:r>
            <w:r w:rsidRPr="00DF48CD" w:rsidR="006A00B6">
              <w:t>, t.i. galveniem emisiju avotiem</w:t>
            </w:r>
            <w:r w:rsidRPr="00DF48CD">
              <w:t>, tos prior</w:t>
            </w:r>
            <w:r w:rsidR="009171CA">
              <w:t xml:space="preserve">itizējot pēc nozīmīguma pakāpes, </w:t>
            </w:r>
            <w:r w:rsidRPr="009A2AC6" w:rsidR="009171CA">
              <w:t>kā arī balstoties uz starptautisko un vietējo auditoru pārbaudes ziņojumu rekomendācijām</w:t>
            </w:r>
            <w:r w:rsidR="009171CA">
              <w:t>.</w:t>
            </w:r>
            <w:r w:rsidRPr="00DF48CD" w:rsidR="002A013F">
              <w:t xml:space="preserve"> Uzlabojumu</w:t>
            </w:r>
            <w:r w:rsidRPr="00DF48CD">
              <w:t xml:space="preserve"> veikšanai </w:t>
            </w:r>
            <w:r w:rsidRPr="00DF48CD" w:rsidR="002A013F">
              <w:t xml:space="preserve">līdz šim izmantoti gan </w:t>
            </w:r>
            <w:r w:rsidRPr="00DF48CD" w:rsidR="006A00B6">
              <w:t xml:space="preserve">dažādu </w:t>
            </w:r>
            <w:r w:rsidRPr="00DF48CD" w:rsidR="002A013F">
              <w:t xml:space="preserve">projektu </w:t>
            </w:r>
            <w:r w:rsidRPr="00DF48CD" w:rsidR="006A00B6">
              <w:t>(piemēram,</w:t>
            </w:r>
            <w:r w:rsidRPr="00DF48CD" w:rsidR="006A00B6">
              <w:rPr>
                <w:rFonts w:ascii="Verdana" w:hAnsi="Verdana"/>
                <w:b/>
                <w:bCs/>
                <w:color w:val="000000"/>
                <w:shd w:val="clear" w:color="auto" w:fill="FFFFFF"/>
              </w:rPr>
              <w:t xml:space="preserve"> </w:t>
            </w:r>
            <w:r w:rsidRPr="00DF48CD" w:rsidR="006A00B6">
              <w:rPr>
                <w:bCs/>
                <w:color w:val="000000"/>
                <w:shd w:val="clear" w:color="auto" w:fill="FFFFFF"/>
              </w:rPr>
              <w:t>Eiropas Ekonomikas zonas finanšu instruments</w:t>
            </w:r>
            <w:r w:rsidR="00DF48CD">
              <w:rPr>
                <w:bCs/>
                <w:color w:val="000000"/>
                <w:shd w:val="clear" w:color="auto" w:fill="FFFFFF"/>
              </w:rPr>
              <w:t xml:space="preserve"> </w:t>
            </w:r>
            <w:r w:rsidRPr="00DF48CD" w:rsidR="006A00B6">
              <w:rPr>
                <w:bCs/>
                <w:color w:val="000000"/>
                <w:shd w:val="clear" w:color="auto" w:fill="FFFFFF"/>
              </w:rPr>
              <w:t xml:space="preserve">un Norvēģijas finanšu instruments) </w:t>
            </w:r>
            <w:r w:rsidRPr="00DF48CD" w:rsidR="006A00B6">
              <w:t>finansējums, gan Latvijas Republikas valsts budžeta programmas (</w:t>
            </w:r>
            <w:r w:rsidR="00DF48CD">
              <w:t>Klimata pārmaiņu finanšu instruments</w:t>
            </w:r>
            <w:r w:rsidRPr="00DF48CD" w:rsidR="006A00B6">
              <w:t xml:space="preserve">, </w:t>
            </w:r>
            <w:r w:rsidR="008C007B">
              <w:t>Emisijas kvotu izsolīšanas instruments</w:t>
            </w:r>
            <w:r w:rsidRPr="00DF48CD" w:rsidR="006A00B6">
              <w:t xml:space="preserve"> u.c.) finansējums</w:t>
            </w:r>
            <w:r w:rsidRPr="00DF48CD">
              <w:t>.</w:t>
            </w:r>
            <w:r w:rsidRPr="00DF48CD" w:rsidR="00A95239">
              <w:t xml:space="preserve"> </w:t>
            </w:r>
            <w:r w:rsidRPr="00DF48CD" w:rsidR="00C80C6C">
              <w:t>Ja tiks secināts, ka nepieciešami uzlabojumi</w:t>
            </w:r>
            <w:r w:rsidR="0003475E">
              <w:t>,</w:t>
            </w:r>
            <w:r w:rsidRPr="00DF48CD" w:rsidR="00C80C6C">
              <w:t xml:space="preserve"> </w:t>
            </w:r>
            <w:r w:rsidRPr="00DF48CD" w:rsidR="0003475E">
              <w:t>finansējum</w:t>
            </w:r>
            <w:r w:rsidR="0003475E">
              <w:t>a</w:t>
            </w:r>
            <w:r w:rsidRPr="00DF48CD" w:rsidR="0003475E">
              <w:t xml:space="preserve"> </w:t>
            </w:r>
            <w:r w:rsidR="0003475E">
              <w:t>avoti tiks norādīti</w:t>
            </w:r>
            <w:r w:rsidRPr="00DF48CD" w:rsidR="0003475E">
              <w:t xml:space="preserve"> </w:t>
            </w:r>
            <w:r w:rsidRPr="00DF48CD" w:rsidR="00A95239">
              <w:t>ikgadējā</w:t>
            </w:r>
            <w:r w:rsidR="0003475E">
              <w:t>s</w:t>
            </w:r>
            <w:r w:rsidRPr="00DF48CD" w:rsidR="00A95239">
              <w:t xml:space="preserve"> SEG inventarizācij</w:t>
            </w:r>
            <w:r w:rsidR="0003475E">
              <w:t>as laikā</w:t>
            </w:r>
            <w:r w:rsidRPr="00DF48CD" w:rsidR="00C80C6C">
              <w:t>.</w:t>
            </w:r>
          </w:p>
          <w:p w:rsidR="00CB4AAB" w:rsidRPr="00DF48CD" w:rsidP="001833AE" w14:paraId="78FAE7A9" w14:textId="268961AB">
            <w:pPr>
              <w:spacing w:before="60" w:after="60"/>
              <w:rPr>
                <w:rFonts w:ascii="Times New Roman" w:hAnsi="Times New Roman"/>
                <w:sz w:val="24"/>
                <w:szCs w:val="24"/>
              </w:rPr>
            </w:pPr>
            <w:r w:rsidRPr="00DF48CD">
              <w:rPr>
                <w:rFonts w:ascii="Times New Roman" w:hAnsi="Times New Roman"/>
                <w:i/>
                <w:sz w:val="24"/>
                <w:szCs w:val="24"/>
              </w:rPr>
              <w:t>N</w:t>
            </w:r>
            <w:r w:rsidRPr="00DF48CD" w:rsidR="00064636">
              <w:rPr>
                <w:rFonts w:ascii="Times New Roman" w:hAnsi="Times New Roman"/>
                <w:i/>
                <w:sz w:val="24"/>
                <w:szCs w:val="24"/>
              </w:rPr>
              <w:t>oteikumu projekta</w:t>
            </w:r>
            <w:r w:rsidRPr="00DF48CD" w:rsidR="005472D6">
              <w:rPr>
                <w:rFonts w:ascii="Times New Roman" w:hAnsi="Times New Roman"/>
                <w:i/>
                <w:sz w:val="24"/>
                <w:szCs w:val="24"/>
              </w:rPr>
              <w:t xml:space="preserve"> ietekme uz Nacionālā attīstības plāna rādītājiem, mikro vai makro līmenī</w:t>
            </w:r>
            <w:r w:rsidRPr="00DF48CD" w:rsidR="00064636">
              <w:rPr>
                <w:rFonts w:ascii="Times New Roman" w:hAnsi="Times New Roman"/>
                <w:sz w:val="24"/>
                <w:szCs w:val="24"/>
              </w:rPr>
              <w:t>:</w:t>
            </w:r>
          </w:p>
          <w:p w:rsidR="00F07CD0" w:rsidRPr="00DE53F3" w:rsidP="001833AE" w14:paraId="61BD1D23" w14:textId="61AF82AD">
            <w:pPr>
              <w:spacing w:before="60" w:after="60"/>
              <w:rPr>
                <w:rFonts w:ascii="Times New Roman" w:hAnsi="Times New Roman"/>
                <w:sz w:val="24"/>
                <w:szCs w:val="24"/>
              </w:rPr>
            </w:pPr>
            <w:r w:rsidRPr="00DF48CD">
              <w:rPr>
                <w:rFonts w:ascii="Times New Roman" w:hAnsi="Times New Roman"/>
                <w:sz w:val="24"/>
                <w:szCs w:val="24"/>
              </w:rPr>
              <w:t xml:space="preserve">Tas </w:t>
            </w:r>
            <w:r w:rsidRPr="00DF48CD" w:rsidR="005472D6">
              <w:rPr>
                <w:rFonts w:ascii="Times New Roman" w:hAnsi="Times New Roman"/>
                <w:sz w:val="24"/>
                <w:szCs w:val="24"/>
              </w:rPr>
              <w:t>nodrošinās Latvijas Nacionālā</w:t>
            </w:r>
            <w:r w:rsidRPr="00DE53F3" w:rsidR="005472D6">
              <w:rPr>
                <w:rFonts w:ascii="Times New Roman" w:hAnsi="Times New Roman"/>
                <w:sz w:val="24"/>
                <w:szCs w:val="24"/>
              </w:rPr>
              <w:t xml:space="preserve"> attīstības plāna 2014.</w:t>
            </w:r>
            <w:r w:rsidRPr="00DE53F3" w:rsidR="00C76483">
              <w:rPr>
                <w:rFonts w:ascii="Times New Roman" w:hAnsi="Times New Roman"/>
                <w:sz w:val="24"/>
                <w:szCs w:val="24"/>
              </w:rPr>
              <w:t xml:space="preserve"> – </w:t>
            </w:r>
            <w:r w:rsidRPr="00DE53F3" w:rsidR="005472D6">
              <w:rPr>
                <w:rFonts w:ascii="Times New Roman" w:hAnsi="Times New Roman"/>
                <w:sz w:val="24"/>
                <w:szCs w:val="24"/>
              </w:rPr>
              <w:t>2020.</w:t>
            </w:r>
            <w:r w:rsidRPr="00DE53F3" w:rsidR="00C76483">
              <w:rPr>
                <w:rFonts w:ascii="Times New Roman" w:hAnsi="Times New Roman"/>
                <w:sz w:val="24"/>
                <w:szCs w:val="24"/>
              </w:rPr>
              <w:t> </w:t>
            </w:r>
            <w:r w:rsidRPr="00DE53F3" w:rsidR="005472D6">
              <w:rPr>
                <w:rFonts w:ascii="Times New Roman" w:hAnsi="Times New Roman"/>
                <w:sz w:val="24"/>
                <w:szCs w:val="24"/>
              </w:rPr>
              <w:t>ga</w:t>
            </w:r>
            <w:r w:rsidR="003E20D5">
              <w:rPr>
                <w:rFonts w:ascii="Times New Roman" w:hAnsi="Times New Roman"/>
                <w:sz w:val="24"/>
                <w:szCs w:val="24"/>
              </w:rPr>
              <w:t>dam mērķa [120] un [199] izpildes monitoringu</w:t>
            </w:r>
            <w:r w:rsidRPr="00DE53F3" w:rsidR="0073448B">
              <w:rPr>
                <w:rFonts w:ascii="Times New Roman" w:hAnsi="Times New Roman"/>
                <w:sz w:val="24"/>
                <w:szCs w:val="24"/>
              </w:rPr>
              <w:t>:</w:t>
            </w:r>
          </w:p>
          <w:p w:rsidR="0073448B" w:rsidRPr="00DE53F3" w:rsidP="009A2AC6" w14:paraId="216E3C23" w14:textId="77777777">
            <w:pPr>
              <w:autoSpaceDE w:val="0"/>
              <w:autoSpaceDN w:val="0"/>
              <w:adjustRightInd w:val="0"/>
              <w:spacing w:before="60" w:after="60"/>
              <w:jc w:val="left"/>
              <w:rPr>
                <w:rFonts w:ascii="Times New Roman" w:hAnsi="Times New Roman"/>
                <w:sz w:val="24"/>
                <w:szCs w:val="24"/>
                <w:lang w:eastAsia="lv-LV"/>
              </w:rPr>
            </w:pPr>
            <w:r w:rsidRPr="00DE53F3">
              <w:rPr>
                <w:rFonts w:ascii="Times New Roman" w:hAnsi="Times New Roman"/>
                <w:b/>
                <w:bCs/>
                <w:sz w:val="24"/>
                <w:szCs w:val="24"/>
                <w:lang w:eastAsia="lv-LV"/>
              </w:rPr>
              <w:t xml:space="preserve">[120] Mērķis 4 </w:t>
            </w:r>
          </w:p>
          <w:p w:rsidR="0073448B" w:rsidRPr="00DE53F3" w:rsidP="001833AE" w14:paraId="79054629" w14:textId="77777777">
            <w:pPr>
              <w:spacing w:before="60" w:after="60"/>
              <w:rPr>
                <w:rFonts w:ascii="Times New Roman" w:hAnsi="Times New Roman"/>
                <w:sz w:val="24"/>
                <w:szCs w:val="24"/>
                <w:lang w:eastAsia="lv-LV"/>
              </w:rPr>
            </w:pPr>
            <w:r w:rsidRPr="00DE53F3">
              <w:rPr>
                <w:rFonts w:ascii="Times New Roman" w:hAnsi="Times New Roman"/>
                <w:sz w:val="24"/>
                <w:szCs w:val="24"/>
                <w:lang w:eastAsia="lv-LV"/>
              </w:rPr>
              <w:t>Nepārsniegt ilgtermiņa attīstību nodrošinošu vidē nonākošā piesārņojuma un siltumnīcefekta gāzu apjomus (samazinot enerģētikas, rūpniecības, transporta, lauksaimniecības, zivsaimniecības un mājsaimniecību radītās piesārņojošo vielu emisijas un radīto atkritumu daudzumu).</w:t>
            </w:r>
          </w:p>
          <w:p w:rsidR="0073448B" w:rsidRPr="00DE53F3" w:rsidP="009A2AC6" w14:paraId="045C60B9" w14:textId="77777777">
            <w:pPr>
              <w:pStyle w:val="Default"/>
              <w:spacing w:before="60" w:after="60"/>
              <w:jc w:val="both"/>
              <w:rPr>
                <w:rFonts w:ascii="Times New Roman" w:hAnsi="Times New Roman" w:cs="Times New Roman"/>
                <w:color w:val="auto"/>
              </w:rPr>
            </w:pPr>
            <w:r w:rsidRPr="00DE53F3">
              <w:rPr>
                <w:rFonts w:ascii="Times New Roman" w:hAnsi="Times New Roman" w:cs="Times New Roman"/>
                <w:b/>
                <w:color w:val="auto"/>
              </w:rPr>
              <w:t>[199]</w:t>
            </w:r>
            <w:r w:rsidRPr="00DE53F3">
              <w:rPr>
                <w:rFonts w:ascii="Times New Roman" w:hAnsi="Times New Roman" w:cs="Times New Roman"/>
                <w:color w:val="auto"/>
              </w:rPr>
              <w:t xml:space="preserve"> Tautsaimniecības siltumnīcefekta gāzu emisiju intensitāte (t CO</w:t>
            </w:r>
            <w:r w:rsidRPr="00DE53F3">
              <w:rPr>
                <w:rFonts w:ascii="Times New Roman" w:hAnsi="Times New Roman" w:cs="Times New Roman"/>
                <w:color w:val="auto"/>
                <w:vertAlign w:val="subscript"/>
              </w:rPr>
              <w:t>2</w:t>
            </w:r>
            <w:r w:rsidRPr="00DE53F3">
              <w:rPr>
                <w:rFonts w:ascii="Times New Roman" w:hAnsi="Times New Roman" w:cs="Times New Roman"/>
                <w:color w:val="auto"/>
              </w:rPr>
              <w:t xml:space="preserve"> ekvivalenta/ uz 1000 LVL no IKP) </w:t>
            </w:r>
          </w:p>
          <w:tbl>
            <w:tblPr>
              <w:tblStyle w:val="TableGrid"/>
              <w:tblW w:w="0" w:type="auto"/>
              <w:tblLook w:val="04A0"/>
            </w:tblPr>
            <w:tblGrid>
              <w:gridCol w:w="1362"/>
              <w:gridCol w:w="1362"/>
              <w:gridCol w:w="1362"/>
              <w:gridCol w:w="1363"/>
              <w:gridCol w:w="1363"/>
            </w:tblGrid>
            <w:tr w14:paraId="012553AD" w14:textId="77777777" w:rsidTr="0073448B">
              <w:tblPrEx>
                <w:tblW w:w="0" w:type="auto"/>
                <w:tblLook w:val="04A0"/>
              </w:tblPrEx>
              <w:tc>
                <w:tcPr>
                  <w:tcW w:w="1362" w:type="dxa"/>
                </w:tcPr>
                <w:p w:rsidR="0073448B" w:rsidRPr="00DE53F3" w:rsidP="001833AE" w14:paraId="352B72F7" w14:textId="77777777">
                  <w:pPr>
                    <w:spacing w:before="60" w:after="60"/>
                    <w:jc w:val="center"/>
                    <w:rPr>
                      <w:sz w:val="24"/>
                      <w:szCs w:val="24"/>
                      <w:lang w:eastAsia="lv-LV"/>
                    </w:rPr>
                  </w:pPr>
                  <w:r w:rsidRPr="00DE53F3">
                    <w:rPr>
                      <w:sz w:val="24"/>
                      <w:szCs w:val="24"/>
                      <w:lang w:eastAsia="lv-LV"/>
                    </w:rPr>
                    <w:t>Bāzes vērtība</w:t>
                  </w:r>
                </w:p>
                <w:p w:rsidR="0073448B" w:rsidRPr="00DE53F3" w:rsidP="009A2AC6" w14:paraId="315F4BE1" w14:textId="5EE646AB">
                  <w:pPr>
                    <w:pStyle w:val="Default"/>
                    <w:spacing w:before="60" w:after="60"/>
                    <w:jc w:val="center"/>
                    <w:rPr>
                      <w:rFonts w:ascii="Times New Roman" w:hAnsi="Times New Roman" w:cs="Times New Roman"/>
                      <w:color w:val="auto"/>
                    </w:rPr>
                  </w:pPr>
                  <w:r w:rsidRPr="00DE53F3">
                    <w:rPr>
                      <w:rFonts w:ascii="Times New Roman" w:hAnsi="Times New Roman"/>
                      <w:color w:val="auto"/>
                    </w:rPr>
                    <w:t>(gads)</w:t>
                  </w:r>
                </w:p>
              </w:tc>
              <w:tc>
                <w:tcPr>
                  <w:tcW w:w="1362" w:type="dxa"/>
                </w:tcPr>
                <w:p w:rsidR="0073448B" w:rsidRPr="00DE53F3" w:rsidP="001833AE" w14:paraId="7EBB11A4" w14:textId="77777777">
                  <w:pPr>
                    <w:spacing w:before="60" w:after="60"/>
                    <w:jc w:val="center"/>
                    <w:rPr>
                      <w:sz w:val="24"/>
                      <w:szCs w:val="24"/>
                      <w:lang w:eastAsia="lv-LV"/>
                    </w:rPr>
                  </w:pPr>
                  <w:r w:rsidRPr="00DE53F3">
                    <w:rPr>
                      <w:sz w:val="24"/>
                      <w:szCs w:val="24"/>
                      <w:lang w:eastAsia="lv-LV"/>
                    </w:rPr>
                    <w:t>2014</w:t>
                  </w:r>
                </w:p>
                <w:p w:rsidR="0073448B" w:rsidRPr="00DE53F3" w:rsidP="009A2AC6" w14:paraId="2FEEBD8C" w14:textId="77777777">
                  <w:pPr>
                    <w:pStyle w:val="Default"/>
                    <w:spacing w:before="60" w:after="60"/>
                    <w:jc w:val="center"/>
                    <w:rPr>
                      <w:rFonts w:ascii="Times New Roman" w:hAnsi="Times New Roman" w:cs="Times New Roman"/>
                      <w:color w:val="auto"/>
                    </w:rPr>
                  </w:pPr>
                </w:p>
              </w:tc>
              <w:tc>
                <w:tcPr>
                  <w:tcW w:w="1362" w:type="dxa"/>
                </w:tcPr>
                <w:p w:rsidR="0073448B" w:rsidRPr="00DE53F3" w:rsidP="001833AE" w14:paraId="18E48805" w14:textId="77777777">
                  <w:pPr>
                    <w:spacing w:before="60" w:after="60"/>
                    <w:jc w:val="center"/>
                    <w:rPr>
                      <w:sz w:val="24"/>
                      <w:szCs w:val="24"/>
                      <w:lang w:eastAsia="lv-LV"/>
                    </w:rPr>
                  </w:pPr>
                  <w:r w:rsidRPr="00DE53F3">
                    <w:rPr>
                      <w:sz w:val="24"/>
                      <w:szCs w:val="24"/>
                      <w:lang w:eastAsia="lv-LV"/>
                    </w:rPr>
                    <w:t>2017</w:t>
                  </w:r>
                </w:p>
                <w:p w:rsidR="0073448B" w:rsidRPr="00DE53F3" w:rsidP="009A2AC6" w14:paraId="74EA7049" w14:textId="77777777">
                  <w:pPr>
                    <w:pStyle w:val="Default"/>
                    <w:spacing w:before="60" w:after="60"/>
                    <w:jc w:val="center"/>
                    <w:rPr>
                      <w:rFonts w:ascii="Times New Roman" w:hAnsi="Times New Roman" w:cs="Times New Roman"/>
                      <w:color w:val="auto"/>
                    </w:rPr>
                  </w:pPr>
                </w:p>
              </w:tc>
              <w:tc>
                <w:tcPr>
                  <w:tcW w:w="1363" w:type="dxa"/>
                </w:tcPr>
                <w:p w:rsidR="0073448B" w:rsidRPr="00DE53F3" w:rsidP="001833AE" w14:paraId="391F1473" w14:textId="77777777">
                  <w:pPr>
                    <w:spacing w:before="60" w:after="60"/>
                    <w:jc w:val="center"/>
                    <w:rPr>
                      <w:sz w:val="24"/>
                      <w:szCs w:val="24"/>
                      <w:lang w:eastAsia="lv-LV"/>
                    </w:rPr>
                  </w:pPr>
                  <w:r w:rsidRPr="00DE53F3">
                    <w:rPr>
                      <w:sz w:val="24"/>
                      <w:szCs w:val="24"/>
                      <w:lang w:eastAsia="lv-LV"/>
                    </w:rPr>
                    <w:t>2020</w:t>
                  </w:r>
                </w:p>
                <w:p w:rsidR="0073448B" w:rsidRPr="00DE53F3" w:rsidP="009A2AC6" w14:paraId="60E284D9" w14:textId="77777777">
                  <w:pPr>
                    <w:pStyle w:val="Default"/>
                    <w:spacing w:before="60" w:after="60"/>
                    <w:jc w:val="center"/>
                    <w:rPr>
                      <w:rFonts w:ascii="Times New Roman" w:hAnsi="Times New Roman" w:cs="Times New Roman"/>
                      <w:color w:val="auto"/>
                    </w:rPr>
                  </w:pPr>
                </w:p>
              </w:tc>
              <w:tc>
                <w:tcPr>
                  <w:tcW w:w="1363" w:type="dxa"/>
                </w:tcPr>
                <w:p w:rsidR="0073448B" w:rsidRPr="00DE53F3" w:rsidP="009A2AC6" w14:paraId="6D0F5B10" w14:textId="3F533E93">
                  <w:pPr>
                    <w:pStyle w:val="Default"/>
                    <w:spacing w:before="60" w:after="60"/>
                    <w:jc w:val="center"/>
                    <w:rPr>
                      <w:rFonts w:ascii="Times New Roman" w:hAnsi="Times New Roman" w:cs="Times New Roman"/>
                      <w:color w:val="auto"/>
                    </w:rPr>
                  </w:pPr>
                  <w:r w:rsidRPr="00DE53F3">
                    <w:rPr>
                      <w:rFonts w:ascii="Times New Roman" w:hAnsi="Times New Roman"/>
                      <w:color w:val="auto"/>
                    </w:rPr>
                    <w:t>2030</w:t>
                  </w:r>
                </w:p>
              </w:tc>
            </w:tr>
            <w:tr w14:paraId="0A9DDDE9" w14:textId="77777777" w:rsidTr="0073448B">
              <w:tblPrEx>
                <w:tblW w:w="0" w:type="auto"/>
                <w:tblLook w:val="04A0"/>
              </w:tblPrEx>
              <w:tc>
                <w:tcPr>
                  <w:tcW w:w="1362" w:type="dxa"/>
                </w:tcPr>
                <w:p w:rsidR="0073448B" w:rsidRPr="00DE53F3" w:rsidP="001833AE" w14:paraId="7833E52E" w14:textId="77777777">
                  <w:pPr>
                    <w:spacing w:before="60" w:after="60"/>
                    <w:jc w:val="center"/>
                    <w:rPr>
                      <w:sz w:val="24"/>
                      <w:szCs w:val="24"/>
                      <w:lang w:eastAsia="lv-LV"/>
                    </w:rPr>
                  </w:pPr>
                  <w:r w:rsidRPr="00DE53F3">
                    <w:rPr>
                      <w:sz w:val="24"/>
                      <w:szCs w:val="24"/>
                      <w:lang w:eastAsia="lv-LV"/>
                    </w:rPr>
                    <w:t>1,69</w:t>
                  </w:r>
                </w:p>
                <w:p w:rsidR="0073448B" w:rsidRPr="00DE53F3" w:rsidP="009A2AC6" w14:paraId="1007C5D4" w14:textId="77777777">
                  <w:pPr>
                    <w:pStyle w:val="Default"/>
                    <w:spacing w:before="60" w:after="60"/>
                    <w:jc w:val="center"/>
                    <w:rPr>
                      <w:rFonts w:ascii="Times New Roman" w:hAnsi="Times New Roman" w:cs="Times New Roman"/>
                      <w:color w:val="auto"/>
                    </w:rPr>
                  </w:pPr>
                </w:p>
              </w:tc>
              <w:tc>
                <w:tcPr>
                  <w:tcW w:w="1362" w:type="dxa"/>
                </w:tcPr>
                <w:p w:rsidR="0073448B" w:rsidRPr="00DE53F3" w:rsidP="001833AE" w14:paraId="3DEC664A" w14:textId="77777777">
                  <w:pPr>
                    <w:spacing w:before="60" w:after="60"/>
                    <w:jc w:val="center"/>
                    <w:rPr>
                      <w:sz w:val="24"/>
                      <w:szCs w:val="24"/>
                      <w:lang w:eastAsia="lv-LV"/>
                    </w:rPr>
                  </w:pPr>
                  <w:r w:rsidRPr="00DE53F3">
                    <w:rPr>
                      <w:sz w:val="24"/>
                      <w:szCs w:val="24"/>
                      <w:lang w:eastAsia="lv-LV"/>
                    </w:rPr>
                    <w:t>1,48</w:t>
                  </w:r>
                </w:p>
                <w:p w:rsidR="0073448B" w:rsidRPr="00DE53F3" w:rsidP="009A2AC6" w14:paraId="153D0F6A" w14:textId="77777777">
                  <w:pPr>
                    <w:pStyle w:val="Default"/>
                    <w:spacing w:before="60" w:after="60"/>
                    <w:jc w:val="center"/>
                    <w:rPr>
                      <w:rFonts w:ascii="Times New Roman" w:hAnsi="Times New Roman" w:cs="Times New Roman"/>
                      <w:color w:val="auto"/>
                    </w:rPr>
                  </w:pPr>
                </w:p>
              </w:tc>
              <w:tc>
                <w:tcPr>
                  <w:tcW w:w="1362" w:type="dxa"/>
                </w:tcPr>
                <w:p w:rsidR="0073448B" w:rsidRPr="00DE53F3" w:rsidP="001833AE" w14:paraId="1547CD0D" w14:textId="77777777">
                  <w:pPr>
                    <w:spacing w:before="60" w:after="60"/>
                    <w:jc w:val="center"/>
                    <w:rPr>
                      <w:sz w:val="24"/>
                      <w:szCs w:val="24"/>
                      <w:lang w:eastAsia="lv-LV"/>
                    </w:rPr>
                  </w:pPr>
                  <w:r w:rsidRPr="00DE53F3">
                    <w:rPr>
                      <w:sz w:val="24"/>
                      <w:szCs w:val="24"/>
                      <w:lang w:eastAsia="lv-LV"/>
                    </w:rPr>
                    <w:t>1,30</w:t>
                  </w:r>
                </w:p>
                <w:p w:rsidR="0073448B" w:rsidRPr="00DE53F3" w:rsidP="009A2AC6" w14:paraId="628519BA" w14:textId="77777777">
                  <w:pPr>
                    <w:pStyle w:val="Default"/>
                    <w:spacing w:before="60" w:after="60"/>
                    <w:jc w:val="center"/>
                    <w:rPr>
                      <w:rFonts w:ascii="Times New Roman" w:hAnsi="Times New Roman" w:cs="Times New Roman"/>
                      <w:color w:val="auto"/>
                    </w:rPr>
                  </w:pPr>
                </w:p>
              </w:tc>
              <w:tc>
                <w:tcPr>
                  <w:tcW w:w="1363" w:type="dxa"/>
                </w:tcPr>
                <w:p w:rsidR="0073448B" w:rsidRPr="00DE53F3" w:rsidP="001833AE" w14:paraId="0D436A34" w14:textId="77777777">
                  <w:pPr>
                    <w:spacing w:before="60" w:after="60"/>
                    <w:jc w:val="center"/>
                    <w:rPr>
                      <w:sz w:val="24"/>
                      <w:szCs w:val="24"/>
                      <w:lang w:eastAsia="lv-LV"/>
                    </w:rPr>
                  </w:pPr>
                  <w:r w:rsidRPr="00DE53F3">
                    <w:rPr>
                      <w:sz w:val="24"/>
                      <w:szCs w:val="24"/>
                      <w:lang w:eastAsia="lv-LV"/>
                    </w:rPr>
                    <w:t>1,13</w:t>
                  </w:r>
                </w:p>
                <w:p w:rsidR="0073448B" w:rsidRPr="00DE53F3" w:rsidP="009A2AC6" w14:paraId="2738F051" w14:textId="77777777">
                  <w:pPr>
                    <w:pStyle w:val="Default"/>
                    <w:spacing w:before="60" w:after="60"/>
                    <w:jc w:val="center"/>
                    <w:rPr>
                      <w:rFonts w:ascii="Times New Roman" w:hAnsi="Times New Roman" w:cs="Times New Roman"/>
                      <w:color w:val="auto"/>
                    </w:rPr>
                  </w:pPr>
                </w:p>
              </w:tc>
              <w:tc>
                <w:tcPr>
                  <w:tcW w:w="1363" w:type="dxa"/>
                </w:tcPr>
                <w:p w:rsidR="0073448B" w:rsidRPr="00DE53F3" w:rsidP="009A2AC6" w14:paraId="4E681942" w14:textId="30E7CBF0">
                  <w:pPr>
                    <w:pStyle w:val="Default"/>
                    <w:spacing w:before="60" w:after="60"/>
                    <w:jc w:val="center"/>
                    <w:rPr>
                      <w:rFonts w:ascii="Times New Roman" w:hAnsi="Times New Roman" w:cs="Times New Roman"/>
                      <w:color w:val="auto"/>
                    </w:rPr>
                  </w:pPr>
                  <w:r w:rsidRPr="00DE53F3">
                    <w:rPr>
                      <w:rFonts w:ascii="Times New Roman" w:hAnsi="Times New Roman"/>
                      <w:color w:val="auto"/>
                    </w:rPr>
                    <w:t>1,07</w:t>
                  </w:r>
                </w:p>
              </w:tc>
            </w:tr>
          </w:tbl>
          <w:p w:rsidR="0073448B" w:rsidRPr="00DE53F3" w:rsidP="001833AE" w14:paraId="4C962D5D" w14:textId="2A5C45A0">
            <w:pPr>
              <w:spacing w:before="60" w:after="60"/>
              <w:rPr>
                <w:rFonts w:ascii="Times New Roman" w:hAnsi="Times New Roman"/>
                <w:sz w:val="24"/>
                <w:szCs w:val="24"/>
                <w:lang w:eastAsia="lv-LV"/>
              </w:rPr>
            </w:pPr>
          </w:p>
        </w:tc>
      </w:tr>
      <w:tr w14:paraId="7A2B169D" w14:textId="77777777" w:rsidTr="00DC5242">
        <w:tblPrEx>
          <w:tblW w:w="9072" w:type="dxa"/>
          <w:jc w:val="center"/>
          <w:tblCellMar>
            <w:left w:w="57" w:type="dxa"/>
            <w:right w:w="57" w:type="dxa"/>
          </w:tblCellMar>
          <w:tblLook w:val="00A0"/>
        </w:tblPrEx>
        <w:trPr>
          <w:trHeight w:val="510"/>
          <w:jc w:val="center"/>
        </w:trPr>
        <w:tc>
          <w:tcPr>
            <w:tcW w:w="250" w:type="pct"/>
          </w:tcPr>
          <w:p w:rsidR="00CB4AAB" w:rsidRPr="00D3416D" w:rsidP="00B63F0E" w14:paraId="01E96506" w14:textId="5A619891">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 xml:space="preserve">3. </w:t>
            </w:r>
          </w:p>
        </w:tc>
        <w:tc>
          <w:tcPr>
            <w:tcW w:w="927" w:type="pct"/>
          </w:tcPr>
          <w:p w:rsidR="00CB4AAB" w:rsidRPr="00D3416D" w:rsidP="00B63F0E" w14:paraId="71D557D7" w14:textId="77777777">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Administratīvo izmaksu monetārs novērtējums</w:t>
            </w:r>
          </w:p>
        </w:tc>
        <w:tc>
          <w:tcPr>
            <w:tcW w:w="3823" w:type="pct"/>
          </w:tcPr>
          <w:p w:rsidR="0074243C" w:rsidRPr="00D3416D" w:rsidP="00DC1194" w14:paraId="2097C9F2" w14:textId="556648BF">
            <w:pPr>
              <w:spacing w:before="60" w:after="60"/>
              <w:rPr>
                <w:rFonts w:ascii="Times New Roman" w:hAnsi="Times New Roman"/>
                <w:sz w:val="24"/>
                <w:szCs w:val="24"/>
              </w:rPr>
            </w:pPr>
            <w:r w:rsidRPr="00133D2A">
              <w:rPr>
                <w:rFonts w:ascii="Times New Roman" w:hAnsi="Times New Roman"/>
                <w:sz w:val="24"/>
                <w:szCs w:val="24"/>
              </w:rPr>
              <w:t>Šobrīd netiek paredzēt</w:t>
            </w:r>
            <w:r w:rsidRPr="00133D2A" w:rsidR="00133D2A">
              <w:rPr>
                <w:rFonts w:ascii="Times New Roman" w:hAnsi="Times New Roman"/>
                <w:sz w:val="24"/>
                <w:szCs w:val="24"/>
              </w:rPr>
              <w:t>a</w:t>
            </w:r>
            <w:r w:rsidRPr="00133D2A" w:rsidR="001B06D8">
              <w:rPr>
                <w:rFonts w:ascii="Times New Roman" w:hAnsi="Times New Roman"/>
                <w:sz w:val="24"/>
                <w:szCs w:val="24"/>
              </w:rPr>
              <w:t xml:space="preserve"> </w:t>
            </w:r>
            <w:r w:rsidRPr="00133D2A" w:rsidR="00064636">
              <w:rPr>
                <w:rFonts w:ascii="Times New Roman" w:hAnsi="Times New Roman"/>
                <w:sz w:val="24"/>
                <w:szCs w:val="24"/>
              </w:rPr>
              <w:t>noteikumu projektā</w:t>
            </w:r>
            <w:r w:rsidRPr="00133D2A">
              <w:rPr>
                <w:rFonts w:ascii="Times New Roman" w:hAnsi="Times New Roman"/>
                <w:sz w:val="24"/>
                <w:szCs w:val="24"/>
              </w:rPr>
              <w:t xml:space="preserve"> iekļauto nosacījumu ietekme uz administratīvaj</w:t>
            </w:r>
            <w:r w:rsidRPr="00133D2A" w:rsidR="00411594">
              <w:rPr>
                <w:rFonts w:ascii="Times New Roman" w:hAnsi="Times New Roman"/>
                <w:sz w:val="24"/>
                <w:szCs w:val="24"/>
              </w:rPr>
              <w:t>ām</w:t>
            </w:r>
            <w:r w:rsidRPr="00D3416D" w:rsidR="00411594">
              <w:rPr>
                <w:rFonts w:ascii="Times New Roman" w:hAnsi="Times New Roman"/>
                <w:sz w:val="24"/>
                <w:szCs w:val="24"/>
              </w:rPr>
              <w:t xml:space="preserve"> izmaksām (naudas izteiksmē).</w:t>
            </w:r>
          </w:p>
        </w:tc>
      </w:tr>
      <w:tr w14:paraId="575F0B7C" w14:textId="77777777" w:rsidTr="00DC5242">
        <w:tblPrEx>
          <w:tblW w:w="9072" w:type="dxa"/>
          <w:jc w:val="center"/>
          <w:tblCellMar>
            <w:left w:w="57" w:type="dxa"/>
            <w:right w:w="57" w:type="dxa"/>
          </w:tblCellMar>
          <w:tblLook w:val="00A0"/>
        </w:tblPrEx>
        <w:trPr>
          <w:trHeight w:val="345"/>
          <w:jc w:val="center"/>
        </w:trPr>
        <w:tc>
          <w:tcPr>
            <w:tcW w:w="250" w:type="pct"/>
          </w:tcPr>
          <w:p w:rsidR="00CB4AAB" w:rsidRPr="00D3416D" w:rsidP="00B63F0E" w14:paraId="620F6CBC" w14:textId="77777777">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4.</w:t>
            </w:r>
          </w:p>
        </w:tc>
        <w:tc>
          <w:tcPr>
            <w:tcW w:w="927" w:type="pct"/>
          </w:tcPr>
          <w:p w:rsidR="00CB4AAB" w:rsidRPr="00D3416D" w:rsidP="00B63F0E" w14:paraId="04CB5120" w14:textId="77777777">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Cita informācija</w:t>
            </w:r>
          </w:p>
        </w:tc>
        <w:tc>
          <w:tcPr>
            <w:tcW w:w="3823" w:type="pct"/>
          </w:tcPr>
          <w:p w:rsidR="00CB4AAB" w:rsidRPr="00D3416D" w:rsidP="00DC1194" w14:paraId="06F3F086" w14:textId="6FA11D90">
            <w:pPr>
              <w:pStyle w:val="BodyTextIndent2"/>
              <w:spacing w:before="60" w:after="60" w:line="240" w:lineRule="auto"/>
              <w:ind w:left="0"/>
              <w:jc w:val="both"/>
            </w:pPr>
            <w:r w:rsidRPr="00D3416D">
              <w:t>Nav</w:t>
            </w:r>
            <w:r w:rsidRPr="00D3416D" w:rsidR="00C76483">
              <w:t>.</w:t>
            </w:r>
          </w:p>
        </w:tc>
      </w:tr>
    </w:tbl>
    <w:p w:rsidR="004F4CB2" w:rsidP="004F4CB2" w14:paraId="744886D6" w14:textId="77777777">
      <w:pPr>
        <w:spacing w:after="0"/>
        <w:rPr>
          <w:rFonts w:ascii="Times New Roman" w:hAnsi="Times New Roman"/>
          <w:b/>
          <w:sz w:val="24"/>
          <w:szCs w:val="24"/>
        </w:rPr>
      </w:pPr>
    </w:p>
    <w:tbl>
      <w:tblPr>
        <w:tblW w:w="9152"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049"/>
        <w:gridCol w:w="1139"/>
        <w:gridCol w:w="1501"/>
        <w:gridCol w:w="1125"/>
        <w:gridCol w:w="1139"/>
        <w:gridCol w:w="1199"/>
      </w:tblGrid>
      <w:tr w14:paraId="58DBCADF" w14:textId="77777777" w:rsidTr="00972761">
        <w:tblPrEx>
          <w:tblW w:w="9152"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60"/>
          <w:jc w:val="center"/>
        </w:trPr>
        <w:tc>
          <w:tcPr>
            <w:tcW w:w="9152" w:type="dxa"/>
            <w:gridSpan w:val="6"/>
            <w:tcBorders>
              <w:top w:val="outset" w:sz="6" w:space="0" w:color="414142"/>
              <w:left w:val="outset" w:sz="6" w:space="0" w:color="414142"/>
              <w:bottom w:val="outset" w:sz="6" w:space="0" w:color="414142"/>
              <w:right w:val="outset" w:sz="6" w:space="0" w:color="414142"/>
            </w:tcBorders>
            <w:vAlign w:val="center"/>
            <w:hideMark/>
          </w:tcPr>
          <w:p w:rsidR="004033F5" w:rsidP="0003475E" w14:paraId="3CCB2874" w14:textId="77777777">
            <w:pPr>
              <w:spacing w:after="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 Tiesību akta projekta ietekme uz valsts budžetu un pašvaldību budžetiem</w:t>
            </w:r>
          </w:p>
        </w:tc>
      </w:tr>
      <w:tr w14:paraId="7E46C890" w14:textId="77777777" w:rsidTr="00972761">
        <w:tblPrEx>
          <w:tblW w:w="9152" w:type="dxa"/>
          <w:jc w:val="center"/>
          <w:tblCellMar>
            <w:top w:w="30" w:type="dxa"/>
            <w:left w:w="30" w:type="dxa"/>
            <w:bottom w:w="30" w:type="dxa"/>
            <w:right w:w="30" w:type="dxa"/>
          </w:tblCellMar>
          <w:tblLook w:val="04A0"/>
        </w:tblPrEx>
        <w:trPr>
          <w:jc w:val="center"/>
        </w:trPr>
        <w:tc>
          <w:tcPr>
            <w:tcW w:w="3049" w:type="dxa"/>
            <w:vMerge w:val="restart"/>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0302B9F6" w14:textId="77777777">
            <w:pPr>
              <w:spacing w:after="0"/>
              <w:jc w:val="center"/>
              <w:rPr>
                <w:rFonts w:ascii="Times New Roman" w:eastAsia="Times New Roman" w:hAnsi="Times New Roman"/>
                <w:b/>
                <w:bCs/>
                <w:sz w:val="20"/>
                <w:szCs w:val="20"/>
                <w:lang w:eastAsia="lv-LV"/>
              </w:rPr>
            </w:pPr>
            <w:r w:rsidRPr="00134806">
              <w:rPr>
                <w:rFonts w:ascii="Times New Roman" w:eastAsia="Times New Roman" w:hAnsi="Times New Roman"/>
                <w:b/>
                <w:bCs/>
                <w:sz w:val="20"/>
                <w:szCs w:val="20"/>
                <w:lang w:eastAsia="lv-LV"/>
              </w:rPr>
              <w:t>Rādītāji</w:t>
            </w:r>
          </w:p>
        </w:tc>
        <w:tc>
          <w:tcPr>
            <w:tcW w:w="264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1AA4C9E4"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sz w:val="20"/>
                <w:szCs w:val="20"/>
              </w:rPr>
              <w:t>2017.</w:t>
            </w:r>
            <w:r>
              <w:rPr>
                <w:rFonts w:ascii="Times New Roman" w:hAnsi="Times New Roman"/>
                <w:b/>
                <w:sz w:val="20"/>
                <w:szCs w:val="20"/>
              </w:rPr>
              <w:t> </w:t>
            </w:r>
            <w:r w:rsidRPr="00134806">
              <w:rPr>
                <w:rFonts w:ascii="Times New Roman" w:hAnsi="Times New Roman"/>
                <w:b/>
                <w:sz w:val="20"/>
                <w:szCs w:val="20"/>
              </w:rPr>
              <w:t>gads</w:t>
            </w:r>
          </w:p>
        </w:tc>
        <w:tc>
          <w:tcPr>
            <w:tcW w:w="3463" w:type="dxa"/>
            <w:gridSpan w:val="3"/>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3EE1FA29" w14:textId="77777777">
            <w:pPr>
              <w:spacing w:after="0"/>
              <w:jc w:val="center"/>
              <w:rPr>
                <w:rFonts w:ascii="Times New Roman" w:eastAsia="Times New Roman" w:hAnsi="Times New Roman"/>
                <w:sz w:val="20"/>
                <w:szCs w:val="20"/>
                <w:lang w:eastAsia="lv-LV"/>
              </w:rPr>
            </w:pPr>
            <w:r w:rsidRPr="00134806">
              <w:rPr>
                <w:rFonts w:ascii="Times New Roman" w:hAnsi="Times New Roman"/>
                <w:sz w:val="20"/>
                <w:szCs w:val="20"/>
              </w:rPr>
              <w:t>Turpmākie trīs gadi (</w:t>
            </w:r>
            <w:r w:rsidRPr="00134806">
              <w:rPr>
                <w:rFonts w:ascii="Times New Roman" w:hAnsi="Times New Roman"/>
                <w:i/>
                <w:sz w:val="20"/>
                <w:szCs w:val="20"/>
              </w:rPr>
              <w:t>euro</w:t>
            </w:r>
            <w:r w:rsidRPr="00134806">
              <w:rPr>
                <w:rFonts w:ascii="Times New Roman" w:hAnsi="Times New Roman"/>
                <w:sz w:val="20"/>
                <w:szCs w:val="20"/>
              </w:rPr>
              <w:t>)</w:t>
            </w:r>
          </w:p>
        </w:tc>
      </w:tr>
      <w:tr w14:paraId="6E198157" w14:textId="77777777" w:rsidTr="00972761">
        <w:tblPrEx>
          <w:tblW w:w="9152" w:type="dxa"/>
          <w:jc w:val="center"/>
          <w:tblCellMar>
            <w:top w:w="30" w:type="dxa"/>
            <w:left w:w="30" w:type="dxa"/>
            <w:bottom w:w="30" w:type="dxa"/>
            <w:right w:w="30" w:type="dxa"/>
          </w:tblCellMar>
          <w:tblLook w:val="04A0"/>
        </w:tblPrEx>
        <w:trPr>
          <w:jc w:val="center"/>
        </w:trPr>
        <w:tc>
          <w:tcPr>
            <w:tcW w:w="3049" w:type="dxa"/>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7C893C10" w14:textId="77777777">
            <w:pPr>
              <w:spacing w:after="0"/>
              <w:jc w:val="left"/>
              <w:rPr>
                <w:rFonts w:ascii="Times New Roman" w:eastAsia="Times New Roman" w:hAnsi="Times New Roman"/>
                <w:b/>
                <w:bCs/>
                <w:sz w:val="20"/>
                <w:szCs w:val="20"/>
                <w:lang w:eastAsia="lv-LV"/>
              </w:rPr>
            </w:pPr>
          </w:p>
        </w:tc>
        <w:tc>
          <w:tcPr>
            <w:tcW w:w="2640" w:type="dxa"/>
            <w:gridSpan w:val="2"/>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37D2267A" w14:textId="77777777">
            <w:pPr>
              <w:spacing w:after="0"/>
              <w:jc w:val="left"/>
              <w:rPr>
                <w:rFonts w:ascii="Times New Roman" w:eastAsia="Times New Roman" w:hAnsi="Times New Roman"/>
                <w:b/>
                <w:bCs/>
                <w:sz w:val="20"/>
                <w:szCs w:val="20"/>
                <w:lang w:eastAsia="lv-LV"/>
              </w:rPr>
            </w:pP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141AE91E"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2018.</w:t>
            </w:r>
            <w:r>
              <w:rPr>
                <w:rFonts w:ascii="Times New Roman" w:hAnsi="Times New Roman"/>
                <w:b/>
                <w:bCs/>
                <w:sz w:val="20"/>
                <w:szCs w:val="20"/>
              </w:rPr>
              <w:t> </w:t>
            </w:r>
            <w:r w:rsidRPr="00134806">
              <w:rPr>
                <w:rFonts w:ascii="Times New Roman" w:hAnsi="Times New Roman"/>
                <w:b/>
                <w:bCs/>
                <w:sz w:val="20"/>
                <w:szCs w:val="20"/>
              </w:rPr>
              <w:t>gads</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676DF2B9"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2019.</w:t>
            </w:r>
            <w:r>
              <w:rPr>
                <w:rFonts w:ascii="Times New Roman" w:hAnsi="Times New Roman"/>
                <w:b/>
                <w:bCs/>
                <w:sz w:val="20"/>
                <w:szCs w:val="20"/>
              </w:rPr>
              <w:t> </w:t>
            </w:r>
            <w:r w:rsidRPr="00134806">
              <w:rPr>
                <w:rFonts w:ascii="Times New Roman" w:hAnsi="Times New Roman"/>
                <w:b/>
                <w:bCs/>
                <w:sz w:val="20"/>
                <w:szCs w:val="20"/>
              </w:rPr>
              <w:t>gads</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00058059"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2020.</w:t>
            </w:r>
            <w:r>
              <w:rPr>
                <w:rFonts w:ascii="Times New Roman" w:hAnsi="Times New Roman"/>
                <w:b/>
                <w:bCs/>
                <w:sz w:val="20"/>
                <w:szCs w:val="20"/>
              </w:rPr>
              <w:t> </w:t>
            </w:r>
            <w:r w:rsidRPr="00134806">
              <w:rPr>
                <w:rFonts w:ascii="Times New Roman" w:hAnsi="Times New Roman"/>
                <w:b/>
                <w:bCs/>
                <w:sz w:val="20"/>
                <w:szCs w:val="20"/>
              </w:rPr>
              <w:t>gads</w:t>
            </w:r>
          </w:p>
        </w:tc>
      </w:tr>
      <w:tr w14:paraId="020A61C5" w14:textId="77777777" w:rsidTr="00972761">
        <w:tblPrEx>
          <w:tblW w:w="9152" w:type="dxa"/>
          <w:jc w:val="center"/>
          <w:tblCellMar>
            <w:top w:w="30" w:type="dxa"/>
            <w:left w:w="30" w:type="dxa"/>
            <w:bottom w:w="30" w:type="dxa"/>
            <w:right w:w="30" w:type="dxa"/>
          </w:tblCellMar>
          <w:tblLook w:val="04A0"/>
        </w:tblPrEx>
        <w:trPr>
          <w:jc w:val="center"/>
        </w:trPr>
        <w:tc>
          <w:tcPr>
            <w:tcW w:w="3049" w:type="dxa"/>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6383CA7C" w14:textId="77777777">
            <w:pPr>
              <w:spacing w:after="0"/>
              <w:jc w:val="left"/>
              <w:rPr>
                <w:rFonts w:ascii="Times New Roman" w:eastAsia="Times New Roman" w:hAnsi="Times New Roman"/>
                <w:b/>
                <w:bCs/>
                <w:sz w:val="20"/>
                <w:szCs w:val="20"/>
                <w:lang w:eastAsia="lv-LV"/>
              </w:rPr>
            </w:pP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51FBE39E"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saskaņā ar valsts budžetu kārtējam gadam</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75805CE"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izmaiņas kārtējā gadā, salīdzinot ar valsts budžetu kārtējam gadam</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16E38EC6"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kārtējo </w:t>
            </w:r>
            <w:r w:rsidRPr="00584840">
              <w:rPr>
                <w:rFonts w:ascii="Times New Roman" w:hAnsi="Times New Roman"/>
                <w:b/>
                <w:bCs/>
                <w:sz w:val="20"/>
                <w:szCs w:val="20"/>
                <w:lang w:eastAsia="lv-LV"/>
              </w:rPr>
              <w:t>2017.</w:t>
            </w:r>
            <w:r>
              <w:rPr>
                <w:rFonts w:ascii="Times New Roman" w:hAnsi="Times New Roman"/>
                <w:b/>
                <w:bCs/>
                <w:sz w:val="20"/>
                <w:szCs w:val="20"/>
                <w:lang w:eastAsia="lv-LV"/>
              </w:rPr>
              <w:t> </w:t>
            </w:r>
            <w:r w:rsidRPr="00584840">
              <w:rPr>
                <w:rFonts w:ascii="Times New Roman" w:hAnsi="Times New Roman"/>
                <w:sz w:val="20"/>
                <w:szCs w:val="20"/>
                <w:lang w:eastAsia="lv-LV"/>
              </w:rPr>
              <w:t>gadu</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32E8FABA"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w:t>
            </w:r>
            <w:r w:rsidRPr="00584840">
              <w:rPr>
                <w:rFonts w:ascii="Times New Roman" w:hAnsi="Times New Roman"/>
                <w:b/>
                <w:bCs/>
                <w:sz w:val="20"/>
                <w:szCs w:val="20"/>
                <w:lang w:eastAsia="lv-LV"/>
              </w:rPr>
              <w:t>2017.</w:t>
            </w:r>
            <w:r>
              <w:rPr>
                <w:rFonts w:ascii="Times New Roman" w:hAnsi="Times New Roman"/>
                <w:b/>
                <w:bCs/>
                <w:sz w:val="20"/>
                <w:szCs w:val="20"/>
                <w:lang w:eastAsia="lv-LV"/>
              </w:rPr>
              <w:t> </w:t>
            </w:r>
            <w:r w:rsidRPr="00584840">
              <w:rPr>
                <w:rFonts w:ascii="Times New Roman" w:hAnsi="Times New Roman"/>
                <w:sz w:val="20"/>
                <w:szCs w:val="20"/>
                <w:lang w:eastAsia="lv-LV"/>
              </w:rPr>
              <w:t>gadu</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2EE77F46"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kārtējo </w:t>
            </w:r>
            <w:r w:rsidRPr="00584840">
              <w:rPr>
                <w:rFonts w:ascii="Times New Roman" w:hAnsi="Times New Roman"/>
                <w:b/>
                <w:bCs/>
                <w:sz w:val="20"/>
                <w:szCs w:val="20"/>
                <w:lang w:eastAsia="lv-LV"/>
              </w:rPr>
              <w:t>2017.</w:t>
            </w:r>
            <w:r>
              <w:rPr>
                <w:rFonts w:ascii="Times New Roman" w:hAnsi="Times New Roman"/>
                <w:b/>
                <w:bCs/>
                <w:sz w:val="20"/>
                <w:szCs w:val="20"/>
                <w:lang w:eastAsia="lv-LV"/>
              </w:rPr>
              <w:t> </w:t>
            </w:r>
            <w:r w:rsidRPr="00584840">
              <w:rPr>
                <w:rFonts w:ascii="Times New Roman" w:hAnsi="Times New Roman"/>
                <w:sz w:val="20"/>
                <w:szCs w:val="20"/>
                <w:lang w:eastAsia="lv-LV"/>
              </w:rPr>
              <w:t>gadu</w:t>
            </w:r>
          </w:p>
        </w:tc>
      </w:tr>
      <w:tr w14:paraId="01E9A43D" w14:textId="77777777" w:rsidTr="00972761">
        <w:tblPrEx>
          <w:tblW w:w="9152" w:type="dxa"/>
          <w:jc w:val="center"/>
          <w:tblCellMar>
            <w:top w:w="30" w:type="dxa"/>
            <w:left w:w="30" w:type="dxa"/>
            <w:bottom w:w="30" w:type="dxa"/>
            <w:right w:w="30" w:type="dxa"/>
          </w:tblCellMar>
          <w:tblLook w:val="04A0"/>
        </w:tblPrEx>
        <w:trPr>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63558507"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62DD3BCE"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5C4C2BA5"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713342AA"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569158E9"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210CC4E1"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r>
      <w:tr w14:paraId="2359956B"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7B4E69FC"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w:t>
            </w:r>
            <w:r>
              <w:rPr>
                <w:rFonts w:ascii="Times New Roman" w:eastAsia="Times New Roman" w:hAnsi="Times New Roman"/>
                <w:lang w:eastAsia="lv-LV"/>
              </w:rPr>
              <w:t> </w:t>
            </w:r>
            <w:r w:rsidRPr="00134806">
              <w:rPr>
                <w:rFonts w:ascii="Times New Roman" w:eastAsia="Times New Roman" w:hAnsi="Times New Roman"/>
                <w:lang w:eastAsia="lv-LV"/>
              </w:rPr>
              <w:t>Budžeta ieņēmumi:</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0A44E0BD"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0F6E6457"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tcPr>
          <w:p w:rsidR="004033F5" w:rsidRPr="00134806" w:rsidP="0003475E" w14:paraId="190C217E"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1139" w:type="dxa"/>
            <w:tcBorders>
              <w:top w:val="outset" w:sz="6" w:space="0" w:color="414142"/>
              <w:left w:val="outset" w:sz="6" w:space="0" w:color="414142"/>
              <w:bottom w:val="outset" w:sz="6" w:space="0" w:color="414142"/>
              <w:right w:val="outset" w:sz="6" w:space="0" w:color="414142"/>
            </w:tcBorders>
            <w:vAlign w:val="center"/>
          </w:tcPr>
          <w:p w:rsidR="004033F5" w:rsidRPr="00134806" w:rsidP="0003475E" w14:paraId="016DA7FC"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1199" w:type="dxa"/>
            <w:tcBorders>
              <w:top w:val="outset" w:sz="6" w:space="0" w:color="414142"/>
              <w:left w:val="outset" w:sz="6" w:space="0" w:color="414142"/>
              <w:bottom w:val="outset" w:sz="6" w:space="0" w:color="414142"/>
              <w:right w:val="outset" w:sz="6" w:space="0" w:color="414142"/>
            </w:tcBorders>
            <w:vAlign w:val="center"/>
          </w:tcPr>
          <w:p w:rsidR="004033F5" w:rsidRPr="00134806" w:rsidP="0003475E" w14:paraId="66D20D6A"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r>
      <w:tr w14:paraId="5699376D"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3EC5FD1E"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1.1.</w:t>
            </w:r>
            <w:r>
              <w:rPr>
                <w:rFonts w:ascii="Times New Roman" w:eastAsia="Times New Roman" w:hAnsi="Times New Roman"/>
                <w:lang w:eastAsia="lv-LV"/>
              </w:rPr>
              <w:t> </w:t>
            </w:r>
            <w:r w:rsidRPr="00134806">
              <w:rPr>
                <w:rFonts w:ascii="Times New Roman" w:eastAsia="Times New Roman" w:hAnsi="Times New Roman"/>
                <w:lang w:eastAsia="lv-LV"/>
              </w:rPr>
              <w:t>valsts pamatbudžets, tai skaitā ieņēmumi no maksas pakalpojumiem un citi pašu ieņēmumi</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C8C3A2B"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3AA06E65"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tcPr>
          <w:p w:rsidR="004033F5" w:rsidRPr="00134806" w:rsidP="0003475E" w14:paraId="37B7EC50"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1139" w:type="dxa"/>
            <w:tcBorders>
              <w:top w:val="outset" w:sz="6" w:space="0" w:color="414142"/>
              <w:left w:val="outset" w:sz="6" w:space="0" w:color="414142"/>
              <w:bottom w:val="outset" w:sz="6" w:space="0" w:color="414142"/>
              <w:right w:val="outset" w:sz="6" w:space="0" w:color="414142"/>
            </w:tcBorders>
            <w:vAlign w:val="center"/>
          </w:tcPr>
          <w:p w:rsidR="004033F5" w:rsidRPr="00134806" w:rsidP="0003475E" w14:paraId="25F187D0"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1199" w:type="dxa"/>
            <w:tcBorders>
              <w:top w:val="outset" w:sz="6" w:space="0" w:color="414142"/>
              <w:left w:val="outset" w:sz="6" w:space="0" w:color="414142"/>
              <w:bottom w:val="outset" w:sz="6" w:space="0" w:color="414142"/>
              <w:right w:val="outset" w:sz="6" w:space="0" w:color="414142"/>
            </w:tcBorders>
            <w:vAlign w:val="center"/>
          </w:tcPr>
          <w:p w:rsidR="004033F5" w:rsidRPr="00134806" w:rsidP="0003475E" w14:paraId="3DF40CBB"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r>
      <w:tr w14:paraId="5BFFA183"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EF0341A"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1.2.</w:t>
            </w:r>
            <w:r>
              <w:rPr>
                <w:rFonts w:ascii="Times New Roman" w:eastAsia="Times New Roman" w:hAnsi="Times New Roman"/>
                <w:lang w:eastAsia="lv-LV"/>
              </w:rPr>
              <w:t> </w:t>
            </w:r>
            <w:r w:rsidRPr="00134806">
              <w:rPr>
                <w:rFonts w:ascii="Times New Roman" w:eastAsia="Times New Roman" w:hAnsi="Times New Roman"/>
                <w:lang w:eastAsia="lv-LV"/>
              </w:rPr>
              <w:t>valsts speciālais budžets</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700BABAC"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0AC5EAB6"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65C9FA18"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108C4A7B"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71120967"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3A585294"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78E40A69"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5F704698"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71511726"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EF1F627"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337D1EFE"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621AD488"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3AFE14BC"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6964C431"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w:t>
            </w:r>
            <w:r>
              <w:rPr>
                <w:rFonts w:ascii="Times New Roman" w:eastAsia="Times New Roman" w:hAnsi="Times New Roman"/>
                <w:lang w:eastAsia="lv-LV"/>
              </w:rPr>
              <w:t> </w:t>
            </w:r>
            <w:r w:rsidRPr="00134806">
              <w:rPr>
                <w:rFonts w:ascii="Times New Roman" w:eastAsia="Times New Roman" w:hAnsi="Times New Roman"/>
                <w:lang w:eastAsia="lv-LV"/>
              </w:rPr>
              <w:t>Budžeta izdevumi:</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59C77021"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53258425"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614B5755"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22623431"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2C790D40" w14:textId="77777777">
            <w:pPr>
              <w:spacing w:after="0"/>
              <w:jc w:val="center"/>
            </w:pPr>
            <w:r w:rsidRPr="00102A12">
              <w:rPr>
                <w:rFonts w:ascii="Times New Roman" w:hAnsi="Times New Roman"/>
              </w:rPr>
              <w:t>0</w:t>
            </w:r>
          </w:p>
        </w:tc>
      </w:tr>
      <w:tr w14:paraId="49D33735"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06E4AE3"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623BB117" w14:textId="77777777">
            <w:pPr>
              <w:spacing w:after="0"/>
              <w:jc w:val="center"/>
              <w:rPr>
                <w:rFonts w:ascii="Times New Roman" w:eastAsia="Times New Roman" w:hAnsi="Times New Roman"/>
                <w:lang w:eastAsia="lv-LV"/>
              </w:rPr>
            </w:pPr>
            <w:r>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2705BC43"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tcPr>
          <w:p w:rsidR="004033F5" w:rsidP="0003475E" w14:paraId="22142850"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tcPr>
          <w:p w:rsidR="004033F5" w:rsidP="0003475E" w14:paraId="7A5B53F5"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tcPr>
          <w:p w:rsidR="004033F5" w:rsidP="0003475E" w14:paraId="1CB0E879" w14:textId="77777777">
            <w:pPr>
              <w:spacing w:after="0"/>
              <w:jc w:val="center"/>
            </w:pPr>
            <w:r w:rsidRPr="00102A12">
              <w:rPr>
                <w:rFonts w:ascii="Times New Roman" w:hAnsi="Times New Roman"/>
              </w:rPr>
              <w:t>0</w:t>
            </w:r>
          </w:p>
        </w:tc>
      </w:tr>
      <w:tr w14:paraId="69E7360E"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6F9D082"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2.2.</w:t>
            </w:r>
            <w:r>
              <w:rPr>
                <w:rFonts w:ascii="Times New Roman" w:eastAsia="Times New Roman" w:hAnsi="Times New Roman"/>
                <w:lang w:eastAsia="lv-LV"/>
              </w:rPr>
              <w:t> </w:t>
            </w:r>
            <w:r w:rsidRPr="00134806">
              <w:rPr>
                <w:rFonts w:ascii="Times New Roman" w:eastAsia="Times New Roman" w:hAnsi="Times New Roman"/>
                <w:lang w:eastAsia="lv-LV"/>
              </w:rPr>
              <w:t>valsts speciālais budžets</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78C0E669"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1B544C86"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0C086642"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3947A095"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0BE84D39" w14:textId="77777777">
            <w:pPr>
              <w:spacing w:after="0"/>
              <w:jc w:val="center"/>
            </w:pPr>
            <w:r w:rsidRPr="00102A12">
              <w:rPr>
                <w:rFonts w:ascii="Times New Roman" w:hAnsi="Times New Roman"/>
              </w:rPr>
              <w:t>0</w:t>
            </w:r>
          </w:p>
        </w:tc>
      </w:tr>
      <w:tr w14:paraId="1C84136B"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6611B9AF"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510D5F6A"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0912547B"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1F3FA689"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67E4A3EB"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49715985" w14:textId="77777777">
            <w:pPr>
              <w:spacing w:after="0"/>
              <w:jc w:val="center"/>
            </w:pPr>
            <w:r w:rsidRPr="00102A12">
              <w:rPr>
                <w:rFonts w:ascii="Times New Roman" w:hAnsi="Times New Roman"/>
              </w:rPr>
              <w:t>0</w:t>
            </w:r>
          </w:p>
        </w:tc>
      </w:tr>
      <w:tr w14:paraId="53D019C2"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11E9AA05"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w:t>
            </w:r>
            <w:r>
              <w:rPr>
                <w:rFonts w:ascii="Times New Roman" w:eastAsia="Times New Roman" w:hAnsi="Times New Roman"/>
                <w:lang w:eastAsia="lv-LV"/>
              </w:rPr>
              <w:t> </w:t>
            </w:r>
            <w:r w:rsidRPr="00134806">
              <w:rPr>
                <w:rFonts w:ascii="Times New Roman" w:eastAsia="Times New Roman" w:hAnsi="Times New Roman"/>
                <w:lang w:eastAsia="lv-LV"/>
              </w:rPr>
              <w:t>Finansiālā ietekme:</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C2C337E"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56C05305"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tcPr>
          <w:p w:rsidR="004033F5" w:rsidP="0003475E" w14:paraId="2B3DD663"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tcPr>
          <w:p w:rsidR="004033F5" w:rsidP="0003475E" w14:paraId="7E565932"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tcPr>
          <w:p w:rsidR="004033F5" w:rsidP="0003475E" w14:paraId="51A8CD12" w14:textId="77777777">
            <w:pPr>
              <w:spacing w:after="0"/>
              <w:jc w:val="center"/>
            </w:pPr>
            <w:r w:rsidRPr="00102A12">
              <w:rPr>
                <w:rFonts w:ascii="Times New Roman" w:hAnsi="Times New Roman"/>
              </w:rPr>
              <w:t>0</w:t>
            </w:r>
          </w:p>
        </w:tc>
      </w:tr>
      <w:tr w14:paraId="6C721FD0"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717908BB"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B50E54B" w14:textId="77777777">
            <w:pPr>
              <w:spacing w:after="0"/>
              <w:jc w:val="center"/>
              <w:rPr>
                <w:rFonts w:ascii="Times New Roman" w:eastAsia="Times New Roman" w:hAnsi="Times New Roman"/>
                <w:lang w:eastAsia="lv-LV"/>
              </w:rPr>
            </w:pPr>
            <w:r>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797955B8"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tcPr>
          <w:p w:rsidR="004033F5" w:rsidP="0003475E" w14:paraId="3EDA6E21"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tcPr>
          <w:p w:rsidR="004033F5" w:rsidP="0003475E" w14:paraId="5CBFAC3F"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tcPr>
          <w:p w:rsidR="004033F5" w:rsidP="0003475E" w14:paraId="403FD8EF" w14:textId="77777777">
            <w:pPr>
              <w:spacing w:after="0"/>
              <w:jc w:val="center"/>
            </w:pPr>
            <w:r w:rsidRPr="00102A12">
              <w:rPr>
                <w:rFonts w:ascii="Times New Roman" w:hAnsi="Times New Roman"/>
              </w:rPr>
              <w:t>0</w:t>
            </w:r>
          </w:p>
        </w:tc>
      </w:tr>
      <w:tr w14:paraId="694CA7A4"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713B6A57"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3.2.</w:t>
            </w:r>
            <w:r>
              <w:rPr>
                <w:rFonts w:ascii="Times New Roman" w:eastAsia="Times New Roman" w:hAnsi="Times New Roman"/>
                <w:lang w:eastAsia="lv-LV"/>
              </w:rPr>
              <w:t> </w:t>
            </w:r>
            <w:r w:rsidRPr="00134806">
              <w:rPr>
                <w:rFonts w:ascii="Times New Roman" w:eastAsia="Times New Roman" w:hAnsi="Times New Roman"/>
                <w:lang w:eastAsia="lv-LV"/>
              </w:rPr>
              <w:t>speciālais budžets</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0F6B8E82"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2C46D14B"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33D7E956"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7D1F5FD4"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37AC552E" w14:textId="77777777">
            <w:pPr>
              <w:spacing w:after="0"/>
              <w:jc w:val="center"/>
            </w:pPr>
            <w:r w:rsidRPr="00102A12">
              <w:rPr>
                <w:rFonts w:ascii="Times New Roman" w:hAnsi="Times New Roman"/>
              </w:rPr>
              <w:t>0</w:t>
            </w:r>
          </w:p>
        </w:tc>
      </w:tr>
      <w:tr w14:paraId="2892BAAB"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3CC827EE"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65B097C5"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42BB5741"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280F27AA"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6871706F"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62F33DB2" w14:textId="77777777">
            <w:pPr>
              <w:spacing w:after="0"/>
              <w:jc w:val="center"/>
            </w:pPr>
            <w:r w:rsidRPr="00102A12">
              <w:rPr>
                <w:rFonts w:ascii="Times New Roman" w:hAnsi="Times New Roman"/>
              </w:rPr>
              <w:t>0</w:t>
            </w:r>
          </w:p>
        </w:tc>
      </w:tr>
      <w:tr w14:paraId="0BC10789"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vMerge w:val="restart"/>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20100645"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4.</w:t>
            </w:r>
            <w:r>
              <w:rPr>
                <w:rFonts w:ascii="Times New Roman" w:eastAsia="Times New Roman" w:hAnsi="Times New Roman"/>
                <w:lang w:eastAsia="lv-LV"/>
              </w:rPr>
              <w:t> </w:t>
            </w:r>
            <w:r w:rsidRPr="00134806">
              <w:rPr>
                <w:rFonts w:ascii="Times New Roman" w:eastAsia="Times New Roman" w:hAnsi="Times New Roman"/>
                <w:lang w:eastAsia="lv-LV"/>
              </w:rPr>
              <w:t>Finanšu līdzekļi papildu izdevumu finansēšanai (kompensējošu izdevumu samazinājumu norāda ar "+" zīmi)</w:t>
            </w:r>
          </w:p>
        </w:tc>
        <w:tc>
          <w:tcPr>
            <w:tcW w:w="1139" w:type="dxa"/>
            <w:vMerge w:val="restart"/>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21CD37DF" w14:textId="77777777">
            <w:pPr>
              <w:spacing w:after="0"/>
              <w:jc w:val="center"/>
              <w:rPr>
                <w:rFonts w:ascii="Times New Roman" w:eastAsia="Times New Roman" w:hAnsi="Times New Roman"/>
                <w:lang w:eastAsia="lv-LV"/>
              </w:rPr>
            </w:pPr>
            <w:r w:rsidRPr="00134806">
              <w:rPr>
                <w:rFonts w:ascii="Times New Roman" w:eastAsia="Times New Roman" w:hAnsi="Times New Roman"/>
                <w:lang w:eastAsia="lv-LV"/>
              </w:rPr>
              <w:t>X</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58E51F55"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68EFD7FE"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543E1C7D"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6DD7D2DB" w14:textId="77777777">
            <w:pPr>
              <w:spacing w:after="0"/>
              <w:jc w:val="center"/>
            </w:pPr>
            <w:r w:rsidRPr="00102A12">
              <w:rPr>
                <w:rFonts w:ascii="Times New Roman" w:hAnsi="Times New Roman"/>
              </w:rPr>
              <w:t>0</w:t>
            </w:r>
          </w:p>
        </w:tc>
      </w:tr>
      <w:tr w14:paraId="55650051"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074ABC82" w14:textId="77777777">
            <w:pPr>
              <w:spacing w:after="0"/>
              <w:jc w:val="left"/>
              <w:rPr>
                <w:rFonts w:ascii="Times New Roman" w:eastAsia="Times New Roman" w:hAnsi="Times New Roman"/>
                <w:lang w:eastAsia="lv-LV"/>
              </w:rPr>
            </w:pPr>
          </w:p>
        </w:tc>
        <w:tc>
          <w:tcPr>
            <w:tcW w:w="1139" w:type="dxa"/>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592E815F" w14:textId="77777777">
            <w:pPr>
              <w:spacing w:after="0"/>
              <w:jc w:val="left"/>
              <w:rPr>
                <w:rFonts w:ascii="Times New Roman" w:eastAsia="Times New Roman" w:hAnsi="Times New Roman"/>
                <w:lang w:eastAsia="lv-LV"/>
              </w:rPr>
            </w:pP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6825F18D"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12B09879"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1BD6232A"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010FC77F" w14:textId="77777777">
            <w:pPr>
              <w:spacing w:after="0"/>
              <w:jc w:val="center"/>
            </w:pPr>
            <w:r w:rsidRPr="00102A12">
              <w:rPr>
                <w:rFonts w:ascii="Times New Roman" w:hAnsi="Times New Roman"/>
              </w:rPr>
              <w:t>0</w:t>
            </w:r>
          </w:p>
        </w:tc>
      </w:tr>
      <w:tr w14:paraId="1FBD6A6F"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1ECA1193" w14:textId="77777777">
            <w:pPr>
              <w:spacing w:after="0"/>
              <w:jc w:val="left"/>
              <w:rPr>
                <w:rFonts w:ascii="Times New Roman" w:eastAsia="Times New Roman" w:hAnsi="Times New Roman"/>
                <w:lang w:eastAsia="lv-LV"/>
              </w:rPr>
            </w:pPr>
          </w:p>
        </w:tc>
        <w:tc>
          <w:tcPr>
            <w:tcW w:w="1139" w:type="dxa"/>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910F3CB" w14:textId="77777777">
            <w:pPr>
              <w:spacing w:after="0"/>
              <w:jc w:val="left"/>
              <w:rPr>
                <w:rFonts w:ascii="Times New Roman" w:eastAsia="Times New Roman" w:hAnsi="Times New Roman"/>
                <w:lang w:eastAsia="lv-LV"/>
              </w:rPr>
            </w:pP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2A657FD9"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12E67E27"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2F825B3C"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36F2E80F" w14:textId="77777777">
            <w:pPr>
              <w:spacing w:after="0"/>
              <w:jc w:val="center"/>
            </w:pPr>
            <w:r w:rsidRPr="00102A12">
              <w:rPr>
                <w:rFonts w:ascii="Times New Roman" w:hAnsi="Times New Roman"/>
              </w:rPr>
              <w:t>0</w:t>
            </w:r>
          </w:p>
        </w:tc>
      </w:tr>
      <w:tr w14:paraId="29F76719"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0A8D5C7"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w:t>
            </w:r>
            <w:r>
              <w:rPr>
                <w:rFonts w:ascii="Times New Roman" w:eastAsia="Times New Roman" w:hAnsi="Times New Roman"/>
                <w:lang w:eastAsia="lv-LV"/>
              </w:rPr>
              <w:t> </w:t>
            </w:r>
            <w:r w:rsidRPr="00134806">
              <w:rPr>
                <w:rFonts w:ascii="Times New Roman" w:eastAsia="Times New Roman" w:hAnsi="Times New Roman"/>
                <w:lang w:eastAsia="lv-LV"/>
              </w:rPr>
              <w:t>Precizēta finansiālā ietekme:</w:t>
            </w:r>
          </w:p>
        </w:tc>
        <w:tc>
          <w:tcPr>
            <w:tcW w:w="1139" w:type="dxa"/>
            <w:vMerge w:val="restart"/>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281E08A3" w14:textId="77777777">
            <w:pPr>
              <w:spacing w:after="0"/>
              <w:jc w:val="center"/>
              <w:rPr>
                <w:rFonts w:ascii="Times New Roman" w:eastAsia="Times New Roman" w:hAnsi="Times New Roman"/>
                <w:lang w:eastAsia="lv-LV"/>
              </w:rPr>
            </w:pPr>
            <w:r w:rsidRPr="00134806">
              <w:rPr>
                <w:rFonts w:ascii="Times New Roman" w:eastAsia="Times New Roman" w:hAnsi="Times New Roman"/>
                <w:lang w:eastAsia="lv-LV"/>
              </w:rPr>
              <w:t>X</w:t>
            </w: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233E2AC9"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tcPr>
          <w:p w:rsidR="004033F5" w:rsidP="0003475E" w14:paraId="22FC2522"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tcPr>
          <w:p w:rsidR="004033F5" w:rsidP="0003475E" w14:paraId="3E294119"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tcPr>
          <w:p w:rsidR="004033F5" w:rsidP="0003475E" w14:paraId="4FB33B51" w14:textId="77777777">
            <w:pPr>
              <w:spacing w:after="0"/>
              <w:jc w:val="center"/>
            </w:pPr>
            <w:r w:rsidRPr="00102A12">
              <w:rPr>
                <w:rFonts w:ascii="Times New Roman" w:hAnsi="Times New Roman"/>
              </w:rPr>
              <w:t>0</w:t>
            </w:r>
          </w:p>
        </w:tc>
      </w:tr>
      <w:tr w14:paraId="4CF84312"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133AE74D"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1139" w:type="dxa"/>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55C837CF" w14:textId="77777777">
            <w:pPr>
              <w:spacing w:after="0"/>
              <w:jc w:val="left"/>
              <w:rPr>
                <w:rFonts w:ascii="Times New Roman" w:eastAsia="Times New Roman" w:hAnsi="Times New Roman"/>
                <w:lang w:eastAsia="lv-LV"/>
              </w:rPr>
            </w:pP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P="0003475E" w14:paraId="7D11DAEF" w14:textId="77777777">
            <w:pPr>
              <w:spacing w:after="0"/>
              <w:jc w:val="center"/>
            </w:pPr>
            <w:r w:rsidRPr="00102A12">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tcPr>
          <w:p w:rsidR="004033F5" w:rsidP="0003475E" w14:paraId="310901C1" w14:textId="77777777">
            <w:pPr>
              <w:spacing w:after="0"/>
              <w:jc w:val="center"/>
            </w:pPr>
            <w:r w:rsidRPr="00102A12">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tcPr>
          <w:p w:rsidR="004033F5" w:rsidP="0003475E" w14:paraId="41951790" w14:textId="77777777">
            <w:pPr>
              <w:spacing w:after="0"/>
              <w:jc w:val="center"/>
            </w:pPr>
            <w:r w:rsidRPr="00102A12">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tcPr>
          <w:p w:rsidR="004033F5" w:rsidP="0003475E" w14:paraId="0FB5CFF9" w14:textId="77777777">
            <w:pPr>
              <w:spacing w:after="0"/>
              <w:jc w:val="center"/>
            </w:pPr>
            <w:r w:rsidRPr="00102A12">
              <w:rPr>
                <w:rFonts w:ascii="Times New Roman" w:hAnsi="Times New Roman"/>
              </w:rPr>
              <w:t>0</w:t>
            </w:r>
          </w:p>
        </w:tc>
      </w:tr>
      <w:tr w14:paraId="0B990521"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6B31EB8B"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5.2.</w:t>
            </w:r>
            <w:r>
              <w:rPr>
                <w:rFonts w:ascii="Times New Roman" w:eastAsia="Times New Roman" w:hAnsi="Times New Roman"/>
                <w:lang w:eastAsia="lv-LV"/>
              </w:rPr>
              <w:t> </w:t>
            </w:r>
            <w:r w:rsidRPr="00134806">
              <w:rPr>
                <w:rFonts w:ascii="Times New Roman" w:eastAsia="Times New Roman" w:hAnsi="Times New Roman"/>
                <w:lang w:eastAsia="lv-LV"/>
              </w:rPr>
              <w:t>speciālais budžets</w:t>
            </w:r>
          </w:p>
        </w:tc>
        <w:tc>
          <w:tcPr>
            <w:tcW w:w="1139" w:type="dxa"/>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752623D0" w14:textId="77777777">
            <w:pPr>
              <w:spacing w:after="0"/>
              <w:jc w:val="left"/>
              <w:rPr>
                <w:rFonts w:ascii="Times New Roman" w:eastAsia="Times New Roman" w:hAnsi="Times New Roman"/>
                <w:lang w:eastAsia="lv-LV"/>
              </w:rPr>
            </w:pP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5338C731"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43E7A8B"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2BEFF4DF"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2F91E8B4"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1E5659EF" w14:textId="77777777" w:rsidTr="00972761">
        <w:tblPrEx>
          <w:tblW w:w="9152" w:type="dxa"/>
          <w:jc w:val="center"/>
          <w:tblCellMar>
            <w:top w:w="30" w:type="dxa"/>
            <w:left w:w="30" w:type="dxa"/>
            <w:bottom w:w="30" w:type="dxa"/>
            <w:right w:w="30" w:type="dxa"/>
          </w:tblCellMar>
          <w:tblLook w:val="04A0"/>
        </w:tblPrEx>
        <w:trPr>
          <w:trHeight w:val="227"/>
          <w:jc w:val="center"/>
        </w:trPr>
        <w:tc>
          <w:tcPr>
            <w:tcW w:w="304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08667E43"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1139" w:type="dxa"/>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5F067773" w14:textId="77777777">
            <w:pPr>
              <w:spacing w:after="0"/>
              <w:jc w:val="left"/>
              <w:rPr>
                <w:rFonts w:ascii="Times New Roman" w:eastAsia="Times New Roman" w:hAnsi="Times New Roman"/>
                <w:lang w:eastAsia="lv-LV"/>
              </w:rPr>
            </w:pPr>
          </w:p>
        </w:tc>
        <w:tc>
          <w:tcPr>
            <w:tcW w:w="1501"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16216FF0"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1BD01904"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195C653A"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1199" w:type="dxa"/>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08A43372"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1F24E64D" w14:textId="77777777" w:rsidTr="00972761">
        <w:tblPrEx>
          <w:tblW w:w="9152" w:type="dxa"/>
          <w:jc w:val="center"/>
          <w:tblCellMar>
            <w:top w:w="30" w:type="dxa"/>
            <w:left w:w="30" w:type="dxa"/>
            <w:bottom w:w="30" w:type="dxa"/>
            <w:right w:w="30" w:type="dxa"/>
          </w:tblCellMar>
          <w:tblLook w:val="04A0"/>
        </w:tblPrEx>
        <w:trPr>
          <w:jc w:val="center"/>
        </w:trPr>
        <w:tc>
          <w:tcPr>
            <w:tcW w:w="3049" w:type="dxa"/>
            <w:tcBorders>
              <w:top w:val="outset" w:sz="6" w:space="0" w:color="414142"/>
              <w:left w:val="outset" w:sz="6" w:space="0" w:color="414142"/>
              <w:bottom w:val="outset" w:sz="6" w:space="0" w:color="414142"/>
              <w:right w:val="outset" w:sz="6" w:space="0" w:color="414142"/>
            </w:tcBorders>
            <w:hideMark/>
          </w:tcPr>
          <w:p w:rsidR="004033F5" w:rsidRPr="00134806" w:rsidP="0003475E" w14:paraId="71C4DE2B"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6103"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033F5" w:rsidRPr="00506D66" w:rsidP="0003475E" w14:paraId="288C083D" w14:textId="77777777">
            <w:pPr>
              <w:pStyle w:val="naisf"/>
              <w:spacing w:before="60" w:after="60"/>
              <w:ind w:firstLine="0"/>
              <w:rPr>
                <w:rFonts w:eastAsia="Calibri"/>
                <w:lang w:eastAsia="en-US"/>
              </w:rPr>
            </w:pPr>
            <w:r>
              <w:rPr>
                <w:rFonts w:eastAsia="Calibri"/>
                <w:sz w:val="22"/>
                <w:szCs w:val="22"/>
                <w:lang w:eastAsia="en-US"/>
              </w:rPr>
              <w:t>Nav attiecināms</w:t>
            </w:r>
          </w:p>
        </w:tc>
      </w:tr>
      <w:tr w14:paraId="64C6FA69" w14:textId="77777777" w:rsidTr="00972761">
        <w:tblPrEx>
          <w:tblW w:w="9152" w:type="dxa"/>
          <w:jc w:val="center"/>
          <w:tblCellMar>
            <w:top w:w="30" w:type="dxa"/>
            <w:left w:w="30" w:type="dxa"/>
            <w:bottom w:w="30" w:type="dxa"/>
            <w:right w:w="30" w:type="dxa"/>
          </w:tblCellMar>
          <w:tblLook w:val="04A0"/>
        </w:tblPrEx>
        <w:trPr>
          <w:jc w:val="center"/>
        </w:trPr>
        <w:tc>
          <w:tcPr>
            <w:tcW w:w="3049" w:type="dxa"/>
            <w:tcBorders>
              <w:top w:val="outset" w:sz="6" w:space="0" w:color="414142"/>
              <w:left w:val="outset" w:sz="6" w:space="0" w:color="414142"/>
              <w:bottom w:val="outset" w:sz="6" w:space="0" w:color="414142"/>
              <w:right w:val="outset" w:sz="6" w:space="0" w:color="414142"/>
            </w:tcBorders>
            <w:hideMark/>
          </w:tcPr>
          <w:p w:rsidR="004033F5" w:rsidRPr="00134806" w:rsidP="0003475E" w14:paraId="65A3DF27"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6.1. detalizēts ieņēmumu aprēķins</w:t>
            </w:r>
          </w:p>
        </w:tc>
        <w:tc>
          <w:tcPr>
            <w:tcW w:w="6103" w:type="dxa"/>
            <w:gridSpan w:val="5"/>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5AB4CA6F" w14:textId="77777777">
            <w:pPr>
              <w:spacing w:after="0"/>
              <w:jc w:val="left"/>
              <w:rPr>
                <w:rFonts w:ascii="Times New Roman" w:eastAsia="Times New Roman" w:hAnsi="Times New Roman"/>
                <w:lang w:eastAsia="lv-LV"/>
              </w:rPr>
            </w:pPr>
          </w:p>
        </w:tc>
      </w:tr>
      <w:tr w14:paraId="1BA07EDE" w14:textId="77777777" w:rsidTr="00972761">
        <w:tblPrEx>
          <w:tblW w:w="9152" w:type="dxa"/>
          <w:jc w:val="center"/>
          <w:tblCellMar>
            <w:top w:w="30" w:type="dxa"/>
            <w:left w:w="30" w:type="dxa"/>
            <w:bottom w:w="30" w:type="dxa"/>
            <w:right w:w="30" w:type="dxa"/>
          </w:tblCellMar>
          <w:tblLook w:val="04A0"/>
        </w:tblPrEx>
        <w:trPr>
          <w:jc w:val="center"/>
        </w:trPr>
        <w:tc>
          <w:tcPr>
            <w:tcW w:w="3049" w:type="dxa"/>
            <w:tcBorders>
              <w:top w:val="outset" w:sz="6" w:space="0" w:color="414142"/>
              <w:left w:val="outset" w:sz="6" w:space="0" w:color="414142"/>
              <w:bottom w:val="outset" w:sz="6" w:space="0" w:color="414142"/>
              <w:right w:val="outset" w:sz="6" w:space="0" w:color="414142"/>
            </w:tcBorders>
            <w:hideMark/>
          </w:tcPr>
          <w:p w:rsidR="004033F5" w:rsidRPr="00134806" w:rsidP="0003475E" w14:paraId="4081722D"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6.2.</w:t>
            </w:r>
            <w:r>
              <w:rPr>
                <w:rFonts w:ascii="Times New Roman" w:eastAsia="Times New Roman" w:hAnsi="Times New Roman"/>
                <w:lang w:eastAsia="lv-LV"/>
              </w:rPr>
              <w:t> </w:t>
            </w:r>
            <w:r w:rsidRPr="00134806">
              <w:rPr>
                <w:rFonts w:ascii="Times New Roman" w:eastAsia="Times New Roman" w:hAnsi="Times New Roman"/>
                <w:lang w:eastAsia="lv-LV"/>
              </w:rPr>
              <w:t>detalizēts izdevumu aprēķins</w:t>
            </w:r>
          </w:p>
        </w:tc>
        <w:tc>
          <w:tcPr>
            <w:tcW w:w="6103" w:type="dxa"/>
            <w:gridSpan w:val="5"/>
            <w:vMerge/>
            <w:tcBorders>
              <w:top w:val="outset" w:sz="6" w:space="0" w:color="414142"/>
              <w:left w:val="outset" w:sz="6" w:space="0" w:color="414142"/>
              <w:bottom w:val="outset" w:sz="6" w:space="0" w:color="414142"/>
              <w:right w:val="outset" w:sz="6" w:space="0" w:color="414142"/>
            </w:tcBorders>
            <w:vAlign w:val="center"/>
            <w:hideMark/>
          </w:tcPr>
          <w:p w:rsidR="004033F5" w:rsidRPr="00134806" w:rsidP="0003475E" w14:paraId="4105EEA1" w14:textId="77777777">
            <w:pPr>
              <w:spacing w:after="0"/>
              <w:jc w:val="left"/>
              <w:rPr>
                <w:rFonts w:ascii="Times New Roman" w:eastAsia="Times New Roman" w:hAnsi="Times New Roman"/>
                <w:lang w:eastAsia="lv-LV"/>
              </w:rPr>
            </w:pPr>
          </w:p>
        </w:tc>
      </w:tr>
      <w:tr w14:paraId="55E7E4CE" w14:textId="77777777" w:rsidTr="00E614C0">
        <w:tblPrEx>
          <w:tblW w:w="9152" w:type="dxa"/>
          <w:jc w:val="center"/>
          <w:tblCellMar>
            <w:top w:w="30" w:type="dxa"/>
            <w:left w:w="30" w:type="dxa"/>
            <w:bottom w:w="30" w:type="dxa"/>
            <w:right w:w="30" w:type="dxa"/>
          </w:tblCellMar>
          <w:tblLook w:val="04A0"/>
        </w:tblPrEx>
        <w:trPr>
          <w:trHeight w:val="254"/>
          <w:jc w:val="center"/>
        </w:trPr>
        <w:tc>
          <w:tcPr>
            <w:tcW w:w="3049" w:type="dxa"/>
            <w:tcBorders>
              <w:top w:val="outset" w:sz="6" w:space="0" w:color="414142"/>
              <w:left w:val="outset" w:sz="6" w:space="0" w:color="414142"/>
              <w:bottom w:val="outset" w:sz="6" w:space="0" w:color="414142"/>
              <w:right w:val="outset" w:sz="6" w:space="0" w:color="414142"/>
            </w:tcBorders>
            <w:hideMark/>
          </w:tcPr>
          <w:p w:rsidR="004033F5" w:rsidRPr="00134806" w:rsidP="0003475E" w14:paraId="772FBF18"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7.</w:t>
            </w:r>
            <w:r>
              <w:rPr>
                <w:rFonts w:ascii="Times New Roman" w:eastAsia="Times New Roman" w:hAnsi="Times New Roman"/>
                <w:lang w:eastAsia="lv-LV"/>
              </w:rPr>
              <w:t> </w:t>
            </w:r>
            <w:r w:rsidRPr="00134806">
              <w:rPr>
                <w:rFonts w:ascii="Times New Roman" w:eastAsia="Times New Roman" w:hAnsi="Times New Roman"/>
                <w:lang w:eastAsia="lv-LV"/>
              </w:rPr>
              <w:t>Cita informācija</w:t>
            </w:r>
          </w:p>
        </w:tc>
        <w:tc>
          <w:tcPr>
            <w:tcW w:w="6103" w:type="dxa"/>
            <w:gridSpan w:val="5"/>
            <w:tcBorders>
              <w:top w:val="outset" w:sz="6" w:space="0" w:color="414142"/>
              <w:left w:val="outset" w:sz="6" w:space="0" w:color="414142"/>
              <w:bottom w:val="outset" w:sz="6" w:space="0" w:color="414142"/>
              <w:right w:val="outset" w:sz="6" w:space="0" w:color="414142"/>
            </w:tcBorders>
            <w:hideMark/>
          </w:tcPr>
          <w:p w:rsidR="004033F5" w:rsidRPr="00972761" w:rsidP="00E614C0" w14:paraId="3D21D4A7" w14:textId="24DE21E4">
            <w:pPr>
              <w:spacing w:before="60" w:after="60"/>
              <w:rPr>
                <w:rFonts w:ascii="Times New Roman" w:eastAsia="Times New Roman" w:hAnsi="Times New Roman"/>
                <w:sz w:val="24"/>
                <w:szCs w:val="24"/>
                <w:lang w:eastAsia="lv-LV"/>
              </w:rPr>
            </w:pPr>
            <w:r w:rsidRPr="008F7F05">
              <w:rPr>
                <w:rFonts w:ascii="Times New Roman" w:eastAsia="Times New Roman" w:hAnsi="Times New Roman"/>
                <w:sz w:val="24"/>
                <w:szCs w:val="24"/>
                <w:lang w:eastAsia="lv-LV"/>
              </w:rPr>
              <w:t xml:space="preserve">Klimata politika ir </w:t>
            </w:r>
            <w:r w:rsidRPr="008F7F05" w:rsidR="0003475E">
              <w:rPr>
                <w:rFonts w:ascii="Times New Roman" w:eastAsia="Times New Roman" w:hAnsi="Times New Roman"/>
                <w:sz w:val="24"/>
                <w:szCs w:val="24"/>
                <w:lang w:eastAsia="lv-LV"/>
              </w:rPr>
              <w:t xml:space="preserve">horizontāla </w:t>
            </w:r>
            <w:r w:rsidRPr="00E614C0">
              <w:rPr>
                <w:rFonts w:ascii="Times New Roman" w:eastAsia="Times New Roman" w:hAnsi="Times New Roman"/>
                <w:sz w:val="24"/>
                <w:szCs w:val="24"/>
                <w:lang w:eastAsia="lv-LV"/>
              </w:rPr>
              <w:t>prioritāte un aptver tautsaimniecības nozares, kas ir dažādu ministriju kompetencē.</w:t>
            </w:r>
            <w:r w:rsidRPr="00E614C0" w:rsidR="0003475E">
              <w:rPr>
                <w:rFonts w:ascii="Times New Roman" w:eastAsia="Times New Roman" w:hAnsi="Times New Roman"/>
                <w:sz w:val="24"/>
                <w:szCs w:val="24"/>
                <w:lang w:eastAsia="lv-LV"/>
              </w:rPr>
              <w:t xml:space="preserve"> </w:t>
            </w:r>
            <w:r w:rsidRPr="00972761" w:rsidR="00E614C0">
              <w:rPr>
                <w:rFonts w:ascii="Times New Roman" w:eastAsia="Times New Roman" w:hAnsi="Times New Roman"/>
                <w:sz w:val="24"/>
                <w:szCs w:val="24"/>
                <w:lang w:eastAsia="lv-LV"/>
              </w:rPr>
              <w:t>Nepieciešamības gadījumā</w:t>
            </w:r>
            <w:r w:rsidRPr="00972761" w:rsidR="00DC7AB3">
              <w:rPr>
                <w:rFonts w:ascii="Times New Roman" w:eastAsia="Times New Roman" w:hAnsi="Times New Roman"/>
                <w:sz w:val="24"/>
                <w:szCs w:val="24"/>
                <w:lang w:eastAsia="lv-LV"/>
              </w:rPr>
              <w:t xml:space="preserve"> katrai nozaru ministrijai, to padotības iestādēm vai kapitālsabiedrībām ir </w:t>
            </w:r>
            <w:r w:rsidRPr="00972761" w:rsidR="00E614C0">
              <w:rPr>
                <w:rFonts w:ascii="Times New Roman" w:eastAsia="Times New Roman" w:hAnsi="Times New Roman"/>
                <w:sz w:val="24"/>
                <w:szCs w:val="24"/>
                <w:lang w:eastAsia="lv-LV"/>
              </w:rPr>
              <w:t>jā</w:t>
            </w:r>
            <w:r w:rsidRPr="00972761" w:rsidR="00DC7AB3">
              <w:rPr>
                <w:rFonts w:ascii="Times New Roman" w:eastAsia="Times New Roman" w:hAnsi="Times New Roman"/>
                <w:sz w:val="24"/>
                <w:szCs w:val="24"/>
                <w:lang w:eastAsia="lv-LV"/>
              </w:rPr>
              <w:t>paredz nepieciešam</w:t>
            </w:r>
            <w:r w:rsidRPr="00972761" w:rsidR="00E614C0">
              <w:rPr>
                <w:rFonts w:ascii="Times New Roman" w:eastAsia="Times New Roman" w:hAnsi="Times New Roman"/>
                <w:sz w:val="24"/>
                <w:szCs w:val="24"/>
                <w:lang w:eastAsia="lv-LV"/>
              </w:rPr>
              <w:t>ie papildu</w:t>
            </w:r>
            <w:r w:rsidRPr="00972761" w:rsidR="00DC7AB3">
              <w:rPr>
                <w:rFonts w:ascii="Times New Roman" w:eastAsia="Times New Roman" w:hAnsi="Times New Roman"/>
                <w:sz w:val="24"/>
                <w:szCs w:val="24"/>
                <w:lang w:eastAsia="lv-LV"/>
              </w:rPr>
              <w:t xml:space="preserve"> finanšu līdzekļ</w:t>
            </w:r>
            <w:r w:rsidRPr="00972761" w:rsidR="00E614C0">
              <w:rPr>
                <w:rFonts w:ascii="Times New Roman" w:eastAsia="Times New Roman" w:hAnsi="Times New Roman"/>
                <w:sz w:val="24"/>
                <w:szCs w:val="24"/>
                <w:lang w:eastAsia="lv-LV"/>
              </w:rPr>
              <w:t>i</w:t>
            </w:r>
            <w:r w:rsidRPr="00972761" w:rsidR="00DC7AB3">
              <w:rPr>
                <w:rFonts w:ascii="Times New Roman" w:eastAsia="Times New Roman" w:hAnsi="Times New Roman"/>
                <w:sz w:val="24"/>
                <w:szCs w:val="24"/>
                <w:lang w:eastAsia="lv-LV"/>
              </w:rPr>
              <w:t xml:space="preserve"> no valsts budžeta</w:t>
            </w:r>
            <w:r w:rsidRPr="00972761" w:rsidR="008F7F05">
              <w:rPr>
                <w:rFonts w:ascii="Times New Roman" w:eastAsia="Times New Roman" w:hAnsi="Times New Roman"/>
                <w:sz w:val="24"/>
                <w:szCs w:val="24"/>
                <w:lang w:eastAsia="lv-LV"/>
              </w:rPr>
              <w:t xml:space="preserve"> (ja nepieciešams</w:t>
            </w:r>
            <w:r w:rsidRPr="00972761" w:rsidR="00E614C0">
              <w:rPr>
                <w:rFonts w:ascii="Times New Roman" w:eastAsia="Times New Roman" w:hAnsi="Times New Roman"/>
                <w:sz w:val="24"/>
                <w:szCs w:val="24"/>
                <w:lang w:eastAsia="lv-LV"/>
              </w:rPr>
              <w:t>,</w:t>
            </w:r>
            <w:r w:rsidRPr="00972761" w:rsidR="008F7F05">
              <w:rPr>
                <w:rFonts w:ascii="Times New Roman" w:eastAsia="Times New Roman" w:hAnsi="Times New Roman"/>
                <w:sz w:val="24"/>
                <w:szCs w:val="24"/>
                <w:lang w:eastAsia="lv-LV"/>
              </w:rPr>
              <w:t xml:space="preserve"> plānojot prioritāros pasākumus)</w:t>
            </w:r>
            <w:r w:rsidRPr="00972761" w:rsidR="00DC7AB3">
              <w:rPr>
                <w:rFonts w:ascii="Times New Roman" w:eastAsia="Times New Roman" w:hAnsi="Times New Roman"/>
                <w:sz w:val="24"/>
                <w:szCs w:val="24"/>
                <w:lang w:eastAsia="lv-LV"/>
              </w:rPr>
              <w:t xml:space="preserve"> vai citiem finansējuma avotiem.</w:t>
            </w:r>
            <w:r w:rsidRPr="00972761" w:rsidR="00E614C0">
              <w:rPr>
                <w:rFonts w:ascii="Times New Roman" w:eastAsia="Times New Roman" w:hAnsi="Times New Roman"/>
                <w:sz w:val="24"/>
                <w:szCs w:val="24"/>
                <w:lang w:eastAsia="lv-LV"/>
              </w:rPr>
              <w:t xml:space="preserve"> </w:t>
            </w:r>
          </w:p>
        </w:tc>
      </w:tr>
    </w:tbl>
    <w:p w:rsidR="00602BBE" w:rsidP="004F4CB2" w14:paraId="47F7B693" w14:textId="77777777">
      <w:pPr>
        <w:spacing w:after="0"/>
        <w:rPr>
          <w:rFonts w:ascii="Times New Roman" w:hAnsi="Times New Roman"/>
          <w:b/>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9185"/>
      </w:tblGrid>
      <w:tr w14:paraId="6745A291" w14:textId="77777777" w:rsidTr="005C6466">
        <w:tblPrEx>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Ex>
        <w:trPr>
          <w:trHeight w:val="255"/>
          <w:jc w:val="center"/>
        </w:trPr>
        <w:tc>
          <w:tcPr>
            <w:tcW w:w="9185" w:type="dxa"/>
            <w:vAlign w:val="center"/>
          </w:tcPr>
          <w:p w:rsidR="00133D2A" w:rsidRPr="00602BBE" w:rsidP="00602BBE" w14:paraId="5C7DF5A5" w14:textId="755616FA">
            <w:pPr>
              <w:shd w:val="clear" w:color="auto" w:fill="FFFFFF"/>
              <w:jc w:val="center"/>
              <w:rPr>
                <w:rFonts w:ascii="Times New Roman" w:hAnsi="Times New Roman"/>
                <w:b/>
                <w:bCs/>
                <w:sz w:val="24"/>
                <w:szCs w:val="24"/>
              </w:rPr>
            </w:pPr>
            <w:r w:rsidRPr="00602BBE">
              <w:rPr>
                <w:rFonts w:ascii="Times New Roman" w:hAnsi="Times New Roman"/>
                <w:b/>
                <w:bCs/>
                <w:sz w:val="24"/>
                <w:szCs w:val="24"/>
              </w:rPr>
              <w:t>IV.</w:t>
            </w:r>
            <w:r w:rsidRPr="00602BBE">
              <w:rPr>
                <w:rFonts w:ascii="Times New Roman" w:hAnsi="Times New Roman"/>
                <w:b/>
                <w:bCs/>
                <w:color w:val="414142"/>
                <w:sz w:val="24"/>
                <w:szCs w:val="24"/>
              </w:rPr>
              <w:t xml:space="preserve"> Tiesību akta projekta ietekme uz spēkā esošo tiesību normu sistēmu</w:t>
            </w:r>
          </w:p>
        </w:tc>
      </w:tr>
      <w:tr w14:paraId="653CE51E" w14:textId="77777777" w:rsidTr="005C6466">
        <w:tblPrEx>
          <w:tblW w:w="9185" w:type="dxa"/>
          <w:jc w:val="center"/>
          <w:tblLayout w:type="fixed"/>
          <w:tblCellMar>
            <w:left w:w="57" w:type="dxa"/>
            <w:right w:w="57" w:type="dxa"/>
          </w:tblCellMar>
          <w:tblLook w:val="00A0"/>
        </w:tblPrEx>
        <w:trPr>
          <w:trHeight w:val="255"/>
          <w:jc w:val="center"/>
        </w:trPr>
        <w:tc>
          <w:tcPr>
            <w:tcW w:w="9185" w:type="dxa"/>
            <w:vAlign w:val="center"/>
          </w:tcPr>
          <w:p w:rsidR="00133D2A" w:rsidRPr="00602BBE" w:rsidP="005C6466" w14:paraId="3AEB0573" w14:textId="2B4BAC27">
            <w:pPr>
              <w:spacing w:before="60" w:after="60"/>
              <w:jc w:val="center"/>
              <w:rPr>
                <w:rFonts w:ascii="Times New Roman" w:hAnsi="Times New Roman"/>
                <w:bCs/>
                <w:sz w:val="24"/>
                <w:szCs w:val="24"/>
                <w:lang w:eastAsia="lv-LV"/>
              </w:rPr>
            </w:pPr>
            <w:r w:rsidRPr="00602BBE">
              <w:rPr>
                <w:rFonts w:ascii="Times New Roman" w:hAnsi="Times New Roman"/>
                <w:bCs/>
                <w:sz w:val="24"/>
                <w:szCs w:val="24"/>
              </w:rPr>
              <w:t>Projekts šo jomu neskar</w:t>
            </w:r>
          </w:p>
        </w:tc>
      </w:tr>
    </w:tbl>
    <w:p w:rsidR="00B528A0" w:rsidRPr="00D3416D" w:rsidP="004A100F" w14:paraId="086DE587" w14:textId="3AF8F9AA">
      <w:pPr>
        <w:shd w:val="clear" w:color="auto" w:fill="FFFFFF"/>
        <w:spacing w:after="0"/>
        <w:jc w:val="left"/>
        <w:rPr>
          <w:rFonts w:ascii="Times New Roman" w:hAnsi="Times New Roman"/>
          <w:sz w:val="24"/>
          <w:szCs w:val="24"/>
          <w:lang w:eastAsia="lv-LV"/>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54"/>
        <w:gridCol w:w="1682"/>
        <w:gridCol w:w="6936"/>
      </w:tblGrid>
      <w:tr w14:paraId="146904AB" w14:textId="77777777" w:rsidTr="00DC5242">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jc w:val="center"/>
        </w:trPr>
        <w:tc>
          <w:tcPr>
            <w:tcW w:w="5000" w:type="pct"/>
            <w:gridSpan w:val="3"/>
            <w:shd w:val="clear" w:color="auto" w:fill="FFFFFF"/>
            <w:vAlign w:val="center"/>
          </w:tcPr>
          <w:p w:rsidR="00CB4AAB" w:rsidRPr="00D3416D" w:rsidP="00B63F0E" w14:paraId="30179983" w14:textId="77777777">
            <w:pPr>
              <w:spacing w:before="60" w:after="60"/>
              <w:jc w:val="center"/>
              <w:rPr>
                <w:rFonts w:ascii="Times New Roman" w:hAnsi="Times New Roman"/>
                <w:b/>
                <w:bCs/>
                <w:sz w:val="24"/>
                <w:szCs w:val="24"/>
                <w:lang w:eastAsia="lv-LV"/>
              </w:rPr>
            </w:pPr>
            <w:r w:rsidRPr="00D3416D">
              <w:rPr>
                <w:rFonts w:ascii="Times New Roman" w:hAnsi="Times New Roman"/>
                <w:b/>
                <w:bCs/>
                <w:sz w:val="24"/>
                <w:szCs w:val="24"/>
                <w:lang w:eastAsia="lv-LV"/>
              </w:rPr>
              <w:t>V. Tiesību akta projekta atbilstība Latvijas Republikas starptautiskajām saistībām</w:t>
            </w:r>
          </w:p>
        </w:tc>
      </w:tr>
      <w:tr w14:paraId="1B903F49" w14:textId="77777777" w:rsidTr="00DC5242">
        <w:tblPrEx>
          <w:tblW w:w="9072" w:type="dxa"/>
          <w:jc w:val="center"/>
          <w:tblCellMar>
            <w:top w:w="30" w:type="dxa"/>
            <w:left w:w="30" w:type="dxa"/>
            <w:bottom w:w="30" w:type="dxa"/>
            <w:right w:w="30" w:type="dxa"/>
          </w:tblCellMar>
          <w:tblLook w:val="00A0"/>
        </w:tblPrEx>
        <w:trPr>
          <w:jc w:val="center"/>
        </w:trPr>
        <w:tc>
          <w:tcPr>
            <w:tcW w:w="250" w:type="pct"/>
            <w:shd w:val="clear" w:color="auto" w:fill="FFFFFF"/>
          </w:tcPr>
          <w:p w:rsidR="00CB4AAB" w:rsidRPr="00DE53F3" w:rsidP="00B63F0E" w14:paraId="1BE4D1F1" w14:textId="77777777">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1.</w:t>
            </w:r>
          </w:p>
        </w:tc>
        <w:tc>
          <w:tcPr>
            <w:tcW w:w="927" w:type="pct"/>
            <w:shd w:val="clear" w:color="auto" w:fill="FFFFFF"/>
          </w:tcPr>
          <w:p w:rsidR="00CB4AAB" w:rsidRPr="00DE53F3" w:rsidP="00B63F0E" w14:paraId="3456B868" w14:textId="77777777">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Saistības pret Eiropas Savienību</w:t>
            </w:r>
          </w:p>
        </w:tc>
        <w:tc>
          <w:tcPr>
            <w:tcW w:w="3823" w:type="pct"/>
            <w:shd w:val="clear" w:color="auto" w:fill="FFFFFF"/>
          </w:tcPr>
          <w:p w:rsidR="00F90B84" w:rsidRPr="00DE53F3" w:rsidP="001833AE" w14:paraId="41CE3673" w14:textId="77777777">
            <w:pPr>
              <w:autoSpaceDE w:val="0"/>
              <w:autoSpaceDN w:val="0"/>
              <w:adjustRightInd w:val="0"/>
              <w:spacing w:before="60" w:after="60"/>
              <w:rPr>
                <w:rFonts w:ascii="Times New Roman" w:hAnsi="Times New Roman"/>
                <w:sz w:val="24"/>
                <w:szCs w:val="24"/>
              </w:rPr>
            </w:pPr>
            <w:r w:rsidRPr="00DE53F3">
              <w:rPr>
                <w:rFonts w:ascii="Times New Roman" w:hAnsi="Times New Roman"/>
                <w:sz w:val="24"/>
                <w:szCs w:val="24"/>
              </w:rPr>
              <w:t>N</w:t>
            </w:r>
            <w:r w:rsidRPr="00DE53F3" w:rsidR="00064636">
              <w:rPr>
                <w:rFonts w:ascii="Times New Roman" w:hAnsi="Times New Roman"/>
                <w:sz w:val="24"/>
                <w:szCs w:val="24"/>
              </w:rPr>
              <w:t>oteikumu projekts</w:t>
            </w:r>
            <w:r w:rsidRPr="00DE53F3" w:rsidR="00CB4AAB">
              <w:rPr>
                <w:rFonts w:ascii="Times New Roman" w:hAnsi="Times New Roman"/>
                <w:sz w:val="24"/>
                <w:szCs w:val="24"/>
              </w:rPr>
              <w:t xml:space="preserve"> sagatavots, ievērojot</w:t>
            </w:r>
            <w:r w:rsidRPr="00DE53F3">
              <w:rPr>
                <w:rFonts w:ascii="Times New Roman" w:hAnsi="Times New Roman"/>
                <w:sz w:val="24"/>
                <w:szCs w:val="24"/>
              </w:rPr>
              <w:t>:</w:t>
            </w:r>
          </w:p>
          <w:p w:rsidR="00D07C24" w:rsidRPr="00DE53F3" w:rsidP="001833AE" w14:paraId="3E5E0472" w14:textId="5C0025BB">
            <w:pPr>
              <w:autoSpaceDE w:val="0"/>
              <w:autoSpaceDN w:val="0"/>
              <w:adjustRightInd w:val="0"/>
              <w:spacing w:before="60" w:after="60"/>
              <w:rPr>
                <w:rFonts w:ascii="Times New Roman" w:hAnsi="Times New Roman"/>
                <w:bCs/>
                <w:sz w:val="24"/>
                <w:szCs w:val="24"/>
              </w:rPr>
            </w:pPr>
            <w:r w:rsidRPr="00DE53F3">
              <w:rPr>
                <w:rFonts w:ascii="Times New Roman" w:hAnsi="Times New Roman"/>
                <w:sz w:val="24"/>
                <w:szCs w:val="24"/>
              </w:rPr>
              <w:t>-</w:t>
            </w:r>
            <w:r w:rsidRPr="00DE53F3" w:rsidR="00CB4AAB">
              <w:rPr>
                <w:rFonts w:ascii="Times New Roman" w:hAnsi="Times New Roman"/>
                <w:sz w:val="24"/>
                <w:szCs w:val="24"/>
              </w:rPr>
              <w:t xml:space="preserve"> </w:t>
            </w:r>
            <w:r w:rsidRPr="00DE53F3" w:rsidR="005871ED">
              <w:rPr>
                <w:rFonts w:ascii="Times New Roman" w:hAnsi="Times New Roman"/>
                <w:bCs/>
                <w:sz w:val="24"/>
                <w:szCs w:val="24"/>
              </w:rPr>
              <w:t>2013</w:t>
            </w:r>
            <w:r w:rsidRPr="00DE53F3" w:rsidR="009C0EC5">
              <w:rPr>
                <w:rFonts w:ascii="Times New Roman" w:hAnsi="Times New Roman"/>
                <w:bCs/>
                <w:sz w:val="24"/>
                <w:szCs w:val="24"/>
              </w:rPr>
              <w:t>.</w:t>
            </w:r>
            <w:r w:rsidRPr="00DE53F3" w:rsidR="009C0EC5">
              <w:rPr>
                <w:bCs/>
                <w:sz w:val="24"/>
                <w:szCs w:val="24"/>
              </w:rPr>
              <w:t> </w:t>
            </w:r>
            <w:r w:rsidRPr="00DE53F3" w:rsidR="005871ED">
              <w:rPr>
                <w:rFonts w:ascii="Times New Roman" w:hAnsi="Times New Roman"/>
                <w:bCs/>
                <w:sz w:val="24"/>
                <w:szCs w:val="24"/>
              </w:rPr>
              <w:t>gada 21</w:t>
            </w:r>
            <w:r w:rsidRPr="00DE53F3" w:rsidR="009C0EC5">
              <w:rPr>
                <w:rFonts w:ascii="Times New Roman" w:hAnsi="Times New Roman"/>
                <w:bCs/>
                <w:sz w:val="24"/>
                <w:szCs w:val="24"/>
              </w:rPr>
              <w:t>.</w:t>
            </w:r>
            <w:r w:rsidRPr="00DE53F3" w:rsidR="009C0EC5">
              <w:rPr>
                <w:bCs/>
                <w:sz w:val="24"/>
                <w:szCs w:val="24"/>
              </w:rPr>
              <w:t> </w:t>
            </w:r>
            <w:r w:rsidRPr="00DE53F3" w:rsidR="005871ED">
              <w:rPr>
                <w:rFonts w:ascii="Times New Roman" w:hAnsi="Times New Roman"/>
                <w:bCs/>
                <w:sz w:val="24"/>
                <w:szCs w:val="24"/>
              </w:rPr>
              <w:t xml:space="preserve">maija Eiropas Parlamenta un Padomes </w:t>
            </w:r>
            <w:r w:rsidRPr="00DE53F3" w:rsidR="009C0EC5">
              <w:rPr>
                <w:rFonts w:ascii="Times New Roman" w:hAnsi="Times New Roman"/>
                <w:bCs/>
                <w:sz w:val="24"/>
                <w:szCs w:val="24"/>
              </w:rPr>
              <w:t xml:space="preserve">Lēmumu </w:t>
            </w:r>
            <w:r w:rsidRPr="00DE53F3" w:rsidR="005871ED">
              <w:rPr>
                <w:rFonts w:ascii="Times New Roman" w:hAnsi="Times New Roman"/>
                <w:bCs/>
                <w:sz w:val="24"/>
                <w:szCs w:val="24"/>
              </w:rPr>
              <w:t>Nr.</w:t>
            </w:r>
            <w:r w:rsidRPr="00DE53F3" w:rsidR="009C0EC5">
              <w:rPr>
                <w:bCs/>
                <w:sz w:val="24"/>
                <w:szCs w:val="24"/>
              </w:rPr>
              <w:t> </w:t>
            </w:r>
            <w:r w:rsidRPr="00DE53F3" w:rsidR="005871ED">
              <w:rPr>
                <w:rFonts w:ascii="Times New Roman" w:hAnsi="Times New Roman"/>
                <w:bCs/>
                <w:sz w:val="24"/>
                <w:szCs w:val="24"/>
              </w:rPr>
              <w:t>529/2013/ES par uzskaites noteikumiem attiecībā uz siltumnīcefekta gāzu emisijām un piesaisti, kas rodas darbībās, kuras saistītas ar zemes izmantošanu, zemes izmantošanas maiņu un mežsaimniecību, un par informāciju par rīcīb</w:t>
            </w:r>
            <w:r w:rsidR="0048741E">
              <w:rPr>
                <w:rFonts w:ascii="Times New Roman" w:hAnsi="Times New Roman"/>
                <w:bCs/>
                <w:sz w:val="24"/>
                <w:szCs w:val="24"/>
              </w:rPr>
              <w:t>u, kas saistīta ar šīm darbībām</w:t>
            </w:r>
            <w:r w:rsidR="00666C04">
              <w:rPr>
                <w:rFonts w:ascii="Times New Roman" w:hAnsi="Times New Roman"/>
                <w:bCs/>
                <w:sz w:val="24"/>
                <w:szCs w:val="24"/>
              </w:rPr>
              <w:t xml:space="preserve"> </w:t>
            </w:r>
            <w:r w:rsidRPr="00B31E8B" w:rsidR="00666C04">
              <w:rPr>
                <w:rFonts w:ascii="Times New Roman" w:hAnsi="Times New Roman"/>
                <w:sz w:val="24"/>
                <w:szCs w:val="24"/>
              </w:rPr>
              <w:t xml:space="preserve">(turpmāk – </w:t>
            </w:r>
            <w:r w:rsidR="00666C04">
              <w:rPr>
                <w:rFonts w:ascii="Times New Roman" w:hAnsi="Times New Roman"/>
                <w:sz w:val="24"/>
                <w:szCs w:val="24"/>
              </w:rPr>
              <w:t xml:space="preserve">Lēmums </w:t>
            </w:r>
            <w:r w:rsidRPr="00DE53F3" w:rsidR="00666C04">
              <w:rPr>
                <w:rFonts w:ascii="Times New Roman" w:hAnsi="Times New Roman"/>
                <w:bCs/>
                <w:sz w:val="24"/>
                <w:szCs w:val="24"/>
              </w:rPr>
              <w:t>Nr.</w:t>
            </w:r>
            <w:r w:rsidRPr="00DE53F3" w:rsidR="00666C04">
              <w:rPr>
                <w:bCs/>
                <w:sz w:val="24"/>
                <w:szCs w:val="24"/>
              </w:rPr>
              <w:t> </w:t>
            </w:r>
            <w:r w:rsidRPr="00DE53F3" w:rsidR="00666C04">
              <w:rPr>
                <w:rFonts w:ascii="Times New Roman" w:hAnsi="Times New Roman"/>
                <w:bCs/>
                <w:sz w:val="24"/>
                <w:szCs w:val="24"/>
              </w:rPr>
              <w:t>529/2013/ES</w:t>
            </w:r>
            <w:r w:rsidR="00666C04">
              <w:rPr>
                <w:rFonts w:ascii="Times New Roman" w:hAnsi="Times New Roman"/>
                <w:sz w:val="24"/>
                <w:szCs w:val="24"/>
              </w:rPr>
              <w:t>)</w:t>
            </w:r>
            <w:r w:rsidRPr="00DE53F3">
              <w:rPr>
                <w:rFonts w:ascii="Times New Roman" w:hAnsi="Times New Roman"/>
                <w:bCs/>
                <w:sz w:val="24"/>
                <w:szCs w:val="24"/>
              </w:rPr>
              <w:t>;</w:t>
            </w:r>
          </w:p>
          <w:p w:rsidR="00F90B84" w:rsidRPr="00DE53F3" w:rsidP="00666C04" w14:paraId="3CE0EA7B" w14:textId="2115BF64">
            <w:pPr>
              <w:autoSpaceDE w:val="0"/>
              <w:autoSpaceDN w:val="0"/>
              <w:adjustRightInd w:val="0"/>
              <w:spacing w:before="60" w:after="60"/>
              <w:rPr>
                <w:sz w:val="24"/>
                <w:szCs w:val="24"/>
                <w:lang w:eastAsia="lv-LV"/>
              </w:rPr>
            </w:pPr>
            <w:r w:rsidRPr="00DE53F3">
              <w:rPr>
                <w:rFonts w:ascii="Times New Roman" w:hAnsi="Times New Roman"/>
                <w:b/>
                <w:sz w:val="24"/>
                <w:szCs w:val="24"/>
                <w:lang w:eastAsia="lv-LV"/>
              </w:rPr>
              <w:t>-</w:t>
            </w:r>
            <w:r w:rsidRPr="00DE53F3">
              <w:rPr>
                <w:rStyle w:val="apple-converted-space"/>
                <w:rFonts w:ascii="Times New Roman" w:hAnsi="Times New Roman"/>
                <w:b/>
                <w:sz w:val="24"/>
                <w:szCs w:val="24"/>
                <w:bdr w:val="none" w:sz="0" w:space="0" w:color="auto" w:frame="1"/>
                <w:shd w:val="clear" w:color="auto" w:fill="FFFFFF"/>
              </w:rPr>
              <w:t xml:space="preserve"> </w:t>
            </w:r>
            <w:r w:rsidR="00666C04">
              <w:rPr>
                <w:rStyle w:val="Strong"/>
                <w:rFonts w:ascii="Times New Roman" w:hAnsi="Times New Roman"/>
                <w:b w:val="0"/>
                <w:sz w:val="24"/>
                <w:szCs w:val="24"/>
                <w:bdr w:val="none" w:sz="0" w:space="0" w:color="auto" w:frame="1"/>
                <w:shd w:val="clear" w:color="auto" w:fill="FFFFFF"/>
              </w:rPr>
              <w:t>Regul</w:t>
            </w:r>
            <w:r w:rsidR="005A2B25">
              <w:rPr>
                <w:rStyle w:val="Strong"/>
                <w:rFonts w:ascii="Times New Roman" w:hAnsi="Times New Roman"/>
                <w:b w:val="0"/>
                <w:sz w:val="24"/>
                <w:szCs w:val="24"/>
                <w:bdr w:val="none" w:sz="0" w:space="0" w:color="auto" w:frame="1"/>
                <w:shd w:val="clear" w:color="auto" w:fill="FFFFFF"/>
              </w:rPr>
              <w:t>u</w:t>
            </w:r>
            <w:r w:rsidRPr="00DE53F3" w:rsidR="00373448">
              <w:rPr>
                <w:rStyle w:val="Strong"/>
                <w:rFonts w:ascii="Times New Roman" w:hAnsi="Times New Roman"/>
                <w:b w:val="0"/>
                <w:sz w:val="24"/>
                <w:szCs w:val="24"/>
                <w:bdr w:val="none" w:sz="0" w:space="0" w:color="auto" w:frame="1"/>
                <w:shd w:val="clear" w:color="auto" w:fill="FFFFFF"/>
              </w:rPr>
              <w:t xml:space="preserve"> </w:t>
            </w:r>
            <w:r w:rsidRPr="00DE53F3">
              <w:rPr>
                <w:rStyle w:val="Strong"/>
                <w:rFonts w:ascii="Times New Roman" w:hAnsi="Times New Roman"/>
                <w:b w:val="0"/>
                <w:sz w:val="24"/>
                <w:szCs w:val="24"/>
                <w:bdr w:val="none" w:sz="0" w:space="0" w:color="auto" w:frame="1"/>
                <w:shd w:val="clear" w:color="auto" w:fill="FFFFFF"/>
              </w:rPr>
              <w:t xml:space="preserve"> </w:t>
            </w:r>
            <w:r w:rsidRPr="00DE53F3" w:rsidR="00373448">
              <w:rPr>
                <w:rStyle w:val="Strong"/>
                <w:rFonts w:ascii="Times New Roman" w:hAnsi="Times New Roman"/>
                <w:b w:val="0"/>
                <w:sz w:val="24"/>
                <w:szCs w:val="24"/>
                <w:bdr w:val="none" w:sz="0" w:space="0" w:color="auto" w:frame="1"/>
                <w:shd w:val="clear" w:color="auto" w:fill="FFFFFF"/>
              </w:rPr>
              <w:t>Nr. 525/2013</w:t>
            </w:r>
            <w:r w:rsidR="00E01F07">
              <w:rPr>
                <w:rStyle w:val="Strong"/>
                <w:rFonts w:ascii="Times New Roman" w:hAnsi="Times New Roman"/>
                <w:b w:val="0"/>
                <w:sz w:val="24"/>
                <w:szCs w:val="24"/>
                <w:bdr w:val="none" w:sz="0" w:space="0" w:color="auto" w:frame="1"/>
                <w:shd w:val="clear" w:color="auto" w:fill="FFFFFF"/>
              </w:rPr>
              <w:t>.</w:t>
            </w:r>
          </w:p>
        </w:tc>
      </w:tr>
      <w:tr w14:paraId="709EDEBF" w14:textId="77777777" w:rsidTr="00DC5242">
        <w:tblPrEx>
          <w:tblW w:w="9072" w:type="dxa"/>
          <w:jc w:val="center"/>
          <w:tblCellMar>
            <w:top w:w="30" w:type="dxa"/>
            <w:left w:w="30" w:type="dxa"/>
            <w:bottom w:w="30" w:type="dxa"/>
            <w:right w:w="30" w:type="dxa"/>
          </w:tblCellMar>
          <w:tblLook w:val="00A0"/>
        </w:tblPrEx>
        <w:trPr>
          <w:jc w:val="center"/>
        </w:trPr>
        <w:tc>
          <w:tcPr>
            <w:tcW w:w="250" w:type="pct"/>
            <w:shd w:val="clear" w:color="auto" w:fill="FFFFFF"/>
          </w:tcPr>
          <w:p w:rsidR="00CB4AAB" w:rsidRPr="00DE53F3" w:rsidP="00B63F0E" w14:paraId="07D89BC1" w14:textId="1F0BC394">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2</w:t>
            </w:r>
            <w:r w:rsidRPr="00DE53F3">
              <w:rPr>
                <w:rFonts w:ascii="Times New Roman" w:hAnsi="Times New Roman"/>
                <w:sz w:val="24"/>
                <w:szCs w:val="24"/>
                <w:lang w:eastAsia="lv-LV"/>
              </w:rPr>
              <w:t>.</w:t>
            </w:r>
          </w:p>
        </w:tc>
        <w:tc>
          <w:tcPr>
            <w:tcW w:w="927" w:type="pct"/>
            <w:shd w:val="clear" w:color="auto" w:fill="FFFFFF"/>
          </w:tcPr>
          <w:p w:rsidR="00CB4AAB" w:rsidRPr="00DE53F3" w:rsidP="00B63F0E" w14:paraId="1BDBF27D" w14:textId="77777777">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Citas starptautiskās saistības</w:t>
            </w:r>
          </w:p>
        </w:tc>
        <w:tc>
          <w:tcPr>
            <w:tcW w:w="3823" w:type="pct"/>
            <w:shd w:val="clear" w:color="auto" w:fill="FFFFFF"/>
          </w:tcPr>
          <w:p w:rsidR="005871ED" w:rsidRPr="00DE53F3" w:rsidP="00666C04" w14:paraId="5FF261CD" w14:textId="30F058DB">
            <w:pPr>
              <w:spacing w:before="60" w:after="60"/>
              <w:rPr>
                <w:rFonts w:ascii="Times New Roman" w:hAnsi="Times New Roman"/>
                <w:sz w:val="24"/>
                <w:szCs w:val="24"/>
              </w:rPr>
            </w:pPr>
            <w:r w:rsidRPr="00DE53F3">
              <w:rPr>
                <w:rFonts w:ascii="Times New Roman" w:hAnsi="Times New Roman"/>
                <w:sz w:val="24"/>
                <w:szCs w:val="24"/>
              </w:rPr>
              <w:t xml:space="preserve">ANO </w:t>
            </w:r>
            <w:r w:rsidR="00666C04">
              <w:rPr>
                <w:rFonts w:ascii="Times New Roman" w:hAnsi="Times New Roman"/>
                <w:sz w:val="24"/>
                <w:szCs w:val="24"/>
              </w:rPr>
              <w:t>Klimata konvencija</w:t>
            </w:r>
            <w:r w:rsidRPr="00DE53F3">
              <w:rPr>
                <w:rFonts w:ascii="Times New Roman" w:hAnsi="Times New Roman"/>
                <w:sz w:val="24"/>
                <w:szCs w:val="24"/>
              </w:rPr>
              <w:t xml:space="preserve"> un Kioto Protokola Līgumslēdzēju pušu konferencēs un pieņemtie lēmumi: 24/CP.19, 13/CMP, 19/CMP.1, 2/CMP.8, 2/CMP.7, 2/CP.17, 19/CP.18.</w:t>
            </w:r>
          </w:p>
        </w:tc>
      </w:tr>
      <w:tr w14:paraId="5ED20D2C" w14:textId="77777777" w:rsidTr="00DC5242">
        <w:tblPrEx>
          <w:tblW w:w="9072" w:type="dxa"/>
          <w:jc w:val="center"/>
          <w:tblCellMar>
            <w:top w:w="30" w:type="dxa"/>
            <w:left w:w="30" w:type="dxa"/>
            <w:bottom w:w="30" w:type="dxa"/>
            <w:right w:w="30" w:type="dxa"/>
          </w:tblCellMar>
          <w:tblLook w:val="00A0"/>
        </w:tblPrEx>
        <w:trPr>
          <w:jc w:val="center"/>
        </w:trPr>
        <w:tc>
          <w:tcPr>
            <w:tcW w:w="250" w:type="pct"/>
            <w:shd w:val="clear" w:color="auto" w:fill="FFFFFF"/>
          </w:tcPr>
          <w:p w:rsidR="00CB4AAB" w:rsidRPr="00DE53F3" w:rsidP="00B63F0E" w14:paraId="19D42719" w14:textId="77777777">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3.</w:t>
            </w:r>
          </w:p>
        </w:tc>
        <w:tc>
          <w:tcPr>
            <w:tcW w:w="927" w:type="pct"/>
            <w:shd w:val="clear" w:color="auto" w:fill="FFFFFF"/>
          </w:tcPr>
          <w:p w:rsidR="00CB4AAB" w:rsidRPr="00DE53F3" w:rsidP="00B63F0E" w14:paraId="7AEC9829" w14:textId="77777777">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Cita informācija</w:t>
            </w:r>
          </w:p>
        </w:tc>
        <w:tc>
          <w:tcPr>
            <w:tcW w:w="3823" w:type="pct"/>
            <w:shd w:val="clear" w:color="auto" w:fill="FFFFFF"/>
          </w:tcPr>
          <w:p w:rsidR="00CB4AAB" w:rsidRPr="00DE53F3" w:rsidP="001833AE" w14:paraId="619651EE" w14:textId="77777777">
            <w:pPr>
              <w:spacing w:before="60" w:after="60"/>
              <w:rPr>
                <w:rFonts w:ascii="Times New Roman" w:hAnsi="Times New Roman"/>
                <w:b/>
                <w:sz w:val="24"/>
                <w:szCs w:val="24"/>
                <w:lang w:eastAsia="lv-LV"/>
              </w:rPr>
            </w:pPr>
            <w:r w:rsidRPr="00DE53F3">
              <w:rPr>
                <w:rFonts w:ascii="Times New Roman" w:hAnsi="Times New Roman"/>
                <w:sz w:val="24"/>
                <w:szCs w:val="24"/>
                <w:lang w:eastAsia="lv-LV"/>
              </w:rPr>
              <w:t>Nav.</w:t>
            </w:r>
          </w:p>
        </w:tc>
      </w:tr>
    </w:tbl>
    <w:p w:rsidR="00CB4AAB" w:rsidRPr="00DE53F3" w:rsidP="00F122F9" w14:paraId="3B503889" w14:textId="77777777">
      <w:pPr>
        <w:spacing w:after="0"/>
        <w:jc w:val="left"/>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46"/>
        <w:gridCol w:w="1893"/>
        <w:gridCol w:w="2410"/>
        <w:gridCol w:w="3123"/>
      </w:tblGrid>
      <w:tr w14:paraId="2BA93ED4" w14:textId="77777777" w:rsidTr="000252D3">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284"/>
          <w:jc w:val="center"/>
        </w:trPr>
        <w:tc>
          <w:tcPr>
            <w:tcW w:w="9072" w:type="dxa"/>
            <w:gridSpan w:val="4"/>
          </w:tcPr>
          <w:p w:rsidR="00CB4AAB" w:rsidRPr="00DE53F3" w:rsidP="00B63F0E" w14:paraId="0F95BAA9" w14:textId="77777777">
            <w:pPr>
              <w:spacing w:before="60" w:after="60"/>
              <w:jc w:val="center"/>
              <w:rPr>
                <w:rFonts w:ascii="Times New Roman" w:hAnsi="Times New Roman"/>
                <w:b/>
                <w:sz w:val="24"/>
                <w:szCs w:val="24"/>
              </w:rPr>
            </w:pPr>
            <w:r w:rsidRPr="00DE53F3">
              <w:rPr>
                <w:rFonts w:ascii="Times New Roman" w:hAnsi="Times New Roman"/>
                <w:b/>
                <w:sz w:val="24"/>
                <w:szCs w:val="24"/>
              </w:rPr>
              <w:t>1.tabula</w:t>
            </w:r>
          </w:p>
          <w:p w:rsidR="00CB4AAB" w:rsidRPr="00DE53F3" w:rsidP="00B63F0E" w14:paraId="7E26A588" w14:textId="77777777">
            <w:pPr>
              <w:spacing w:before="60" w:after="60"/>
              <w:ind w:left="57"/>
              <w:jc w:val="center"/>
              <w:rPr>
                <w:rFonts w:ascii="Times New Roman" w:hAnsi="Times New Roman"/>
                <w:sz w:val="24"/>
                <w:szCs w:val="24"/>
              </w:rPr>
            </w:pPr>
            <w:r w:rsidRPr="00DE53F3">
              <w:rPr>
                <w:rFonts w:ascii="Times New Roman" w:hAnsi="Times New Roman"/>
                <w:b/>
                <w:sz w:val="24"/>
                <w:szCs w:val="24"/>
              </w:rPr>
              <w:t>Tiesību akta projekta atbilstība ES tiesību aktiem</w:t>
            </w:r>
          </w:p>
        </w:tc>
      </w:tr>
      <w:tr w14:paraId="672D6D01" w14:textId="77777777" w:rsidTr="000252D3">
        <w:tblPrEx>
          <w:tblW w:w="9072" w:type="dxa"/>
          <w:jc w:val="center"/>
          <w:tblLayout w:type="fixed"/>
          <w:tblCellMar>
            <w:left w:w="0" w:type="dxa"/>
            <w:right w:w="0" w:type="dxa"/>
          </w:tblCellMar>
          <w:tblLook w:val="0000"/>
        </w:tblPrEx>
        <w:trPr>
          <w:trHeight w:val="284"/>
          <w:jc w:val="center"/>
        </w:trPr>
        <w:tc>
          <w:tcPr>
            <w:tcW w:w="1646" w:type="dxa"/>
          </w:tcPr>
          <w:p w:rsidR="00CB4AAB" w:rsidRPr="00DE53F3" w:rsidP="009C0EC5" w14:paraId="16DC1E90" w14:textId="77777777">
            <w:pPr>
              <w:spacing w:before="60" w:after="60"/>
              <w:ind w:left="137" w:right="91"/>
              <w:rPr>
                <w:rFonts w:ascii="Times New Roman" w:hAnsi="Times New Roman"/>
                <w:sz w:val="24"/>
                <w:szCs w:val="24"/>
              </w:rPr>
            </w:pPr>
            <w:r w:rsidRPr="00DE53F3">
              <w:rPr>
                <w:rFonts w:ascii="Times New Roman" w:hAnsi="Times New Roman"/>
                <w:sz w:val="24"/>
                <w:szCs w:val="24"/>
              </w:rPr>
              <w:t>Attiecīgā Eiropas Savienības tiesību akta datums, numurs un nosaukums</w:t>
            </w:r>
          </w:p>
        </w:tc>
        <w:tc>
          <w:tcPr>
            <w:tcW w:w="7426" w:type="dxa"/>
            <w:gridSpan w:val="3"/>
            <w:vAlign w:val="center"/>
          </w:tcPr>
          <w:p w:rsidR="00CB4AAB" w:rsidRPr="003A14BC" w:rsidP="00DC1194" w14:paraId="158D4219" w14:textId="54F4A2FA">
            <w:pPr>
              <w:autoSpaceDE w:val="0"/>
              <w:autoSpaceDN w:val="0"/>
              <w:adjustRightInd w:val="0"/>
              <w:spacing w:before="60" w:after="60"/>
              <w:ind w:left="50" w:right="146"/>
              <w:rPr>
                <w:rFonts w:ascii="Times New Roman" w:hAnsi="Times New Roman"/>
                <w:sz w:val="24"/>
                <w:szCs w:val="24"/>
                <w:shd w:val="clear" w:color="auto" w:fill="FFFFFF"/>
              </w:rPr>
            </w:pPr>
            <w:r w:rsidRPr="003A14BC">
              <w:rPr>
                <w:rFonts w:ascii="Times New Roman" w:hAnsi="Times New Roman"/>
                <w:sz w:val="24"/>
                <w:szCs w:val="24"/>
                <w:shd w:val="clear" w:color="auto" w:fill="FFFFFF"/>
              </w:rPr>
              <w:t>Lēmums Nr. 529/2013/ES</w:t>
            </w:r>
          </w:p>
        </w:tc>
      </w:tr>
      <w:tr w14:paraId="08BA0AD5" w14:textId="77777777" w:rsidTr="00DC1194">
        <w:tblPrEx>
          <w:tblW w:w="9072" w:type="dxa"/>
          <w:jc w:val="center"/>
          <w:tblLayout w:type="fixed"/>
          <w:tblCellMar>
            <w:left w:w="0" w:type="dxa"/>
            <w:right w:w="0" w:type="dxa"/>
          </w:tblCellMar>
          <w:tblLook w:val="0000"/>
        </w:tblPrEx>
        <w:trPr>
          <w:trHeight w:val="284"/>
          <w:jc w:val="center"/>
        </w:trPr>
        <w:tc>
          <w:tcPr>
            <w:tcW w:w="1646" w:type="dxa"/>
            <w:vAlign w:val="center"/>
          </w:tcPr>
          <w:p w:rsidR="00F07CD0" w:rsidRPr="009A2AC6" w:rsidP="005E117D" w14:paraId="54BBBAD8" w14:textId="77777777">
            <w:pPr>
              <w:spacing w:after="0"/>
              <w:jc w:val="center"/>
              <w:rPr>
                <w:rFonts w:ascii="Times New Roman" w:hAnsi="Times New Roman"/>
                <w:sz w:val="20"/>
                <w:szCs w:val="20"/>
              </w:rPr>
            </w:pPr>
            <w:r w:rsidRPr="009A2AC6">
              <w:rPr>
                <w:rFonts w:ascii="Times New Roman" w:hAnsi="Times New Roman"/>
                <w:sz w:val="20"/>
                <w:szCs w:val="20"/>
              </w:rPr>
              <w:t>A</w:t>
            </w:r>
          </w:p>
        </w:tc>
        <w:tc>
          <w:tcPr>
            <w:tcW w:w="1893" w:type="dxa"/>
            <w:vAlign w:val="center"/>
          </w:tcPr>
          <w:p w:rsidR="00F07CD0" w:rsidRPr="009A2AC6" w:rsidP="005E117D" w14:paraId="40FBD77F" w14:textId="77777777">
            <w:pPr>
              <w:spacing w:after="0"/>
              <w:ind w:left="57"/>
              <w:jc w:val="center"/>
              <w:rPr>
                <w:rFonts w:ascii="Times New Roman" w:hAnsi="Times New Roman"/>
                <w:sz w:val="20"/>
                <w:szCs w:val="20"/>
              </w:rPr>
            </w:pPr>
            <w:r w:rsidRPr="009A2AC6">
              <w:rPr>
                <w:rFonts w:ascii="Times New Roman" w:hAnsi="Times New Roman"/>
                <w:sz w:val="20"/>
                <w:szCs w:val="20"/>
              </w:rPr>
              <w:t>B</w:t>
            </w:r>
          </w:p>
        </w:tc>
        <w:tc>
          <w:tcPr>
            <w:tcW w:w="2410" w:type="dxa"/>
            <w:vAlign w:val="center"/>
          </w:tcPr>
          <w:p w:rsidR="00F07CD0" w:rsidRPr="009A2AC6" w:rsidP="005E117D" w14:paraId="1886F39D" w14:textId="77777777">
            <w:pPr>
              <w:spacing w:after="0"/>
              <w:ind w:left="57"/>
              <w:jc w:val="center"/>
              <w:rPr>
                <w:rFonts w:ascii="Times New Roman" w:hAnsi="Times New Roman"/>
                <w:sz w:val="20"/>
                <w:szCs w:val="20"/>
              </w:rPr>
            </w:pPr>
            <w:r w:rsidRPr="009A2AC6">
              <w:rPr>
                <w:rFonts w:ascii="Times New Roman" w:hAnsi="Times New Roman"/>
                <w:sz w:val="20"/>
                <w:szCs w:val="20"/>
              </w:rPr>
              <w:t>C</w:t>
            </w:r>
          </w:p>
        </w:tc>
        <w:tc>
          <w:tcPr>
            <w:tcW w:w="3123" w:type="dxa"/>
            <w:vAlign w:val="center"/>
          </w:tcPr>
          <w:p w:rsidR="00F07CD0" w:rsidRPr="009A2AC6" w:rsidP="005E117D" w14:paraId="0C3C84A9" w14:textId="77777777">
            <w:pPr>
              <w:spacing w:after="0"/>
              <w:ind w:left="57"/>
              <w:jc w:val="center"/>
              <w:rPr>
                <w:rFonts w:ascii="Times New Roman" w:hAnsi="Times New Roman"/>
                <w:sz w:val="20"/>
                <w:szCs w:val="20"/>
              </w:rPr>
            </w:pPr>
            <w:r w:rsidRPr="009A2AC6">
              <w:rPr>
                <w:rFonts w:ascii="Times New Roman" w:hAnsi="Times New Roman"/>
                <w:sz w:val="20"/>
                <w:szCs w:val="20"/>
              </w:rPr>
              <w:t>D</w:t>
            </w:r>
          </w:p>
        </w:tc>
      </w:tr>
      <w:tr w14:paraId="49985CD3" w14:textId="77777777" w:rsidTr="00DC1194">
        <w:tblPrEx>
          <w:tblW w:w="9072" w:type="dxa"/>
          <w:jc w:val="center"/>
          <w:tblLayout w:type="fixed"/>
          <w:tblCellMar>
            <w:left w:w="0" w:type="dxa"/>
            <w:right w:w="0" w:type="dxa"/>
          </w:tblCellMar>
          <w:tblLook w:val="0000"/>
        </w:tblPrEx>
        <w:trPr>
          <w:trHeight w:val="284"/>
          <w:jc w:val="center"/>
        </w:trPr>
        <w:tc>
          <w:tcPr>
            <w:tcW w:w="1646" w:type="dxa"/>
          </w:tcPr>
          <w:p w:rsidR="00CB4AAB" w:rsidRPr="009A2AC6" w:rsidP="009C0EC5" w14:paraId="643E5323" w14:textId="77777777">
            <w:pPr>
              <w:spacing w:before="60" w:after="60"/>
              <w:ind w:left="137" w:right="91"/>
              <w:rPr>
                <w:rFonts w:ascii="Times New Roman" w:hAnsi="Times New Roman"/>
                <w:spacing w:val="-3"/>
              </w:rPr>
            </w:pPr>
            <w:r w:rsidRPr="009A2AC6">
              <w:rPr>
                <w:rFonts w:ascii="Times New Roman" w:hAnsi="Times New Roman"/>
                <w:spacing w:val="-3"/>
              </w:rPr>
              <w:t>Attiecīgā ES tiesību akta panta numurs (uzskaitot katru tiesību akta vienību – pantu, daļu, punktu, apakšpunktu)</w:t>
            </w:r>
          </w:p>
        </w:tc>
        <w:tc>
          <w:tcPr>
            <w:tcW w:w="1893" w:type="dxa"/>
          </w:tcPr>
          <w:p w:rsidR="00CB4AAB" w:rsidRPr="009A2AC6" w:rsidP="009C0EC5" w14:paraId="460843AD" w14:textId="77777777">
            <w:pPr>
              <w:spacing w:before="60" w:after="60"/>
              <w:ind w:left="50" w:right="181"/>
              <w:rPr>
                <w:rFonts w:ascii="Times New Roman" w:hAnsi="Times New Roman"/>
                <w:spacing w:val="-3"/>
              </w:rPr>
            </w:pPr>
            <w:r w:rsidRPr="009A2AC6">
              <w:rPr>
                <w:rFonts w:ascii="Times New Roman" w:hAnsi="Times New Roman"/>
                <w:spacing w:val="-3"/>
              </w:rPr>
              <w:t>Projekta vienība, kas pārņem vai ievieš katru šīs tabulas A ailē minēto ES tiesību akta vienību, vai tiesību akts, kur attiecīgā ES tiesību akta vienība pārņemta vai ieviesta</w:t>
            </w:r>
          </w:p>
        </w:tc>
        <w:tc>
          <w:tcPr>
            <w:tcW w:w="2410" w:type="dxa"/>
          </w:tcPr>
          <w:p w:rsidR="00CB4AAB" w:rsidRPr="009A2AC6" w:rsidP="009C0EC5" w14:paraId="46191525" w14:textId="2A43CC40">
            <w:pPr>
              <w:spacing w:before="60" w:after="60"/>
              <w:ind w:left="103" w:right="90"/>
              <w:rPr>
                <w:rFonts w:ascii="Times New Roman" w:hAnsi="Times New Roman"/>
                <w:spacing w:val="-3"/>
              </w:rPr>
            </w:pPr>
            <w:r w:rsidRPr="009A2AC6">
              <w:rPr>
                <w:rFonts w:ascii="Times New Roman" w:hAnsi="Times New Roman"/>
                <w:spacing w:val="-3"/>
              </w:rPr>
              <w:t>Info</w:t>
            </w:r>
            <w:r w:rsidRPr="009A2AC6" w:rsidR="00817149">
              <w:rPr>
                <w:rFonts w:ascii="Times New Roman" w:hAnsi="Times New Roman"/>
                <w:spacing w:val="-3"/>
              </w:rPr>
              <w:t xml:space="preserve">rmācija par to, vai šīs tabulas </w:t>
            </w:r>
            <w:r w:rsidRPr="009A2AC6">
              <w:rPr>
                <w:rFonts w:ascii="Times New Roman" w:hAnsi="Times New Roman"/>
                <w:spacing w:val="-3"/>
              </w:rPr>
              <w:t>A</w:t>
            </w:r>
            <w:r w:rsidRPr="009A2AC6" w:rsidR="00817149">
              <w:rPr>
                <w:rFonts w:ascii="Times New Roman" w:hAnsi="Times New Roman"/>
                <w:spacing w:val="-3"/>
              </w:rPr>
              <w:t xml:space="preserve"> </w:t>
            </w:r>
            <w:r w:rsidRPr="009A2AC6">
              <w:rPr>
                <w:rFonts w:ascii="Times New Roman" w:hAnsi="Times New Roman"/>
                <w:spacing w:val="-3"/>
              </w:rPr>
              <w:t>ailē minētās ES tiesību akta vienības tiek pārņemtas vai ieviestas pilnībā vai daļēji.</w:t>
            </w:r>
          </w:p>
          <w:p w:rsidR="00CB4AAB" w:rsidRPr="009A2AC6" w:rsidP="009C0EC5" w14:paraId="4B4D095A" w14:textId="77777777">
            <w:pPr>
              <w:spacing w:before="60" w:after="60"/>
              <w:ind w:left="103" w:right="90"/>
              <w:rPr>
                <w:rFonts w:ascii="Times New Roman" w:hAnsi="Times New Roman"/>
                <w:spacing w:val="-3"/>
              </w:rPr>
            </w:pPr>
            <w:r w:rsidRPr="009A2AC6">
              <w:rPr>
                <w:rFonts w:ascii="Times New Roman" w:hAnsi="Times New Roman"/>
                <w:spacing w:val="-3"/>
              </w:rPr>
              <w:t>Ja attiecīgā ES tiesību akta vienība tiek pārņemta vai ieviesta daļēji, sniedz attiecīgu skaidrojumu, kā arī precīzi norāda, kad un kādā veidā ES tiesību akta vienība tiks pārņemta vai ieviesta pilnībā.</w:t>
            </w:r>
          </w:p>
          <w:p w:rsidR="00CB4AAB" w:rsidRPr="009A2AC6" w:rsidP="009C0EC5" w14:paraId="656CA486" w14:textId="77777777">
            <w:pPr>
              <w:spacing w:before="60" w:after="60"/>
              <w:ind w:left="103" w:right="90"/>
              <w:rPr>
                <w:rFonts w:ascii="Times New Roman" w:hAnsi="Times New Roman"/>
                <w:spacing w:val="-3"/>
              </w:rPr>
            </w:pPr>
            <w:r w:rsidRPr="009A2AC6">
              <w:rPr>
                <w:rFonts w:ascii="Times New Roman" w:hAnsi="Times New Roman"/>
                <w:spacing w:val="-3"/>
              </w:rPr>
              <w:t>Norāda institūciju, kas ir atbildīga par šo saistību izpildi pilnībā</w:t>
            </w:r>
          </w:p>
        </w:tc>
        <w:tc>
          <w:tcPr>
            <w:tcW w:w="3123" w:type="dxa"/>
          </w:tcPr>
          <w:p w:rsidR="00CB4AAB" w:rsidRPr="009A2AC6" w:rsidP="009C0EC5" w14:paraId="13F098ED" w14:textId="77777777">
            <w:pPr>
              <w:spacing w:before="60" w:after="60"/>
              <w:ind w:left="51" w:right="146"/>
              <w:rPr>
                <w:rFonts w:ascii="Times New Roman" w:hAnsi="Times New Roman"/>
              </w:rPr>
            </w:pPr>
            <w:r w:rsidRPr="009A2AC6">
              <w:rPr>
                <w:rFonts w:ascii="Times New Roman" w:hAnsi="Times New Roman"/>
                <w:spacing w:val="-3"/>
              </w:rPr>
              <w:t xml:space="preserve">Informācija par to, vai šīs </w:t>
            </w:r>
            <w:r w:rsidRPr="009A2AC6">
              <w:rPr>
                <w:rFonts w:ascii="Times New Roman" w:hAnsi="Times New Roman"/>
              </w:rPr>
              <w:t>tabulas B ailē minētās projekta vienības paredz stingrākas prasības nekā šīs tabulas A ailē minētās ES tiesību akta vienības.</w:t>
            </w:r>
          </w:p>
          <w:p w:rsidR="00CB4AAB" w:rsidRPr="009A2AC6" w:rsidP="009C0EC5" w14:paraId="10277353" w14:textId="5191D288">
            <w:pPr>
              <w:spacing w:before="60" w:after="60"/>
              <w:ind w:left="51" w:right="146"/>
              <w:rPr>
                <w:rFonts w:ascii="Times New Roman" w:hAnsi="Times New Roman"/>
              </w:rPr>
            </w:pPr>
            <w:r w:rsidRPr="009A2AC6">
              <w:rPr>
                <w:rFonts w:ascii="Times New Roman" w:hAnsi="Times New Roman"/>
              </w:rPr>
              <w:t>Ja projekts satur stingrākas prasības nekā attiecīgais ES tiesību akts</w:t>
            </w:r>
            <w:r w:rsidRPr="009A2AC6" w:rsidR="009C0EC5">
              <w:rPr>
                <w:rFonts w:ascii="Times New Roman" w:hAnsi="Times New Roman"/>
              </w:rPr>
              <w:t xml:space="preserve">, </w:t>
            </w:r>
            <w:r w:rsidRPr="009A2AC6">
              <w:rPr>
                <w:rFonts w:ascii="Times New Roman" w:hAnsi="Times New Roman"/>
              </w:rPr>
              <w:t>norāda pamatojumu un samērīgumu.</w:t>
            </w:r>
          </w:p>
          <w:p w:rsidR="00CB4AAB" w:rsidRPr="009A2AC6" w:rsidP="002E7DBF" w14:paraId="547FE59B" w14:textId="499D2F17">
            <w:pPr>
              <w:spacing w:before="60" w:after="60"/>
              <w:ind w:left="51" w:right="146"/>
              <w:rPr>
                <w:rFonts w:ascii="Times New Roman" w:hAnsi="Times New Roman"/>
                <w:spacing w:val="-3"/>
              </w:rPr>
            </w:pPr>
            <w:r w:rsidRPr="009A2AC6">
              <w:rPr>
                <w:rFonts w:ascii="Times New Roman" w:hAnsi="Times New Roman"/>
              </w:rPr>
              <w:t xml:space="preserve">Norāda </w:t>
            </w:r>
            <w:r w:rsidRPr="009A2AC6">
              <w:rPr>
                <w:rFonts w:ascii="Times New Roman" w:hAnsi="Times New Roman"/>
              </w:rPr>
              <w:t>iespējamās</w:t>
            </w:r>
            <w:r w:rsidRPr="009A2AC6">
              <w:rPr>
                <w:rFonts w:ascii="Times New Roman" w:hAnsi="Times New Roman"/>
              </w:rPr>
              <w:t xml:space="preserve"> </w:t>
            </w:r>
            <w:r w:rsidRPr="009A2AC6">
              <w:rPr>
                <w:rFonts w:ascii="Times New Roman" w:hAnsi="Times New Roman"/>
              </w:rPr>
              <w:t>alternatīvas (t.sk. alternatīvas, kas neparedz tiesiskā regulējuma izstrādi) – kādos gadījumos būtu iespējams izvairīties no stingrāku prasību</w:t>
            </w:r>
            <w:r w:rsidRPr="009A2AC6">
              <w:rPr>
                <w:rFonts w:ascii="Times New Roman" w:hAnsi="Times New Roman"/>
                <w:spacing w:val="-3"/>
              </w:rPr>
              <w:t xml:space="preserve"> noteikšanas, nekā paredzēts attiecīgajos ES tiesību aktos</w:t>
            </w:r>
          </w:p>
        </w:tc>
      </w:tr>
      <w:tr w14:paraId="4473C162" w14:textId="77777777" w:rsidTr="00DC1194">
        <w:tblPrEx>
          <w:tblW w:w="9072"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681392" w:rsidRPr="00DE53F3" w14:paraId="752DEB9B" w14:textId="0E777960">
            <w:pPr>
              <w:spacing w:before="20" w:after="20"/>
              <w:ind w:left="137" w:right="91"/>
              <w:rPr>
                <w:rFonts w:ascii="Times New Roman" w:hAnsi="Times New Roman"/>
                <w:sz w:val="24"/>
                <w:szCs w:val="24"/>
              </w:rPr>
            </w:pPr>
            <w:r w:rsidRPr="00DE53F3">
              <w:rPr>
                <w:rFonts w:ascii="Times New Roman" w:hAnsi="Times New Roman"/>
                <w:sz w:val="24"/>
                <w:szCs w:val="24"/>
              </w:rPr>
              <w:t>2013</w:t>
            </w:r>
            <w:r w:rsidRPr="00DE53F3" w:rsidR="00B7600F">
              <w:rPr>
                <w:rFonts w:ascii="Times New Roman" w:hAnsi="Times New Roman"/>
                <w:sz w:val="24"/>
                <w:szCs w:val="24"/>
              </w:rPr>
              <w:t>.</w:t>
            </w:r>
            <w:r w:rsidR="00B7600F">
              <w:rPr>
                <w:rFonts w:ascii="Times New Roman" w:hAnsi="Times New Roman"/>
                <w:sz w:val="24"/>
                <w:szCs w:val="24"/>
              </w:rPr>
              <w:t> </w:t>
            </w:r>
            <w:r w:rsidRPr="00DE53F3">
              <w:rPr>
                <w:rFonts w:ascii="Times New Roman" w:hAnsi="Times New Roman"/>
                <w:sz w:val="24"/>
                <w:szCs w:val="24"/>
              </w:rPr>
              <w:t>gada 21</w:t>
            </w:r>
            <w:r w:rsidRPr="00DE53F3" w:rsidR="00B7600F">
              <w:rPr>
                <w:rFonts w:ascii="Times New Roman" w:hAnsi="Times New Roman"/>
                <w:sz w:val="24"/>
                <w:szCs w:val="24"/>
              </w:rPr>
              <w:t>.</w:t>
            </w:r>
            <w:r w:rsidR="00B7600F">
              <w:rPr>
                <w:rFonts w:ascii="Times New Roman" w:hAnsi="Times New Roman"/>
                <w:sz w:val="24"/>
                <w:szCs w:val="24"/>
              </w:rPr>
              <w:t> </w:t>
            </w:r>
            <w:r w:rsidRPr="00DE53F3">
              <w:rPr>
                <w:rFonts w:ascii="Times New Roman" w:hAnsi="Times New Roman"/>
                <w:sz w:val="24"/>
                <w:szCs w:val="24"/>
              </w:rPr>
              <w:t>maija Eiropas Parlamenta un Padomes Lēmums Nr.</w:t>
            </w:r>
            <w:r w:rsidR="00B7600F">
              <w:rPr>
                <w:rFonts w:ascii="Times New Roman" w:hAnsi="Times New Roman"/>
                <w:sz w:val="24"/>
                <w:szCs w:val="24"/>
              </w:rPr>
              <w:t> </w:t>
            </w:r>
            <w:r w:rsidRPr="00DE53F3">
              <w:rPr>
                <w:rFonts w:ascii="Times New Roman" w:hAnsi="Times New Roman"/>
                <w:sz w:val="24"/>
                <w:szCs w:val="24"/>
              </w:rPr>
              <w:t xml:space="preserve">529/2013/ES </w:t>
            </w:r>
            <w:r w:rsidRPr="00DE53F3" w:rsidR="00654A50">
              <w:rPr>
                <w:rFonts w:ascii="Times New Roman" w:hAnsi="Times New Roman"/>
                <w:sz w:val="24"/>
                <w:szCs w:val="24"/>
              </w:rPr>
              <w:t>10</w:t>
            </w:r>
            <w:r w:rsidRPr="00DE53F3" w:rsidR="00E166DF">
              <w:rPr>
                <w:rFonts w:ascii="Times New Roman" w:hAnsi="Times New Roman"/>
                <w:sz w:val="24"/>
                <w:szCs w:val="24"/>
              </w:rPr>
              <w:t>.</w:t>
            </w:r>
            <w:r w:rsidR="00B7600F">
              <w:rPr>
                <w:rFonts w:ascii="Times New Roman" w:hAnsi="Times New Roman"/>
                <w:sz w:val="24"/>
                <w:szCs w:val="24"/>
              </w:rPr>
              <w:t> </w:t>
            </w:r>
            <w:r w:rsidRPr="00DE53F3" w:rsidR="00E166DF">
              <w:rPr>
                <w:rFonts w:ascii="Times New Roman" w:hAnsi="Times New Roman"/>
                <w:sz w:val="24"/>
                <w:szCs w:val="24"/>
              </w:rPr>
              <w:t>pants</w:t>
            </w:r>
            <w:r w:rsidRPr="00DE53F3" w:rsidR="00654A50">
              <w:rPr>
                <w:rFonts w:ascii="Times New Roman" w:hAnsi="Times New Roman"/>
                <w:sz w:val="24"/>
                <w:szCs w:val="24"/>
              </w:rPr>
              <w:t xml:space="preserve"> </w:t>
            </w:r>
          </w:p>
        </w:tc>
        <w:tc>
          <w:tcPr>
            <w:tcW w:w="1893" w:type="dxa"/>
            <w:shd w:val="clear" w:color="auto" w:fill="auto"/>
            <w:vAlign w:val="center"/>
          </w:tcPr>
          <w:p w:rsidR="00681392" w:rsidRPr="00DE53F3" w14:paraId="7DB49B28" w14:textId="3833FF41">
            <w:pPr>
              <w:spacing w:before="20" w:after="20"/>
              <w:ind w:left="137" w:right="91"/>
              <w:rPr>
                <w:rFonts w:ascii="Times New Roman" w:hAnsi="Times New Roman"/>
                <w:sz w:val="24"/>
                <w:szCs w:val="24"/>
              </w:rPr>
            </w:pPr>
            <w:r w:rsidRPr="00DE53F3">
              <w:rPr>
                <w:rFonts w:ascii="Times New Roman" w:hAnsi="Times New Roman"/>
                <w:sz w:val="24"/>
                <w:szCs w:val="24"/>
              </w:rPr>
              <w:t>N</w:t>
            </w:r>
            <w:r w:rsidRPr="00DE53F3" w:rsidR="00E166DF">
              <w:rPr>
                <w:rFonts w:ascii="Times New Roman" w:hAnsi="Times New Roman"/>
                <w:sz w:val="24"/>
                <w:szCs w:val="24"/>
              </w:rPr>
              <w:t xml:space="preserve">oteikumu </w:t>
            </w:r>
            <w:r w:rsidRPr="00DE53F3" w:rsidR="00D36CC5">
              <w:rPr>
                <w:rFonts w:ascii="Times New Roman" w:hAnsi="Times New Roman"/>
                <w:sz w:val="24"/>
                <w:szCs w:val="24"/>
              </w:rPr>
              <w:t xml:space="preserve">projekta </w:t>
            </w:r>
            <w:r w:rsidRPr="00DE53F3" w:rsidR="00654A50">
              <w:rPr>
                <w:rFonts w:ascii="Times New Roman" w:hAnsi="Times New Roman"/>
                <w:sz w:val="24"/>
                <w:szCs w:val="24"/>
              </w:rPr>
              <w:t>40.1.6</w:t>
            </w:r>
            <w:r w:rsidRPr="00DE53F3" w:rsidR="00B7600F">
              <w:rPr>
                <w:rFonts w:ascii="Times New Roman" w:hAnsi="Times New Roman"/>
                <w:sz w:val="24"/>
                <w:szCs w:val="24"/>
              </w:rPr>
              <w:t>.</w:t>
            </w:r>
            <w:r w:rsidR="00B7600F">
              <w:rPr>
                <w:rFonts w:ascii="Times New Roman" w:hAnsi="Times New Roman"/>
                <w:sz w:val="24"/>
                <w:szCs w:val="24"/>
              </w:rPr>
              <w:t> </w:t>
            </w:r>
            <w:r w:rsidRPr="00DE53F3" w:rsidR="004F5C41">
              <w:rPr>
                <w:rFonts w:ascii="Times New Roman" w:hAnsi="Times New Roman"/>
                <w:sz w:val="24"/>
                <w:szCs w:val="24"/>
              </w:rPr>
              <w:t>apakšpunkt</w:t>
            </w:r>
            <w:r w:rsidR="004F5C41">
              <w:rPr>
                <w:rFonts w:ascii="Times New Roman" w:hAnsi="Times New Roman"/>
                <w:sz w:val="24"/>
                <w:szCs w:val="24"/>
              </w:rPr>
              <w:t>s</w:t>
            </w:r>
            <w:r w:rsidRPr="00DE53F3" w:rsidR="004F5C41">
              <w:rPr>
                <w:rFonts w:ascii="Times New Roman" w:hAnsi="Times New Roman"/>
                <w:sz w:val="24"/>
                <w:szCs w:val="24"/>
              </w:rPr>
              <w:t xml:space="preserve"> </w:t>
            </w:r>
            <w:r w:rsidRPr="00DE53F3" w:rsidR="00D36CC5">
              <w:rPr>
                <w:rFonts w:ascii="Times New Roman" w:hAnsi="Times New Roman"/>
                <w:sz w:val="24"/>
                <w:szCs w:val="24"/>
              </w:rPr>
              <w:t xml:space="preserve">un </w:t>
            </w:r>
            <w:r w:rsidRPr="00DE53F3" w:rsidR="00654A50">
              <w:rPr>
                <w:rFonts w:ascii="Times New Roman" w:hAnsi="Times New Roman"/>
                <w:sz w:val="24"/>
                <w:szCs w:val="24"/>
              </w:rPr>
              <w:t>41.</w:t>
            </w:r>
            <w:r w:rsidR="00B7600F">
              <w:rPr>
                <w:rFonts w:ascii="Times New Roman" w:hAnsi="Times New Roman"/>
                <w:sz w:val="24"/>
                <w:szCs w:val="24"/>
              </w:rPr>
              <w:t> </w:t>
            </w:r>
            <w:r w:rsidRPr="00DE53F3" w:rsidR="004F5C41">
              <w:rPr>
                <w:rFonts w:ascii="Times New Roman" w:hAnsi="Times New Roman"/>
                <w:sz w:val="24"/>
                <w:szCs w:val="24"/>
              </w:rPr>
              <w:t>punkt</w:t>
            </w:r>
            <w:r w:rsidR="004F5C41">
              <w:rPr>
                <w:rFonts w:ascii="Times New Roman" w:hAnsi="Times New Roman"/>
                <w:sz w:val="24"/>
                <w:szCs w:val="24"/>
              </w:rPr>
              <w:t>s</w:t>
            </w:r>
          </w:p>
        </w:tc>
        <w:tc>
          <w:tcPr>
            <w:tcW w:w="2410" w:type="dxa"/>
            <w:shd w:val="clear" w:color="auto" w:fill="auto"/>
            <w:vAlign w:val="center"/>
          </w:tcPr>
          <w:p w:rsidR="00681392" w:rsidRPr="00DE53F3" w:rsidP="00DC1194" w14:paraId="14B1457F" w14:textId="4479D23F">
            <w:pPr>
              <w:spacing w:before="20" w:after="20"/>
              <w:ind w:left="137" w:right="91"/>
              <w:rPr>
                <w:rFonts w:ascii="Times New Roman" w:hAnsi="Times New Roman"/>
                <w:sz w:val="24"/>
                <w:szCs w:val="24"/>
              </w:rPr>
            </w:pPr>
            <w:r w:rsidRPr="00DE53F3">
              <w:rPr>
                <w:rFonts w:ascii="Times New Roman" w:hAnsi="Times New Roman"/>
                <w:sz w:val="24"/>
                <w:szCs w:val="24"/>
              </w:rPr>
              <w:t>-</w:t>
            </w:r>
          </w:p>
        </w:tc>
        <w:tc>
          <w:tcPr>
            <w:tcW w:w="3123" w:type="dxa"/>
            <w:shd w:val="clear" w:color="auto" w:fill="auto"/>
            <w:vAlign w:val="center"/>
          </w:tcPr>
          <w:p w:rsidR="00681392" w:rsidRPr="00DE53F3" w:rsidP="00DC1194" w14:paraId="6FC3C544" w14:textId="24A54175">
            <w:pPr>
              <w:pStyle w:val="naisc"/>
              <w:spacing w:before="20" w:after="20"/>
              <w:ind w:left="137" w:right="91"/>
              <w:jc w:val="both"/>
            </w:pPr>
            <w:r w:rsidRPr="00DE53F3">
              <w:t>-</w:t>
            </w:r>
          </w:p>
        </w:tc>
      </w:tr>
      <w:tr w14:paraId="0608BCAD" w14:textId="77777777" w:rsidTr="0003475E">
        <w:tblPrEx>
          <w:tblW w:w="9072"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E01F07" w:rsidRPr="00DE53F3" w:rsidP="00DC1194" w14:paraId="55644D13" w14:textId="0C00CAF3">
            <w:pPr>
              <w:spacing w:before="20" w:after="20"/>
              <w:ind w:left="137" w:right="91"/>
              <w:rPr>
                <w:rStyle w:val="Strong"/>
                <w:rFonts w:ascii="Times New Roman" w:hAnsi="Times New Roman"/>
                <w:b w:val="0"/>
                <w:sz w:val="24"/>
                <w:szCs w:val="24"/>
                <w:bdr w:val="none" w:sz="0" w:space="0" w:color="auto" w:frame="1"/>
                <w:shd w:val="clear" w:color="auto" w:fill="FFFFFF"/>
              </w:rPr>
            </w:pPr>
            <w:r w:rsidRPr="00E01F07">
              <w:rPr>
                <w:rStyle w:val="Strong"/>
                <w:rFonts w:ascii="Times New Roman" w:hAnsi="Times New Roman"/>
                <w:b w:val="0"/>
                <w:sz w:val="24"/>
                <w:szCs w:val="24"/>
                <w:bdr w:val="none" w:sz="0" w:space="0" w:color="auto" w:frame="1"/>
                <w:shd w:val="clear" w:color="auto" w:fill="FFFFFF"/>
              </w:rPr>
              <w:t>Eiropas Savienības tiesību akta datums, numurs un nosaukums</w:t>
            </w:r>
          </w:p>
        </w:tc>
        <w:tc>
          <w:tcPr>
            <w:tcW w:w="7426" w:type="dxa"/>
            <w:gridSpan w:val="3"/>
            <w:shd w:val="clear" w:color="auto" w:fill="auto"/>
            <w:vAlign w:val="center"/>
          </w:tcPr>
          <w:p w:rsidR="00E01F07" w:rsidRPr="00DE53F3" w:rsidP="00846926" w14:paraId="356F331D" w14:textId="5E063F1C">
            <w:pPr>
              <w:pStyle w:val="naisc"/>
              <w:spacing w:before="20" w:after="20"/>
              <w:ind w:left="137" w:right="91"/>
              <w:jc w:val="both"/>
            </w:pPr>
            <w:r w:rsidRPr="00DE53F3">
              <w:rPr>
                <w:rStyle w:val="Strong"/>
                <w:b w:val="0"/>
                <w:bdr w:val="none" w:sz="0" w:space="0" w:color="auto" w:frame="1"/>
                <w:shd w:val="clear" w:color="auto" w:fill="FFFFFF"/>
              </w:rPr>
              <w:t>R</w:t>
            </w:r>
            <w:r w:rsidR="00846926">
              <w:rPr>
                <w:rStyle w:val="Strong"/>
                <w:b w:val="0"/>
                <w:bdr w:val="none" w:sz="0" w:space="0" w:color="auto" w:frame="1"/>
                <w:shd w:val="clear" w:color="auto" w:fill="FFFFFF"/>
              </w:rPr>
              <w:t>egula</w:t>
            </w:r>
            <w:r w:rsidRPr="00DE53F3">
              <w:rPr>
                <w:rStyle w:val="Strong"/>
                <w:b w:val="0"/>
                <w:bdr w:val="none" w:sz="0" w:space="0" w:color="auto" w:frame="1"/>
                <w:shd w:val="clear" w:color="auto" w:fill="FFFFFF"/>
              </w:rPr>
              <w:t xml:space="preserve">  Nr. 525/2013</w:t>
            </w:r>
            <w:r>
              <w:rPr>
                <w:rStyle w:val="Strong"/>
                <w:b w:val="0"/>
                <w:bdr w:val="none" w:sz="0" w:space="0" w:color="auto" w:frame="1"/>
                <w:shd w:val="clear" w:color="auto" w:fill="FFFFFF"/>
              </w:rPr>
              <w:t>.</w:t>
            </w:r>
          </w:p>
        </w:tc>
      </w:tr>
      <w:tr w14:paraId="45FCC90B" w14:textId="77777777" w:rsidTr="00E01F07">
        <w:tblPrEx>
          <w:tblW w:w="9072" w:type="dxa"/>
          <w:jc w:val="center"/>
          <w:tblLayout w:type="fixed"/>
          <w:tblCellMar>
            <w:left w:w="0" w:type="dxa"/>
            <w:right w:w="0" w:type="dxa"/>
          </w:tblCellMar>
          <w:tblLook w:val="0000"/>
        </w:tblPrEx>
        <w:trPr>
          <w:trHeight w:val="284"/>
          <w:jc w:val="center"/>
        </w:trPr>
        <w:tc>
          <w:tcPr>
            <w:tcW w:w="1646" w:type="dxa"/>
            <w:shd w:val="clear" w:color="auto" w:fill="auto"/>
          </w:tcPr>
          <w:p w:rsidR="00E01F07" w:rsidRPr="00E01F07" w:rsidP="00E01F07" w14:paraId="55CCC73D" w14:textId="0BED829E">
            <w:pPr>
              <w:spacing w:before="20" w:after="20"/>
              <w:ind w:left="137" w:right="91"/>
              <w:jc w:val="center"/>
              <w:rPr>
                <w:rStyle w:val="Strong"/>
                <w:rFonts w:ascii="Times New Roman" w:hAnsi="Times New Roman"/>
                <w:b w:val="0"/>
                <w:sz w:val="24"/>
                <w:szCs w:val="24"/>
                <w:bdr w:val="none" w:sz="0" w:space="0" w:color="auto" w:frame="1"/>
                <w:shd w:val="clear" w:color="auto" w:fill="FFFFFF"/>
              </w:rPr>
            </w:pPr>
            <w:r w:rsidRPr="00E01F07">
              <w:rPr>
                <w:rFonts w:ascii="Times New Roman" w:hAnsi="Times New Roman"/>
                <w:sz w:val="24"/>
                <w:szCs w:val="24"/>
              </w:rPr>
              <w:t>A</w:t>
            </w:r>
          </w:p>
        </w:tc>
        <w:tc>
          <w:tcPr>
            <w:tcW w:w="1893" w:type="dxa"/>
            <w:shd w:val="clear" w:color="auto" w:fill="auto"/>
          </w:tcPr>
          <w:p w:rsidR="00E01F07" w:rsidRPr="00E01F07" w:rsidP="00E01F07" w14:paraId="2C0454FD" w14:textId="31B8987A">
            <w:pPr>
              <w:spacing w:before="20" w:after="20"/>
              <w:ind w:left="137" w:right="91"/>
              <w:jc w:val="center"/>
              <w:rPr>
                <w:rFonts w:ascii="Times New Roman" w:hAnsi="Times New Roman"/>
                <w:sz w:val="24"/>
                <w:szCs w:val="24"/>
              </w:rPr>
            </w:pPr>
            <w:r w:rsidRPr="00E01F07">
              <w:rPr>
                <w:rFonts w:ascii="Times New Roman" w:hAnsi="Times New Roman"/>
                <w:sz w:val="24"/>
                <w:szCs w:val="24"/>
              </w:rPr>
              <w:t>B</w:t>
            </w:r>
          </w:p>
        </w:tc>
        <w:tc>
          <w:tcPr>
            <w:tcW w:w="2410" w:type="dxa"/>
            <w:shd w:val="clear" w:color="auto" w:fill="auto"/>
          </w:tcPr>
          <w:p w:rsidR="00E01F07" w:rsidRPr="00E01F07" w:rsidP="00E01F07" w14:paraId="3D3D41FB" w14:textId="11BE5930">
            <w:pPr>
              <w:spacing w:before="20" w:after="20"/>
              <w:ind w:left="137" w:right="91"/>
              <w:jc w:val="center"/>
              <w:rPr>
                <w:rFonts w:ascii="Times New Roman" w:hAnsi="Times New Roman"/>
                <w:sz w:val="24"/>
                <w:szCs w:val="24"/>
              </w:rPr>
            </w:pPr>
            <w:r w:rsidRPr="00E01F07">
              <w:rPr>
                <w:rFonts w:ascii="Times New Roman" w:hAnsi="Times New Roman"/>
                <w:sz w:val="24"/>
                <w:szCs w:val="24"/>
              </w:rPr>
              <w:t>C</w:t>
            </w:r>
          </w:p>
        </w:tc>
        <w:tc>
          <w:tcPr>
            <w:tcW w:w="3123" w:type="dxa"/>
            <w:shd w:val="clear" w:color="auto" w:fill="auto"/>
          </w:tcPr>
          <w:p w:rsidR="00E01F07" w:rsidRPr="00E01F07" w:rsidP="00E01F07" w14:paraId="72190C61" w14:textId="4E704A3F">
            <w:pPr>
              <w:pStyle w:val="naisc"/>
              <w:spacing w:before="20" w:after="20"/>
              <w:ind w:left="137" w:right="91"/>
            </w:pPr>
            <w:r w:rsidRPr="00E01F07">
              <w:t>D</w:t>
            </w:r>
          </w:p>
        </w:tc>
      </w:tr>
      <w:tr w14:paraId="4FE51605" w14:textId="77777777" w:rsidTr="00DC1194">
        <w:tblPrEx>
          <w:tblW w:w="9072"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F90B84" w:rsidRPr="00DE53F3" w:rsidP="00DC1194" w14:paraId="0AE28328" w14:textId="55ADAD1C">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Regula</w:t>
            </w:r>
            <w:r w:rsidR="00BD1E9D">
              <w:rPr>
                <w:rStyle w:val="Strong"/>
                <w:rFonts w:ascii="Times New Roman" w:hAnsi="Times New Roman"/>
                <w:b w:val="0"/>
                <w:sz w:val="24"/>
                <w:szCs w:val="24"/>
                <w:bdr w:val="none" w:sz="0" w:space="0" w:color="auto" w:frame="1"/>
                <w:shd w:val="clear" w:color="auto" w:fill="FFFFFF"/>
              </w:rPr>
              <w:t>s</w:t>
            </w:r>
            <w:r w:rsidRPr="00DE53F3">
              <w:rPr>
                <w:rStyle w:val="Strong"/>
                <w:rFonts w:ascii="Times New Roman" w:hAnsi="Times New Roman"/>
                <w:b w:val="0"/>
                <w:sz w:val="24"/>
                <w:szCs w:val="24"/>
                <w:bdr w:val="none" w:sz="0" w:space="0" w:color="auto" w:frame="1"/>
                <w:shd w:val="clear" w:color="auto" w:fill="FFFFFF"/>
              </w:rPr>
              <w:t xml:space="preserve">  Nr</w:t>
            </w:r>
            <w:r w:rsidRPr="00DE53F3" w:rsidR="00B7600F">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525/2013</w:t>
            </w:r>
          </w:p>
          <w:p w:rsidR="00373448" w:rsidRPr="00DE53F3" w:rsidP="00DC1194" w14:paraId="642DAC84" w14:textId="484C6A5D">
            <w:pPr>
              <w:spacing w:before="20" w:after="20"/>
              <w:ind w:left="137" w:right="91"/>
              <w:rPr>
                <w:rFonts w:ascii="Times New Roman" w:hAnsi="Times New Roman"/>
                <w:sz w:val="24"/>
                <w:szCs w:val="24"/>
              </w:rPr>
            </w:pPr>
            <w:r w:rsidRPr="00DE53F3">
              <w:rPr>
                <w:rFonts w:ascii="Times New Roman" w:hAnsi="Times New Roman"/>
                <w:sz w:val="24"/>
                <w:szCs w:val="24"/>
              </w:rPr>
              <w:t>5.</w:t>
            </w:r>
            <w:r w:rsidR="00B7600F">
              <w:rPr>
                <w:rFonts w:ascii="Times New Roman" w:hAnsi="Times New Roman"/>
                <w:sz w:val="24"/>
                <w:szCs w:val="24"/>
              </w:rPr>
              <w:t> </w:t>
            </w:r>
            <w:r w:rsidRPr="00DE53F3">
              <w:rPr>
                <w:rFonts w:ascii="Times New Roman" w:hAnsi="Times New Roman"/>
                <w:sz w:val="24"/>
                <w:szCs w:val="24"/>
              </w:rPr>
              <w:t>panta 1.</w:t>
            </w:r>
            <w:r w:rsidR="00B7600F">
              <w:rPr>
                <w:rFonts w:ascii="Times New Roman" w:hAnsi="Times New Roman"/>
                <w:sz w:val="24"/>
                <w:szCs w:val="24"/>
              </w:rPr>
              <w:t> </w:t>
            </w:r>
            <w:r w:rsidRPr="00DE53F3">
              <w:rPr>
                <w:rFonts w:ascii="Times New Roman" w:hAnsi="Times New Roman"/>
                <w:sz w:val="24"/>
                <w:szCs w:val="24"/>
              </w:rPr>
              <w:t>punkts</w:t>
            </w:r>
          </w:p>
        </w:tc>
        <w:tc>
          <w:tcPr>
            <w:tcW w:w="1893" w:type="dxa"/>
            <w:shd w:val="clear" w:color="auto" w:fill="auto"/>
            <w:vAlign w:val="center"/>
          </w:tcPr>
          <w:p w:rsidR="00F90B84" w:rsidRPr="00DE53F3" w:rsidP="00DC1194" w14:paraId="47403A6A" w14:textId="15A0A609">
            <w:pPr>
              <w:spacing w:before="20" w:after="20"/>
              <w:ind w:left="137" w:right="91"/>
              <w:rPr>
                <w:rFonts w:ascii="Times New Roman" w:hAnsi="Times New Roman"/>
                <w:sz w:val="24"/>
                <w:szCs w:val="24"/>
              </w:rPr>
            </w:pPr>
            <w:r w:rsidRPr="00DE53F3">
              <w:rPr>
                <w:rFonts w:ascii="Times New Roman" w:hAnsi="Times New Roman"/>
                <w:sz w:val="24"/>
                <w:szCs w:val="24"/>
              </w:rPr>
              <w:t>Noteikumu projekta II</w:t>
            </w:r>
            <w:r w:rsidR="004F5C41">
              <w:rPr>
                <w:rFonts w:ascii="Times New Roman" w:hAnsi="Times New Roman"/>
                <w:sz w:val="24"/>
                <w:szCs w:val="24"/>
              </w:rPr>
              <w:t> </w:t>
            </w:r>
            <w:r w:rsidRPr="00DE53F3">
              <w:rPr>
                <w:rFonts w:ascii="Times New Roman" w:hAnsi="Times New Roman"/>
                <w:sz w:val="24"/>
                <w:szCs w:val="24"/>
              </w:rPr>
              <w:t>sadaļa</w:t>
            </w:r>
          </w:p>
        </w:tc>
        <w:tc>
          <w:tcPr>
            <w:tcW w:w="2410" w:type="dxa"/>
            <w:shd w:val="clear" w:color="auto" w:fill="auto"/>
            <w:vAlign w:val="center"/>
          </w:tcPr>
          <w:p w:rsidR="00F90B84" w:rsidRPr="00DE53F3" w:rsidP="00DC1194" w14:paraId="060DD505" w14:textId="18B59142">
            <w:pPr>
              <w:spacing w:before="20" w:after="20"/>
              <w:ind w:left="137" w:right="91"/>
              <w:rPr>
                <w:rFonts w:ascii="Times New Roman" w:hAnsi="Times New Roman"/>
                <w:sz w:val="24"/>
                <w:szCs w:val="24"/>
              </w:rPr>
            </w:pPr>
            <w:r w:rsidRPr="00DE53F3">
              <w:rPr>
                <w:rFonts w:ascii="Times New Roman" w:hAnsi="Times New Roman"/>
                <w:sz w:val="24"/>
                <w:szCs w:val="24"/>
              </w:rPr>
              <w:t>-</w:t>
            </w:r>
          </w:p>
        </w:tc>
        <w:tc>
          <w:tcPr>
            <w:tcW w:w="3123" w:type="dxa"/>
            <w:shd w:val="clear" w:color="auto" w:fill="auto"/>
            <w:vAlign w:val="center"/>
          </w:tcPr>
          <w:p w:rsidR="00F90B84" w:rsidRPr="00DE53F3" w:rsidP="00DC1194" w14:paraId="5BB1D27E" w14:textId="08923DB6">
            <w:pPr>
              <w:pStyle w:val="naisc"/>
              <w:spacing w:before="20" w:after="20"/>
              <w:ind w:left="137" w:right="91"/>
              <w:jc w:val="both"/>
            </w:pPr>
            <w:r w:rsidRPr="00DE53F3">
              <w:t>-</w:t>
            </w:r>
          </w:p>
        </w:tc>
      </w:tr>
      <w:tr w14:paraId="58AF625E" w14:textId="77777777" w:rsidTr="00DC1194">
        <w:tblPrEx>
          <w:tblW w:w="9072"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373448" w:rsidRPr="00DE53F3" w:rsidP="00373448" w14:paraId="281A03B3" w14:textId="03FA5405">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Regula</w:t>
            </w:r>
            <w:r w:rsidR="00BD1E9D">
              <w:rPr>
                <w:rStyle w:val="Strong"/>
                <w:rFonts w:ascii="Times New Roman" w:hAnsi="Times New Roman"/>
                <w:b w:val="0"/>
                <w:sz w:val="24"/>
                <w:szCs w:val="24"/>
                <w:bdr w:val="none" w:sz="0" w:space="0" w:color="auto" w:frame="1"/>
                <w:shd w:val="clear" w:color="auto" w:fill="FFFFFF"/>
              </w:rPr>
              <w:t>s</w:t>
            </w:r>
            <w:r w:rsidRPr="00DE53F3">
              <w:rPr>
                <w:rStyle w:val="Strong"/>
                <w:rFonts w:ascii="Times New Roman" w:hAnsi="Times New Roman"/>
                <w:b w:val="0"/>
                <w:sz w:val="24"/>
                <w:szCs w:val="24"/>
                <w:bdr w:val="none" w:sz="0" w:space="0" w:color="auto" w:frame="1"/>
                <w:shd w:val="clear" w:color="auto" w:fill="FFFFFF"/>
              </w:rPr>
              <w:t xml:space="preserve">  Nr</w:t>
            </w:r>
            <w:r w:rsidRPr="00DE53F3" w:rsidR="00B7600F">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xml:space="preserve"> </w:t>
            </w:r>
            <w:r w:rsidRPr="00DE53F3">
              <w:rPr>
                <w:rStyle w:val="Strong"/>
                <w:rFonts w:ascii="Times New Roman" w:hAnsi="Times New Roman"/>
                <w:b w:val="0"/>
                <w:sz w:val="24"/>
                <w:szCs w:val="24"/>
                <w:bdr w:val="none" w:sz="0" w:space="0" w:color="auto" w:frame="1"/>
                <w:shd w:val="clear" w:color="auto" w:fill="FFFFFF"/>
              </w:rPr>
              <w:t>525/2013</w:t>
            </w:r>
          </w:p>
          <w:p w:rsidR="00373448" w:rsidRPr="00DE53F3" w:rsidP="00373448" w14:paraId="1D59FF9D" w14:textId="5376A037">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Fonts w:ascii="Times New Roman" w:hAnsi="Times New Roman"/>
                <w:sz w:val="24"/>
                <w:szCs w:val="24"/>
              </w:rPr>
              <w:t>7.</w:t>
            </w:r>
            <w:r w:rsidR="00B7600F">
              <w:rPr>
                <w:rFonts w:ascii="Times New Roman" w:hAnsi="Times New Roman"/>
                <w:sz w:val="24"/>
                <w:szCs w:val="24"/>
              </w:rPr>
              <w:t> </w:t>
            </w:r>
            <w:r w:rsidRPr="00DE53F3">
              <w:rPr>
                <w:rFonts w:ascii="Times New Roman" w:hAnsi="Times New Roman"/>
                <w:sz w:val="24"/>
                <w:szCs w:val="24"/>
              </w:rPr>
              <w:t xml:space="preserve">pants </w:t>
            </w:r>
          </w:p>
        </w:tc>
        <w:tc>
          <w:tcPr>
            <w:tcW w:w="1893" w:type="dxa"/>
            <w:shd w:val="clear" w:color="auto" w:fill="auto"/>
            <w:vAlign w:val="center"/>
          </w:tcPr>
          <w:p w:rsidR="00373448" w:rsidRPr="00DE53F3" w:rsidP="00DC1194" w14:paraId="20AFF364" w14:textId="4BD66869">
            <w:pPr>
              <w:spacing w:before="20" w:after="20"/>
              <w:ind w:left="137" w:right="91"/>
              <w:rPr>
                <w:rFonts w:ascii="Times New Roman" w:hAnsi="Times New Roman"/>
                <w:sz w:val="24"/>
                <w:szCs w:val="24"/>
              </w:rPr>
            </w:pPr>
            <w:r w:rsidRPr="00DE53F3">
              <w:rPr>
                <w:rFonts w:ascii="Times New Roman" w:hAnsi="Times New Roman"/>
                <w:sz w:val="24"/>
                <w:szCs w:val="24"/>
              </w:rPr>
              <w:t>Noteikumu projekta II; IV; V sadaļa</w:t>
            </w:r>
          </w:p>
        </w:tc>
        <w:tc>
          <w:tcPr>
            <w:tcW w:w="2410" w:type="dxa"/>
            <w:shd w:val="clear" w:color="auto" w:fill="auto"/>
            <w:vAlign w:val="center"/>
          </w:tcPr>
          <w:p w:rsidR="00373448" w:rsidRPr="00DE53F3" w:rsidP="00DC1194" w14:paraId="19191680" w14:textId="58C15E5C">
            <w:pPr>
              <w:spacing w:before="20" w:after="20"/>
              <w:ind w:left="137" w:right="91"/>
              <w:rPr>
                <w:rFonts w:ascii="Times New Roman" w:hAnsi="Times New Roman"/>
                <w:sz w:val="24"/>
                <w:szCs w:val="24"/>
              </w:rPr>
            </w:pPr>
            <w:r w:rsidRPr="00DE53F3">
              <w:rPr>
                <w:rFonts w:ascii="Times New Roman" w:hAnsi="Times New Roman"/>
                <w:sz w:val="24"/>
                <w:szCs w:val="24"/>
              </w:rPr>
              <w:t>-</w:t>
            </w:r>
          </w:p>
        </w:tc>
        <w:tc>
          <w:tcPr>
            <w:tcW w:w="3123" w:type="dxa"/>
            <w:shd w:val="clear" w:color="auto" w:fill="auto"/>
            <w:vAlign w:val="center"/>
          </w:tcPr>
          <w:p w:rsidR="00373448" w:rsidRPr="00DE53F3" w:rsidP="00DC1194" w14:paraId="7280F7CD" w14:textId="7B9F277A">
            <w:pPr>
              <w:pStyle w:val="naisc"/>
              <w:spacing w:before="20" w:after="20"/>
              <w:ind w:left="137" w:right="91"/>
              <w:jc w:val="both"/>
            </w:pPr>
            <w:r w:rsidRPr="00DE53F3">
              <w:t>-</w:t>
            </w:r>
          </w:p>
        </w:tc>
      </w:tr>
      <w:tr w14:paraId="3F3B2D6C" w14:textId="77777777" w:rsidTr="00DC1194">
        <w:tblPrEx>
          <w:tblW w:w="9072"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373448" w:rsidRPr="00DE53F3" w:rsidP="00373448" w14:paraId="33B306B3" w14:textId="54DCA3D1">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Regula</w:t>
            </w:r>
            <w:r w:rsidR="00BD1E9D">
              <w:rPr>
                <w:rStyle w:val="Strong"/>
                <w:rFonts w:ascii="Times New Roman" w:hAnsi="Times New Roman"/>
                <w:b w:val="0"/>
                <w:sz w:val="24"/>
                <w:szCs w:val="24"/>
                <w:bdr w:val="none" w:sz="0" w:space="0" w:color="auto" w:frame="1"/>
                <w:shd w:val="clear" w:color="auto" w:fill="FFFFFF"/>
              </w:rPr>
              <w:t>s</w:t>
            </w:r>
            <w:r w:rsidRPr="00DE53F3">
              <w:rPr>
                <w:rStyle w:val="Strong"/>
                <w:rFonts w:ascii="Times New Roman" w:hAnsi="Times New Roman"/>
                <w:b w:val="0"/>
                <w:sz w:val="24"/>
                <w:szCs w:val="24"/>
                <w:bdr w:val="none" w:sz="0" w:space="0" w:color="auto" w:frame="1"/>
                <w:shd w:val="clear" w:color="auto" w:fill="FFFFFF"/>
              </w:rPr>
              <w:t xml:space="preserve">  Nr.</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525/2013</w:t>
            </w:r>
          </w:p>
          <w:p w:rsidR="00373448" w:rsidRPr="00DE53F3" w:rsidP="00373448" w14:paraId="2C3568DC" w14:textId="184C30FA">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8.</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pants</w:t>
            </w:r>
          </w:p>
        </w:tc>
        <w:tc>
          <w:tcPr>
            <w:tcW w:w="1893" w:type="dxa"/>
            <w:shd w:val="clear" w:color="auto" w:fill="auto"/>
            <w:vAlign w:val="center"/>
          </w:tcPr>
          <w:p w:rsidR="00373448" w:rsidRPr="00DE53F3" w:rsidP="00DC1194" w14:paraId="1804799F" w14:textId="73CA439F">
            <w:pPr>
              <w:spacing w:before="20" w:after="20"/>
              <w:ind w:left="137" w:right="91"/>
              <w:rPr>
                <w:rFonts w:ascii="Times New Roman" w:hAnsi="Times New Roman"/>
                <w:sz w:val="24"/>
                <w:szCs w:val="24"/>
              </w:rPr>
            </w:pPr>
            <w:r w:rsidRPr="00DE53F3">
              <w:rPr>
                <w:rFonts w:ascii="Times New Roman" w:hAnsi="Times New Roman"/>
                <w:sz w:val="24"/>
                <w:szCs w:val="24"/>
              </w:rPr>
              <w:t>Noteikumu projekta II; V sadaļa</w:t>
            </w:r>
          </w:p>
        </w:tc>
        <w:tc>
          <w:tcPr>
            <w:tcW w:w="2410" w:type="dxa"/>
            <w:shd w:val="clear" w:color="auto" w:fill="auto"/>
            <w:vAlign w:val="center"/>
          </w:tcPr>
          <w:p w:rsidR="00373448" w:rsidRPr="00DE53F3" w:rsidP="00DC1194" w14:paraId="7EBA76FD" w14:textId="0D4DC585">
            <w:pPr>
              <w:spacing w:before="20" w:after="20"/>
              <w:ind w:left="137" w:right="91"/>
              <w:rPr>
                <w:rFonts w:ascii="Times New Roman" w:hAnsi="Times New Roman"/>
                <w:sz w:val="24"/>
                <w:szCs w:val="24"/>
              </w:rPr>
            </w:pPr>
            <w:r w:rsidRPr="00DE53F3">
              <w:rPr>
                <w:rFonts w:ascii="Times New Roman" w:hAnsi="Times New Roman"/>
                <w:sz w:val="24"/>
                <w:szCs w:val="24"/>
              </w:rPr>
              <w:t>-</w:t>
            </w:r>
          </w:p>
        </w:tc>
        <w:tc>
          <w:tcPr>
            <w:tcW w:w="3123" w:type="dxa"/>
            <w:shd w:val="clear" w:color="auto" w:fill="auto"/>
            <w:vAlign w:val="center"/>
          </w:tcPr>
          <w:p w:rsidR="00373448" w:rsidRPr="00DE53F3" w:rsidP="00DC1194" w14:paraId="5273CAE2" w14:textId="23BA5AF3">
            <w:pPr>
              <w:pStyle w:val="naisc"/>
              <w:spacing w:before="20" w:after="20"/>
              <w:ind w:left="137" w:right="91"/>
              <w:jc w:val="both"/>
            </w:pPr>
            <w:r w:rsidRPr="00DE53F3">
              <w:t>-</w:t>
            </w:r>
          </w:p>
        </w:tc>
      </w:tr>
      <w:tr w14:paraId="6CC136F7" w14:textId="77777777" w:rsidTr="00E01F07">
        <w:tblPrEx>
          <w:tblW w:w="9072" w:type="dxa"/>
          <w:jc w:val="center"/>
          <w:tblLayout w:type="fixed"/>
          <w:tblCellMar>
            <w:left w:w="0" w:type="dxa"/>
            <w:right w:w="0" w:type="dxa"/>
          </w:tblCellMar>
          <w:tblLook w:val="0000"/>
        </w:tblPrEx>
        <w:trPr>
          <w:trHeight w:val="2236"/>
          <w:jc w:val="center"/>
        </w:trPr>
        <w:tc>
          <w:tcPr>
            <w:tcW w:w="1646" w:type="dxa"/>
            <w:shd w:val="clear" w:color="auto" w:fill="auto"/>
            <w:vAlign w:val="center"/>
          </w:tcPr>
          <w:p w:rsidR="00373448" w:rsidRPr="00DE53F3" w:rsidP="00373448" w14:paraId="291915BD" w14:textId="38AAD4BA">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Regula</w:t>
            </w:r>
            <w:r w:rsidR="00BD1E9D">
              <w:rPr>
                <w:rStyle w:val="Strong"/>
                <w:rFonts w:ascii="Times New Roman" w:hAnsi="Times New Roman"/>
                <w:b w:val="0"/>
                <w:sz w:val="24"/>
                <w:szCs w:val="24"/>
                <w:bdr w:val="none" w:sz="0" w:space="0" w:color="auto" w:frame="1"/>
                <w:shd w:val="clear" w:color="auto" w:fill="FFFFFF"/>
              </w:rPr>
              <w:t>s</w:t>
            </w:r>
            <w:r w:rsidRPr="00DE53F3">
              <w:rPr>
                <w:rStyle w:val="Strong"/>
                <w:rFonts w:ascii="Times New Roman" w:hAnsi="Times New Roman"/>
                <w:b w:val="0"/>
                <w:sz w:val="24"/>
                <w:szCs w:val="24"/>
                <w:bdr w:val="none" w:sz="0" w:space="0" w:color="auto" w:frame="1"/>
                <w:shd w:val="clear" w:color="auto" w:fill="FFFFFF"/>
              </w:rPr>
              <w:t xml:space="preserve">  Nr.</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525/2013</w:t>
            </w:r>
          </w:p>
          <w:p w:rsidR="00373448" w:rsidRPr="00DE53F3" w14:paraId="2C7E6E1E" w14:textId="7181C207">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12</w:t>
            </w:r>
            <w:r w:rsidRPr="00DE53F3" w:rsidR="00B7600F">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13., 14.</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pants</w:t>
            </w:r>
          </w:p>
        </w:tc>
        <w:tc>
          <w:tcPr>
            <w:tcW w:w="1893" w:type="dxa"/>
            <w:shd w:val="clear" w:color="auto" w:fill="auto"/>
            <w:vAlign w:val="center"/>
          </w:tcPr>
          <w:p w:rsidR="00373448" w:rsidRPr="00DE53F3" w:rsidP="00DC1194" w14:paraId="09534094" w14:textId="19FD701F">
            <w:pPr>
              <w:spacing w:before="20" w:after="20"/>
              <w:ind w:left="137" w:right="91"/>
              <w:rPr>
                <w:rFonts w:ascii="Times New Roman" w:hAnsi="Times New Roman"/>
                <w:sz w:val="24"/>
                <w:szCs w:val="24"/>
              </w:rPr>
            </w:pPr>
            <w:r w:rsidRPr="00DE53F3">
              <w:rPr>
                <w:rFonts w:ascii="Times New Roman" w:hAnsi="Times New Roman"/>
                <w:sz w:val="24"/>
                <w:szCs w:val="24"/>
              </w:rPr>
              <w:t>Noteikumu projekta III; IV; V sadaļa</w:t>
            </w:r>
          </w:p>
        </w:tc>
        <w:tc>
          <w:tcPr>
            <w:tcW w:w="2410" w:type="dxa"/>
            <w:shd w:val="clear" w:color="auto" w:fill="auto"/>
            <w:vAlign w:val="center"/>
          </w:tcPr>
          <w:p w:rsidR="00373448" w:rsidRPr="00DE53F3" w:rsidP="00DC1194" w14:paraId="59E132C6" w14:textId="2D386FD6">
            <w:pPr>
              <w:spacing w:before="20" w:after="20"/>
              <w:ind w:left="137" w:right="91"/>
              <w:rPr>
                <w:rFonts w:ascii="Times New Roman" w:hAnsi="Times New Roman"/>
                <w:sz w:val="24"/>
                <w:szCs w:val="24"/>
              </w:rPr>
            </w:pPr>
            <w:r w:rsidRPr="00DE53F3">
              <w:rPr>
                <w:rFonts w:ascii="Times New Roman" w:hAnsi="Times New Roman"/>
                <w:sz w:val="24"/>
                <w:szCs w:val="24"/>
              </w:rPr>
              <w:t>-</w:t>
            </w:r>
          </w:p>
        </w:tc>
        <w:tc>
          <w:tcPr>
            <w:tcW w:w="3123" w:type="dxa"/>
            <w:shd w:val="clear" w:color="auto" w:fill="auto"/>
            <w:vAlign w:val="center"/>
          </w:tcPr>
          <w:p w:rsidR="00373448" w:rsidRPr="00DE53F3" w:rsidP="00DC1194" w14:paraId="2F65BAEF" w14:textId="69272507">
            <w:pPr>
              <w:pStyle w:val="naisc"/>
              <w:spacing w:before="20" w:after="20"/>
              <w:ind w:left="137" w:right="91"/>
              <w:jc w:val="both"/>
            </w:pPr>
            <w:r w:rsidRPr="00DE53F3">
              <w:t>-</w:t>
            </w:r>
          </w:p>
        </w:tc>
      </w:tr>
      <w:tr w14:paraId="2247FF6A" w14:textId="77777777" w:rsidTr="000252D3">
        <w:tblPrEx>
          <w:tblW w:w="9072" w:type="dxa"/>
          <w:jc w:val="center"/>
          <w:tblLayout w:type="fixed"/>
          <w:tblCellMar>
            <w:left w:w="0" w:type="dxa"/>
            <w:right w:w="0" w:type="dxa"/>
          </w:tblCellMar>
          <w:tblLook w:val="0000"/>
        </w:tblPrEx>
        <w:trPr>
          <w:trHeight w:val="284"/>
          <w:jc w:val="center"/>
        </w:trPr>
        <w:tc>
          <w:tcPr>
            <w:tcW w:w="9072" w:type="dxa"/>
            <w:gridSpan w:val="4"/>
          </w:tcPr>
          <w:p w:rsidR="00CB4AAB" w:rsidRPr="00DE53F3" w:rsidP="00B63F0E" w14:paraId="28A436D3" w14:textId="77777777">
            <w:pPr>
              <w:pStyle w:val="naisc"/>
              <w:spacing w:before="60" w:after="60"/>
              <w:ind w:firstLine="266"/>
              <w:rPr>
                <w:b/>
              </w:rPr>
            </w:pPr>
            <w:r w:rsidRPr="00DE53F3">
              <w:rPr>
                <w:b/>
              </w:rPr>
              <w:t>2.tabula</w:t>
            </w:r>
          </w:p>
          <w:p w:rsidR="00CB4AAB" w:rsidRPr="00DE53F3" w:rsidP="00B63F0E" w14:paraId="3ED7F320" w14:textId="77777777">
            <w:pPr>
              <w:pStyle w:val="naisc"/>
              <w:spacing w:before="60" w:after="60"/>
              <w:ind w:firstLine="266"/>
              <w:rPr>
                <w:b/>
              </w:rPr>
            </w:pPr>
            <w:r w:rsidRPr="00DE53F3">
              <w:rPr>
                <w:b/>
              </w:rPr>
              <w:t>Ar tiesību akta projektu izpildītās vai uzņemtās saistības, kas izriet no starptautiskajiem tiesību aktiem vai starptautiskas institūcijas vai organizācijas dokumentiem.</w:t>
            </w:r>
          </w:p>
          <w:p w:rsidR="00CB4AAB" w:rsidRPr="00DE53F3" w:rsidP="00B63F0E" w14:paraId="7D96EE7C" w14:textId="77777777">
            <w:pPr>
              <w:pStyle w:val="naisc"/>
              <w:spacing w:before="60" w:after="60"/>
              <w:ind w:firstLine="266"/>
              <w:rPr>
                <w:i/>
              </w:rPr>
            </w:pPr>
            <w:r w:rsidRPr="00DE53F3">
              <w:rPr>
                <w:b/>
              </w:rPr>
              <w:t>Pasākumi šo saistību izpildei</w:t>
            </w:r>
          </w:p>
        </w:tc>
      </w:tr>
      <w:tr w14:paraId="0D369738" w14:textId="77777777" w:rsidTr="00F47B09">
        <w:tblPrEx>
          <w:tblW w:w="9072" w:type="dxa"/>
          <w:jc w:val="center"/>
          <w:tblLayout w:type="fixed"/>
          <w:tblCellMar>
            <w:left w:w="0" w:type="dxa"/>
            <w:right w:w="0" w:type="dxa"/>
          </w:tblCellMar>
          <w:tblLook w:val="0000"/>
        </w:tblPrEx>
        <w:trPr>
          <w:trHeight w:val="284"/>
          <w:jc w:val="center"/>
        </w:trPr>
        <w:tc>
          <w:tcPr>
            <w:tcW w:w="1646" w:type="dxa"/>
          </w:tcPr>
          <w:p w:rsidR="007F797B" w:rsidRPr="00DE53F3" w:rsidP="00F47B09" w14:paraId="0BEDFC33" w14:textId="77777777">
            <w:pPr>
              <w:spacing w:before="60" w:after="60"/>
              <w:ind w:left="137" w:right="91"/>
              <w:rPr>
                <w:rFonts w:ascii="Times New Roman" w:hAnsi="Times New Roman"/>
                <w:sz w:val="24"/>
                <w:szCs w:val="24"/>
              </w:rPr>
            </w:pPr>
            <w:r w:rsidRPr="00DE53F3">
              <w:rPr>
                <w:rFonts w:ascii="Times New Roman" w:hAnsi="Times New Roman"/>
                <w:sz w:val="24"/>
                <w:szCs w:val="24"/>
              </w:rPr>
              <w:t>Attiecīgā Eiropas Savienības tiesību akta datums, numurs un nosaukums</w:t>
            </w:r>
          </w:p>
        </w:tc>
        <w:tc>
          <w:tcPr>
            <w:tcW w:w="7426" w:type="dxa"/>
            <w:gridSpan w:val="3"/>
            <w:vAlign w:val="center"/>
          </w:tcPr>
          <w:p w:rsidR="007F797B" w:rsidRPr="007F797B" w:rsidP="00F47B09" w14:paraId="43F0F011" w14:textId="17DFFE3A">
            <w:pPr>
              <w:autoSpaceDE w:val="0"/>
              <w:autoSpaceDN w:val="0"/>
              <w:adjustRightInd w:val="0"/>
              <w:spacing w:before="60" w:after="60"/>
              <w:ind w:left="50" w:right="146"/>
              <w:rPr>
                <w:rFonts w:ascii="Times New Roman" w:hAnsi="Times New Roman"/>
                <w:sz w:val="24"/>
                <w:szCs w:val="24"/>
                <w:shd w:val="clear" w:color="auto" w:fill="FFFFFF"/>
              </w:rPr>
            </w:pPr>
            <w:r w:rsidRPr="007F797B">
              <w:rPr>
                <w:rFonts w:ascii="Times New Roman" w:hAnsi="Times New Roman"/>
                <w:sz w:val="24"/>
                <w:szCs w:val="24"/>
                <w:shd w:val="clear" w:color="auto" w:fill="FFFFFF"/>
              </w:rPr>
              <w:t>ANO Klimata konvencija</w:t>
            </w:r>
          </w:p>
        </w:tc>
      </w:tr>
      <w:tr w14:paraId="339E6D82" w14:textId="77777777" w:rsidTr="00F47B09">
        <w:tblPrEx>
          <w:tblW w:w="9072" w:type="dxa"/>
          <w:jc w:val="center"/>
          <w:tblLayout w:type="fixed"/>
          <w:tblCellMar>
            <w:left w:w="0" w:type="dxa"/>
            <w:right w:w="0" w:type="dxa"/>
          </w:tblCellMar>
          <w:tblLook w:val="0000"/>
        </w:tblPrEx>
        <w:trPr>
          <w:trHeight w:val="284"/>
          <w:jc w:val="center"/>
        </w:trPr>
        <w:tc>
          <w:tcPr>
            <w:tcW w:w="1646" w:type="dxa"/>
            <w:vAlign w:val="center"/>
          </w:tcPr>
          <w:p w:rsidR="007F797B" w:rsidRPr="009A2AC6" w:rsidP="00F47B09" w14:paraId="0253E70F" w14:textId="77777777">
            <w:pPr>
              <w:spacing w:after="0"/>
              <w:jc w:val="center"/>
              <w:rPr>
                <w:rFonts w:ascii="Times New Roman" w:hAnsi="Times New Roman"/>
                <w:sz w:val="20"/>
                <w:szCs w:val="20"/>
              </w:rPr>
            </w:pPr>
            <w:r w:rsidRPr="009A2AC6">
              <w:rPr>
                <w:rFonts w:ascii="Times New Roman" w:hAnsi="Times New Roman"/>
                <w:sz w:val="20"/>
                <w:szCs w:val="20"/>
              </w:rPr>
              <w:t>A</w:t>
            </w:r>
          </w:p>
        </w:tc>
        <w:tc>
          <w:tcPr>
            <w:tcW w:w="1893" w:type="dxa"/>
            <w:vAlign w:val="center"/>
          </w:tcPr>
          <w:p w:rsidR="007F797B" w:rsidRPr="009A2AC6" w:rsidP="00F47B09" w14:paraId="67D3E843" w14:textId="77777777">
            <w:pPr>
              <w:spacing w:after="0"/>
              <w:ind w:left="57"/>
              <w:jc w:val="center"/>
              <w:rPr>
                <w:rFonts w:ascii="Times New Roman" w:hAnsi="Times New Roman"/>
                <w:sz w:val="20"/>
                <w:szCs w:val="20"/>
              </w:rPr>
            </w:pPr>
            <w:r w:rsidRPr="009A2AC6">
              <w:rPr>
                <w:rFonts w:ascii="Times New Roman" w:hAnsi="Times New Roman"/>
                <w:sz w:val="20"/>
                <w:szCs w:val="20"/>
              </w:rPr>
              <w:t>B</w:t>
            </w:r>
          </w:p>
        </w:tc>
        <w:tc>
          <w:tcPr>
            <w:tcW w:w="2410" w:type="dxa"/>
            <w:vAlign w:val="center"/>
          </w:tcPr>
          <w:p w:rsidR="007F797B" w:rsidRPr="009A2AC6" w:rsidP="00F47B09" w14:paraId="47824CED" w14:textId="77777777">
            <w:pPr>
              <w:spacing w:after="0"/>
              <w:ind w:left="57"/>
              <w:jc w:val="center"/>
              <w:rPr>
                <w:rFonts w:ascii="Times New Roman" w:hAnsi="Times New Roman"/>
                <w:sz w:val="20"/>
                <w:szCs w:val="20"/>
              </w:rPr>
            </w:pPr>
            <w:r w:rsidRPr="009A2AC6">
              <w:rPr>
                <w:rFonts w:ascii="Times New Roman" w:hAnsi="Times New Roman"/>
                <w:sz w:val="20"/>
                <w:szCs w:val="20"/>
              </w:rPr>
              <w:t>C</w:t>
            </w:r>
          </w:p>
        </w:tc>
        <w:tc>
          <w:tcPr>
            <w:tcW w:w="3123" w:type="dxa"/>
            <w:vAlign w:val="center"/>
          </w:tcPr>
          <w:p w:rsidR="007F797B" w:rsidRPr="009A2AC6" w:rsidP="00F47B09" w14:paraId="6CCDF0DE" w14:textId="77777777">
            <w:pPr>
              <w:spacing w:after="0"/>
              <w:ind w:left="57"/>
              <w:jc w:val="center"/>
              <w:rPr>
                <w:rFonts w:ascii="Times New Roman" w:hAnsi="Times New Roman"/>
                <w:sz w:val="20"/>
                <w:szCs w:val="20"/>
              </w:rPr>
            </w:pPr>
            <w:r w:rsidRPr="009A2AC6">
              <w:rPr>
                <w:rFonts w:ascii="Times New Roman" w:hAnsi="Times New Roman"/>
                <w:sz w:val="20"/>
                <w:szCs w:val="20"/>
              </w:rPr>
              <w:t>D</w:t>
            </w:r>
          </w:p>
        </w:tc>
      </w:tr>
      <w:tr w14:paraId="0C41C289" w14:textId="77777777" w:rsidTr="00F47B09">
        <w:tblPrEx>
          <w:tblW w:w="9072" w:type="dxa"/>
          <w:jc w:val="center"/>
          <w:tblLayout w:type="fixed"/>
          <w:tblCellMar>
            <w:left w:w="0" w:type="dxa"/>
            <w:right w:w="0" w:type="dxa"/>
          </w:tblCellMar>
          <w:tblLook w:val="0000"/>
        </w:tblPrEx>
        <w:trPr>
          <w:trHeight w:val="284"/>
          <w:jc w:val="center"/>
        </w:trPr>
        <w:tc>
          <w:tcPr>
            <w:tcW w:w="1646" w:type="dxa"/>
          </w:tcPr>
          <w:p w:rsidR="007F797B" w:rsidRPr="009A2AC6" w:rsidP="00F47B09" w14:paraId="5FDBED9D" w14:textId="3544E125">
            <w:pPr>
              <w:spacing w:before="60" w:after="60"/>
              <w:ind w:left="137" w:right="91"/>
              <w:rPr>
                <w:rFonts w:ascii="Times New Roman" w:hAnsi="Times New Roman"/>
                <w:spacing w:val="-3"/>
              </w:rPr>
            </w:pPr>
            <w:r w:rsidRPr="007F797B">
              <w:rPr>
                <w:rFonts w:ascii="Times New Roman" w:hAnsi="Times New Roman"/>
                <w:sz w:val="24"/>
                <w:szCs w:val="24"/>
                <w:shd w:val="clear" w:color="auto" w:fill="FFFFFF"/>
              </w:rPr>
              <w:t>ANO Klimata konvencija</w:t>
            </w:r>
            <w:r>
              <w:rPr>
                <w:rFonts w:ascii="Times New Roman" w:hAnsi="Times New Roman"/>
                <w:sz w:val="24"/>
                <w:szCs w:val="24"/>
                <w:shd w:val="clear" w:color="auto" w:fill="FFFFFF"/>
              </w:rPr>
              <w:t>s 4.pants</w:t>
            </w:r>
          </w:p>
        </w:tc>
        <w:tc>
          <w:tcPr>
            <w:tcW w:w="1893" w:type="dxa"/>
          </w:tcPr>
          <w:p w:rsidR="007F797B" w:rsidRPr="009A2AC6" w:rsidP="00F47B09" w14:paraId="133794A0" w14:textId="72BE9F00">
            <w:pPr>
              <w:spacing w:before="60" w:after="60"/>
              <w:ind w:left="50" w:right="181"/>
              <w:rPr>
                <w:rFonts w:ascii="Times New Roman" w:hAnsi="Times New Roman"/>
                <w:spacing w:val="-3"/>
              </w:rPr>
            </w:pPr>
            <w:r w:rsidRPr="007F797B">
              <w:rPr>
                <w:rFonts w:ascii="Times New Roman" w:hAnsi="Times New Roman"/>
                <w:spacing w:val="-3"/>
              </w:rPr>
              <w:t>Noteikumu projekta</w:t>
            </w:r>
            <w:r>
              <w:rPr>
                <w:rFonts w:ascii="Times New Roman" w:hAnsi="Times New Roman"/>
                <w:spacing w:val="-3"/>
              </w:rPr>
              <w:t xml:space="preserve"> II; </w:t>
            </w:r>
            <w:r>
              <w:rPr>
                <w:rFonts w:ascii="Times New Roman" w:hAnsi="Times New Roman"/>
                <w:sz w:val="24"/>
                <w:szCs w:val="24"/>
              </w:rPr>
              <w:t>III</w:t>
            </w:r>
            <w:r w:rsidRPr="00DE53F3">
              <w:rPr>
                <w:rFonts w:ascii="Times New Roman" w:hAnsi="Times New Roman"/>
                <w:sz w:val="24"/>
                <w:szCs w:val="24"/>
              </w:rPr>
              <w:t>; IV; V sadaļa</w:t>
            </w:r>
          </w:p>
        </w:tc>
        <w:tc>
          <w:tcPr>
            <w:tcW w:w="2410" w:type="dxa"/>
          </w:tcPr>
          <w:p w:rsidR="007F797B" w:rsidRPr="009A2AC6" w:rsidP="007F0ABD" w14:paraId="1A85755E" w14:textId="04DAEC82">
            <w:pPr>
              <w:spacing w:before="60" w:after="60"/>
              <w:ind w:left="103" w:right="90"/>
              <w:jc w:val="left"/>
              <w:rPr>
                <w:rFonts w:ascii="Times New Roman" w:hAnsi="Times New Roman"/>
                <w:spacing w:val="-3"/>
              </w:rPr>
            </w:pPr>
            <w:r>
              <w:rPr>
                <w:rFonts w:ascii="Times New Roman" w:hAnsi="Times New Roman"/>
                <w:spacing w:val="-3"/>
              </w:rPr>
              <w:t>-</w:t>
            </w:r>
          </w:p>
        </w:tc>
        <w:tc>
          <w:tcPr>
            <w:tcW w:w="3123" w:type="dxa"/>
          </w:tcPr>
          <w:p w:rsidR="007F797B" w:rsidRPr="009A2AC6" w:rsidP="007F0ABD" w14:paraId="02DA5028" w14:textId="5DAFE861">
            <w:pPr>
              <w:spacing w:before="60" w:after="60"/>
              <w:ind w:left="51" w:right="146"/>
              <w:jc w:val="left"/>
              <w:rPr>
                <w:rFonts w:ascii="Times New Roman" w:hAnsi="Times New Roman"/>
                <w:spacing w:val="-3"/>
              </w:rPr>
            </w:pPr>
            <w:r>
              <w:rPr>
                <w:rFonts w:ascii="Times New Roman" w:hAnsi="Times New Roman"/>
                <w:spacing w:val="-3"/>
              </w:rPr>
              <w:t>-</w:t>
            </w:r>
          </w:p>
        </w:tc>
      </w:tr>
      <w:tr w14:paraId="164678B4" w14:textId="77777777" w:rsidTr="00F47B09">
        <w:tblPrEx>
          <w:tblW w:w="9072" w:type="dxa"/>
          <w:jc w:val="center"/>
          <w:tblLayout w:type="fixed"/>
          <w:tblCellMar>
            <w:left w:w="0" w:type="dxa"/>
            <w:right w:w="0" w:type="dxa"/>
          </w:tblCellMar>
          <w:tblLook w:val="0000"/>
        </w:tblPrEx>
        <w:trPr>
          <w:trHeight w:val="284"/>
          <w:jc w:val="center"/>
        </w:trPr>
        <w:tc>
          <w:tcPr>
            <w:tcW w:w="1646" w:type="dxa"/>
          </w:tcPr>
          <w:p w:rsidR="007F797B" w:rsidRPr="009A2AC6" w:rsidP="007F797B" w14:paraId="559E19B7" w14:textId="7906EE9F">
            <w:pPr>
              <w:spacing w:before="60" w:after="60"/>
              <w:ind w:left="137" w:right="91"/>
              <w:rPr>
                <w:rFonts w:ascii="Times New Roman" w:hAnsi="Times New Roman"/>
                <w:spacing w:val="-3"/>
              </w:rPr>
            </w:pPr>
            <w:r w:rsidRPr="00DE53F3">
              <w:rPr>
                <w:rFonts w:ascii="Times New Roman" w:hAnsi="Times New Roman"/>
                <w:sz w:val="24"/>
                <w:szCs w:val="24"/>
              </w:rPr>
              <w:t>Attiecīgā Eiropas Savienības tiesību akta datums, numurs un nosaukums</w:t>
            </w:r>
          </w:p>
        </w:tc>
        <w:tc>
          <w:tcPr>
            <w:tcW w:w="7426" w:type="dxa"/>
            <w:gridSpan w:val="3"/>
            <w:vAlign w:val="center"/>
          </w:tcPr>
          <w:p w:rsidR="007F797B" w:rsidP="007F797B" w14:paraId="09A7732A" w14:textId="77777777">
            <w:pPr>
              <w:spacing w:before="60" w:after="60"/>
              <w:ind w:left="51" w:right="146"/>
              <w:rPr>
                <w:rFonts w:ascii="Times New Roman" w:hAnsi="Times New Roman"/>
                <w:sz w:val="24"/>
                <w:szCs w:val="24"/>
              </w:rPr>
            </w:pPr>
            <w:r w:rsidRPr="007F797B">
              <w:rPr>
                <w:rFonts w:ascii="Times New Roman" w:hAnsi="Times New Roman"/>
                <w:sz w:val="24"/>
                <w:szCs w:val="24"/>
                <w:shd w:val="clear" w:color="auto" w:fill="FFFFFF"/>
              </w:rPr>
              <w:t>ANO Klimata konvencija</w:t>
            </w:r>
            <w:r>
              <w:rPr>
                <w:rFonts w:ascii="Times New Roman" w:hAnsi="Times New Roman"/>
                <w:sz w:val="24"/>
                <w:szCs w:val="24"/>
                <w:shd w:val="clear" w:color="auto" w:fill="FFFFFF"/>
              </w:rPr>
              <w:t xml:space="preserve">s </w:t>
            </w:r>
            <w:r>
              <w:rPr>
                <w:rFonts w:ascii="Times New Roman" w:hAnsi="Times New Roman"/>
                <w:sz w:val="24"/>
                <w:szCs w:val="24"/>
              </w:rPr>
              <w:t>Kioto Protokols</w:t>
            </w:r>
          </w:p>
          <w:p w:rsidR="007F0ABD" w:rsidRPr="009A2AC6" w:rsidP="007F797B" w14:paraId="49AD3E93" w14:textId="77F9B52C">
            <w:pPr>
              <w:spacing w:before="60" w:after="60"/>
              <w:ind w:left="51" w:right="146"/>
              <w:rPr>
                <w:rFonts w:ascii="Times New Roman" w:hAnsi="Times New Roman"/>
                <w:spacing w:val="-3"/>
              </w:rPr>
            </w:pPr>
            <w:r w:rsidRPr="00DE53F3">
              <w:rPr>
                <w:rFonts w:ascii="Times New Roman" w:hAnsi="Times New Roman"/>
                <w:sz w:val="24"/>
                <w:szCs w:val="24"/>
              </w:rPr>
              <w:t>Līgumslēdzēju pušu konferencēs un pieņemtie lēmumi: 24/CP.19</w:t>
            </w:r>
          </w:p>
        </w:tc>
      </w:tr>
      <w:tr w14:paraId="58994BE6" w14:textId="77777777" w:rsidTr="00F47B09">
        <w:tblPrEx>
          <w:tblW w:w="9072" w:type="dxa"/>
          <w:jc w:val="center"/>
          <w:tblLayout w:type="fixed"/>
          <w:tblCellMar>
            <w:left w:w="0" w:type="dxa"/>
            <w:right w:w="0" w:type="dxa"/>
          </w:tblCellMar>
          <w:tblLook w:val="0000"/>
        </w:tblPrEx>
        <w:trPr>
          <w:trHeight w:val="284"/>
          <w:jc w:val="center"/>
        </w:trPr>
        <w:tc>
          <w:tcPr>
            <w:tcW w:w="1646" w:type="dxa"/>
            <w:vAlign w:val="center"/>
          </w:tcPr>
          <w:p w:rsidR="007F797B" w:rsidRPr="00DE53F3" w:rsidP="007F797B" w14:paraId="39280784" w14:textId="0C0188FB">
            <w:pPr>
              <w:spacing w:before="60" w:after="60"/>
              <w:ind w:left="137" w:right="91"/>
              <w:rPr>
                <w:rFonts w:ascii="Times New Roman" w:hAnsi="Times New Roman"/>
                <w:sz w:val="24"/>
                <w:szCs w:val="24"/>
              </w:rPr>
            </w:pPr>
            <w:r w:rsidRPr="009A2AC6">
              <w:rPr>
                <w:rFonts w:ascii="Times New Roman" w:hAnsi="Times New Roman"/>
                <w:sz w:val="20"/>
                <w:szCs w:val="20"/>
              </w:rPr>
              <w:t>A</w:t>
            </w:r>
          </w:p>
        </w:tc>
        <w:tc>
          <w:tcPr>
            <w:tcW w:w="1893" w:type="dxa"/>
            <w:vAlign w:val="center"/>
          </w:tcPr>
          <w:p w:rsidR="007F797B" w:rsidRPr="007F797B" w:rsidP="007F797B" w14:paraId="4FB51E1B" w14:textId="31F0B12B">
            <w:pPr>
              <w:spacing w:before="60" w:after="60"/>
              <w:ind w:left="50" w:right="181"/>
              <w:rPr>
                <w:rFonts w:ascii="Times New Roman" w:hAnsi="Times New Roman"/>
                <w:sz w:val="24"/>
                <w:szCs w:val="24"/>
                <w:shd w:val="clear" w:color="auto" w:fill="FFFFFF"/>
              </w:rPr>
            </w:pPr>
            <w:r w:rsidRPr="009A2AC6">
              <w:rPr>
                <w:rFonts w:ascii="Times New Roman" w:hAnsi="Times New Roman"/>
                <w:sz w:val="20"/>
                <w:szCs w:val="20"/>
              </w:rPr>
              <w:t>B</w:t>
            </w:r>
          </w:p>
        </w:tc>
        <w:tc>
          <w:tcPr>
            <w:tcW w:w="2410" w:type="dxa"/>
            <w:vAlign w:val="center"/>
          </w:tcPr>
          <w:p w:rsidR="007F797B" w:rsidRPr="009A2AC6" w:rsidP="007F797B" w14:paraId="7250D2C3" w14:textId="79C989FF">
            <w:pPr>
              <w:spacing w:before="60" w:after="60"/>
              <w:ind w:left="103" w:right="90"/>
              <w:rPr>
                <w:rFonts w:ascii="Times New Roman" w:hAnsi="Times New Roman"/>
                <w:spacing w:val="-3"/>
              </w:rPr>
            </w:pPr>
            <w:r w:rsidRPr="009A2AC6">
              <w:rPr>
                <w:rFonts w:ascii="Times New Roman" w:hAnsi="Times New Roman"/>
                <w:sz w:val="20"/>
                <w:szCs w:val="20"/>
              </w:rPr>
              <w:t>C</w:t>
            </w:r>
          </w:p>
        </w:tc>
        <w:tc>
          <w:tcPr>
            <w:tcW w:w="3123" w:type="dxa"/>
            <w:vAlign w:val="center"/>
          </w:tcPr>
          <w:p w:rsidR="007F797B" w:rsidRPr="009A2AC6" w:rsidP="007F797B" w14:paraId="21B284B1" w14:textId="43BFF180">
            <w:pPr>
              <w:spacing w:before="60" w:after="60"/>
              <w:ind w:left="51" w:right="146"/>
              <w:rPr>
                <w:rFonts w:ascii="Times New Roman" w:hAnsi="Times New Roman"/>
                <w:spacing w:val="-3"/>
              </w:rPr>
            </w:pPr>
            <w:r w:rsidRPr="009A2AC6">
              <w:rPr>
                <w:rFonts w:ascii="Times New Roman" w:hAnsi="Times New Roman"/>
                <w:sz w:val="20"/>
                <w:szCs w:val="20"/>
              </w:rPr>
              <w:t>D</w:t>
            </w:r>
          </w:p>
        </w:tc>
      </w:tr>
      <w:tr w14:paraId="0C773FC1" w14:textId="77777777" w:rsidTr="00F47B09">
        <w:tblPrEx>
          <w:tblW w:w="9072" w:type="dxa"/>
          <w:jc w:val="center"/>
          <w:tblLayout w:type="fixed"/>
          <w:tblCellMar>
            <w:left w:w="0" w:type="dxa"/>
            <w:right w:w="0" w:type="dxa"/>
          </w:tblCellMar>
          <w:tblLook w:val="0000"/>
        </w:tblPrEx>
        <w:trPr>
          <w:trHeight w:val="284"/>
          <w:jc w:val="center"/>
        </w:trPr>
        <w:tc>
          <w:tcPr>
            <w:tcW w:w="1646" w:type="dxa"/>
            <w:vAlign w:val="center"/>
          </w:tcPr>
          <w:p w:rsidR="007F0ABD" w:rsidRPr="009A2AC6" w:rsidP="007F797B" w14:paraId="26AB1435" w14:textId="64860782">
            <w:pPr>
              <w:spacing w:before="60" w:after="60"/>
              <w:ind w:left="137" w:right="91"/>
              <w:rPr>
                <w:rFonts w:ascii="Times New Roman" w:hAnsi="Times New Roman"/>
                <w:sz w:val="20"/>
                <w:szCs w:val="20"/>
              </w:rPr>
            </w:pPr>
            <w:r>
              <w:rPr>
                <w:rFonts w:ascii="Times New Roman" w:hAnsi="Times New Roman"/>
                <w:sz w:val="24"/>
                <w:szCs w:val="24"/>
              </w:rPr>
              <w:t>Kioto Protokola 3.pants</w:t>
            </w:r>
          </w:p>
        </w:tc>
        <w:tc>
          <w:tcPr>
            <w:tcW w:w="1893" w:type="dxa"/>
            <w:vAlign w:val="center"/>
          </w:tcPr>
          <w:p w:rsidR="007F0ABD" w:rsidRPr="009A2AC6" w:rsidP="007F0ABD" w14:paraId="0C33067B" w14:textId="69E6098E">
            <w:pPr>
              <w:spacing w:before="60" w:after="60"/>
              <w:ind w:left="50" w:right="181"/>
              <w:rPr>
                <w:rFonts w:ascii="Times New Roman" w:hAnsi="Times New Roman"/>
                <w:sz w:val="20"/>
                <w:szCs w:val="20"/>
              </w:rPr>
            </w:pPr>
            <w:r w:rsidRPr="007F797B">
              <w:rPr>
                <w:rFonts w:ascii="Times New Roman" w:hAnsi="Times New Roman"/>
                <w:spacing w:val="-3"/>
              </w:rPr>
              <w:t>Noteikumu projekta</w:t>
            </w:r>
            <w:r>
              <w:rPr>
                <w:rFonts w:ascii="Times New Roman" w:hAnsi="Times New Roman"/>
                <w:spacing w:val="-3"/>
              </w:rPr>
              <w:t xml:space="preserve"> </w:t>
            </w:r>
            <w:r w:rsidRPr="00DE53F3">
              <w:rPr>
                <w:rFonts w:ascii="Times New Roman" w:hAnsi="Times New Roman"/>
                <w:sz w:val="24"/>
                <w:szCs w:val="24"/>
              </w:rPr>
              <w:t>V sadaļa</w:t>
            </w:r>
          </w:p>
        </w:tc>
        <w:tc>
          <w:tcPr>
            <w:tcW w:w="2410" w:type="dxa"/>
            <w:vAlign w:val="center"/>
          </w:tcPr>
          <w:p w:rsidR="007F0ABD" w:rsidRPr="009A2AC6" w:rsidP="007F797B" w14:paraId="1C8C4C44" w14:textId="3B41F37B">
            <w:pPr>
              <w:spacing w:before="60" w:after="60"/>
              <w:ind w:left="103" w:right="90"/>
              <w:rPr>
                <w:rFonts w:ascii="Times New Roman" w:hAnsi="Times New Roman"/>
                <w:sz w:val="20"/>
                <w:szCs w:val="20"/>
              </w:rPr>
            </w:pPr>
            <w:r>
              <w:rPr>
                <w:rFonts w:ascii="Times New Roman" w:hAnsi="Times New Roman"/>
                <w:sz w:val="20"/>
                <w:szCs w:val="20"/>
              </w:rPr>
              <w:t>-</w:t>
            </w:r>
          </w:p>
        </w:tc>
        <w:tc>
          <w:tcPr>
            <w:tcW w:w="3123" w:type="dxa"/>
            <w:vAlign w:val="center"/>
          </w:tcPr>
          <w:p w:rsidR="007F0ABD" w:rsidRPr="009A2AC6" w:rsidP="007F797B" w14:paraId="4D568D4A" w14:textId="6C267DFD">
            <w:pPr>
              <w:spacing w:before="60" w:after="60"/>
              <w:ind w:left="51" w:right="146"/>
              <w:rPr>
                <w:rFonts w:ascii="Times New Roman" w:hAnsi="Times New Roman"/>
                <w:sz w:val="20"/>
                <w:szCs w:val="20"/>
              </w:rPr>
            </w:pPr>
            <w:r>
              <w:rPr>
                <w:rFonts w:ascii="Times New Roman" w:hAnsi="Times New Roman"/>
                <w:sz w:val="20"/>
                <w:szCs w:val="20"/>
              </w:rPr>
              <w:t>-</w:t>
            </w:r>
          </w:p>
        </w:tc>
      </w:tr>
      <w:tr w14:paraId="7CC2C535" w14:textId="77777777" w:rsidTr="00F47B09">
        <w:tblPrEx>
          <w:tblW w:w="9072" w:type="dxa"/>
          <w:jc w:val="center"/>
          <w:tblLayout w:type="fixed"/>
          <w:tblCellMar>
            <w:left w:w="0" w:type="dxa"/>
            <w:right w:w="0" w:type="dxa"/>
          </w:tblCellMar>
          <w:tblLook w:val="0000"/>
        </w:tblPrEx>
        <w:trPr>
          <w:trHeight w:val="284"/>
          <w:jc w:val="center"/>
        </w:trPr>
        <w:tc>
          <w:tcPr>
            <w:tcW w:w="1646" w:type="dxa"/>
            <w:vAlign w:val="center"/>
          </w:tcPr>
          <w:p w:rsidR="007F0ABD" w:rsidP="007F797B" w14:paraId="193432A0" w14:textId="4E55552A">
            <w:pPr>
              <w:spacing w:before="60" w:after="60"/>
              <w:ind w:left="137" w:right="91"/>
              <w:rPr>
                <w:rFonts w:ascii="Times New Roman" w:hAnsi="Times New Roman"/>
                <w:sz w:val="24"/>
                <w:szCs w:val="24"/>
              </w:rPr>
            </w:pPr>
            <w:r>
              <w:rPr>
                <w:rFonts w:ascii="Times New Roman" w:hAnsi="Times New Roman"/>
                <w:sz w:val="24"/>
                <w:szCs w:val="24"/>
              </w:rPr>
              <w:t>Kioto Protokola 5.pants</w:t>
            </w:r>
          </w:p>
        </w:tc>
        <w:tc>
          <w:tcPr>
            <w:tcW w:w="1893" w:type="dxa"/>
            <w:vAlign w:val="center"/>
          </w:tcPr>
          <w:p w:rsidR="007F0ABD" w:rsidRPr="007F797B" w:rsidP="007F0ABD" w14:paraId="0286E817" w14:textId="339D7944">
            <w:pPr>
              <w:spacing w:before="60" w:after="60"/>
              <w:ind w:left="50" w:right="181"/>
              <w:rPr>
                <w:rFonts w:ascii="Times New Roman" w:hAnsi="Times New Roman"/>
                <w:spacing w:val="-3"/>
              </w:rPr>
            </w:pPr>
            <w:r>
              <w:rPr>
                <w:rFonts w:ascii="Times New Roman" w:hAnsi="Times New Roman"/>
                <w:spacing w:val="-3"/>
              </w:rPr>
              <w:t>Noteikumu projekta II; III; IV</w:t>
            </w:r>
            <w:r w:rsidRPr="007F0ABD">
              <w:rPr>
                <w:rFonts w:ascii="Times New Roman" w:hAnsi="Times New Roman"/>
                <w:spacing w:val="-3"/>
              </w:rPr>
              <w:t xml:space="preserve"> sadaļa</w:t>
            </w:r>
            <w:r>
              <w:rPr>
                <w:rFonts w:ascii="Times New Roman" w:hAnsi="Times New Roman"/>
                <w:spacing w:val="-3"/>
              </w:rPr>
              <w:t>s</w:t>
            </w:r>
          </w:p>
        </w:tc>
        <w:tc>
          <w:tcPr>
            <w:tcW w:w="2410" w:type="dxa"/>
            <w:vAlign w:val="center"/>
          </w:tcPr>
          <w:p w:rsidR="007F0ABD" w:rsidRPr="009A2AC6" w:rsidP="007F797B" w14:paraId="0C82642B" w14:textId="1BBC379E">
            <w:pPr>
              <w:spacing w:before="60" w:after="60"/>
              <w:ind w:left="103" w:right="90"/>
              <w:rPr>
                <w:rFonts w:ascii="Times New Roman" w:hAnsi="Times New Roman"/>
                <w:sz w:val="20"/>
                <w:szCs w:val="20"/>
              </w:rPr>
            </w:pPr>
            <w:r>
              <w:rPr>
                <w:rFonts w:ascii="Times New Roman" w:hAnsi="Times New Roman"/>
                <w:sz w:val="20"/>
                <w:szCs w:val="20"/>
              </w:rPr>
              <w:t>-</w:t>
            </w:r>
          </w:p>
        </w:tc>
        <w:tc>
          <w:tcPr>
            <w:tcW w:w="3123" w:type="dxa"/>
            <w:vAlign w:val="center"/>
          </w:tcPr>
          <w:p w:rsidR="007F0ABD" w:rsidRPr="009A2AC6" w:rsidP="007F797B" w14:paraId="014986BE" w14:textId="1EAE60AC">
            <w:pPr>
              <w:spacing w:before="60" w:after="60"/>
              <w:ind w:left="51" w:right="146"/>
              <w:rPr>
                <w:rFonts w:ascii="Times New Roman" w:hAnsi="Times New Roman"/>
                <w:sz w:val="20"/>
                <w:szCs w:val="20"/>
              </w:rPr>
            </w:pPr>
            <w:r>
              <w:rPr>
                <w:rFonts w:ascii="Times New Roman" w:hAnsi="Times New Roman"/>
                <w:sz w:val="20"/>
                <w:szCs w:val="20"/>
              </w:rPr>
              <w:t>-</w:t>
            </w:r>
          </w:p>
        </w:tc>
      </w:tr>
      <w:tr w14:paraId="61614F7A" w14:textId="77777777" w:rsidTr="00F47B09">
        <w:tblPrEx>
          <w:tblW w:w="9072" w:type="dxa"/>
          <w:jc w:val="center"/>
          <w:tblLayout w:type="fixed"/>
          <w:tblCellMar>
            <w:left w:w="0" w:type="dxa"/>
            <w:right w:w="0" w:type="dxa"/>
          </w:tblCellMar>
          <w:tblLook w:val="0000"/>
        </w:tblPrEx>
        <w:trPr>
          <w:trHeight w:val="284"/>
          <w:jc w:val="center"/>
        </w:trPr>
        <w:tc>
          <w:tcPr>
            <w:tcW w:w="1646" w:type="dxa"/>
            <w:vAlign w:val="center"/>
          </w:tcPr>
          <w:p w:rsidR="007F0ABD" w:rsidP="007F797B" w14:paraId="3C103D64" w14:textId="6B7DDD0B">
            <w:pPr>
              <w:spacing w:before="60" w:after="60"/>
              <w:ind w:left="137" w:right="91"/>
              <w:rPr>
                <w:rFonts w:ascii="Times New Roman" w:hAnsi="Times New Roman"/>
                <w:sz w:val="24"/>
                <w:szCs w:val="24"/>
              </w:rPr>
            </w:pPr>
            <w:r>
              <w:rPr>
                <w:rFonts w:ascii="Times New Roman" w:hAnsi="Times New Roman"/>
                <w:sz w:val="24"/>
                <w:szCs w:val="24"/>
              </w:rPr>
              <w:t>Kioto Protokola 7.pants</w:t>
            </w:r>
          </w:p>
        </w:tc>
        <w:tc>
          <w:tcPr>
            <w:tcW w:w="1893" w:type="dxa"/>
            <w:vAlign w:val="center"/>
          </w:tcPr>
          <w:p w:rsidR="007F0ABD" w:rsidP="007F0ABD" w14:paraId="56100B01" w14:textId="5E3DA167">
            <w:pPr>
              <w:spacing w:before="60" w:after="60"/>
              <w:ind w:left="50" w:right="181"/>
              <w:rPr>
                <w:rFonts w:ascii="Times New Roman" w:hAnsi="Times New Roman"/>
                <w:spacing w:val="-3"/>
              </w:rPr>
            </w:pPr>
            <w:r w:rsidRPr="007F0ABD">
              <w:rPr>
                <w:rFonts w:ascii="Times New Roman" w:hAnsi="Times New Roman"/>
                <w:spacing w:val="-3"/>
              </w:rPr>
              <w:t>Noteikumu projekta II; III; IV</w:t>
            </w:r>
            <w:r>
              <w:rPr>
                <w:rFonts w:ascii="Times New Roman" w:hAnsi="Times New Roman"/>
                <w:spacing w:val="-3"/>
              </w:rPr>
              <w:t>; V</w:t>
            </w:r>
            <w:r w:rsidRPr="007F0ABD">
              <w:rPr>
                <w:rFonts w:ascii="Times New Roman" w:hAnsi="Times New Roman"/>
                <w:spacing w:val="-3"/>
              </w:rPr>
              <w:t xml:space="preserve"> sadaļas</w:t>
            </w:r>
          </w:p>
        </w:tc>
        <w:tc>
          <w:tcPr>
            <w:tcW w:w="2410" w:type="dxa"/>
            <w:vAlign w:val="center"/>
          </w:tcPr>
          <w:p w:rsidR="007F0ABD" w:rsidP="007F797B" w14:paraId="408311DC" w14:textId="21FCC074">
            <w:pPr>
              <w:spacing w:before="60" w:after="60"/>
              <w:ind w:left="103" w:right="90"/>
              <w:rPr>
                <w:rFonts w:ascii="Times New Roman" w:hAnsi="Times New Roman"/>
                <w:sz w:val="20"/>
                <w:szCs w:val="20"/>
              </w:rPr>
            </w:pPr>
            <w:r>
              <w:rPr>
                <w:rFonts w:ascii="Times New Roman" w:hAnsi="Times New Roman"/>
                <w:sz w:val="20"/>
                <w:szCs w:val="20"/>
              </w:rPr>
              <w:t>-</w:t>
            </w:r>
          </w:p>
        </w:tc>
        <w:tc>
          <w:tcPr>
            <w:tcW w:w="3123" w:type="dxa"/>
            <w:vAlign w:val="center"/>
          </w:tcPr>
          <w:p w:rsidR="007F0ABD" w:rsidP="007F797B" w14:paraId="7F50FF5B" w14:textId="786FDAEF">
            <w:pPr>
              <w:spacing w:before="60" w:after="60"/>
              <w:ind w:left="51" w:right="146"/>
              <w:rPr>
                <w:rFonts w:ascii="Times New Roman" w:hAnsi="Times New Roman"/>
                <w:sz w:val="20"/>
                <w:szCs w:val="20"/>
              </w:rPr>
            </w:pPr>
            <w:r>
              <w:rPr>
                <w:rFonts w:ascii="Times New Roman" w:hAnsi="Times New Roman"/>
                <w:sz w:val="20"/>
                <w:szCs w:val="20"/>
              </w:rPr>
              <w:t>-</w:t>
            </w:r>
          </w:p>
        </w:tc>
      </w:tr>
      <w:tr w14:paraId="320BD936" w14:textId="77777777" w:rsidTr="00F47B09">
        <w:tblPrEx>
          <w:tblW w:w="9072" w:type="dxa"/>
          <w:jc w:val="center"/>
          <w:tblLayout w:type="fixed"/>
          <w:tblCellMar>
            <w:left w:w="0" w:type="dxa"/>
            <w:right w:w="0" w:type="dxa"/>
          </w:tblCellMar>
          <w:tblLook w:val="0000"/>
        </w:tblPrEx>
        <w:trPr>
          <w:trHeight w:val="284"/>
          <w:jc w:val="center"/>
        </w:trPr>
        <w:tc>
          <w:tcPr>
            <w:tcW w:w="1646" w:type="dxa"/>
          </w:tcPr>
          <w:p w:rsidR="007F0ABD" w:rsidP="007F0ABD" w14:paraId="2364C6C4" w14:textId="0B85F490">
            <w:pPr>
              <w:spacing w:before="60" w:after="60"/>
              <w:ind w:left="137" w:right="91"/>
              <w:rPr>
                <w:rFonts w:ascii="Times New Roman" w:hAnsi="Times New Roman"/>
                <w:sz w:val="24"/>
                <w:szCs w:val="24"/>
              </w:rPr>
            </w:pPr>
            <w:r w:rsidRPr="00DE53F3">
              <w:rPr>
                <w:rFonts w:ascii="Times New Roman" w:hAnsi="Times New Roman"/>
                <w:sz w:val="24"/>
                <w:szCs w:val="24"/>
              </w:rPr>
              <w:t>Attiecīgā Eiropas Savienības tiesību akta datums, numurs un nosaukums</w:t>
            </w:r>
          </w:p>
        </w:tc>
        <w:tc>
          <w:tcPr>
            <w:tcW w:w="7426" w:type="dxa"/>
            <w:gridSpan w:val="3"/>
            <w:vAlign w:val="center"/>
          </w:tcPr>
          <w:p w:rsidR="007F0ABD" w:rsidP="007F0ABD" w14:paraId="55CCEF79" w14:textId="4D928975">
            <w:pPr>
              <w:spacing w:before="60" w:after="60"/>
              <w:ind w:left="51" w:right="146"/>
              <w:rPr>
                <w:rFonts w:ascii="Times New Roman" w:hAnsi="Times New Roman"/>
                <w:sz w:val="20"/>
                <w:szCs w:val="20"/>
              </w:rPr>
            </w:pPr>
            <w:r w:rsidRPr="007F797B">
              <w:rPr>
                <w:rFonts w:ascii="Times New Roman" w:hAnsi="Times New Roman"/>
                <w:sz w:val="24"/>
                <w:szCs w:val="24"/>
                <w:shd w:val="clear" w:color="auto" w:fill="FFFFFF"/>
              </w:rPr>
              <w:t>ANO Klimata konvencija</w:t>
            </w:r>
            <w:r>
              <w:rPr>
                <w:rFonts w:ascii="Times New Roman" w:hAnsi="Times New Roman"/>
                <w:sz w:val="24"/>
                <w:szCs w:val="24"/>
                <w:shd w:val="clear" w:color="auto" w:fill="FFFFFF"/>
              </w:rPr>
              <w:t xml:space="preserve">s </w:t>
            </w:r>
            <w:r>
              <w:rPr>
                <w:rFonts w:ascii="Times New Roman" w:hAnsi="Times New Roman"/>
                <w:sz w:val="24"/>
                <w:szCs w:val="24"/>
              </w:rPr>
              <w:t>Līgumslēdzēju pušu konferences</w:t>
            </w:r>
            <w:r w:rsidRPr="00DE53F3">
              <w:rPr>
                <w:rFonts w:ascii="Times New Roman" w:hAnsi="Times New Roman"/>
                <w:sz w:val="24"/>
                <w:szCs w:val="24"/>
              </w:rPr>
              <w:t xml:space="preserve"> </w:t>
            </w:r>
            <w:r>
              <w:rPr>
                <w:rFonts w:ascii="Times New Roman" w:hAnsi="Times New Roman"/>
                <w:sz w:val="24"/>
                <w:szCs w:val="24"/>
              </w:rPr>
              <w:t>Lē</w:t>
            </w:r>
            <w:r w:rsidR="003A14BC">
              <w:rPr>
                <w:rFonts w:ascii="Times New Roman" w:hAnsi="Times New Roman"/>
                <w:sz w:val="24"/>
                <w:szCs w:val="24"/>
              </w:rPr>
              <w:t>mumi</w:t>
            </w:r>
            <w:r w:rsidRPr="00DE53F3">
              <w:rPr>
                <w:rFonts w:ascii="Times New Roman" w:hAnsi="Times New Roman"/>
                <w:sz w:val="24"/>
                <w:szCs w:val="24"/>
              </w:rPr>
              <w:t xml:space="preserve"> 24/CP.19</w:t>
            </w:r>
            <w:r w:rsidR="003A14BC">
              <w:rPr>
                <w:rFonts w:ascii="Times New Roman" w:hAnsi="Times New Roman"/>
                <w:sz w:val="24"/>
                <w:szCs w:val="24"/>
              </w:rPr>
              <w:t>;</w:t>
            </w:r>
            <w:r w:rsidRPr="00DE53F3" w:rsidR="003A14BC">
              <w:rPr>
                <w:rFonts w:ascii="Times New Roman" w:hAnsi="Times New Roman"/>
                <w:sz w:val="24"/>
                <w:szCs w:val="24"/>
              </w:rPr>
              <w:t xml:space="preserve"> 13/CMP, 19/CMP.1, 2/CMP.8, 2/CMP.7, 2/CP.17, 19/CP.18.</w:t>
            </w:r>
          </w:p>
        </w:tc>
      </w:tr>
      <w:tr w14:paraId="347298BC" w14:textId="77777777" w:rsidTr="00F47B09">
        <w:tblPrEx>
          <w:tblW w:w="9072" w:type="dxa"/>
          <w:jc w:val="center"/>
          <w:tblLayout w:type="fixed"/>
          <w:tblCellMar>
            <w:left w:w="0" w:type="dxa"/>
            <w:right w:w="0" w:type="dxa"/>
          </w:tblCellMar>
          <w:tblLook w:val="0000"/>
        </w:tblPrEx>
        <w:trPr>
          <w:trHeight w:val="284"/>
          <w:jc w:val="center"/>
        </w:trPr>
        <w:tc>
          <w:tcPr>
            <w:tcW w:w="1646" w:type="dxa"/>
          </w:tcPr>
          <w:p w:rsidR="007F0ABD" w:rsidRPr="00DE53F3" w:rsidP="007F0ABD" w14:paraId="237A9AE3" w14:textId="16BC8E35">
            <w:pPr>
              <w:spacing w:before="60" w:after="60"/>
              <w:ind w:left="137" w:right="91"/>
              <w:rPr>
                <w:rFonts w:ascii="Times New Roman" w:hAnsi="Times New Roman"/>
                <w:sz w:val="24"/>
                <w:szCs w:val="24"/>
              </w:rPr>
            </w:pPr>
            <w:r w:rsidRPr="000876A3">
              <w:t>A</w:t>
            </w:r>
          </w:p>
        </w:tc>
        <w:tc>
          <w:tcPr>
            <w:tcW w:w="1893" w:type="dxa"/>
          </w:tcPr>
          <w:p w:rsidR="007F0ABD" w:rsidRPr="007F797B" w:rsidP="007F0ABD" w14:paraId="3D3E35CE" w14:textId="5AA83795">
            <w:pPr>
              <w:spacing w:before="60" w:after="60"/>
              <w:ind w:left="51" w:right="146"/>
              <w:rPr>
                <w:rFonts w:ascii="Times New Roman" w:hAnsi="Times New Roman"/>
                <w:sz w:val="24"/>
                <w:szCs w:val="24"/>
                <w:shd w:val="clear" w:color="auto" w:fill="FFFFFF"/>
              </w:rPr>
            </w:pPr>
            <w:r w:rsidRPr="000876A3">
              <w:t>B</w:t>
            </w:r>
          </w:p>
        </w:tc>
        <w:tc>
          <w:tcPr>
            <w:tcW w:w="2410" w:type="dxa"/>
          </w:tcPr>
          <w:p w:rsidR="007F0ABD" w:rsidRPr="007F797B" w:rsidP="007F0ABD" w14:paraId="16A2E7FF" w14:textId="02692F0B">
            <w:pPr>
              <w:spacing w:before="60" w:after="60"/>
              <w:ind w:left="51" w:right="146"/>
              <w:rPr>
                <w:rFonts w:ascii="Times New Roman" w:hAnsi="Times New Roman"/>
                <w:sz w:val="24"/>
                <w:szCs w:val="24"/>
                <w:shd w:val="clear" w:color="auto" w:fill="FFFFFF"/>
              </w:rPr>
            </w:pPr>
            <w:r w:rsidRPr="000876A3">
              <w:t>C</w:t>
            </w:r>
          </w:p>
        </w:tc>
        <w:tc>
          <w:tcPr>
            <w:tcW w:w="3123" w:type="dxa"/>
          </w:tcPr>
          <w:p w:rsidR="007F0ABD" w:rsidRPr="007F797B" w:rsidP="007F0ABD" w14:paraId="3194CC69" w14:textId="183E594B">
            <w:pPr>
              <w:spacing w:before="60" w:after="60"/>
              <w:ind w:left="51" w:right="146"/>
              <w:rPr>
                <w:rFonts w:ascii="Times New Roman" w:hAnsi="Times New Roman"/>
                <w:sz w:val="24"/>
                <w:szCs w:val="24"/>
                <w:shd w:val="clear" w:color="auto" w:fill="FFFFFF"/>
              </w:rPr>
            </w:pPr>
            <w:r w:rsidRPr="000876A3">
              <w:t>D</w:t>
            </w:r>
          </w:p>
        </w:tc>
      </w:tr>
      <w:tr w14:paraId="7A5A4C6C" w14:textId="77777777" w:rsidTr="00F47B09">
        <w:tblPrEx>
          <w:tblW w:w="9072" w:type="dxa"/>
          <w:jc w:val="center"/>
          <w:tblLayout w:type="fixed"/>
          <w:tblCellMar>
            <w:left w:w="0" w:type="dxa"/>
            <w:right w:w="0" w:type="dxa"/>
          </w:tblCellMar>
          <w:tblLook w:val="0000"/>
        </w:tblPrEx>
        <w:trPr>
          <w:trHeight w:val="284"/>
          <w:jc w:val="center"/>
        </w:trPr>
        <w:tc>
          <w:tcPr>
            <w:tcW w:w="1646" w:type="dxa"/>
          </w:tcPr>
          <w:p w:rsidR="007F0ABD" w:rsidRPr="000876A3" w:rsidP="007F0ABD" w14:paraId="28516319" w14:textId="1C6B60DD">
            <w:pPr>
              <w:spacing w:before="60" w:after="60"/>
              <w:ind w:left="137" w:right="91"/>
            </w:pPr>
            <w:r>
              <w:rPr>
                <w:rFonts w:ascii="Times New Roman" w:hAnsi="Times New Roman"/>
                <w:sz w:val="24"/>
                <w:szCs w:val="24"/>
              </w:rPr>
              <w:t>Lēmums</w:t>
            </w:r>
            <w:r w:rsidRPr="00DE53F3">
              <w:rPr>
                <w:rFonts w:ascii="Times New Roman" w:hAnsi="Times New Roman"/>
                <w:sz w:val="24"/>
                <w:szCs w:val="24"/>
              </w:rPr>
              <w:t xml:space="preserve"> 24/CP.19</w:t>
            </w:r>
            <w:r w:rsidR="003A14BC">
              <w:rPr>
                <w:rFonts w:ascii="Times New Roman" w:hAnsi="Times New Roman"/>
                <w:sz w:val="24"/>
                <w:szCs w:val="24"/>
              </w:rPr>
              <w:t xml:space="preserve">, </w:t>
            </w:r>
            <w:r w:rsidRPr="00DE53F3" w:rsidR="003A14BC">
              <w:rPr>
                <w:rFonts w:ascii="Times New Roman" w:hAnsi="Times New Roman"/>
                <w:sz w:val="24"/>
                <w:szCs w:val="24"/>
              </w:rPr>
              <w:t>13/CMP, 19/CMP.1, 2/CMP.8, 2/CMP.7, 2/CP.17, 19/CP.18.</w:t>
            </w:r>
          </w:p>
        </w:tc>
        <w:tc>
          <w:tcPr>
            <w:tcW w:w="1893" w:type="dxa"/>
          </w:tcPr>
          <w:p w:rsidR="007F0ABD" w:rsidRPr="000876A3" w:rsidP="007F0ABD" w14:paraId="555378B1" w14:textId="7C99B4C9">
            <w:pPr>
              <w:spacing w:before="60" w:after="60"/>
              <w:ind w:left="51" w:right="146"/>
            </w:pPr>
            <w:r>
              <w:rPr>
                <w:rFonts w:ascii="Times New Roman" w:hAnsi="Times New Roman"/>
                <w:spacing w:val="-3"/>
              </w:rPr>
              <w:t>Noteikumu projekta II; III; IV; V</w:t>
            </w:r>
            <w:r w:rsidRPr="007F0ABD">
              <w:rPr>
                <w:rFonts w:ascii="Times New Roman" w:hAnsi="Times New Roman"/>
                <w:spacing w:val="-3"/>
              </w:rPr>
              <w:t xml:space="preserve"> sadaļa</w:t>
            </w:r>
            <w:r>
              <w:rPr>
                <w:rFonts w:ascii="Times New Roman" w:hAnsi="Times New Roman"/>
                <w:spacing w:val="-3"/>
              </w:rPr>
              <w:t>s</w:t>
            </w:r>
          </w:p>
        </w:tc>
        <w:tc>
          <w:tcPr>
            <w:tcW w:w="2410" w:type="dxa"/>
          </w:tcPr>
          <w:p w:rsidR="007F0ABD" w:rsidRPr="000876A3" w:rsidP="007F0ABD" w14:paraId="7E4A0A7E" w14:textId="762EF6E3">
            <w:pPr>
              <w:spacing w:before="60" w:after="60"/>
              <w:ind w:left="51" w:right="146"/>
            </w:pPr>
            <w:r>
              <w:t>-</w:t>
            </w:r>
          </w:p>
        </w:tc>
        <w:tc>
          <w:tcPr>
            <w:tcW w:w="3123" w:type="dxa"/>
          </w:tcPr>
          <w:p w:rsidR="007F0ABD" w:rsidRPr="000876A3" w:rsidP="007F0ABD" w14:paraId="79818F10" w14:textId="02C24A3F">
            <w:pPr>
              <w:spacing w:before="60" w:after="60"/>
              <w:ind w:left="51" w:right="146"/>
            </w:pPr>
            <w:r>
              <w:t>-</w:t>
            </w:r>
          </w:p>
        </w:tc>
      </w:tr>
    </w:tbl>
    <w:p w:rsidR="00F07CD0" w:rsidRPr="00DE53F3" w:rsidP="005E117D" w14:paraId="754C5DB3" w14:textId="77777777">
      <w:pPr>
        <w:shd w:val="clear" w:color="auto" w:fill="FFFFFF"/>
        <w:spacing w:after="0"/>
        <w:jc w:val="left"/>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54"/>
        <w:gridCol w:w="2482"/>
        <w:gridCol w:w="6136"/>
      </w:tblGrid>
      <w:tr w14:paraId="3F54EB8E" w14:textId="77777777" w:rsidTr="00DC5242">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20"/>
          <w:jc w:val="center"/>
        </w:trPr>
        <w:tc>
          <w:tcPr>
            <w:tcW w:w="0" w:type="auto"/>
            <w:gridSpan w:val="3"/>
            <w:vAlign w:val="center"/>
          </w:tcPr>
          <w:p w:rsidR="00CB4AAB" w:rsidRPr="00DE53F3" w:rsidP="00B63F0E" w14:paraId="0DB3A1DA" w14:textId="77777777">
            <w:pPr>
              <w:pStyle w:val="tvhtml"/>
              <w:spacing w:before="60" w:beforeAutospacing="0" w:after="60" w:afterAutospacing="0"/>
              <w:jc w:val="center"/>
              <w:rPr>
                <w:b/>
                <w:bCs/>
              </w:rPr>
            </w:pPr>
            <w:r w:rsidRPr="00DE53F3">
              <w:rPr>
                <w:b/>
                <w:bCs/>
              </w:rPr>
              <w:t>VI. Sabiedrības līdzdalība un komunikācijas aktivitātes</w:t>
            </w:r>
          </w:p>
        </w:tc>
      </w:tr>
      <w:tr w14:paraId="3FD50B68" w14:textId="77777777" w:rsidTr="00F5572C">
        <w:tblPrEx>
          <w:tblW w:w="9072" w:type="dxa"/>
          <w:jc w:val="center"/>
          <w:tblCellMar>
            <w:top w:w="30" w:type="dxa"/>
            <w:left w:w="30" w:type="dxa"/>
            <w:bottom w:w="30" w:type="dxa"/>
            <w:right w:w="30" w:type="dxa"/>
          </w:tblCellMar>
          <w:tblLook w:val="00A0"/>
        </w:tblPrEx>
        <w:trPr>
          <w:trHeight w:val="540"/>
          <w:jc w:val="center"/>
        </w:trPr>
        <w:tc>
          <w:tcPr>
            <w:tcW w:w="250" w:type="pct"/>
          </w:tcPr>
          <w:p w:rsidR="00CB4AAB" w:rsidRPr="00DE53F3" w:rsidP="00B63F0E" w14:paraId="37DD8BBD" w14:textId="77777777">
            <w:pPr>
              <w:spacing w:before="60" w:after="60"/>
              <w:rPr>
                <w:rFonts w:ascii="Times New Roman" w:hAnsi="Times New Roman"/>
                <w:sz w:val="24"/>
                <w:szCs w:val="24"/>
              </w:rPr>
            </w:pPr>
            <w:r w:rsidRPr="00DE53F3">
              <w:rPr>
                <w:rFonts w:ascii="Times New Roman" w:hAnsi="Times New Roman"/>
                <w:sz w:val="24"/>
                <w:szCs w:val="24"/>
              </w:rPr>
              <w:t>1.</w:t>
            </w:r>
          </w:p>
        </w:tc>
        <w:tc>
          <w:tcPr>
            <w:tcW w:w="1368" w:type="pct"/>
          </w:tcPr>
          <w:p w:rsidR="00CB4AAB" w:rsidRPr="00DE53F3" w:rsidP="00DC1194" w14:paraId="4946B3BE" w14:textId="77777777">
            <w:pPr>
              <w:spacing w:before="60" w:after="60"/>
              <w:ind w:left="78" w:right="76"/>
              <w:jc w:val="left"/>
              <w:rPr>
                <w:rFonts w:ascii="Times New Roman" w:hAnsi="Times New Roman"/>
                <w:sz w:val="24"/>
                <w:szCs w:val="24"/>
              </w:rPr>
            </w:pPr>
            <w:r w:rsidRPr="00DE53F3">
              <w:rPr>
                <w:rFonts w:ascii="Times New Roman" w:hAnsi="Times New Roman"/>
                <w:sz w:val="24"/>
                <w:szCs w:val="24"/>
              </w:rPr>
              <w:t>Plānotās sabiedrības līdzdalības un komunikācijas aktivitātes saistībā ar projektu</w:t>
            </w:r>
          </w:p>
        </w:tc>
        <w:tc>
          <w:tcPr>
            <w:tcW w:w="3382" w:type="pct"/>
            <w:shd w:val="clear" w:color="auto" w:fill="auto"/>
          </w:tcPr>
          <w:p w:rsidR="00817149" w:rsidRPr="00DE53F3" w:rsidP="009A2AC6" w14:paraId="61B03458" w14:textId="27F66B60">
            <w:pPr>
              <w:pStyle w:val="naiskr"/>
              <w:spacing w:before="60" w:after="60"/>
              <w:ind w:right="113"/>
              <w:jc w:val="both"/>
            </w:pPr>
            <w:r w:rsidRPr="00DE53F3">
              <w:t>Saskaņā ar Ministru kabineta 2009.</w:t>
            </w:r>
            <w:r w:rsidRPr="00DE53F3" w:rsidR="00267CB7">
              <w:t> </w:t>
            </w:r>
            <w:r w:rsidRPr="00DE53F3">
              <w:t>gada 25.</w:t>
            </w:r>
            <w:r w:rsidRPr="00DE53F3" w:rsidR="00267CB7">
              <w:t> </w:t>
            </w:r>
            <w:r w:rsidRPr="00DE53F3">
              <w:t>augusta noteikumu Nr.</w:t>
            </w:r>
            <w:r w:rsidRPr="00DE53F3" w:rsidR="00267CB7">
              <w:t> </w:t>
            </w:r>
            <w:r w:rsidR="00CD1FBD">
              <w:t>970 “</w:t>
            </w:r>
            <w:r w:rsidRPr="00DE53F3">
              <w:t>Sabiedrības līdzdalības kārtība attīstības plānošanas procesā” 7.4.</w:t>
            </w:r>
            <w:r w:rsidRPr="00DE53F3">
              <w:rPr>
                <w:vertAlign w:val="superscript"/>
              </w:rPr>
              <w:t>1</w:t>
            </w:r>
            <w:r w:rsidRPr="00DE53F3" w:rsidR="00267CB7">
              <w:rPr>
                <w:vertAlign w:val="superscript"/>
              </w:rPr>
              <w:t> </w:t>
            </w:r>
            <w:r w:rsidRPr="00DE53F3">
              <w:t>apakšpunktu sabiedrības pārstāvji ir aicināti līdzdarboties, r</w:t>
            </w:r>
            <w:r w:rsidRPr="00DE53F3" w:rsidR="00E166DF">
              <w:t>akstiski sniedzot viedokli par  noteikumu projektu</w:t>
            </w:r>
            <w:r w:rsidRPr="00DE53F3">
              <w:t xml:space="preserve"> tā izstrādes stadijā. Sabiedrības pārstāvji ir informēti par iespēju līdzdarboties, publicējot paziņojumu par līdzdalības procesu </w:t>
            </w:r>
            <w:r w:rsidRPr="00DE53F3" w:rsidR="00231B16">
              <w:t>VARAM</w:t>
            </w:r>
            <w:r w:rsidR="00CD1FBD">
              <w:t xml:space="preserve"> tīmekļ</w:t>
            </w:r>
            <w:r w:rsidRPr="00DE53F3">
              <w:t>vietnē</w:t>
            </w:r>
            <w:r w:rsidR="001F4EF4">
              <w:t xml:space="preserve"> </w:t>
            </w:r>
            <w:r>
              <w:fldChar w:fldCharType="begin"/>
            </w:r>
            <w:r>
              <w:instrText xml:space="preserve"> HYPERLINK "http://www.varam.gov.lv" </w:instrText>
            </w:r>
            <w:r>
              <w:fldChar w:fldCharType="separate"/>
            </w:r>
            <w:r w:rsidRPr="00455D35" w:rsidR="00CD1FBD">
              <w:rPr>
                <w:rStyle w:val="Hyperlink"/>
              </w:rPr>
              <w:t>www.varam.gov.lv</w:t>
            </w:r>
            <w:r>
              <w:fldChar w:fldCharType="end"/>
            </w:r>
            <w:r w:rsidRPr="00DE53F3">
              <w:t>.</w:t>
            </w:r>
            <w:r w:rsidR="00CD1FBD">
              <w:t xml:space="preserve"> </w:t>
            </w:r>
          </w:p>
        </w:tc>
      </w:tr>
      <w:tr w14:paraId="2C650C73" w14:textId="77777777" w:rsidTr="00F5572C">
        <w:tblPrEx>
          <w:tblW w:w="9072" w:type="dxa"/>
          <w:jc w:val="center"/>
          <w:tblCellMar>
            <w:top w:w="30" w:type="dxa"/>
            <w:left w:w="30" w:type="dxa"/>
            <w:bottom w:w="30" w:type="dxa"/>
            <w:right w:w="30" w:type="dxa"/>
          </w:tblCellMar>
          <w:tblLook w:val="00A0"/>
        </w:tblPrEx>
        <w:trPr>
          <w:trHeight w:val="330"/>
          <w:jc w:val="center"/>
        </w:trPr>
        <w:tc>
          <w:tcPr>
            <w:tcW w:w="250" w:type="pct"/>
          </w:tcPr>
          <w:p w:rsidR="002C68A0" w:rsidRPr="00DE53F3" w:rsidP="00B63F0E" w14:paraId="6B235CC9" w14:textId="77777777">
            <w:pPr>
              <w:spacing w:before="60" w:after="60"/>
              <w:rPr>
                <w:rFonts w:ascii="Times New Roman" w:hAnsi="Times New Roman"/>
                <w:sz w:val="24"/>
                <w:szCs w:val="24"/>
              </w:rPr>
            </w:pPr>
            <w:r w:rsidRPr="00DE53F3">
              <w:rPr>
                <w:rFonts w:ascii="Times New Roman" w:hAnsi="Times New Roman"/>
                <w:sz w:val="24"/>
                <w:szCs w:val="24"/>
              </w:rPr>
              <w:t>2.</w:t>
            </w:r>
          </w:p>
        </w:tc>
        <w:tc>
          <w:tcPr>
            <w:tcW w:w="1368" w:type="pct"/>
          </w:tcPr>
          <w:p w:rsidR="002C68A0" w:rsidRPr="00DE53F3" w:rsidP="00DC1194" w14:paraId="46AB7A37" w14:textId="77777777">
            <w:pPr>
              <w:spacing w:before="60" w:after="60"/>
              <w:ind w:left="78" w:right="76"/>
              <w:rPr>
                <w:rFonts w:ascii="Times New Roman" w:hAnsi="Times New Roman"/>
                <w:sz w:val="24"/>
                <w:szCs w:val="24"/>
              </w:rPr>
            </w:pPr>
            <w:r w:rsidRPr="00DE53F3">
              <w:rPr>
                <w:rFonts w:ascii="Times New Roman" w:hAnsi="Times New Roman"/>
                <w:sz w:val="24"/>
                <w:szCs w:val="24"/>
              </w:rPr>
              <w:t>Sabiedrības līdzdalība projekta izstrādē</w:t>
            </w:r>
          </w:p>
        </w:tc>
        <w:tc>
          <w:tcPr>
            <w:tcW w:w="3382" w:type="pct"/>
            <w:shd w:val="clear" w:color="auto" w:fill="auto"/>
          </w:tcPr>
          <w:p w:rsidR="002C68A0" w:rsidRPr="00DE53F3" w:rsidP="001F4EF4" w14:paraId="3B7C58BD" w14:textId="5A5C1F3E">
            <w:pPr>
              <w:spacing w:before="60" w:after="60"/>
              <w:ind w:right="113"/>
              <w:rPr>
                <w:rFonts w:ascii="Times New Roman" w:hAnsi="Times New Roman"/>
                <w:sz w:val="24"/>
                <w:szCs w:val="24"/>
              </w:rPr>
            </w:pPr>
            <w:r w:rsidRPr="00DE53F3">
              <w:rPr>
                <w:rFonts w:ascii="Times New Roman" w:hAnsi="Times New Roman"/>
                <w:sz w:val="24"/>
                <w:szCs w:val="24"/>
              </w:rPr>
              <w:t>N</w:t>
            </w:r>
            <w:r w:rsidRPr="00DE53F3" w:rsidR="00E166DF">
              <w:rPr>
                <w:rFonts w:ascii="Times New Roman" w:hAnsi="Times New Roman"/>
                <w:sz w:val="24"/>
                <w:szCs w:val="24"/>
              </w:rPr>
              <w:t>oteikumu projekts</w:t>
            </w:r>
            <w:r w:rsidRPr="00DE53F3">
              <w:rPr>
                <w:rFonts w:ascii="Times New Roman" w:hAnsi="Times New Roman"/>
                <w:sz w:val="24"/>
                <w:szCs w:val="24"/>
              </w:rPr>
              <w:t xml:space="preserve"> </w:t>
            </w:r>
            <w:r w:rsidRPr="001F4EF4" w:rsidR="001F4EF4">
              <w:rPr>
                <w:rFonts w:ascii="Times New Roman" w:hAnsi="Times New Roman"/>
                <w:sz w:val="24"/>
                <w:szCs w:val="24"/>
              </w:rPr>
              <w:t>2017. gada 17.</w:t>
            </w:r>
            <w:r w:rsidR="001F4EF4">
              <w:rPr>
                <w:rFonts w:ascii="Times New Roman" w:hAnsi="Times New Roman"/>
                <w:sz w:val="24"/>
                <w:szCs w:val="24"/>
              </w:rPr>
              <w:t xml:space="preserve">janvārī </w:t>
            </w:r>
            <w:r w:rsidRPr="00DE53F3">
              <w:rPr>
                <w:rFonts w:ascii="Times New Roman" w:hAnsi="Times New Roman"/>
                <w:sz w:val="24"/>
                <w:szCs w:val="24"/>
              </w:rPr>
              <w:t xml:space="preserve">publicēts </w:t>
            </w:r>
            <w:r w:rsidRPr="00DE53F3">
              <w:rPr>
                <w:rFonts w:ascii="Times New Roman" w:hAnsi="Times New Roman"/>
                <w:sz w:val="24"/>
                <w:szCs w:val="24"/>
              </w:rPr>
              <w:t xml:space="preserve">VARAM </w:t>
            </w:r>
            <w:r w:rsidR="00CD1FBD">
              <w:rPr>
                <w:rFonts w:ascii="Times New Roman" w:hAnsi="Times New Roman"/>
                <w:sz w:val="24"/>
                <w:szCs w:val="24"/>
              </w:rPr>
              <w:t>tīmekļ</w:t>
            </w:r>
            <w:r w:rsidRPr="00DE53F3" w:rsidR="00F5572C">
              <w:rPr>
                <w:rFonts w:ascii="Times New Roman" w:hAnsi="Times New Roman"/>
                <w:sz w:val="24"/>
                <w:szCs w:val="24"/>
              </w:rPr>
              <w:t>vietnē</w:t>
            </w:r>
            <w:r w:rsidR="001F4EF4">
              <w:rPr>
                <w:rFonts w:ascii="Times New Roman" w:hAnsi="Times New Roman"/>
                <w:sz w:val="24"/>
                <w:szCs w:val="24"/>
              </w:rPr>
              <w:t xml:space="preserve"> </w:t>
            </w:r>
            <w:r>
              <w:fldChar w:fldCharType="begin"/>
            </w:r>
            <w:r>
              <w:instrText xml:space="preserve"> HYPERLINK "http://www.varam.gov.lv" </w:instrText>
            </w:r>
            <w:r>
              <w:fldChar w:fldCharType="separate"/>
            </w:r>
            <w:r w:rsidRPr="001B7200" w:rsidR="001F4EF4">
              <w:rPr>
                <w:rStyle w:val="Hyperlink"/>
                <w:rFonts w:ascii="Times New Roman" w:hAnsi="Times New Roman"/>
                <w:sz w:val="24"/>
                <w:szCs w:val="24"/>
              </w:rPr>
              <w:t>www.varam.gov.lv</w:t>
            </w:r>
            <w:r>
              <w:fldChar w:fldCharType="end"/>
            </w:r>
            <w:r w:rsidRPr="00DE53F3">
              <w:rPr>
                <w:rFonts w:ascii="Times New Roman" w:hAnsi="Times New Roman"/>
                <w:sz w:val="24"/>
                <w:szCs w:val="24"/>
              </w:rPr>
              <w:t>.</w:t>
            </w:r>
          </w:p>
        </w:tc>
      </w:tr>
      <w:tr w14:paraId="10E88DC1" w14:textId="77777777" w:rsidTr="00DC5242">
        <w:tblPrEx>
          <w:tblW w:w="9072" w:type="dxa"/>
          <w:jc w:val="center"/>
          <w:tblCellMar>
            <w:top w:w="30" w:type="dxa"/>
            <w:left w:w="30" w:type="dxa"/>
            <w:bottom w:w="30" w:type="dxa"/>
            <w:right w:w="30" w:type="dxa"/>
          </w:tblCellMar>
          <w:tblLook w:val="00A0"/>
        </w:tblPrEx>
        <w:trPr>
          <w:trHeight w:val="465"/>
          <w:jc w:val="center"/>
        </w:trPr>
        <w:tc>
          <w:tcPr>
            <w:tcW w:w="250" w:type="pct"/>
          </w:tcPr>
          <w:p w:rsidR="002C68A0" w:rsidRPr="00DE53F3" w:rsidP="00B63F0E" w14:paraId="3B9B5DB0" w14:textId="77777777">
            <w:pPr>
              <w:spacing w:before="60" w:after="60"/>
              <w:rPr>
                <w:rFonts w:ascii="Times New Roman" w:hAnsi="Times New Roman"/>
                <w:sz w:val="24"/>
                <w:szCs w:val="24"/>
              </w:rPr>
            </w:pPr>
            <w:r w:rsidRPr="00DE53F3">
              <w:rPr>
                <w:rFonts w:ascii="Times New Roman" w:hAnsi="Times New Roman"/>
                <w:sz w:val="24"/>
                <w:szCs w:val="24"/>
              </w:rPr>
              <w:t>3.</w:t>
            </w:r>
          </w:p>
        </w:tc>
        <w:tc>
          <w:tcPr>
            <w:tcW w:w="1368" w:type="pct"/>
          </w:tcPr>
          <w:p w:rsidR="002C68A0" w:rsidRPr="00DE53F3" w:rsidP="00DC1194" w14:paraId="5265EE78" w14:textId="77777777">
            <w:pPr>
              <w:spacing w:before="60" w:after="60"/>
              <w:ind w:left="78" w:right="76"/>
              <w:rPr>
                <w:rFonts w:ascii="Times New Roman" w:hAnsi="Times New Roman"/>
                <w:sz w:val="24"/>
                <w:szCs w:val="24"/>
              </w:rPr>
            </w:pPr>
            <w:r w:rsidRPr="00DE53F3">
              <w:rPr>
                <w:rFonts w:ascii="Times New Roman" w:hAnsi="Times New Roman"/>
                <w:sz w:val="24"/>
                <w:szCs w:val="24"/>
              </w:rPr>
              <w:t>Sabiedrības līdzdalības rezultāti</w:t>
            </w:r>
          </w:p>
        </w:tc>
        <w:tc>
          <w:tcPr>
            <w:tcW w:w="3382" w:type="pct"/>
          </w:tcPr>
          <w:p w:rsidR="002C68A0" w:rsidRPr="00DE53F3" w:rsidP="009A2AC6" w14:paraId="2B7A6104" w14:textId="7B92EDE9">
            <w:pPr>
              <w:spacing w:before="60" w:after="60"/>
              <w:ind w:right="113"/>
              <w:rPr>
                <w:rFonts w:ascii="Times New Roman" w:hAnsi="Times New Roman"/>
                <w:sz w:val="24"/>
                <w:szCs w:val="24"/>
              </w:rPr>
            </w:pPr>
            <w:r>
              <w:rPr>
                <w:rFonts w:ascii="Times New Roman" w:hAnsi="Times New Roman"/>
                <w:sz w:val="24"/>
                <w:szCs w:val="24"/>
              </w:rPr>
              <w:t xml:space="preserve">Minētajā periodā </w:t>
            </w:r>
            <w:r w:rsidRPr="00DE53F3">
              <w:rPr>
                <w:rFonts w:ascii="Times New Roman" w:hAnsi="Times New Roman"/>
                <w:sz w:val="24"/>
                <w:szCs w:val="24"/>
              </w:rPr>
              <w:t xml:space="preserve">sabiedrības pārstāvju </w:t>
            </w:r>
            <w:r>
              <w:rPr>
                <w:rFonts w:ascii="Times New Roman" w:hAnsi="Times New Roman"/>
                <w:sz w:val="24"/>
                <w:szCs w:val="24"/>
              </w:rPr>
              <w:t>viedokļi un komentāri</w:t>
            </w:r>
            <w:r w:rsidRPr="00DE53F3">
              <w:rPr>
                <w:rFonts w:ascii="Times New Roman" w:hAnsi="Times New Roman"/>
                <w:sz w:val="24"/>
                <w:szCs w:val="24"/>
              </w:rPr>
              <w:t xml:space="preserve"> </w:t>
            </w:r>
            <w:r>
              <w:rPr>
                <w:rFonts w:ascii="Times New Roman" w:hAnsi="Times New Roman"/>
                <w:sz w:val="24"/>
                <w:szCs w:val="24"/>
              </w:rPr>
              <w:t>netika saņemti</w:t>
            </w:r>
            <w:r w:rsidRPr="00DE53F3">
              <w:rPr>
                <w:rFonts w:ascii="Times New Roman" w:hAnsi="Times New Roman"/>
                <w:sz w:val="24"/>
                <w:szCs w:val="24"/>
              </w:rPr>
              <w:t>.</w:t>
            </w:r>
          </w:p>
        </w:tc>
      </w:tr>
      <w:tr w14:paraId="547693D2" w14:textId="77777777" w:rsidTr="00DC5242">
        <w:tblPrEx>
          <w:tblW w:w="9072" w:type="dxa"/>
          <w:jc w:val="center"/>
          <w:tblCellMar>
            <w:top w:w="30" w:type="dxa"/>
            <w:left w:w="30" w:type="dxa"/>
            <w:bottom w:w="30" w:type="dxa"/>
            <w:right w:w="30" w:type="dxa"/>
          </w:tblCellMar>
          <w:tblLook w:val="00A0"/>
        </w:tblPrEx>
        <w:trPr>
          <w:trHeight w:val="465"/>
          <w:jc w:val="center"/>
        </w:trPr>
        <w:tc>
          <w:tcPr>
            <w:tcW w:w="250" w:type="pct"/>
          </w:tcPr>
          <w:p w:rsidR="00CB4AAB" w:rsidRPr="00DE53F3" w:rsidP="00B63F0E" w14:paraId="4492DA8A" w14:textId="77777777">
            <w:pPr>
              <w:spacing w:before="60" w:after="60"/>
              <w:rPr>
                <w:rFonts w:ascii="Times New Roman" w:hAnsi="Times New Roman"/>
                <w:sz w:val="24"/>
                <w:szCs w:val="24"/>
              </w:rPr>
            </w:pPr>
            <w:r w:rsidRPr="00DE53F3">
              <w:rPr>
                <w:rFonts w:ascii="Times New Roman" w:hAnsi="Times New Roman"/>
                <w:sz w:val="24"/>
                <w:szCs w:val="24"/>
              </w:rPr>
              <w:t>4.</w:t>
            </w:r>
          </w:p>
        </w:tc>
        <w:tc>
          <w:tcPr>
            <w:tcW w:w="1368" w:type="pct"/>
          </w:tcPr>
          <w:p w:rsidR="00CB4AAB" w:rsidRPr="00DE53F3" w:rsidP="00DC1194" w14:paraId="50D6A72A" w14:textId="77777777">
            <w:pPr>
              <w:spacing w:before="60" w:after="60"/>
              <w:ind w:left="78" w:right="76"/>
              <w:rPr>
                <w:rFonts w:ascii="Times New Roman" w:hAnsi="Times New Roman"/>
                <w:sz w:val="24"/>
                <w:szCs w:val="24"/>
              </w:rPr>
            </w:pPr>
            <w:r w:rsidRPr="00DE53F3">
              <w:rPr>
                <w:rFonts w:ascii="Times New Roman" w:hAnsi="Times New Roman"/>
                <w:sz w:val="24"/>
                <w:szCs w:val="24"/>
              </w:rPr>
              <w:t>Cita informācija</w:t>
            </w:r>
          </w:p>
        </w:tc>
        <w:tc>
          <w:tcPr>
            <w:tcW w:w="3382" w:type="pct"/>
          </w:tcPr>
          <w:p w:rsidR="00CB4AAB" w:rsidRPr="00DE53F3" w:rsidP="009A2AC6" w14:paraId="55D7D797" w14:textId="27F68FC1">
            <w:pPr>
              <w:pStyle w:val="tvhtml"/>
              <w:spacing w:before="60" w:beforeAutospacing="0" w:after="60" w:afterAutospacing="0"/>
              <w:ind w:right="113"/>
            </w:pPr>
            <w:r w:rsidRPr="00DE53F3">
              <w:rPr>
                <w:rFonts w:eastAsia="Calibri"/>
                <w:lang w:eastAsia="en-US"/>
              </w:rPr>
              <w:t>Nav</w:t>
            </w:r>
            <w:r w:rsidRPr="00DE53F3" w:rsidR="00D36CC5">
              <w:rPr>
                <w:rFonts w:eastAsia="Calibri"/>
                <w:lang w:eastAsia="en-US"/>
              </w:rPr>
              <w:t>.</w:t>
            </w:r>
          </w:p>
        </w:tc>
      </w:tr>
    </w:tbl>
    <w:p w:rsidR="00CB4AAB" w:rsidRPr="00D3416D" w:rsidP="00E01818" w14:paraId="6411C291" w14:textId="77777777">
      <w:pPr>
        <w:shd w:val="clear" w:color="auto" w:fill="FFFFFF"/>
        <w:spacing w:after="0"/>
        <w:ind w:firstLine="335"/>
        <w:jc w:val="left"/>
        <w:rPr>
          <w:rFonts w:ascii="Times New Roman" w:hAnsi="Times New Roman"/>
          <w:sz w:val="24"/>
          <w:szCs w:val="24"/>
          <w:lang w:eastAsia="lv-LV"/>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53"/>
        <w:gridCol w:w="3375"/>
        <w:gridCol w:w="5244"/>
      </w:tblGrid>
      <w:tr w14:paraId="08B36303" w14:textId="77777777" w:rsidTr="00DC5242">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375"/>
          <w:jc w:val="center"/>
        </w:trPr>
        <w:tc>
          <w:tcPr>
            <w:tcW w:w="0" w:type="auto"/>
            <w:gridSpan w:val="3"/>
            <w:vAlign w:val="center"/>
          </w:tcPr>
          <w:p w:rsidR="00CB4AAB" w:rsidRPr="00D3416D" w:rsidP="00B63F0E" w14:paraId="1862285E" w14:textId="77777777">
            <w:pPr>
              <w:spacing w:before="60" w:after="60"/>
              <w:jc w:val="center"/>
              <w:rPr>
                <w:rFonts w:ascii="Times New Roman" w:hAnsi="Times New Roman"/>
                <w:b/>
                <w:bCs/>
                <w:sz w:val="24"/>
                <w:szCs w:val="24"/>
                <w:lang w:eastAsia="lv-LV"/>
              </w:rPr>
            </w:pPr>
            <w:r w:rsidRPr="00D3416D">
              <w:rPr>
                <w:rFonts w:ascii="Times New Roman" w:hAnsi="Times New Roman"/>
                <w:b/>
                <w:bCs/>
                <w:sz w:val="24"/>
                <w:szCs w:val="24"/>
                <w:lang w:eastAsia="lv-LV"/>
              </w:rPr>
              <w:t>VII. Tiesību akta projekta izpildes nodrošināšana un tās ietekme uz institūcijām</w:t>
            </w:r>
          </w:p>
        </w:tc>
      </w:tr>
      <w:tr w14:paraId="66547FEE" w14:textId="77777777" w:rsidTr="00972761">
        <w:tblPrEx>
          <w:tblW w:w="9072" w:type="dxa"/>
          <w:jc w:val="center"/>
          <w:tblCellMar>
            <w:top w:w="30" w:type="dxa"/>
            <w:left w:w="30" w:type="dxa"/>
            <w:bottom w:w="30" w:type="dxa"/>
            <w:right w:w="30" w:type="dxa"/>
          </w:tblCellMar>
          <w:tblLook w:val="00A0"/>
        </w:tblPrEx>
        <w:trPr>
          <w:trHeight w:val="420"/>
          <w:jc w:val="center"/>
        </w:trPr>
        <w:tc>
          <w:tcPr>
            <w:tcW w:w="250" w:type="pct"/>
          </w:tcPr>
          <w:p w:rsidR="00CB4AAB" w:rsidRPr="00D3416D" w:rsidP="00B63F0E" w14:paraId="64EA1ACB" w14:textId="77777777">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1.</w:t>
            </w:r>
          </w:p>
        </w:tc>
        <w:tc>
          <w:tcPr>
            <w:tcW w:w="1860" w:type="pct"/>
          </w:tcPr>
          <w:p w:rsidR="00CB4AAB" w:rsidRPr="00D3416D" w:rsidP="00B63F0E" w14:paraId="0412BA23" w14:textId="77777777">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Projekta izpildē iesaistītās institūcijas</w:t>
            </w:r>
          </w:p>
        </w:tc>
        <w:tc>
          <w:tcPr>
            <w:tcW w:w="2890" w:type="pct"/>
          </w:tcPr>
          <w:p w:rsidR="002C68A0" w:rsidRPr="00D126FF" w:rsidP="00AF60D5" w14:paraId="5D7B82C4" w14:textId="4B570798">
            <w:pPr>
              <w:rPr>
                <w:b/>
                <w:bCs/>
                <w:color w:val="1F497D"/>
              </w:rPr>
            </w:pPr>
            <w:r w:rsidRPr="00393083">
              <w:rPr>
                <w:rFonts w:ascii="Times New Roman" w:hAnsi="Times New Roman"/>
                <w:sz w:val="24"/>
                <w:szCs w:val="24"/>
              </w:rPr>
              <w:t>SEG</w:t>
            </w:r>
            <w:r w:rsidRPr="00393083" w:rsidR="004E58D0">
              <w:rPr>
                <w:rFonts w:ascii="Times New Roman" w:hAnsi="Times New Roman"/>
                <w:sz w:val="24"/>
                <w:szCs w:val="24"/>
              </w:rPr>
              <w:t xml:space="preserve"> inventarizācijas un prognožu sagatavošanā iesaistītās institūcijas</w:t>
            </w:r>
            <w:r w:rsidRPr="00393083" w:rsidR="001B06D8">
              <w:rPr>
                <w:rFonts w:ascii="Times New Roman" w:hAnsi="Times New Roman"/>
                <w:sz w:val="24"/>
                <w:szCs w:val="24"/>
              </w:rPr>
              <w:t xml:space="preserve"> –</w:t>
            </w:r>
            <w:r w:rsidR="00AF60D5">
              <w:rPr>
                <w:rFonts w:ascii="Times New Roman" w:hAnsi="Times New Roman"/>
                <w:sz w:val="24"/>
                <w:szCs w:val="24"/>
              </w:rPr>
              <w:t xml:space="preserve"> </w:t>
            </w:r>
            <w:r w:rsidRPr="00393083" w:rsidR="00D126FF">
              <w:rPr>
                <w:rFonts w:ascii="Times New Roman" w:hAnsi="Times New Roman"/>
                <w:bCs/>
                <w:sz w:val="24"/>
                <w:szCs w:val="24"/>
              </w:rPr>
              <w:t>Ekonomikas ministrija, tai skait</w:t>
            </w:r>
            <w:r w:rsidRPr="00393083" w:rsidR="00D214AC">
              <w:rPr>
                <w:rFonts w:ascii="Times New Roman" w:hAnsi="Times New Roman"/>
                <w:bCs/>
                <w:sz w:val="24"/>
                <w:szCs w:val="24"/>
              </w:rPr>
              <w:t>ā Centrālā statistikas pārvalde</w:t>
            </w:r>
            <w:r w:rsidRPr="00393083" w:rsidR="00D126FF">
              <w:rPr>
                <w:rFonts w:ascii="Times New Roman" w:hAnsi="Times New Roman"/>
                <w:bCs/>
                <w:sz w:val="24"/>
                <w:szCs w:val="24"/>
              </w:rPr>
              <w:t>, Iekšlietu ministrija,</w:t>
            </w:r>
            <w:r w:rsidR="0032782C">
              <w:rPr>
                <w:rFonts w:ascii="Times New Roman" w:hAnsi="Times New Roman"/>
                <w:bCs/>
                <w:sz w:val="24"/>
                <w:szCs w:val="24"/>
              </w:rPr>
              <w:t xml:space="preserve"> </w:t>
            </w:r>
            <w:r w:rsidRPr="00393083" w:rsidR="00D126FF">
              <w:rPr>
                <w:rFonts w:ascii="Times New Roman" w:hAnsi="Times New Roman"/>
                <w:bCs/>
                <w:sz w:val="24"/>
                <w:szCs w:val="24"/>
              </w:rPr>
              <w:t>Izglītības un zinātnes mi</w:t>
            </w:r>
            <w:r w:rsidR="0032782C">
              <w:rPr>
                <w:rFonts w:ascii="Times New Roman" w:hAnsi="Times New Roman"/>
                <w:bCs/>
                <w:sz w:val="24"/>
                <w:szCs w:val="24"/>
              </w:rPr>
              <w:t xml:space="preserve">nistrija, Satiksmes ministrija, </w:t>
            </w:r>
            <w:r w:rsidRPr="00393083" w:rsidR="00D126FF">
              <w:rPr>
                <w:rFonts w:ascii="Times New Roman" w:hAnsi="Times New Roman"/>
                <w:bCs/>
                <w:sz w:val="24"/>
                <w:szCs w:val="24"/>
              </w:rPr>
              <w:t xml:space="preserve">Veselības ministrija, Zemkopības ministrija, Latvijas Darba </w:t>
            </w:r>
            <w:r w:rsidR="005A2B25">
              <w:rPr>
                <w:rFonts w:ascii="Times New Roman" w:hAnsi="Times New Roman"/>
                <w:bCs/>
                <w:sz w:val="24"/>
                <w:szCs w:val="24"/>
              </w:rPr>
              <w:t>d</w:t>
            </w:r>
            <w:r w:rsidRPr="00393083" w:rsidR="00D126FF">
              <w:rPr>
                <w:rFonts w:ascii="Times New Roman" w:hAnsi="Times New Roman"/>
                <w:bCs/>
                <w:sz w:val="24"/>
                <w:szCs w:val="24"/>
              </w:rPr>
              <w:t xml:space="preserve">evēju konfederācija, </w:t>
            </w:r>
            <w:r w:rsidRPr="00F47B09" w:rsidR="00F47B09">
              <w:rPr>
                <w:rFonts w:ascii="Times New Roman" w:hAnsi="Times New Roman"/>
                <w:bCs/>
                <w:sz w:val="24"/>
                <w:szCs w:val="24"/>
              </w:rPr>
              <w:t>valsts sabiedrība ar ierobežotu atbildību “Latvijas Vides, ģeoloģijas un meteoroloģijas centrs”</w:t>
            </w:r>
            <w:r w:rsidRPr="00393083" w:rsidR="00D126FF">
              <w:rPr>
                <w:rFonts w:ascii="Times New Roman" w:hAnsi="Times New Roman"/>
                <w:bCs/>
                <w:sz w:val="24"/>
                <w:szCs w:val="24"/>
              </w:rPr>
              <w:t>, F</w:t>
            </w:r>
            <w:r w:rsidRPr="00393083" w:rsidR="00D214AC">
              <w:rPr>
                <w:rFonts w:ascii="Times New Roman" w:hAnsi="Times New Roman"/>
                <w:bCs/>
                <w:sz w:val="24"/>
                <w:szCs w:val="24"/>
              </w:rPr>
              <w:t xml:space="preserve">izikālās enerģētikas institūts,  </w:t>
            </w:r>
            <w:r w:rsidRPr="00F47B09" w:rsidR="00F47B09">
              <w:rPr>
                <w:rFonts w:ascii="Times New Roman" w:hAnsi="Times New Roman"/>
                <w:bCs/>
                <w:sz w:val="24"/>
                <w:szCs w:val="24"/>
              </w:rPr>
              <w:t>Valsts mežzinātnes institūts “Silava”</w:t>
            </w:r>
            <w:r w:rsidRPr="00393083" w:rsidR="00D214AC">
              <w:rPr>
                <w:rFonts w:ascii="Times New Roman" w:hAnsi="Times New Roman"/>
                <w:bCs/>
                <w:sz w:val="24"/>
                <w:szCs w:val="24"/>
              </w:rPr>
              <w:t xml:space="preserve">, Latvijas </w:t>
            </w:r>
            <w:r w:rsidR="002D1BCF">
              <w:rPr>
                <w:rFonts w:ascii="Times New Roman" w:hAnsi="Times New Roman"/>
                <w:bCs/>
                <w:sz w:val="24"/>
                <w:szCs w:val="24"/>
              </w:rPr>
              <w:t>L</w:t>
            </w:r>
            <w:r w:rsidRPr="00393083" w:rsidR="00D214AC">
              <w:rPr>
                <w:rFonts w:ascii="Times New Roman" w:hAnsi="Times New Roman"/>
                <w:bCs/>
                <w:sz w:val="24"/>
                <w:szCs w:val="24"/>
              </w:rPr>
              <w:t>auksaimniecības universitāte</w:t>
            </w:r>
            <w:r w:rsidRPr="00393083" w:rsidR="004E58D0">
              <w:t>.</w:t>
            </w:r>
          </w:p>
        </w:tc>
      </w:tr>
      <w:tr w14:paraId="02334EE4" w14:textId="77777777" w:rsidTr="00972761">
        <w:tblPrEx>
          <w:tblW w:w="9072" w:type="dxa"/>
          <w:jc w:val="center"/>
          <w:tblCellMar>
            <w:top w:w="30" w:type="dxa"/>
            <w:left w:w="30" w:type="dxa"/>
            <w:bottom w:w="30" w:type="dxa"/>
            <w:right w:w="30" w:type="dxa"/>
          </w:tblCellMar>
          <w:tblLook w:val="00A0"/>
        </w:tblPrEx>
        <w:trPr>
          <w:trHeight w:val="450"/>
          <w:jc w:val="center"/>
        </w:trPr>
        <w:tc>
          <w:tcPr>
            <w:tcW w:w="250" w:type="pct"/>
          </w:tcPr>
          <w:p w:rsidR="00CB4AAB" w:rsidRPr="00D3416D" w:rsidP="00B63F0E" w14:paraId="52BCA86C" w14:textId="77777777">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2.</w:t>
            </w:r>
          </w:p>
        </w:tc>
        <w:tc>
          <w:tcPr>
            <w:tcW w:w="1860" w:type="pct"/>
          </w:tcPr>
          <w:p w:rsidR="00CB4AAB" w:rsidRPr="00D3416D" w:rsidP="00B63F0E" w14:paraId="2A9624B5" w14:textId="77777777">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Projekta izpildes ietekme uz pārvaldes funkcijām un institucionālo struktūru.</w:t>
            </w:r>
          </w:p>
          <w:p w:rsidR="00CB4AAB" w:rsidRPr="00D3416D" w:rsidP="00B63F0E" w14:paraId="5D0AF5B0" w14:textId="77777777">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Jaunu institūciju izveide, esošu institūciju likvidācija vai reorganizācija, to ietekme uz institūcijas cilvēkresursiem</w:t>
            </w:r>
          </w:p>
        </w:tc>
        <w:tc>
          <w:tcPr>
            <w:tcW w:w="2890" w:type="pct"/>
          </w:tcPr>
          <w:p w:rsidR="00C34B19" w:rsidRPr="00D3416D" w:rsidP="00DC1194" w14:paraId="3F357E19" w14:textId="2CD72186">
            <w:pPr>
              <w:spacing w:before="60" w:beforeAutospacing="1" w:after="60" w:afterAutospacing="1"/>
              <w:ind w:right="116"/>
              <w:rPr>
                <w:rFonts w:ascii="Times New Roman" w:hAnsi="Times New Roman"/>
                <w:sz w:val="24"/>
                <w:szCs w:val="24"/>
              </w:rPr>
            </w:pPr>
            <w:r w:rsidRPr="00D3416D">
              <w:rPr>
                <w:rFonts w:ascii="Times New Roman" w:hAnsi="Times New Roman"/>
                <w:sz w:val="24"/>
                <w:szCs w:val="24"/>
              </w:rPr>
              <w:t>N</w:t>
            </w:r>
            <w:r w:rsidRPr="00D3416D" w:rsidR="00D8791E">
              <w:rPr>
                <w:rFonts w:ascii="Times New Roman" w:hAnsi="Times New Roman"/>
                <w:sz w:val="24"/>
                <w:szCs w:val="24"/>
              </w:rPr>
              <w:t xml:space="preserve">oteikumu projektā </w:t>
            </w:r>
            <w:r w:rsidRPr="00D3416D" w:rsidR="005472D6">
              <w:rPr>
                <w:rFonts w:ascii="Times New Roman" w:hAnsi="Times New Roman"/>
                <w:sz w:val="24"/>
                <w:szCs w:val="24"/>
              </w:rPr>
              <w:t>iekļauto nosacījumu izpildei nav nepieciešams veidot jaunas institūcijas, likvidēt vai reorganizēt esošās institūcijas.</w:t>
            </w:r>
            <w:r w:rsidR="00D3416D">
              <w:rPr>
                <w:rFonts w:ascii="Times New Roman" w:hAnsi="Times New Roman"/>
                <w:sz w:val="24"/>
                <w:szCs w:val="24"/>
              </w:rPr>
              <w:t xml:space="preserve"> </w:t>
            </w:r>
            <w:r w:rsidRPr="00D3416D">
              <w:rPr>
                <w:rFonts w:ascii="Times New Roman" w:hAnsi="Times New Roman"/>
                <w:sz w:val="24"/>
                <w:szCs w:val="24"/>
              </w:rPr>
              <w:t>N</w:t>
            </w:r>
            <w:r w:rsidRPr="00D3416D" w:rsidR="00D8791E">
              <w:rPr>
                <w:rFonts w:ascii="Times New Roman" w:hAnsi="Times New Roman"/>
                <w:sz w:val="24"/>
                <w:szCs w:val="24"/>
              </w:rPr>
              <w:t>oteikumu projekta</w:t>
            </w:r>
            <w:r w:rsidRPr="00D3416D" w:rsidR="005472D6">
              <w:rPr>
                <w:rFonts w:ascii="Times New Roman" w:hAnsi="Times New Roman"/>
                <w:sz w:val="24"/>
                <w:szCs w:val="24"/>
              </w:rPr>
              <w:t xml:space="preserve"> izpildē iesaistītās institūcijas iekļautos pasākumu</w:t>
            </w:r>
            <w:r w:rsidRPr="00D3416D" w:rsidR="00D8791E">
              <w:rPr>
                <w:rFonts w:ascii="Times New Roman" w:hAnsi="Times New Roman"/>
                <w:sz w:val="24"/>
                <w:szCs w:val="24"/>
              </w:rPr>
              <w:t>s</w:t>
            </w:r>
            <w:r w:rsidRPr="00D3416D" w:rsidR="005472D6">
              <w:rPr>
                <w:rFonts w:ascii="Times New Roman" w:hAnsi="Times New Roman"/>
                <w:sz w:val="24"/>
                <w:szCs w:val="24"/>
              </w:rPr>
              <w:t xml:space="preserve"> nodrošinās piešķirto valsts budžeta līdzekļu ietvaros. </w:t>
            </w:r>
          </w:p>
        </w:tc>
      </w:tr>
      <w:tr w14:paraId="03F3D4B2" w14:textId="77777777" w:rsidTr="00972761">
        <w:tblPrEx>
          <w:tblW w:w="9072" w:type="dxa"/>
          <w:jc w:val="center"/>
          <w:tblCellMar>
            <w:top w:w="30" w:type="dxa"/>
            <w:left w:w="30" w:type="dxa"/>
            <w:bottom w:w="30" w:type="dxa"/>
            <w:right w:w="30" w:type="dxa"/>
          </w:tblCellMar>
          <w:tblLook w:val="00A0"/>
        </w:tblPrEx>
        <w:trPr>
          <w:trHeight w:val="390"/>
          <w:jc w:val="center"/>
        </w:trPr>
        <w:tc>
          <w:tcPr>
            <w:tcW w:w="250" w:type="pct"/>
          </w:tcPr>
          <w:p w:rsidR="00CB4AAB" w:rsidRPr="00D3416D" w:rsidP="00B63F0E" w14:paraId="05663116" w14:textId="77777777">
            <w:pPr>
              <w:spacing w:before="60" w:after="60"/>
              <w:jc w:val="left"/>
              <w:rPr>
                <w:rFonts w:ascii="Times New Roman" w:hAnsi="Times New Roman"/>
                <w:sz w:val="24"/>
                <w:szCs w:val="24"/>
                <w:lang w:eastAsia="lv-LV"/>
              </w:rPr>
            </w:pPr>
            <w:bookmarkStart w:id="0" w:name="_GoBack"/>
            <w:bookmarkEnd w:id="0"/>
            <w:r w:rsidRPr="00D3416D">
              <w:rPr>
                <w:rFonts w:ascii="Times New Roman" w:hAnsi="Times New Roman"/>
                <w:sz w:val="24"/>
                <w:szCs w:val="24"/>
                <w:lang w:eastAsia="lv-LV"/>
              </w:rPr>
              <w:t>3.</w:t>
            </w:r>
          </w:p>
        </w:tc>
        <w:tc>
          <w:tcPr>
            <w:tcW w:w="1860" w:type="pct"/>
          </w:tcPr>
          <w:p w:rsidR="00CB4AAB" w:rsidRPr="00D3416D" w:rsidP="00B63F0E" w14:paraId="3C75CB92" w14:textId="77777777">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Cita informācija</w:t>
            </w:r>
          </w:p>
        </w:tc>
        <w:tc>
          <w:tcPr>
            <w:tcW w:w="2890" w:type="pct"/>
          </w:tcPr>
          <w:p w:rsidR="00CB4AAB" w:rsidRPr="00D3416D" w:rsidP="00DC1194" w14:paraId="0E0F81D1" w14:textId="06E9F5E9">
            <w:pPr>
              <w:spacing w:before="60" w:beforeAutospacing="1" w:after="60" w:afterAutospacing="1"/>
              <w:ind w:left="115" w:right="116"/>
              <w:jc w:val="left"/>
              <w:rPr>
                <w:rFonts w:ascii="Times New Roman" w:hAnsi="Times New Roman"/>
                <w:sz w:val="24"/>
                <w:szCs w:val="24"/>
                <w:lang w:eastAsia="lv-LV"/>
              </w:rPr>
            </w:pPr>
            <w:r w:rsidRPr="00D3416D">
              <w:rPr>
                <w:rFonts w:ascii="Times New Roman" w:hAnsi="Times New Roman"/>
                <w:sz w:val="24"/>
                <w:szCs w:val="24"/>
                <w:lang w:eastAsia="lv-LV"/>
              </w:rPr>
              <w:t>Nav</w:t>
            </w:r>
            <w:r w:rsidRPr="00D3416D" w:rsidR="00D36CC5">
              <w:rPr>
                <w:rFonts w:ascii="Times New Roman" w:hAnsi="Times New Roman"/>
                <w:sz w:val="24"/>
                <w:szCs w:val="24"/>
                <w:lang w:eastAsia="lv-LV"/>
              </w:rPr>
              <w:t>.</w:t>
            </w:r>
          </w:p>
        </w:tc>
      </w:tr>
    </w:tbl>
    <w:p w:rsidR="00F122F9" w:rsidRPr="00D3416D" w:rsidP="00E57372" w14:paraId="3C3352C2" w14:textId="77777777">
      <w:pPr>
        <w:shd w:val="clear" w:color="auto" w:fill="FFFFFF"/>
        <w:spacing w:after="0"/>
        <w:rPr>
          <w:rFonts w:ascii="Times New Roman" w:hAnsi="Times New Roman"/>
          <w:sz w:val="24"/>
          <w:szCs w:val="24"/>
        </w:rPr>
      </w:pPr>
    </w:p>
    <w:p w:rsidR="00133D2A" w:rsidRPr="00D3416D" w:rsidP="00E57372" w14:paraId="72A24F92" w14:textId="77777777">
      <w:pPr>
        <w:shd w:val="clear" w:color="auto" w:fill="FFFFFF"/>
        <w:spacing w:after="0"/>
        <w:rPr>
          <w:rFonts w:ascii="Times New Roman" w:hAnsi="Times New Roman"/>
          <w:sz w:val="24"/>
          <w:szCs w:val="24"/>
        </w:rPr>
      </w:pPr>
    </w:p>
    <w:p w:rsidR="00411594" w:rsidRPr="00D3416D" w:rsidP="00142A71" w14:paraId="68505E7B" w14:textId="5BAE0157">
      <w:pPr>
        <w:pStyle w:val="tabula"/>
        <w:tabs>
          <w:tab w:val="clear" w:pos="5954"/>
          <w:tab w:val="left" w:pos="7513"/>
        </w:tabs>
        <w:spacing w:before="80" w:after="80"/>
        <w:jc w:val="both"/>
        <w:rPr>
          <w:rFonts w:ascii="Times New Roman" w:hAnsi="Times New Roman"/>
          <w:sz w:val="24"/>
          <w:szCs w:val="24"/>
        </w:rPr>
      </w:pPr>
      <w:r w:rsidRPr="00D3416D">
        <w:rPr>
          <w:rFonts w:ascii="Times New Roman" w:hAnsi="Times New Roman"/>
          <w:sz w:val="24"/>
          <w:szCs w:val="24"/>
        </w:rPr>
        <w:t>V</w:t>
      </w:r>
      <w:r w:rsidRPr="00D3416D">
        <w:rPr>
          <w:rFonts w:ascii="Times New Roman" w:hAnsi="Times New Roman"/>
          <w:sz w:val="24"/>
          <w:szCs w:val="24"/>
        </w:rPr>
        <w:t>ides aizsardzības un</w:t>
      </w:r>
    </w:p>
    <w:p w:rsidR="00142A71" w:rsidRPr="00D3416D" w:rsidP="00142A71" w14:paraId="6E457809" w14:textId="77777777">
      <w:pPr>
        <w:pStyle w:val="tabula"/>
        <w:tabs>
          <w:tab w:val="clear" w:pos="5954"/>
          <w:tab w:val="left" w:pos="7513"/>
        </w:tabs>
        <w:spacing w:before="80" w:after="80"/>
        <w:jc w:val="both"/>
        <w:rPr>
          <w:rFonts w:ascii="Times New Roman" w:hAnsi="Times New Roman"/>
          <w:sz w:val="24"/>
          <w:szCs w:val="24"/>
        </w:rPr>
      </w:pPr>
      <w:r w:rsidRPr="00D3416D">
        <w:rPr>
          <w:rFonts w:ascii="Times New Roman" w:hAnsi="Times New Roman"/>
          <w:sz w:val="24"/>
          <w:szCs w:val="24"/>
        </w:rPr>
        <w:t>reģionālās attīstības ministrs</w:t>
      </w:r>
      <w:r w:rsidRPr="00D3416D">
        <w:rPr>
          <w:rFonts w:ascii="Times New Roman" w:hAnsi="Times New Roman"/>
          <w:sz w:val="24"/>
          <w:szCs w:val="24"/>
        </w:rPr>
        <w:tab/>
        <w:t>K. Gerhards</w:t>
      </w:r>
    </w:p>
    <w:p w:rsidR="00411594" w:rsidRPr="00D3416D" w:rsidP="00142A71" w14:paraId="7A1AEBED" w14:textId="77777777">
      <w:pPr>
        <w:tabs>
          <w:tab w:val="left" w:pos="5954"/>
          <w:tab w:val="left" w:pos="6804"/>
        </w:tabs>
        <w:rPr>
          <w:rFonts w:ascii="Times New Roman" w:hAnsi="Times New Roman"/>
          <w:sz w:val="24"/>
          <w:szCs w:val="24"/>
        </w:rPr>
      </w:pPr>
    </w:p>
    <w:p w:rsidR="00D36CC5" w:rsidRPr="00D3416D" w:rsidP="00DC1194" w14:paraId="443B3D36" w14:textId="77777777">
      <w:pPr>
        <w:pStyle w:val="tabula"/>
        <w:tabs>
          <w:tab w:val="clear" w:pos="5954"/>
          <w:tab w:val="left" w:pos="7513"/>
        </w:tabs>
        <w:spacing w:before="80" w:after="80"/>
        <w:jc w:val="both"/>
        <w:rPr>
          <w:rFonts w:ascii="Times New Roman" w:hAnsi="Times New Roman"/>
          <w:sz w:val="24"/>
          <w:szCs w:val="24"/>
        </w:rPr>
      </w:pPr>
      <w:r w:rsidRPr="00D3416D">
        <w:rPr>
          <w:rFonts w:ascii="Times New Roman" w:hAnsi="Times New Roman"/>
          <w:sz w:val="24"/>
          <w:szCs w:val="24"/>
        </w:rPr>
        <w:t xml:space="preserve">Vides aizsardzības un reģionālās </w:t>
      </w:r>
    </w:p>
    <w:p w:rsidR="00142A71" w:rsidRPr="00D3416D" w:rsidP="00DC1194" w14:paraId="724F95CB" w14:textId="2FA808A0">
      <w:pPr>
        <w:pStyle w:val="tabula"/>
        <w:tabs>
          <w:tab w:val="clear" w:pos="5954"/>
          <w:tab w:val="left" w:pos="7513"/>
        </w:tabs>
        <w:spacing w:before="80" w:after="80"/>
        <w:jc w:val="both"/>
        <w:rPr>
          <w:rFonts w:ascii="Times New Roman" w:hAnsi="Times New Roman"/>
          <w:sz w:val="24"/>
          <w:szCs w:val="24"/>
        </w:rPr>
      </w:pPr>
      <w:r w:rsidRPr="00D3416D">
        <w:rPr>
          <w:rFonts w:ascii="Times New Roman" w:hAnsi="Times New Roman"/>
          <w:sz w:val="24"/>
          <w:szCs w:val="24"/>
        </w:rPr>
        <w:t xml:space="preserve">attīstības ministrijas </w:t>
      </w:r>
      <w:r w:rsidRPr="00D3416D">
        <w:rPr>
          <w:rFonts w:ascii="Times New Roman" w:hAnsi="Times New Roman"/>
          <w:sz w:val="24"/>
          <w:szCs w:val="24"/>
        </w:rPr>
        <w:t>valsts sekretārs</w:t>
      </w:r>
      <w:r w:rsidRPr="00D3416D">
        <w:rPr>
          <w:rFonts w:ascii="Times New Roman" w:hAnsi="Times New Roman"/>
          <w:sz w:val="24"/>
          <w:szCs w:val="24"/>
        </w:rPr>
        <w:tab/>
        <w:t>R. Muciņš</w:t>
      </w:r>
    </w:p>
    <w:p w:rsidR="00411594" w:rsidRPr="00D3416D" w:rsidP="00590493" w14:paraId="1584986A" w14:textId="31433B8B">
      <w:pPr>
        <w:shd w:val="clear" w:color="auto" w:fill="FFFFFF"/>
        <w:tabs>
          <w:tab w:val="left" w:pos="7230"/>
        </w:tabs>
        <w:spacing w:after="0"/>
        <w:rPr>
          <w:rFonts w:ascii="Times New Roman" w:hAnsi="Times New Roman"/>
          <w:sz w:val="28"/>
          <w:szCs w:val="28"/>
        </w:rPr>
      </w:pPr>
    </w:p>
    <w:p w:rsidR="00B466FC" w:rsidRPr="00D3416D" w:rsidP="00B466FC" w14:paraId="00C2665D" w14:textId="4408CCB4">
      <w:pPr>
        <w:pStyle w:val="BodyTextIndent"/>
        <w:tabs>
          <w:tab w:val="left" w:pos="8275"/>
        </w:tabs>
        <w:spacing w:after="0"/>
        <w:ind w:left="0"/>
        <w:rPr>
          <w:sz w:val="18"/>
          <w:szCs w:val="18"/>
        </w:rPr>
      </w:pPr>
      <w:r w:rsidRPr="00D3416D">
        <w:rPr>
          <w:sz w:val="18"/>
          <w:szCs w:val="18"/>
        </w:rPr>
        <w:t>Gancone</w:t>
      </w:r>
      <w:r w:rsidRPr="00D3416D">
        <w:rPr>
          <w:sz w:val="18"/>
          <w:szCs w:val="18"/>
        </w:rPr>
        <w:t xml:space="preserve">, </w:t>
      </w:r>
      <w:r w:rsidRPr="00D3416D">
        <w:rPr>
          <w:sz w:val="18"/>
          <w:szCs w:val="18"/>
        </w:rPr>
        <w:t>67026495</w:t>
      </w:r>
    </w:p>
    <w:p w:rsidR="00B466FC" w:rsidRPr="00D3416D" w:rsidP="00B466FC" w14:paraId="3CDD9CA8" w14:textId="58D214AA">
      <w:pPr>
        <w:pStyle w:val="BodyTextIndent"/>
        <w:spacing w:after="0"/>
        <w:ind w:left="0"/>
        <w:rPr>
          <w:sz w:val="18"/>
          <w:szCs w:val="18"/>
        </w:rPr>
      </w:pPr>
      <w:r>
        <w:fldChar w:fldCharType="begin"/>
      </w:r>
      <w:r>
        <w:instrText xml:space="preserve"> HYPERLINK "mailto:Agita.Gancone@varam.gov.lv" </w:instrText>
      </w:r>
      <w:r>
        <w:fldChar w:fldCharType="separate"/>
      </w:r>
      <w:r w:rsidRPr="00D3416D" w:rsidR="00D36CC5">
        <w:rPr>
          <w:rStyle w:val="Hyperlink"/>
          <w:sz w:val="18"/>
          <w:szCs w:val="18"/>
        </w:rPr>
        <w:t>Agita.Gancone@varam.gov.lv</w:t>
      </w:r>
      <w:r>
        <w:fldChar w:fldCharType="end"/>
      </w:r>
      <w:r w:rsidRPr="00D3416D" w:rsidR="00D36CC5">
        <w:rPr>
          <w:sz w:val="18"/>
          <w:szCs w:val="18"/>
        </w:rPr>
        <w:t xml:space="preserve"> </w:t>
      </w:r>
    </w:p>
    <w:p w:rsidR="00B466FC" w:rsidRPr="00D3416D" w:rsidP="00B466FC" w14:paraId="1CCFAC94" w14:textId="20A1FEAB">
      <w:pPr>
        <w:spacing w:after="0"/>
        <w:rPr>
          <w:rFonts w:ascii="Times New Roman" w:hAnsi="Times New Roman"/>
          <w:sz w:val="18"/>
          <w:szCs w:val="18"/>
        </w:rPr>
      </w:pPr>
      <w:r w:rsidRPr="00D3416D">
        <w:rPr>
          <w:rFonts w:ascii="Times New Roman" w:hAnsi="Times New Roman"/>
          <w:sz w:val="18"/>
          <w:szCs w:val="18"/>
        </w:rPr>
        <w:t>Zommere-Rotčenkova</w:t>
      </w:r>
      <w:r w:rsidRPr="00D3416D">
        <w:rPr>
          <w:rFonts w:ascii="Times New Roman" w:hAnsi="Times New Roman"/>
          <w:sz w:val="18"/>
          <w:szCs w:val="18"/>
        </w:rPr>
        <w:t xml:space="preserve">, </w:t>
      </w:r>
      <w:r w:rsidRPr="00D3416D">
        <w:rPr>
          <w:rFonts w:ascii="Times New Roman" w:hAnsi="Times New Roman"/>
          <w:sz w:val="18"/>
          <w:szCs w:val="18"/>
        </w:rPr>
        <w:t>67026508</w:t>
      </w:r>
    </w:p>
    <w:p w:rsidR="003B57C7" w:rsidRPr="00D3416D" w:rsidP="00B466FC" w14:paraId="661C7D02" w14:textId="515FA304">
      <w:pPr>
        <w:spacing w:after="0"/>
        <w:rPr>
          <w:rStyle w:val="Hyperlink"/>
          <w:color w:val="auto"/>
          <w:sz w:val="18"/>
          <w:szCs w:val="18"/>
        </w:rPr>
      </w:pPr>
      <w:r>
        <w:fldChar w:fldCharType="begin"/>
      </w:r>
      <w:r>
        <w:instrText xml:space="preserve"> HYPERLINK "mailto:Kristine.Zommere-Rotcenkova@varam.gov.lv" </w:instrText>
      </w:r>
      <w:r>
        <w:fldChar w:fldCharType="separate"/>
      </w:r>
      <w:r w:rsidRPr="00D3416D" w:rsidR="00D36CC5">
        <w:rPr>
          <w:rStyle w:val="Hyperlink"/>
          <w:rFonts w:ascii="Times New Roman" w:hAnsi="Times New Roman"/>
          <w:sz w:val="18"/>
          <w:szCs w:val="18"/>
        </w:rPr>
        <w:t>Kristine.Zommere-Rotcenkova@varam.gov.lv</w:t>
      </w:r>
      <w:r>
        <w:fldChar w:fldCharType="end"/>
      </w:r>
      <w:r w:rsidRPr="00D3416D" w:rsidR="00D36CC5">
        <w:rPr>
          <w:rFonts w:ascii="Times New Roman" w:hAnsi="Times New Roman"/>
          <w:sz w:val="18"/>
          <w:szCs w:val="18"/>
        </w:rPr>
        <w:t xml:space="preserve"> </w:t>
      </w:r>
    </w:p>
    <w:sectPr w:rsidSect="0068189F">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B09" w14:paraId="2ABC08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B09" w:rsidRPr="0011099C" w:rsidP="00C61BFB" w14:paraId="07C70A46" w14:textId="001E6A2F">
    <w:pPr>
      <w:spacing w:after="0"/>
      <w:rPr>
        <w:rFonts w:ascii="Times New Roman" w:hAnsi="Times New Roman"/>
      </w:rPr>
    </w:pPr>
    <w:r w:rsidRPr="003B0DE2">
      <w:rPr>
        <w:rFonts w:ascii="Times New Roman" w:hAnsi="Times New Roman"/>
        <w:sz w:val="20"/>
        <w:szCs w:val="20"/>
      </w:rPr>
      <w:fldChar w:fldCharType="begin"/>
    </w:r>
    <w:r w:rsidRPr="003B0DE2">
      <w:rPr>
        <w:rFonts w:ascii="Times New Roman" w:hAnsi="Times New Roman"/>
        <w:sz w:val="20"/>
        <w:szCs w:val="20"/>
      </w:rPr>
      <w:instrText xml:space="preserve"> FILENAME   \* MERGEFORMAT </w:instrText>
    </w:r>
    <w:r w:rsidRPr="003B0DE2">
      <w:rPr>
        <w:rFonts w:ascii="Times New Roman" w:hAnsi="Times New Roman"/>
        <w:sz w:val="20"/>
        <w:szCs w:val="20"/>
      </w:rPr>
      <w:fldChar w:fldCharType="separate"/>
    </w:r>
    <w:r w:rsidRPr="003B0DE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B09" w:rsidRPr="004D7C36" w:rsidP="004D7C36" w14:paraId="68D4CF66" w14:textId="77777777">
    <w:pPr>
      <w:spacing w:after="0"/>
      <w:rPr>
        <w:rFonts w:ascii="Times New Roman" w:hAnsi="Times New Roman"/>
        <w:sz w:val="8"/>
        <w:szCs w:val="8"/>
      </w:rPr>
    </w:pPr>
  </w:p>
  <w:p w:rsidR="00F47B09" w:rsidRPr="00FD7489" w:rsidP="00FD7489" w14:paraId="47255F2F" w14:textId="4E27FE9B">
    <w:pPr>
      <w:spacing w:after="0"/>
      <w:rPr>
        <w:rFonts w:ascii="Times New Roman" w:hAnsi="Times New Roman"/>
        <w:sz w:val="20"/>
        <w:szCs w:val="20"/>
      </w:rPr>
    </w:pPr>
    <w:r>
      <w:fldChar w:fldCharType="begin"/>
    </w:r>
    <w:r>
      <w:instrText xml:space="preserve"> FILENAME   \* MERGEFORMAT </w:instrText>
    </w:r>
    <w:r>
      <w:fldChar w:fldCharType="separate"/>
    </w:r>
    <w:r w:rsidRPr="00A96A7B">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B09" w:rsidP="004D7C36" w14:paraId="238FF2D2" w14:textId="77777777">
      <w:pPr>
        <w:spacing w:after="0"/>
      </w:pPr>
      <w:r>
        <w:separator/>
      </w:r>
    </w:p>
  </w:footnote>
  <w:footnote w:type="continuationSeparator" w:id="1">
    <w:p w:rsidR="00F47B09" w:rsidP="004D7C36" w14:paraId="4A9CB6FA" w14:textId="77777777">
      <w:pPr>
        <w:spacing w:after="0"/>
      </w:pPr>
      <w:r>
        <w:continuationSeparator/>
      </w:r>
    </w:p>
  </w:footnote>
  <w:footnote w:type="continuationNotice" w:id="2">
    <w:p w:rsidR="00087EBB" w14:paraId="17209C25" w14:textId="77777777">
      <w:pPr>
        <w:spacing w:after="0"/>
      </w:pPr>
    </w:p>
  </w:footnote>
  <w:footnote w:id="3">
    <w:p w:rsidR="00F47B09" w14:paraId="58E86012" w14:textId="11DFD4A2">
      <w:pPr>
        <w:pStyle w:val="FootnoteText"/>
      </w:pPr>
      <w:r>
        <w:rPr>
          <w:rStyle w:val="FootnoteReference"/>
        </w:rPr>
        <w:footnoteRef/>
      </w:r>
      <w:r>
        <w:t xml:space="preserve"> Eiropas Parlamenta un Padomes 2013.gada 21.maija regulas Nr.525/2013 </w:t>
      </w:r>
      <w:r w:rsidRPr="00E27A2C">
        <w:t>par mehānismu siltumnīcefekta gāzu emisiju pārraudzībai un ziņošanai un citas informācijas ziņošanai valstu un Savienības līmenī saistībā ar klimata pārmaiņām un par Lēmuma Nr. 280/2004/EK atcelšanu</w:t>
      </w:r>
      <w:r>
        <w:t xml:space="preserve"> 3.panta 2.punkts</w:t>
      </w:r>
    </w:p>
  </w:footnote>
  <w:footnote w:id="4">
    <w:p w:rsidR="00F47B09" w:rsidP="00A1513C" w14:paraId="2E0A993B" w14:textId="77777777">
      <w:pPr>
        <w:pStyle w:val="FootnoteText"/>
      </w:pPr>
      <w:r>
        <w:rPr>
          <w:rStyle w:val="FootnoteReference"/>
        </w:rPr>
        <w:footnoteRef/>
      </w:r>
      <w:r>
        <w:t xml:space="preserve"> Ratificēta ar likumu “</w:t>
      </w:r>
      <w:r w:rsidRPr="00E27A2C">
        <w:t>Par Apvienoto Nāciju Organizācijas Vispārējo konvenciju par klimata pārmaiņām</w:t>
      </w:r>
      <w:r>
        <w:t>” (stājās spēkā 09.03.1995.)</w:t>
      </w:r>
    </w:p>
  </w:footnote>
  <w:footnote w:id="5">
    <w:p w:rsidR="00F47B09" w:rsidP="00A1513C" w14:paraId="67A53590" w14:textId="77777777">
      <w:pPr>
        <w:pStyle w:val="FootnoteText"/>
      </w:pPr>
      <w:r>
        <w:rPr>
          <w:rStyle w:val="FootnoteReference"/>
        </w:rPr>
        <w:footnoteRef/>
      </w:r>
      <w:r>
        <w:t xml:space="preserve"> Ratificēts ar likumu “</w:t>
      </w:r>
      <w:r w:rsidRPr="00E27A2C">
        <w:t>Par Apvienoto Nāciju Organizācijas Vispārējās konvencijas par klimata pārmaiņām Kioto protokolu</w:t>
      </w:r>
      <w:r>
        <w:t>” (stājas spēkā 13.06.2002.)</w:t>
      </w:r>
    </w:p>
  </w:footnote>
  <w:footnote w:id="6">
    <w:p w:rsidR="00F47B09" w:rsidP="00A1513C" w14:paraId="4804B9F1" w14:textId="65E303D9">
      <w:pPr>
        <w:pStyle w:val="FootnoteText"/>
      </w:pPr>
      <w:r>
        <w:rPr>
          <w:rStyle w:val="FootnoteReference"/>
        </w:rPr>
        <w:footnoteRef/>
      </w:r>
      <w:r>
        <w:t xml:space="preserve"> Ratificēts ar likumu “</w:t>
      </w:r>
      <w:r w:rsidRPr="00E27A2C">
        <w:t>Par Apvienoto Nāciju Organizācijas Vispārējās konvencijas par klimata pārmaiņām Kioto protokola Dohas grozījumu</w:t>
      </w:r>
      <w:r>
        <w:t>” (stājās spēkā 14.10.2015.).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B09" w14:paraId="53F08B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B09" w14:paraId="2B0BC697" w14:textId="259FF8BF">
    <w:pPr>
      <w:pStyle w:val="Header"/>
      <w:jc w:val="center"/>
    </w:pPr>
    <w:r>
      <w:fldChar w:fldCharType="begin"/>
    </w:r>
    <w:r>
      <w:instrText xml:space="preserve"> PAGE   \* MERGEFORMAT </w:instrText>
    </w:r>
    <w:r>
      <w:fldChar w:fldCharType="separate"/>
    </w:r>
    <w:r w:rsidR="00087EBB">
      <w:rPr>
        <w:noProof/>
      </w:rPr>
      <w:t>10</w:t>
    </w:r>
    <w:r>
      <w:rPr>
        <w:noProof/>
      </w:rPr>
      <w:fldChar w:fldCharType="end"/>
    </w:r>
  </w:p>
  <w:p w:rsidR="00F47B09" w14:paraId="7DCE53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B09" w14:paraId="3E756B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947E0"/>
    <w:multiLevelType w:val="hybridMultilevel"/>
    <w:tmpl w:val="244AB87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520814"/>
    <w:multiLevelType w:val="hybridMultilevel"/>
    <w:tmpl w:val="664AC44E"/>
    <w:lvl w:ilvl="0">
      <w:start w:val="201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993248"/>
    <w:multiLevelType w:val="hybridMultilevel"/>
    <w:tmpl w:val="6E288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A83C6C"/>
    <w:multiLevelType w:val="hybridMultilevel"/>
    <w:tmpl w:val="9B301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A37EA9"/>
    <w:multiLevelType w:val="hybridMultilevel"/>
    <w:tmpl w:val="F2508D6E"/>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5">
    <w:nsid w:val="1CB74205"/>
    <w:multiLevelType w:val="hybridMultilevel"/>
    <w:tmpl w:val="16541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18645E"/>
    <w:multiLevelType w:val="hybridMultilevel"/>
    <w:tmpl w:val="6FF6BFBA"/>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DA91357"/>
    <w:multiLevelType w:val="hybridMultilevel"/>
    <w:tmpl w:val="493E3808"/>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8">
    <w:nsid w:val="22025DC3"/>
    <w:multiLevelType w:val="hybridMultilevel"/>
    <w:tmpl w:val="93B03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FF5A6E"/>
    <w:multiLevelType w:val="hybridMultilevel"/>
    <w:tmpl w:val="CBA875E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822E90"/>
    <w:multiLevelType w:val="hybridMultilevel"/>
    <w:tmpl w:val="08DE8C4A"/>
    <w:lvl w:ilvl="0">
      <w:start w:val="1"/>
      <w:numFmt w:val="decimal"/>
      <w:lvlText w:val="%1."/>
      <w:lvlJc w:val="left"/>
      <w:pPr>
        <w:ind w:left="744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41591E"/>
    <w:multiLevelType w:val="hybridMultilevel"/>
    <w:tmpl w:val="685C10A8"/>
    <w:lvl w:ilvl="0">
      <w:start w:val="201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03E6AA0"/>
    <w:multiLevelType w:val="hybridMultilevel"/>
    <w:tmpl w:val="9FBA3C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90038E"/>
    <w:multiLevelType w:val="hybridMultilevel"/>
    <w:tmpl w:val="41EA1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CBE0813"/>
    <w:multiLevelType w:val="hybridMultilevel"/>
    <w:tmpl w:val="F574F362"/>
    <w:lvl w:ilvl="0">
      <w:start w:val="1"/>
      <w:numFmt w:val="decimal"/>
      <w:lvlText w:val="%1)"/>
      <w:lvlJc w:val="left"/>
      <w:pPr>
        <w:ind w:left="587" w:hanging="360"/>
      </w:pPr>
      <w:rPr>
        <w:rFonts w:hint="default"/>
        <w:b/>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15">
    <w:nsid w:val="3D620BF9"/>
    <w:multiLevelType w:val="hybridMultilevel"/>
    <w:tmpl w:val="F268004E"/>
    <w:lvl w:ilvl="0">
      <w:start w:val="1"/>
      <w:numFmt w:val="decimal"/>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E5A44BE"/>
    <w:multiLevelType w:val="hybridMultilevel"/>
    <w:tmpl w:val="9B9AFD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EB0279C"/>
    <w:multiLevelType w:val="hybridMultilevel"/>
    <w:tmpl w:val="1CCE603A"/>
    <w:lvl w:ilvl="0">
      <w:start w:val="1"/>
      <w:numFmt w:val="bullet"/>
      <w:lvlText w:val=""/>
      <w:lvlJc w:val="left"/>
      <w:pPr>
        <w:ind w:left="947" w:hanging="360"/>
      </w:pPr>
      <w:rPr>
        <w:rFonts w:ascii="Symbol" w:hAnsi="Symbol" w:hint="default"/>
      </w:rPr>
    </w:lvl>
    <w:lvl w:ilvl="1">
      <w:start w:val="5"/>
      <w:numFmt w:val="bullet"/>
      <w:lvlText w:val="-"/>
      <w:lvlJc w:val="left"/>
      <w:pPr>
        <w:ind w:left="1667" w:hanging="360"/>
      </w:pPr>
      <w:rPr>
        <w:rFonts w:ascii="Times New Roman" w:eastAsia="Times New Roman" w:hAnsi="Times New Roman"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18">
    <w:nsid w:val="51FB6389"/>
    <w:multiLevelType w:val="hybridMultilevel"/>
    <w:tmpl w:val="FBFEEC76"/>
    <w:lvl w:ilvl="0">
      <w:start w:val="5"/>
      <w:numFmt w:val="bullet"/>
      <w:lvlText w:val="-"/>
      <w:lvlJc w:val="left"/>
      <w:pPr>
        <w:ind w:left="587" w:hanging="360"/>
      </w:pPr>
      <w:rPr>
        <w:rFonts w:ascii="Times New Roman" w:eastAsia="Times New Roman" w:hAnsi="Times New Roman"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19">
    <w:nsid w:val="58CC4CB1"/>
    <w:multiLevelType w:val="hybridMultilevel"/>
    <w:tmpl w:val="AD80B448"/>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376E05"/>
    <w:multiLevelType w:val="hybridMultilevel"/>
    <w:tmpl w:val="1DACBB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B44059B"/>
    <w:multiLevelType w:val="hybridMultilevel"/>
    <w:tmpl w:val="C4CAFDBE"/>
    <w:lvl w:ilvl="0">
      <w:start w:val="3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8F119A"/>
    <w:multiLevelType w:val="hybridMultilevel"/>
    <w:tmpl w:val="9F925556"/>
    <w:lvl w:ilvl="0">
      <w:start w:val="1"/>
      <w:numFmt w:val="decimal"/>
      <w:lvlText w:val="%1)"/>
      <w:lvlJc w:val="left"/>
      <w:pPr>
        <w:ind w:left="616" w:hanging="360"/>
      </w:pPr>
      <w:rPr>
        <w:rFonts w:eastAsia="Times New Roman" w:cs="Times New Roman" w:hint="default"/>
        <w:sz w:val="22"/>
        <w:szCs w:val="22"/>
      </w:rPr>
    </w:lvl>
    <w:lvl w:ilvl="1" w:tentative="1">
      <w:start w:val="1"/>
      <w:numFmt w:val="lowerLetter"/>
      <w:lvlText w:val="%2."/>
      <w:lvlJc w:val="left"/>
      <w:pPr>
        <w:ind w:left="1336" w:hanging="360"/>
      </w:pPr>
      <w:rPr>
        <w:rFonts w:cs="Times New Roman"/>
      </w:rPr>
    </w:lvl>
    <w:lvl w:ilvl="2" w:tentative="1">
      <w:start w:val="1"/>
      <w:numFmt w:val="lowerRoman"/>
      <w:lvlText w:val="%3."/>
      <w:lvlJc w:val="right"/>
      <w:pPr>
        <w:ind w:left="2056" w:hanging="180"/>
      </w:pPr>
      <w:rPr>
        <w:rFonts w:cs="Times New Roman"/>
      </w:rPr>
    </w:lvl>
    <w:lvl w:ilvl="3" w:tentative="1">
      <w:start w:val="1"/>
      <w:numFmt w:val="decimal"/>
      <w:lvlText w:val="%4."/>
      <w:lvlJc w:val="left"/>
      <w:pPr>
        <w:ind w:left="2776" w:hanging="360"/>
      </w:pPr>
      <w:rPr>
        <w:rFonts w:cs="Times New Roman"/>
      </w:rPr>
    </w:lvl>
    <w:lvl w:ilvl="4" w:tentative="1">
      <w:start w:val="1"/>
      <w:numFmt w:val="lowerLetter"/>
      <w:lvlText w:val="%5."/>
      <w:lvlJc w:val="left"/>
      <w:pPr>
        <w:ind w:left="3496" w:hanging="360"/>
      </w:pPr>
      <w:rPr>
        <w:rFonts w:cs="Times New Roman"/>
      </w:rPr>
    </w:lvl>
    <w:lvl w:ilvl="5" w:tentative="1">
      <w:start w:val="1"/>
      <w:numFmt w:val="lowerRoman"/>
      <w:lvlText w:val="%6."/>
      <w:lvlJc w:val="right"/>
      <w:pPr>
        <w:ind w:left="4216" w:hanging="180"/>
      </w:pPr>
      <w:rPr>
        <w:rFonts w:cs="Times New Roman"/>
      </w:rPr>
    </w:lvl>
    <w:lvl w:ilvl="6" w:tentative="1">
      <w:start w:val="1"/>
      <w:numFmt w:val="decimal"/>
      <w:lvlText w:val="%7."/>
      <w:lvlJc w:val="left"/>
      <w:pPr>
        <w:ind w:left="4936" w:hanging="360"/>
      </w:pPr>
      <w:rPr>
        <w:rFonts w:cs="Times New Roman"/>
      </w:rPr>
    </w:lvl>
    <w:lvl w:ilvl="7" w:tentative="1">
      <w:start w:val="1"/>
      <w:numFmt w:val="lowerLetter"/>
      <w:lvlText w:val="%8."/>
      <w:lvlJc w:val="left"/>
      <w:pPr>
        <w:ind w:left="5656" w:hanging="360"/>
      </w:pPr>
      <w:rPr>
        <w:rFonts w:cs="Times New Roman"/>
      </w:rPr>
    </w:lvl>
    <w:lvl w:ilvl="8" w:tentative="1">
      <w:start w:val="1"/>
      <w:numFmt w:val="lowerRoman"/>
      <w:lvlText w:val="%9."/>
      <w:lvlJc w:val="right"/>
      <w:pPr>
        <w:ind w:left="6376" w:hanging="180"/>
      </w:pPr>
      <w:rPr>
        <w:rFonts w:cs="Times New Roman"/>
      </w:rPr>
    </w:lvl>
  </w:abstractNum>
  <w:abstractNum w:abstractNumId="23">
    <w:nsid w:val="5D246B5C"/>
    <w:multiLevelType w:val="hybridMultilevel"/>
    <w:tmpl w:val="48AA17A0"/>
    <w:lvl w:ilvl="0">
      <w:start w:val="1"/>
      <w:numFmt w:val="decimal"/>
      <w:lvlText w:val="%1."/>
      <w:lvlJc w:val="left"/>
      <w:pPr>
        <w:ind w:left="587" w:hanging="360"/>
      </w:pPr>
      <w:rPr>
        <w:rFonts w:hint="default"/>
        <w:b/>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24">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25">
    <w:nsid w:val="60142C52"/>
    <w:multiLevelType w:val="hybridMultilevel"/>
    <w:tmpl w:val="09BCB2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659376C"/>
    <w:multiLevelType w:val="hybridMultilevel"/>
    <w:tmpl w:val="BAA4D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B8D345C"/>
    <w:multiLevelType w:val="hybridMultilevel"/>
    <w:tmpl w:val="D1321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FD43D62"/>
    <w:multiLevelType w:val="hybridMultilevel"/>
    <w:tmpl w:val="18CCAF70"/>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num w:numId="1">
    <w:abstractNumId w:val="24"/>
  </w:num>
  <w:num w:numId="2">
    <w:abstractNumId w:val="17"/>
  </w:num>
  <w:num w:numId="3">
    <w:abstractNumId w:val="18"/>
  </w:num>
  <w:num w:numId="4">
    <w:abstractNumId w:val="22"/>
  </w:num>
  <w:num w:numId="5">
    <w:abstractNumId w:val="5"/>
  </w:num>
  <w:num w:numId="6">
    <w:abstractNumId w:val="3"/>
  </w:num>
  <w:num w:numId="7">
    <w:abstractNumId w:val="4"/>
  </w:num>
  <w:num w:numId="8">
    <w:abstractNumId w:val="6"/>
  </w:num>
  <w:num w:numId="9">
    <w:abstractNumId w:val="25"/>
  </w:num>
  <w:num w:numId="10">
    <w:abstractNumId w:val="28"/>
  </w:num>
  <w:num w:numId="11">
    <w:abstractNumId w:val="14"/>
  </w:num>
  <w:num w:numId="12">
    <w:abstractNumId w:val="20"/>
  </w:num>
  <w:num w:numId="13">
    <w:abstractNumId w:val="15"/>
  </w:num>
  <w:num w:numId="14">
    <w:abstractNumId w:val="16"/>
  </w:num>
  <w:num w:numId="15">
    <w:abstractNumId w:val="26"/>
  </w:num>
  <w:num w:numId="16">
    <w:abstractNumId w:val="21"/>
  </w:num>
  <w:num w:numId="17">
    <w:abstractNumId w:val="2"/>
  </w:num>
  <w:num w:numId="18">
    <w:abstractNumId w:val="27"/>
  </w:num>
  <w:num w:numId="19">
    <w:abstractNumId w:val="13"/>
  </w:num>
  <w:num w:numId="20">
    <w:abstractNumId w:val="7"/>
  </w:num>
  <w:num w:numId="21">
    <w:abstractNumId w:val="12"/>
  </w:num>
  <w:num w:numId="22">
    <w:abstractNumId w:val="23"/>
  </w:num>
  <w:num w:numId="23">
    <w:abstractNumId w:val="19"/>
  </w:num>
  <w:num w:numId="24">
    <w:abstractNumId w:val="1"/>
  </w:num>
  <w:num w:numId="25">
    <w:abstractNumId w:val="11"/>
  </w:num>
  <w:num w:numId="26">
    <w:abstractNumId w:val="0"/>
  </w:num>
  <w:num w:numId="27">
    <w:abstractNumId w:val="9"/>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displayVerticalDrawingGridEvery w:val="2"/>
  <w:doNotShadeFormData/>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CD"/>
    <w:rsid w:val="000022EA"/>
    <w:rsid w:val="00002C48"/>
    <w:rsid w:val="0000357E"/>
    <w:rsid w:val="000036BA"/>
    <w:rsid w:val="00003841"/>
    <w:rsid w:val="00005263"/>
    <w:rsid w:val="0000734C"/>
    <w:rsid w:val="00010007"/>
    <w:rsid w:val="000102E0"/>
    <w:rsid w:val="00010AF1"/>
    <w:rsid w:val="0001568C"/>
    <w:rsid w:val="0001771C"/>
    <w:rsid w:val="000204BD"/>
    <w:rsid w:val="000216F4"/>
    <w:rsid w:val="00021F25"/>
    <w:rsid w:val="0002260A"/>
    <w:rsid w:val="000236E8"/>
    <w:rsid w:val="00023CCB"/>
    <w:rsid w:val="000252D3"/>
    <w:rsid w:val="000259FE"/>
    <w:rsid w:val="00026472"/>
    <w:rsid w:val="00027726"/>
    <w:rsid w:val="00027F43"/>
    <w:rsid w:val="0003475E"/>
    <w:rsid w:val="000365D2"/>
    <w:rsid w:val="0003736E"/>
    <w:rsid w:val="000375BA"/>
    <w:rsid w:val="0003767B"/>
    <w:rsid w:val="0004253C"/>
    <w:rsid w:val="0004455D"/>
    <w:rsid w:val="00045D4D"/>
    <w:rsid w:val="00050664"/>
    <w:rsid w:val="00051E55"/>
    <w:rsid w:val="00054B73"/>
    <w:rsid w:val="00054CEF"/>
    <w:rsid w:val="00056F61"/>
    <w:rsid w:val="000576A2"/>
    <w:rsid w:val="00057819"/>
    <w:rsid w:val="0005794B"/>
    <w:rsid w:val="00060163"/>
    <w:rsid w:val="0006049C"/>
    <w:rsid w:val="0006345C"/>
    <w:rsid w:val="00063EC8"/>
    <w:rsid w:val="00064636"/>
    <w:rsid w:val="000731AD"/>
    <w:rsid w:val="00075007"/>
    <w:rsid w:val="00075438"/>
    <w:rsid w:val="00077E67"/>
    <w:rsid w:val="0008176E"/>
    <w:rsid w:val="00081A58"/>
    <w:rsid w:val="00085C58"/>
    <w:rsid w:val="00085EB5"/>
    <w:rsid w:val="00087398"/>
    <w:rsid w:val="000876A3"/>
    <w:rsid w:val="00087922"/>
    <w:rsid w:val="00087EBB"/>
    <w:rsid w:val="000900A6"/>
    <w:rsid w:val="00090A98"/>
    <w:rsid w:val="00090B46"/>
    <w:rsid w:val="00090B58"/>
    <w:rsid w:val="00092875"/>
    <w:rsid w:val="00095EE4"/>
    <w:rsid w:val="000A52C6"/>
    <w:rsid w:val="000A5328"/>
    <w:rsid w:val="000A58A3"/>
    <w:rsid w:val="000A58AB"/>
    <w:rsid w:val="000A6199"/>
    <w:rsid w:val="000B00B7"/>
    <w:rsid w:val="000B34B9"/>
    <w:rsid w:val="000B4B09"/>
    <w:rsid w:val="000B51AB"/>
    <w:rsid w:val="000B587D"/>
    <w:rsid w:val="000C3537"/>
    <w:rsid w:val="000C3F9F"/>
    <w:rsid w:val="000C5291"/>
    <w:rsid w:val="000D0AD8"/>
    <w:rsid w:val="000D2F76"/>
    <w:rsid w:val="000D481C"/>
    <w:rsid w:val="000D4A73"/>
    <w:rsid w:val="000E002A"/>
    <w:rsid w:val="000E05CA"/>
    <w:rsid w:val="000E12A3"/>
    <w:rsid w:val="000E12CC"/>
    <w:rsid w:val="000E2A51"/>
    <w:rsid w:val="000E2B45"/>
    <w:rsid w:val="000E6416"/>
    <w:rsid w:val="000E73F7"/>
    <w:rsid w:val="000E7D42"/>
    <w:rsid w:val="000F09DB"/>
    <w:rsid w:val="000F14C9"/>
    <w:rsid w:val="000F513E"/>
    <w:rsid w:val="0010089E"/>
    <w:rsid w:val="0010256C"/>
    <w:rsid w:val="00102A12"/>
    <w:rsid w:val="00102BBA"/>
    <w:rsid w:val="00104A4D"/>
    <w:rsid w:val="00104D1D"/>
    <w:rsid w:val="00106528"/>
    <w:rsid w:val="00107093"/>
    <w:rsid w:val="00107DC9"/>
    <w:rsid w:val="0011099C"/>
    <w:rsid w:val="0011251E"/>
    <w:rsid w:val="00122EF5"/>
    <w:rsid w:val="001261AE"/>
    <w:rsid w:val="00127EA7"/>
    <w:rsid w:val="00133D2A"/>
    <w:rsid w:val="001344FB"/>
    <w:rsid w:val="00134806"/>
    <w:rsid w:val="00137AEB"/>
    <w:rsid w:val="00137D4F"/>
    <w:rsid w:val="00141AFD"/>
    <w:rsid w:val="001424BB"/>
    <w:rsid w:val="00142A71"/>
    <w:rsid w:val="00142CF5"/>
    <w:rsid w:val="0014351D"/>
    <w:rsid w:val="00145C8C"/>
    <w:rsid w:val="001473AE"/>
    <w:rsid w:val="001524D8"/>
    <w:rsid w:val="00154AEA"/>
    <w:rsid w:val="00157133"/>
    <w:rsid w:val="00157710"/>
    <w:rsid w:val="0016010F"/>
    <w:rsid w:val="001604B9"/>
    <w:rsid w:val="00160970"/>
    <w:rsid w:val="00161F22"/>
    <w:rsid w:val="0016323A"/>
    <w:rsid w:val="00165328"/>
    <w:rsid w:val="00167E1C"/>
    <w:rsid w:val="001707E7"/>
    <w:rsid w:val="00177BD0"/>
    <w:rsid w:val="0018092B"/>
    <w:rsid w:val="001811C2"/>
    <w:rsid w:val="0018158A"/>
    <w:rsid w:val="001833AE"/>
    <w:rsid w:val="001849BF"/>
    <w:rsid w:val="001872D0"/>
    <w:rsid w:val="0018796C"/>
    <w:rsid w:val="001926BF"/>
    <w:rsid w:val="00192C85"/>
    <w:rsid w:val="00194048"/>
    <w:rsid w:val="00196651"/>
    <w:rsid w:val="00196824"/>
    <w:rsid w:val="001A0B61"/>
    <w:rsid w:val="001B06D8"/>
    <w:rsid w:val="001B0A68"/>
    <w:rsid w:val="001B7200"/>
    <w:rsid w:val="001C098C"/>
    <w:rsid w:val="001C250F"/>
    <w:rsid w:val="001C288A"/>
    <w:rsid w:val="001C37E7"/>
    <w:rsid w:val="001D32BA"/>
    <w:rsid w:val="001D5A67"/>
    <w:rsid w:val="001D6769"/>
    <w:rsid w:val="001D6B0C"/>
    <w:rsid w:val="001D6E29"/>
    <w:rsid w:val="001D70DB"/>
    <w:rsid w:val="001E09A1"/>
    <w:rsid w:val="001E09D1"/>
    <w:rsid w:val="001F16CF"/>
    <w:rsid w:val="001F4EF4"/>
    <w:rsid w:val="001F6FF4"/>
    <w:rsid w:val="00201F24"/>
    <w:rsid w:val="002044F6"/>
    <w:rsid w:val="00204590"/>
    <w:rsid w:val="00205F15"/>
    <w:rsid w:val="00206DFD"/>
    <w:rsid w:val="00210EC9"/>
    <w:rsid w:val="00212A4F"/>
    <w:rsid w:val="00213B3F"/>
    <w:rsid w:val="00214180"/>
    <w:rsid w:val="00215ACA"/>
    <w:rsid w:val="00216C72"/>
    <w:rsid w:val="00217609"/>
    <w:rsid w:val="00217FC8"/>
    <w:rsid w:val="00220870"/>
    <w:rsid w:val="002214F7"/>
    <w:rsid w:val="00223978"/>
    <w:rsid w:val="002278DE"/>
    <w:rsid w:val="00230AF7"/>
    <w:rsid w:val="00230B9E"/>
    <w:rsid w:val="00231B16"/>
    <w:rsid w:val="002326CD"/>
    <w:rsid w:val="00233691"/>
    <w:rsid w:val="002372A4"/>
    <w:rsid w:val="002407E2"/>
    <w:rsid w:val="00240E3D"/>
    <w:rsid w:val="00241AD6"/>
    <w:rsid w:val="002426D2"/>
    <w:rsid w:val="002459DA"/>
    <w:rsid w:val="00246D93"/>
    <w:rsid w:val="002608F1"/>
    <w:rsid w:val="0026240C"/>
    <w:rsid w:val="00267CB7"/>
    <w:rsid w:val="00277367"/>
    <w:rsid w:val="00281AA7"/>
    <w:rsid w:val="0028217A"/>
    <w:rsid w:val="00284C5D"/>
    <w:rsid w:val="002902C0"/>
    <w:rsid w:val="002937C4"/>
    <w:rsid w:val="00294A2F"/>
    <w:rsid w:val="002A013F"/>
    <w:rsid w:val="002A0265"/>
    <w:rsid w:val="002A06D2"/>
    <w:rsid w:val="002A7256"/>
    <w:rsid w:val="002B0260"/>
    <w:rsid w:val="002B034D"/>
    <w:rsid w:val="002B2E16"/>
    <w:rsid w:val="002B3E8E"/>
    <w:rsid w:val="002B6A7F"/>
    <w:rsid w:val="002C4331"/>
    <w:rsid w:val="002C453A"/>
    <w:rsid w:val="002C68A0"/>
    <w:rsid w:val="002C6DBC"/>
    <w:rsid w:val="002C7797"/>
    <w:rsid w:val="002C7C7E"/>
    <w:rsid w:val="002D034F"/>
    <w:rsid w:val="002D1BCF"/>
    <w:rsid w:val="002D2B3E"/>
    <w:rsid w:val="002D4D53"/>
    <w:rsid w:val="002D5AD0"/>
    <w:rsid w:val="002D670A"/>
    <w:rsid w:val="002E3E1F"/>
    <w:rsid w:val="002E4B3E"/>
    <w:rsid w:val="002E5386"/>
    <w:rsid w:val="002E5FF2"/>
    <w:rsid w:val="002E7DBF"/>
    <w:rsid w:val="002F0C8F"/>
    <w:rsid w:val="002F30BB"/>
    <w:rsid w:val="002F38D0"/>
    <w:rsid w:val="00305EAF"/>
    <w:rsid w:val="003072BA"/>
    <w:rsid w:val="00307433"/>
    <w:rsid w:val="00313597"/>
    <w:rsid w:val="003155BA"/>
    <w:rsid w:val="003162E4"/>
    <w:rsid w:val="00316D9D"/>
    <w:rsid w:val="00317EFB"/>
    <w:rsid w:val="0032070E"/>
    <w:rsid w:val="00322017"/>
    <w:rsid w:val="00322409"/>
    <w:rsid w:val="00322B5B"/>
    <w:rsid w:val="0032396A"/>
    <w:rsid w:val="00324412"/>
    <w:rsid w:val="00326E76"/>
    <w:rsid w:val="0032782C"/>
    <w:rsid w:val="0033072E"/>
    <w:rsid w:val="00332774"/>
    <w:rsid w:val="00333FAA"/>
    <w:rsid w:val="003365B2"/>
    <w:rsid w:val="00336675"/>
    <w:rsid w:val="003372DF"/>
    <w:rsid w:val="00340074"/>
    <w:rsid w:val="003405B8"/>
    <w:rsid w:val="00342A5F"/>
    <w:rsid w:val="00343243"/>
    <w:rsid w:val="0034370D"/>
    <w:rsid w:val="00344B08"/>
    <w:rsid w:val="00345991"/>
    <w:rsid w:val="00346562"/>
    <w:rsid w:val="00351AAB"/>
    <w:rsid w:val="00351E51"/>
    <w:rsid w:val="00356575"/>
    <w:rsid w:val="0035716E"/>
    <w:rsid w:val="0036017A"/>
    <w:rsid w:val="00360768"/>
    <w:rsid w:val="00362787"/>
    <w:rsid w:val="00371BD4"/>
    <w:rsid w:val="00373448"/>
    <w:rsid w:val="00374001"/>
    <w:rsid w:val="00375924"/>
    <w:rsid w:val="00380243"/>
    <w:rsid w:val="00383D36"/>
    <w:rsid w:val="003859B6"/>
    <w:rsid w:val="00386AE8"/>
    <w:rsid w:val="003878E1"/>
    <w:rsid w:val="00391B99"/>
    <w:rsid w:val="00391F23"/>
    <w:rsid w:val="003921A7"/>
    <w:rsid w:val="00392A8F"/>
    <w:rsid w:val="00393083"/>
    <w:rsid w:val="003A057F"/>
    <w:rsid w:val="003A0DA4"/>
    <w:rsid w:val="003A14BC"/>
    <w:rsid w:val="003A30F3"/>
    <w:rsid w:val="003A3ADD"/>
    <w:rsid w:val="003A47D4"/>
    <w:rsid w:val="003A68BF"/>
    <w:rsid w:val="003A7EFE"/>
    <w:rsid w:val="003B0DE2"/>
    <w:rsid w:val="003B57C7"/>
    <w:rsid w:val="003B6761"/>
    <w:rsid w:val="003B6E58"/>
    <w:rsid w:val="003C4D52"/>
    <w:rsid w:val="003C699E"/>
    <w:rsid w:val="003C7D32"/>
    <w:rsid w:val="003D3065"/>
    <w:rsid w:val="003D4EB3"/>
    <w:rsid w:val="003D5B5A"/>
    <w:rsid w:val="003D68B0"/>
    <w:rsid w:val="003E20D5"/>
    <w:rsid w:val="003E4275"/>
    <w:rsid w:val="003E4EB2"/>
    <w:rsid w:val="003E7E26"/>
    <w:rsid w:val="003E7EBE"/>
    <w:rsid w:val="003F0CD3"/>
    <w:rsid w:val="003F54CB"/>
    <w:rsid w:val="003F5D80"/>
    <w:rsid w:val="004033F5"/>
    <w:rsid w:val="00403BE7"/>
    <w:rsid w:val="00404329"/>
    <w:rsid w:val="004050B7"/>
    <w:rsid w:val="00406107"/>
    <w:rsid w:val="00406B06"/>
    <w:rsid w:val="004076B6"/>
    <w:rsid w:val="00410902"/>
    <w:rsid w:val="00410CDD"/>
    <w:rsid w:val="00410E1D"/>
    <w:rsid w:val="00411594"/>
    <w:rsid w:val="00411A50"/>
    <w:rsid w:val="004134E1"/>
    <w:rsid w:val="0041481C"/>
    <w:rsid w:val="004177BE"/>
    <w:rsid w:val="00417E2B"/>
    <w:rsid w:val="00422921"/>
    <w:rsid w:val="0042451B"/>
    <w:rsid w:val="004247AA"/>
    <w:rsid w:val="00424F34"/>
    <w:rsid w:val="00430CCF"/>
    <w:rsid w:val="00432216"/>
    <w:rsid w:val="004338E5"/>
    <w:rsid w:val="004367B2"/>
    <w:rsid w:val="0044078B"/>
    <w:rsid w:val="00442329"/>
    <w:rsid w:val="0044629A"/>
    <w:rsid w:val="00450746"/>
    <w:rsid w:val="00451F24"/>
    <w:rsid w:val="00452056"/>
    <w:rsid w:val="004525F5"/>
    <w:rsid w:val="004550F6"/>
    <w:rsid w:val="00455D35"/>
    <w:rsid w:val="004561F3"/>
    <w:rsid w:val="00456D95"/>
    <w:rsid w:val="00462ED9"/>
    <w:rsid w:val="00463A7C"/>
    <w:rsid w:val="00467527"/>
    <w:rsid w:val="004679AD"/>
    <w:rsid w:val="00471D1C"/>
    <w:rsid w:val="004726B9"/>
    <w:rsid w:val="004731C9"/>
    <w:rsid w:val="004735CD"/>
    <w:rsid w:val="00475049"/>
    <w:rsid w:val="00475B65"/>
    <w:rsid w:val="004765E0"/>
    <w:rsid w:val="00477910"/>
    <w:rsid w:val="00481B53"/>
    <w:rsid w:val="00482BA0"/>
    <w:rsid w:val="00482F95"/>
    <w:rsid w:val="00483329"/>
    <w:rsid w:val="004844FA"/>
    <w:rsid w:val="0048741E"/>
    <w:rsid w:val="004900AA"/>
    <w:rsid w:val="00494B95"/>
    <w:rsid w:val="0049563D"/>
    <w:rsid w:val="00495C34"/>
    <w:rsid w:val="004979C7"/>
    <w:rsid w:val="004A100F"/>
    <w:rsid w:val="004A51BA"/>
    <w:rsid w:val="004A550A"/>
    <w:rsid w:val="004B29DD"/>
    <w:rsid w:val="004B2CB9"/>
    <w:rsid w:val="004B374F"/>
    <w:rsid w:val="004B4856"/>
    <w:rsid w:val="004B5C27"/>
    <w:rsid w:val="004B6CB6"/>
    <w:rsid w:val="004B6D08"/>
    <w:rsid w:val="004B7339"/>
    <w:rsid w:val="004C1C0E"/>
    <w:rsid w:val="004C43F7"/>
    <w:rsid w:val="004C49D6"/>
    <w:rsid w:val="004D0E2A"/>
    <w:rsid w:val="004D397A"/>
    <w:rsid w:val="004D7C36"/>
    <w:rsid w:val="004E4AAC"/>
    <w:rsid w:val="004E58D0"/>
    <w:rsid w:val="004E72BB"/>
    <w:rsid w:val="004F0372"/>
    <w:rsid w:val="004F18C0"/>
    <w:rsid w:val="004F20B9"/>
    <w:rsid w:val="004F2C02"/>
    <w:rsid w:val="004F2CB3"/>
    <w:rsid w:val="004F3B23"/>
    <w:rsid w:val="004F4CB2"/>
    <w:rsid w:val="004F5C41"/>
    <w:rsid w:val="004F7ECD"/>
    <w:rsid w:val="0050347B"/>
    <w:rsid w:val="00503B07"/>
    <w:rsid w:val="005059C1"/>
    <w:rsid w:val="00506393"/>
    <w:rsid w:val="00506D66"/>
    <w:rsid w:val="005072B2"/>
    <w:rsid w:val="005078A1"/>
    <w:rsid w:val="00515421"/>
    <w:rsid w:val="00516C6F"/>
    <w:rsid w:val="0051728B"/>
    <w:rsid w:val="0052572E"/>
    <w:rsid w:val="00525D1A"/>
    <w:rsid w:val="005301C1"/>
    <w:rsid w:val="005302B5"/>
    <w:rsid w:val="0053213F"/>
    <w:rsid w:val="005403CC"/>
    <w:rsid w:val="0054093C"/>
    <w:rsid w:val="00540AB4"/>
    <w:rsid w:val="00542D64"/>
    <w:rsid w:val="00545237"/>
    <w:rsid w:val="005461CC"/>
    <w:rsid w:val="005472D6"/>
    <w:rsid w:val="005502B4"/>
    <w:rsid w:val="00551016"/>
    <w:rsid w:val="00552B20"/>
    <w:rsid w:val="005532AD"/>
    <w:rsid w:val="0055418D"/>
    <w:rsid w:val="0055429E"/>
    <w:rsid w:val="00556CDE"/>
    <w:rsid w:val="00557A66"/>
    <w:rsid w:val="0056592D"/>
    <w:rsid w:val="00566D01"/>
    <w:rsid w:val="005702CB"/>
    <w:rsid w:val="005725BF"/>
    <w:rsid w:val="00572766"/>
    <w:rsid w:val="00572C7E"/>
    <w:rsid w:val="00574736"/>
    <w:rsid w:val="005764D9"/>
    <w:rsid w:val="0057701F"/>
    <w:rsid w:val="005804F8"/>
    <w:rsid w:val="00583540"/>
    <w:rsid w:val="00584840"/>
    <w:rsid w:val="00584B2A"/>
    <w:rsid w:val="005871ED"/>
    <w:rsid w:val="00590493"/>
    <w:rsid w:val="00593B01"/>
    <w:rsid w:val="00594397"/>
    <w:rsid w:val="00595B59"/>
    <w:rsid w:val="00597004"/>
    <w:rsid w:val="005A0323"/>
    <w:rsid w:val="005A0385"/>
    <w:rsid w:val="005A078B"/>
    <w:rsid w:val="005A110D"/>
    <w:rsid w:val="005A2B25"/>
    <w:rsid w:val="005A652B"/>
    <w:rsid w:val="005B08A0"/>
    <w:rsid w:val="005B08C5"/>
    <w:rsid w:val="005B097A"/>
    <w:rsid w:val="005B1274"/>
    <w:rsid w:val="005B1694"/>
    <w:rsid w:val="005B2FED"/>
    <w:rsid w:val="005B32B4"/>
    <w:rsid w:val="005B331F"/>
    <w:rsid w:val="005C3598"/>
    <w:rsid w:val="005C48B1"/>
    <w:rsid w:val="005C5937"/>
    <w:rsid w:val="005C6466"/>
    <w:rsid w:val="005D0338"/>
    <w:rsid w:val="005D13EB"/>
    <w:rsid w:val="005D628E"/>
    <w:rsid w:val="005D6421"/>
    <w:rsid w:val="005D7EFB"/>
    <w:rsid w:val="005E0206"/>
    <w:rsid w:val="005E0FFC"/>
    <w:rsid w:val="005E117D"/>
    <w:rsid w:val="005E1415"/>
    <w:rsid w:val="005E42C0"/>
    <w:rsid w:val="005F0098"/>
    <w:rsid w:val="005F0BE3"/>
    <w:rsid w:val="005F16C8"/>
    <w:rsid w:val="005F2936"/>
    <w:rsid w:val="005F2FD8"/>
    <w:rsid w:val="005F7788"/>
    <w:rsid w:val="00600452"/>
    <w:rsid w:val="00602636"/>
    <w:rsid w:val="00602BBE"/>
    <w:rsid w:val="006037C3"/>
    <w:rsid w:val="00604DCA"/>
    <w:rsid w:val="00613285"/>
    <w:rsid w:val="00620048"/>
    <w:rsid w:val="00620FA6"/>
    <w:rsid w:val="00622195"/>
    <w:rsid w:val="006249BD"/>
    <w:rsid w:val="00624E24"/>
    <w:rsid w:val="00625772"/>
    <w:rsid w:val="00627895"/>
    <w:rsid w:val="006317BF"/>
    <w:rsid w:val="00631816"/>
    <w:rsid w:val="0063266C"/>
    <w:rsid w:val="00633A16"/>
    <w:rsid w:val="00634911"/>
    <w:rsid w:val="00634A03"/>
    <w:rsid w:val="006353D1"/>
    <w:rsid w:val="00642F42"/>
    <w:rsid w:val="00643958"/>
    <w:rsid w:val="00645346"/>
    <w:rsid w:val="006464A8"/>
    <w:rsid w:val="00651E6F"/>
    <w:rsid w:val="00653212"/>
    <w:rsid w:val="00654A50"/>
    <w:rsid w:val="00656AD1"/>
    <w:rsid w:val="006601A5"/>
    <w:rsid w:val="00660684"/>
    <w:rsid w:val="00661B81"/>
    <w:rsid w:val="00662161"/>
    <w:rsid w:val="0066267E"/>
    <w:rsid w:val="00662E28"/>
    <w:rsid w:val="00663998"/>
    <w:rsid w:val="006645D8"/>
    <w:rsid w:val="00665626"/>
    <w:rsid w:val="00666C04"/>
    <w:rsid w:val="00667E2A"/>
    <w:rsid w:val="00670F27"/>
    <w:rsid w:val="00671F04"/>
    <w:rsid w:val="0067238A"/>
    <w:rsid w:val="00674310"/>
    <w:rsid w:val="006746FF"/>
    <w:rsid w:val="006760E9"/>
    <w:rsid w:val="006762E7"/>
    <w:rsid w:val="006768F2"/>
    <w:rsid w:val="006769BE"/>
    <w:rsid w:val="00676B42"/>
    <w:rsid w:val="00681392"/>
    <w:rsid w:val="0068189F"/>
    <w:rsid w:val="0068213D"/>
    <w:rsid w:val="006826AF"/>
    <w:rsid w:val="00682846"/>
    <w:rsid w:val="00682AE5"/>
    <w:rsid w:val="00684DCB"/>
    <w:rsid w:val="006861C0"/>
    <w:rsid w:val="00687017"/>
    <w:rsid w:val="00687104"/>
    <w:rsid w:val="006877F1"/>
    <w:rsid w:val="00687DA1"/>
    <w:rsid w:val="0069177C"/>
    <w:rsid w:val="006933B5"/>
    <w:rsid w:val="006952F9"/>
    <w:rsid w:val="00697C71"/>
    <w:rsid w:val="00697D31"/>
    <w:rsid w:val="006A00B6"/>
    <w:rsid w:val="006A0A58"/>
    <w:rsid w:val="006A0DE0"/>
    <w:rsid w:val="006A0F48"/>
    <w:rsid w:val="006A25FA"/>
    <w:rsid w:val="006A32CD"/>
    <w:rsid w:val="006B2C34"/>
    <w:rsid w:val="006B33D4"/>
    <w:rsid w:val="006B4C2C"/>
    <w:rsid w:val="006B5AED"/>
    <w:rsid w:val="006B6658"/>
    <w:rsid w:val="006B6EDE"/>
    <w:rsid w:val="006C1C03"/>
    <w:rsid w:val="006C1C18"/>
    <w:rsid w:val="006C37F7"/>
    <w:rsid w:val="006C4161"/>
    <w:rsid w:val="006D35A1"/>
    <w:rsid w:val="006D5265"/>
    <w:rsid w:val="006D654B"/>
    <w:rsid w:val="006E0736"/>
    <w:rsid w:val="006E30DA"/>
    <w:rsid w:val="006E3C8B"/>
    <w:rsid w:val="006E43C7"/>
    <w:rsid w:val="006E58C0"/>
    <w:rsid w:val="006E6A8F"/>
    <w:rsid w:val="006E6F43"/>
    <w:rsid w:val="006F16ED"/>
    <w:rsid w:val="006F1A15"/>
    <w:rsid w:val="006F2CEE"/>
    <w:rsid w:val="00700D2E"/>
    <w:rsid w:val="00700F37"/>
    <w:rsid w:val="00701B53"/>
    <w:rsid w:val="00702F9F"/>
    <w:rsid w:val="00712302"/>
    <w:rsid w:val="0071517C"/>
    <w:rsid w:val="00717D42"/>
    <w:rsid w:val="0072372D"/>
    <w:rsid w:val="007241FD"/>
    <w:rsid w:val="007266B0"/>
    <w:rsid w:val="00727BBA"/>
    <w:rsid w:val="00730548"/>
    <w:rsid w:val="0073448B"/>
    <w:rsid w:val="0073515C"/>
    <w:rsid w:val="007361CE"/>
    <w:rsid w:val="00741C87"/>
    <w:rsid w:val="00741CA1"/>
    <w:rsid w:val="007420F7"/>
    <w:rsid w:val="0074243C"/>
    <w:rsid w:val="00742CA3"/>
    <w:rsid w:val="00743CB3"/>
    <w:rsid w:val="00744BF9"/>
    <w:rsid w:val="007458AE"/>
    <w:rsid w:val="00747436"/>
    <w:rsid w:val="0074752B"/>
    <w:rsid w:val="00750422"/>
    <w:rsid w:val="00751716"/>
    <w:rsid w:val="00755598"/>
    <w:rsid w:val="00757C6A"/>
    <w:rsid w:val="00760A92"/>
    <w:rsid w:val="00760A9F"/>
    <w:rsid w:val="00760F89"/>
    <w:rsid w:val="007618BB"/>
    <w:rsid w:val="00762C55"/>
    <w:rsid w:val="007643DF"/>
    <w:rsid w:val="00766075"/>
    <w:rsid w:val="0076657B"/>
    <w:rsid w:val="00766E7D"/>
    <w:rsid w:val="007707F1"/>
    <w:rsid w:val="00770980"/>
    <w:rsid w:val="00770B5E"/>
    <w:rsid w:val="00771393"/>
    <w:rsid w:val="0077404F"/>
    <w:rsid w:val="00776A44"/>
    <w:rsid w:val="00777ECE"/>
    <w:rsid w:val="007803A4"/>
    <w:rsid w:val="00780C97"/>
    <w:rsid w:val="0078222A"/>
    <w:rsid w:val="0078297A"/>
    <w:rsid w:val="00782C59"/>
    <w:rsid w:val="00785ED0"/>
    <w:rsid w:val="00786190"/>
    <w:rsid w:val="00786738"/>
    <w:rsid w:val="007874A2"/>
    <w:rsid w:val="007916EA"/>
    <w:rsid w:val="00791C34"/>
    <w:rsid w:val="007A1002"/>
    <w:rsid w:val="007A1FCF"/>
    <w:rsid w:val="007A3B64"/>
    <w:rsid w:val="007A44F4"/>
    <w:rsid w:val="007A519C"/>
    <w:rsid w:val="007A60EA"/>
    <w:rsid w:val="007B076F"/>
    <w:rsid w:val="007B1AC9"/>
    <w:rsid w:val="007B34EA"/>
    <w:rsid w:val="007B5691"/>
    <w:rsid w:val="007C2512"/>
    <w:rsid w:val="007C27C0"/>
    <w:rsid w:val="007C3C9D"/>
    <w:rsid w:val="007C56FC"/>
    <w:rsid w:val="007C582C"/>
    <w:rsid w:val="007C61EC"/>
    <w:rsid w:val="007D0181"/>
    <w:rsid w:val="007D081F"/>
    <w:rsid w:val="007D12B4"/>
    <w:rsid w:val="007D18FF"/>
    <w:rsid w:val="007D1EA7"/>
    <w:rsid w:val="007D2850"/>
    <w:rsid w:val="007D28E2"/>
    <w:rsid w:val="007D3664"/>
    <w:rsid w:val="007D523F"/>
    <w:rsid w:val="007D7BA7"/>
    <w:rsid w:val="007E432A"/>
    <w:rsid w:val="007E585E"/>
    <w:rsid w:val="007F0ABD"/>
    <w:rsid w:val="007F17D4"/>
    <w:rsid w:val="007F270B"/>
    <w:rsid w:val="007F73EC"/>
    <w:rsid w:val="007F74DA"/>
    <w:rsid w:val="007F797B"/>
    <w:rsid w:val="0080011A"/>
    <w:rsid w:val="0080043E"/>
    <w:rsid w:val="00801BF0"/>
    <w:rsid w:val="00801DA7"/>
    <w:rsid w:val="008052B4"/>
    <w:rsid w:val="00805918"/>
    <w:rsid w:val="00805CDB"/>
    <w:rsid w:val="00807D76"/>
    <w:rsid w:val="008148E0"/>
    <w:rsid w:val="00815F14"/>
    <w:rsid w:val="00817149"/>
    <w:rsid w:val="00823329"/>
    <w:rsid w:val="00824CFF"/>
    <w:rsid w:val="0082656B"/>
    <w:rsid w:val="008265CF"/>
    <w:rsid w:val="008350E4"/>
    <w:rsid w:val="00840C2F"/>
    <w:rsid w:val="00840EDD"/>
    <w:rsid w:val="008422AA"/>
    <w:rsid w:val="0084262E"/>
    <w:rsid w:val="00842C83"/>
    <w:rsid w:val="00843A53"/>
    <w:rsid w:val="00843DB4"/>
    <w:rsid w:val="00846926"/>
    <w:rsid w:val="00851271"/>
    <w:rsid w:val="00851AE1"/>
    <w:rsid w:val="00851CAC"/>
    <w:rsid w:val="00854E93"/>
    <w:rsid w:val="00855B55"/>
    <w:rsid w:val="008563DF"/>
    <w:rsid w:val="0086249B"/>
    <w:rsid w:val="00863A7A"/>
    <w:rsid w:val="00865B7C"/>
    <w:rsid w:val="00870977"/>
    <w:rsid w:val="0087097C"/>
    <w:rsid w:val="0087220F"/>
    <w:rsid w:val="008731BC"/>
    <w:rsid w:val="00874A3E"/>
    <w:rsid w:val="00875362"/>
    <w:rsid w:val="00875B6C"/>
    <w:rsid w:val="00876FD1"/>
    <w:rsid w:val="00882CDB"/>
    <w:rsid w:val="0088482E"/>
    <w:rsid w:val="0088536E"/>
    <w:rsid w:val="00887248"/>
    <w:rsid w:val="00890902"/>
    <w:rsid w:val="00890B20"/>
    <w:rsid w:val="00891227"/>
    <w:rsid w:val="00893285"/>
    <w:rsid w:val="008952F7"/>
    <w:rsid w:val="00895CBA"/>
    <w:rsid w:val="00897B19"/>
    <w:rsid w:val="008A09A1"/>
    <w:rsid w:val="008A4B7F"/>
    <w:rsid w:val="008B16AB"/>
    <w:rsid w:val="008B369D"/>
    <w:rsid w:val="008B5444"/>
    <w:rsid w:val="008C007B"/>
    <w:rsid w:val="008C1A6C"/>
    <w:rsid w:val="008C2970"/>
    <w:rsid w:val="008C4B91"/>
    <w:rsid w:val="008C5D8E"/>
    <w:rsid w:val="008D0FA1"/>
    <w:rsid w:val="008D1DB4"/>
    <w:rsid w:val="008D3E11"/>
    <w:rsid w:val="008D4729"/>
    <w:rsid w:val="008E0538"/>
    <w:rsid w:val="008E181D"/>
    <w:rsid w:val="008E2048"/>
    <w:rsid w:val="008E2339"/>
    <w:rsid w:val="008E4BD5"/>
    <w:rsid w:val="008F0837"/>
    <w:rsid w:val="008F184D"/>
    <w:rsid w:val="008F4213"/>
    <w:rsid w:val="008F43FF"/>
    <w:rsid w:val="008F652A"/>
    <w:rsid w:val="008F7A3D"/>
    <w:rsid w:val="008F7F05"/>
    <w:rsid w:val="008F7F73"/>
    <w:rsid w:val="0090557D"/>
    <w:rsid w:val="0090628A"/>
    <w:rsid w:val="00906338"/>
    <w:rsid w:val="009067AA"/>
    <w:rsid w:val="00907F32"/>
    <w:rsid w:val="0091146B"/>
    <w:rsid w:val="009118FD"/>
    <w:rsid w:val="00912060"/>
    <w:rsid w:val="00914539"/>
    <w:rsid w:val="009171CA"/>
    <w:rsid w:val="009174C5"/>
    <w:rsid w:val="00920094"/>
    <w:rsid w:val="009216D3"/>
    <w:rsid w:val="00921B6C"/>
    <w:rsid w:val="009227E4"/>
    <w:rsid w:val="00922903"/>
    <w:rsid w:val="00927C4D"/>
    <w:rsid w:val="009335AE"/>
    <w:rsid w:val="00933785"/>
    <w:rsid w:val="00934850"/>
    <w:rsid w:val="00935F0F"/>
    <w:rsid w:val="0094491A"/>
    <w:rsid w:val="00945F09"/>
    <w:rsid w:val="009508B8"/>
    <w:rsid w:val="0095262F"/>
    <w:rsid w:val="00955789"/>
    <w:rsid w:val="00957009"/>
    <w:rsid w:val="009618CD"/>
    <w:rsid w:val="00961A09"/>
    <w:rsid w:val="0096225F"/>
    <w:rsid w:val="009643B0"/>
    <w:rsid w:val="00965793"/>
    <w:rsid w:val="00965CF8"/>
    <w:rsid w:val="00965DA4"/>
    <w:rsid w:val="009675D6"/>
    <w:rsid w:val="00970497"/>
    <w:rsid w:val="00971D56"/>
    <w:rsid w:val="00972761"/>
    <w:rsid w:val="009731CE"/>
    <w:rsid w:val="009756E1"/>
    <w:rsid w:val="00976EF1"/>
    <w:rsid w:val="00977C9A"/>
    <w:rsid w:val="00982FEC"/>
    <w:rsid w:val="00983DE2"/>
    <w:rsid w:val="009844A2"/>
    <w:rsid w:val="009846E7"/>
    <w:rsid w:val="00984958"/>
    <w:rsid w:val="0098768A"/>
    <w:rsid w:val="00987D4D"/>
    <w:rsid w:val="00990668"/>
    <w:rsid w:val="009909FE"/>
    <w:rsid w:val="009955D3"/>
    <w:rsid w:val="00995ACA"/>
    <w:rsid w:val="00997756"/>
    <w:rsid w:val="009A0023"/>
    <w:rsid w:val="009A0D70"/>
    <w:rsid w:val="009A22CD"/>
    <w:rsid w:val="009A2AC6"/>
    <w:rsid w:val="009A633B"/>
    <w:rsid w:val="009A7828"/>
    <w:rsid w:val="009B0263"/>
    <w:rsid w:val="009B6341"/>
    <w:rsid w:val="009B7507"/>
    <w:rsid w:val="009C0EC5"/>
    <w:rsid w:val="009C4A16"/>
    <w:rsid w:val="009C76C6"/>
    <w:rsid w:val="009D192D"/>
    <w:rsid w:val="009E2FE7"/>
    <w:rsid w:val="009E394F"/>
    <w:rsid w:val="009E76FB"/>
    <w:rsid w:val="009E7A63"/>
    <w:rsid w:val="009F1438"/>
    <w:rsid w:val="009F26D0"/>
    <w:rsid w:val="009F7EAD"/>
    <w:rsid w:val="00A041F4"/>
    <w:rsid w:val="00A061E6"/>
    <w:rsid w:val="00A06323"/>
    <w:rsid w:val="00A07EB9"/>
    <w:rsid w:val="00A11276"/>
    <w:rsid w:val="00A11910"/>
    <w:rsid w:val="00A119B8"/>
    <w:rsid w:val="00A13006"/>
    <w:rsid w:val="00A1513C"/>
    <w:rsid w:val="00A153E5"/>
    <w:rsid w:val="00A162A2"/>
    <w:rsid w:val="00A16417"/>
    <w:rsid w:val="00A170DE"/>
    <w:rsid w:val="00A20A71"/>
    <w:rsid w:val="00A21A17"/>
    <w:rsid w:val="00A22586"/>
    <w:rsid w:val="00A225B4"/>
    <w:rsid w:val="00A251E6"/>
    <w:rsid w:val="00A267A9"/>
    <w:rsid w:val="00A27776"/>
    <w:rsid w:val="00A30D6A"/>
    <w:rsid w:val="00A32E15"/>
    <w:rsid w:val="00A4041B"/>
    <w:rsid w:val="00A408D6"/>
    <w:rsid w:val="00A415E2"/>
    <w:rsid w:val="00A4200E"/>
    <w:rsid w:val="00A42AF4"/>
    <w:rsid w:val="00A42CA7"/>
    <w:rsid w:val="00A43A1F"/>
    <w:rsid w:val="00A45982"/>
    <w:rsid w:val="00A46330"/>
    <w:rsid w:val="00A47534"/>
    <w:rsid w:val="00A50C8D"/>
    <w:rsid w:val="00A56BFB"/>
    <w:rsid w:val="00A57917"/>
    <w:rsid w:val="00A614CA"/>
    <w:rsid w:val="00A630B7"/>
    <w:rsid w:val="00A6503A"/>
    <w:rsid w:val="00A65067"/>
    <w:rsid w:val="00A6520F"/>
    <w:rsid w:val="00A65A19"/>
    <w:rsid w:val="00A669E7"/>
    <w:rsid w:val="00A735A9"/>
    <w:rsid w:val="00A73DEC"/>
    <w:rsid w:val="00A7409E"/>
    <w:rsid w:val="00A7461A"/>
    <w:rsid w:val="00A74BE4"/>
    <w:rsid w:val="00A753E5"/>
    <w:rsid w:val="00A75432"/>
    <w:rsid w:val="00A75A91"/>
    <w:rsid w:val="00A77DFF"/>
    <w:rsid w:val="00A801B7"/>
    <w:rsid w:val="00A80527"/>
    <w:rsid w:val="00A808E3"/>
    <w:rsid w:val="00A81984"/>
    <w:rsid w:val="00A82961"/>
    <w:rsid w:val="00A844C7"/>
    <w:rsid w:val="00A85AC2"/>
    <w:rsid w:val="00A8634F"/>
    <w:rsid w:val="00A93CAD"/>
    <w:rsid w:val="00A95239"/>
    <w:rsid w:val="00A964C7"/>
    <w:rsid w:val="00A964CA"/>
    <w:rsid w:val="00A96A7B"/>
    <w:rsid w:val="00AA1A32"/>
    <w:rsid w:val="00AA3A63"/>
    <w:rsid w:val="00AA43C2"/>
    <w:rsid w:val="00AA588C"/>
    <w:rsid w:val="00AA73AA"/>
    <w:rsid w:val="00AA7431"/>
    <w:rsid w:val="00AA78FF"/>
    <w:rsid w:val="00AB259C"/>
    <w:rsid w:val="00AB2694"/>
    <w:rsid w:val="00AB295A"/>
    <w:rsid w:val="00AB6D62"/>
    <w:rsid w:val="00AB77DE"/>
    <w:rsid w:val="00AC1640"/>
    <w:rsid w:val="00AC2DCE"/>
    <w:rsid w:val="00AC4125"/>
    <w:rsid w:val="00AC4AC7"/>
    <w:rsid w:val="00AC4ED9"/>
    <w:rsid w:val="00AC73FF"/>
    <w:rsid w:val="00AD02CB"/>
    <w:rsid w:val="00AD12A9"/>
    <w:rsid w:val="00AD31C8"/>
    <w:rsid w:val="00AD43BF"/>
    <w:rsid w:val="00AD50B6"/>
    <w:rsid w:val="00AD64AC"/>
    <w:rsid w:val="00AD6C3A"/>
    <w:rsid w:val="00AD7E93"/>
    <w:rsid w:val="00AE06AC"/>
    <w:rsid w:val="00AE301B"/>
    <w:rsid w:val="00AE34EE"/>
    <w:rsid w:val="00AE5847"/>
    <w:rsid w:val="00AF4DD3"/>
    <w:rsid w:val="00AF5B93"/>
    <w:rsid w:val="00AF60D5"/>
    <w:rsid w:val="00AF6864"/>
    <w:rsid w:val="00B05A7D"/>
    <w:rsid w:val="00B078B3"/>
    <w:rsid w:val="00B11E19"/>
    <w:rsid w:val="00B13D10"/>
    <w:rsid w:val="00B17C1B"/>
    <w:rsid w:val="00B20CFF"/>
    <w:rsid w:val="00B21A42"/>
    <w:rsid w:val="00B22AA9"/>
    <w:rsid w:val="00B22D26"/>
    <w:rsid w:val="00B2421F"/>
    <w:rsid w:val="00B31E8B"/>
    <w:rsid w:val="00B35295"/>
    <w:rsid w:val="00B40774"/>
    <w:rsid w:val="00B4475D"/>
    <w:rsid w:val="00B4619D"/>
    <w:rsid w:val="00B466FC"/>
    <w:rsid w:val="00B501CB"/>
    <w:rsid w:val="00B50C19"/>
    <w:rsid w:val="00B528A0"/>
    <w:rsid w:val="00B55B88"/>
    <w:rsid w:val="00B563C3"/>
    <w:rsid w:val="00B609FF"/>
    <w:rsid w:val="00B6142B"/>
    <w:rsid w:val="00B617B3"/>
    <w:rsid w:val="00B63F0E"/>
    <w:rsid w:val="00B669C9"/>
    <w:rsid w:val="00B72256"/>
    <w:rsid w:val="00B73564"/>
    <w:rsid w:val="00B75965"/>
    <w:rsid w:val="00B7600F"/>
    <w:rsid w:val="00B76821"/>
    <w:rsid w:val="00B77269"/>
    <w:rsid w:val="00B8061A"/>
    <w:rsid w:val="00B818DB"/>
    <w:rsid w:val="00B81E4D"/>
    <w:rsid w:val="00B828AF"/>
    <w:rsid w:val="00B861EA"/>
    <w:rsid w:val="00B873C3"/>
    <w:rsid w:val="00B877B9"/>
    <w:rsid w:val="00B90CE9"/>
    <w:rsid w:val="00B90DBB"/>
    <w:rsid w:val="00BA0BFE"/>
    <w:rsid w:val="00BA1228"/>
    <w:rsid w:val="00BA24F0"/>
    <w:rsid w:val="00BA4011"/>
    <w:rsid w:val="00BA4CAF"/>
    <w:rsid w:val="00BA589E"/>
    <w:rsid w:val="00BA7575"/>
    <w:rsid w:val="00BB09A9"/>
    <w:rsid w:val="00BB0A2E"/>
    <w:rsid w:val="00BB0EE1"/>
    <w:rsid w:val="00BB0F8B"/>
    <w:rsid w:val="00BB2497"/>
    <w:rsid w:val="00BB49FA"/>
    <w:rsid w:val="00BB4BB8"/>
    <w:rsid w:val="00BB73B2"/>
    <w:rsid w:val="00BC0C61"/>
    <w:rsid w:val="00BC2EF0"/>
    <w:rsid w:val="00BC4480"/>
    <w:rsid w:val="00BD0F74"/>
    <w:rsid w:val="00BD1E9D"/>
    <w:rsid w:val="00BD36C2"/>
    <w:rsid w:val="00BD491E"/>
    <w:rsid w:val="00BF06C9"/>
    <w:rsid w:val="00BF07A2"/>
    <w:rsid w:val="00BF0857"/>
    <w:rsid w:val="00BF14CB"/>
    <w:rsid w:val="00BF305D"/>
    <w:rsid w:val="00BF3945"/>
    <w:rsid w:val="00BF3C4D"/>
    <w:rsid w:val="00BF7184"/>
    <w:rsid w:val="00BF7554"/>
    <w:rsid w:val="00C00CDA"/>
    <w:rsid w:val="00C02585"/>
    <w:rsid w:val="00C029BB"/>
    <w:rsid w:val="00C066AE"/>
    <w:rsid w:val="00C066C0"/>
    <w:rsid w:val="00C117E3"/>
    <w:rsid w:val="00C128C7"/>
    <w:rsid w:val="00C148F9"/>
    <w:rsid w:val="00C15327"/>
    <w:rsid w:val="00C16C56"/>
    <w:rsid w:val="00C203EB"/>
    <w:rsid w:val="00C208E4"/>
    <w:rsid w:val="00C23BC0"/>
    <w:rsid w:val="00C23FA8"/>
    <w:rsid w:val="00C26FF7"/>
    <w:rsid w:val="00C319AC"/>
    <w:rsid w:val="00C319EF"/>
    <w:rsid w:val="00C34B19"/>
    <w:rsid w:val="00C35630"/>
    <w:rsid w:val="00C37C02"/>
    <w:rsid w:val="00C40886"/>
    <w:rsid w:val="00C4088E"/>
    <w:rsid w:val="00C41D3A"/>
    <w:rsid w:val="00C42B66"/>
    <w:rsid w:val="00C44C03"/>
    <w:rsid w:val="00C55AE2"/>
    <w:rsid w:val="00C572AE"/>
    <w:rsid w:val="00C61BFB"/>
    <w:rsid w:val="00C63262"/>
    <w:rsid w:val="00C715D5"/>
    <w:rsid w:val="00C71CBE"/>
    <w:rsid w:val="00C71EAF"/>
    <w:rsid w:val="00C72650"/>
    <w:rsid w:val="00C72D81"/>
    <w:rsid w:val="00C74423"/>
    <w:rsid w:val="00C76483"/>
    <w:rsid w:val="00C7654B"/>
    <w:rsid w:val="00C76A46"/>
    <w:rsid w:val="00C80C6C"/>
    <w:rsid w:val="00C82375"/>
    <w:rsid w:val="00C82F50"/>
    <w:rsid w:val="00C83ABF"/>
    <w:rsid w:val="00C85246"/>
    <w:rsid w:val="00C855B1"/>
    <w:rsid w:val="00C90949"/>
    <w:rsid w:val="00C96921"/>
    <w:rsid w:val="00C974D1"/>
    <w:rsid w:val="00C975E5"/>
    <w:rsid w:val="00CA002C"/>
    <w:rsid w:val="00CA5158"/>
    <w:rsid w:val="00CA6A84"/>
    <w:rsid w:val="00CB4AAB"/>
    <w:rsid w:val="00CB5F51"/>
    <w:rsid w:val="00CC0981"/>
    <w:rsid w:val="00CC3B6A"/>
    <w:rsid w:val="00CC4056"/>
    <w:rsid w:val="00CC4DE0"/>
    <w:rsid w:val="00CC51F3"/>
    <w:rsid w:val="00CC56C7"/>
    <w:rsid w:val="00CC61AE"/>
    <w:rsid w:val="00CD1677"/>
    <w:rsid w:val="00CD1A54"/>
    <w:rsid w:val="00CD1FBD"/>
    <w:rsid w:val="00CD5D36"/>
    <w:rsid w:val="00CD6F84"/>
    <w:rsid w:val="00CD7286"/>
    <w:rsid w:val="00CE0479"/>
    <w:rsid w:val="00CE161F"/>
    <w:rsid w:val="00CE4AB2"/>
    <w:rsid w:val="00CF1C0A"/>
    <w:rsid w:val="00CF4796"/>
    <w:rsid w:val="00CF48C9"/>
    <w:rsid w:val="00CF61E7"/>
    <w:rsid w:val="00CF61F9"/>
    <w:rsid w:val="00CF6CD7"/>
    <w:rsid w:val="00CF6F28"/>
    <w:rsid w:val="00D03CF2"/>
    <w:rsid w:val="00D04122"/>
    <w:rsid w:val="00D04125"/>
    <w:rsid w:val="00D07C24"/>
    <w:rsid w:val="00D126FF"/>
    <w:rsid w:val="00D127C1"/>
    <w:rsid w:val="00D138F8"/>
    <w:rsid w:val="00D142E6"/>
    <w:rsid w:val="00D15EC4"/>
    <w:rsid w:val="00D16DDD"/>
    <w:rsid w:val="00D20C83"/>
    <w:rsid w:val="00D214AC"/>
    <w:rsid w:val="00D216F7"/>
    <w:rsid w:val="00D22B05"/>
    <w:rsid w:val="00D243B6"/>
    <w:rsid w:val="00D24D7B"/>
    <w:rsid w:val="00D26E10"/>
    <w:rsid w:val="00D27DF2"/>
    <w:rsid w:val="00D318B7"/>
    <w:rsid w:val="00D33079"/>
    <w:rsid w:val="00D3416D"/>
    <w:rsid w:val="00D36CC5"/>
    <w:rsid w:val="00D36CD7"/>
    <w:rsid w:val="00D36FC9"/>
    <w:rsid w:val="00D415B2"/>
    <w:rsid w:val="00D4417D"/>
    <w:rsid w:val="00D4628F"/>
    <w:rsid w:val="00D5153C"/>
    <w:rsid w:val="00D53361"/>
    <w:rsid w:val="00D53B1A"/>
    <w:rsid w:val="00D55671"/>
    <w:rsid w:val="00D557B2"/>
    <w:rsid w:val="00D56C78"/>
    <w:rsid w:val="00D57C3B"/>
    <w:rsid w:val="00D60928"/>
    <w:rsid w:val="00D716DA"/>
    <w:rsid w:val="00D7521D"/>
    <w:rsid w:val="00D76CC5"/>
    <w:rsid w:val="00D82A2F"/>
    <w:rsid w:val="00D832EB"/>
    <w:rsid w:val="00D83518"/>
    <w:rsid w:val="00D85002"/>
    <w:rsid w:val="00D8537B"/>
    <w:rsid w:val="00D87482"/>
    <w:rsid w:val="00D877F3"/>
    <w:rsid w:val="00D8791E"/>
    <w:rsid w:val="00D9122C"/>
    <w:rsid w:val="00D9400F"/>
    <w:rsid w:val="00D95668"/>
    <w:rsid w:val="00D957EE"/>
    <w:rsid w:val="00D96CAC"/>
    <w:rsid w:val="00D974D2"/>
    <w:rsid w:val="00D97EC9"/>
    <w:rsid w:val="00D97ECC"/>
    <w:rsid w:val="00DA33FD"/>
    <w:rsid w:val="00DA5047"/>
    <w:rsid w:val="00DA5789"/>
    <w:rsid w:val="00DA6798"/>
    <w:rsid w:val="00DB029F"/>
    <w:rsid w:val="00DB0F41"/>
    <w:rsid w:val="00DB1104"/>
    <w:rsid w:val="00DB3189"/>
    <w:rsid w:val="00DB34CD"/>
    <w:rsid w:val="00DB3854"/>
    <w:rsid w:val="00DB5FF0"/>
    <w:rsid w:val="00DB64CD"/>
    <w:rsid w:val="00DB68EA"/>
    <w:rsid w:val="00DC0546"/>
    <w:rsid w:val="00DC1194"/>
    <w:rsid w:val="00DC25F0"/>
    <w:rsid w:val="00DC346E"/>
    <w:rsid w:val="00DC3DC9"/>
    <w:rsid w:val="00DC46D9"/>
    <w:rsid w:val="00DC5242"/>
    <w:rsid w:val="00DC6D6D"/>
    <w:rsid w:val="00DC7AB3"/>
    <w:rsid w:val="00DD05D6"/>
    <w:rsid w:val="00DD12A3"/>
    <w:rsid w:val="00DD1E94"/>
    <w:rsid w:val="00DE10C3"/>
    <w:rsid w:val="00DE53F3"/>
    <w:rsid w:val="00DE680F"/>
    <w:rsid w:val="00DE799C"/>
    <w:rsid w:val="00DF1F7E"/>
    <w:rsid w:val="00DF1FA9"/>
    <w:rsid w:val="00DF2845"/>
    <w:rsid w:val="00DF48CD"/>
    <w:rsid w:val="00DF5500"/>
    <w:rsid w:val="00DF5F32"/>
    <w:rsid w:val="00E0091A"/>
    <w:rsid w:val="00E01818"/>
    <w:rsid w:val="00E01F07"/>
    <w:rsid w:val="00E02D15"/>
    <w:rsid w:val="00E077A0"/>
    <w:rsid w:val="00E11204"/>
    <w:rsid w:val="00E15A83"/>
    <w:rsid w:val="00E166DF"/>
    <w:rsid w:val="00E175C1"/>
    <w:rsid w:val="00E20C5D"/>
    <w:rsid w:val="00E2142C"/>
    <w:rsid w:val="00E247A5"/>
    <w:rsid w:val="00E27777"/>
    <w:rsid w:val="00E27A2C"/>
    <w:rsid w:val="00E30085"/>
    <w:rsid w:val="00E303E7"/>
    <w:rsid w:val="00E31185"/>
    <w:rsid w:val="00E31BF6"/>
    <w:rsid w:val="00E31C26"/>
    <w:rsid w:val="00E33009"/>
    <w:rsid w:val="00E35628"/>
    <w:rsid w:val="00E36503"/>
    <w:rsid w:val="00E42D90"/>
    <w:rsid w:val="00E43F9B"/>
    <w:rsid w:val="00E50093"/>
    <w:rsid w:val="00E52517"/>
    <w:rsid w:val="00E52F14"/>
    <w:rsid w:val="00E56319"/>
    <w:rsid w:val="00E572C9"/>
    <w:rsid w:val="00E57372"/>
    <w:rsid w:val="00E60BF8"/>
    <w:rsid w:val="00E614C0"/>
    <w:rsid w:val="00E61CD7"/>
    <w:rsid w:val="00E62321"/>
    <w:rsid w:val="00E633B8"/>
    <w:rsid w:val="00E636B5"/>
    <w:rsid w:val="00E6633C"/>
    <w:rsid w:val="00E71286"/>
    <w:rsid w:val="00E71295"/>
    <w:rsid w:val="00E724B4"/>
    <w:rsid w:val="00E72719"/>
    <w:rsid w:val="00E76263"/>
    <w:rsid w:val="00E8263E"/>
    <w:rsid w:val="00E83003"/>
    <w:rsid w:val="00E8529B"/>
    <w:rsid w:val="00E86CD0"/>
    <w:rsid w:val="00E94AE3"/>
    <w:rsid w:val="00E96051"/>
    <w:rsid w:val="00E9681D"/>
    <w:rsid w:val="00EA11DB"/>
    <w:rsid w:val="00EA1402"/>
    <w:rsid w:val="00EA17EB"/>
    <w:rsid w:val="00EA249F"/>
    <w:rsid w:val="00EA24DF"/>
    <w:rsid w:val="00EB43F1"/>
    <w:rsid w:val="00EB7789"/>
    <w:rsid w:val="00EC336E"/>
    <w:rsid w:val="00EC4A98"/>
    <w:rsid w:val="00EC60F1"/>
    <w:rsid w:val="00EC6B91"/>
    <w:rsid w:val="00ED0916"/>
    <w:rsid w:val="00ED4A2A"/>
    <w:rsid w:val="00EE1096"/>
    <w:rsid w:val="00EE2278"/>
    <w:rsid w:val="00EE407D"/>
    <w:rsid w:val="00EE7718"/>
    <w:rsid w:val="00EF23FC"/>
    <w:rsid w:val="00EF3A6C"/>
    <w:rsid w:val="00EF536D"/>
    <w:rsid w:val="00EF64BE"/>
    <w:rsid w:val="00EF6874"/>
    <w:rsid w:val="00F04592"/>
    <w:rsid w:val="00F05E39"/>
    <w:rsid w:val="00F06140"/>
    <w:rsid w:val="00F06273"/>
    <w:rsid w:val="00F07CD0"/>
    <w:rsid w:val="00F11582"/>
    <w:rsid w:val="00F122F9"/>
    <w:rsid w:val="00F1355F"/>
    <w:rsid w:val="00F1498A"/>
    <w:rsid w:val="00F14EA5"/>
    <w:rsid w:val="00F21C93"/>
    <w:rsid w:val="00F236F4"/>
    <w:rsid w:val="00F2457F"/>
    <w:rsid w:val="00F25417"/>
    <w:rsid w:val="00F27137"/>
    <w:rsid w:val="00F314DE"/>
    <w:rsid w:val="00F315C4"/>
    <w:rsid w:val="00F329C3"/>
    <w:rsid w:val="00F34AF3"/>
    <w:rsid w:val="00F35B52"/>
    <w:rsid w:val="00F3654E"/>
    <w:rsid w:val="00F3783D"/>
    <w:rsid w:val="00F37BCF"/>
    <w:rsid w:val="00F412F2"/>
    <w:rsid w:val="00F424CC"/>
    <w:rsid w:val="00F464B8"/>
    <w:rsid w:val="00F46BF0"/>
    <w:rsid w:val="00F47914"/>
    <w:rsid w:val="00F47B09"/>
    <w:rsid w:val="00F5054D"/>
    <w:rsid w:val="00F506FE"/>
    <w:rsid w:val="00F5572C"/>
    <w:rsid w:val="00F55A53"/>
    <w:rsid w:val="00F62D9A"/>
    <w:rsid w:val="00F66214"/>
    <w:rsid w:val="00F6688B"/>
    <w:rsid w:val="00F6764A"/>
    <w:rsid w:val="00F67711"/>
    <w:rsid w:val="00F67CE2"/>
    <w:rsid w:val="00F70677"/>
    <w:rsid w:val="00F73385"/>
    <w:rsid w:val="00F7362C"/>
    <w:rsid w:val="00F763D2"/>
    <w:rsid w:val="00F772BF"/>
    <w:rsid w:val="00F778C4"/>
    <w:rsid w:val="00F80A7A"/>
    <w:rsid w:val="00F8213A"/>
    <w:rsid w:val="00F83FA7"/>
    <w:rsid w:val="00F8475E"/>
    <w:rsid w:val="00F8482A"/>
    <w:rsid w:val="00F90B84"/>
    <w:rsid w:val="00F93018"/>
    <w:rsid w:val="00F962C3"/>
    <w:rsid w:val="00FA0A11"/>
    <w:rsid w:val="00FA23D4"/>
    <w:rsid w:val="00FA27BC"/>
    <w:rsid w:val="00FA2BD1"/>
    <w:rsid w:val="00FA4857"/>
    <w:rsid w:val="00FB0DBE"/>
    <w:rsid w:val="00FB2B94"/>
    <w:rsid w:val="00FC4A2C"/>
    <w:rsid w:val="00FC63E0"/>
    <w:rsid w:val="00FD3ABC"/>
    <w:rsid w:val="00FD58D0"/>
    <w:rsid w:val="00FD5A20"/>
    <w:rsid w:val="00FD6516"/>
    <w:rsid w:val="00FD7472"/>
    <w:rsid w:val="00FD7489"/>
    <w:rsid w:val="00FE1F8C"/>
    <w:rsid w:val="00FE2FBE"/>
    <w:rsid w:val="00FE69FE"/>
    <w:rsid w:val="00FE7DE5"/>
    <w:rsid w:val="00FF098F"/>
    <w:rsid w:val="00FF4929"/>
    <w:rsid w:val="00FF545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561694ED-C75C-44E6-9EB5-5067394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49"/>
    <w:pPr>
      <w:spacing w:after="120"/>
      <w:jc w:val="both"/>
    </w:pPr>
    <w:rPr>
      <w:lang w:eastAsia="en-US"/>
    </w:rPr>
  </w:style>
  <w:style w:type="paragraph" w:styleId="Heading2">
    <w:name w:val="heading 2"/>
    <w:basedOn w:val="Normal"/>
    <w:link w:val="Heading2Char"/>
    <w:uiPriority w:val="9"/>
    <w:qFormat/>
    <w:locked/>
    <w:rsid w:val="00E724B4"/>
    <w:pPr>
      <w:spacing w:before="100" w:beforeAutospacing="1" w:after="100" w:afterAutospacing="1"/>
      <w:jc w:val="left"/>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475049"/>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475049"/>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aliases w:val="2"/>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paragraph" w:customStyle="1" w:styleId="tabula">
    <w:name w:val="tabula"/>
    <w:basedOn w:val="Normal"/>
    <w:rsid w:val="00142A71"/>
    <w:pPr>
      <w:tabs>
        <w:tab w:val="left" w:pos="5954"/>
      </w:tabs>
      <w:spacing w:after="0"/>
      <w:jc w:val="left"/>
    </w:pPr>
    <w:rPr>
      <w:rFonts w:ascii="Arial" w:eastAsia="Times New Roman" w:hAnsi="Arial"/>
      <w:sz w:val="20"/>
      <w:szCs w:val="20"/>
      <w:lang w:eastAsia="lv-LV"/>
    </w:rPr>
  </w:style>
  <w:style w:type="character" w:customStyle="1" w:styleId="ListParagraphChar">
    <w:name w:val="List Paragraph Char"/>
    <w:aliases w:val="2 Char"/>
    <w:basedOn w:val="DefaultParagraphFont"/>
    <w:link w:val="ListParagraph"/>
    <w:uiPriority w:val="34"/>
    <w:locked/>
    <w:rsid w:val="00F464B8"/>
    <w:rPr>
      <w:rFonts w:ascii="Times New Roman" w:eastAsia="Times New Roman" w:hAnsi="Times New Roman"/>
      <w:sz w:val="28"/>
      <w:szCs w:val="20"/>
      <w:lang w:eastAsia="en-US"/>
    </w:rPr>
  </w:style>
  <w:style w:type="paragraph" w:customStyle="1" w:styleId="doc-ti">
    <w:name w:val="doc-ti"/>
    <w:basedOn w:val="Normal"/>
    <w:rsid w:val="00064636"/>
    <w:pPr>
      <w:spacing w:before="100" w:beforeAutospacing="1" w:after="100" w:afterAutospacing="1"/>
      <w:jc w:val="left"/>
    </w:pPr>
    <w:rPr>
      <w:rFonts w:ascii="Times New Roman" w:eastAsia="Times New Roman" w:hAnsi="Times New Roman"/>
      <w:sz w:val="24"/>
      <w:szCs w:val="24"/>
      <w:lang w:eastAsia="lv-LV"/>
    </w:rPr>
  </w:style>
  <w:style w:type="paragraph" w:customStyle="1" w:styleId="tv213">
    <w:name w:val="tv213"/>
    <w:basedOn w:val="Normal"/>
    <w:rsid w:val="00EF3A6C"/>
    <w:pPr>
      <w:spacing w:before="100" w:beforeAutospacing="1" w:after="100" w:afterAutospacing="1"/>
      <w:jc w:val="left"/>
    </w:pPr>
    <w:rPr>
      <w:rFonts w:ascii="Times New Roman" w:eastAsia="Times New Roman" w:hAnsi="Times New Roman"/>
      <w:sz w:val="24"/>
      <w:szCs w:val="24"/>
      <w:lang w:eastAsia="lv-LV"/>
    </w:rPr>
  </w:style>
  <w:style w:type="paragraph" w:styleId="NormalWeb">
    <w:name w:val="Normal (Web)"/>
    <w:basedOn w:val="Normal"/>
    <w:uiPriority w:val="99"/>
    <w:unhideWhenUsed/>
    <w:rsid w:val="006A00B6"/>
    <w:pPr>
      <w:spacing w:before="100" w:beforeAutospacing="1" w:after="100" w:afterAutospacing="1"/>
      <w:jc w:val="left"/>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16C72"/>
    <w:pPr>
      <w:spacing w:after="0"/>
      <w:jc w:val="left"/>
    </w:pPr>
    <w:rPr>
      <w:rFonts w:eastAsia="Times New Roman"/>
      <w:szCs w:val="21"/>
    </w:rPr>
  </w:style>
  <w:style w:type="character" w:customStyle="1" w:styleId="PlainTextChar">
    <w:name w:val="Plain Text Char"/>
    <w:basedOn w:val="DefaultParagraphFont"/>
    <w:link w:val="PlainText"/>
    <w:uiPriority w:val="99"/>
    <w:rsid w:val="00216C72"/>
    <w:rPr>
      <w:rFonts w:eastAsia="Times New Roman"/>
      <w:szCs w:val="21"/>
      <w:lang w:eastAsia="en-US"/>
    </w:rPr>
  </w:style>
  <w:style w:type="paragraph" w:customStyle="1" w:styleId="select">
    <w:name w:val="select"/>
    <w:basedOn w:val="Normal"/>
    <w:uiPriority w:val="99"/>
    <w:rsid w:val="00E31BF6"/>
    <w:pPr>
      <w:shd w:val="clear" w:color="auto" w:fill="F0F8F8"/>
      <w:spacing w:before="100" w:beforeAutospacing="1" w:after="100" w:afterAutospacing="1"/>
      <w:jc w:val="left"/>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68189F"/>
    <w:rPr>
      <w:color w:val="800080" w:themeColor="followedHyperlink"/>
      <w:u w:val="single"/>
    </w:rPr>
  </w:style>
  <w:style w:type="character" w:customStyle="1" w:styleId="Heading2Char">
    <w:name w:val="Heading 2 Char"/>
    <w:basedOn w:val="DefaultParagraphFont"/>
    <w:link w:val="Heading2"/>
    <w:uiPriority w:val="9"/>
    <w:rsid w:val="00E724B4"/>
    <w:rPr>
      <w:rFonts w:ascii="Times New Roman" w:eastAsia="Times New Roman" w:hAnsi="Times New Roman"/>
      <w:b/>
      <w:bCs/>
      <w:sz w:val="36"/>
      <w:szCs w:val="36"/>
    </w:rPr>
  </w:style>
  <w:style w:type="character" w:customStyle="1" w:styleId="field-content">
    <w:name w:val="field-content"/>
    <w:basedOn w:val="DefaultParagraphFont"/>
    <w:rsid w:val="00E7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6436-1934-4A6F-B3FE-08F958F9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13987</Words>
  <Characters>7973</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noteikumu projektam “Noteikumi par siltumnīcefekta gāzu inventarizācijas un prognožu sagatavošanas nacionālo sistēmu” sākotnējās ietekmes novērtējuma ziņojumam</vt:lpstr>
      <vt:lpstr>Anotācija Ministru kabineta noteikumu projektam “Noteikumi par siltumnīcefekta gāzu inventarizācijas un prognožu sagatavošanas nacionālo sistēmu” sākotnējās ietekmes novērtējuma ziņojumam</vt:lpstr>
    </vt:vector>
  </TitlesOfParts>
  <Manager>Agita.Gancone@varam.gov.lv</Manager>
  <Company>Vides aizsardzības un reģionālās attīstības ministrija</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“Noteikumi par siltumnīcefekta gāzu inventarizācijas un prognožu sagatavošanas nacionālo sistēmu” sākotnējās ietekmes novērtējuma ziņojumam</dc:title>
  <dc:subject>Noteikumu projekta anotācija</dc:subject>
  <dc:creator>Agita.Gancone@varam.gov.lv</dc:creator>
  <dc:description>67026495, agita.gancone@varam.gov.lv</dc:description>
  <cp:lastModifiedBy>Madara Gaile</cp:lastModifiedBy>
  <cp:revision>7</cp:revision>
  <cp:lastPrinted>2017-08-22T09:17:00Z</cp:lastPrinted>
  <dcterms:created xsi:type="dcterms:W3CDTF">2017-10-16T13:43:00Z</dcterms:created>
  <dcterms:modified xsi:type="dcterms:W3CDTF">2017-10-31T07:41:00Z</dcterms:modified>
  <cp:category>Vides politika</cp:category>
</cp:coreProperties>
</file>