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97846" w14:textId="6F7F1FEE" w:rsidR="00971C1E" w:rsidRPr="002F0280" w:rsidRDefault="00971C1E" w:rsidP="00A73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pielikums</w:t>
      </w:r>
    </w:p>
    <w:p w14:paraId="1537CE14" w14:textId="77777777" w:rsidR="00971C1E" w:rsidRPr="002F0280" w:rsidRDefault="00971C1E" w:rsidP="00A73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18E99508" w14:textId="59D849CA" w:rsidR="00971C1E" w:rsidRPr="002F0280" w:rsidRDefault="00971C1E" w:rsidP="00A734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 xml:space="preserve">2017. gada </w:t>
      </w:r>
      <w:r w:rsidR="00E20DBB" w:rsidRPr="00E20DBB">
        <w:rPr>
          <w:rFonts w:ascii="Times New Roman" w:hAnsi="Times New Roman" w:cs="Times New Roman"/>
          <w:sz w:val="28"/>
          <w:szCs w:val="28"/>
        </w:rPr>
        <w:t>12. decembr</w:t>
      </w:r>
      <w:r w:rsidR="00E20DBB" w:rsidRPr="00E20DBB">
        <w:rPr>
          <w:rFonts w:ascii="Times New Roman" w:hAnsi="Times New Roman" w:cs="Times New Roman"/>
          <w:sz w:val="28"/>
          <w:szCs w:val="28"/>
        </w:rPr>
        <w:t>a</w:t>
      </w:r>
    </w:p>
    <w:p w14:paraId="54071D7C" w14:textId="54967E36" w:rsidR="00971C1E" w:rsidRPr="002F0280" w:rsidRDefault="00971C1E" w:rsidP="00A734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>noteikumiem Nr. </w:t>
      </w:r>
      <w:r w:rsidR="00E20DBB">
        <w:rPr>
          <w:rFonts w:ascii="Times New Roman" w:hAnsi="Times New Roman" w:cs="Times New Roman"/>
          <w:sz w:val="28"/>
        </w:rPr>
        <w:t>737</w:t>
      </w:r>
      <w:bookmarkStart w:id="0" w:name="_GoBack"/>
      <w:bookmarkEnd w:id="0"/>
    </w:p>
    <w:p w14:paraId="78C5B459" w14:textId="77777777" w:rsidR="004D3AA4" w:rsidRDefault="004D3AA4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3FF786EB" w14:textId="351288CA" w:rsidR="00790CF5" w:rsidRDefault="00EF53E4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790CF5">
        <w:rPr>
          <w:b/>
          <w:bCs/>
          <w:sz w:val="28"/>
          <w:szCs w:val="28"/>
        </w:rPr>
        <w:t xml:space="preserve">Formāts, kādā Latvijas Vides, ģeoloģijas un meteoroloģijas centrs un Centrālā </w:t>
      </w:r>
      <w:r w:rsidR="00E968EA">
        <w:rPr>
          <w:b/>
          <w:bCs/>
          <w:sz w:val="28"/>
          <w:szCs w:val="28"/>
        </w:rPr>
        <w:t>s</w:t>
      </w:r>
      <w:r w:rsidRPr="00790CF5">
        <w:rPr>
          <w:b/>
          <w:bCs/>
          <w:sz w:val="28"/>
          <w:szCs w:val="28"/>
        </w:rPr>
        <w:t xml:space="preserve">tatistikas pārvalde </w:t>
      </w:r>
      <w:r w:rsidR="00D45CAE">
        <w:rPr>
          <w:b/>
          <w:bCs/>
          <w:sz w:val="28"/>
          <w:szCs w:val="28"/>
        </w:rPr>
        <w:t>sagatavo informāciju</w:t>
      </w:r>
      <w:r w:rsidR="00D45CAE" w:rsidRPr="00790CF5">
        <w:rPr>
          <w:b/>
          <w:bCs/>
          <w:sz w:val="28"/>
          <w:szCs w:val="28"/>
        </w:rPr>
        <w:t xml:space="preserve"> </w:t>
      </w:r>
      <w:r w:rsidRPr="00790CF5">
        <w:rPr>
          <w:b/>
          <w:bCs/>
          <w:sz w:val="28"/>
          <w:szCs w:val="28"/>
        </w:rPr>
        <w:t xml:space="preserve">par enerģētikas </w:t>
      </w:r>
      <w:r w:rsidR="0041303B">
        <w:rPr>
          <w:b/>
          <w:bCs/>
          <w:sz w:val="28"/>
          <w:szCs w:val="28"/>
        </w:rPr>
        <w:t>sektora datu</w:t>
      </w:r>
      <w:r w:rsidRPr="00790CF5">
        <w:rPr>
          <w:b/>
          <w:bCs/>
          <w:sz w:val="28"/>
          <w:szCs w:val="28"/>
        </w:rPr>
        <w:t xml:space="preserve"> </w:t>
      </w:r>
      <w:r w:rsidR="0041303B" w:rsidRPr="00790CF5">
        <w:rPr>
          <w:b/>
          <w:bCs/>
          <w:sz w:val="28"/>
          <w:szCs w:val="28"/>
        </w:rPr>
        <w:t>saskaņu</w:t>
      </w:r>
    </w:p>
    <w:p w14:paraId="0B0CC37A" w14:textId="77777777" w:rsidR="00A73425" w:rsidRPr="00790CF5" w:rsidRDefault="00A73425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74"/>
        <w:gridCol w:w="2531"/>
        <w:gridCol w:w="2091"/>
        <w:gridCol w:w="2127"/>
        <w:gridCol w:w="1864"/>
        <w:gridCol w:w="1679"/>
        <w:gridCol w:w="1626"/>
      </w:tblGrid>
      <w:tr w:rsidR="00B96283" w14:paraId="3FF786F4" w14:textId="77777777" w:rsidTr="00A73425">
        <w:trPr>
          <w:tblHeader/>
        </w:trPr>
        <w:tc>
          <w:tcPr>
            <w:tcW w:w="53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C" w14:textId="77777777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KURINĀMĀ VEIDI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D" w14:textId="2EDDAC89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 xml:space="preserve">SEG inventarizācijā </w:t>
            </w:r>
            <w:r w:rsidR="00E968EA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pa</w:t>
            </w: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ziņotais patēriņš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1"/>
            </w:r>
          </w:p>
          <w:p w14:paraId="3FF786EE" w14:textId="77777777" w:rsidR="00790CF5" w:rsidRPr="00E968EA" w:rsidRDefault="00790CF5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F" w14:textId="77777777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Patēriņš, kas iegūts, izmantojot saskaņā ar Regulu (EK) Nr. 1099/2008 ziņotos datus</w:t>
            </w:r>
            <w:r w:rsidRPr="00E968EA">
              <w:rPr>
                <w:rStyle w:val="EndnoteReference"/>
                <w:bCs/>
                <w:sz w:val="28"/>
                <w:szCs w:val="28"/>
              </w:rPr>
              <w:endnoteReference w:id="2"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0" w14:textId="0560AC04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Absolūtā star</w:t>
            </w:r>
            <w:r w:rsidR="00A73425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softHyphen/>
            </w: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pība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3"/>
            </w:r>
            <w:r w:rsidR="00650560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  <w:vertAlign w:val="superscript"/>
              </w:rPr>
              <w:t>,</w:t>
            </w:r>
            <w:hyperlink r:id="rId9" w:anchor="ntr1-L_2014203LV.01005101-E0001" w:history="1">
              <w:r w:rsidRPr="00E968EA">
                <w:rPr>
                  <w:rStyle w:val="Hyperlink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Pr="00E968EA">
                <w:rPr>
                  <w:rStyle w:val="EndnoteReference"/>
                  <w:bCs/>
                  <w:sz w:val="28"/>
                  <w:szCs w:val="28"/>
                  <w:bdr w:val="none" w:sz="0" w:space="0" w:color="auto" w:frame="1"/>
                </w:rPr>
                <w:endnoteReference w:id="4"/>
              </w:r>
            </w:hyperlink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1" w14:textId="77777777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Relatīvā starpība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5"/>
            </w:r>
            <w:r w:rsidR="00650560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  <w:vertAlign w:val="superscript"/>
              </w:rPr>
              <w:t>,</w:t>
            </w:r>
            <w:r w:rsidR="00650560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6"/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2" w14:textId="76287C4C" w:rsidR="00790CF5" w:rsidRPr="00E968EA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Starpību skaidro</w:t>
            </w:r>
            <w:r w:rsidR="00A73425"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softHyphen/>
            </w: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jumi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7"/>
            </w:r>
          </w:p>
          <w:p w14:paraId="3FF786F3" w14:textId="77777777" w:rsidR="00790CF5" w:rsidRPr="00E968EA" w:rsidRDefault="00790CF5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B96283" w14:paraId="3FF786FB" w14:textId="77777777" w:rsidTr="00A73425">
        <w:trPr>
          <w:tblHeader/>
        </w:trPr>
        <w:tc>
          <w:tcPr>
            <w:tcW w:w="5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6F5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6" w14:textId="77777777" w:rsidR="00790CF5" w:rsidRPr="00E968EA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8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7" w14:textId="70A9406A" w:rsidR="00790CF5" w:rsidRPr="00E968EA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9"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8" w14:textId="28190DBB" w:rsidR="00790CF5" w:rsidRPr="00E968EA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10"/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9" w14:textId="77777777" w:rsidR="00790CF5" w:rsidRPr="00E968EA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968EA">
              <w:rPr>
                <w:rStyle w:val="bold"/>
                <w:bCs/>
                <w:sz w:val="28"/>
                <w:szCs w:val="28"/>
                <w:bdr w:val="none" w:sz="0" w:space="0" w:color="auto" w:frame="1"/>
              </w:rPr>
              <w:t>%</w:t>
            </w:r>
            <w:r w:rsidRPr="00E968EA">
              <w:rPr>
                <w:rStyle w:val="EndnoteReference"/>
                <w:bCs/>
                <w:sz w:val="28"/>
                <w:szCs w:val="28"/>
                <w:bdr w:val="none" w:sz="0" w:space="0" w:color="auto" w:frame="1"/>
              </w:rPr>
              <w:endnoteReference w:id="11"/>
            </w: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86FA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283" w14:paraId="3FF78704" w14:textId="77777777" w:rsidTr="00A73425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C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Šķidrais fosilais kurināmais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D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Primārais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E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Jēlnafta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0D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5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6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7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90CF5">
              <w:rPr>
                <w:sz w:val="28"/>
                <w:szCs w:val="28"/>
              </w:rPr>
              <w:t>Orimulsija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16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E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F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0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Dabasgāzes šķidrumi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1F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17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8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Sekundārais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9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Benzīns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28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0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1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2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Petrolejas tipa reaktīvo dzinēju degviela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31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9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A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B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Citi petrolejas veidi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3A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2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3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4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Degakmens eļļa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43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B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C" w14:textId="77777777" w:rsidR="00790CF5" w:rsidRPr="00790CF5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D" w14:textId="77777777" w:rsidR="00790CF5" w:rsidRPr="00790CF5" w:rsidRDefault="00EF53E4" w:rsidP="00A7342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Gāzeļļa/dīzeļdegviela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4C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4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5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6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55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D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E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F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Sašķidrinātās naftas gāzes (</w:t>
            </w:r>
            <w:r w:rsidRPr="00790CF5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</w:rPr>
              <w:t>LPG</w:t>
            </w:r>
            <w:r w:rsidRPr="00790CF5">
              <w:rPr>
                <w:sz w:val="28"/>
                <w:szCs w:val="28"/>
              </w:rPr>
              <w:t>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5E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6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7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8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Etāns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67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F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0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1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Jēlbenzīns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70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8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9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A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Bitumens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79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1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2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3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Smērvielas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82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A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B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C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Naftas kokss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8B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3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4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5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Naftas pārstrādes uzņēmumu izejvielas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94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C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D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E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Citi naftas produkti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9B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5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šķidrais fosilais kurināmais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A2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C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Šķidrais fosilais kurināmais 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AB" w14:textId="77777777" w:rsidTr="00A73425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3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Cietais fosilais kurināmais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4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Primārais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5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Antracīts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B4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AC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AD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E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Koksējamās ogles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BD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5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6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7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 xml:space="preserve">Citas </w:t>
            </w:r>
            <w:proofErr w:type="spellStart"/>
            <w:r w:rsidRPr="00790CF5">
              <w:rPr>
                <w:sz w:val="28"/>
                <w:szCs w:val="28"/>
              </w:rPr>
              <w:t>bitumenogles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C6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E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F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0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90CF5">
              <w:rPr>
                <w:sz w:val="28"/>
                <w:szCs w:val="28"/>
              </w:rPr>
              <w:t>Pusbitumenogles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CF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C7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C8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9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Lignīts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D8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0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1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2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 xml:space="preserve">Degslāneklis un </w:t>
            </w:r>
            <w:proofErr w:type="spellStart"/>
            <w:r w:rsidRPr="00790CF5">
              <w:rPr>
                <w:sz w:val="28"/>
                <w:szCs w:val="28"/>
              </w:rPr>
              <w:t>bitumensmiltis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E1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9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A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Sekundārais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B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Brūnogļu briketes un akmeņogļu briketes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EA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2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3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4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Koksēšanas krāšņu kokss un gāzes kokss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F3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B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C" w14:textId="77777777" w:rsidR="00790CF5" w:rsidRPr="00790CF5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D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Ogļu darva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1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7FA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4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cietais fosilais kurināmais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9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01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B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Cietais fosilais kurināmais 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09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2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Gāzveida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3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Dabasgāze (metāns bez smago ogļūdeņražu piemaisījuma vai ar mazu smago ogļūdeņražu piemaisījumu)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11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A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gāzveida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19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2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Gāzveida fosilais kurināmais kopā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8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20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A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Atkritumi (</w:t>
            </w:r>
            <w:r w:rsidR="00040FCF">
              <w:rPr>
                <w:sz w:val="28"/>
                <w:szCs w:val="28"/>
              </w:rPr>
              <w:t>fosilā</w:t>
            </w:r>
            <w:r w:rsidR="00040FCF" w:rsidRPr="00790CF5">
              <w:rPr>
                <w:sz w:val="28"/>
                <w:szCs w:val="28"/>
              </w:rPr>
              <w:t xml:space="preserve"> </w:t>
            </w:r>
            <w:r w:rsidRPr="00790CF5">
              <w:rPr>
                <w:sz w:val="28"/>
                <w:szCs w:val="28"/>
              </w:rPr>
              <w:t>frakcija)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28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1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2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31" w14:textId="77777777" w:rsidTr="00A73425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9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Kūdra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A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B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C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D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E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F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0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B96283" w14:paraId="3FF78838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2" w14:textId="77777777" w:rsidR="00790CF5" w:rsidRPr="00790CF5" w:rsidRDefault="00EF53E4" w:rsidP="00BC007C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3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4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5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6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7" w14:textId="77777777" w:rsidR="00790CF5" w:rsidRPr="00790CF5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</w:tbl>
    <w:p w14:paraId="3FF78839" w14:textId="624E0C1D" w:rsidR="0087107C" w:rsidRDefault="00BC007C" w:rsidP="0079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textWrapping" w:clear="all"/>
      </w:r>
    </w:p>
    <w:p w14:paraId="3FF7883A" w14:textId="77777777" w:rsidR="0087107C" w:rsidRDefault="0087107C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7883B" w14:textId="77777777" w:rsidR="002E6221" w:rsidRDefault="002E6221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6221" w:rsidSect="004D3AA4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6840" w:h="11907" w:orient="landscape" w:code="9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14:paraId="4A92927D" w14:textId="77777777" w:rsidR="00971C1E" w:rsidRDefault="00971C1E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0AAE88" w14:textId="77777777" w:rsidR="00971C1E" w:rsidRPr="00347B25" w:rsidRDefault="00971C1E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8D6918A" w14:textId="77777777" w:rsidR="00971C1E" w:rsidRPr="00347B25" w:rsidRDefault="00971C1E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CA45AE" w14:textId="77777777" w:rsidR="00F25178" w:rsidRPr="00656736" w:rsidRDefault="00F25178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51DFD045" w14:textId="77777777" w:rsidR="00F25178" w:rsidRPr="00656736" w:rsidRDefault="00F25178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1245B96A" w14:textId="77777777" w:rsidR="00F25178" w:rsidRPr="00656736" w:rsidRDefault="00F25178" w:rsidP="00F25178">
      <w:pPr>
        <w:shd w:val="clear" w:color="auto" w:fill="FFFFFF"/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496200F5" w14:textId="1C195B24" w:rsidR="00971C1E" w:rsidRPr="00347B25" w:rsidRDefault="00971C1E" w:rsidP="00971C1E">
      <w:pPr>
        <w:tabs>
          <w:tab w:val="left" w:pos="1020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71C1E" w:rsidRPr="00347B25" w:rsidSect="00971C1E">
      <w:endnotePr>
        <w:numFmt w:val="decimal"/>
      </w:endnotePr>
      <w:type w:val="continuous"/>
      <w:pgSz w:w="16840" w:h="11907" w:orient="landscape" w:code="9"/>
      <w:pgMar w:top="1418" w:right="1418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8852" w14:textId="77777777" w:rsidR="00EE2709" w:rsidRDefault="00EF53E4" w:rsidP="00790CF5">
      <w:pPr>
        <w:spacing w:after="0" w:line="240" w:lineRule="auto"/>
      </w:pPr>
      <w:r>
        <w:separator/>
      </w:r>
    </w:p>
  </w:endnote>
  <w:endnote w:type="continuationSeparator" w:id="0">
    <w:p w14:paraId="3FF78853" w14:textId="77777777" w:rsidR="00EE2709" w:rsidRDefault="00EF53E4" w:rsidP="00790CF5">
      <w:pPr>
        <w:spacing w:after="0" w:line="240" w:lineRule="auto"/>
      </w:pPr>
      <w:r>
        <w:continuationSeparator/>
      </w:r>
    </w:p>
  </w:endnote>
  <w:endnote w:id="1">
    <w:p w14:paraId="3FF7885B" w14:textId="31A6B699" w:rsidR="002E6221" w:rsidRPr="00D63D2C" w:rsidRDefault="00EF53E4" w:rsidP="002E6221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63D2C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63D2C">
        <w:rPr>
          <w:rFonts w:ascii="Times New Roman" w:hAnsi="Times New Roman" w:cs="Times New Roman"/>
          <w:sz w:val="28"/>
          <w:szCs w:val="28"/>
        </w:rPr>
        <w:t xml:space="preserve"> Aizpilda valsts sabiedrība ar ierobežotu atbil</w:t>
      </w:r>
      <w:r w:rsidR="00E968EA">
        <w:rPr>
          <w:rFonts w:ascii="Times New Roman" w:hAnsi="Times New Roman" w:cs="Times New Roman"/>
          <w:sz w:val="28"/>
          <w:szCs w:val="28"/>
        </w:rPr>
        <w:t>d</w:t>
      </w:r>
      <w:r w:rsidRPr="00D63D2C">
        <w:rPr>
          <w:rFonts w:ascii="Times New Roman" w:hAnsi="Times New Roman" w:cs="Times New Roman"/>
          <w:sz w:val="28"/>
          <w:szCs w:val="28"/>
        </w:rPr>
        <w:t xml:space="preserve">ību 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Pr="00D63D2C">
        <w:rPr>
          <w:rFonts w:ascii="Times New Roman" w:hAnsi="Times New Roman" w:cs="Times New Roman"/>
          <w:sz w:val="28"/>
          <w:szCs w:val="28"/>
        </w:rPr>
        <w:t>Latvijas Vides, ģeoloģijas un meteoroloģijas centrs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="00A73425"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14:paraId="3FF7885C" w14:textId="7EF1A02A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Centrālā </w:t>
      </w:r>
      <w:r w:rsidR="00C52388">
        <w:rPr>
          <w:rFonts w:ascii="Times New Roman" w:hAnsi="Times New Roman" w:cs="Times New Roman"/>
          <w:sz w:val="28"/>
          <w:szCs w:val="28"/>
        </w:rPr>
        <w:t>s</w:t>
      </w:r>
      <w:r w:rsidRPr="00D45CAE">
        <w:rPr>
          <w:rFonts w:ascii="Times New Roman" w:hAnsi="Times New Roman" w:cs="Times New Roman"/>
          <w:sz w:val="28"/>
          <w:szCs w:val="28"/>
        </w:rPr>
        <w:t>tatistikas pārvalde</w:t>
      </w:r>
      <w:r w:rsidR="00A73425">
        <w:rPr>
          <w:rFonts w:ascii="Times New Roman" w:hAnsi="Times New Roman" w:cs="Times New Roman"/>
          <w:sz w:val="28"/>
          <w:szCs w:val="28"/>
        </w:rPr>
        <w:t>.</w:t>
      </w:r>
    </w:p>
  </w:endnote>
  <w:endnote w:id="3">
    <w:p w14:paraId="3FF7885D" w14:textId="77777777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SEG pārskatā paziņotais šķietamais patēriņš, no kura atskaitīts šķietamais patēriņš, kas iegūts, izmantojot saskaņā ar Regulu (EK) Nr. 1099/2008 ziņotos datus.</w:t>
      </w:r>
    </w:p>
  </w:endnote>
  <w:endnote w:id="4">
    <w:p w14:paraId="3FF7885E" w14:textId="50B3C313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</w:t>
      </w:r>
      <w:r w:rsidR="00E968EA">
        <w:rPr>
          <w:rFonts w:ascii="Times New Roman" w:hAnsi="Times New Roman" w:cs="Times New Roman"/>
          <w:sz w:val="28"/>
          <w:szCs w:val="28"/>
        </w:rPr>
        <w:t>d</w:t>
      </w:r>
      <w:r w:rsidRPr="00D45CAE">
        <w:rPr>
          <w:rFonts w:ascii="Times New Roman" w:hAnsi="Times New Roman" w:cs="Times New Roman"/>
          <w:sz w:val="28"/>
          <w:szCs w:val="28"/>
        </w:rPr>
        <w:t xml:space="preserve">ību 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Pr="00D45CAE">
        <w:rPr>
          <w:rFonts w:ascii="Times New Roman" w:hAnsi="Times New Roman" w:cs="Times New Roman"/>
          <w:sz w:val="28"/>
          <w:szCs w:val="28"/>
        </w:rPr>
        <w:t>Latvijas Vides, ģeoloģijas un meteoroloģijas centrs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="00A73425">
        <w:rPr>
          <w:rFonts w:ascii="Times New Roman" w:hAnsi="Times New Roman" w:cs="Times New Roman"/>
          <w:sz w:val="28"/>
          <w:szCs w:val="28"/>
        </w:rPr>
        <w:t>.</w:t>
      </w:r>
    </w:p>
  </w:endnote>
  <w:endnote w:id="5">
    <w:p w14:paraId="3FF7885F" w14:textId="2B48939C" w:rsidR="00650560" w:rsidRPr="00D45CAE" w:rsidRDefault="00EF53E4" w:rsidP="00D45CAE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5CAE">
        <w:rPr>
          <w:rStyle w:val="EndnoteReference"/>
          <w:sz w:val="28"/>
          <w:szCs w:val="28"/>
        </w:rPr>
        <w:endnoteRef/>
      </w:r>
      <w:r w:rsidRPr="00D45CAE">
        <w:rPr>
          <w:sz w:val="28"/>
          <w:szCs w:val="28"/>
        </w:rPr>
        <w:t xml:space="preserve"> </w:t>
      </w:r>
      <w:r w:rsidRPr="00650560">
        <w:rPr>
          <w:sz w:val="28"/>
          <w:szCs w:val="28"/>
        </w:rPr>
        <w:t>Absolūtā starpība, kas dalīta ar SEG pā</w:t>
      </w:r>
      <w:r w:rsidRPr="00D45CAE">
        <w:rPr>
          <w:sz w:val="28"/>
          <w:szCs w:val="28"/>
        </w:rPr>
        <w:t xml:space="preserve">rskatā </w:t>
      </w:r>
      <w:r w:rsidR="00A73425">
        <w:rPr>
          <w:sz w:val="28"/>
          <w:szCs w:val="28"/>
        </w:rPr>
        <w:t>norādīto</w:t>
      </w:r>
      <w:r w:rsidRPr="00D45CAE">
        <w:rPr>
          <w:sz w:val="28"/>
          <w:szCs w:val="28"/>
        </w:rPr>
        <w:t xml:space="preserve"> šķietamo patēriņu</w:t>
      </w:r>
      <w:r w:rsidR="00A73425">
        <w:rPr>
          <w:sz w:val="28"/>
          <w:szCs w:val="28"/>
        </w:rPr>
        <w:t>.</w:t>
      </w:r>
    </w:p>
  </w:endnote>
  <w:endnote w:id="6">
    <w:p w14:paraId="3FF78860" w14:textId="1152477F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</w:t>
      </w:r>
      <w:r w:rsidR="00E968EA">
        <w:rPr>
          <w:rFonts w:ascii="Times New Roman" w:hAnsi="Times New Roman" w:cs="Times New Roman"/>
          <w:sz w:val="28"/>
          <w:szCs w:val="28"/>
        </w:rPr>
        <w:t>d</w:t>
      </w:r>
      <w:r w:rsidRPr="00D45CAE">
        <w:rPr>
          <w:rFonts w:ascii="Times New Roman" w:hAnsi="Times New Roman" w:cs="Times New Roman"/>
          <w:sz w:val="28"/>
          <w:szCs w:val="28"/>
        </w:rPr>
        <w:t xml:space="preserve">ību 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Pr="00D45CAE">
        <w:rPr>
          <w:rFonts w:ascii="Times New Roman" w:hAnsi="Times New Roman" w:cs="Times New Roman"/>
          <w:sz w:val="28"/>
          <w:szCs w:val="28"/>
        </w:rPr>
        <w:t>Latvijas Vides, ģeoloģijas un meteoroloģijas centrs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="00A73425">
        <w:rPr>
          <w:rFonts w:ascii="Times New Roman" w:hAnsi="Times New Roman" w:cs="Times New Roman"/>
          <w:sz w:val="28"/>
          <w:szCs w:val="28"/>
        </w:rPr>
        <w:t>.</w:t>
      </w:r>
    </w:p>
  </w:endnote>
  <w:endnote w:id="7">
    <w:p w14:paraId="3FF78861" w14:textId="1DAD83EF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</w:t>
      </w:r>
      <w:r w:rsidR="00E968EA">
        <w:rPr>
          <w:rFonts w:ascii="Times New Roman" w:hAnsi="Times New Roman" w:cs="Times New Roman"/>
          <w:sz w:val="28"/>
          <w:szCs w:val="28"/>
        </w:rPr>
        <w:t>d</w:t>
      </w:r>
      <w:r w:rsidRPr="00D45CAE">
        <w:rPr>
          <w:rFonts w:ascii="Times New Roman" w:hAnsi="Times New Roman" w:cs="Times New Roman"/>
          <w:sz w:val="28"/>
          <w:szCs w:val="28"/>
        </w:rPr>
        <w:t xml:space="preserve">ību 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Pr="00D45CAE">
        <w:rPr>
          <w:rFonts w:ascii="Times New Roman" w:hAnsi="Times New Roman" w:cs="Times New Roman"/>
          <w:sz w:val="28"/>
          <w:szCs w:val="28"/>
        </w:rPr>
        <w:t>Latvijas Vides, ģeoloģijas un meteoroloģijas centrs</w:t>
      </w:r>
      <w:r w:rsidR="004D3AA4">
        <w:rPr>
          <w:rFonts w:ascii="Times New Roman" w:hAnsi="Times New Roman" w:cs="Times New Roman"/>
          <w:sz w:val="28"/>
          <w:szCs w:val="28"/>
        </w:rPr>
        <w:t>"</w:t>
      </w:r>
      <w:r w:rsidRPr="00D45CAE">
        <w:rPr>
          <w:rFonts w:ascii="Times New Roman" w:hAnsi="Times New Roman" w:cs="Times New Roman"/>
          <w:sz w:val="28"/>
          <w:szCs w:val="28"/>
        </w:rPr>
        <w:t xml:space="preserve"> un Centrālā statistikas pārvalde</w:t>
      </w:r>
      <w:r w:rsidR="00A73425">
        <w:rPr>
          <w:rFonts w:ascii="Times New Roman" w:hAnsi="Times New Roman" w:cs="Times New Roman"/>
          <w:sz w:val="28"/>
          <w:szCs w:val="28"/>
        </w:rPr>
        <w:t>.</w:t>
      </w:r>
    </w:p>
  </w:endnote>
  <w:endnote w:id="8">
    <w:p w14:paraId="3FF78862" w14:textId="77777777" w:rsidR="00650560" w:rsidRPr="00D45CAE" w:rsidRDefault="00EF53E4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proofErr w:type="spellEnd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% vērtības jānorāda līdz vienam ciparam aiz komata.</w:t>
      </w:r>
    </w:p>
  </w:endnote>
  <w:endnote w:id="9">
    <w:p w14:paraId="3FF78863" w14:textId="77777777" w:rsidR="00650560" w:rsidRPr="00D45CAE" w:rsidRDefault="00EF53E4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proofErr w:type="spellEnd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% vērtības jānorāda līdz vienam ciparam aiz komata.</w:t>
      </w:r>
    </w:p>
  </w:endnote>
  <w:endnote w:id="10">
    <w:p w14:paraId="3FF78864" w14:textId="00C833E2" w:rsidR="00650560" w:rsidRPr="00D45CAE" w:rsidRDefault="00EF53E4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="00A734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proofErr w:type="spellEnd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% vērtības jānorāda līdz vienam ciparam aiz komata.</w:t>
      </w:r>
    </w:p>
  </w:endnote>
  <w:endnote w:id="11">
    <w:p w14:paraId="3FF78865" w14:textId="5A9BEC42" w:rsidR="00650560" w:rsidRPr="00D45CAE" w:rsidRDefault="00EF53E4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="00A734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proofErr w:type="spellEnd"/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% vērtības jānorāda līdz vienam ciparam aiz komata.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2D4E" w14:textId="10FB173D" w:rsidR="002138FA" w:rsidRPr="002138FA" w:rsidRDefault="002138FA" w:rsidP="002138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885A" w14:textId="0293D799" w:rsidR="00650560" w:rsidRPr="002138FA" w:rsidRDefault="002138FA" w:rsidP="002138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885B" w14:textId="77777777" w:rsidR="00A7443A" w:rsidRDefault="00EF53E4">
      <w:pPr>
        <w:spacing w:after="0" w:line="240" w:lineRule="auto"/>
      </w:pPr>
      <w:r>
        <w:separator/>
      </w:r>
    </w:p>
  </w:footnote>
  <w:footnote w:type="continuationSeparator" w:id="0">
    <w:p w14:paraId="3FF7885D" w14:textId="77777777" w:rsidR="00A7443A" w:rsidRDefault="00E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014537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78855" w14:textId="2BFFEB4E" w:rsidR="00650560" w:rsidRPr="00650560" w:rsidRDefault="00EF53E4">
        <w:pPr>
          <w:pStyle w:val="Header"/>
          <w:jc w:val="center"/>
          <w:rPr>
            <w:rFonts w:ascii="Times New Roman" w:hAnsi="Times New Roman"/>
            <w:sz w:val="24"/>
          </w:rPr>
        </w:pPr>
        <w:r w:rsidRPr="00650560">
          <w:rPr>
            <w:rFonts w:ascii="Times New Roman" w:hAnsi="Times New Roman"/>
            <w:sz w:val="24"/>
          </w:rPr>
          <w:fldChar w:fldCharType="begin"/>
        </w:r>
        <w:r w:rsidRPr="00650560">
          <w:rPr>
            <w:rFonts w:ascii="Times New Roman" w:hAnsi="Times New Roman"/>
            <w:sz w:val="24"/>
          </w:rPr>
          <w:instrText xml:space="preserve"> PAGE   \* MERGEFORMAT </w:instrText>
        </w:r>
        <w:r w:rsidRPr="00650560">
          <w:rPr>
            <w:rFonts w:ascii="Times New Roman" w:hAnsi="Times New Roman"/>
            <w:sz w:val="24"/>
          </w:rPr>
          <w:fldChar w:fldCharType="separate"/>
        </w:r>
        <w:r w:rsidR="00E20DBB">
          <w:rPr>
            <w:rFonts w:ascii="Times New Roman" w:hAnsi="Times New Roman"/>
            <w:noProof/>
            <w:sz w:val="24"/>
          </w:rPr>
          <w:t>4</w:t>
        </w:r>
        <w:r w:rsidRPr="00650560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80C"/>
    <w:multiLevelType w:val="hybridMultilevel"/>
    <w:tmpl w:val="8F3EBF0A"/>
    <w:lvl w:ilvl="0" w:tplc="420E5F26">
      <w:start w:val="1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899A40DE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1564DF1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D2642E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DEC817EA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C6DCA2BA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3C70E97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66E609D6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CDD8898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F5"/>
    <w:rsid w:val="00007638"/>
    <w:rsid w:val="00040FCF"/>
    <w:rsid w:val="00042D8C"/>
    <w:rsid w:val="0008033F"/>
    <w:rsid w:val="000A274A"/>
    <w:rsid w:val="000C6DE8"/>
    <w:rsid w:val="000E0525"/>
    <w:rsid w:val="000E1CDC"/>
    <w:rsid w:val="000E2E6A"/>
    <w:rsid w:val="00114451"/>
    <w:rsid w:val="00134AEF"/>
    <w:rsid w:val="0014203E"/>
    <w:rsid w:val="001D0357"/>
    <w:rsid w:val="001E3ABA"/>
    <w:rsid w:val="002138FA"/>
    <w:rsid w:val="00242D6E"/>
    <w:rsid w:val="0028485D"/>
    <w:rsid w:val="002E6221"/>
    <w:rsid w:val="00332907"/>
    <w:rsid w:val="00341FC1"/>
    <w:rsid w:val="00350DDA"/>
    <w:rsid w:val="00353AA8"/>
    <w:rsid w:val="00355982"/>
    <w:rsid w:val="00356293"/>
    <w:rsid w:val="003F22BB"/>
    <w:rsid w:val="0041303B"/>
    <w:rsid w:val="00474A5F"/>
    <w:rsid w:val="0049725B"/>
    <w:rsid w:val="004D20E5"/>
    <w:rsid w:val="004D2B25"/>
    <w:rsid w:val="004D3AA4"/>
    <w:rsid w:val="004E6E8D"/>
    <w:rsid w:val="00506F7E"/>
    <w:rsid w:val="00552D88"/>
    <w:rsid w:val="00572530"/>
    <w:rsid w:val="00594858"/>
    <w:rsid w:val="0061004C"/>
    <w:rsid w:val="006238C1"/>
    <w:rsid w:val="00650560"/>
    <w:rsid w:val="00671804"/>
    <w:rsid w:val="0068189C"/>
    <w:rsid w:val="006922EE"/>
    <w:rsid w:val="00695FC6"/>
    <w:rsid w:val="00696F3B"/>
    <w:rsid w:val="006C1148"/>
    <w:rsid w:val="006C134A"/>
    <w:rsid w:val="006E42F3"/>
    <w:rsid w:val="007652AB"/>
    <w:rsid w:val="007803BD"/>
    <w:rsid w:val="00780FBE"/>
    <w:rsid w:val="00790CF5"/>
    <w:rsid w:val="007D5085"/>
    <w:rsid w:val="007F623A"/>
    <w:rsid w:val="00820E25"/>
    <w:rsid w:val="00823509"/>
    <w:rsid w:val="0087107C"/>
    <w:rsid w:val="008844E0"/>
    <w:rsid w:val="008A31F7"/>
    <w:rsid w:val="008E232E"/>
    <w:rsid w:val="008E28F9"/>
    <w:rsid w:val="00916498"/>
    <w:rsid w:val="009175E0"/>
    <w:rsid w:val="00921894"/>
    <w:rsid w:val="00950E9C"/>
    <w:rsid w:val="00971C1E"/>
    <w:rsid w:val="00976676"/>
    <w:rsid w:val="009957C9"/>
    <w:rsid w:val="009B418B"/>
    <w:rsid w:val="00A24C14"/>
    <w:rsid w:val="00A36498"/>
    <w:rsid w:val="00A616ED"/>
    <w:rsid w:val="00A73425"/>
    <w:rsid w:val="00A7443A"/>
    <w:rsid w:val="00A77CA1"/>
    <w:rsid w:val="00A85A83"/>
    <w:rsid w:val="00AA0A2B"/>
    <w:rsid w:val="00B1349B"/>
    <w:rsid w:val="00B50721"/>
    <w:rsid w:val="00B865E5"/>
    <w:rsid w:val="00B93D7C"/>
    <w:rsid w:val="00B96283"/>
    <w:rsid w:val="00BC007C"/>
    <w:rsid w:val="00BF0AB7"/>
    <w:rsid w:val="00C2097D"/>
    <w:rsid w:val="00C52388"/>
    <w:rsid w:val="00C607A0"/>
    <w:rsid w:val="00C702D5"/>
    <w:rsid w:val="00C960B4"/>
    <w:rsid w:val="00CB44EF"/>
    <w:rsid w:val="00CB6247"/>
    <w:rsid w:val="00CF4D87"/>
    <w:rsid w:val="00D028DD"/>
    <w:rsid w:val="00D11054"/>
    <w:rsid w:val="00D45CAE"/>
    <w:rsid w:val="00D46C75"/>
    <w:rsid w:val="00D63D2C"/>
    <w:rsid w:val="00DF6D3C"/>
    <w:rsid w:val="00E20DBB"/>
    <w:rsid w:val="00E22405"/>
    <w:rsid w:val="00E41AAD"/>
    <w:rsid w:val="00E968EA"/>
    <w:rsid w:val="00EA0832"/>
    <w:rsid w:val="00EA75A8"/>
    <w:rsid w:val="00EC4F02"/>
    <w:rsid w:val="00EE2709"/>
    <w:rsid w:val="00EF3DC4"/>
    <w:rsid w:val="00EF53E4"/>
    <w:rsid w:val="00F03349"/>
    <w:rsid w:val="00F25178"/>
    <w:rsid w:val="00F712A6"/>
    <w:rsid w:val="00F90556"/>
    <w:rsid w:val="00FB4F1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7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5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CF5"/>
  </w:style>
  <w:style w:type="character" w:styleId="Hyperlink">
    <w:name w:val="Hyperlink"/>
    <w:basedOn w:val="DefaultParagraphFont"/>
    <w:uiPriority w:val="99"/>
    <w:unhideWhenUsed/>
    <w:rsid w:val="00790CF5"/>
    <w:rPr>
      <w:color w:val="0000FF"/>
      <w:u w:val="single"/>
    </w:rPr>
  </w:style>
  <w:style w:type="paragraph" w:customStyle="1" w:styleId="doc-ti">
    <w:name w:val="doc-ti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790CF5"/>
  </w:style>
  <w:style w:type="character" w:customStyle="1" w:styleId="super">
    <w:name w:val="super"/>
    <w:basedOn w:val="DefaultParagraphFont"/>
    <w:rsid w:val="00790CF5"/>
  </w:style>
  <w:style w:type="paragraph" w:customStyle="1" w:styleId="tbl-hdr">
    <w:name w:val="tbl-hdr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90CF5"/>
  </w:style>
  <w:style w:type="paragraph" w:customStyle="1" w:styleId="tbl-txt">
    <w:name w:val="tbl-txt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">
    <w:name w:val="note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6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6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60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56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56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7107C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107C"/>
    <w:rPr>
      <w:rFonts w:ascii="Calibri" w:eastAsia="Times New Roman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EA083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5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CF5"/>
  </w:style>
  <w:style w:type="character" w:styleId="Hyperlink">
    <w:name w:val="Hyperlink"/>
    <w:basedOn w:val="DefaultParagraphFont"/>
    <w:uiPriority w:val="99"/>
    <w:unhideWhenUsed/>
    <w:rsid w:val="00790CF5"/>
    <w:rPr>
      <w:color w:val="0000FF"/>
      <w:u w:val="single"/>
    </w:rPr>
  </w:style>
  <w:style w:type="paragraph" w:customStyle="1" w:styleId="doc-ti">
    <w:name w:val="doc-ti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790CF5"/>
  </w:style>
  <w:style w:type="character" w:customStyle="1" w:styleId="super">
    <w:name w:val="super"/>
    <w:basedOn w:val="DefaultParagraphFont"/>
    <w:rsid w:val="00790CF5"/>
  </w:style>
  <w:style w:type="paragraph" w:customStyle="1" w:styleId="tbl-hdr">
    <w:name w:val="tbl-hdr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90CF5"/>
  </w:style>
  <w:style w:type="paragraph" w:customStyle="1" w:styleId="tbl-txt">
    <w:name w:val="tbl-txt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">
    <w:name w:val="note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6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6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60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56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56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7107C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107C"/>
    <w:rPr>
      <w:rFonts w:ascii="Calibri" w:eastAsia="Times New Roman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EA083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LV/TXT/?uri=CELEX:32014R0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088F-7DA0-4939-91A6-39E8EE69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“Noteikumi par siltumnīcefekta gāzu inventarizācijas un prognožu sagatavošanas nacionālo sistēmu”.</vt:lpstr>
    </vt:vector>
  </TitlesOfParts>
  <Company>Vides aizsardzības un reģionālās attīstības ministrija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“Noteikumi par siltumnīcefekta gāzu inventarizācijas un prognožu sagatavošanas nacionālo sistēmu”.</dc:title>
  <dc:subject>Noteikumu projekta pielikums</dc:subject>
  <dc:creator>Agita.Gancone@varam.gov.lv</dc:creator>
  <dc:description>67026495, agita.gaancone@varam.gov.lv</dc:description>
  <cp:lastModifiedBy>Leontīne Babkina</cp:lastModifiedBy>
  <cp:revision>34</cp:revision>
  <cp:lastPrinted>2017-12-11T08:20:00Z</cp:lastPrinted>
  <dcterms:created xsi:type="dcterms:W3CDTF">2017-03-17T10:41:00Z</dcterms:created>
  <dcterms:modified xsi:type="dcterms:W3CDTF">2017-12-13T13:18:00Z</dcterms:modified>
</cp:coreProperties>
</file>