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A225C" w14:textId="5A19E51A" w:rsidR="00767DAC" w:rsidRPr="002F0280" w:rsidRDefault="00767DAC" w:rsidP="00767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2F0280">
        <w:rPr>
          <w:rFonts w:ascii="Times New Roman" w:eastAsia="Times New Roman" w:hAnsi="Times New Roman" w:cs="Times New Roman"/>
          <w:sz w:val="28"/>
          <w:szCs w:val="28"/>
          <w:lang w:eastAsia="lv-LV"/>
        </w:rPr>
        <w:t>. pielikums</w:t>
      </w:r>
    </w:p>
    <w:p w14:paraId="03750DE6" w14:textId="77777777" w:rsidR="00767DAC" w:rsidRPr="002F0280" w:rsidRDefault="00767DAC" w:rsidP="00767D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028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3CA2E860" w14:textId="529EDCBB" w:rsidR="00767DAC" w:rsidRPr="002F0280" w:rsidRDefault="00767DAC" w:rsidP="00767DA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F0280">
        <w:rPr>
          <w:rFonts w:ascii="Times New Roman" w:hAnsi="Times New Roman" w:cs="Times New Roman"/>
          <w:sz w:val="28"/>
        </w:rPr>
        <w:t xml:space="preserve">2017. gada </w:t>
      </w:r>
      <w:r w:rsidR="00A00313" w:rsidRPr="00A00313">
        <w:rPr>
          <w:rFonts w:ascii="Times New Roman" w:hAnsi="Times New Roman" w:cs="Times New Roman"/>
          <w:sz w:val="28"/>
          <w:szCs w:val="28"/>
        </w:rPr>
        <w:t>12. decembr</w:t>
      </w:r>
      <w:r w:rsidR="00A00313" w:rsidRPr="00A00313">
        <w:rPr>
          <w:rFonts w:ascii="Times New Roman" w:hAnsi="Times New Roman" w:cs="Times New Roman"/>
          <w:sz w:val="28"/>
          <w:szCs w:val="28"/>
        </w:rPr>
        <w:t>a</w:t>
      </w:r>
    </w:p>
    <w:p w14:paraId="50B99114" w14:textId="02A0AA3D" w:rsidR="00767DAC" w:rsidRPr="002F0280" w:rsidRDefault="00767DAC" w:rsidP="00767DA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F0280">
        <w:rPr>
          <w:rFonts w:ascii="Times New Roman" w:hAnsi="Times New Roman" w:cs="Times New Roman"/>
          <w:sz w:val="28"/>
        </w:rPr>
        <w:t>noteikumiem Nr. </w:t>
      </w:r>
      <w:r w:rsidR="00A00313">
        <w:rPr>
          <w:rFonts w:ascii="Times New Roman" w:hAnsi="Times New Roman" w:cs="Times New Roman"/>
          <w:sz w:val="28"/>
        </w:rPr>
        <w:t>737</w:t>
      </w:r>
      <w:bookmarkStart w:id="0" w:name="_GoBack"/>
      <w:bookmarkEnd w:id="0"/>
    </w:p>
    <w:p w14:paraId="7F36C7EE" w14:textId="481D89D6" w:rsidR="00E6625A" w:rsidRPr="001313B5" w:rsidRDefault="004B0346" w:rsidP="004E797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313B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r w:rsidR="005F41B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Plānotie</w:t>
      </w:r>
      <w:r w:rsidR="00036C59" w:rsidRPr="001313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1313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rādītāj</w:t>
      </w:r>
      <w:r w:rsidR="005F41B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1313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A4F6B" w:rsidRPr="001313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2018</w:t>
      </w:r>
      <w:r w:rsidR="005F41B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.–</w:t>
      </w:r>
      <w:r w:rsidRPr="001313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2020., 2025., 2030., 2035., 2040. un 2050. </w:t>
      </w:r>
      <w:r w:rsidR="00E44A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</w:t>
      </w:r>
      <w:r w:rsidR="005F41B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prognožu sagatavošanai</w:t>
      </w:r>
      <w:r w:rsidR="00E44AE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*</w:t>
      </w:r>
    </w:p>
    <w:tbl>
      <w:tblPr>
        <w:tblW w:w="148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5"/>
        <w:gridCol w:w="9803"/>
        <w:gridCol w:w="3895"/>
      </w:tblGrid>
      <w:tr w:rsidR="009F66CA" w14:paraId="7F36C7F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73891223" w14:textId="77777777" w:rsidR="004B0346" w:rsidRDefault="004B0346" w:rsidP="005F41B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</w:t>
            </w:r>
          </w:p>
          <w:p w14:paraId="7F36C7EF" w14:textId="735DF2E5" w:rsidR="00E6625A" w:rsidRPr="001313B5" w:rsidRDefault="004B0346" w:rsidP="005F41B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p.</w:t>
            </w:r>
            <w:r w:rsidR="00B133A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7F36C7F0" w14:textId="77777777" w:rsidR="00E6625A" w:rsidRPr="001313B5" w:rsidRDefault="004B0346" w:rsidP="005F41B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Nozaru rādītāji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7F36C7F1" w14:textId="77777777" w:rsidR="00E6625A" w:rsidRPr="001313B5" w:rsidRDefault="004B0346" w:rsidP="005F41B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Atbildīgā institūcija</w:t>
            </w:r>
          </w:p>
        </w:tc>
      </w:tr>
      <w:tr w:rsidR="009F66CA" w14:paraId="7F36C7F4" w14:textId="77777777" w:rsidTr="005F41B4">
        <w:trPr>
          <w:trHeight w:val="15"/>
          <w:jc w:val="center"/>
        </w:trPr>
        <w:tc>
          <w:tcPr>
            <w:tcW w:w="14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7F3" w14:textId="77777777" w:rsidR="00E6625A" w:rsidRPr="005F41B4" w:rsidRDefault="004B0346" w:rsidP="005F41B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5F41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Makroekonomika</w:t>
            </w:r>
          </w:p>
        </w:tc>
      </w:tr>
      <w:tr w:rsidR="009F66CA" w14:paraId="7F36C7F8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7F5" w14:textId="77777777" w:rsidR="00E6625A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7F6" w14:textId="77777777" w:rsidR="00E6625A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Iekšzemes kopprodukts, faktiskajās cenās, </w:t>
            </w:r>
            <w:r w:rsidR="00326AEE"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miljardos</w:t>
            </w:r>
            <w:r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EUR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7F7" w14:textId="3E12C194" w:rsidR="00E6625A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Ekonomikas ministrija (turpmāk</w:t>
            </w:r>
            <w:r w:rsidR="005F41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 EM)</w:t>
            </w:r>
          </w:p>
        </w:tc>
      </w:tr>
      <w:tr w:rsidR="009F66CA" w14:paraId="7F36C7FC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7F9" w14:textId="77777777" w:rsidR="00E6625A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7FA" w14:textId="77777777" w:rsidR="00E6625A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Iekšzemes kopprodukta pieaugums salīdzināmās cenās, </w:t>
            </w:r>
            <w:r w:rsidR="002A4F6B"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milj</w:t>
            </w:r>
            <w:r w:rsidR="000D171A"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ardos</w:t>
            </w:r>
            <w:r w:rsidR="002A4F6B"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873B7"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EUR un %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7FB" w14:textId="77777777" w:rsidR="00E6625A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00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7FD" w14:textId="77777777" w:rsidR="00E6625A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7FE" w14:textId="77777777" w:rsidR="00E6625A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Iedzīvotāju skaits, tūkst.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7FF" w14:textId="77777777" w:rsidR="00E6625A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04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01" w14:textId="77777777" w:rsidR="00895C8D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02" w14:textId="77777777" w:rsidR="00895C8D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95C8D">
              <w:rPr>
                <w:rFonts w:ascii="Times New Roman" w:hAnsi="Times New Roman" w:cs="Times New Roman"/>
                <w:sz w:val="28"/>
                <w:szCs w:val="28"/>
              </w:rPr>
              <w:t>Privātais patēriņš salīdzināmās cenās, miljardos EUR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03" w14:textId="77777777" w:rsidR="00895C8D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95C8D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</w:p>
        </w:tc>
      </w:tr>
      <w:tr w:rsidR="009F66CA" w14:paraId="7F36C808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05" w14:textId="77777777" w:rsidR="003972FC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5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06" w14:textId="77777777" w:rsidR="003972FC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95C8D">
              <w:rPr>
                <w:rFonts w:ascii="Times New Roman" w:hAnsi="Times New Roman" w:cs="Times New Roman"/>
                <w:sz w:val="28"/>
                <w:szCs w:val="28"/>
              </w:rPr>
              <w:t>Komerciālā un sabiedriskā sektora jeb terciārā sektora pievienotās vērtības izmaiņas (salīdzināmās cenās, milj. EUR un %)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07" w14:textId="77777777" w:rsidR="003972FC" w:rsidRPr="00895C8D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95C8D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</w:p>
        </w:tc>
      </w:tr>
      <w:tr w:rsidR="009F66CA" w14:paraId="7F36C80C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09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0A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Apstrādes rūpniecības pievienotās vērtības izmaiņas (salīdzināmās cenās, miljardos EUR un %)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0B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10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0D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0E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pārtikas rūpniecība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0F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14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11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12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vieglā rūpniecība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13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18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15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16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kokapstrāde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17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1C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19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1A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papīra ražošana un poligrāfija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1B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20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1D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1E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ķīmiskā rūpniecība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1F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24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21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.6.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22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nemetālisko minerālu izstrādājumu ražošana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23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28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25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.7.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26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metālu un metāla izstrādājumu ražošana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27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2C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29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.8.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2A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elektrisko un optisko iekārtu ražošana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2B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30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2D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.9.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2E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mašīnu un iekārtu ražošana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2F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34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31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.10.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32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transportlīdzekļu ražošana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33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38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35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36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pārējās nozares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37" w14:textId="77777777" w:rsidR="003972FC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</w:t>
            </w:r>
          </w:p>
        </w:tc>
      </w:tr>
      <w:tr w:rsidR="009F66CA" w14:paraId="7F36C83A" w14:textId="77777777" w:rsidTr="005F41B4">
        <w:trPr>
          <w:trHeight w:val="15"/>
          <w:jc w:val="center"/>
        </w:trPr>
        <w:tc>
          <w:tcPr>
            <w:tcW w:w="14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39" w14:textId="77777777" w:rsidR="00E6625A" w:rsidRPr="001313B5" w:rsidRDefault="004B0346" w:rsidP="005F41B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II. Enerģētikas nozare</w:t>
            </w:r>
          </w:p>
        </w:tc>
      </w:tr>
      <w:tr w:rsidR="009F66CA" w14:paraId="7F36C83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3B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="005859AF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3C" w14:textId="3D8B8694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Bruto iekšz</w:t>
            </w:r>
            <w:r w:rsidR="005F41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emes energoresursu patēriņš, PJ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3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EM sadarbībā ar </w:t>
            </w:r>
            <w:r w:rsidR="004E7975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Fizikālās enerģētikas institūtu (turpmāk </w:t>
            </w:r>
            <w:r w:rsidR="00124AE0" w:rsidRPr="00124AE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FEI</w:t>
            </w:r>
            <w:r w:rsidR="004E7975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9F66CA" w14:paraId="7F36C84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3F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="005859AF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40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naftas produkti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41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 sadarbībā ar FEI</w:t>
            </w:r>
          </w:p>
        </w:tc>
      </w:tr>
      <w:tr w:rsidR="009F66CA" w14:paraId="7F36C84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43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="005859AF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44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dabasgāze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45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 sadarbībā ar FEI</w:t>
            </w:r>
          </w:p>
        </w:tc>
      </w:tr>
      <w:tr w:rsidR="009F66CA" w14:paraId="7F36C84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47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="005859AF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48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cietie kurināmie (piemēram, ogles, kokss, kūdra)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49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 sadarbībā ar FEI</w:t>
            </w:r>
          </w:p>
        </w:tc>
      </w:tr>
      <w:tr w:rsidR="009F66CA" w14:paraId="7F36C84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4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4C" w14:textId="226E5585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atjaunojamie energoresursi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4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5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4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50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biomasa (neietverot šķidro biodegvielu)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5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5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53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54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šķidrā biodegviela (biodīzeļdegviela, bioetanols)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55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5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57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58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saules enerģija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59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5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5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5C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atjaunojamie energoresursi (piemēram, hidroenerģija, vēja, ģeotermālā enerģija)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5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6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5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60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energoresursi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6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6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63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.6.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64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neto elektroenerģijas imports (–/+)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65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6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67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68" w14:textId="7553F02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Saražotā bruto elektroenerģij</w:t>
            </w:r>
            <w:r w:rsidR="005F41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 pēc energoresursa veida, </w:t>
            </w:r>
            <w:proofErr w:type="spellStart"/>
            <w:r w:rsidR="005F41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GWhe</w:t>
            </w:r>
            <w:proofErr w:type="spellEnd"/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69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6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6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6C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 naftas produktiem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6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7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6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70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 dabasgāzes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7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7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73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74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 cietajiem kurināmajiem (piemēram, ogles, kokss, kūdra)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75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7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77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78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 atjaunojamiem energoresursiem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79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7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7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7C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 citiem energoresursiem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7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8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7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80" w14:textId="654BA88C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En</w:t>
            </w:r>
            <w:r w:rsidR="005F41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erģijas pieprasījums pa nozarēm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8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8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83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84" w14:textId="3BD93CD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en</w:t>
            </w:r>
            <w:r w:rsidR="005F41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erģijas ražošana un pārvade, PJ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85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8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87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88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naftas produkti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89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8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8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8C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dabasgāze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8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9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8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90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cietie kurināmie (piemēram, ogles, kokss, kūdra)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9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9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93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94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atjaunojamie energoresursi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95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9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97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.1.5.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98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energoresursi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99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9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9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9C" w14:textId="4D710468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rūpnie</w:t>
            </w:r>
            <w:r w:rsidR="005F41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cība (ieskaitot būvniecību), PJ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9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A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9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A0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naftas produkti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A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A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A3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A4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dabasgāze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A5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A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A7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A8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cietie kurināmie (piemēram, ogles, kokss, kūdra)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A9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A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A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AC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atjaunojamie energoresursi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A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B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A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.2.5.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B0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elektroenerģija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B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B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B3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.2.6.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B4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siltumenerģija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B5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B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B7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.2.7.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B8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energoresursi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B9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B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B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BC" w14:textId="659D8833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komerciālais un sabiedriskais sek</w:t>
            </w:r>
            <w:r w:rsidR="005F41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tors jeb terciārais sektors, PJ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B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C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B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C0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naftas produkti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C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C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C3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C4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dabasgāze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C5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C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C7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C8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cietie kurināmie (piemēram, ogles, kokss, kūdra)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C9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C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C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CC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atjaunojamie energoresursi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C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D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C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.3.5.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D0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elektroenerģija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D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D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D3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.3.6.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D4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siltumenerģija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D5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D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D7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.3.7.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D8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energoresursi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D9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D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D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DC" w14:textId="0EBC6342" w:rsidR="00980F65" w:rsidRPr="001313B5" w:rsidRDefault="005F41B4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mājsaimniecības, PJ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D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E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D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="00D47B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E0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naftas produkti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E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E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E3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E4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dabasgāze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E5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E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E7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E8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cietie kurināmie (piemēram, ogles, kokss, kūdra)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E9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E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E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EC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atjaunojamie energoresursi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E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F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E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F0" w14:textId="5B857181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autotransports,</w:t>
            </w:r>
            <w:r w:rsidR="005F41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PJ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F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F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F3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F4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benzīns (no tā bioetanols)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F5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F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F7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F8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dīzeļdegviela (no tā biodīzeļdegviela)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F9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8F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F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FC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reaktīvā degviela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F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90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8F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00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naftas produkti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0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90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03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.5.5.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04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dabasgāze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05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90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07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.5.6.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08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atjaunojamie energoresursi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09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90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0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.5.7.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0C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citi energoresursi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0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91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0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.6.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10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apkures grādu dienas, skaits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1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914" w14:textId="77777777" w:rsidTr="005F41B4">
        <w:trPr>
          <w:trHeight w:val="15"/>
          <w:jc w:val="center"/>
        </w:trPr>
        <w:tc>
          <w:tcPr>
            <w:tcW w:w="14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13" w14:textId="77777777" w:rsidR="00E6625A" w:rsidRPr="001313B5" w:rsidRDefault="004B0346" w:rsidP="005F41B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</w:t>
            </w:r>
            <w:r w:rsidR="005859AF" w:rsidRPr="00131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 Transports</w:t>
            </w:r>
          </w:p>
        </w:tc>
      </w:tr>
      <w:tr w:rsidR="009F66CA" w14:paraId="7F36C918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15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  <w:r w:rsidR="005859AF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16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Pasažieru apgrozība sabiedriskajā transportā (autobusi, tramvaji, trolejbusi, dzelzceļš), milj. pasažierkilometru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17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Satiksmes ministrija (turpmāk – SM)</w:t>
            </w:r>
            <w:r w:rsidR="00EE28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sadarbībā ar FEI</w:t>
            </w:r>
          </w:p>
        </w:tc>
      </w:tr>
      <w:tr w:rsidR="009F66CA" w14:paraId="7F36C91C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19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</w:t>
            </w:r>
            <w:r w:rsidR="005859AF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1A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Pasažieru apgrozība autotransportā, milj. pasažierkilometru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1B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</w:t>
            </w:r>
            <w:r w:rsidR="00C77B5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sadarbībā ar FEI</w:t>
            </w:r>
          </w:p>
        </w:tc>
      </w:tr>
      <w:tr w:rsidR="009F66CA" w14:paraId="7F36C920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1D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</w:t>
            </w:r>
            <w:r w:rsidR="005859AF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1E" w14:textId="539D55DE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Kravu apgrozība autotransportā, milj. t</w:t>
            </w:r>
            <w:r w:rsidR="0089468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1F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</w:t>
            </w:r>
            <w:r w:rsidR="00EE285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sadarbībā ar FEI</w:t>
            </w:r>
          </w:p>
        </w:tc>
      </w:tr>
      <w:tr w:rsidR="009F66CA" w14:paraId="7F36C924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21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895C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5859AF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22" w14:textId="63C04F94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Kravu apgrozība dzelzceļā, milj. t</w:t>
            </w:r>
            <w:r w:rsidR="0089468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23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</w:t>
            </w:r>
          </w:p>
        </w:tc>
      </w:tr>
      <w:tr w:rsidR="009F66CA" w14:paraId="7F36C928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25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2A3E4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5859AF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26" w14:textId="2BC7995F" w:rsidR="00E6625A" w:rsidRPr="001313B5" w:rsidRDefault="005F41B4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  <w:r w:rsidR="004B0346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ajā skaitā ar dīzeļlokomotīvēm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27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</w:t>
            </w:r>
          </w:p>
        </w:tc>
      </w:tr>
      <w:tr w:rsidR="009F66CA" w14:paraId="7F36C92C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29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</w:t>
            </w:r>
            <w:r w:rsidR="005859AF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2A" w14:textId="3459D8EA" w:rsidR="00E6625A" w:rsidRPr="001313B5" w:rsidRDefault="005F41B4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="004B0346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 elektrolokomotīvēm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2B" w14:textId="77777777" w:rsidR="00E6625A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SM</w:t>
            </w:r>
          </w:p>
        </w:tc>
      </w:tr>
      <w:tr w:rsidR="009F66CA" w14:paraId="7F36C92E" w14:textId="77777777" w:rsidTr="005F41B4">
        <w:trPr>
          <w:trHeight w:val="15"/>
          <w:jc w:val="center"/>
        </w:trPr>
        <w:tc>
          <w:tcPr>
            <w:tcW w:w="14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2D" w14:textId="77777777" w:rsidR="00E6625A" w:rsidRPr="001313B5" w:rsidRDefault="004B0346" w:rsidP="005F41B4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</w:t>
            </w:r>
            <w:r w:rsidR="005859AF" w:rsidRPr="00131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V. Būvniecība (komerciālajā un sabiedriskajā sektorā jeb terciārajā sektorā)</w:t>
            </w:r>
          </w:p>
        </w:tc>
      </w:tr>
      <w:tr w:rsidR="009F66CA" w14:paraId="7F36C932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2F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D47B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30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Mājokļa vidējā platība uz vienu iedzīvotāju, m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31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936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33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</w:t>
            </w:r>
            <w:r w:rsidR="00D47B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34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Vidējā platība uz vienu nodarbināto komerciālajā un sabiedriskajā sektorā jeb terciārajā sektorā, m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/nodarbināto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35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93A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37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38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Mājokļu skaits, 1000 mājokļu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39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93E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3B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3C" w14:textId="1A5CC7AA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Nodarbināto skaits komerciālajā un sabiedriskajā sektorā jeb terciārajā sektorā, 1000</w:t>
            </w:r>
            <w:r w:rsidR="00B133A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nodarbināto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3D" w14:textId="77777777" w:rsidR="00980F6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EM sadarbībā ar FEI</w:t>
            </w:r>
          </w:p>
        </w:tc>
      </w:tr>
      <w:tr w:rsidR="009F66CA" w14:paraId="7F36C940" w14:textId="77777777" w:rsidTr="005F41B4">
        <w:trPr>
          <w:trHeight w:val="15"/>
          <w:jc w:val="center"/>
        </w:trPr>
        <w:tc>
          <w:tcPr>
            <w:tcW w:w="14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3F" w14:textId="77777777" w:rsidR="00F118BD" w:rsidRPr="001313B5" w:rsidRDefault="004B0346" w:rsidP="005F6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</w:t>
            </w:r>
            <w:r w:rsidRPr="00131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 Lauksaimniecība</w:t>
            </w:r>
          </w:p>
        </w:tc>
      </w:tr>
      <w:tr w:rsidR="009F66CA" w14:paraId="7F36C944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41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42" w14:textId="480B5265" w:rsidR="00F118BD" w:rsidRPr="001313B5" w:rsidRDefault="005F6E51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Liellopi, tūkst.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43" w14:textId="77777777" w:rsidR="00F118BD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Zemkopības ministrija (turpmāk – ZM)</w:t>
            </w:r>
            <w:r w:rsidR="00313981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Latvijas Lauksaimniecības universitāti (turpmāk </w:t>
            </w:r>
            <w:r w:rsidR="00124AE0" w:rsidRPr="00124A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24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81">
              <w:rPr>
                <w:rFonts w:ascii="Times New Roman" w:hAnsi="Times New Roman" w:cs="Times New Roman"/>
                <w:sz w:val="28"/>
                <w:szCs w:val="28"/>
              </w:rPr>
              <w:t>LLU)</w:t>
            </w:r>
          </w:p>
        </w:tc>
      </w:tr>
      <w:tr w:rsidR="009F66CA" w14:paraId="7F36C948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45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46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slaucamās govis, tūkst.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47" w14:textId="77777777" w:rsidR="00F118BD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313981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4C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49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18.2</w:t>
            </w:r>
            <w:r w:rsidRPr="00D47B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4A" w14:textId="34FECE24" w:rsidR="00F118BD" w:rsidRPr="001313B5" w:rsidRDefault="005F6E51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</w:t>
            </w:r>
            <w:r w:rsidR="004B03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idējais </w:t>
            </w:r>
            <w:r w:rsidR="004B0346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izslaukums</w:t>
            </w:r>
            <w:r w:rsidR="004B03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 vienas govs</w:t>
            </w:r>
            <w:r w:rsidR="004B0346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kg g-1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4B" w14:textId="77777777" w:rsidR="00F118BD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50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4D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4E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Aitas, tūkst.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4F" w14:textId="77777777" w:rsidR="00F118BD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54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51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52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Cūkas, tūkst.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53" w14:textId="77777777" w:rsidR="00F118BD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58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55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56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Mājputni, tūkst.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57" w14:textId="77777777" w:rsidR="00F118BD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5C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59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5A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Kazas, tūkst.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5B" w14:textId="77777777" w:rsidR="00F118BD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60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5D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5E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Zirgi, tūkst.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5F" w14:textId="77777777" w:rsidR="00F118BD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64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61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62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Kažokzvēri, tūkst.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63" w14:textId="77777777" w:rsidR="00F118BD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68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65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66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Truši, tūkst.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67" w14:textId="77777777" w:rsidR="00F118BD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6C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69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6A" w14:textId="77777777" w:rsidR="00F118BD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Brieži, tūkst.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6B" w14:textId="77777777" w:rsidR="00F118BD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70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6D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6E" w14:textId="113E97A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Kūtsmēslu apsaimniekošanas sistēmas (šķidrā, cietā vai cita kūtsmēslu uzglabāšana, ganību periods (kopsumma 100 %)) pēc lauksaimniecības dzīvnieku sugas, 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%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6F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 xml:space="preserve">ZM sadarbībā ar </w:t>
            </w:r>
            <w:r w:rsidR="00B7488C">
              <w:rPr>
                <w:rFonts w:ascii="Times New Roman" w:hAnsi="Times New Roman" w:cs="Times New Roman"/>
                <w:sz w:val="28"/>
                <w:szCs w:val="28"/>
              </w:rPr>
              <w:t>LLU</w:t>
            </w:r>
            <w:r w:rsidR="00B7488C" w:rsidRPr="0013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66CA" w14:paraId="7F36C974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71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72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slaucamo govju kūtsmēslu apsaimniekošanas sistēmas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73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 sadarbībā ar LLU</w:t>
            </w:r>
          </w:p>
        </w:tc>
      </w:tr>
      <w:tr w:rsidR="009F66CA" w14:paraId="7F36C978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75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76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pārējo liellopu kūtsmēslu apsaimniekošanas sistēmas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77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 sadarbībā ar LLU</w:t>
            </w:r>
          </w:p>
        </w:tc>
      </w:tr>
      <w:tr w:rsidR="009F66CA" w14:paraId="7F36C97C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79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27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7A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aitu un kazu kūtsmēslu apsaimniekošanas sistēmas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7B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 sadarbībā ar LLU</w:t>
            </w:r>
          </w:p>
        </w:tc>
      </w:tr>
      <w:tr w:rsidR="009F66CA" w14:paraId="7F36C980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7D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7E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cūku kūtsmēslu apsaimniekošanas sistēmas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7F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 sadarbībā ar LLU</w:t>
            </w:r>
          </w:p>
        </w:tc>
      </w:tr>
      <w:tr w:rsidR="009F66CA" w14:paraId="7F36C984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81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82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mājputnu kūtsmēslu apsaimniekošanas sistēmas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83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 sadarbībā ar LLU</w:t>
            </w:r>
          </w:p>
        </w:tc>
      </w:tr>
      <w:tr w:rsidR="009F66CA" w14:paraId="7F36C988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85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86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Slāpekļa daudzums kūtsmēslos pēc lauksaimniecības dzīvnieku sugas, kg/gadā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87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 sadarbībā ar LLU</w:t>
            </w:r>
          </w:p>
        </w:tc>
      </w:tr>
      <w:tr w:rsidR="009F66CA" w14:paraId="7F36C98F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89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8A" w14:textId="77777777" w:rsidR="00CC4FA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Lauksaimniecībā izmantojamās zemes izmantošana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</w:t>
            </w:r>
          </w:p>
          <w:p w14:paraId="7F36C98B" w14:textId="32D365CB" w:rsidR="004E7975" w:rsidRPr="001313B5" w:rsidRDefault="00B133A2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="004B0346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aramzeme (t.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="004B0346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</w:t>
            </w:r>
            <w:r w:rsidR="004B0346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sējumu kopplatība)</w:t>
            </w:r>
          </w:p>
          <w:p w14:paraId="7F36C98C" w14:textId="0565A884" w:rsidR="004E7975" w:rsidRPr="001313B5" w:rsidRDefault="00B133A2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="004B03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4B0346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ilggadīgie stādījumi</w:t>
            </w:r>
          </w:p>
          <w:p w14:paraId="7F36C98D" w14:textId="2A733F53" w:rsidR="004E7975" w:rsidRPr="001313B5" w:rsidRDefault="00B133A2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="004B03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4B0346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pļavas un ganības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8E" w14:textId="4BAF784F" w:rsidR="004E7975" w:rsidRPr="001313B5" w:rsidRDefault="004B0346" w:rsidP="005F6E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 un Latvijas Valsts mežzinātnes institūtu </w:t>
            </w:r>
            <w:r w:rsidR="005F6E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>Silava</w:t>
            </w:r>
            <w:r w:rsidR="005F6E5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(turpmāk </w:t>
            </w:r>
            <w:r w:rsidR="00124AE0" w:rsidRPr="00124A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SILAVA)</w:t>
            </w:r>
          </w:p>
        </w:tc>
      </w:tr>
      <w:tr w:rsidR="009F66CA" w14:paraId="7F36C993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90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91" w14:textId="4D10B3E8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Lauksaimniecības kultūr</w:t>
            </w:r>
            <w:r w:rsidR="00F4632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sējumu platība, 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ha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92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97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94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95" w14:textId="2E20499D" w:rsidR="004E7975" w:rsidRPr="001313B5" w:rsidRDefault="004B0346" w:rsidP="005F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vieš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96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9B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98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99" w14:textId="5F2ED336" w:rsidR="004E7975" w:rsidRPr="001313B5" w:rsidRDefault="004B0346" w:rsidP="005F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iež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9A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9F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9C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9D" w14:textId="4D15381C" w:rsidR="004E7975" w:rsidRPr="001313B5" w:rsidRDefault="004B0346" w:rsidP="005F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uz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as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9E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A3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A0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A1" w14:textId="6EA048ED" w:rsidR="004E7975" w:rsidRPr="001313B5" w:rsidRDefault="004B0346" w:rsidP="005F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udz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A2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A7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A4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A5" w14:textId="60A4147A" w:rsidR="004E7975" w:rsidRPr="001313B5" w:rsidRDefault="004B0346" w:rsidP="005F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pārēj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graudaug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A6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AB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A8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.6.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A9" w14:textId="047BDF45" w:rsidR="004E7975" w:rsidRPr="001313B5" w:rsidRDefault="004B0346" w:rsidP="005F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pākšaug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AA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AF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AC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.7.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AD" w14:textId="33C95C20" w:rsidR="004E7975" w:rsidRPr="001313B5" w:rsidRDefault="004B0346" w:rsidP="005F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tehnisk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ās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kultūr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as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AE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B3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B0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.8.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B1" w14:textId="061BE79F" w:rsidR="004E7975" w:rsidRPr="001313B5" w:rsidRDefault="004B0346" w:rsidP="005F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kartupeļ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B2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B7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B4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.9.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B5" w14:textId="20994E30" w:rsidR="004E7975" w:rsidRPr="001313B5" w:rsidRDefault="004B0346" w:rsidP="005F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dārzeņ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B6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BB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B8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.10.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B9" w14:textId="0DF7CD16" w:rsidR="004E7975" w:rsidRPr="001313B5" w:rsidRDefault="00B133A2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opbarības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zaļbarības kultūras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BA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BF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BC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BD" w14:textId="5DE93162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Lauksaimniecības kultūru 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kopraža, tūkst. t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BE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C3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C0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C1" w14:textId="0144BA58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graudaugi (atsevišķi norādot kviešus, rudzus, miežus, auzas u.</w:t>
            </w:r>
            <w:r w:rsidR="00B133A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c.)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C2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C7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C4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C5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pākšaugi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C6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CB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C8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C9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tehniskās kultūras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CA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CF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CC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CD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kartupeļi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CE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D3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D0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D1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dārzeņi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D2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D7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D4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.6.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D5" w14:textId="1FE00B6B" w:rsidR="004E7975" w:rsidRPr="001313B5" w:rsidRDefault="00B133A2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</w:t>
            </w:r>
            <w:r w:rsidR="004B0346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opbarības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="004B0346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zaļbarības kultūras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D6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DB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D8" w14:textId="77777777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161A0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D9" w14:textId="13D87D66" w:rsidR="004E7975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Izmantotais slāpeklis ar minerālmēslojumu</w:t>
            </w:r>
            <w:r w:rsidR="00CC4F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lauksaimniecības kultū</w:t>
            </w:r>
            <w:r w:rsidR="00F4632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</w:t>
            </w:r>
            <w:r w:rsidR="00CC4F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 mēslošanai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(pārrēķinot 100 % au</w:t>
            </w:r>
            <w:r w:rsidR="005F6E5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gu barības elementos), tūkst. t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DA" w14:textId="77777777" w:rsidR="004E7975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F35836"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9DF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DC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DD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kvieš</w:t>
            </w:r>
            <w:r w:rsidR="00907A6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DE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907A67">
              <w:t xml:space="preserve"> </w:t>
            </w:r>
            <w:r w:rsidR="00907A67" w:rsidRPr="00907A67">
              <w:rPr>
                <w:rFonts w:ascii="Times New Roman" w:hAnsi="Times New Roman" w:cs="Times New Roman"/>
                <w:sz w:val="28"/>
                <w:szCs w:val="28"/>
              </w:rPr>
              <w:t>sadarbībā ar LLU</w:t>
            </w:r>
          </w:p>
        </w:tc>
      </w:tr>
      <w:tr w:rsidR="009F66CA" w14:paraId="7F36C9E3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E0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.2.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E1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miež</w:t>
            </w:r>
            <w:r w:rsidR="00907A6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E2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907A67">
              <w:t xml:space="preserve"> </w:t>
            </w:r>
            <w:r w:rsidR="00907A67" w:rsidRPr="00907A67">
              <w:rPr>
                <w:rFonts w:ascii="Times New Roman" w:hAnsi="Times New Roman" w:cs="Times New Roman"/>
                <w:sz w:val="28"/>
                <w:szCs w:val="28"/>
              </w:rPr>
              <w:t>sadarbībā ar LLU</w:t>
            </w:r>
          </w:p>
        </w:tc>
      </w:tr>
      <w:tr w:rsidR="009F66CA" w14:paraId="7F36C9E7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E4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.3.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E5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auz</w:t>
            </w:r>
            <w:r w:rsidR="00907A6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E6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907A67">
              <w:t xml:space="preserve"> </w:t>
            </w:r>
            <w:r w:rsidR="00907A67" w:rsidRPr="00907A67">
              <w:rPr>
                <w:rFonts w:ascii="Times New Roman" w:hAnsi="Times New Roman" w:cs="Times New Roman"/>
                <w:sz w:val="28"/>
                <w:szCs w:val="28"/>
              </w:rPr>
              <w:t>sadarbībā ar LLU</w:t>
            </w:r>
          </w:p>
        </w:tc>
      </w:tr>
      <w:tr w:rsidR="009F66CA" w14:paraId="7F36C9EB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E8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.4.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E9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rudz</w:t>
            </w:r>
            <w:r w:rsidR="00907A6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EA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907A67">
              <w:t xml:space="preserve"> </w:t>
            </w:r>
            <w:r w:rsidR="00907A67" w:rsidRPr="00907A67">
              <w:rPr>
                <w:rFonts w:ascii="Times New Roman" w:hAnsi="Times New Roman" w:cs="Times New Roman"/>
                <w:sz w:val="28"/>
                <w:szCs w:val="28"/>
              </w:rPr>
              <w:t>sadarbībā ar LLU</w:t>
            </w:r>
          </w:p>
        </w:tc>
      </w:tr>
      <w:tr w:rsidR="009F66CA" w14:paraId="7F36C9EF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EC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.5.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ED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</w:t>
            </w:r>
            <w:r w:rsidR="00907A6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graudaug</w:t>
            </w:r>
            <w:r w:rsidR="00907A6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iem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EE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907A67">
              <w:t xml:space="preserve"> </w:t>
            </w:r>
            <w:r w:rsidR="00907A67" w:rsidRPr="00907A67">
              <w:rPr>
                <w:rFonts w:ascii="Times New Roman" w:hAnsi="Times New Roman" w:cs="Times New Roman"/>
                <w:sz w:val="28"/>
                <w:szCs w:val="28"/>
              </w:rPr>
              <w:t>sadarbībā ar LLU</w:t>
            </w:r>
          </w:p>
        </w:tc>
      </w:tr>
      <w:tr w:rsidR="009F66CA" w14:paraId="7F36C9F3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F0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.6.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F1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pākšaugiem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F2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907A67">
              <w:t xml:space="preserve"> </w:t>
            </w:r>
            <w:r w:rsidR="00907A67" w:rsidRPr="00907A67">
              <w:rPr>
                <w:rFonts w:ascii="Times New Roman" w:hAnsi="Times New Roman" w:cs="Times New Roman"/>
                <w:sz w:val="28"/>
                <w:szCs w:val="28"/>
              </w:rPr>
              <w:t>sadarbībā ar LLU</w:t>
            </w:r>
          </w:p>
        </w:tc>
      </w:tr>
      <w:tr w:rsidR="009F66CA" w14:paraId="7F36C9F7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F4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.7.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F5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tehniskajām kultūrām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F6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907A67">
              <w:t xml:space="preserve"> </w:t>
            </w:r>
            <w:r w:rsidR="00907A67" w:rsidRPr="00907A67">
              <w:rPr>
                <w:rFonts w:ascii="Times New Roman" w:hAnsi="Times New Roman" w:cs="Times New Roman"/>
                <w:sz w:val="28"/>
                <w:szCs w:val="28"/>
              </w:rPr>
              <w:t>sadarbībā ar LLU</w:t>
            </w:r>
          </w:p>
        </w:tc>
      </w:tr>
      <w:tr w:rsidR="009F66CA" w14:paraId="7F36C9FB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F8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.8.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F9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kartupeļiem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FA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907A67">
              <w:t xml:space="preserve"> </w:t>
            </w:r>
            <w:r w:rsidR="00907A67" w:rsidRPr="00907A67">
              <w:rPr>
                <w:rFonts w:ascii="Times New Roman" w:hAnsi="Times New Roman" w:cs="Times New Roman"/>
                <w:sz w:val="28"/>
                <w:szCs w:val="28"/>
              </w:rPr>
              <w:t>sadarbībā ar LLU</w:t>
            </w:r>
          </w:p>
        </w:tc>
      </w:tr>
      <w:tr w:rsidR="009F66CA" w14:paraId="7F36C9FF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FC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.9.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FD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dārzeņiem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9FE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907A67">
              <w:t xml:space="preserve"> </w:t>
            </w:r>
            <w:r w:rsidR="00907A67" w:rsidRPr="00907A67">
              <w:rPr>
                <w:rFonts w:ascii="Times New Roman" w:hAnsi="Times New Roman" w:cs="Times New Roman"/>
                <w:sz w:val="28"/>
                <w:szCs w:val="28"/>
              </w:rPr>
              <w:t>sadarbībā ar LLU</w:t>
            </w:r>
          </w:p>
        </w:tc>
      </w:tr>
      <w:tr w:rsidR="009F66CA" w14:paraId="7F36CA03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00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.10.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01" w14:textId="4914BF7A" w:rsidR="00861B9F" w:rsidRPr="001313B5" w:rsidRDefault="00B133A2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</w:t>
            </w:r>
            <w:r w:rsidR="004B0346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opbarības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–</w:t>
            </w:r>
            <w:r w:rsidR="004B0346"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zaļbarības kultūrām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02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 w:rsidR="00907A67">
              <w:t xml:space="preserve"> </w:t>
            </w:r>
            <w:r w:rsidR="00907A67" w:rsidRPr="00907A67">
              <w:rPr>
                <w:rFonts w:ascii="Times New Roman" w:hAnsi="Times New Roman" w:cs="Times New Roman"/>
                <w:sz w:val="28"/>
                <w:szCs w:val="28"/>
              </w:rPr>
              <w:t>sadarbībā ar LLU</w:t>
            </w:r>
          </w:p>
        </w:tc>
      </w:tr>
      <w:tr w:rsidR="009F66CA" w14:paraId="7F36CA07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04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05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Izmantotais kaļķošanas materiāls, tūkst. t.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06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3B5">
              <w:rPr>
                <w:rFonts w:ascii="Times New Roman" w:hAnsi="Times New Roman" w:cs="Times New Roman"/>
                <w:sz w:val="28"/>
                <w:szCs w:val="28"/>
              </w:rPr>
              <w:t>ZM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sadarbībā ar LLU</w:t>
            </w:r>
          </w:p>
        </w:tc>
      </w:tr>
      <w:tr w:rsidR="009F66CA" w14:paraId="7F36CA09" w14:textId="77777777" w:rsidTr="005F41B4">
        <w:trPr>
          <w:trHeight w:val="15"/>
          <w:jc w:val="center"/>
        </w:trPr>
        <w:tc>
          <w:tcPr>
            <w:tcW w:w="14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08" w14:textId="77777777" w:rsidR="00861B9F" w:rsidRPr="001313B5" w:rsidRDefault="004B0346" w:rsidP="005F6E51">
            <w:pPr>
              <w:spacing w:after="0" w:line="240" w:lineRule="auto"/>
              <w:ind w:firstLine="30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</w:t>
            </w:r>
            <w:r w:rsidRPr="00131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 Zemes izmantošana, zemes izmantošanas maiņa un mežsaimniecība</w:t>
            </w:r>
          </w:p>
        </w:tc>
      </w:tr>
      <w:tr w:rsidR="009F66CA" w14:paraId="7F36CA0D" w14:textId="77777777" w:rsidTr="005F41B4">
        <w:trPr>
          <w:trHeight w:val="15"/>
          <w:jc w:val="center"/>
        </w:trPr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0A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0B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Apmežotā platība valdošo koku sugu un meža tipu griezumā, ha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0C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ZM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sadarbībā ar SILAVA</w:t>
            </w:r>
          </w:p>
        </w:tc>
      </w:tr>
      <w:tr w:rsidR="009F66CA" w14:paraId="7F36CA11" w14:textId="77777777" w:rsidTr="005F41B4">
        <w:trPr>
          <w:trHeight w:val="15"/>
          <w:jc w:val="center"/>
        </w:trPr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0E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0F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Mežizstrāde ciršu veidu, valdošo koku sugu un meža tipu griezumā, m</w:t>
            </w:r>
            <w:r w:rsidRPr="001313B5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10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 xml:space="preserve">ZM </w:t>
            </w:r>
            <w:r>
              <w:rPr>
                <w:rFonts w:ascii="Times New Roman" w:hAnsi="Times New Roman"/>
                <w:sz w:val="28"/>
                <w:szCs w:val="28"/>
              </w:rPr>
              <w:t>sadarbībā ar SILAVA</w:t>
            </w:r>
          </w:p>
        </w:tc>
      </w:tr>
      <w:tr w:rsidR="009F66CA" w14:paraId="7F36CA15" w14:textId="77777777" w:rsidTr="005F41B4">
        <w:trPr>
          <w:trHeight w:val="15"/>
          <w:jc w:val="center"/>
        </w:trPr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12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13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Atmežotā platība meža tipu un zemes izmantošanas veidu griezumā, ha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14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 xml:space="preserve">ZM </w:t>
            </w:r>
            <w:r>
              <w:rPr>
                <w:rFonts w:ascii="Times New Roman" w:hAnsi="Times New Roman"/>
                <w:sz w:val="28"/>
                <w:szCs w:val="28"/>
              </w:rPr>
              <w:t>sadarbībā ar SILAVA</w:t>
            </w:r>
          </w:p>
        </w:tc>
      </w:tr>
      <w:tr w:rsidR="009F66CA" w14:paraId="7F36CA19" w14:textId="77777777" w:rsidTr="005F41B4">
        <w:trPr>
          <w:trHeight w:val="15"/>
          <w:jc w:val="center"/>
        </w:trPr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16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17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Slāpekļa mēslojuma izmantošana mežā, tonnas N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18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 xml:space="preserve">ZM </w:t>
            </w:r>
            <w:r>
              <w:rPr>
                <w:rFonts w:ascii="Times New Roman" w:hAnsi="Times New Roman"/>
                <w:sz w:val="28"/>
                <w:szCs w:val="28"/>
              </w:rPr>
              <w:t>sadarbībā ar SILAVA</w:t>
            </w:r>
          </w:p>
        </w:tc>
      </w:tr>
      <w:tr w:rsidR="009F66CA" w14:paraId="7F36CA1D" w14:textId="77777777" w:rsidTr="005F41B4">
        <w:trPr>
          <w:trHeight w:val="15"/>
          <w:jc w:val="center"/>
        </w:trPr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1A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1B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No jauna ierīkotās un rekonstruētās meliorācijas sistēmas meža zemēs, ha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1C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ZM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sadarbībā ar SILAVA</w:t>
            </w:r>
          </w:p>
        </w:tc>
      </w:tr>
      <w:tr w:rsidR="009F66CA" w14:paraId="7F36CA21" w14:textId="77777777" w:rsidTr="005F41B4">
        <w:trPr>
          <w:trHeight w:val="15"/>
          <w:jc w:val="center"/>
        </w:trPr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1E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1F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Jaunaudžu kopšana meža tipu un valdošās sugas griezumā, ha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20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 xml:space="preserve">ZM </w:t>
            </w:r>
            <w:r>
              <w:rPr>
                <w:rFonts w:ascii="Times New Roman" w:hAnsi="Times New Roman"/>
                <w:sz w:val="28"/>
                <w:szCs w:val="28"/>
              </w:rPr>
              <w:t>sadarbībā ar SILAVA</w:t>
            </w:r>
          </w:p>
        </w:tc>
      </w:tr>
      <w:tr w:rsidR="009F66CA" w14:paraId="7F36CA25" w14:textId="77777777" w:rsidTr="005F41B4">
        <w:trPr>
          <w:trHeight w:val="15"/>
          <w:jc w:val="center"/>
        </w:trPr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22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23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Bojāto (pēc meža ugunsgrēkiem, vējgāzēm vai citiem postījumiem) atjaunoto mežaudžu platība, ha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24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 xml:space="preserve">ZM </w:t>
            </w:r>
            <w:r>
              <w:rPr>
                <w:rFonts w:ascii="Times New Roman" w:hAnsi="Times New Roman"/>
                <w:sz w:val="28"/>
                <w:szCs w:val="28"/>
              </w:rPr>
              <w:t>sadarbībā ar SILAVA</w:t>
            </w:r>
          </w:p>
        </w:tc>
      </w:tr>
      <w:tr w:rsidR="009F66CA" w14:paraId="7F36CA29" w14:textId="77777777" w:rsidTr="005F6E51">
        <w:trPr>
          <w:trHeight w:val="15"/>
          <w:jc w:val="center"/>
        </w:trPr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26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27" w14:textId="77777777" w:rsidR="00861B9F" w:rsidRPr="001313B5" w:rsidRDefault="004B0346" w:rsidP="005F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 xml:space="preserve">Selekcionēta </w:t>
            </w:r>
            <w:proofErr w:type="spellStart"/>
            <w:r w:rsidRPr="001313B5">
              <w:rPr>
                <w:rFonts w:ascii="Times New Roman" w:hAnsi="Times New Roman"/>
                <w:sz w:val="28"/>
                <w:szCs w:val="28"/>
              </w:rPr>
              <w:t>stādmateriāla</w:t>
            </w:r>
            <w:proofErr w:type="spellEnd"/>
            <w:r w:rsidRPr="001313B5">
              <w:rPr>
                <w:rFonts w:ascii="Times New Roman" w:hAnsi="Times New Roman"/>
                <w:sz w:val="28"/>
                <w:szCs w:val="28"/>
              </w:rPr>
              <w:t xml:space="preserve"> izmantošana meža atjaunošanā valdošo sugu griezumā, ha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28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 xml:space="preserve">ZM </w:t>
            </w:r>
            <w:r>
              <w:rPr>
                <w:rFonts w:ascii="Times New Roman" w:hAnsi="Times New Roman"/>
                <w:sz w:val="28"/>
                <w:szCs w:val="28"/>
              </w:rPr>
              <w:t>sadarbībā ar SILAVA</w:t>
            </w:r>
          </w:p>
        </w:tc>
      </w:tr>
      <w:tr w:rsidR="009F66CA" w14:paraId="7F36CA2D" w14:textId="77777777" w:rsidTr="005F6E51">
        <w:trPr>
          <w:trHeight w:val="15"/>
          <w:jc w:val="center"/>
        </w:trPr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2A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2B" w14:textId="77777777" w:rsidR="00861B9F" w:rsidRPr="001313B5" w:rsidRDefault="004B0346" w:rsidP="005F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Atjaunotu mazvērtīgo audžu platība sugu (pēc atjaunošanas) un meža tipu griezumā, ha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2C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 xml:space="preserve">ZM </w:t>
            </w:r>
            <w:r>
              <w:rPr>
                <w:rFonts w:ascii="Times New Roman" w:hAnsi="Times New Roman"/>
                <w:sz w:val="28"/>
                <w:szCs w:val="28"/>
              </w:rPr>
              <w:t>sadarbībā ar SILAVA</w:t>
            </w:r>
          </w:p>
        </w:tc>
      </w:tr>
      <w:tr w:rsidR="009F66CA" w14:paraId="7F36CA31" w14:textId="77777777" w:rsidTr="005F6E51">
        <w:trPr>
          <w:trHeight w:val="15"/>
          <w:jc w:val="center"/>
        </w:trPr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2E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2F" w14:textId="77777777" w:rsidR="00861B9F" w:rsidRPr="001313B5" w:rsidRDefault="004B0346" w:rsidP="005F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Lauksaimniecībā izmantojamo zemju platība kultūru griezumā, ha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30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 xml:space="preserve">ZM </w:t>
            </w:r>
            <w:r>
              <w:rPr>
                <w:rFonts w:ascii="Times New Roman" w:hAnsi="Times New Roman"/>
                <w:sz w:val="28"/>
                <w:szCs w:val="28"/>
              </w:rPr>
              <w:t>sadarbībā ar SILAVA un LLU</w:t>
            </w:r>
          </w:p>
        </w:tc>
      </w:tr>
      <w:tr w:rsidR="009F66CA" w14:paraId="7F36CA35" w14:textId="77777777" w:rsidTr="005F6E51">
        <w:trPr>
          <w:trHeight w:val="15"/>
          <w:jc w:val="center"/>
        </w:trPr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32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33" w14:textId="77777777" w:rsidR="00861B9F" w:rsidRPr="001313B5" w:rsidRDefault="004B0346" w:rsidP="005F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No jauna ierīkotās un rekonstruētās meliorācijas sistēmas lauksaimniecībā izmantojamās zemēs, ha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34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 xml:space="preserve">ZM </w:t>
            </w:r>
            <w:r>
              <w:rPr>
                <w:rFonts w:ascii="Times New Roman" w:hAnsi="Times New Roman"/>
                <w:sz w:val="28"/>
                <w:szCs w:val="28"/>
              </w:rPr>
              <w:t>sadarbībā ar SILAVA</w:t>
            </w:r>
          </w:p>
        </w:tc>
      </w:tr>
      <w:tr w:rsidR="009F66CA" w14:paraId="7F36CA39" w14:textId="77777777" w:rsidTr="005F6E51">
        <w:trPr>
          <w:trHeight w:val="15"/>
          <w:jc w:val="center"/>
        </w:trPr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36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37" w14:textId="77777777" w:rsidR="00861B9F" w:rsidRPr="001313B5" w:rsidRDefault="004B0346" w:rsidP="005F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 xml:space="preserve">No jauna ierīkotie kokaugu stādījumi, tajā skaitā augļudārzi un </w:t>
            </w:r>
            <w:proofErr w:type="spellStart"/>
            <w:r w:rsidRPr="001313B5">
              <w:rPr>
                <w:rFonts w:ascii="Times New Roman" w:hAnsi="Times New Roman"/>
                <w:sz w:val="28"/>
                <w:szCs w:val="28"/>
              </w:rPr>
              <w:t>īscirtmeta</w:t>
            </w:r>
            <w:proofErr w:type="spellEnd"/>
            <w:r w:rsidRPr="001313B5">
              <w:rPr>
                <w:rFonts w:ascii="Times New Roman" w:hAnsi="Times New Roman"/>
                <w:sz w:val="28"/>
                <w:szCs w:val="28"/>
              </w:rPr>
              <w:t xml:space="preserve"> plantācijas lauksaimniecībā izmantojamās zemēs, ha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38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3B5">
              <w:rPr>
                <w:rFonts w:ascii="Times New Roman" w:hAnsi="Times New Roman"/>
                <w:sz w:val="28"/>
                <w:szCs w:val="28"/>
              </w:rPr>
              <w:t>ZM</w:t>
            </w:r>
            <w:r w:rsidRPr="00752E77">
              <w:rPr>
                <w:rFonts w:ascii="Times New Roman" w:hAnsi="Times New Roman"/>
                <w:sz w:val="28"/>
                <w:szCs w:val="28"/>
              </w:rPr>
              <w:t xml:space="preserve"> sadarbībā ar SILAVA</w:t>
            </w:r>
          </w:p>
        </w:tc>
      </w:tr>
      <w:tr w:rsidR="009F66CA" w14:paraId="7F36CA3D" w14:textId="77777777" w:rsidTr="005F6E51">
        <w:trPr>
          <w:trHeight w:val="15"/>
          <w:jc w:val="center"/>
        </w:trPr>
        <w:tc>
          <w:tcPr>
            <w:tcW w:w="1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3A" w14:textId="77777777" w:rsidR="00861B9F" w:rsidRPr="001313B5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3B" w14:textId="4776B478" w:rsidR="00861B9F" w:rsidRPr="00930F48" w:rsidRDefault="004B0346" w:rsidP="005F6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F48">
              <w:rPr>
                <w:rFonts w:ascii="Times New Roman" w:hAnsi="Times New Roman"/>
                <w:sz w:val="28"/>
                <w:szCs w:val="28"/>
              </w:rPr>
              <w:t>Zemes izmantošanas, zemes izmantošanas maiņa un mežsaimniecības sektora zemes kategoriju maiņa sadalījumā pa zemes izmantošanas veidiem, ha</w:t>
            </w:r>
          </w:p>
        </w:tc>
        <w:tc>
          <w:tcPr>
            <w:tcW w:w="38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3C" w14:textId="77777777" w:rsidR="00861B9F" w:rsidRPr="00930F48" w:rsidRDefault="004B0346" w:rsidP="005F4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F48">
              <w:rPr>
                <w:rFonts w:ascii="Times New Roman" w:hAnsi="Times New Roman"/>
                <w:sz w:val="28"/>
                <w:szCs w:val="28"/>
              </w:rPr>
              <w:t>ZM</w:t>
            </w:r>
            <w:r w:rsidRPr="001313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sadarbībā ar SILAVA</w:t>
            </w:r>
          </w:p>
        </w:tc>
      </w:tr>
      <w:tr w:rsidR="009F66CA" w14:paraId="7F36CA3F" w14:textId="77777777" w:rsidTr="005F41B4">
        <w:trPr>
          <w:trHeight w:val="15"/>
          <w:jc w:val="center"/>
        </w:trPr>
        <w:tc>
          <w:tcPr>
            <w:tcW w:w="14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3E" w14:textId="77777777" w:rsidR="00861B9F" w:rsidRPr="00930F48" w:rsidRDefault="004B0346" w:rsidP="005F6E5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</w:t>
            </w:r>
            <w:r w:rsidRPr="00930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 Atkritumu saimniecība</w:t>
            </w:r>
          </w:p>
        </w:tc>
      </w:tr>
      <w:tr w:rsidR="009F66CA" w14:paraId="7F36CA43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40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47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41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Radītais cieto sadzīves atkritumu daudzums, t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42" w14:textId="7CCA2B4A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VARAM sadarbībā Latvijas Vides, ģeoloģijas un meteoroloģijas centr</w:t>
            </w:r>
            <w:r w:rsidR="00B133A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(turpmāk – LVĢMC)</w:t>
            </w:r>
          </w:p>
        </w:tc>
      </w:tr>
      <w:tr w:rsidR="009F66CA" w14:paraId="7F36CA47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44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48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45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Bioloģiski noārdāmo atkritumu daļa no kopējā sadzīves atkritumu daudzuma, %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46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VARAM sadarbībā ar LVĢMC</w:t>
            </w:r>
          </w:p>
        </w:tc>
      </w:tr>
      <w:tr w:rsidR="009F66CA" w14:paraId="7F36CA4B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48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49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49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Cieto sadzīves atkritumu daudzums, kas noglabāti izgāztuvēs, t vai %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4A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VARAM sadarbībā ar LVĢMC</w:t>
            </w:r>
          </w:p>
        </w:tc>
      </w:tr>
      <w:tr w:rsidR="009F66CA" w14:paraId="7F36CA4F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4C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4D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Sadedzināto sadzīves atkritumu daudzums, t vai %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4E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VARAM sadarbībā ar LVĢMC</w:t>
            </w:r>
          </w:p>
        </w:tc>
      </w:tr>
      <w:tr w:rsidR="009F66CA" w14:paraId="7F36CA53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50" w14:textId="77777777" w:rsidR="00861B9F" w:rsidRPr="001313B5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Pr="001313B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51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Kompostēto sadzīves atkritumu daudzums, t vai %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52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VARAM sadarbībā ar LVĢMC</w:t>
            </w:r>
          </w:p>
        </w:tc>
      </w:tr>
      <w:tr w:rsidR="009F66CA" w14:paraId="7F36CA55" w14:textId="77777777" w:rsidTr="005F41B4">
        <w:trPr>
          <w:trHeight w:val="15"/>
          <w:jc w:val="center"/>
        </w:trPr>
        <w:tc>
          <w:tcPr>
            <w:tcW w:w="148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54" w14:textId="77777777" w:rsidR="00861B9F" w:rsidRPr="001313B5" w:rsidRDefault="004B0346" w:rsidP="005F6E5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VIII</w:t>
            </w:r>
            <w:r w:rsidRPr="001313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 Notekūdeņu apsaimniekošana</w:t>
            </w:r>
          </w:p>
        </w:tc>
      </w:tr>
      <w:tr w:rsidR="009F66CA" w14:paraId="7F36CA59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56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57" w14:textId="77777777" w:rsidR="00861B9F" w:rsidRPr="00930F48" w:rsidRDefault="004B0346" w:rsidP="005F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Notekūdeņu attīrīšanas iekārtām piesaistīto iedzīvotāju skaits, </w:t>
            </w:r>
            <w:proofErr w:type="spellStart"/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cilv</w:t>
            </w:r>
            <w:proofErr w:type="spellEnd"/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58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VARAM sadarbībā ar LVĢMC</w:t>
            </w:r>
          </w:p>
        </w:tc>
      </w:tr>
      <w:tr w:rsidR="009F66CA" w14:paraId="7F36CA5D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5A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5B" w14:textId="77777777" w:rsidR="00861B9F" w:rsidRPr="00930F48" w:rsidRDefault="004B0346" w:rsidP="005F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Saražotais un izmantotais/izvietotais notekūdeņu dūņu daudzums, t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5C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VARAM sadarbībā ar LVĢMC</w:t>
            </w:r>
          </w:p>
        </w:tc>
      </w:tr>
      <w:tr w:rsidR="009F66CA" w14:paraId="7F36CA61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5E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5F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Novadītais notekūdeņu daudzums, tūkst. m</w:t>
            </w: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60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VARAM sadarbībā ar LVĢMC</w:t>
            </w:r>
          </w:p>
        </w:tc>
      </w:tr>
      <w:tr w:rsidR="009F66CA" w14:paraId="7F36CA65" w14:textId="77777777" w:rsidTr="005F41B4">
        <w:trPr>
          <w:trHeight w:val="15"/>
          <w:jc w:val="center"/>
        </w:trPr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62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9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63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Vidē novadītais slāpekļa paliekošais piesārņojums ar rūpnieciskajiem notekūdeņiem, t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14:paraId="7F36CA64" w14:textId="77777777" w:rsidR="00861B9F" w:rsidRPr="00930F48" w:rsidRDefault="004B0346" w:rsidP="005F4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30F4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VARAM sadarbībā ar LVĢMC</w:t>
            </w:r>
          </w:p>
        </w:tc>
      </w:tr>
    </w:tbl>
    <w:p w14:paraId="28B13D1E" w14:textId="4FCCCE77" w:rsidR="005F6E51" w:rsidRPr="005F6E51" w:rsidRDefault="005F6E51" w:rsidP="005F6E51">
      <w:pPr>
        <w:tabs>
          <w:tab w:val="left" w:pos="552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F6E5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Piezīme.</w:t>
      </w:r>
    </w:p>
    <w:p w14:paraId="7F36CA66" w14:textId="7CE53454" w:rsidR="00E6625A" w:rsidRPr="005F6E51" w:rsidRDefault="004B0346" w:rsidP="005F6E51">
      <w:pPr>
        <w:tabs>
          <w:tab w:val="left" w:pos="5529"/>
        </w:tabs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  <w:r w:rsidRPr="005F6E51">
        <w:rPr>
          <w:rFonts w:ascii="Times New Roman" w:eastAsia="Times New Roman" w:hAnsi="Times New Roman" w:cs="Times New Roman"/>
          <w:sz w:val="24"/>
          <w:szCs w:val="24"/>
          <w:lang w:eastAsia="lv-LV"/>
        </w:rPr>
        <w:t>*</w:t>
      </w:r>
      <w:r w:rsidRPr="005F6E51">
        <w:rPr>
          <w:rFonts w:ascii="Times New Roman" w:hAnsi="Times New Roman" w:cs="Times New Roman"/>
          <w:sz w:val="24"/>
          <w:szCs w:val="24"/>
        </w:rPr>
        <w:t xml:space="preserve"> </w:t>
      </w:r>
      <w:r w:rsidR="005F6E51">
        <w:rPr>
          <w:rFonts w:ascii="Times New Roman" w:hAnsi="Times New Roman" w:cs="Times New Roman"/>
          <w:sz w:val="24"/>
          <w:szCs w:val="24"/>
        </w:rPr>
        <w:t>Paredzētos</w:t>
      </w:r>
      <w:r w:rsidRPr="005F6E51">
        <w:rPr>
          <w:rFonts w:ascii="Times New Roman" w:hAnsi="Times New Roman" w:cs="Times New Roman"/>
          <w:sz w:val="24"/>
          <w:szCs w:val="24"/>
        </w:rPr>
        <w:t xml:space="preserve"> rādītājus iesnie</w:t>
      </w:r>
      <w:r w:rsidR="005F6E51">
        <w:rPr>
          <w:rFonts w:ascii="Times New Roman" w:hAnsi="Times New Roman" w:cs="Times New Roman"/>
          <w:sz w:val="24"/>
          <w:szCs w:val="24"/>
        </w:rPr>
        <w:t xml:space="preserve">dz </w:t>
      </w:r>
      <w:r w:rsidRPr="005F6E51">
        <w:rPr>
          <w:rFonts w:ascii="Times New Roman" w:hAnsi="Times New Roman" w:cs="Times New Roman"/>
          <w:sz w:val="24"/>
          <w:szCs w:val="24"/>
        </w:rPr>
        <w:t xml:space="preserve">par turpmākajiem gadiem </w:t>
      </w:r>
      <w:r w:rsidR="00E44AE8" w:rsidRPr="005F6E51">
        <w:rPr>
          <w:rFonts w:ascii="Times New Roman" w:hAnsi="Times New Roman" w:cs="Times New Roman"/>
          <w:sz w:val="24"/>
          <w:szCs w:val="24"/>
        </w:rPr>
        <w:t xml:space="preserve">līdz 2035. gadam </w:t>
      </w:r>
      <w:r w:rsidRPr="005F6E51">
        <w:rPr>
          <w:rFonts w:ascii="Times New Roman" w:hAnsi="Times New Roman" w:cs="Times New Roman"/>
          <w:sz w:val="24"/>
          <w:szCs w:val="24"/>
        </w:rPr>
        <w:t xml:space="preserve">un </w:t>
      </w:r>
      <w:r w:rsidR="00B133A2">
        <w:rPr>
          <w:rFonts w:ascii="Times New Roman" w:hAnsi="Times New Roman" w:cs="Times New Roman"/>
          <w:sz w:val="24"/>
          <w:szCs w:val="24"/>
        </w:rPr>
        <w:t>pievieno</w:t>
      </w:r>
      <w:r w:rsidRPr="005F6E51">
        <w:rPr>
          <w:rFonts w:ascii="Times New Roman" w:hAnsi="Times New Roman" w:cs="Times New Roman"/>
          <w:sz w:val="24"/>
          <w:szCs w:val="24"/>
        </w:rPr>
        <w:t xml:space="preserve"> norādi par perspektīvu līdz 2050. gadam.</w:t>
      </w:r>
    </w:p>
    <w:p w14:paraId="210B5AB0" w14:textId="77777777" w:rsidR="00767DAC" w:rsidRPr="005F6E51" w:rsidRDefault="00767DAC" w:rsidP="005F6E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BA2E4BC" w14:textId="77777777" w:rsidR="00767DAC" w:rsidRPr="005F6E51" w:rsidRDefault="00767DAC" w:rsidP="005F41B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32DCF1F" w14:textId="77777777" w:rsidR="00767DAC" w:rsidRPr="005F6E51" w:rsidRDefault="00767DAC" w:rsidP="005F41B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42F2166" w14:textId="77777777" w:rsidR="00855D7D" w:rsidRPr="00656736" w:rsidRDefault="00855D7D" w:rsidP="00656736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 xml:space="preserve">Vides aizsardzības un </w:t>
      </w:r>
    </w:p>
    <w:p w14:paraId="1F210140" w14:textId="77777777" w:rsidR="00855D7D" w:rsidRPr="00656736" w:rsidRDefault="00855D7D" w:rsidP="00656736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656736">
        <w:rPr>
          <w:rFonts w:ascii="Times New Roman" w:hAnsi="Times New Roman"/>
          <w:sz w:val="28"/>
        </w:rPr>
        <w:t>reģionālās attīstības ministra vietā –</w:t>
      </w:r>
    </w:p>
    <w:p w14:paraId="5039BAC2" w14:textId="77777777" w:rsidR="00855D7D" w:rsidRPr="00656736" w:rsidRDefault="00855D7D" w:rsidP="00855D7D">
      <w:pPr>
        <w:shd w:val="clear" w:color="auto" w:fill="FFFFFF"/>
        <w:tabs>
          <w:tab w:val="left" w:pos="907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56736">
        <w:rPr>
          <w:rFonts w:ascii="Times New Roman" w:hAnsi="Times New Roman"/>
          <w:sz w:val="28"/>
          <w:szCs w:val="28"/>
        </w:rPr>
        <w:t>iekšlietu ministrs</w:t>
      </w:r>
      <w:r w:rsidRPr="00656736">
        <w:rPr>
          <w:rFonts w:ascii="Times New Roman" w:hAnsi="Times New Roman"/>
          <w:sz w:val="28"/>
          <w:szCs w:val="28"/>
        </w:rPr>
        <w:tab/>
        <w:t>Rihards Kozlovskis</w:t>
      </w:r>
    </w:p>
    <w:p w14:paraId="0B8EDB6E" w14:textId="421D96CD" w:rsidR="00767DAC" w:rsidRPr="00347B25" w:rsidRDefault="00767DAC" w:rsidP="00767DAC">
      <w:pPr>
        <w:tabs>
          <w:tab w:val="left" w:pos="10206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767DAC" w:rsidRPr="00347B25" w:rsidSect="00767DAC">
      <w:headerReference w:type="default" r:id="rId8"/>
      <w:footerReference w:type="default" r:id="rId9"/>
      <w:footerReference w:type="first" r:id="rId10"/>
      <w:pgSz w:w="16838" w:h="11906" w:orient="landscape"/>
      <w:pgMar w:top="1418" w:right="1418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6CA7C" w14:textId="77777777" w:rsidR="00B133A2" w:rsidRDefault="00B133A2">
      <w:pPr>
        <w:spacing w:after="0" w:line="240" w:lineRule="auto"/>
      </w:pPr>
      <w:r>
        <w:separator/>
      </w:r>
    </w:p>
  </w:endnote>
  <w:endnote w:type="continuationSeparator" w:id="0">
    <w:p w14:paraId="7F36CA7E" w14:textId="77777777" w:rsidR="00B133A2" w:rsidRDefault="00B1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charset w:val="01"/>
    <w:family w:val="auto"/>
    <w:pitch w:val="default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BE0DE" w14:textId="1EC10219" w:rsidR="00B133A2" w:rsidRPr="00767DAC" w:rsidRDefault="00B133A2" w:rsidP="00F20C3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N2425_7p5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F4F44" w14:textId="5C0A2914" w:rsidR="00B133A2" w:rsidRPr="00767DAC" w:rsidRDefault="00B133A2" w:rsidP="00767DA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N2425_7p5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6CA78" w14:textId="77777777" w:rsidR="00B133A2" w:rsidRDefault="00B133A2">
      <w:pPr>
        <w:spacing w:after="0" w:line="240" w:lineRule="auto"/>
      </w:pPr>
      <w:r>
        <w:separator/>
      </w:r>
    </w:p>
  </w:footnote>
  <w:footnote w:type="continuationSeparator" w:id="0">
    <w:p w14:paraId="7F36CA7A" w14:textId="77777777" w:rsidR="00B133A2" w:rsidRDefault="00B1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6CA72" w14:textId="10C12C68" w:rsidR="00B133A2" w:rsidRPr="00741F90" w:rsidRDefault="00A00313" w:rsidP="00767DAC">
    <w:pPr>
      <w:pStyle w:val="Header"/>
      <w:tabs>
        <w:tab w:val="center" w:pos="7143"/>
        <w:tab w:val="left" w:pos="9195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111607606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B133A2" w:rsidRPr="00741F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33A2" w:rsidRPr="00741F90">
          <w:rPr>
            <w:rFonts w:ascii="Times New Roman" w:hAnsi="Times New Roman" w:cs="Times New Roman"/>
            <w:sz w:val="24"/>
            <w:szCs w:val="24"/>
          </w:rPr>
          <w:instrText>PAGE</w:instrText>
        </w:r>
        <w:r w:rsidR="00B133A2" w:rsidRPr="00741F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="00B133A2" w:rsidRPr="00741F9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5A"/>
    <w:rsid w:val="00030B85"/>
    <w:rsid w:val="00035573"/>
    <w:rsid w:val="00036070"/>
    <w:rsid w:val="00036C59"/>
    <w:rsid w:val="0006165B"/>
    <w:rsid w:val="000816B4"/>
    <w:rsid w:val="000D01F0"/>
    <w:rsid w:val="000D171A"/>
    <w:rsid w:val="00113466"/>
    <w:rsid w:val="00124AE0"/>
    <w:rsid w:val="001313B5"/>
    <w:rsid w:val="001319D5"/>
    <w:rsid w:val="00161A02"/>
    <w:rsid w:val="001927F7"/>
    <w:rsid w:val="001A22F9"/>
    <w:rsid w:val="001A6F99"/>
    <w:rsid w:val="001D5531"/>
    <w:rsid w:val="001D60DA"/>
    <w:rsid w:val="001F7F58"/>
    <w:rsid w:val="00216768"/>
    <w:rsid w:val="00236E47"/>
    <w:rsid w:val="00255AE2"/>
    <w:rsid w:val="00275A37"/>
    <w:rsid w:val="00285F15"/>
    <w:rsid w:val="00287192"/>
    <w:rsid w:val="002A3E4F"/>
    <w:rsid w:val="002A4F6B"/>
    <w:rsid w:val="002B72B2"/>
    <w:rsid w:val="002E7AD3"/>
    <w:rsid w:val="002F0AB5"/>
    <w:rsid w:val="00313981"/>
    <w:rsid w:val="00326AEE"/>
    <w:rsid w:val="003308FE"/>
    <w:rsid w:val="0035760C"/>
    <w:rsid w:val="00372E65"/>
    <w:rsid w:val="0038036B"/>
    <w:rsid w:val="00391691"/>
    <w:rsid w:val="003972FC"/>
    <w:rsid w:val="003C2555"/>
    <w:rsid w:val="003E6C48"/>
    <w:rsid w:val="00404BAD"/>
    <w:rsid w:val="00460D13"/>
    <w:rsid w:val="0046594D"/>
    <w:rsid w:val="00477601"/>
    <w:rsid w:val="00483D2D"/>
    <w:rsid w:val="004A2DFE"/>
    <w:rsid w:val="004B0346"/>
    <w:rsid w:val="004E24A5"/>
    <w:rsid w:val="004E7975"/>
    <w:rsid w:val="004F53B2"/>
    <w:rsid w:val="005108D7"/>
    <w:rsid w:val="005171E9"/>
    <w:rsid w:val="0052003C"/>
    <w:rsid w:val="005219BE"/>
    <w:rsid w:val="00522667"/>
    <w:rsid w:val="00545ACB"/>
    <w:rsid w:val="005549CA"/>
    <w:rsid w:val="00564925"/>
    <w:rsid w:val="005859AF"/>
    <w:rsid w:val="005D71D0"/>
    <w:rsid w:val="005E297F"/>
    <w:rsid w:val="005F41B4"/>
    <w:rsid w:val="005F6E51"/>
    <w:rsid w:val="0060371B"/>
    <w:rsid w:val="00606C4E"/>
    <w:rsid w:val="006103B5"/>
    <w:rsid w:val="00654777"/>
    <w:rsid w:val="00655A42"/>
    <w:rsid w:val="006622A1"/>
    <w:rsid w:val="00693E97"/>
    <w:rsid w:val="006A4B1F"/>
    <w:rsid w:val="006B7ED0"/>
    <w:rsid w:val="006C085F"/>
    <w:rsid w:val="006E1D57"/>
    <w:rsid w:val="006F4EAD"/>
    <w:rsid w:val="00700941"/>
    <w:rsid w:val="00741ADF"/>
    <w:rsid w:val="00741F90"/>
    <w:rsid w:val="00752E77"/>
    <w:rsid w:val="00767DAC"/>
    <w:rsid w:val="007760EA"/>
    <w:rsid w:val="007B2D2E"/>
    <w:rsid w:val="007B6F59"/>
    <w:rsid w:val="007E513F"/>
    <w:rsid w:val="007F6413"/>
    <w:rsid w:val="007F6C76"/>
    <w:rsid w:val="007F7154"/>
    <w:rsid w:val="0081436B"/>
    <w:rsid w:val="00814CFB"/>
    <w:rsid w:val="00846ED3"/>
    <w:rsid w:val="00847C8D"/>
    <w:rsid w:val="00847E40"/>
    <w:rsid w:val="00854BFB"/>
    <w:rsid w:val="00855D7D"/>
    <w:rsid w:val="00860167"/>
    <w:rsid w:val="00861B9F"/>
    <w:rsid w:val="00867020"/>
    <w:rsid w:val="00894688"/>
    <w:rsid w:val="00895BD3"/>
    <w:rsid w:val="00895C8D"/>
    <w:rsid w:val="00896CD3"/>
    <w:rsid w:val="008D05E9"/>
    <w:rsid w:val="008E0142"/>
    <w:rsid w:val="008F0747"/>
    <w:rsid w:val="008F1C7F"/>
    <w:rsid w:val="00907A67"/>
    <w:rsid w:val="00930F48"/>
    <w:rsid w:val="00947445"/>
    <w:rsid w:val="00954520"/>
    <w:rsid w:val="00957425"/>
    <w:rsid w:val="00960C71"/>
    <w:rsid w:val="00975234"/>
    <w:rsid w:val="00980F65"/>
    <w:rsid w:val="009909CD"/>
    <w:rsid w:val="009B07D9"/>
    <w:rsid w:val="009B3913"/>
    <w:rsid w:val="009C6051"/>
    <w:rsid w:val="009D3927"/>
    <w:rsid w:val="009F1872"/>
    <w:rsid w:val="009F1BF2"/>
    <w:rsid w:val="009F66CA"/>
    <w:rsid w:val="00A00313"/>
    <w:rsid w:val="00A05336"/>
    <w:rsid w:val="00A21B82"/>
    <w:rsid w:val="00A279C4"/>
    <w:rsid w:val="00A41412"/>
    <w:rsid w:val="00AB3A66"/>
    <w:rsid w:val="00AB4886"/>
    <w:rsid w:val="00AB5739"/>
    <w:rsid w:val="00AB64B5"/>
    <w:rsid w:val="00AD4B7B"/>
    <w:rsid w:val="00AF3C33"/>
    <w:rsid w:val="00B02122"/>
    <w:rsid w:val="00B133A2"/>
    <w:rsid w:val="00B33C4E"/>
    <w:rsid w:val="00B54180"/>
    <w:rsid w:val="00B7488C"/>
    <w:rsid w:val="00BB30F9"/>
    <w:rsid w:val="00BD0A2D"/>
    <w:rsid w:val="00BE4EF4"/>
    <w:rsid w:val="00BE70E0"/>
    <w:rsid w:val="00C14FA6"/>
    <w:rsid w:val="00C46E36"/>
    <w:rsid w:val="00C52964"/>
    <w:rsid w:val="00C756BC"/>
    <w:rsid w:val="00C77B54"/>
    <w:rsid w:val="00C91672"/>
    <w:rsid w:val="00C949D0"/>
    <w:rsid w:val="00C96F33"/>
    <w:rsid w:val="00CB5835"/>
    <w:rsid w:val="00CC4FA5"/>
    <w:rsid w:val="00CD42EB"/>
    <w:rsid w:val="00CF2B5E"/>
    <w:rsid w:val="00CF67A6"/>
    <w:rsid w:val="00D00C45"/>
    <w:rsid w:val="00D31DA8"/>
    <w:rsid w:val="00D47BF1"/>
    <w:rsid w:val="00D724D6"/>
    <w:rsid w:val="00D75DE2"/>
    <w:rsid w:val="00D85B63"/>
    <w:rsid w:val="00D873B7"/>
    <w:rsid w:val="00DD5423"/>
    <w:rsid w:val="00DE7A5B"/>
    <w:rsid w:val="00E16312"/>
    <w:rsid w:val="00E30435"/>
    <w:rsid w:val="00E44AE8"/>
    <w:rsid w:val="00E57D49"/>
    <w:rsid w:val="00E6625A"/>
    <w:rsid w:val="00E741EA"/>
    <w:rsid w:val="00E74585"/>
    <w:rsid w:val="00E80156"/>
    <w:rsid w:val="00EC19B4"/>
    <w:rsid w:val="00EE1E29"/>
    <w:rsid w:val="00EE2855"/>
    <w:rsid w:val="00F118BD"/>
    <w:rsid w:val="00F20C38"/>
    <w:rsid w:val="00F31F5A"/>
    <w:rsid w:val="00F35836"/>
    <w:rsid w:val="00F4632C"/>
    <w:rsid w:val="00F619DE"/>
    <w:rsid w:val="00F63AFC"/>
    <w:rsid w:val="00F64F06"/>
    <w:rsid w:val="00F97277"/>
    <w:rsid w:val="00FA09EA"/>
    <w:rsid w:val="00FD2174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C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00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B3270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32700"/>
    <w:rPr>
      <w:sz w:val="20"/>
      <w:szCs w:val="20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2700"/>
    <w:rPr>
      <w:rFonts w:ascii="Tahoma" w:hAnsi="Tahoma" w:cs="Tahoma"/>
      <w:sz w:val="16"/>
      <w:szCs w:val="16"/>
      <w:lang w:val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2700"/>
    <w:rPr>
      <w:lang w:val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32700"/>
    <w:rPr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F2250"/>
    <w:rPr>
      <w:b/>
      <w:bCs/>
      <w:sz w:val="20"/>
      <w:szCs w:val="20"/>
      <w:lang w:val="lv-LV"/>
    </w:rPr>
  </w:style>
  <w:style w:type="character" w:customStyle="1" w:styleId="InternetLink">
    <w:name w:val="Internet Link"/>
    <w:basedOn w:val="DefaultParagraphFont"/>
    <w:uiPriority w:val="99"/>
    <w:unhideWhenUsed/>
    <w:rsid w:val="00AF2250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AF2250"/>
    <w:rPr>
      <w:rFonts w:ascii="Calibri" w:eastAsia="Times New Roman" w:hAnsi="Calibri" w:cs="Times New Roman"/>
      <w:lang w:val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Ubuntu Condensed" w:eastAsia="WenQuanYi Micro Hei" w:hAnsi="Ubuntu Condensed" w:cs="FreeSans"/>
      <w:sz w:val="36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Ubuntu Condensed" w:hAnsi="Ubuntu Condensed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Ubuntu Condensed" w:hAnsi="Ubuntu Condensed"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Ubuntu Condensed" w:hAnsi="Ubuntu Condensed" w:cs="FreeSan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32700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32700"/>
    <w:pPr>
      <w:spacing w:line="254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27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70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2700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F2250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F2250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sid w:val="007B6F5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79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975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4E79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00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B3270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B32700"/>
    <w:rPr>
      <w:sz w:val="20"/>
      <w:szCs w:val="20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2700"/>
    <w:rPr>
      <w:rFonts w:ascii="Tahoma" w:hAnsi="Tahoma" w:cs="Tahoma"/>
      <w:sz w:val="16"/>
      <w:szCs w:val="16"/>
      <w:lang w:val="lv-LV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32700"/>
    <w:rPr>
      <w:lang w:val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32700"/>
    <w:rPr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F2250"/>
    <w:rPr>
      <w:b/>
      <w:bCs/>
      <w:sz w:val="20"/>
      <w:szCs w:val="20"/>
      <w:lang w:val="lv-LV"/>
    </w:rPr>
  </w:style>
  <w:style w:type="character" w:customStyle="1" w:styleId="InternetLink">
    <w:name w:val="Internet Link"/>
    <w:basedOn w:val="DefaultParagraphFont"/>
    <w:uiPriority w:val="99"/>
    <w:unhideWhenUsed/>
    <w:rsid w:val="00AF2250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AF2250"/>
    <w:rPr>
      <w:rFonts w:ascii="Calibri" w:eastAsia="Times New Roman" w:hAnsi="Calibri" w:cs="Times New Roman"/>
      <w:lang w:val="lv-LV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Ubuntu Condensed" w:eastAsia="WenQuanYi Micro Hei" w:hAnsi="Ubuntu Condensed" w:cs="FreeSans"/>
      <w:sz w:val="36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Ubuntu Condensed" w:hAnsi="Ubuntu Condensed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Ubuntu Condensed" w:hAnsi="Ubuntu Condensed"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Ubuntu Condensed" w:hAnsi="Ubuntu Condensed" w:cs="FreeSan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B32700"/>
    <w:pPr>
      <w:spacing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32700"/>
    <w:pPr>
      <w:spacing w:line="254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27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270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32700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AF2250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F2250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character" w:styleId="Hyperlink">
    <w:name w:val="Hyperlink"/>
    <w:basedOn w:val="DefaultParagraphFont"/>
    <w:uiPriority w:val="99"/>
    <w:unhideWhenUsed/>
    <w:rsid w:val="007B6F5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79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975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4E7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7488-404B-4B87-A60A-28A24B41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6847</Words>
  <Characters>3903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5.pielikums Ministru kabineta noteikumu projektam „Noteikumi par siltumnīcefekta gāzu emisijas vienību inventarizācijas un prognožu sagatavošanas nacionālo sistēmu”</vt:lpstr>
      <vt:lpstr>Pielikums Ministru kabineta noteikumu projektam „Noteikumi par siltumnīcefekta gāzu emisijas vienību inventarizācijas un prognožu sagatavošanas nacionālo sistēmu”</vt:lpstr>
    </vt:vector>
  </TitlesOfParts>
  <Company>Vides aizsardzības un reģionālās attīstības ministrija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 Ministru kabineta noteikumu projektam „Noteikumi par siltumnīcefekta gāzu emisijas vienību inventarizācijas un prognožu sagatavošanas nacionālo sistēmu”</dc:title>
  <dc:subject>Noteikumu projekta pielikums</dc:subject>
  <dc:creator>Agita.Gancone@varam.gov.lv</dc:creator>
  <dc:description>67026495, agita.gancone@varam.gov.lv</dc:description>
  <cp:lastModifiedBy>Leontīne Babkina</cp:lastModifiedBy>
  <cp:revision>28</cp:revision>
  <cp:lastPrinted>2017-11-29T11:37:00Z</cp:lastPrinted>
  <dcterms:created xsi:type="dcterms:W3CDTF">2017-09-04T06:34:00Z</dcterms:created>
  <dcterms:modified xsi:type="dcterms:W3CDTF">2017-12-13T13:19:00Z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