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E0637B" w14:paraId="698E0F10" w14:textId="0E942028">
      <w:pPr>
        <w:pStyle w:val="Title"/>
        <w:rPr>
          <w:sz w:val="28"/>
          <w:szCs w:val="28"/>
        </w:rPr>
      </w:pPr>
      <w:r>
        <w:rPr>
          <w:sz w:val="28"/>
          <w:szCs w:val="28"/>
        </w:rPr>
        <w:t>Likum</w:t>
      </w:r>
      <w:r w:rsidR="00105B33">
        <w:rPr>
          <w:sz w:val="28"/>
          <w:szCs w:val="28"/>
        </w:rPr>
        <w:t xml:space="preserve">projekta </w:t>
      </w:r>
    </w:p>
    <w:p w:rsidR="00E0637B" w14:paraId="09E4D918" w14:textId="534F6297">
      <w:pPr>
        <w:pStyle w:val="Title"/>
        <w:rPr>
          <w:sz w:val="28"/>
          <w:szCs w:val="28"/>
        </w:rPr>
      </w:pPr>
      <w:r>
        <w:rPr>
          <w:sz w:val="28"/>
          <w:szCs w:val="28"/>
        </w:rPr>
        <w:t>"</w:t>
      </w:r>
      <w:r w:rsidR="00347914">
        <w:rPr>
          <w:sz w:val="28"/>
          <w:szCs w:val="28"/>
        </w:rPr>
        <w:t>Grozījumi likumā "Par piesārņojumu"</w:t>
      </w:r>
      <w:r>
        <w:rPr>
          <w:sz w:val="28"/>
          <w:szCs w:val="28"/>
        </w:rPr>
        <w:t>"</w:t>
      </w:r>
    </w:p>
    <w:p w:rsidR="00E0637B" w14:paraId="2B691FFF" w14:textId="77777777">
      <w:pPr>
        <w:pStyle w:val="Title"/>
        <w:rPr>
          <w:sz w:val="28"/>
          <w:szCs w:val="28"/>
        </w:rPr>
      </w:pPr>
      <w:r>
        <w:rPr>
          <w:sz w:val="28"/>
          <w:szCs w:val="28"/>
        </w:rPr>
        <w:t>sākotnējās ietekmes novērtējuma ziņojums (anotācija)</w:t>
      </w:r>
    </w:p>
    <w:p w:rsidR="00E0637B" w:rsidP="00634CE9" w14:paraId="7AFD4EE7" w14:textId="590E9B68">
      <w:pPr>
        <w:pStyle w:val="Title"/>
        <w:tabs>
          <w:tab w:val="left" w:pos="2340"/>
        </w:tabs>
        <w:jc w:val="left"/>
        <w:rPr>
          <w:sz w:val="28"/>
          <w:szCs w:val="28"/>
        </w:rPr>
      </w:pPr>
      <w:r>
        <w:rPr>
          <w:sz w:val="28"/>
          <w:szCs w:val="28"/>
        </w:rPr>
        <w:tab/>
      </w:r>
    </w:p>
    <w:p w:rsidR="005239A1" w14:paraId="33FCAF33" w14:textId="77777777">
      <w:pPr>
        <w:pStyle w:val="Title"/>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2269"/>
        <w:gridCol w:w="6372"/>
      </w:tblGrid>
      <w:tr w14:paraId="509AEE68" w14:textId="7777777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3"/>
            <w:vAlign w:val="center"/>
          </w:tcPr>
          <w:p w:rsidR="00E0637B" w14:paraId="62C8E8E1" w14:textId="77777777">
            <w:pPr>
              <w:spacing w:before="120" w:after="120"/>
              <w:jc w:val="center"/>
              <w:rPr>
                <w:b/>
              </w:rPr>
            </w:pPr>
            <w:r>
              <w:rPr>
                <w:b/>
              </w:rPr>
              <w:t>I. Tiesību akta projekta izstrādes nepieciešamība</w:t>
            </w:r>
          </w:p>
        </w:tc>
      </w:tr>
      <w:tr w14:paraId="5999B509" w14:textId="77777777" w:rsidTr="005239A1">
        <w:tblPrEx>
          <w:tblW w:w="5000" w:type="pct"/>
          <w:tblLook w:val="01E0"/>
        </w:tblPrEx>
        <w:trPr>
          <w:trHeight w:val="1014"/>
        </w:trPr>
        <w:tc>
          <w:tcPr>
            <w:tcW w:w="232" w:type="pct"/>
            <w:tcBorders>
              <w:bottom w:val="single" w:sz="4" w:space="0" w:color="auto"/>
            </w:tcBorders>
          </w:tcPr>
          <w:p w:rsidR="00E0637B" w14:paraId="62B8F07C" w14:textId="77777777">
            <w:pPr>
              <w:jc w:val="center"/>
            </w:pPr>
            <w:r>
              <w:t>1.</w:t>
            </w:r>
          </w:p>
        </w:tc>
        <w:tc>
          <w:tcPr>
            <w:tcW w:w="1252" w:type="pct"/>
            <w:tcBorders>
              <w:bottom w:val="single" w:sz="4" w:space="0" w:color="auto"/>
            </w:tcBorders>
          </w:tcPr>
          <w:p w:rsidR="00E0637B" w14:paraId="6BEEA3AE" w14:textId="77777777">
            <w:r>
              <w:t>Pamatojums</w:t>
            </w:r>
          </w:p>
          <w:p w:rsidR="00E0637B" w14:paraId="3D0A33DC" w14:textId="77777777"/>
        </w:tc>
        <w:tc>
          <w:tcPr>
            <w:tcW w:w="3516" w:type="pct"/>
            <w:tcBorders>
              <w:bottom w:val="single" w:sz="4" w:space="0" w:color="auto"/>
            </w:tcBorders>
          </w:tcPr>
          <w:p w:rsidR="00E0637B" w:rsidP="008C16D1" w14:paraId="4B745D42" w14:textId="66409E46">
            <w:pPr>
              <w:pStyle w:val="Title"/>
              <w:spacing w:before="120" w:after="120"/>
              <w:jc w:val="both"/>
              <w:rPr>
                <w:b w:val="0"/>
              </w:rPr>
            </w:pPr>
            <w:r>
              <w:rPr>
                <w:b w:val="0"/>
              </w:rPr>
              <w:t xml:space="preserve">Likumprojekts </w:t>
            </w:r>
            <w:r w:rsidRPr="008C16D1">
              <w:rPr>
                <w:b w:val="0"/>
              </w:rPr>
              <w:t>"Grozījumi likumā "Par piesārņojumu""</w:t>
            </w:r>
            <w:r w:rsidR="00105B33">
              <w:rPr>
                <w:b w:val="0"/>
              </w:rPr>
              <w:t xml:space="preserve"> (turpmāk </w:t>
            </w:r>
            <w:r w:rsidR="002D15FD">
              <w:rPr>
                <w:b w:val="0"/>
              </w:rPr>
              <w:t xml:space="preserve">– </w:t>
            </w:r>
            <w:r>
              <w:rPr>
                <w:b w:val="0"/>
              </w:rPr>
              <w:t>likumprojekts</w:t>
            </w:r>
            <w:r w:rsidR="00105B33">
              <w:rPr>
                <w:b w:val="0"/>
              </w:rPr>
              <w:t>) izstrādāts, lai:</w:t>
            </w:r>
          </w:p>
          <w:p w:rsidR="00F8515E" w:rsidP="00F8515E" w14:paraId="12DF8E38" w14:textId="11CD41B2">
            <w:pPr>
              <w:pStyle w:val="Title"/>
              <w:spacing w:before="120" w:after="120"/>
              <w:jc w:val="both"/>
              <w:rPr>
                <w:b w:val="0"/>
              </w:rPr>
            </w:pPr>
            <w:r>
              <w:rPr>
                <w:b w:val="0"/>
              </w:rPr>
              <w:t xml:space="preserve">- pārņemtu atsevišķas normas, kas izriet no </w:t>
            </w:r>
            <w:r w:rsidRPr="008C16D1">
              <w:rPr>
                <w:b w:val="0"/>
              </w:rPr>
              <w:t>2016. gada 14. decembr</w:t>
            </w:r>
            <w:r w:rsidR="00405B4D">
              <w:rPr>
                <w:b w:val="0"/>
              </w:rPr>
              <w:t>a</w:t>
            </w:r>
            <w:r w:rsidRPr="008C16D1">
              <w:rPr>
                <w:b w:val="0"/>
              </w:rPr>
              <w:t xml:space="preserve"> E</w:t>
            </w:r>
            <w:r>
              <w:rPr>
                <w:b w:val="0"/>
              </w:rPr>
              <w:t>iropas</w:t>
            </w:r>
            <w:r w:rsidRPr="008C16D1">
              <w:rPr>
                <w:b w:val="0"/>
              </w:rPr>
              <w:t xml:space="preserve"> P</w:t>
            </w:r>
            <w:r>
              <w:rPr>
                <w:b w:val="0"/>
              </w:rPr>
              <w:t>arlamenta</w:t>
            </w:r>
            <w:r w:rsidRPr="008C16D1">
              <w:rPr>
                <w:b w:val="0"/>
              </w:rPr>
              <w:t xml:space="preserve"> </w:t>
            </w:r>
            <w:r>
              <w:rPr>
                <w:b w:val="0"/>
              </w:rPr>
              <w:t>un</w:t>
            </w:r>
            <w:r w:rsidRPr="008C16D1">
              <w:rPr>
                <w:b w:val="0"/>
              </w:rPr>
              <w:t xml:space="preserve"> P</w:t>
            </w:r>
            <w:r>
              <w:rPr>
                <w:b w:val="0"/>
              </w:rPr>
              <w:t>adomes</w:t>
            </w:r>
            <w:r w:rsidRPr="008C16D1">
              <w:rPr>
                <w:b w:val="0"/>
              </w:rPr>
              <w:t xml:space="preserve"> </w:t>
            </w:r>
            <w:r w:rsidRPr="008C16D1">
              <w:t>direktīvas (ES) 2016/2284</w:t>
            </w:r>
            <w:r>
              <w:rPr>
                <w:b w:val="0"/>
              </w:rPr>
              <w:t xml:space="preserve"> </w:t>
            </w:r>
            <w:r w:rsidRPr="008C16D1">
              <w:rPr>
                <w:b w:val="0"/>
              </w:rPr>
              <w:t>par dažu gaisu piesārņojošo vielu valstu emisiju samazināšanu un ar ko groza Direktīvu 2003/35/EK un atceļ Direktīvu 2001/81/EK</w:t>
            </w:r>
            <w:r w:rsidR="000B074B">
              <w:rPr>
                <w:b w:val="0"/>
              </w:rPr>
              <w:t xml:space="preserve"> (turpmāk – direktīva 2016/2284)</w:t>
            </w:r>
            <w:r>
              <w:rPr>
                <w:b w:val="0"/>
              </w:rPr>
              <w:t>;</w:t>
            </w:r>
          </w:p>
          <w:p w:rsidR="00E0637B" w14:paraId="4A2A7AC0" w14:textId="509AC92F">
            <w:pPr>
              <w:pStyle w:val="Title"/>
              <w:spacing w:before="120" w:after="120"/>
              <w:jc w:val="both"/>
              <w:rPr>
                <w:b w:val="0"/>
              </w:rPr>
            </w:pPr>
            <w:r>
              <w:rPr>
                <w:b w:val="0"/>
              </w:rPr>
              <w:t>-</w:t>
            </w:r>
            <w:r w:rsidR="00BF0D32">
              <w:rPr>
                <w:b w:val="0"/>
              </w:rPr>
              <w:t xml:space="preserve"> </w:t>
            </w:r>
            <w:r>
              <w:rPr>
                <w:b w:val="0"/>
              </w:rPr>
              <w:t>līdz 2017.</w:t>
            </w:r>
            <w:r w:rsidR="00BC195A">
              <w:rPr>
                <w:b w:val="0"/>
              </w:rPr>
              <w:t> </w:t>
            </w:r>
            <w:r>
              <w:rPr>
                <w:b w:val="0"/>
              </w:rPr>
              <w:t>gada 19.</w:t>
            </w:r>
            <w:r w:rsidR="00BC195A">
              <w:rPr>
                <w:b w:val="0"/>
              </w:rPr>
              <w:t> </w:t>
            </w:r>
            <w:r>
              <w:rPr>
                <w:b w:val="0"/>
              </w:rPr>
              <w:t xml:space="preserve">decembrim pārņemtu </w:t>
            </w:r>
            <w:r w:rsidR="00E03ADE">
              <w:rPr>
                <w:b w:val="0"/>
              </w:rPr>
              <w:t xml:space="preserve">atsevišķas </w:t>
            </w:r>
            <w:r>
              <w:rPr>
                <w:b w:val="0"/>
              </w:rPr>
              <w:t>Eiropas Parlamenta un Padomes 2015.</w:t>
            </w:r>
            <w:r w:rsidR="00BC195A">
              <w:rPr>
                <w:b w:val="0"/>
              </w:rPr>
              <w:t> </w:t>
            </w:r>
            <w:r>
              <w:rPr>
                <w:b w:val="0"/>
              </w:rPr>
              <w:t>gada 25.</w:t>
            </w:r>
            <w:r w:rsidR="00BC195A">
              <w:rPr>
                <w:b w:val="0"/>
              </w:rPr>
              <w:t> </w:t>
            </w:r>
            <w:r>
              <w:rPr>
                <w:b w:val="0"/>
              </w:rPr>
              <w:t>novembra</w:t>
            </w:r>
            <w:r>
              <w:t xml:space="preserve"> direktīv</w:t>
            </w:r>
            <w:r w:rsidR="00C27A8A">
              <w:t>as</w:t>
            </w:r>
            <w:r>
              <w:t xml:space="preserve"> (ES) 2015/2193</w:t>
            </w:r>
            <w:r w:rsidR="00BC195A">
              <w:t xml:space="preserve"> </w:t>
            </w:r>
            <w:r>
              <w:rPr>
                <w:b w:val="0"/>
              </w:rPr>
              <w:t>par ierobežojumiem attiecībā uz dažu piesārņojošu vielu emisiju gaisā no vidējas jaudas sadedzināšanas iekārtām (turpmāk – direktīva (ES) 2015/2193)</w:t>
            </w:r>
            <w:r w:rsidR="00E03ADE">
              <w:rPr>
                <w:b w:val="0"/>
              </w:rPr>
              <w:t xml:space="preserve"> normas</w:t>
            </w:r>
            <w:r>
              <w:rPr>
                <w:b w:val="0"/>
              </w:rPr>
              <w:t>;</w:t>
            </w:r>
          </w:p>
          <w:p w:rsidR="00F8515E" w:rsidP="00491B7F" w14:paraId="775B2EC0" w14:textId="5F8E89E3">
            <w:pPr>
              <w:pStyle w:val="Title"/>
              <w:spacing w:before="120" w:after="120"/>
              <w:jc w:val="both"/>
              <w:rPr>
                <w:b w:val="0"/>
              </w:rPr>
            </w:pPr>
            <w:r>
              <w:rPr>
                <w:b w:val="0"/>
              </w:rPr>
              <w:t xml:space="preserve">- </w:t>
            </w:r>
            <w:r w:rsidR="00964025">
              <w:rPr>
                <w:b w:val="0"/>
              </w:rPr>
              <w:t>lai pilnībā pārņemtu</w:t>
            </w:r>
            <w:r w:rsidRPr="00FD20A2">
              <w:rPr>
                <w:b w:val="0"/>
              </w:rPr>
              <w:t xml:space="preserve"> iepriekš nepārņemtās vai nepilnīgi pārņemtās</w:t>
            </w:r>
            <w:r>
              <w:rPr>
                <w:b w:val="0"/>
              </w:rPr>
              <w:t xml:space="preserve"> </w:t>
            </w:r>
            <w:r w:rsidR="009154A0">
              <w:rPr>
                <w:b w:val="0"/>
              </w:rPr>
              <w:t>2010. gada 24. </w:t>
            </w:r>
            <w:r w:rsidRPr="009154A0" w:rsidR="009154A0">
              <w:rPr>
                <w:b w:val="0"/>
              </w:rPr>
              <w:t>novembr</w:t>
            </w:r>
            <w:r w:rsidR="009154A0">
              <w:rPr>
                <w:b w:val="0"/>
              </w:rPr>
              <w:t xml:space="preserve">a </w:t>
            </w:r>
            <w:r w:rsidRPr="00491B7F" w:rsidR="00491B7F">
              <w:rPr>
                <w:b w:val="0"/>
              </w:rPr>
              <w:t xml:space="preserve">Eiropas Parlamenta un Padomes </w:t>
            </w:r>
            <w:r w:rsidR="00491B7F">
              <w:t>d</w:t>
            </w:r>
            <w:r w:rsidRPr="00F8515E" w:rsidR="00964025">
              <w:t>irektīv</w:t>
            </w:r>
            <w:r w:rsidR="00C27A8A">
              <w:t>as</w:t>
            </w:r>
            <w:r w:rsidRPr="00F8515E" w:rsidR="00964025">
              <w:t xml:space="preserve"> 2010/75/ES</w:t>
            </w:r>
            <w:r w:rsidR="00491B7F">
              <w:rPr>
                <w:b w:val="0"/>
              </w:rPr>
              <w:t xml:space="preserve"> par rūpnieciskajām </w:t>
            </w:r>
            <w:r w:rsidRPr="00491B7F" w:rsidR="00491B7F">
              <w:rPr>
                <w:b w:val="0"/>
              </w:rPr>
              <w:t>emisijām (piesārņojuma integrēta novēršana un kontrole)</w:t>
            </w:r>
            <w:r w:rsidR="00491B7F">
              <w:rPr>
                <w:b w:val="0"/>
              </w:rPr>
              <w:t xml:space="preserve"> </w:t>
            </w:r>
            <w:r w:rsidR="00B94DDD">
              <w:rPr>
                <w:b w:val="0"/>
              </w:rPr>
              <w:t xml:space="preserve">(turpmāk – direktīva 2010/75/ES) </w:t>
            </w:r>
            <w:r w:rsidR="00964025">
              <w:rPr>
                <w:b w:val="0"/>
              </w:rPr>
              <w:t xml:space="preserve">prasības un </w:t>
            </w:r>
            <w:r w:rsidR="00A752B5">
              <w:rPr>
                <w:b w:val="0"/>
              </w:rPr>
              <w:t>līdz 2017.</w:t>
            </w:r>
            <w:r w:rsidR="00EA7D3B">
              <w:rPr>
                <w:b w:val="0"/>
              </w:rPr>
              <w:t> </w:t>
            </w:r>
            <w:r w:rsidR="00A752B5">
              <w:rPr>
                <w:b w:val="0"/>
              </w:rPr>
              <w:t>gada 31.</w:t>
            </w:r>
            <w:r w:rsidR="00EA7D3B">
              <w:rPr>
                <w:b w:val="0"/>
              </w:rPr>
              <w:t> </w:t>
            </w:r>
            <w:r w:rsidR="00A752B5">
              <w:rPr>
                <w:b w:val="0"/>
              </w:rPr>
              <w:t xml:space="preserve">decembrim </w:t>
            </w:r>
            <w:r>
              <w:rPr>
                <w:b w:val="0"/>
              </w:rPr>
              <w:t xml:space="preserve">izpildītu atbildes vēstulē uz </w:t>
            </w:r>
            <w:r w:rsidR="008C16D1">
              <w:rPr>
                <w:b w:val="0"/>
              </w:rPr>
              <w:t xml:space="preserve"> </w:t>
            </w:r>
            <w:r>
              <w:rPr>
                <w:b w:val="0"/>
              </w:rPr>
              <w:t>Eiropas Komisijas</w:t>
            </w:r>
            <w:r w:rsidRPr="009B40CC" w:rsidR="009B40CC">
              <w:rPr>
                <w:b w:val="0"/>
              </w:rPr>
              <w:t xml:space="preserve"> 2016. gada 23. jūnija pieprasījumu </w:t>
            </w:r>
            <w:r w:rsidRPr="00F8515E" w:rsidR="009B40CC">
              <w:rPr>
                <w:b w:val="0"/>
              </w:rPr>
              <w:t>EU Pilot lietā Nr. 8656/16/ENVI</w:t>
            </w:r>
            <w:r w:rsidRPr="00F8515E" w:rsidR="00964025">
              <w:rPr>
                <w:b w:val="0"/>
              </w:rPr>
              <w:t xml:space="preserve"> </w:t>
            </w:r>
            <w:r w:rsidRPr="00F8515E">
              <w:rPr>
                <w:b w:val="0"/>
              </w:rPr>
              <w:t>solīto</w:t>
            </w:r>
            <w:r w:rsidR="00E03ADE">
              <w:rPr>
                <w:b w:val="0"/>
              </w:rPr>
              <w:t>;</w:t>
            </w:r>
          </w:p>
          <w:p w:rsidR="00CC66D3" w:rsidP="0046002D" w14:paraId="47671B93" w14:textId="089ABE0F">
            <w:pPr>
              <w:pStyle w:val="Title"/>
              <w:spacing w:before="120" w:after="120"/>
              <w:jc w:val="both"/>
              <w:rPr>
                <w:b w:val="0"/>
              </w:rPr>
            </w:pPr>
            <w:r>
              <w:rPr>
                <w:b w:val="0"/>
              </w:rPr>
              <w:t xml:space="preserve">- </w:t>
            </w:r>
            <w:r w:rsidR="00105B33">
              <w:rPr>
                <w:b w:val="0"/>
              </w:rPr>
              <w:t>precizētu atsevišķas šobrīd spēkā esošās prasības</w:t>
            </w:r>
            <w:r w:rsidR="0046002D">
              <w:rPr>
                <w:b w:val="0"/>
              </w:rPr>
              <w:t>.</w:t>
            </w:r>
          </w:p>
        </w:tc>
      </w:tr>
      <w:tr w14:paraId="77EB070C" w14:textId="77777777" w:rsidTr="005239A1">
        <w:tblPrEx>
          <w:tblW w:w="5000" w:type="pct"/>
          <w:tblLook w:val="01E0"/>
        </w:tblPrEx>
        <w:trPr>
          <w:trHeight w:val="416"/>
        </w:trPr>
        <w:tc>
          <w:tcPr>
            <w:tcW w:w="232" w:type="pct"/>
            <w:tcBorders>
              <w:top w:val="single" w:sz="4" w:space="0" w:color="auto"/>
              <w:left w:val="single" w:sz="4" w:space="0" w:color="auto"/>
              <w:bottom w:val="single" w:sz="4" w:space="0" w:color="auto"/>
              <w:right w:val="single" w:sz="4" w:space="0" w:color="auto"/>
            </w:tcBorders>
          </w:tcPr>
          <w:p w:rsidR="00E0637B" w14:paraId="78C303EA" w14:textId="77777777">
            <w:pPr>
              <w:jc w:val="center"/>
            </w:pPr>
            <w:r>
              <w:t>2.</w:t>
            </w:r>
          </w:p>
        </w:tc>
        <w:tc>
          <w:tcPr>
            <w:tcW w:w="1252" w:type="pct"/>
            <w:tcBorders>
              <w:top w:val="single" w:sz="4" w:space="0" w:color="auto"/>
              <w:left w:val="single" w:sz="4" w:space="0" w:color="auto"/>
              <w:bottom w:val="single" w:sz="4" w:space="0" w:color="auto"/>
              <w:right w:val="single" w:sz="4" w:space="0" w:color="auto"/>
            </w:tcBorders>
          </w:tcPr>
          <w:p w:rsidR="00E0637B" w14:paraId="6C7A2C8E" w14:textId="77777777">
            <w:r>
              <w:t>Pašreizējā situācija un problēmas, kuru risināšanai tiesību akta projekts izstrādāts, tiesiskā regulējuma mērķis un būtība</w:t>
            </w:r>
          </w:p>
        </w:tc>
        <w:tc>
          <w:tcPr>
            <w:tcW w:w="3516" w:type="pct"/>
            <w:tcBorders>
              <w:top w:val="single" w:sz="4" w:space="0" w:color="auto"/>
              <w:left w:val="single" w:sz="4" w:space="0" w:color="auto"/>
              <w:bottom w:val="single" w:sz="4" w:space="0" w:color="auto"/>
              <w:right w:val="single" w:sz="4" w:space="0" w:color="auto"/>
            </w:tcBorders>
          </w:tcPr>
          <w:p w:rsidR="000D68DD" w14:paraId="2CE78F91" w14:textId="4B63D53E">
            <w:pPr>
              <w:jc w:val="both"/>
            </w:pPr>
            <w:r w:rsidRPr="007A2185">
              <w:t>Pašreizējā situācija un problēmas</w:t>
            </w:r>
            <w:r w:rsidRPr="007A2185" w:rsidR="001124D6">
              <w:t>, likumprojekta būtība</w:t>
            </w:r>
            <w:r w:rsidRPr="007A2185">
              <w:t>:</w:t>
            </w:r>
          </w:p>
          <w:p w:rsidR="00177C92" w:rsidRPr="00177C92" w14:paraId="4FF87A6C" w14:textId="77777777">
            <w:pPr>
              <w:jc w:val="both"/>
            </w:pPr>
          </w:p>
          <w:p w:rsidR="005239A1" w:rsidRPr="008034B1" w:rsidP="008034B1" w14:paraId="54184521" w14:textId="0A7D6558">
            <w:pPr>
              <w:jc w:val="both"/>
              <w:rPr>
                <w:b/>
              </w:rPr>
            </w:pPr>
            <w:r w:rsidRPr="00FA771C">
              <w:rPr>
                <w:b/>
              </w:rPr>
              <w:t>1)</w:t>
            </w:r>
            <w:r>
              <w:t xml:space="preserve"> </w:t>
            </w:r>
            <w:r w:rsidRPr="00FA5641" w:rsidR="00FA5641">
              <w:rPr>
                <w:b/>
              </w:rPr>
              <w:t>Normas, kas saistītas ar direktīvas</w:t>
            </w:r>
            <w:r w:rsidRPr="00FA5641" w:rsidR="00706CE0">
              <w:rPr>
                <w:b/>
              </w:rPr>
              <w:t xml:space="preserve"> (ES) 2016/2284 </w:t>
            </w:r>
            <w:r w:rsidRPr="00FA5641" w:rsidR="00FA5641">
              <w:rPr>
                <w:b/>
              </w:rPr>
              <w:t>pārņemšanu</w:t>
            </w:r>
            <w:r w:rsidRPr="00FA5641" w:rsidR="00706CE0">
              <w:rPr>
                <w:b/>
              </w:rPr>
              <w:t>:</w:t>
            </w:r>
          </w:p>
          <w:p w:rsidR="005E6526" w:rsidP="008034B1" w14:paraId="4BF4930D" w14:textId="5905EAFC">
            <w:pPr>
              <w:jc w:val="both"/>
            </w:pPr>
            <w:r>
              <w:t xml:space="preserve">- </w:t>
            </w:r>
            <w:r w:rsidR="00BB73E3">
              <w:t>šobrīd Latvijā maksimāli pieļaujamos gaisu piesārņojošo vielu emisiju līmeņus, kurus nedrīkst pārsniegt pēc 2010.</w:t>
            </w:r>
            <w:r w:rsidR="005041EF">
              <w:t> </w:t>
            </w:r>
            <w:r w:rsidR="00BB73E3">
              <w:t>gada</w:t>
            </w:r>
            <w:r w:rsidR="001B0CE5">
              <w:t>,</w:t>
            </w:r>
            <w:r w:rsidR="00BB73E3">
              <w:t xml:space="preserve"> nosaka Ministru kabineta </w:t>
            </w:r>
            <w:r w:rsidR="001B0CE5">
              <w:t xml:space="preserve">2011. gada 31. maija </w:t>
            </w:r>
            <w:r w:rsidR="00BB73E3">
              <w:t xml:space="preserve">noteikumi Nr.419 "Noteikumi par kopējo valstī maksimāli pieļaujamo emisiju gaisā" (turpmāk – MK noteikumi Nr.419).  Atbilstoši direktīvas prasībām </w:t>
            </w:r>
            <w:r>
              <w:t>nepiecie</w:t>
            </w:r>
            <w:r w:rsidR="00FD3C48">
              <w:t>šams pārskatīt Latvijai noteikto</w:t>
            </w:r>
            <w:r>
              <w:t>s gaisu piesārņojošo vielu emisijas samazināšanas mērķus</w:t>
            </w:r>
            <w:r w:rsidR="00BB73E3">
              <w:t xml:space="preserve"> un izvirzīt jaunus mērķus laikam p</w:t>
            </w:r>
            <w:r w:rsidR="005041EF">
              <w:t>ēc 2020. </w:t>
            </w:r>
            <w:r w:rsidR="00BB73E3">
              <w:t>gada, kā arī periodā pēc 2030.</w:t>
            </w:r>
            <w:r w:rsidR="00C27A8A">
              <w:t> </w:t>
            </w:r>
            <w:r w:rsidR="00BB73E3">
              <w:t>gada</w:t>
            </w:r>
            <w:r>
              <w:t>. Likums deleģē šo uzdevumu Ministru kabinetam</w:t>
            </w:r>
            <w:r w:rsidR="00BB73E3">
              <w:t xml:space="preserve"> </w:t>
            </w:r>
            <w:r w:rsidRPr="005239A1" w:rsidR="00BB73E3">
              <w:rPr>
                <w:i/>
              </w:rPr>
              <w:t>(</w:t>
            </w:r>
            <w:r w:rsidR="00C22A46">
              <w:rPr>
                <w:i/>
              </w:rPr>
              <w:t>9</w:t>
            </w:r>
            <w:r w:rsidR="006175DE">
              <w:rPr>
                <w:i/>
              </w:rPr>
              <w:t>.</w:t>
            </w:r>
            <w:r w:rsidR="00953AB9">
              <w:rPr>
                <w:i/>
              </w:rPr>
              <w:t xml:space="preserve"> un 2</w:t>
            </w:r>
            <w:r w:rsidR="008A7376">
              <w:rPr>
                <w:i/>
              </w:rPr>
              <w:t>8</w:t>
            </w:r>
            <w:r w:rsidR="00953AB9">
              <w:rPr>
                <w:i/>
              </w:rPr>
              <w:t>.</w:t>
            </w:r>
            <w:r w:rsidR="006175DE">
              <w:rPr>
                <w:i/>
              </w:rPr>
              <w:t> </w:t>
            </w:r>
            <w:r w:rsidR="004C5BC2">
              <w:rPr>
                <w:i/>
              </w:rPr>
              <w:t>pants</w:t>
            </w:r>
            <w:r w:rsidRPr="005239A1" w:rsidR="00BB73E3">
              <w:rPr>
                <w:i/>
              </w:rPr>
              <w:t>)</w:t>
            </w:r>
            <w:r>
              <w:t>;</w:t>
            </w:r>
          </w:p>
          <w:p w:rsidR="005E6526" w:rsidP="008034B1" w14:paraId="6B22E527" w14:textId="2CE12CA5">
            <w:pPr>
              <w:jc w:val="both"/>
            </w:pPr>
            <w:r>
              <w:t xml:space="preserve">- </w:t>
            </w:r>
            <w:r w:rsidR="00FA5641">
              <w:t>a</w:t>
            </w:r>
            <w:r w:rsidR="005C30E8">
              <w:t xml:space="preserve">tbilstoši </w:t>
            </w:r>
            <w:r w:rsidR="004C5BC2">
              <w:t xml:space="preserve">šobrīd </w:t>
            </w:r>
            <w:r w:rsidR="005C30E8">
              <w:t>izstrādātajām emisiju prognozēm redzams, ka</w:t>
            </w:r>
            <w:r w:rsidR="00E640C9">
              <w:t xml:space="preserve"> Latvijai nāksies veikt papildu</w:t>
            </w:r>
            <w:r w:rsidR="005C30E8">
              <w:t xml:space="preserve"> pasākumus noteikto mērķu sasniegšanai, tādēļ likumprojekts paredz pienākumu</w:t>
            </w:r>
            <w:r>
              <w:t xml:space="preserve"> izstrādāt atbilstošu rīcības programmu </w:t>
            </w:r>
            <w:r w:rsidR="005C30E8">
              <w:t xml:space="preserve">emisiju </w:t>
            </w:r>
            <w:r>
              <w:t>mērķu sasniegšana</w:t>
            </w:r>
            <w:r w:rsidR="00FD3C48">
              <w:t>i</w:t>
            </w:r>
            <w:r w:rsidR="005C30E8">
              <w:t xml:space="preserve"> un dažādu tautsaimniecības sektoru radīto emisiju samazināšanai</w:t>
            </w:r>
            <w:r w:rsidR="00FD3C48">
              <w:t xml:space="preserve">. </w:t>
            </w:r>
            <w:r w:rsidR="005C30E8">
              <w:t>Likumprojekts paredz, ka Vides aizsardzības un reģionālās attīstības ministrija (turpmāk – VARAM) organizē šādas rīcības programmas izstrādi, iesaistot arī citas ministrijas un iestādes, kuru realizētā politika un veiktie pasākumi ietekmē gaisa piesār</w:t>
            </w:r>
            <w:r w:rsidR="00BB73E3">
              <w:t xml:space="preserve">ņojumu </w:t>
            </w:r>
            <w:r w:rsidRPr="005239A1" w:rsidR="00BB73E3">
              <w:rPr>
                <w:i/>
              </w:rPr>
              <w:t>(</w:t>
            </w:r>
            <w:r w:rsidR="008C14BF">
              <w:rPr>
                <w:i/>
              </w:rPr>
              <w:t>9</w:t>
            </w:r>
            <w:r w:rsidRPr="005239A1" w:rsidR="006175DE">
              <w:rPr>
                <w:i/>
              </w:rPr>
              <w:t>. p</w:t>
            </w:r>
            <w:r w:rsidR="004C5BC2">
              <w:rPr>
                <w:i/>
              </w:rPr>
              <w:t>ant</w:t>
            </w:r>
            <w:r w:rsidRPr="005239A1" w:rsidR="006175DE">
              <w:rPr>
                <w:i/>
              </w:rPr>
              <w:t>s</w:t>
            </w:r>
            <w:r w:rsidRPr="005239A1" w:rsidR="00BB73E3">
              <w:rPr>
                <w:i/>
              </w:rPr>
              <w:t>)</w:t>
            </w:r>
            <w:r w:rsidR="00BB73E3">
              <w:t>;</w:t>
            </w:r>
            <w:r w:rsidR="005C30E8">
              <w:t xml:space="preserve"> </w:t>
            </w:r>
          </w:p>
          <w:p w:rsidR="00DE0C81" w:rsidP="00DE0C81" w14:paraId="22C724D7" w14:textId="581ED205">
            <w:pPr>
              <w:jc w:val="both"/>
            </w:pPr>
            <w:r>
              <w:t xml:space="preserve">-  iekļauta prasība, kas pilnvaro Ministru kabinetu noteikt kārtību, kādā tiek veikti gaisu piesārņojošo vielu emisiju aprēķini, tai skaitā, atbildīgās institūcijas, ziņojumu sagatavošanas un iesniegšanas termiņus, kā arī sabiedrībai un Eiropas Komisijai sniedzamo informāciju </w:t>
            </w:r>
            <w:r w:rsidRPr="005239A1">
              <w:rPr>
                <w:i/>
              </w:rPr>
              <w:t>(</w:t>
            </w:r>
            <w:r w:rsidR="008C14BF">
              <w:rPr>
                <w:i/>
              </w:rPr>
              <w:t>9</w:t>
            </w:r>
            <w:r w:rsidRPr="005239A1">
              <w:rPr>
                <w:i/>
              </w:rPr>
              <w:t>.</w:t>
            </w:r>
            <w:r w:rsidRPr="005239A1" w:rsidR="00953AB9">
              <w:rPr>
                <w:i/>
              </w:rPr>
              <w:t xml:space="preserve"> un 2</w:t>
            </w:r>
            <w:r w:rsidRPr="005239A1" w:rsidR="00D9070C">
              <w:rPr>
                <w:i/>
              </w:rPr>
              <w:t>7</w:t>
            </w:r>
            <w:r w:rsidRPr="005239A1" w:rsidR="00953AB9">
              <w:rPr>
                <w:i/>
              </w:rPr>
              <w:t>.</w:t>
            </w:r>
            <w:r w:rsidRPr="004C5BC2">
              <w:rPr>
                <w:i/>
              </w:rPr>
              <w:t> </w:t>
            </w:r>
            <w:r w:rsidRPr="004C5BC2" w:rsidR="004C5BC2">
              <w:rPr>
                <w:i/>
              </w:rPr>
              <w:t>pants</w:t>
            </w:r>
            <w:r w:rsidRPr="005239A1">
              <w:rPr>
                <w:i/>
              </w:rPr>
              <w:t>)</w:t>
            </w:r>
            <w:r>
              <w:t>. Šobrīd spēkā esošajos MK noteikumos Nr.</w:t>
            </w:r>
            <w:r w:rsidR="008B4127">
              <w:t> </w:t>
            </w:r>
            <w:r>
              <w:t xml:space="preserve">419 šīs prasības tika noteiktas pamatojoties uz </w:t>
            </w:r>
            <w:r w:rsidRPr="00740677">
              <w:t>Ministru kabineta iekārtas likuma 31.</w:t>
            </w:r>
            <w:r>
              <w:t> </w:t>
            </w:r>
            <w:r w:rsidRPr="00740677">
              <w:t>panta pirmās daļas 3.</w:t>
            </w:r>
            <w:r>
              <w:t> </w:t>
            </w:r>
            <w:r w:rsidRPr="00740677">
              <w:t>punktu</w:t>
            </w:r>
            <w:r>
              <w:t>, kas būtu jāprecizē.</w:t>
            </w:r>
          </w:p>
          <w:p w:rsidR="00DE0C81" w:rsidRPr="004E3ABA" w:rsidP="00DE0C81" w14:paraId="4CDD221F" w14:textId="528D7D44">
            <w:pPr>
              <w:jc w:val="both"/>
            </w:pPr>
            <w:r>
              <w:t xml:space="preserve">- saistībā ar likumprojekta 10. punktā noteiktajām prasībām precizēta arī likuma darbības joma </w:t>
            </w:r>
            <w:r w:rsidRPr="005239A1">
              <w:rPr>
                <w:i/>
              </w:rPr>
              <w:t>(</w:t>
            </w:r>
            <w:r w:rsidR="008C14BF">
              <w:rPr>
                <w:i/>
              </w:rPr>
              <w:t>4</w:t>
            </w:r>
            <w:r w:rsidR="004C5BC2">
              <w:rPr>
                <w:i/>
              </w:rPr>
              <w:t>. pants</w:t>
            </w:r>
            <w:r w:rsidRPr="005239A1">
              <w:rPr>
                <w:i/>
              </w:rPr>
              <w:t>)</w:t>
            </w:r>
            <w:r>
              <w:t>;</w:t>
            </w:r>
          </w:p>
          <w:p w:rsidR="00076000" w:rsidP="008034B1" w14:paraId="247BA267" w14:textId="5AAD6F1A">
            <w:pPr>
              <w:jc w:val="both"/>
            </w:pPr>
            <w:r>
              <w:t xml:space="preserve">- aktualizētas arī prasības par vides kvalitātes normatīvu ieviešanas rīcības programmu izstrādi </w:t>
            </w:r>
            <w:r w:rsidRPr="005239A1">
              <w:rPr>
                <w:i/>
              </w:rPr>
              <w:t>(</w:t>
            </w:r>
            <w:r w:rsidRPr="005239A1" w:rsidR="008C14BF">
              <w:rPr>
                <w:i/>
              </w:rPr>
              <w:t>1</w:t>
            </w:r>
            <w:r w:rsidR="008C14BF">
              <w:rPr>
                <w:i/>
              </w:rPr>
              <w:t>0</w:t>
            </w:r>
            <w:r w:rsidRPr="005239A1" w:rsidR="00AD209B">
              <w:rPr>
                <w:i/>
              </w:rPr>
              <w:t>. p</w:t>
            </w:r>
            <w:r w:rsidR="00374296">
              <w:rPr>
                <w:i/>
              </w:rPr>
              <w:t>a</w:t>
            </w:r>
            <w:r w:rsidR="004C5BC2">
              <w:rPr>
                <w:i/>
              </w:rPr>
              <w:t>nts</w:t>
            </w:r>
            <w:r w:rsidRPr="005239A1" w:rsidR="00DE0C81">
              <w:rPr>
                <w:i/>
              </w:rPr>
              <w:t>)</w:t>
            </w:r>
            <w:r w:rsidR="00DE0C81">
              <w:t>.</w:t>
            </w:r>
          </w:p>
          <w:p w:rsidR="000B074B" w:rsidRPr="00250DF8" w:rsidP="00250DF8" w14:paraId="1FAA0889" w14:textId="77777777">
            <w:pPr>
              <w:jc w:val="both"/>
            </w:pPr>
          </w:p>
          <w:p w:rsidR="006A32DB" w:rsidP="008034B1" w14:paraId="405F6D47" w14:textId="77777777">
            <w:pPr>
              <w:jc w:val="both"/>
            </w:pPr>
            <w:r w:rsidRPr="00FA771C">
              <w:rPr>
                <w:b/>
              </w:rPr>
              <w:t>2)</w:t>
            </w:r>
            <w:r>
              <w:t xml:space="preserve"> </w:t>
            </w:r>
            <w:r w:rsidRPr="00FA5641" w:rsidR="00FA5641">
              <w:rPr>
                <w:b/>
              </w:rPr>
              <w:t>Normas, kas saistītas ar direktīvas (ES) 201</w:t>
            </w:r>
            <w:r w:rsidR="003C2CD5">
              <w:rPr>
                <w:b/>
              </w:rPr>
              <w:t>5</w:t>
            </w:r>
            <w:r w:rsidRPr="00FA5641" w:rsidR="00FA5641">
              <w:rPr>
                <w:b/>
              </w:rPr>
              <w:t>/2</w:t>
            </w:r>
            <w:r w:rsidR="003C2CD5">
              <w:rPr>
                <w:b/>
              </w:rPr>
              <w:t>193</w:t>
            </w:r>
            <w:r w:rsidRPr="00FA5641" w:rsidR="00FA5641">
              <w:rPr>
                <w:b/>
              </w:rPr>
              <w:t xml:space="preserve"> pārņemšanu:</w:t>
            </w:r>
            <w:r w:rsidR="005A1993">
              <w:t xml:space="preserve"> </w:t>
            </w:r>
          </w:p>
          <w:p w:rsidR="00F90181" w:rsidP="008034B1" w14:paraId="2B2B1A93" w14:textId="77777777">
            <w:pPr>
              <w:jc w:val="both"/>
            </w:pPr>
            <w:r>
              <w:t xml:space="preserve">- </w:t>
            </w:r>
            <w:r>
              <w:t>šobrīd vairākas no likumā noteiktajām prasībām tiek attiecinātas tikai uz A vai B kategorijas piesārņojošajām darbībām, taču lai precīzi pārņemtu Direktīvas (ES) 2015/2193 noteiktās prasības,  nepieciešams precizēt vairākas spēkā esošās normas</w:t>
            </w:r>
            <w:r w:rsidR="00A973AB">
              <w:t xml:space="preserve">, lai noteiktās prasības attiecinātu arī uz C kategorijas </w:t>
            </w:r>
            <w:r w:rsidR="00D12B0A">
              <w:t xml:space="preserve">piesārņojošajām </w:t>
            </w:r>
            <w:r w:rsidR="00A973AB">
              <w:t>darbībām</w:t>
            </w:r>
            <w:r w:rsidR="00D948B7">
              <w:t xml:space="preserve">. </w:t>
            </w:r>
          </w:p>
          <w:p w:rsidR="006842D3" w:rsidP="008034B1" w14:paraId="73F5E97F" w14:textId="1AC9E524">
            <w:pPr>
              <w:jc w:val="both"/>
            </w:pPr>
            <w:r>
              <w:t>Likumprojekts p</w:t>
            </w:r>
            <w:r w:rsidR="00D948B7">
              <w:t>aredz</w:t>
            </w:r>
            <w:r w:rsidR="003D3EDA">
              <w:t xml:space="preserve"> </w:t>
            </w:r>
            <w:r w:rsidR="00D417D8">
              <w:t>iespēj</w:t>
            </w:r>
            <w:r>
              <w:t>u</w:t>
            </w:r>
            <w:r w:rsidR="00D417D8">
              <w:t xml:space="preserve"> </w:t>
            </w:r>
            <w:r w:rsidR="00690DE0">
              <w:t xml:space="preserve">pārkāpuma gadījumā </w:t>
            </w:r>
            <w:r w:rsidR="00D417D8">
              <w:t xml:space="preserve">apturēt ne tikai A </w:t>
            </w:r>
            <w:r w:rsidR="00125384">
              <w:t>vai</w:t>
            </w:r>
            <w:r w:rsidR="00D417D8">
              <w:t xml:space="preserve"> B kategorijas darbības</w:t>
            </w:r>
            <w:r w:rsidR="005228E7">
              <w:t xml:space="preserve">, bet arī C kategorijas darbības, </w:t>
            </w:r>
            <w:r w:rsidR="00A973AB">
              <w:t xml:space="preserve"> </w:t>
            </w:r>
            <w:r w:rsidR="00FF3104">
              <w:t xml:space="preserve">kā arī </w:t>
            </w:r>
            <w:r w:rsidR="003D3EDA">
              <w:t xml:space="preserve">noteikts </w:t>
            </w:r>
            <w:r w:rsidR="00FF3104">
              <w:t xml:space="preserve">pienākums informēt ne tikai par </w:t>
            </w:r>
            <w:r w:rsidR="00125384">
              <w:t>A vai</w:t>
            </w:r>
            <w:r w:rsidR="00FF3104">
              <w:t xml:space="preserve"> B kategorijas atļauju nosacījumu pārkāpumiem, bet arī par C kategorijas darbību neatbilstību normatīvo aktu prasībām</w:t>
            </w:r>
            <w:r w:rsidR="003D3EDA">
              <w:t>. Noteikt</w:t>
            </w:r>
            <w:r w:rsidR="00D948B7">
              <w:t xml:space="preserve">a </w:t>
            </w:r>
            <w:r w:rsidR="003D3EDA">
              <w:t>arī</w:t>
            </w:r>
            <w:r w:rsidR="00DB7C14">
              <w:t xml:space="preserve"> </w:t>
            </w:r>
            <w:r w:rsidR="00D948B7">
              <w:t xml:space="preserve">prasība operatoram </w:t>
            </w:r>
            <w:r w:rsidR="003D3EDA">
              <w:t>veikt gaisu piesārņojošo vielu emisiju monitoringu ne tikai A vai B kategorijas darbīb</w:t>
            </w:r>
            <w:r w:rsidR="00D948B7">
              <w:t>ām</w:t>
            </w:r>
            <w:r w:rsidR="003D3EDA">
              <w:t xml:space="preserve">, bet sadedzināšanas iekārtu gadījumā – arī </w:t>
            </w:r>
            <w:r w:rsidR="00DB7C14">
              <w:t>C kategorijas darbībām</w:t>
            </w:r>
            <w:r w:rsidR="005228E7">
              <w:t xml:space="preserve"> </w:t>
            </w:r>
            <w:r w:rsidRPr="005239A1" w:rsidR="00FF3104">
              <w:rPr>
                <w:i/>
              </w:rPr>
              <w:t>(</w:t>
            </w:r>
            <w:r w:rsidR="008C14BF">
              <w:rPr>
                <w:i/>
              </w:rPr>
              <w:t>6</w:t>
            </w:r>
            <w:r w:rsidRPr="005239A1" w:rsidR="0051013D">
              <w:rPr>
                <w:i/>
              </w:rPr>
              <w:t>.</w:t>
            </w:r>
            <w:r w:rsidRPr="005239A1" w:rsidR="0071603F">
              <w:rPr>
                <w:i/>
              </w:rPr>
              <w:t>, 22.</w:t>
            </w:r>
            <w:r w:rsidR="00F51FD2">
              <w:rPr>
                <w:i/>
              </w:rPr>
              <w:t>,</w:t>
            </w:r>
            <w:r w:rsidRPr="005239A1" w:rsidR="0071603F">
              <w:rPr>
                <w:i/>
              </w:rPr>
              <w:t xml:space="preserve"> 23. </w:t>
            </w:r>
            <w:r w:rsidR="00F51FD2">
              <w:rPr>
                <w:i/>
              </w:rPr>
              <w:t>un 24. </w:t>
            </w:r>
            <w:r w:rsidRPr="005239A1" w:rsidR="0071603F">
              <w:rPr>
                <w:i/>
              </w:rPr>
              <w:t>p</w:t>
            </w:r>
            <w:r w:rsidR="004C5BC2">
              <w:rPr>
                <w:i/>
              </w:rPr>
              <w:t>ants</w:t>
            </w:r>
            <w:r w:rsidRPr="005239A1" w:rsidR="00FF3104">
              <w:rPr>
                <w:i/>
              </w:rPr>
              <w:t>)</w:t>
            </w:r>
            <w:r w:rsidR="00FA771C">
              <w:t>;</w:t>
            </w:r>
          </w:p>
          <w:p w:rsidR="005A1993" w:rsidP="008034B1" w14:paraId="55CF3275" w14:textId="2DACD628">
            <w:pPr>
              <w:jc w:val="both"/>
            </w:pPr>
            <w:r>
              <w:t xml:space="preserve">- šobrīd termina </w:t>
            </w:r>
            <w:r w:rsidR="00886B05">
              <w:t xml:space="preserve">"būtiska izmaiņa" </w:t>
            </w:r>
            <w:r>
              <w:t>skaidrojums ir diezgan neskaidrs un sarežģīti piemērojams praksē, jo ne vienmēr ir iespējams saprast, kuros gadījumos tiešām prognozējam</w:t>
            </w:r>
            <w:r w:rsidR="00EF0C0C">
              <w:t>a</w:t>
            </w:r>
            <w:r>
              <w:t xml:space="preserve"> būtiska ietekme uz cilvēku veselību un vidi. Ņemot vērā, ka emisijas robežvērtības noteiktas tā, lai aizsargātu cilvēku veselību un vidi, tad to </w:t>
            </w:r>
            <w:r w:rsidR="004C5BC2">
              <w:t xml:space="preserve">pārsniegšanas </w:t>
            </w:r>
            <w:r>
              <w:t>gadījumā iespējama būtiska ietekme uz cilvēku veselību un vidi, tādēļ likumprojektā veikta</w:t>
            </w:r>
            <w:r w:rsidR="00A973AB">
              <w:t xml:space="preserve"> </w:t>
            </w:r>
            <w:r>
              <w:t xml:space="preserve">termina "būtiska izmaiņa" precizējums, </w:t>
            </w:r>
            <w:r>
              <w:t>nosakot, ka emisijas robežvērtību izmaiņas arī saistītas ar būtisku ietekmi</w:t>
            </w:r>
            <w:r>
              <w:t xml:space="preserve"> </w:t>
            </w:r>
            <w:r w:rsidRPr="005239A1">
              <w:rPr>
                <w:i/>
              </w:rPr>
              <w:t>(</w:t>
            </w:r>
            <w:r w:rsidR="004B5D44">
              <w:rPr>
                <w:i/>
              </w:rPr>
              <w:t>3. </w:t>
            </w:r>
            <w:r w:rsidRPr="00CE085A">
              <w:rPr>
                <w:i/>
              </w:rPr>
              <w:t>p</w:t>
            </w:r>
            <w:r w:rsidR="004C5BC2">
              <w:rPr>
                <w:i/>
              </w:rPr>
              <w:t>ants</w:t>
            </w:r>
            <w:r>
              <w:t>)</w:t>
            </w:r>
            <w:r w:rsidR="00DA55BC">
              <w:t>;</w:t>
            </w:r>
          </w:p>
          <w:p w:rsidR="00F943C8" w:rsidP="008034B1" w14:paraId="6BCA5790" w14:textId="5C95882E">
            <w:pPr>
              <w:jc w:val="both"/>
            </w:pPr>
            <w:r>
              <w:t xml:space="preserve">- </w:t>
            </w:r>
            <w:r w:rsidR="00DB3385">
              <w:t xml:space="preserve">lai veicinātu efektīvu kontroli, paredzēts, ka </w:t>
            </w:r>
            <w:r w:rsidR="004C5BC2">
              <w:t xml:space="preserve">arī </w:t>
            </w:r>
            <w:r>
              <w:t xml:space="preserve">operatoram </w:t>
            </w:r>
            <w:r w:rsidR="00DB3385">
              <w:t xml:space="preserve">būs jāsniedz Valsts vides dienestam nepieciešamā palīdzība un informācija </w:t>
            </w:r>
            <w:r w:rsidR="00FA771C">
              <w:t>pilnvērtīga</w:t>
            </w:r>
            <w:r w:rsidR="00FE331F">
              <w:t>s</w:t>
            </w:r>
            <w:r w:rsidR="00FA771C">
              <w:t xml:space="preserve"> kontroles veikšanai</w:t>
            </w:r>
            <w:r w:rsidR="00DB3385">
              <w:t xml:space="preserve"> </w:t>
            </w:r>
            <w:r w:rsidRPr="005239A1" w:rsidR="00DB3385">
              <w:rPr>
                <w:i/>
              </w:rPr>
              <w:t>(</w:t>
            </w:r>
            <w:r w:rsidR="008C14BF">
              <w:rPr>
                <w:i/>
              </w:rPr>
              <w:t>6</w:t>
            </w:r>
            <w:r w:rsidRPr="005239A1" w:rsidR="002F0738">
              <w:rPr>
                <w:i/>
              </w:rPr>
              <w:t>. p</w:t>
            </w:r>
            <w:r w:rsidR="004C5BC2">
              <w:rPr>
                <w:i/>
              </w:rPr>
              <w:t>ants</w:t>
            </w:r>
            <w:r w:rsidRPr="005239A1" w:rsidR="00DB3385">
              <w:rPr>
                <w:i/>
              </w:rPr>
              <w:t>)</w:t>
            </w:r>
            <w:r w:rsidR="00DB3385">
              <w:t>.</w:t>
            </w:r>
          </w:p>
          <w:p w:rsidR="000B074B" w:rsidRPr="00C941BA" w:rsidP="00C941BA" w14:paraId="520E700E" w14:textId="77777777">
            <w:pPr>
              <w:jc w:val="both"/>
            </w:pPr>
          </w:p>
          <w:p w:rsidR="000B074B" w:rsidRPr="00FA771C" w:rsidP="008034B1" w14:paraId="53159C21" w14:textId="2E28AE4C">
            <w:pPr>
              <w:jc w:val="both"/>
              <w:rPr>
                <w:b/>
              </w:rPr>
            </w:pPr>
            <w:r w:rsidRPr="00FA771C">
              <w:rPr>
                <w:b/>
              </w:rPr>
              <w:t xml:space="preserve">3) </w:t>
            </w:r>
            <w:r w:rsidRPr="00FA771C" w:rsidR="00FA771C">
              <w:rPr>
                <w:b/>
              </w:rPr>
              <w:t>Normas, kas saistītas ar direktīvas</w:t>
            </w:r>
            <w:r w:rsidRPr="00FA771C">
              <w:rPr>
                <w:b/>
              </w:rPr>
              <w:t xml:space="preserve"> </w:t>
            </w:r>
            <w:r w:rsidRPr="00FA771C" w:rsidR="0013702A">
              <w:rPr>
                <w:b/>
              </w:rPr>
              <w:t>2010/75/ES</w:t>
            </w:r>
            <w:r w:rsidRPr="00FA771C" w:rsidR="00FA771C">
              <w:rPr>
                <w:b/>
              </w:rPr>
              <w:t xml:space="preserve"> pilnvērtīgu pārņemšanu </w:t>
            </w:r>
            <w:r w:rsidRPr="00DD02EA" w:rsidR="00FA771C">
              <w:t>(EU Pilot lieta</w:t>
            </w:r>
            <w:r w:rsidRPr="00DD02EA" w:rsidR="00C5282F">
              <w:t xml:space="preserve"> 8656/16/ENVI</w:t>
            </w:r>
            <w:r w:rsidRPr="00DD02EA" w:rsidR="00FA771C">
              <w:t>)</w:t>
            </w:r>
            <w:r w:rsidRPr="00DD02EA" w:rsidR="0013702A">
              <w:t>:</w:t>
            </w:r>
          </w:p>
          <w:p w:rsidR="00AB57B4" w:rsidRPr="00D33719" w:rsidP="000B074B" w14:paraId="0D2B4571" w14:textId="4E15605E">
            <w:pPr>
              <w:jc w:val="both"/>
            </w:pPr>
            <w:r>
              <w:t xml:space="preserve">- </w:t>
            </w:r>
            <w:r w:rsidR="00690603">
              <w:t xml:space="preserve">likumprojekta labākai izpratnei, tas papildināts ar </w:t>
            </w:r>
            <w:r>
              <w:t>termin</w:t>
            </w:r>
            <w:r w:rsidR="00690603">
              <w:t>u "</w:t>
            </w:r>
            <w:r w:rsidRPr="003F406C" w:rsidR="00690603">
              <w:rPr>
                <w:i/>
              </w:rPr>
              <w:t>bīstamas vielas</w:t>
            </w:r>
            <w:r w:rsidR="00690603">
              <w:t>" un "</w:t>
            </w:r>
            <w:r w:rsidRPr="003F406C" w:rsidR="00BB3A2E">
              <w:rPr>
                <w:i/>
              </w:rPr>
              <w:t>emisij</w:t>
            </w:r>
            <w:r w:rsidRPr="003F406C" w:rsidR="004D15DC">
              <w:rPr>
                <w:i/>
              </w:rPr>
              <w:t>u</w:t>
            </w:r>
            <w:r w:rsidRPr="003F406C" w:rsidR="00BB3A2E">
              <w:rPr>
                <w:i/>
              </w:rPr>
              <w:t xml:space="preserve"> </w:t>
            </w:r>
            <w:r w:rsidRPr="003F406C" w:rsidR="004D15DC">
              <w:rPr>
                <w:i/>
              </w:rPr>
              <w:t>līmenis</w:t>
            </w:r>
            <w:r w:rsidRPr="003F406C" w:rsidR="00BB3A2E">
              <w:rPr>
                <w:i/>
              </w:rPr>
              <w:t>, kas saistīt</w:t>
            </w:r>
            <w:r w:rsidR="00BF78A0">
              <w:rPr>
                <w:i/>
              </w:rPr>
              <w:t>s</w:t>
            </w:r>
            <w:r w:rsidRPr="003F406C" w:rsidR="00BB3A2E">
              <w:rPr>
                <w:i/>
              </w:rPr>
              <w:t xml:space="preserve"> ar labākajiem </w:t>
            </w:r>
            <w:r w:rsidRPr="003F406C" w:rsidR="00AB4082">
              <w:rPr>
                <w:i/>
              </w:rPr>
              <w:t xml:space="preserve">pieejamajiem </w:t>
            </w:r>
            <w:r w:rsidRPr="003F406C" w:rsidR="00BB3A2E">
              <w:rPr>
                <w:i/>
              </w:rPr>
              <w:t>tehniskajiem paņēmieniem</w:t>
            </w:r>
            <w:r w:rsidR="00BB3A2E">
              <w:t xml:space="preserve">" </w:t>
            </w:r>
            <w:r w:rsidR="00690603">
              <w:t>skaidrojumiem</w:t>
            </w:r>
            <w:r w:rsidR="00146237">
              <w:t xml:space="preserve"> (</w:t>
            </w:r>
            <w:r w:rsidRPr="00146237" w:rsidR="00146237">
              <w:rPr>
                <w:i/>
              </w:rPr>
              <w:t>3. un 10. pants)</w:t>
            </w:r>
            <w:r w:rsidR="00146237">
              <w:t>.</w:t>
            </w:r>
          </w:p>
          <w:p w:rsidR="001737CD" w:rsidRPr="00D33719" w:rsidP="006348EF" w14:paraId="148E76A0" w14:textId="3A8CFEBD">
            <w:pPr>
              <w:jc w:val="both"/>
            </w:pPr>
            <w:r w:rsidRPr="00D33719">
              <w:t>EU Pilot liet</w:t>
            </w:r>
            <w:r w:rsidRPr="00D33719" w:rsidR="00D07E2A">
              <w:t>ā</w:t>
            </w:r>
            <w:r w:rsidRPr="00D33719">
              <w:t xml:space="preserve"> 8656/16/ENVI </w:t>
            </w:r>
            <w:r w:rsidRPr="00D33719">
              <w:t>tika norādīts, ka nav transponēts Direktīvas 3. panta 13.punktā minētais jēdziens „emisiju līmenis, kas saistīts ar labākajiem pieejamajiem tehniskajiem paņēmieniem”. Iepriekš šāda termina skaidrojums likumā netika iekļauts tika lietots jēdziens "emisijas robežvērtība, kas saistīta ar labākajiem tehniskajiem paņēmieniem". Lai precīzāk pārņemtu direktīvas prasības</w:t>
            </w:r>
            <w:r w:rsidRPr="00D33719" w:rsidR="009A65BA">
              <w:t>,</w:t>
            </w:r>
            <w:r w:rsidRPr="00D33719">
              <w:t xml:space="preserve"> šis termins visā likuma tekstā aizstāts ar terminu "emisiju līmenis, kas saistīts ar labākajiem pieejamajiem tehniskajiem paņēmieniem" (</w:t>
            </w:r>
            <w:r w:rsidRPr="00D33719">
              <w:rPr>
                <w:i/>
              </w:rPr>
              <w:t>7., 8.,</w:t>
            </w:r>
            <w:r w:rsidR="00146237">
              <w:rPr>
                <w:i/>
              </w:rPr>
              <w:t xml:space="preserve"> </w:t>
            </w:r>
            <w:r w:rsidRPr="00D33719">
              <w:rPr>
                <w:i/>
              </w:rPr>
              <w:t>13.</w:t>
            </w:r>
            <w:r w:rsidR="00146237">
              <w:rPr>
                <w:i/>
              </w:rPr>
              <w:t xml:space="preserve"> un</w:t>
            </w:r>
            <w:r w:rsidRPr="00D33719">
              <w:rPr>
                <w:i/>
              </w:rPr>
              <w:t xml:space="preserve"> 20.pants</w:t>
            </w:r>
            <w:r w:rsidRPr="00D33719">
              <w:t>)</w:t>
            </w:r>
            <w:r w:rsidRPr="00D33719" w:rsidR="008B5DB7">
              <w:t>.</w:t>
            </w:r>
            <w:r w:rsidRPr="00D33719">
              <w:t xml:space="preserve"> </w:t>
            </w:r>
          </w:p>
          <w:p w:rsidR="00846F4A" w:rsidRPr="003324C1" w:rsidP="006348EF" w14:paraId="0582841D" w14:textId="308A5C10">
            <w:pPr>
              <w:jc w:val="both"/>
            </w:pPr>
            <w:r w:rsidRPr="003324C1">
              <w:t xml:space="preserve">- </w:t>
            </w:r>
            <w:r w:rsidRPr="003324C1">
              <w:t xml:space="preserve">lai pārņemtu direktīvas VI nodaļu, kas nosaka īpašas prasības titāna dioksīda ražošanas iekārtām, likumprojektā dots atbilstošs deleģējums Ministru kabinetam </w:t>
            </w:r>
            <w:r w:rsidRPr="003324C1">
              <w:rPr>
                <w:i/>
              </w:rPr>
              <w:t>(</w:t>
            </w:r>
            <w:r w:rsidRPr="003324C1" w:rsidR="00C22A46">
              <w:rPr>
                <w:i/>
              </w:rPr>
              <w:t>8</w:t>
            </w:r>
            <w:r w:rsidRPr="003324C1" w:rsidR="00471496">
              <w:rPr>
                <w:i/>
              </w:rPr>
              <w:t>.</w:t>
            </w:r>
            <w:r w:rsidRPr="003324C1" w:rsidR="00953AB9">
              <w:rPr>
                <w:i/>
              </w:rPr>
              <w:t xml:space="preserve"> un 2</w:t>
            </w:r>
            <w:r w:rsidRPr="003324C1" w:rsidR="008A7376">
              <w:rPr>
                <w:i/>
              </w:rPr>
              <w:t>8</w:t>
            </w:r>
            <w:r w:rsidRPr="003324C1" w:rsidR="00953AB9">
              <w:rPr>
                <w:i/>
              </w:rPr>
              <w:t>.</w:t>
            </w:r>
            <w:r w:rsidRPr="003324C1" w:rsidR="00471496">
              <w:rPr>
                <w:i/>
              </w:rPr>
              <w:t> p</w:t>
            </w:r>
            <w:r w:rsidRPr="003324C1" w:rsidR="004C5BC2">
              <w:rPr>
                <w:i/>
              </w:rPr>
              <w:t>ants</w:t>
            </w:r>
            <w:r w:rsidRPr="003324C1">
              <w:rPr>
                <w:i/>
              </w:rPr>
              <w:t>)</w:t>
            </w:r>
            <w:r w:rsidRPr="003324C1">
              <w:t>.</w:t>
            </w:r>
          </w:p>
          <w:p w:rsidR="00191E03" w:rsidRPr="003324C1" w:rsidP="000B074B" w14:paraId="6CE32139" w14:textId="1567C795">
            <w:pPr>
              <w:jc w:val="both"/>
            </w:pPr>
            <w:r w:rsidRPr="003324C1">
              <w:t xml:space="preserve">- </w:t>
            </w:r>
            <w:r w:rsidRPr="003324C1">
              <w:t>likumprojekts nosaka, ka pēc A kategorijas piesārņojošo darbīb</w:t>
            </w:r>
            <w:r w:rsidRPr="003324C1" w:rsidR="00486200">
              <w:t>u</w:t>
            </w:r>
            <w:r w:rsidRPr="003324C1">
              <w:t xml:space="preserve"> pārtraukšanas sabiedrībai jādara pieejama informācija par operatora veiktajiem pasākumiem</w:t>
            </w:r>
            <w:r w:rsidRPr="003324C1" w:rsidR="00717689">
              <w:t xml:space="preserve">, kas nepieciešami, lai atjaunotu sākotnējo augsnes un pazemes ūdeņu stāvokli </w:t>
            </w:r>
            <w:r w:rsidRPr="003324C1">
              <w:t xml:space="preserve">veiktās darbības teritorijā </w:t>
            </w:r>
            <w:r w:rsidRPr="003324C1">
              <w:rPr>
                <w:i/>
              </w:rPr>
              <w:t>(</w:t>
            </w:r>
            <w:r w:rsidRPr="003324C1" w:rsidR="00471496">
              <w:rPr>
                <w:i/>
              </w:rPr>
              <w:t>1</w:t>
            </w:r>
            <w:r w:rsidRPr="003324C1" w:rsidR="008A7376">
              <w:rPr>
                <w:i/>
              </w:rPr>
              <w:t>9</w:t>
            </w:r>
            <w:r w:rsidRPr="003324C1" w:rsidR="00471496">
              <w:rPr>
                <w:i/>
              </w:rPr>
              <w:t>. p</w:t>
            </w:r>
            <w:r w:rsidRPr="003324C1" w:rsidR="004C5BC2">
              <w:rPr>
                <w:i/>
              </w:rPr>
              <w:t>ants</w:t>
            </w:r>
            <w:r w:rsidRPr="003324C1" w:rsidR="00471496">
              <w:rPr>
                <w:i/>
              </w:rPr>
              <w:t>)</w:t>
            </w:r>
            <w:r w:rsidRPr="003324C1">
              <w:t>;</w:t>
            </w:r>
          </w:p>
          <w:p w:rsidR="006E165D" w:rsidP="00250F74" w14:paraId="24026EA6" w14:textId="36D29141">
            <w:pPr>
              <w:spacing w:line="240" w:lineRule="exact"/>
              <w:jc w:val="both"/>
            </w:pPr>
            <w:r w:rsidRPr="003324C1">
              <w:t xml:space="preserve">- </w:t>
            </w:r>
            <w:r w:rsidRPr="003324C1" w:rsidR="00F70B05">
              <w:t xml:space="preserve">šobrīd likumā nav noteikts, ka četru gadu laikā pēc </w:t>
            </w:r>
            <w:r w:rsidRPr="003324C1" w:rsidR="00DA3B69">
              <w:t xml:space="preserve">tam, kad ir publicēts </w:t>
            </w:r>
            <w:r w:rsidRPr="003324C1" w:rsidR="00250F74">
              <w:t>lēmum</w:t>
            </w:r>
            <w:r w:rsidRPr="003324C1" w:rsidR="00DA3B69">
              <w:t>s</w:t>
            </w:r>
            <w:r w:rsidRPr="003324C1" w:rsidR="00250F74">
              <w:t xml:space="preserve"> par labākajiem pieejamajiem tehniskajiem paņēmieniem, </w:t>
            </w:r>
            <w:r w:rsidRPr="003324C1" w:rsidR="00DA3B69">
              <w:t>jāveic attiecīgo piesārņojošo darbību atļauju pārskatīšana</w:t>
            </w:r>
            <w:r w:rsidRPr="003324C1" w:rsidR="007C5E42">
              <w:t>, tādēļ paredzēts veikt likumā atbilstošu precizējumu</w:t>
            </w:r>
            <w:r w:rsidRPr="003324C1" w:rsidR="00DA3B69">
              <w:t xml:space="preserve"> (</w:t>
            </w:r>
            <w:r w:rsidRPr="003324C1" w:rsidR="00471496">
              <w:rPr>
                <w:i/>
              </w:rPr>
              <w:t>2</w:t>
            </w:r>
            <w:r w:rsidRPr="003324C1" w:rsidR="008A7376">
              <w:rPr>
                <w:i/>
              </w:rPr>
              <w:t>1</w:t>
            </w:r>
            <w:r w:rsidRPr="003324C1" w:rsidR="00471496">
              <w:rPr>
                <w:i/>
              </w:rPr>
              <w:t>. p</w:t>
            </w:r>
            <w:r w:rsidRPr="003324C1" w:rsidR="004C5BC2">
              <w:rPr>
                <w:i/>
              </w:rPr>
              <w:t>ants</w:t>
            </w:r>
            <w:r w:rsidR="008B5DB7">
              <w:rPr>
                <w:i/>
              </w:rPr>
              <w:t>);</w:t>
            </w:r>
          </w:p>
          <w:p w:rsidR="0030552C" w:rsidRPr="00846F4A" w:rsidP="00250F74" w14:paraId="4128AF0A" w14:textId="3EFE0682">
            <w:pPr>
              <w:spacing w:line="240" w:lineRule="exact"/>
              <w:jc w:val="both"/>
            </w:pPr>
            <w:r>
              <w:t xml:space="preserve">- </w:t>
            </w:r>
            <w:r w:rsidR="000D4B8B">
              <w:t xml:space="preserve">veikti papildinājumi saistībā ar direktīvā noteiktajiem pienākumiem attiecībā uz vides inspekcijām </w:t>
            </w:r>
            <w:r>
              <w:t>(</w:t>
            </w:r>
            <w:r w:rsidR="000D4B8B">
              <w:rPr>
                <w:i/>
              </w:rPr>
              <w:t>2</w:t>
            </w:r>
            <w:r w:rsidR="008A7376">
              <w:rPr>
                <w:i/>
              </w:rPr>
              <w:t>7</w:t>
            </w:r>
            <w:r w:rsidR="000D4B8B">
              <w:rPr>
                <w:i/>
              </w:rPr>
              <w:t>. p</w:t>
            </w:r>
            <w:r w:rsidR="004C5BC2">
              <w:rPr>
                <w:i/>
              </w:rPr>
              <w:t>ants</w:t>
            </w:r>
            <w:r w:rsidRPr="005239A1">
              <w:rPr>
                <w:i/>
              </w:rPr>
              <w:t>)</w:t>
            </w:r>
            <w:r>
              <w:t>;</w:t>
            </w:r>
          </w:p>
          <w:p w:rsidR="00DD47C9" w:rsidP="000B074B" w14:paraId="6BA91DCF" w14:textId="3C21D6CA">
            <w:pPr>
              <w:jc w:val="both"/>
            </w:pPr>
            <w:r>
              <w:t xml:space="preserve">- </w:t>
            </w:r>
            <w:r w:rsidR="00FC565E">
              <w:t>veikti precizējumi likuma</w:t>
            </w:r>
            <w:r>
              <w:t xml:space="preserve"> I pielikumā</w:t>
            </w:r>
            <w:r w:rsidR="002A302A">
              <w:t>, lai precizētu A kategorijas piesārņojošās darbības atbilstoši direktīvā noteiktajam (</w:t>
            </w:r>
            <w:r w:rsidR="00D9070C">
              <w:rPr>
                <w:i/>
              </w:rPr>
              <w:t>3</w:t>
            </w:r>
            <w:r w:rsidR="008A7376">
              <w:rPr>
                <w:i/>
              </w:rPr>
              <w:t>1</w:t>
            </w:r>
            <w:r w:rsidR="000D4B8B">
              <w:rPr>
                <w:i/>
              </w:rPr>
              <w:t>. p</w:t>
            </w:r>
            <w:r w:rsidR="004C5BC2">
              <w:rPr>
                <w:i/>
              </w:rPr>
              <w:t>ants</w:t>
            </w:r>
            <w:r w:rsidRPr="005239A1" w:rsidR="00FC565E">
              <w:rPr>
                <w:i/>
              </w:rPr>
              <w:t>)</w:t>
            </w:r>
            <w:r w:rsidR="008708C8">
              <w:t>;</w:t>
            </w:r>
          </w:p>
          <w:p w:rsidR="008708C8" w:rsidP="000B074B" w14:paraId="0AD29560" w14:textId="7E3F2BA6">
            <w:pPr>
              <w:jc w:val="both"/>
            </w:pPr>
            <w:r>
              <w:t>- veikti citi redakcionāli precizējumi</w:t>
            </w:r>
            <w:r w:rsidR="005E7C72">
              <w:t>, lai prec</w:t>
            </w:r>
            <w:r w:rsidR="003D4424">
              <w:t>īz</w:t>
            </w:r>
            <w:r w:rsidR="005E7C72">
              <w:t>āk pārņemtu direktīvas prasības</w:t>
            </w:r>
            <w:r>
              <w:t xml:space="preserve"> </w:t>
            </w:r>
            <w:r w:rsidRPr="005239A1">
              <w:rPr>
                <w:i/>
              </w:rPr>
              <w:t>(</w:t>
            </w:r>
            <w:r w:rsidR="008A7376">
              <w:rPr>
                <w:i/>
              </w:rPr>
              <w:t>20</w:t>
            </w:r>
            <w:r w:rsidRPr="008708C8">
              <w:rPr>
                <w:i/>
              </w:rPr>
              <w:t>. un 2</w:t>
            </w:r>
            <w:r w:rsidR="008A7376">
              <w:rPr>
                <w:i/>
              </w:rPr>
              <w:t>6</w:t>
            </w:r>
            <w:r w:rsidR="00D9070C">
              <w:rPr>
                <w:i/>
              </w:rPr>
              <w:t>. </w:t>
            </w:r>
            <w:r w:rsidRPr="008708C8">
              <w:rPr>
                <w:i/>
              </w:rPr>
              <w:t>punkts</w:t>
            </w:r>
            <w:r w:rsidRPr="005239A1">
              <w:rPr>
                <w:i/>
              </w:rPr>
              <w:t>)</w:t>
            </w:r>
            <w:r>
              <w:t>.</w:t>
            </w:r>
          </w:p>
          <w:p w:rsidR="00AB57B4" w:rsidRPr="008034B1" w:rsidP="000B074B" w14:paraId="7CE12C59" w14:textId="77777777">
            <w:pPr>
              <w:jc w:val="both"/>
            </w:pPr>
          </w:p>
          <w:p w:rsidR="000B074B" w:rsidP="008034B1" w14:paraId="1101C087" w14:textId="12FE767F">
            <w:pPr>
              <w:jc w:val="both"/>
            </w:pPr>
            <w:r>
              <w:t xml:space="preserve">4) </w:t>
            </w:r>
            <w:r w:rsidRPr="007E7B74">
              <w:rPr>
                <w:b/>
              </w:rPr>
              <w:t>Cit</w:t>
            </w:r>
            <w:r w:rsidR="00FA771C">
              <w:rPr>
                <w:b/>
              </w:rPr>
              <w:t>as ierosinātās izmaiņas</w:t>
            </w:r>
            <w:r w:rsidR="007E7B74">
              <w:rPr>
                <w:b/>
              </w:rPr>
              <w:t>:</w:t>
            </w:r>
          </w:p>
          <w:p w:rsidR="00060C4B" w:rsidRPr="006175DE" w:rsidP="00C941BA" w14:paraId="76C25076" w14:textId="77777777">
            <w:pPr>
              <w:jc w:val="both"/>
            </w:pPr>
            <w:r w:rsidRPr="006175DE">
              <w:t>-</w:t>
            </w:r>
            <w:r w:rsidRPr="006175DE" w:rsidR="00C941BA">
              <w:t xml:space="preserve"> </w:t>
            </w:r>
            <w:r w:rsidRPr="006175DE" w:rsidR="000D5179">
              <w:t xml:space="preserve">veikti </w:t>
            </w:r>
            <w:r w:rsidRPr="006175DE" w:rsidR="00C941BA">
              <w:t xml:space="preserve">precizējumi </w:t>
            </w:r>
            <w:r w:rsidRPr="006175DE" w:rsidR="000D5179">
              <w:t xml:space="preserve">likuma </w:t>
            </w:r>
            <w:r w:rsidRPr="006175DE" w:rsidR="00C941BA">
              <w:t>VIII nodaļā</w:t>
            </w:r>
            <w:r w:rsidRPr="006175DE" w:rsidR="000D5179">
              <w:t>, kurā noteikti operatora veiktās darbības uzraudzīb</w:t>
            </w:r>
            <w:r w:rsidRPr="006175DE" w:rsidR="00831586">
              <w:t>as</w:t>
            </w:r>
            <w:r w:rsidRPr="006175DE" w:rsidR="000D5179">
              <w:t xml:space="preserve"> un monitoring</w:t>
            </w:r>
            <w:r w:rsidRPr="006175DE" w:rsidR="00831586">
              <w:t>a prasības</w:t>
            </w:r>
            <w:r w:rsidRPr="006175DE" w:rsidR="000D5179">
              <w:t>. Šobrīd likums paredz, ka operatoram jāiesniedz Valsts vides dienestam gada monitoringa pārskats.</w:t>
            </w:r>
            <w:r w:rsidRPr="006175DE" w:rsidR="006D2410">
              <w:t xml:space="preserve"> </w:t>
            </w:r>
            <w:r w:rsidRPr="006175DE" w:rsidR="00831586">
              <w:t>Papildus</w:t>
            </w:r>
            <w:r w:rsidRPr="006175DE" w:rsidR="006D2410">
              <w:t xml:space="preserve"> </w:t>
            </w:r>
            <w:r w:rsidRPr="006175DE" w:rsidR="00676417">
              <w:t>Ministru kabineta 2017. gada 23. maij</w:t>
            </w:r>
            <w:r w:rsidRPr="006175DE" w:rsidR="00323751">
              <w:t>a</w:t>
            </w:r>
            <w:r w:rsidRPr="006175DE" w:rsidR="00676417">
              <w:t xml:space="preserve"> noteikumi Nr. 271 "Noteikumi par vides aizsardzības oficiālās statistikas veidlapām" </w:t>
            </w:r>
            <w:r w:rsidRPr="006175DE" w:rsidR="00831586">
              <w:t xml:space="preserve">nosaka, ka operatoram reizi gadā jāiesniedz pārskats par savu veikto darbību iepriekšējā gadā. </w:t>
            </w:r>
          </w:p>
          <w:p w:rsidR="000D5179" w:rsidRPr="006175DE" w:rsidP="00C941BA" w14:paraId="14382A0E" w14:textId="7373BBD2">
            <w:pPr>
              <w:jc w:val="both"/>
            </w:pPr>
            <w:r w:rsidRPr="006175DE">
              <w:t>Ņemot vērā, ka lielākā daļa no informācijas, kas tie</w:t>
            </w:r>
            <w:r w:rsidRPr="006175DE" w:rsidR="001A65E3">
              <w:t>k</w:t>
            </w:r>
            <w:r w:rsidRPr="006175DE" w:rsidR="00831586">
              <w:t xml:space="preserve"> sniegta</w:t>
            </w:r>
            <w:r w:rsidRPr="006175DE" w:rsidR="001A65E3">
              <w:t xml:space="preserve"> </w:t>
            </w:r>
            <w:r w:rsidRPr="006175DE" w:rsidR="00323751">
              <w:t xml:space="preserve">statistikas </w:t>
            </w:r>
            <w:r w:rsidRPr="006175DE" w:rsidR="001A65E3">
              <w:t>pārskatos</w:t>
            </w:r>
            <w:r w:rsidR="00A12826">
              <w:t xml:space="preserve">, </w:t>
            </w:r>
            <w:r w:rsidRPr="006175DE" w:rsidR="001A65E3">
              <w:t>saistīta ar</w:t>
            </w:r>
            <w:r w:rsidRPr="006175DE" w:rsidR="00831586">
              <w:t xml:space="preserve"> </w:t>
            </w:r>
            <w:r w:rsidRPr="006175DE" w:rsidR="00323751">
              <w:t>atskaitīšanos par vides normatīvajos aktos noteikto prasību izpildi</w:t>
            </w:r>
            <w:r w:rsidR="00A12826">
              <w:t>,</w:t>
            </w:r>
            <w:r w:rsidRPr="006175DE" w:rsidR="00323751">
              <w:t xml:space="preserve"> nevis </w:t>
            </w:r>
            <w:r w:rsidR="00AB36B4">
              <w:t xml:space="preserve">tikai </w:t>
            </w:r>
            <w:r w:rsidRPr="006175DE" w:rsidR="00323751">
              <w:t xml:space="preserve">statistiskās informācijas vākšanu, tad </w:t>
            </w:r>
            <w:r w:rsidR="00A12826">
              <w:t xml:space="preserve">likumprojektā </w:t>
            </w:r>
            <w:r w:rsidRPr="006175DE" w:rsidR="00323751">
              <w:t xml:space="preserve">uzdots Ministru kabinetam </w:t>
            </w:r>
            <w:r w:rsidR="00AB36B4">
              <w:t>pieņemt</w:t>
            </w:r>
            <w:r w:rsidRPr="006175DE" w:rsidR="00323751">
              <w:t xml:space="preserve"> jaunus noteikumus, kas noteiks kārtību, kādā veidā operators atskaitās par savu veikto darbību un sniedz monitoringa rezultātus. Rezultātā tiks samazināt</w:t>
            </w:r>
            <w:r w:rsidRPr="006175DE" w:rsidR="00060C4B">
              <w:t>s</w:t>
            </w:r>
            <w:r w:rsidRPr="006175DE" w:rsidR="00323751">
              <w:t xml:space="preserve"> administratīv</w:t>
            </w:r>
            <w:r w:rsidRPr="006175DE" w:rsidR="00060C4B">
              <w:t>ais</w:t>
            </w:r>
            <w:r w:rsidRPr="006175DE" w:rsidR="00323751">
              <w:t xml:space="preserve"> slog</w:t>
            </w:r>
            <w:r w:rsidRPr="006175DE" w:rsidR="00060C4B">
              <w:t>s</w:t>
            </w:r>
            <w:r w:rsidRPr="006175DE" w:rsidR="00323751">
              <w:t xml:space="preserve"> </w:t>
            </w:r>
            <w:r w:rsidRPr="006175DE">
              <w:t xml:space="preserve">saistībā ar divu dažādu monitoringa </w:t>
            </w:r>
            <w:r w:rsidRPr="006175DE">
              <w:t xml:space="preserve">pārskatu iesniegšanu, </w:t>
            </w:r>
            <w:r w:rsidRPr="006175DE" w:rsidR="00323751">
              <w:t>jo ar jaunajiem noteikumiem tiks</w:t>
            </w:r>
            <w:r w:rsidRPr="006175DE">
              <w:t xml:space="preserve"> izveidot</w:t>
            </w:r>
            <w:r w:rsidRPr="006175DE" w:rsidR="00323751">
              <w:t>s</w:t>
            </w:r>
            <w:r w:rsidRPr="006175DE">
              <w:t xml:space="preserve"> vienot</w:t>
            </w:r>
            <w:r w:rsidRPr="006175DE" w:rsidR="00323751">
              <w:t>s</w:t>
            </w:r>
            <w:r w:rsidRPr="006175DE">
              <w:t xml:space="preserve"> pārskat</w:t>
            </w:r>
            <w:r w:rsidRPr="006175DE" w:rsidR="00323751">
              <w:t>s</w:t>
            </w:r>
            <w:r w:rsidRPr="006175DE">
              <w:t xml:space="preserve">, kurā operators sniegs visu </w:t>
            </w:r>
            <w:r w:rsidRPr="006175DE" w:rsidR="00323751">
              <w:t xml:space="preserve">nepieciešamo </w:t>
            </w:r>
            <w:r w:rsidRPr="006175DE">
              <w:t xml:space="preserve">informāciju par savu </w:t>
            </w:r>
            <w:r w:rsidRPr="006175DE" w:rsidR="00323751">
              <w:t xml:space="preserve">veikto </w:t>
            </w:r>
            <w:r w:rsidRPr="006175DE">
              <w:t>darbību</w:t>
            </w:r>
            <w:r w:rsidRPr="006175DE" w:rsidR="00323751">
              <w:t xml:space="preserve"> (</w:t>
            </w:r>
            <w:r w:rsidR="00953AB9">
              <w:rPr>
                <w:i/>
              </w:rPr>
              <w:t>2</w:t>
            </w:r>
            <w:r w:rsidR="008A7376">
              <w:rPr>
                <w:i/>
              </w:rPr>
              <w:t>4</w:t>
            </w:r>
            <w:r w:rsidR="00953AB9">
              <w:rPr>
                <w:i/>
              </w:rPr>
              <w:t>. un 2</w:t>
            </w:r>
            <w:r w:rsidR="00AA64B6">
              <w:rPr>
                <w:i/>
              </w:rPr>
              <w:t>8</w:t>
            </w:r>
            <w:r w:rsidR="00953AB9">
              <w:rPr>
                <w:i/>
              </w:rPr>
              <w:t>. p</w:t>
            </w:r>
            <w:r w:rsidR="004C5BC2">
              <w:rPr>
                <w:i/>
              </w:rPr>
              <w:t>ant</w:t>
            </w:r>
            <w:r w:rsidR="00953AB9">
              <w:rPr>
                <w:i/>
              </w:rPr>
              <w:t>s</w:t>
            </w:r>
            <w:r w:rsidRPr="006175DE" w:rsidR="00323751">
              <w:t>)</w:t>
            </w:r>
            <w:r w:rsidRPr="006175DE">
              <w:t xml:space="preserve">. </w:t>
            </w:r>
          </w:p>
          <w:p w:rsidR="00D819F6" w:rsidRPr="00D819F6" w:rsidP="00910279" w14:paraId="2D489802" w14:textId="4704BC04">
            <w:pPr>
              <w:jc w:val="both"/>
              <w:rPr>
                <w:i/>
              </w:rPr>
            </w:pPr>
            <w:r w:rsidRPr="00D819F6">
              <w:t xml:space="preserve">- svītrotas prasības, kas </w:t>
            </w:r>
            <w:r w:rsidRPr="00D819F6" w:rsidR="009474F6">
              <w:t>uz šo brīdi ir zaudējušas savu aktualitāti</w:t>
            </w:r>
            <w:r w:rsidRPr="00D819F6" w:rsidR="00001F13">
              <w:t>. Iepriekš likumā noteiktā p</w:t>
            </w:r>
            <w:r w:rsidRPr="00D819F6" w:rsidR="00910279">
              <w:t xml:space="preserve">rasība par atļaujas </w:t>
            </w:r>
            <w:r w:rsidRPr="00D819F6" w:rsidR="00001F13">
              <w:t xml:space="preserve">pārskatīšanu un </w:t>
            </w:r>
            <w:r w:rsidRPr="00D819F6" w:rsidR="00910279">
              <w:t>atjaunošanu ik pēc 7 gadiem</w:t>
            </w:r>
            <w:r w:rsidRPr="00D819F6" w:rsidR="00001F13">
              <w:t>, kā arī citas prasības, kas iepriekš tika attiecinātas uz terminētajām atļaujām ir</w:t>
            </w:r>
            <w:r w:rsidRPr="00D819F6" w:rsidR="00910279">
              <w:t xml:space="preserve"> zaudēju</w:t>
            </w:r>
            <w:r w:rsidRPr="00D819F6" w:rsidR="00001F13">
              <w:t>šas</w:t>
            </w:r>
            <w:r w:rsidRPr="00D819F6" w:rsidR="00910279">
              <w:t xml:space="preserve"> savu aktualitāti, jo Valsts vides dienests </w:t>
            </w:r>
            <w:r w:rsidRPr="00D819F6" w:rsidR="00001F13">
              <w:t>atbilstoši likuma 32.panta pirmajā daļā noteiktajam A un B kategorijas atļauju izsniedz uz visu attiecīgās iekārtas darbības laiku</w:t>
            </w:r>
            <w:r w:rsidRPr="00D819F6" w:rsidR="00910279">
              <w:t>. Atļaujas nosacījumu aktualitāti un atbilstību normatīvo aktu prasībām Valsts vides dienests vērtē</w:t>
            </w:r>
            <w:r w:rsidRPr="00D819F6" w:rsidR="00001F13">
              <w:t xml:space="preserve"> un atļaujas pārskatīšanu veic</w:t>
            </w:r>
            <w:r w:rsidRPr="00D819F6" w:rsidR="00910279">
              <w:t xml:space="preserve"> </w:t>
            </w:r>
            <w:r w:rsidRPr="00D819F6" w:rsidR="00001F13">
              <w:t>gadījumos, kas minēti likuma 32.panta trešajā daļā</w:t>
            </w:r>
            <w:r w:rsidRPr="00D819F6" w:rsidR="00451B8B">
              <w:t xml:space="preserve"> (</w:t>
            </w:r>
            <w:r w:rsidRPr="00D819F6" w:rsidR="00C22A46">
              <w:rPr>
                <w:i/>
              </w:rPr>
              <w:t>1</w:t>
            </w:r>
            <w:r w:rsidR="00C22A46">
              <w:rPr>
                <w:i/>
              </w:rPr>
              <w:t>1</w:t>
            </w:r>
            <w:r w:rsidRPr="00D819F6">
              <w:rPr>
                <w:i/>
              </w:rPr>
              <w:t>.,</w:t>
            </w:r>
            <w:r>
              <w:t xml:space="preserve"> </w:t>
            </w:r>
            <w:r w:rsidRPr="00A25A6F" w:rsidR="00C22A46">
              <w:rPr>
                <w:i/>
              </w:rPr>
              <w:t>1</w:t>
            </w:r>
            <w:r w:rsidR="00C22A46">
              <w:rPr>
                <w:i/>
              </w:rPr>
              <w:t>4</w:t>
            </w:r>
            <w:r w:rsidRPr="00A25A6F" w:rsidR="00A25A6F">
              <w:rPr>
                <w:i/>
              </w:rPr>
              <w:t>.,</w:t>
            </w:r>
            <w:r w:rsidR="00A25A6F">
              <w:t xml:space="preserve"> </w:t>
            </w:r>
            <w:r w:rsidRPr="00D819F6" w:rsidR="00451B8B">
              <w:rPr>
                <w:i/>
              </w:rPr>
              <w:t>1</w:t>
            </w:r>
            <w:r w:rsidR="008A7376">
              <w:rPr>
                <w:i/>
              </w:rPr>
              <w:t>7</w:t>
            </w:r>
            <w:r w:rsidRPr="00D819F6" w:rsidR="00451B8B">
              <w:rPr>
                <w:i/>
              </w:rPr>
              <w:t>., 1</w:t>
            </w:r>
            <w:r w:rsidR="008A7376">
              <w:rPr>
                <w:i/>
              </w:rPr>
              <w:t>8</w:t>
            </w:r>
            <w:r w:rsidRPr="00D819F6" w:rsidR="00451B8B">
              <w:rPr>
                <w:i/>
              </w:rPr>
              <w:t>., 1</w:t>
            </w:r>
            <w:r w:rsidR="008A7376">
              <w:rPr>
                <w:i/>
              </w:rPr>
              <w:t>9</w:t>
            </w:r>
            <w:r w:rsidRPr="00D819F6" w:rsidR="00451B8B">
              <w:rPr>
                <w:i/>
              </w:rPr>
              <w:t>., 2</w:t>
            </w:r>
            <w:r w:rsidR="008A7376">
              <w:rPr>
                <w:i/>
              </w:rPr>
              <w:t>1</w:t>
            </w:r>
            <w:r w:rsidRPr="00D819F6" w:rsidR="00451B8B">
              <w:rPr>
                <w:i/>
              </w:rPr>
              <w:t>. p</w:t>
            </w:r>
            <w:r w:rsidR="004C5BC2">
              <w:rPr>
                <w:i/>
              </w:rPr>
              <w:t>an</w:t>
            </w:r>
            <w:r w:rsidRPr="00D819F6" w:rsidR="00451B8B">
              <w:rPr>
                <w:i/>
              </w:rPr>
              <w:t>ts).</w:t>
            </w:r>
          </w:p>
          <w:p w:rsidR="00B67AAF" w:rsidRPr="00DD02EA" w:rsidP="00A12826" w14:paraId="1DD12837" w14:textId="4330958A">
            <w:pPr>
              <w:pStyle w:val="CommentText"/>
              <w:jc w:val="both"/>
              <w:rPr>
                <w:sz w:val="24"/>
                <w:szCs w:val="24"/>
              </w:rPr>
            </w:pPr>
            <w:r>
              <w:t>-</w:t>
            </w:r>
            <w:r w:rsidR="00A12826">
              <w:t xml:space="preserve"> </w:t>
            </w:r>
            <w:r w:rsidRPr="00A12826" w:rsidR="00A12826">
              <w:rPr>
                <w:sz w:val="24"/>
                <w:szCs w:val="24"/>
              </w:rPr>
              <w:t xml:space="preserve">likumprojektā </w:t>
            </w:r>
            <w:r w:rsidRPr="00A12826">
              <w:rPr>
                <w:sz w:val="24"/>
                <w:szCs w:val="24"/>
              </w:rPr>
              <w:t>noteikts, ka Valsts vides dienests var atteikties izsniegt atļauju vai atcelt spēkā esošo atļauju arī gadījumā, ja operators pārkāpj normatīvo aktu prasības vai arī nav uzsācis savu darbību 3 gadu laikā pēc atļaujas spēkā stāšanās. Valsts vides dienesta praksē ir gadījumi, kad operators saņem atļauju, savukārt piesārņojošo darbību neuzsāk. Proti, operators saņem piesārņojošās darbības atļauju pirms darbības uzsākšanas</w:t>
            </w:r>
            <w:r w:rsidRPr="00A12826" w:rsidR="00A12826">
              <w:rPr>
                <w:sz w:val="24"/>
                <w:szCs w:val="24"/>
              </w:rPr>
              <w:t>, tādēļ ir nepieciešams rast tiesisko instrumentu, ar kura palīdzību būtu iespējams liegt negodprātīgam operatoram īstenot savu darbību normatīvo aktu prasību neievērošanas gadījumā</w:t>
            </w:r>
            <w:r w:rsidRPr="00A12826">
              <w:rPr>
                <w:sz w:val="24"/>
                <w:szCs w:val="24"/>
              </w:rPr>
              <w:t>. Trīs gadu periods ir pietiekams, lai varētu pabeigt projektēšanas/būvniecības darbus. Analoģi</w:t>
            </w:r>
            <w:r w:rsidR="00A12826">
              <w:rPr>
                <w:sz w:val="24"/>
                <w:szCs w:val="24"/>
              </w:rPr>
              <w:t>skā prasība ir iekļauta likumā "Par zemes dzīlēm"</w:t>
            </w:r>
            <w:r w:rsidRPr="00A12826">
              <w:rPr>
                <w:sz w:val="24"/>
                <w:szCs w:val="24"/>
              </w:rPr>
              <w:t xml:space="preserve">, nosakot zemes dzīļu izmantošanas licences </w:t>
            </w:r>
            <w:r w:rsidRPr="00DD02EA">
              <w:rPr>
                <w:sz w:val="24"/>
                <w:szCs w:val="24"/>
              </w:rPr>
              <w:t>vai bieži sastopamo derīgo izrakteņu ieguves atļaujas atcelšanas termiņus (</w:t>
            </w:r>
            <w:r w:rsidRPr="00DD02EA" w:rsidR="008C14BF">
              <w:rPr>
                <w:i/>
                <w:sz w:val="24"/>
                <w:szCs w:val="24"/>
              </w:rPr>
              <w:t>17</w:t>
            </w:r>
            <w:r w:rsidRPr="00DD02EA">
              <w:rPr>
                <w:i/>
                <w:sz w:val="24"/>
                <w:szCs w:val="24"/>
              </w:rPr>
              <w:t>. </w:t>
            </w:r>
            <w:r w:rsidRPr="00DD02EA" w:rsidR="00CE0A87">
              <w:rPr>
                <w:i/>
                <w:sz w:val="24"/>
                <w:szCs w:val="24"/>
              </w:rPr>
              <w:t>pants</w:t>
            </w:r>
            <w:r w:rsidRPr="00DD02EA" w:rsidR="00CE0A87">
              <w:rPr>
                <w:sz w:val="24"/>
                <w:szCs w:val="24"/>
              </w:rPr>
              <w:t>);</w:t>
            </w:r>
          </w:p>
          <w:p w:rsidR="00CE0A87" w:rsidRPr="00DD02EA" w:rsidP="00A12826" w14:paraId="4E362058" w14:textId="54CB88B6">
            <w:pPr>
              <w:pStyle w:val="CommentText"/>
              <w:jc w:val="both"/>
            </w:pPr>
            <w:r w:rsidRPr="00DD02EA">
              <w:rPr>
                <w:sz w:val="24"/>
                <w:szCs w:val="24"/>
              </w:rPr>
              <w:t>- lai novērstu pretrunas ar Ministru kabineta</w:t>
            </w:r>
            <w:r w:rsidRPr="00DD02EA" w:rsidR="00192471">
              <w:rPr>
                <w:sz w:val="24"/>
                <w:szCs w:val="24"/>
              </w:rPr>
              <w:t xml:space="preserve"> noteikumos par kārtību, kādā novērš, ierobežo un kontrolē gaisu piesārņojošo vielu emisiju no sadedzināšanas iekārtām</w:t>
            </w:r>
            <w:r w:rsidRPr="00DD02EA">
              <w:rPr>
                <w:sz w:val="24"/>
                <w:szCs w:val="24"/>
              </w:rPr>
              <w:t xml:space="preserve"> noteiktajām prasībām saistībā ar operatoru veikto monitoringu, svītrots esošā likuma 45.panta otrā daļa, kas noteica, ka mērījumi jāveic tikai A un B kategorijas darbībām. </w:t>
            </w:r>
            <w:r w:rsidRPr="00DD02EA" w:rsidR="00192471">
              <w:rPr>
                <w:sz w:val="24"/>
                <w:szCs w:val="24"/>
              </w:rPr>
              <w:t xml:space="preserve">Atbilstoši Ministru kabineta noteikumos par kārtību, kādā novērš, ierobežo un kontrolē gaisu piesārņojošo vielu emisiju no sadedzināšanas iekārtām noteiktajam, </w:t>
            </w:r>
            <w:r w:rsidRPr="00DD02EA">
              <w:rPr>
                <w:sz w:val="24"/>
                <w:szCs w:val="24"/>
              </w:rPr>
              <w:t>mērījumus jāveic arī C kategorijas darbībām (</w:t>
            </w:r>
            <w:r w:rsidRPr="00DD02EA">
              <w:rPr>
                <w:i/>
                <w:sz w:val="24"/>
                <w:szCs w:val="24"/>
              </w:rPr>
              <w:t>24.pants</w:t>
            </w:r>
            <w:r w:rsidRPr="00DD02EA">
              <w:rPr>
                <w:sz w:val="24"/>
                <w:szCs w:val="24"/>
              </w:rPr>
              <w:t>)</w:t>
            </w:r>
          </w:p>
          <w:p w:rsidR="0029331C" w:rsidP="0093073C" w14:paraId="484EF0E0" w14:textId="120E4899">
            <w:pPr>
              <w:jc w:val="both"/>
              <w:rPr>
                <w:i/>
              </w:rPr>
            </w:pPr>
            <w:r w:rsidRPr="00DD02EA">
              <w:t>- veikti vairāku iepriekš lietoto terminu</w:t>
            </w:r>
            <w:r w:rsidRPr="006175DE">
              <w:t xml:space="preserve"> un noteikto prasību precizējumi, kā arī skaidrāk atrunātas kompetentās iestādes par dažādām likumā ietvertajām prasībām (</w:t>
            </w:r>
            <w:r>
              <w:rPr>
                <w:i/>
              </w:rPr>
              <w:t xml:space="preserve">1., 2., 3., </w:t>
            </w:r>
            <w:r w:rsidR="008C14BF">
              <w:rPr>
                <w:i/>
              </w:rPr>
              <w:t>4</w:t>
            </w:r>
            <w:r w:rsidRPr="00D819F6">
              <w:rPr>
                <w:i/>
              </w:rPr>
              <w:t xml:space="preserve">., </w:t>
            </w:r>
            <w:r w:rsidR="008C14BF">
              <w:rPr>
                <w:i/>
              </w:rPr>
              <w:t>5</w:t>
            </w:r>
            <w:r w:rsidRPr="00D819F6">
              <w:rPr>
                <w:i/>
              </w:rPr>
              <w:t xml:space="preserve">., </w:t>
            </w:r>
            <w:r w:rsidRPr="00D819F6" w:rsidR="008C14BF">
              <w:rPr>
                <w:i/>
              </w:rPr>
              <w:t>1</w:t>
            </w:r>
            <w:r w:rsidR="008C14BF">
              <w:rPr>
                <w:i/>
              </w:rPr>
              <w:t>2</w:t>
            </w:r>
            <w:r w:rsidRPr="00D819F6">
              <w:rPr>
                <w:i/>
              </w:rPr>
              <w:t xml:space="preserve">., </w:t>
            </w:r>
            <w:r w:rsidRPr="00D819F6" w:rsidR="008C14BF">
              <w:rPr>
                <w:i/>
              </w:rPr>
              <w:t>1</w:t>
            </w:r>
            <w:r w:rsidR="008C14BF">
              <w:rPr>
                <w:i/>
              </w:rPr>
              <w:t>5</w:t>
            </w:r>
            <w:r w:rsidRPr="00D819F6">
              <w:rPr>
                <w:i/>
              </w:rPr>
              <w:t xml:space="preserve">., </w:t>
            </w:r>
            <w:r w:rsidR="00DF5E6B">
              <w:rPr>
                <w:i/>
              </w:rPr>
              <w:t xml:space="preserve">16., </w:t>
            </w:r>
            <w:r w:rsidRPr="00D819F6">
              <w:rPr>
                <w:i/>
              </w:rPr>
              <w:t>1</w:t>
            </w:r>
            <w:r w:rsidR="00A25A6F">
              <w:rPr>
                <w:i/>
              </w:rPr>
              <w:t>7</w:t>
            </w:r>
            <w:r w:rsidRPr="00D819F6">
              <w:rPr>
                <w:i/>
              </w:rPr>
              <w:t xml:space="preserve">., </w:t>
            </w:r>
            <w:r w:rsidR="00A25A6F">
              <w:rPr>
                <w:i/>
              </w:rPr>
              <w:t>20</w:t>
            </w:r>
            <w:r w:rsidRPr="00D819F6">
              <w:rPr>
                <w:i/>
              </w:rPr>
              <w:t>., 2</w:t>
            </w:r>
            <w:r w:rsidR="00A25A6F">
              <w:rPr>
                <w:i/>
              </w:rPr>
              <w:t>5</w:t>
            </w:r>
            <w:r w:rsidRPr="00D819F6">
              <w:rPr>
                <w:i/>
              </w:rPr>
              <w:t>. p</w:t>
            </w:r>
            <w:r w:rsidR="004C5BC2">
              <w:rPr>
                <w:i/>
              </w:rPr>
              <w:t>an</w:t>
            </w:r>
            <w:r w:rsidRPr="00D819F6">
              <w:rPr>
                <w:i/>
              </w:rPr>
              <w:t>ts</w:t>
            </w:r>
            <w:r w:rsidR="0093073C">
              <w:rPr>
                <w:i/>
              </w:rPr>
              <w:t>).</w:t>
            </w:r>
          </w:p>
          <w:p w:rsidR="0093073C" w:rsidRPr="0093073C" w:rsidP="0093073C" w14:paraId="4D635CC6" w14:textId="7058E979">
            <w:pPr>
              <w:jc w:val="both"/>
              <w:rPr>
                <w:b/>
              </w:rPr>
            </w:pPr>
          </w:p>
        </w:tc>
      </w:tr>
      <w:tr w14:paraId="5885B41B" w14:textId="77777777" w:rsidTr="005239A1">
        <w:tblPrEx>
          <w:tblW w:w="5000" w:type="pct"/>
          <w:tblLook w:val="01E0"/>
        </w:tblPrEx>
        <w:tc>
          <w:tcPr>
            <w:tcW w:w="232" w:type="pct"/>
            <w:tcBorders>
              <w:top w:val="single" w:sz="4" w:space="0" w:color="auto"/>
            </w:tcBorders>
          </w:tcPr>
          <w:p w:rsidR="00E0637B" w14:paraId="0E7A3F83" w14:textId="0D83B068">
            <w:pPr>
              <w:jc w:val="center"/>
            </w:pPr>
            <w:r>
              <w:t>3.</w:t>
            </w:r>
          </w:p>
        </w:tc>
        <w:tc>
          <w:tcPr>
            <w:tcW w:w="1252" w:type="pct"/>
            <w:tcBorders>
              <w:top w:val="single" w:sz="4" w:space="0" w:color="auto"/>
            </w:tcBorders>
          </w:tcPr>
          <w:p w:rsidR="00E0637B" w14:paraId="02E34AA7" w14:textId="77777777">
            <w:r>
              <w:t>Projekta izstrādē iesaistītās institūcijas</w:t>
            </w:r>
          </w:p>
        </w:tc>
        <w:tc>
          <w:tcPr>
            <w:tcW w:w="3516" w:type="pct"/>
            <w:tcBorders>
              <w:top w:val="single" w:sz="4" w:space="0" w:color="auto"/>
            </w:tcBorders>
          </w:tcPr>
          <w:p w:rsidR="00E0637B" w:rsidP="00FD5721" w14:paraId="64B395C6" w14:textId="56ACA81F">
            <w:pPr>
              <w:pStyle w:val="naiskr"/>
              <w:jc w:val="both"/>
            </w:pPr>
            <w:r>
              <w:t>VARAM, Valsts vides dienests.</w:t>
            </w:r>
          </w:p>
        </w:tc>
      </w:tr>
      <w:tr w14:paraId="6F04A688" w14:textId="77777777" w:rsidTr="005239A1">
        <w:tblPrEx>
          <w:tblW w:w="5000" w:type="pct"/>
          <w:tblLook w:val="01E0"/>
        </w:tblPrEx>
        <w:trPr>
          <w:trHeight w:val="365"/>
        </w:trPr>
        <w:tc>
          <w:tcPr>
            <w:tcW w:w="232" w:type="pct"/>
          </w:tcPr>
          <w:p w:rsidR="00E0637B" w14:paraId="1C5B6539" w14:textId="77777777">
            <w:pPr>
              <w:jc w:val="center"/>
            </w:pPr>
            <w:r>
              <w:t>4.</w:t>
            </w:r>
          </w:p>
        </w:tc>
        <w:tc>
          <w:tcPr>
            <w:tcW w:w="1252" w:type="pct"/>
          </w:tcPr>
          <w:p w:rsidR="00E0637B" w14:paraId="79470762" w14:textId="77777777">
            <w:r>
              <w:t>Cita informācija</w:t>
            </w:r>
          </w:p>
        </w:tc>
        <w:tc>
          <w:tcPr>
            <w:tcW w:w="3516" w:type="pct"/>
          </w:tcPr>
          <w:p w:rsidR="00E0637B" w14:paraId="34F325FA" w14:textId="6D164187">
            <w:pPr>
              <w:pStyle w:val="CommentText"/>
              <w:jc w:val="both"/>
              <w:rPr>
                <w:sz w:val="24"/>
                <w:szCs w:val="24"/>
              </w:rPr>
            </w:pPr>
            <w:r>
              <w:rPr>
                <w:sz w:val="24"/>
                <w:szCs w:val="24"/>
              </w:rPr>
              <w:t>Nav</w:t>
            </w:r>
            <w:r w:rsidR="007F2476">
              <w:rPr>
                <w:sz w:val="24"/>
                <w:szCs w:val="24"/>
              </w:rPr>
              <w:t>.</w:t>
            </w:r>
          </w:p>
        </w:tc>
      </w:tr>
    </w:tbl>
    <w:p w:rsidR="00E0637B" w14:paraId="100D0663" w14:textId="77777777"/>
    <w:p w:rsidR="007F2476" w14:paraId="0CF757EE" w14:textId="77777777"/>
    <w:tbl>
      <w:tblPr>
        <w:tblStyle w:val="TableGrid"/>
        <w:tblW w:w="0" w:type="auto"/>
        <w:tblLook w:val="04A0"/>
      </w:tblPr>
      <w:tblGrid>
        <w:gridCol w:w="396"/>
        <w:gridCol w:w="2718"/>
        <w:gridCol w:w="5947"/>
      </w:tblGrid>
      <w:tr w14:paraId="5F5AFD00" w14:textId="77777777" w:rsidTr="005239A1">
        <w:tblPrEx>
          <w:tblW w:w="0" w:type="auto"/>
          <w:tblLook w:val="04A0"/>
        </w:tblPrEx>
        <w:tc>
          <w:tcPr>
            <w:tcW w:w="9061" w:type="dxa"/>
            <w:gridSpan w:val="3"/>
            <w:vAlign w:val="center"/>
          </w:tcPr>
          <w:p w:rsidR="007F2476" w:rsidP="000C2116" w14:paraId="00A5452A" w14:textId="63348B92">
            <w:pPr>
              <w:spacing w:line="360" w:lineRule="auto"/>
              <w:jc w:val="center"/>
              <w:rPr>
                <w:rFonts w:ascii="Arial" w:hAnsi="Arial" w:cs="Arial"/>
                <w:color w:val="414142"/>
                <w:sz w:val="20"/>
                <w:szCs w:val="20"/>
              </w:rPr>
            </w:pPr>
            <w:r>
              <w:rPr>
                <w:b/>
              </w:rPr>
              <w:t>II. Tiesību akta projekta ietekme uz sabiedrību</w:t>
            </w:r>
          </w:p>
        </w:tc>
      </w:tr>
      <w:tr w14:paraId="0183C235" w14:textId="77777777" w:rsidTr="005239A1">
        <w:tblPrEx>
          <w:tblW w:w="0" w:type="auto"/>
          <w:tblLook w:val="04A0"/>
        </w:tblPrEx>
        <w:tc>
          <w:tcPr>
            <w:tcW w:w="396" w:type="dxa"/>
          </w:tcPr>
          <w:p w:rsidR="007F2476" w:rsidRPr="000C2116" w:rsidP="000C2116" w14:paraId="40A8D14D" w14:textId="529E8AE9">
            <w:pPr>
              <w:rPr>
                <w:color w:val="414142"/>
                <w:sz w:val="20"/>
                <w:szCs w:val="20"/>
              </w:rPr>
            </w:pPr>
            <w:r w:rsidRPr="000C2116">
              <w:rPr>
                <w:color w:val="414142"/>
                <w:szCs w:val="20"/>
              </w:rPr>
              <w:t>1.</w:t>
            </w:r>
          </w:p>
        </w:tc>
        <w:tc>
          <w:tcPr>
            <w:tcW w:w="2718" w:type="dxa"/>
          </w:tcPr>
          <w:p w:rsidR="007F2476" w:rsidRPr="000C2116" w:rsidP="000C2116" w14:paraId="27725649" w14:textId="6CE41253">
            <w:pPr>
              <w:rPr>
                <w:color w:val="414142"/>
                <w:sz w:val="20"/>
                <w:szCs w:val="20"/>
              </w:rPr>
            </w:pPr>
            <w:r w:rsidRPr="00767770">
              <w:t>Sabiedrības mērķgrupas, kuras tiesiskais regulējums ietekmē vai varētu ietekmēt</w:t>
            </w:r>
          </w:p>
        </w:tc>
        <w:tc>
          <w:tcPr>
            <w:tcW w:w="5947" w:type="dxa"/>
          </w:tcPr>
          <w:p w:rsidR="00FA791C" w:rsidRPr="0093073C" w:rsidP="00FA791C" w14:paraId="1DE7B324" w14:textId="0D69A11C">
            <w:pPr>
              <w:pStyle w:val="naiskr"/>
              <w:spacing w:before="0" w:after="0"/>
              <w:jc w:val="both"/>
            </w:pPr>
            <w:r>
              <w:t xml:space="preserve">1) </w:t>
            </w:r>
            <w:r w:rsidRPr="0093073C" w:rsidR="007F2476">
              <w:t>sabiedrība, kurai tiks radīts mazāks piesārņojums un mazāka ietekme uz cilvēku veselību;</w:t>
            </w:r>
          </w:p>
          <w:p w:rsidR="00FA791C" w:rsidP="00FA791C" w14:paraId="205FE4EA" w14:textId="07751730">
            <w:pPr>
              <w:pStyle w:val="naiskr"/>
              <w:spacing w:before="0" w:after="0"/>
              <w:jc w:val="both"/>
            </w:pPr>
            <w:r>
              <w:t xml:space="preserve">2) </w:t>
            </w:r>
            <w:r w:rsidR="00001F13">
              <w:t xml:space="preserve">11 492 </w:t>
            </w:r>
            <w:r w:rsidRPr="005A626E" w:rsidR="007F2476">
              <w:t>komersanti un iestādes (operatori), kur</w:t>
            </w:r>
            <w:r w:rsidR="00D25D08">
              <w:t>i veic piesārņojošo darbību</w:t>
            </w:r>
            <w:r w:rsidRPr="005A626E" w:rsidR="007F2476">
              <w:t>.</w:t>
            </w:r>
          </w:p>
          <w:p w:rsidR="007F2476" w:rsidRPr="00FA791C" w:rsidP="00D25D08" w14:paraId="6864E3CB" w14:textId="794F4097">
            <w:pPr>
              <w:pStyle w:val="naiskr"/>
              <w:spacing w:before="0" w:after="0"/>
              <w:jc w:val="both"/>
            </w:pPr>
            <w:r>
              <w:t xml:space="preserve">3) </w:t>
            </w:r>
            <w:r w:rsidRPr="00FA791C">
              <w:t>kontroles institūcijas un citas</w:t>
            </w:r>
            <w:r w:rsidR="009C69BE">
              <w:t xml:space="preserve"> valsts pārvaldes</w:t>
            </w:r>
            <w:r w:rsidRPr="00FA791C">
              <w:t xml:space="preserve"> iestādes, kas</w:t>
            </w:r>
            <w:r w:rsidRPr="00FA791C" w:rsidR="005A626E">
              <w:t xml:space="preserve"> </w:t>
            </w:r>
            <w:r w:rsidRPr="00FA791C">
              <w:t xml:space="preserve">iesaistītas </w:t>
            </w:r>
            <w:r w:rsidR="00D25D08">
              <w:t xml:space="preserve">likumprojektā noteikto </w:t>
            </w:r>
            <w:r w:rsidRPr="00FA791C">
              <w:t>prasību izpild</w:t>
            </w:r>
            <w:r w:rsidR="00D25D08">
              <w:t>ē</w:t>
            </w:r>
            <w:r w:rsidRPr="00FA791C">
              <w:t>.</w:t>
            </w:r>
          </w:p>
        </w:tc>
      </w:tr>
      <w:tr w14:paraId="3E58840C" w14:textId="77777777" w:rsidTr="005239A1">
        <w:tblPrEx>
          <w:tblW w:w="0" w:type="auto"/>
          <w:tblLook w:val="04A0"/>
        </w:tblPrEx>
        <w:tc>
          <w:tcPr>
            <w:tcW w:w="396" w:type="dxa"/>
          </w:tcPr>
          <w:p w:rsidR="007F2476" w:rsidRPr="00FA791C" w:rsidP="00FA791C" w14:paraId="36BE2E77" w14:textId="2743DEB1">
            <w:pPr>
              <w:rPr>
                <w:color w:val="414142"/>
                <w:sz w:val="20"/>
                <w:szCs w:val="20"/>
              </w:rPr>
            </w:pPr>
            <w:r w:rsidRPr="00FA791C">
              <w:rPr>
                <w:color w:val="414142"/>
                <w:szCs w:val="20"/>
              </w:rPr>
              <w:t>2.</w:t>
            </w:r>
          </w:p>
        </w:tc>
        <w:tc>
          <w:tcPr>
            <w:tcW w:w="2718" w:type="dxa"/>
          </w:tcPr>
          <w:p w:rsidR="007F2476" w:rsidRPr="00FA791C" w:rsidP="00FA791C" w14:paraId="39096273" w14:textId="17991230">
            <w:pPr>
              <w:rPr>
                <w:color w:val="414142"/>
                <w:sz w:val="20"/>
                <w:szCs w:val="20"/>
              </w:rPr>
            </w:pPr>
            <w:r w:rsidRPr="00767770">
              <w:t>Tiesiskā regulējuma ietekme uz tautsaimniecību un administratīvo slogu</w:t>
            </w:r>
          </w:p>
        </w:tc>
        <w:tc>
          <w:tcPr>
            <w:tcW w:w="5947" w:type="dxa"/>
          </w:tcPr>
          <w:p w:rsidR="00B07994" w:rsidP="00A26335" w14:paraId="29D66CC9" w14:textId="77777777">
            <w:pPr>
              <w:jc w:val="both"/>
            </w:pPr>
            <w:r w:rsidRPr="00A26335">
              <w:t xml:space="preserve">Tiks samazināts </w:t>
            </w:r>
            <w:r w:rsidRPr="00A26335" w:rsidR="006A1BFD">
              <w:t>administrat</w:t>
            </w:r>
            <w:r w:rsidRPr="00A26335" w:rsidR="006B0154">
              <w:t xml:space="preserve">īvais slogs gan Valsts vides dienestam, gan operatoriem, jo </w:t>
            </w:r>
            <w:r w:rsidRPr="00A26335" w:rsidR="00A26335">
              <w:t>svītrota iepriekš likumā noteiktā prasība par atļaujas pārskatīšanu un atjaunošanu ik pēc 7 gadiem.</w:t>
            </w:r>
          </w:p>
          <w:p w:rsidR="002F36A6" w:rsidRPr="00A26335" w:rsidP="00A26335" w14:paraId="3812A534" w14:textId="2E94C117">
            <w:pPr>
              <w:jc w:val="both"/>
            </w:pPr>
          </w:p>
        </w:tc>
      </w:tr>
      <w:tr w14:paraId="2B7E3E49" w14:textId="77777777" w:rsidTr="005239A1">
        <w:tblPrEx>
          <w:tblW w:w="0" w:type="auto"/>
          <w:tblLook w:val="04A0"/>
        </w:tblPrEx>
        <w:trPr>
          <w:trHeight w:val="710"/>
        </w:trPr>
        <w:tc>
          <w:tcPr>
            <w:tcW w:w="396" w:type="dxa"/>
          </w:tcPr>
          <w:p w:rsidR="007F2476" w:rsidRPr="00FA791C" w:rsidP="00FA791C" w14:paraId="64CE9720" w14:textId="71C3022A">
            <w:pPr>
              <w:rPr>
                <w:color w:val="414142"/>
                <w:sz w:val="20"/>
                <w:szCs w:val="20"/>
              </w:rPr>
            </w:pPr>
            <w:r w:rsidRPr="00FA791C">
              <w:rPr>
                <w:color w:val="414142"/>
                <w:szCs w:val="20"/>
              </w:rPr>
              <w:t>3.</w:t>
            </w:r>
          </w:p>
        </w:tc>
        <w:tc>
          <w:tcPr>
            <w:tcW w:w="2718" w:type="dxa"/>
          </w:tcPr>
          <w:p w:rsidR="007F2476" w:rsidRPr="00FA791C" w:rsidP="00FA791C" w14:paraId="64888D80" w14:textId="15585712">
            <w:pPr>
              <w:rPr>
                <w:color w:val="414142"/>
                <w:sz w:val="20"/>
                <w:szCs w:val="20"/>
              </w:rPr>
            </w:pPr>
            <w:r w:rsidRPr="00767770">
              <w:t>Administratīvo izmaksu monetārs novērtējums</w:t>
            </w:r>
          </w:p>
        </w:tc>
        <w:tc>
          <w:tcPr>
            <w:tcW w:w="5947" w:type="dxa"/>
          </w:tcPr>
          <w:p w:rsidR="00FB6A8C" w:rsidRPr="00673B54" w:rsidP="005E1E61" w14:paraId="6D0E6C71" w14:textId="7EE8714C">
            <w:pPr>
              <w:jc w:val="both"/>
            </w:pPr>
            <w:r w:rsidRPr="00673B54">
              <w:t>Nav.</w:t>
            </w:r>
          </w:p>
          <w:p w:rsidR="00FB6A8C" w:rsidRPr="00014536" w:rsidP="005E1E61" w14:paraId="65A95066" w14:textId="33E0AFB0">
            <w:pPr>
              <w:jc w:val="both"/>
              <w:rPr>
                <w:b/>
              </w:rPr>
            </w:pPr>
          </w:p>
        </w:tc>
      </w:tr>
      <w:tr w14:paraId="1F75DEBF" w14:textId="77777777" w:rsidTr="005239A1">
        <w:tblPrEx>
          <w:tblW w:w="0" w:type="auto"/>
          <w:tblLook w:val="04A0"/>
        </w:tblPrEx>
        <w:trPr>
          <w:trHeight w:val="692"/>
        </w:trPr>
        <w:tc>
          <w:tcPr>
            <w:tcW w:w="396" w:type="dxa"/>
          </w:tcPr>
          <w:p w:rsidR="007F2476" w:rsidRPr="00FA791C" w:rsidP="00FA791C" w14:paraId="25283935" w14:textId="61370B9A">
            <w:pPr>
              <w:rPr>
                <w:color w:val="414142"/>
                <w:sz w:val="20"/>
                <w:szCs w:val="20"/>
              </w:rPr>
            </w:pPr>
            <w:r w:rsidRPr="00FA791C">
              <w:rPr>
                <w:color w:val="414142"/>
                <w:szCs w:val="20"/>
              </w:rPr>
              <w:t>4.</w:t>
            </w:r>
          </w:p>
        </w:tc>
        <w:tc>
          <w:tcPr>
            <w:tcW w:w="2718" w:type="dxa"/>
          </w:tcPr>
          <w:p w:rsidR="007F2476" w:rsidRPr="00FA791C" w:rsidP="00FA791C" w14:paraId="1327730F" w14:textId="23FD6682">
            <w:pPr>
              <w:rPr>
                <w:color w:val="414142"/>
                <w:sz w:val="20"/>
                <w:szCs w:val="20"/>
              </w:rPr>
            </w:pPr>
            <w:r w:rsidRPr="00767770">
              <w:t>Cita informācija</w:t>
            </w:r>
          </w:p>
        </w:tc>
        <w:tc>
          <w:tcPr>
            <w:tcW w:w="5947" w:type="dxa"/>
          </w:tcPr>
          <w:p w:rsidR="007F2476" w:rsidRPr="00FA791C" w:rsidP="00FA791C" w14:paraId="6B75C0E4" w14:textId="2EBD01DE">
            <w:pPr>
              <w:rPr>
                <w:color w:val="414142"/>
                <w:sz w:val="20"/>
                <w:szCs w:val="20"/>
              </w:rPr>
            </w:pPr>
            <w:r w:rsidRPr="00767770">
              <w:t>Nav.</w:t>
            </w:r>
          </w:p>
        </w:tc>
      </w:tr>
    </w:tbl>
    <w:p w:rsidR="007F2476" w14:paraId="56DAB395" w14:textId="77777777">
      <w:pPr>
        <w:spacing w:line="360" w:lineRule="auto"/>
        <w:rPr>
          <w:rFonts w:ascii="Arial" w:hAnsi="Arial" w:cs="Arial"/>
          <w:color w:val="414142"/>
          <w:sz w:val="20"/>
          <w:szCs w:val="20"/>
        </w:rPr>
      </w:pPr>
    </w:p>
    <w:tbl>
      <w:tblPr>
        <w:tblW w:w="5000" w:type="pct"/>
        <w:tblCellMar>
          <w:left w:w="0" w:type="dxa"/>
          <w:right w:w="0" w:type="dxa"/>
        </w:tblCellMar>
        <w:tblLook w:val="04A0"/>
      </w:tblPr>
      <w:tblGrid>
        <w:gridCol w:w="1904"/>
        <w:gridCol w:w="901"/>
        <w:gridCol w:w="994"/>
        <w:gridCol w:w="1718"/>
        <w:gridCol w:w="1702"/>
        <w:gridCol w:w="1832"/>
      </w:tblGrid>
      <w:tr w14:paraId="48045429" w14:textId="77777777" w:rsidTr="00F27703">
        <w:tblPrEx>
          <w:tblW w:w="5000" w:type="pct"/>
          <w:tblCellMar>
            <w:left w:w="0" w:type="dxa"/>
            <w:right w:w="0" w:type="dxa"/>
          </w:tblCellMar>
          <w:tblLook w:val="04A0"/>
        </w:tblPrEx>
        <w:tc>
          <w:tcPr>
            <w:tcW w:w="5000" w:type="pct"/>
            <w:gridSpan w:val="6"/>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CB360A" w:rsidP="00A26335" w14:paraId="1E19349E" w14:textId="77777777">
            <w:pPr>
              <w:spacing w:before="100" w:beforeAutospacing="1" w:after="100" w:afterAutospacing="1" w:line="276" w:lineRule="auto"/>
              <w:jc w:val="center"/>
              <w:rPr>
                <w:b/>
                <w:bCs/>
              </w:rPr>
            </w:pPr>
            <w:r w:rsidRPr="00CB360A">
              <w:rPr>
                <w:b/>
                <w:bCs/>
              </w:rPr>
              <w:t>III. Tiesību akta projekta ietekme uz valsts budžetu un pašvaldību budžetiem</w:t>
            </w:r>
          </w:p>
        </w:tc>
      </w:tr>
      <w:tr w14:paraId="77B248D8" w14:textId="77777777" w:rsidTr="00F27703">
        <w:tblPrEx>
          <w:tblW w:w="5000" w:type="pct"/>
          <w:tblCellMar>
            <w:left w:w="0" w:type="dxa"/>
            <w:right w:w="0" w:type="dxa"/>
          </w:tblCellMar>
          <w:tblLook w:val="04A0"/>
        </w:tblPrEx>
        <w:tc>
          <w:tcPr>
            <w:tcW w:w="1052" w:type="pct"/>
            <w:vMerge w:val="restart"/>
            <w:tcBorders>
              <w:top w:val="nil"/>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D31848" w:rsidRPr="00CB360A" w:rsidP="00A26335" w14:paraId="691D7CAA" w14:textId="77777777">
            <w:pPr>
              <w:spacing w:before="100" w:beforeAutospacing="1" w:after="100" w:afterAutospacing="1" w:line="276" w:lineRule="auto"/>
              <w:jc w:val="center"/>
              <w:rPr>
                <w:b/>
                <w:bCs/>
              </w:rPr>
            </w:pPr>
            <w:r w:rsidRPr="00CB360A">
              <w:rPr>
                <w:b/>
                <w:bCs/>
              </w:rPr>
              <w:t>Rādītāji</w:t>
            </w:r>
          </w:p>
        </w:tc>
        <w:tc>
          <w:tcPr>
            <w:tcW w:w="1047" w:type="pct"/>
            <w:gridSpan w:val="2"/>
            <w:vMerge w:val="restar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CB360A" w:rsidP="00A26335" w14:paraId="2B446272" w14:textId="77777777">
            <w:pPr>
              <w:spacing w:before="100" w:beforeAutospacing="1" w:after="100" w:afterAutospacing="1" w:line="276" w:lineRule="auto"/>
              <w:jc w:val="center"/>
              <w:rPr>
                <w:b/>
                <w:bCs/>
              </w:rPr>
            </w:pPr>
            <w:r w:rsidRPr="00CB360A">
              <w:rPr>
                <w:b/>
                <w:bCs/>
              </w:rPr>
              <w:t>2017. gads</w:t>
            </w:r>
          </w:p>
        </w:tc>
        <w:tc>
          <w:tcPr>
            <w:tcW w:w="2901" w:type="pct"/>
            <w:gridSpan w:val="3"/>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CB360A" w:rsidP="00A26335" w14:paraId="79817D56" w14:textId="77777777">
            <w:pPr>
              <w:spacing w:before="100" w:beforeAutospacing="1" w:after="100" w:afterAutospacing="1" w:line="276" w:lineRule="auto"/>
              <w:jc w:val="center"/>
            </w:pPr>
            <w:r w:rsidRPr="00CB360A">
              <w:t>Turpmākie trīs gadi (</w:t>
            </w:r>
            <w:r w:rsidRPr="00CB360A">
              <w:rPr>
                <w:i/>
              </w:rPr>
              <w:t>euro</w:t>
            </w:r>
            <w:r w:rsidRPr="00CB360A">
              <w:t>)</w:t>
            </w:r>
          </w:p>
        </w:tc>
      </w:tr>
      <w:tr w14:paraId="04B6323E" w14:textId="77777777" w:rsidTr="00F27703">
        <w:tblPrEx>
          <w:tblW w:w="5000" w:type="pct"/>
          <w:tblCellMar>
            <w:left w:w="0" w:type="dxa"/>
            <w:right w:w="0" w:type="dxa"/>
          </w:tblCellMar>
          <w:tblLook w:val="04A0"/>
        </w:tblPrEx>
        <w:tc>
          <w:tcPr>
            <w:tcW w:w="1052" w:type="pct"/>
            <w:vMerge/>
            <w:tcBorders>
              <w:top w:val="nil"/>
              <w:left w:val="outset" w:sz="8" w:space="0" w:color="000000"/>
              <w:bottom w:val="outset" w:sz="8" w:space="0" w:color="000000"/>
              <w:right w:val="outset" w:sz="8" w:space="0" w:color="000000"/>
            </w:tcBorders>
            <w:vAlign w:val="center"/>
            <w:hideMark/>
          </w:tcPr>
          <w:p w:rsidR="00D31848" w:rsidRPr="00CB360A" w:rsidP="00A26335" w14:paraId="0DA1895F" w14:textId="77777777">
            <w:pPr>
              <w:rPr>
                <w:rFonts w:eastAsiaTheme="minorHAnsi"/>
                <w:b/>
                <w:bCs/>
                <w:color w:val="000000"/>
                <w:lang w:eastAsia="en-US"/>
              </w:rPr>
            </w:pPr>
          </w:p>
        </w:tc>
        <w:tc>
          <w:tcPr>
            <w:tcW w:w="1047" w:type="pct"/>
            <w:gridSpan w:val="2"/>
            <w:vMerge/>
            <w:tcBorders>
              <w:top w:val="nil"/>
              <w:left w:val="nil"/>
              <w:bottom w:val="outset" w:sz="8" w:space="0" w:color="000000"/>
              <w:right w:val="outset" w:sz="8" w:space="0" w:color="000000"/>
            </w:tcBorders>
            <w:vAlign w:val="center"/>
            <w:hideMark/>
          </w:tcPr>
          <w:p w:rsidR="00D31848" w:rsidRPr="00CB360A" w:rsidP="00A26335" w14:paraId="091FC194" w14:textId="77777777">
            <w:pPr>
              <w:rPr>
                <w:rFonts w:eastAsiaTheme="minorHAnsi"/>
                <w:b/>
                <w:bCs/>
                <w:color w:val="000000"/>
                <w:lang w:eastAsia="en-US"/>
              </w:rPr>
            </w:pPr>
          </w:p>
        </w:tc>
        <w:tc>
          <w:tcPr>
            <w:tcW w:w="949"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CB360A" w:rsidP="00A26335" w14:paraId="225209DB" w14:textId="77777777">
            <w:pPr>
              <w:spacing w:before="100" w:beforeAutospacing="1" w:after="100" w:afterAutospacing="1" w:line="276" w:lineRule="auto"/>
              <w:jc w:val="center"/>
              <w:rPr>
                <w:b/>
                <w:bCs/>
              </w:rPr>
            </w:pPr>
            <w:r w:rsidRPr="00CB360A">
              <w:rPr>
                <w:b/>
                <w:bCs/>
              </w:rPr>
              <w:t>2018</w:t>
            </w:r>
          </w:p>
        </w:tc>
        <w:tc>
          <w:tcPr>
            <w:tcW w:w="940"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CB360A" w:rsidP="00A26335" w14:paraId="4050EE26" w14:textId="77777777">
            <w:pPr>
              <w:spacing w:before="100" w:beforeAutospacing="1" w:after="100" w:afterAutospacing="1" w:line="276" w:lineRule="auto"/>
              <w:jc w:val="center"/>
              <w:rPr>
                <w:b/>
                <w:bCs/>
              </w:rPr>
            </w:pPr>
            <w:r w:rsidRPr="00CB360A">
              <w:rPr>
                <w:b/>
                <w:bCs/>
              </w:rPr>
              <w:t>2019</w:t>
            </w:r>
          </w:p>
        </w:tc>
        <w:tc>
          <w:tcPr>
            <w:tcW w:w="1012" w:type="pct"/>
            <w:tcBorders>
              <w:top w:val="nil"/>
              <w:left w:val="nil"/>
              <w:bottom w:val="outset" w:sz="8" w:space="0" w:color="000000"/>
              <w:right w:val="outset" w:sz="8" w:space="0" w:color="000000"/>
            </w:tcBorders>
            <w:tcMar>
              <w:top w:w="30" w:type="dxa"/>
              <w:left w:w="30" w:type="dxa"/>
              <w:bottom w:w="30" w:type="dxa"/>
              <w:right w:w="30" w:type="dxa"/>
            </w:tcMar>
            <w:hideMark/>
          </w:tcPr>
          <w:p w:rsidR="00D31848" w:rsidRPr="00CB360A" w:rsidP="00A26335" w14:paraId="7BCD0E9A" w14:textId="77777777">
            <w:pPr>
              <w:spacing w:before="100" w:beforeAutospacing="1" w:after="100" w:afterAutospacing="1" w:line="276" w:lineRule="auto"/>
              <w:jc w:val="center"/>
              <w:rPr>
                <w:b/>
                <w:bCs/>
              </w:rPr>
            </w:pPr>
            <w:r w:rsidRPr="00CB360A">
              <w:rPr>
                <w:b/>
                <w:bCs/>
              </w:rPr>
              <w:t>2020</w:t>
            </w:r>
          </w:p>
        </w:tc>
      </w:tr>
      <w:tr w14:paraId="4297F03E" w14:textId="77777777" w:rsidTr="00F27703">
        <w:tblPrEx>
          <w:tblW w:w="5000" w:type="pct"/>
          <w:tblCellMar>
            <w:left w:w="0" w:type="dxa"/>
            <w:right w:w="0" w:type="dxa"/>
          </w:tblCellMar>
          <w:tblLook w:val="04A0"/>
        </w:tblPrEx>
        <w:tc>
          <w:tcPr>
            <w:tcW w:w="1052" w:type="pct"/>
            <w:vMerge/>
            <w:tcBorders>
              <w:top w:val="nil"/>
              <w:left w:val="outset" w:sz="8" w:space="0" w:color="000000"/>
              <w:bottom w:val="outset" w:sz="8" w:space="0" w:color="000000"/>
              <w:right w:val="outset" w:sz="8" w:space="0" w:color="000000"/>
            </w:tcBorders>
            <w:vAlign w:val="center"/>
            <w:hideMark/>
          </w:tcPr>
          <w:p w:rsidR="00D31848" w:rsidRPr="00CB360A" w:rsidP="00A26335" w14:paraId="5CB23795" w14:textId="77777777">
            <w:pPr>
              <w:rPr>
                <w:rFonts w:eastAsiaTheme="minorHAnsi"/>
                <w:b/>
                <w:bCs/>
                <w:color w:val="000000"/>
                <w:lang w:eastAsia="en-US"/>
              </w:rPr>
            </w:pPr>
          </w:p>
        </w:tc>
        <w:tc>
          <w:tcPr>
            <w:tcW w:w="498"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AC3DD8" w:rsidP="00A26335" w14:paraId="3C0B3EC6" w14:textId="77777777">
            <w:pPr>
              <w:jc w:val="center"/>
              <w:rPr>
                <w:sz w:val="22"/>
                <w:szCs w:val="22"/>
              </w:rPr>
            </w:pPr>
            <w:r w:rsidRPr="00AC3DD8">
              <w:rPr>
                <w:sz w:val="22"/>
                <w:szCs w:val="22"/>
              </w:rPr>
              <w:t>saskaņā ar valsts budžetu kārtējam gadam</w:t>
            </w:r>
          </w:p>
        </w:tc>
        <w:tc>
          <w:tcPr>
            <w:tcW w:w="549"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AC3DD8" w:rsidP="00A26335" w14:paraId="1673FE22" w14:textId="77777777">
            <w:pPr>
              <w:jc w:val="center"/>
              <w:rPr>
                <w:sz w:val="22"/>
                <w:szCs w:val="22"/>
              </w:rPr>
            </w:pPr>
            <w:r w:rsidRPr="00AC3DD8">
              <w:rPr>
                <w:sz w:val="22"/>
                <w:szCs w:val="22"/>
              </w:rPr>
              <w:t>izmaiņas kārtējā gadā, salīdzinot ar budžetu kārtējam gadam</w:t>
            </w:r>
          </w:p>
        </w:tc>
        <w:tc>
          <w:tcPr>
            <w:tcW w:w="949"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AC3DD8" w:rsidP="00A26335" w14:paraId="7AE92DC6" w14:textId="77777777">
            <w:pPr>
              <w:jc w:val="center"/>
              <w:rPr>
                <w:sz w:val="22"/>
                <w:szCs w:val="22"/>
              </w:rPr>
            </w:pPr>
            <w:r w:rsidRPr="00AC3DD8">
              <w:rPr>
                <w:sz w:val="22"/>
                <w:szCs w:val="22"/>
              </w:rPr>
              <w:t>izmaiņas, salīdzinot ar kārtējo 2017. gadu</w:t>
            </w:r>
          </w:p>
        </w:tc>
        <w:tc>
          <w:tcPr>
            <w:tcW w:w="940"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AC3DD8" w:rsidP="00A26335" w14:paraId="5E8DF373" w14:textId="77777777">
            <w:pPr>
              <w:jc w:val="center"/>
              <w:rPr>
                <w:sz w:val="22"/>
                <w:szCs w:val="22"/>
              </w:rPr>
            </w:pPr>
            <w:r w:rsidRPr="00AC3DD8">
              <w:rPr>
                <w:sz w:val="22"/>
                <w:szCs w:val="22"/>
              </w:rPr>
              <w:t>izmaiņas, salīdzinot ar kārtējo 2017. gadu</w:t>
            </w:r>
          </w:p>
        </w:tc>
        <w:tc>
          <w:tcPr>
            <w:tcW w:w="1012"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AC3DD8" w:rsidP="00A26335" w14:paraId="06C159A0" w14:textId="77777777">
            <w:pPr>
              <w:jc w:val="center"/>
              <w:rPr>
                <w:sz w:val="22"/>
                <w:szCs w:val="22"/>
              </w:rPr>
            </w:pPr>
            <w:r w:rsidRPr="00AC3DD8">
              <w:rPr>
                <w:sz w:val="22"/>
                <w:szCs w:val="22"/>
              </w:rPr>
              <w:t>izmaiņas, salīdzinot ar kārtējo 2017. gadu</w:t>
            </w:r>
          </w:p>
        </w:tc>
      </w:tr>
      <w:tr w14:paraId="5A356BE1" w14:textId="77777777" w:rsidTr="00F27703">
        <w:tblPrEx>
          <w:tblW w:w="5000" w:type="pct"/>
          <w:tblCellMar>
            <w:left w:w="0" w:type="dxa"/>
            <w:right w:w="0" w:type="dxa"/>
          </w:tblCellMar>
          <w:tblLook w:val="04A0"/>
        </w:tblPrEx>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D31848" w:rsidRPr="00CB360A" w:rsidP="00A26335" w14:paraId="59E85F4D" w14:textId="77777777">
            <w:pPr>
              <w:spacing w:before="100" w:beforeAutospacing="1" w:after="100" w:afterAutospacing="1" w:line="276" w:lineRule="auto"/>
              <w:jc w:val="center"/>
            </w:pPr>
            <w:r w:rsidRPr="00CB360A">
              <w:t>1</w:t>
            </w:r>
          </w:p>
        </w:tc>
        <w:tc>
          <w:tcPr>
            <w:tcW w:w="498"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CB360A" w:rsidP="00A26335" w14:paraId="429CF293" w14:textId="77777777">
            <w:pPr>
              <w:spacing w:before="100" w:beforeAutospacing="1" w:after="100" w:afterAutospacing="1" w:line="276" w:lineRule="auto"/>
              <w:jc w:val="center"/>
            </w:pPr>
            <w:r w:rsidRPr="00CB360A">
              <w:t>2</w:t>
            </w:r>
          </w:p>
        </w:tc>
        <w:tc>
          <w:tcPr>
            <w:tcW w:w="549"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CB360A" w:rsidP="00A26335" w14:paraId="1A12D6EF" w14:textId="77777777">
            <w:pPr>
              <w:spacing w:before="100" w:beforeAutospacing="1" w:after="100" w:afterAutospacing="1" w:line="276" w:lineRule="auto"/>
              <w:jc w:val="center"/>
            </w:pPr>
            <w:r w:rsidRPr="00CB360A">
              <w:t>3</w:t>
            </w:r>
          </w:p>
        </w:tc>
        <w:tc>
          <w:tcPr>
            <w:tcW w:w="949"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CB360A" w:rsidP="00A26335" w14:paraId="5FCC4705" w14:textId="77777777">
            <w:pPr>
              <w:spacing w:before="100" w:beforeAutospacing="1" w:after="100" w:afterAutospacing="1" w:line="276" w:lineRule="auto"/>
              <w:jc w:val="center"/>
            </w:pPr>
            <w:r w:rsidRPr="00CB360A">
              <w:t>5</w:t>
            </w:r>
          </w:p>
        </w:tc>
        <w:tc>
          <w:tcPr>
            <w:tcW w:w="940"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CB360A" w:rsidP="00A26335" w14:paraId="3ACD6D7F" w14:textId="77777777">
            <w:pPr>
              <w:spacing w:before="100" w:beforeAutospacing="1" w:after="100" w:afterAutospacing="1" w:line="276" w:lineRule="auto"/>
              <w:jc w:val="center"/>
            </w:pPr>
            <w:r w:rsidRPr="00CB360A">
              <w:t>6</w:t>
            </w:r>
          </w:p>
        </w:tc>
        <w:tc>
          <w:tcPr>
            <w:tcW w:w="1012" w:type="pct"/>
            <w:tcBorders>
              <w:top w:val="nil"/>
              <w:left w:val="nil"/>
              <w:bottom w:val="outset" w:sz="8" w:space="0" w:color="000000"/>
              <w:right w:val="outset" w:sz="8" w:space="0" w:color="000000"/>
            </w:tcBorders>
            <w:tcMar>
              <w:top w:w="30" w:type="dxa"/>
              <w:left w:w="30" w:type="dxa"/>
              <w:bottom w:w="30" w:type="dxa"/>
              <w:right w:w="30" w:type="dxa"/>
            </w:tcMar>
            <w:hideMark/>
          </w:tcPr>
          <w:p w:rsidR="00D31848" w:rsidRPr="00CB360A" w:rsidP="00A26335" w14:paraId="75EE8371" w14:textId="77777777">
            <w:pPr>
              <w:spacing w:before="100" w:beforeAutospacing="1" w:after="100" w:afterAutospacing="1" w:line="276" w:lineRule="auto"/>
              <w:jc w:val="center"/>
            </w:pPr>
            <w:r w:rsidRPr="00CB360A">
              <w:t>7</w:t>
            </w:r>
          </w:p>
        </w:tc>
      </w:tr>
      <w:tr w14:paraId="1A880376" w14:textId="77777777" w:rsidTr="00F27703">
        <w:tblPrEx>
          <w:tblW w:w="5000" w:type="pct"/>
          <w:tblCellMar>
            <w:left w:w="0" w:type="dxa"/>
            <w:right w:w="0" w:type="dxa"/>
          </w:tblCellMar>
          <w:tblLook w:val="04A0"/>
        </w:tblPrEx>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CB360A" w:rsidP="00A26335" w14:paraId="4E786AE2" w14:textId="77777777">
            <w:pPr>
              <w:spacing w:before="100" w:beforeAutospacing="1" w:after="100" w:afterAutospacing="1" w:line="276" w:lineRule="auto"/>
            </w:pPr>
            <w:r w:rsidRPr="00CB360A">
              <w:t>1. Budžeta ieņēmumi:</w:t>
            </w:r>
          </w:p>
        </w:tc>
        <w:tc>
          <w:tcPr>
            <w:tcW w:w="498" w:type="pct"/>
            <w:tcBorders>
              <w:top w:val="nil"/>
              <w:left w:val="nil"/>
              <w:bottom w:val="single" w:sz="8" w:space="0" w:color="auto"/>
              <w:right w:val="outset" w:sz="8" w:space="0" w:color="000000"/>
            </w:tcBorders>
            <w:tcMar>
              <w:top w:w="30" w:type="dxa"/>
              <w:left w:w="30" w:type="dxa"/>
              <w:bottom w:w="30" w:type="dxa"/>
              <w:right w:w="30" w:type="dxa"/>
            </w:tcMar>
            <w:vAlign w:val="center"/>
            <w:hideMark/>
          </w:tcPr>
          <w:p w:rsidR="00D31848" w:rsidRPr="00CB360A" w:rsidP="00A26335" w14:paraId="7CA93943" w14:textId="77777777">
            <w:pPr>
              <w:spacing w:line="276" w:lineRule="auto"/>
              <w:jc w:val="center"/>
            </w:pPr>
            <w:r w:rsidRPr="00CB360A">
              <w:t>0</w:t>
            </w:r>
          </w:p>
        </w:tc>
        <w:tc>
          <w:tcPr>
            <w:tcW w:w="549" w:type="pct"/>
            <w:tcBorders>
              <w:top w:val="nil"/>
              <w:left w:val="nil"/>
              <w:bottom w:val="single" w:sz="8" w:space="0" w:color="auto"/>
              <w:right w:val="outset" w:sz="8" w:space="0" w:color="000000"/>
            </w:tcBorders>
            <w:tcMar>
              <w:top w:w="30" w:type="dxa"/>
              <w:left w:w="30" w:type="dxa"/>
              <w:bottom w:w="30" w:type="dxa"/>
              <w:right w:w="30" w:type="dxa"/>
            </w:tcMar>
            <w:vAlign w:val="center"/>
            <w:hideMark/>
          </w:tcPr>
          <w:p w:rsidR="00D31848" w:rsidRPr="00CB360A" w:rsidP="00A26335" w14:paraId="0306C564" w14:textId="77777777">
            <w:pPr>
              <w:spacing w:line="276" w:lineRule="auto"/>
              <w:jc w:val="center"/>
            </w:pPr>
            <w:r w:rsidRPr="00CB360A">
              <w:t>0</w:t>
            </w:r>
          </w:p>
        </w:tc>
        <w:tc>
          <w:tcPr>
            <w:tcW w:w="949" w:type="pct"/>
            <w:tcBorders>
              <w:top w:val="nil"/>
              <w:left w:val="nil"/>
              <w:bottom w:val="single" w:sz="8" w:space="0" w:color="auto"/>
              <w:right w:val="outset" w:sz="8" w:space="0" w:color="000000"/>
            </w:tcBorders>
            <w:tcMar>
              <w:top w:w="30" w:type="dxa"/>
              <w:left w:w="30" w:type="dxa"/>
              <w:bottom w:w="30" w:type="dxa"/>
              <w:right w:w="30" w:type="dxa"/>
            </w:tcMar>
            <w:vAlign w:val="center"/>
            <w:hideMark/>
          </w:tcPr>
          <w:p w:rsidR="00D31848" w:rsidRPr="00D33719" w:rsidP="00A26335" w14:paraId="35CF3F28" w14:textId="11FC4A7B">
            <w:pPr>
              <w:spacing w:line="276" w:lineRule="auto"/>
              <w:jc w:val="center"/>
            </w:pPr>
            <w:r w:rsidRPr="00D33719">
              <w:t>100 000</w:t>
            </w:r>
          </w:p>
        </w:tc>
        <w:tc>
          <w:tcPr>
            <w:tcW w:w="940" w:type="pct"/>
            <w:tcBorders>
              <w:top w:val="nil"/>
              <w:left w:val="nil"/>
              <w:bottom w:val="single" w:sz="8" w:space="0" w:color="auto"/>
              <w:right w:val="outset" w:sz="8" w:space="0" w:color="000000"/>
            </w:tcBorders>
            <w:tcMar>
              <w:top w:w="30" w:type="dxa"/>
              <w:left w:w="30" w:type="dxa"/>
              <w:bottom w:w="30" w:type="dxa"/>
              <w:right w:w="30" w:type="dxa"/>
            </w:tcMar>
            <w:vAlign w:val="center"/>
            <w:hideMark/>
          </w:tcPr>
          <w:p w:rsidR="00D31848" w:rsidRPr="00D33719" w:rsidP="00A26335" w14:paraId="6AB6B35A" w14:textId="2C152B58">
            <w:pPr>
              <w:spacing w:line="276" w:lineRule="auto"/>
              <w:jc w:val="center"/>
            </w:pPr>
            <w:r w:rsidRPr="00D33719">
              <w:t>25 000</w:t>
            </w:r>
          </w:p>
        </w:tc>
        <w:tc>
          <w:tcPr>
            <w:tcW w:w="1012" w:type="pct"/>
            <w:tcBorders>
              <w:top w:val="nil"/>
              <w:left w:val="nil"/>
              <w:bottom w:val="single" w:sz="8" w:space="0" w:color="auto"/>
              <w:right w:val="outset" w:sz="8" w:space="0" w:color="000000"/>
            </w:tcBorders>
            <w:tcMar>
              <w:top w:w="30" w:type="dxa"/>
              <w:left w:w="30" w:type="dxa"/>
              <w:bottom w:w="30" w:type="dxa"/>
              <w:right w:w="30" w:type="dxa"/>
            </w:tcMar>
            <w:vAlign w:val="center"/>
            <w:hideMark/>
          </w:tcPr>
          <w:p w:rsidR="00D31848" w:rsidRPr="00D33719" w:rsidP="00A26335" w14:paraId="7E0B8205" w14:textId="21387730">
            <w:pPr>
              <w:spacing w:line="276" w:lineRule="auto"/>
              <w:jc w:val="center"/>
            </w:pPr>
            <w:r w:rsidRPr="00D33719">
              <w:t>25 000</w:t>
            </w:r>
          </w:p>
        </w:tc>
      </w:tr>
      <w:tr w14:paraId="2B1DDCE1" w14:textId="77777777" w:rsidTr="00F27703">
        <w:tblPrEx>
          <w:tblW w:w="5000" w:type="pct"/>
          <w:tblCellMar>
            <w:left w:w="0" w:type="dxa"/>
            <w:right w:w="0" w:type="dxa"/>
          </w:tblCellMar>
          <w:tblLook w:val="04A0"/>
        </w:tblPrEx>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CB360A" w:rsidP="00A26335" w14:paraId="6EF99344" w14:textId="77777777">
            <w:pPr>
              <w:spacing w:before="100" w:beforeAutospacing="1" w:after="100" w:afterAutospacing="1" w:line="276" w:lineRule="auto"/>
            </w:pPr>
            <w:r w:rsidRPr="00CB360A">
              <w:t>1.1. valsts pamatbudžets, tai skaitā ieņēmumi no maksas pakalpojumiem un citi pašu ieņēmumi</w:t>
            </w:r>
          </w:p>
        </w:tc>
        <w:tc>
          <w:tcPr>
            <w:tcW w:w="498" w:type="pct"/>
            <w:tcBorders>
              <w:top w:val="nil"/>
              <w:left w:val="nil"/>
              <w:bottom w:val="single" w:sz="8" w:space="0" w:color="auto"/>
              <w:right w:val="outset" w:sz="8" w:space="0" w:color="000000"/>
            </w:tcBorders>
            <w:vAlign w:val="center"/>
            <w:hideMark/>
          </w:tcPr>
          <w:p w:rsidR="00D31848" w:rsidRPr="00CB360A" w:rsidP="00A26335" w14:paraId="779389E4" w14:textId="77777777">
            <w:pPr>
              <w:jc w:val="center"/>
              <w:rPr>
                <w:rFonts w:eastAsiaTheme="minorHAnsi"/>
                <w:lang w:eastAsia="en-US"/>
              </w:rPr>
            </w:pPr>
            <w:r w:rsidRPr="00CB360A">
              <w:rPr>
                <w:rFonts w:eastAsiaTheme="minorHAnsi"/>
                <w:lang w:eastAsia="en-US"/>
              </w:rPr>
              <w:t>0</w:t>
            </w:r>
          </w:p>
        </w:tc>
        <w:tc>
          <w:tcPr>
            <w:tcW w:w="549" w:type="pct"/>
            <w:tcBorders>
              <w:top w:val="nil"/>
              <w:left w:val="nil"/>
              <w:bottom w:val="single" w:sz="8" w:space="0" w:color="auto"/>
              <w:right w:val="outset" w:sz="8" w:space="0" w:color="000000"/>
            </w:tcBorders>
            <w:vAlign w:val="center"/>
            <w:hideMark/>
          </w:tcPr>
          <w:p w:rsidR="00D31848" w:rsidRPr="00CB360A" w:rsidP="00A26335" w14:paraId="721DE922" w14:textId="77777777">
            <w:pPr>
              <w:jc w:val="center"/>
              <w:rPr>
                <w:rFonts w:eastAsiaTheme="minorHAnsi"/>
                <w:lang w:eastAsia="en-US"/>
              </w:rPr>
            </w:pPr>
            <w:r w:rsidRPr="00CB360A">
              <w:rPr>
                <w:rFonts w:eastAsiaTheme="minorHAnsi"/>
                <w:lang w:eastAsia="en-US"/>
              </w:rPr>
              <w:t>0</w:t>
            </w:r>
          </w:p>
        </w:tc>
        <w:tc>
          <w:tcPr>
            <w:tcW w:w="949" w:type="pct"/>
            <w:tcBorders>
              <w:top w:val="nil"/>
              <w:left w:val="nil"/>
              <w:bottom w:val="single" w:sz="8" w:space="0" w:color="auto"/>
              <w:right w:val="outset" w:sz="8" w:space="0" w:color="000000"/>
            </w:tcBorders>
            <w:vAlign w:val="center"/>
            <w:hideMark/>
          </w:tcPr>
          <w:p w:rsidR="00D31848" w:rsidRPr="00D33719" w:rsidP="00A26335" w14:paraId="0085C08E" w14:textId="74805985">
            <w:pPr>
              <w:jc w:val="center"/>
              <w:rPr>
                <w:rFonts w:eastAsiaTheme="minorHAnsi"/>
                <w:lang w:eastAsia="en-US"/>
              </w:rPr>
            </w:pPr>
            <w:r w:rsidRPr="00D33719">
              <w:rPr>
                <w:rFonts w:eastAsiaTheme="minorHAnsi"/>
                <w:lang w:eastAsia="en-US"/>
              </w:rPr>
              <w:t>100 000</w:t>
            </w:r>
          </w:p>
        </w:tc>
        <w:tc>
          <w:tcPr>
            <w:tcW w:w="940" w:type="pct"/>
            <w:tcBorders>
              <w:top w:val="nil"/>
              <w:left w:val="nil"/>
              <w:bottom w:val="single" w:sz="8" w:space="0" w:color="auto"/>
              <w:right w:val="outset" w:sz="8" w:space="0" w:color="000000"/>
            </w:tcBorders>
            <w:vAlign w:val="center"/>
            <w:hideMark/>
          </w:tcPr>
          <w:p w:rsidR="00D31848" w:rsidRPr="00D33719" w:rsidP="00A26335" w14:paraId="2638BD29" w14:textId="7A451E4D">
            <w:pPr>
              <w:jc w:val="center"/>
              <w:rPr>
                <w:rFonts w:eastAsiaTheme="minorHAnsi"/>
                <w:lang w:eastAsia="en-US"/>
              </w:rPr>
            </w:pPr>
            <w:r w:rsidRPr="00D33719">
              <w:rPr>
                <w:rFonts w:eastAsiaTheme="minorHAnsi"/>
                <w:lang w:eastAsia="en-US"/>
              </w:rPr>
              <w:t>25 000</w:t>
            </w:r>
          </w:p>
        </w:tc>
        <w:tc>
          <w:tcPr>
            <w:tcW w:w="1012" w:type="pct"/>
            <w:tcBorders>
              <w:top w:val="nil"/>
              <w:left w:val="nil"/>
              <w:bottom w:val="single" w:sz="8" w:space="0" w:color="auto"/>
              <w:right w:val="outset" w:sz="8" w:space="0" w:color="000000"/>
            </w:tcBorders>
            <w:vAlign w:val="center"/>
            <w:hideMark/>
          </w:tcPr>
          <w:p w:rsidR="00D31848" w:rsidRPr="00D33719" w:rsidP="00A26335" w14:paraId="69BDA2DD" w14:textId="01F833AF">
            <w:pPr>
              <w:jc w:val="center"/>
              <w:rPr>
                <w:rFonts w:eastAsiaTheme="minorHAnsi"/>
                <w:lang w:eastAsia="en-US"/>
              </w:rPr>
            </w:pPr>
            <w:r w:rsidRPr="00D33719">
              <w:rPr>
                <w:rFonts w:eastAsiaTheme="minorHAnsi"/>
                <w:lang w:eastAsia="en-US"/>
              </w:rPr>
              <w:t>25 000</w:t>
            </w:r>
          </w:p>
        </w:tc>
      </w:tr>
      <w:tr w14:paraId="46548277" w14:textId="77777777" w:rsidTr="00F27703">
        <w:tblPrEx>
          <w:tblW w:w="5000" w:type="pct"/>
          <w:tblCellMar>
            <w:left w:w="0" w:type="dxa"/>
            <w:right w:w="0" w:type="dxa"/>
          </w:tblCellMar>
          <w:tblLook w:val="04A0"/>
        </w:tblPrEx>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CB360A" w:rsidP="00A26335" w14:paraId="33AF64C7" w14:textId="77777777">
            <w:pPr>
              <w:spacing w:before="100" w:beforeAutospacing="1" w:after="100" w:afterAutospacing="1" w:line="276" w:lineRule="auto"/>
            </w:pPr>
            <w:r w:rsidRPr="00CB360A">
              <w:t>1.2. valsts speciālais budžets</w:t>
            </w:r>
          </w:p>
        </w:tc>
        <w:tc>
          <w:tcPr>
            <w:tcW w:w="498" w:type="pct"/>
            <w:tcBorders>
              <w:top w:val="nil"/>
              <w:left w:val="nil"/>
              <w:bottom w:val="single" w:sz="8" w:space="0" w:color="auto"/>
              <w:right w:val="outset" w:sz="8" w:space="0" w:color="000000"/>
            </w:tcBorders>
            <w:vAlign w:val="center"/>
            <w:hideMark/>
          </w:tcPr>
          <w:p w:rsidR="00D31848" w:rsidRPr="00CB360A" w:rsidP="00A26335" w14:paraId="6AB9F33E" w14:textId="77777777">
            <w:pPr>
              <w:jc w:val="center"/>
              <w:rPr>
                <w:rFonts w:eastAsiaTheme="minorHAnsi"/>
                <w:lang w:eastAsia="en-US"/>
              </w:rPr>
            </w:pPr>
            <w:r w:rsidRPr="00CB360A">
              <w:rPr>
                <w:rFonts w:eastAsiaTheme="minorHAnsi"/>
                <w:lang w:eastAsia="en-US"/>
              </w:rPr>
              <w:t>0</w:t>
            </w:r>
          </w:p>
        </w:tc>
        <w:tc>
          <w:tcPr>
            <w:tcW w:w="549" w:type="pct"/>
            <w:tcBorders>
              <w:top w:val="nil"/>
              <w:left w:val="nil"/>
              <w:bottom w:val="single" w:sz="8" w:space="0" w:color="auto"/>
              <w:right w:val="outset" w:sz="8" w:space="0" w:color="000000"/>
            </w:tcBorders>
            <w:vAlign w:val="center"/>
            <w:hideMark/>
          </w:tcPr>
          <w:p w:rsidR="00D31848" w:rsidRPr="00CB360A" w:rsidP="00A26335" w14:paraId="7AB58044" w14:textId="77777777">
            <w:pPr>
              <w:jc w:val="center"/>
              <w:rPr>
                <w:rFonts w:eastAsiaTheme="minorHAnsi"/>
                <w:lang w:eastAsia="en-US"/>
              </w:rPr>
            </w:pPr>
            <w:r w:rsidRPr="00CB360A">
              <w:rPr>
                <w:rFonts w:eastAsiaTheme="minorHAnsi"/>
                <w:lang w:eastAsia="en-US"/>
              </w:rPr>
              <w:t>0</w:t>
            </w:r>
          </w:p>
        </w:tc>
        <w:tc>
          <w:tcPr>
            <w:tcW w:w="949" w:type="pct"/>
            <w:tcBorders>
              <w:top w:val="nil"/>
              <w:left w:val="nil"/>
              <w:bottom w:val="single" w:sz="8" w:space="0" w:color="auto"/>
              <w:right w:val="outset" w:sz="8" w:space="0" w:color="000000"/>
            </w:tcBorders>
            <w:vAlign w:val="center"/>
            <w:hideMark/>
          </w:tcPr>
          <w:p w:rsidR="00D31848" w:rsidRPr="00CB360A" w:rsidP="00A26335" w14:paraId="20069C61" w14:textId="77777777">
            <w:pPr>
              <w:jc w:val="center"/>
              <w:rPr>
                <w:rFonts w:eastAsiaTheme="minorHAnsi"/>
                <w:lang w:eastAsia="en-US"/>
              </w:rPr>
            </w:pPr>
            <w:r w:rsidRPr="00CB360A">
              <w:rPr>
                <w:rFonts w:eastAsiaTheme="minorHAnsi"/>
                <w:lang w:eastAsia="en-US"/>
              </w:rPr>
              <w:t>0</w:t>
            </w:r>
          </w:p>
        </w:tc>
        <w:tc>
          <w:tcPr>
            <w:tcW w:w="940" w:type="pct"/>
            <w:tcBorders>
              <w:top w:val="nil"/>
              <w:left w:val="nil"/>
              <w:bottom w:val="single" w:sz="8" w:space="0" w:color="auto"/>
              <w:right w:val="outset" w:sz="8" w:space="0" w:color="000000"/>
            </w:tcBorders>
            <w:vAlign w:val="center"/>
            <w:hideMark/>
          </w:tcPr>
          <w:p w:rsidR="00D31848" w:rsidRPr="00CB360A" w:rsidP="00A26335" w14:paraId="38A9E977" w14:textId="77777777">
            <w:pPr>
              <w:jc w:val="center"/>
              <w:rPr>
                <w:rFonts w:eastAsiaTheme="minorHAnsi"/>
                <w:lang w:eastAsia="en-US"/>
              </w:rPr>
            </w:pPr>
            <w:r w:rsidRPr="00CB360A">
              <w:rPr>
                <w:rFonts w:eastAsiaTheme="minorHAnsi"/>
                <w:lang w:eastAsia="en-US"/>
              </w:rPr>
              <w:t>0</w:t>
            </w:r>
          </w:p>
        </w:tc>
        <w:tc>
          <w:tcPr>
            <w:tcW w:w="1012" w:type="pct"/>
            <w:tcBorders>
              <w:top w:val="nil"/>
              <w:left w:val="nil"/>
              <w:bottom w:val="single" w:sz="8" w:space="0" w:color="auto"/>
              <w:right w:val="outset" w:sz="8" w:space="0" w:color="000000"/>
            </w:tcBorders>
            <w:vAlign w:val="center"/>
            <w:hideMark/>
          </w:tcPr>
          <w:p w:rsidR="00D31848" w:rsidRPr="00CB360A" w:rsidP="00A26335" w14:paraId="696E44DB" w14:textId="77777777">
            <w:pPr>
              <w:jc w:val="center"/>
              <w:rPr>
                <w:rFonts w:eastAsiaTheme="minorHAnsi"/>
                <w:lang w:eastAsia="en-US"/>
              </w:rPr>
            </w:pPr>
            <w:r w:rsidRPr="00CB360A">
              <w:rPr>
                <w:rFonts w:eastAsiaTheme="minorHAnsi"/>
                <w:lang w:eastAsia="en-US"/>
              </w:rPr>
              <w:t>0</w:t>
            </w:r>
          </w:p>
        </w:tc>
      </w:tr>
      <w:tr w14:paraId="69F49AC8" w14:textId="77777777" w:rsidTr="00F27703">
        <w:tblPrEx>
          <w:tblW w:w="5000" w:type="pct"/>
          <w:tblCellMar>
            <w:left w:w="0" w:type="dxa"/>
            <w:right w:w="0" w:type="dxa"/>
          </w:tblCellMar>
          <w:tblLook w:val="04A0"/>
        </w:tblPrEx>
        <w:tc>
          <w:tcPr>
            <w:tcW w:w="1052" w:type="pct"/>
            <w:tcBorders>
              <w:top w:val="nil"/>
              <w:left w:val="outset" w:sz="8" w:space="0" w:color="000000"/>
              <w:bottom w:val="single" w:sz="8" w:space="0" w:color="auto"/>
              <w:right w:val="outset" w:sz="8" w:space="0" w:color="000000"/>
            </w:tcBorders>
            <w:tcMar>
              <w:top w:w="30" w:type="dxa"/>
              <w:left w:w="30" w:type="dxa"/>
              <w:bottom w:w="30" w:type="dxa"/>
              <w:right w:w="30" w:type="dxa"/>
            </w:tcMar>
            <w:hideMark/>
          </w:tcPr>
          <w:p w:rsidR="00D31848" w:rsidRPr="00CB360A" w:rsidP="00A26335" w14:paraId="331DE134" w14:textId="77777777">
            <w:pPr>
              <w:spacing w:before="100" w:beforeAutospacing="1" w:after="100" w:afterAutospacing="1" w:line="276" w:lineRule="auto"/>
            </w:pPr>
            <w:r w:rsidRPr="00CB360A">
              <w:t>1.3. pašvaldību budžets</w:t>
            </w:r>
          </w:p>
        </w:tc>
        <w:tc>
          <w:tcPr>
            <w:tcW w:w="498" w:type="pct"/>
            <w:tcBorders>
              <w:top w:val="nil"/>
              <w:left w:val="nil"/>
              <w:bottom w:val="single" w:sz="8" w:space="0" w:color="auto"/>
              <w:right w:val="outset" w:sz="8" w:space="0" w:color="000000"/>
            </w:tcBorders>
            <w:vAlign w:val="center"/>
            <w:hideMark/>
          </w:tcPr>
          <w:p w:rsidR="00D31848" w:rsidRPr="00CB360A" w:rsidP="00A26335" w14:paraId="1C5556CB" w14:textId="77777777">
            <w:pPr>
              <w:jc w:val="center"/>
              <w:rPr>
                <w:rFonts w:eastAsiaTheme="minorHAnsi"/>
                <w:lang w:eastAsia="en-US"/>
              </w:rPr>
            </w:pPr>
            <w:r w:rsidRPr="00CB360A">
              <w:rPr>
                <w:rFonts w:eastAsiaTheme="minorHAnsi"/>
                <w:lang w:eastAsia="en-US"/>
              </w:rPr>
              <w:t>0</w:t>
            </w:r>
          </w:p>
        </w:tc>
        <w:tc>
          <w:tcPr>
            <w:tcW w:w="549" w:type="pct"/>
            <w:tcBorders>
              <w:top w:val="nil"/>
              <w:left w:val="nil"/>
              <w:bottom w:val="single" w:sz="8" w:space="0" w:color="auto"/>
              <w:right w:val="outset" w:sz="8" w:space="0" w:color="000000"/>
            </w:tcBorders>
            <w:vAlign w:val="center"/>
            <w:hideMark/>
          </w:tcPr>
          <w:p w:rsidR="00D31848" w:rsidRPr="00CB360A" w:rsidP="00A26335" w14:paraId="10EF677D" w14:textId="77777777">
            <w:pPr>
              <w:jc w:val="center"/>
              <w:rPr>
                <w:rFonts w:eastAsiaTheme="minorHAnsi"/>
                <w:lang w:eastAsia="en-US"/>
              </w:rPr>
            </w:pPr>
            <w:r w:rsidRPr="00CB360A">
              <w:rPr>
                <w:rFonts w:eastAsiaTheme="minorHAnsi"/>
                <w:lang w:eastAsia="en-US"/>
              </w:rPr>
              <w:t>0</w:t>
            </w:r>
          </w:p>
        </w:tc>
        <w:tc>
          <w:tcPr>
            <w:tcW w:w="949" w:type="pct"/>
            <w:tcBorders>
              <w:top w:val="nil"/>
              <w:left w:val="nil"/>
              <w:bottom w:val="single" w:sz="8" w:space="0" w:color="auto"/>
              <w:right w:val="outset" w:sz="8" w:space="0" w:color="000000"/>
            </w:tcBorders>
            <w:vAlign w:val="center"/>
            <w:hideMark/>
          </w:tcPr>
          <w:p w:rsidR="00D31848" w:rsidRPr="00CB360A" w:rsidP="00A26335" w14:paraId="4B61F3A9" w14:textId="77777777">
            <w:pPr>
              <w:jc w:val="center"/>
              <w:rPr>
                <w:rFonts w:eastAsiaTheme="minorHAnsi"/>
                <w:lang w:eastAsia="en-US"/>
              </w:rPr>
            </w:pPr>
            <w:r w:rsidRPr="00CB360A">
              <w:rPr>
                <w:rFonts w:eastAsiaTheme="minorHAnsi"/>
                <w:lang w:eastAsia="en-US"/>
              </w:rPr>
              <w:t>0</w:t>
            </w:r>
          </w:p>
        </w:tc>
        <w:tc>
          <w:tcPr>
            <w:tcW w:w="940" w:type="pct"/>
            <w:tcBorders>
              <w:top w:val="nil"/>
              <w:left w:val="nil"/>
              <w:bottom w:val="single" w:sz="8" w:space="0" w:color="auto"/>
              <w:right w:val="outset" w:sz="8" w:space="0" w:color="000000"/>
            </w:tcBorders>
            <w:vAlign w:val="center"/>
            <w:hideMark/>
          </w:tcPr>
          <w:p w:rsidR="00D31848" w:rsidRPr="00CB360A" w:rsidP="00A26335" w14:paraId="07CD7EA7" w14:textId="77777777">
            <w:pPr>
              <w:jc w:val="center"/>
              <w:rPr>
                <w:rFonts w:eastAsiaTheme="minorHAnsi"/>
                <w:lang w:eastAsia="en-US"/>
              </w:rPr>
            </w:pPr>
            <w:r w:rsidRPr="00CB360A">
              <w:rPr>
                <w:rFonts w:eastAsiaTheme="minorHAnsi"/>
                <w:lang w:eastAsia="en-US"/>
              </w:rPr>
              <w:t>0</w:t>
            </w:r>
          </w:p>
        </w:tc>
        <w:tc>
          <w:tcPr>
            <w:tcW w:w="1012" w:type="pct"/>
            <w:tcBorders>
              <w:top w:val="nil"/>
              <w:left w:val="nil"/>
              <w:bottom w:val="single" w:sz="8" w:space="0" w:color="auto"/>
              <w:right w:val="outset" w:sz="8" w:space="0" w:color="000000"/>
            </w:tcBorders>
            <w:vAlign w:val="center"/>
            <w:hideMark/>
          </w:tcPr>
          <w:p w:rsidR="00D31848" w:rsidRPr="00CB360A" w:rsidP="00A26335" w14:paraId="7180817D" w14:textId="77777777">
            <w:pPr>
              <w:jc w:val="center"/>
              <w:rPr>
                <w:rFonts w:eastAsiaTheme="minorHAnsi"/>
                <w:lang w:eastAsia="en-US"/>
              </w:rPr>
            </w:pPr>
            <w:r w:rsidRPr="00CB360A">
              <w:rPr>
                <w:rFonts w:eastAsiaTheme="minorHAnsi"/>
                <w:lang w:eastAsia="en-US"/>
              </w:rPr>
              <w:t>0</w:t>
            </w:r>
          </w:p>
        </w:tc>
      </w:tr>
      <w:tr w14:paraId="7A5FBC0D" w14:textId="77777777" w:rsidTr="00F27703">
        <w:tblPrEx>
          <w:tblW w:w="5000" w:type="pct"/>
          <w:tblCellMar>
            <w:left w:w="0" w:type="dxa"/>
            <w:right w:w="0" w:type="dxa"/>
          </w:tblCellMar>
          <w:tblLook w:val="04A0"/>
        </w:tblPrEx>
        <w:tc>
          <w:tcPr>
            <w:tcW w:w="1052" w:type="pct"/>
            <w:tcBorders>
              <w:top w:val="nil"/>
              <w:left w:val="single" w:sz="8" w:space="0" w:color="auto"/>
              <w:bottom w:val="single" w:sz="8" w:space="0" w:color="auto"/>
              <w:right w:val="single" w:sz="8" w:space="0" w:color="auto"/>
            </w:tcBorders>
            <w:tcMar>
              <w:top w:w="30" w:type="dxa"/>
              <w:left w:w="30" w:type="dxa"/>
              <w:bottom w:w="30" w:type="dxa"/>
              <w:right w:w="30" w:type="dxa"/>
            </w:tcMar>
            <w:hideMark/>
          </w:tcPr>
          <w:p w:rsidR="00D31848" w:rsidRPr="00CB360A" w:rsidP="00A26335" w14:paraId="67E2ECF4" w14:textId="77777777">
            <w:pPr>
              <w:spacing w:before="100" w:beforeAutospacing="1" w:after="100" w:afterAutospacing="1" w:line="276" w:lineRule="auto"/>
            </w:pPr>
            <w:r w:rsidRPr="00CB360A">
              <w:t>2. Budžeta izdevumi:</w:t>
            </w:r>
          </w:p>
        </w:tc>
        <w:tc>
          <w:tcPr>
            <w:tcW w:w="498" w:type="pct"/>
            <w:tcBorders>
              <w:top w:val="nil"/>
              <w:left w:val="nil"/>
              <w:bottom w:val="single" w:sz="8" w:space="0" w:color="auto"/>
              <w:right w:val="single" w:sz="8" w:space="0" w:color="auto"/>
            </w:tcBorders>
            <w:tcMar>
              <w:top w:w="30" w:type="dxa"/>
              <w:left w:w="30" w:type="dxa"/>
              <w:bottom w:w="30" w:type="dxa"/>
              <w:right w:w="30" w:type="dxa"/>
            </w:tcMar>
            <w:vAlign w:val="center"/>
            <w:hideMark/>
          </w:tcPr>
          <w:p w:rsidR="00D31848" w:rsidRPr="00CB360A" w:rsidP="00A26335" w14:paraId="07A947FA" w14:textId="77777777">
            <w:pPr>
              <w:spacing w:line="276" w:lineRule="auto"/>
              <w:jc w:val="center"/>
            </w:pPr>
            <w:r w:rsidRPr="00CB360A">
              <w:t>0</w:t>
            </w:r>
          </w:p>
        </w:tc>
        <w:tc>
          <w:tcPr>
            <w:tcW w:w="549" w:type="pct"/>
            <w:tcBorders>
              <w:top w:val="nil"/>
              <w:left w:val="nil"/>
              <w:bottom w:val="single" w:sz="8" w:space="0" w:color="auto"/>
              <w:right w:val="single" w:sz="8" w:space="0" w:color="auto"/>
            </w:tcBorders>
            <w:tcMar>
              <w:top w:w="30" w:type="dxa"/>
              <w:left w:w="30" w:type="dxa"/>
              <w:bottom w:w="30" w:type="dxa"/>
              <w:right w:w="30" w:type="dxa"/>
            </w:tcMar>
            <w:vAlign w:val="center"/>
            <w:hideMark/>
          </w:tcPr>
          <w:p w:rsidR="00D31848" w:rsidRPr="00CB360A" w:rsidP="00A26335" w14:paraId="043AF48D" w14:textId="77777777">
            <w:pPr>
              <w:spacing w:line="276" w:lineRule="auto"/>
              <w:jc w:val="center"/>
            </w:pPr>
            <w:r w:rsidRPr="00CB360A">
              <w:t>0</w:t>
            </w:r>
          </w:p>
        </w:tc>
        <w:tc>
          <w:tcPr>
            <w:tcW w:w="949" w:type="pct"/>
            <w:tcBorders>
              <w:top w:val="nil"/>
              <w:left w:val="nil"/>
              <w:bottom w:val="single" w:sz="8" w:space="0" w:color="auto"/>
              <w:right w:val="single" w:sz="8" w:space="0" w:color="auto"/>
            </w:tcBorders>
            <w:tcMar>
              <w:top w:w="30" w:type="dxa"/>
              <w:left w:w="30" w:type="dxa"/>
              <w:bottom w:w="30" w:type="dxa"/>
              <w:right w:w="30" w:type="dxa"/>
            </w:tcMar>
            <w:vAlign w:val="center"/>
            <w:hideMark/>
          </w:tcPr>
          <w:p w:rsidR="00D31848" w:rsidRPr="00CB360A" w:rsidP="00A70AEC" w14:paraId="64C47793" w14:textId="7B9EEC78">
            <w:pPr>
              <w:spacing w:line="276" w:lineRule="auto"/>
              <w:jc w:val="center"/>
            </w:pPr>
            <w:r>
              <w:t>100 000</w:t>
            </w:r>
          </w:p>
        </w:tc>
        <w:tc>
          <w:tcPr>
            <w:tcW w:w="940" w:type="pct"/>
            <w:tcBorders>
              <w:top w:val="nil"/>
              <w:left w:val="nil"/>
              <w:bottom w:val="single" w:sz="8" w:space="0" w:color="auto"/>
              <w:right w:val="single" w:sz="8" w:space="0" w:color="auto"/>
            </w:tcBorders>
            <w:tcMar>
              <w:top w:w="30" w:type="dxa"/>
              <w:left w:w="30" w:type="dxa"/>
              <w:bottom w:w="30" w:type="dxa"/>
              <w:right w:w="30" w:type="dxa"/>
            </w:tcMar>
            <w:vAlign w:val="center"/>
            <w:hideMark/>
          </w:tcPr>
          <w:p w:rsidR="00D31848" w:rsidRPr="00CB360A" w:rsidP="00A26335" w14:paraId="602C1EA3" w14:textId="205518A3">
            <w:pPr>
              <w:spacing w:line="276" w:lineRule="auto"/>
              <w:jc w:val="center"/>
            </w:pPr>
            <w:r>
              <w:t>25 000</w:t>
            </w:r>
          </w:p>
        </w:tc>
        <w:tc>
          <w:tcPr>
            <w:tcW w:w="1012" w:type="pct"/>
            <w:tcBorders>
              <w:top w:val="nil"/>
              <w:left w:val="nil"/>
              <w:bottom w:val="single" w:sz="8" w:space="0" w:color="auto"/>
              <w:right w:val="single" w:sz="8" w:space="0" w:color="auto"/>
            </w:tcBorders>
            <w:tcMar>
              <w:top w:w="30" w:type="dxa"/>
              <w:left w:w="30" w:type="dxa"/>
              <w:bottom w:w="30" w:type="dxa"/>
              <w:right w:w="30" w:type="dxa"/>
            </w:tcMar>
            <w:vAlign w:val="center"/>
            <w:hideMark/>
          </w:tcPr>
          <w:p w:rsidR="00D31848" w:rsidRPr="00CB360A" w:rsidP="00A26335" w14:paraId="17A0440F" w14:textId="26E0EDC5">
            <w:pPr>
              <w:spacing w:line="276" w:lineRule="auto"/>
              <w:jc w:val="center"/>
            </w:pPr>
            <w:r>
              <w:t>25 000</w:t>
            </w:r>
          </w:p>
        </w:tc>
      </w:tr>
      <w:tr w14:paraId="03107E2B" w14:textId="77777777" w:rsidTr="00F27703">
        <w:tblPrEx>
          <w:tblW w:w="5000" w:type="pct"/>
          <w:tblCellMar>
            <w:left w:w="0" w:type="dxa"/>
            <w:right w:w="0" w:type="dxa"/>
          </w:tblCellMar>
          <w:tblLook w:val="04A0"/>
        </w:tblPrEx>
        <w:tc>
          <w:tcPr>
            <w:tcW w:w="1052" w:type="pct"/>
            <w:tcBorders>
              <w:top w:val="nil"/>
              <w:left w:val="single" w:sz="8" w:space="0" w:color="auto"/>
              <w:bottom w:val="single" w:sz="8" w:space="0" w:color="auto"/>
              <w:right w:val="single" w:sz="8" w:space="0" w:color="auto"/>
            </w:tcBorders>
            <w:tcMar>
              <w:top w:w="30" w:type="dxa"/>
              <w:left w:w="30" w:type="dxa"/>
              <w:bottom w:w="30" w:type="dxa"/>
              <w:right w:w="30" w:type="dxa"/>
            </w:tcMar>
            <w:hideMark/>
          </w:tcPr>
          <w:p w:rsidR="00D31848" w:rsidRPr="00CB360A" w:rsidP="00A26335" w14:paraId="45BE3F4D" w14:textId="77777777">
            <w:pPr>
              <w:spacing w:before="100" w:beforeAutospacing="1" w:after="100" w:afterAutospacing="1" w:line="276" w:lineRule="auto"/>
              <w:rPr>
                <w:color w:val="000000"/>
              </w:rPr>
            </w:pPr>
            <w:r w:rsidRPr="00CB360A">
              <w:t>2.1. valsts pamatbudžets</w:t>
            </w:r>
          </w:p>
        </w:tc>
        <w:tc>
          <w:tcPr>
            <w:tcW w:w="498" w:type="pct"/>
            <w:tcBorders>
              <w:top w:val="nil"/>
              <w:left w:val="nil"/>
              <w:bottom w:val="single" w:sz="8" w:space="0" w:color="auto"/>
              <w:right w:val="single" w:sz="8" w:space="0" w:color="auto"/>
            </w:tcBorders>
            <w:vAlign w:val="center"/>
            <w:hideMark/>
          </w:tcPr>
          <w:p w:rsidR="00D31848" w:rsidRPr="00D33719" w:rsidP="00A26335" w14:paraId="2E8F3B20" w14:textId="77777777">
            <w:pPr>
              <w:jc w:val="center"/>
              <w:rPr>
                <w:rFonts w:eastAsiaTheme="minorHAnsi"/>
                <w:lang w:eastAsia="en-US"/>
              </w:rPr>
            </w:pPr>
            <w:r w:rsidRPr="00D33719">
              <w:rPr>
                <w:rFonts w:eastAsiaTheme="minorHAnsi"/>
                <w:lang w:eastAsia="en-US"/>
              </w:rPr>
              <w:t>0</w:t>
            </w:r>
          </w:p>
        </w:tc>
        <w:tc>
          <w:tcPr>
            <w:tcW w:w="549" w:type="pct"/>
            <w:tcBorders>
              <w:top w:val="nil"/>
              <w:left w:val="nil"/>
              <w:bottom w:val="single" w:sz="8" w:space="0" w:color="auto"/>
              <w:right w:val="single" w:sz="8" w:space="0" w:color="auto"/>
            </w:tcBorders>
            <w:vAlign w:val="center"/>
            <w:hideMark/>
          </w:tcPr>
          <w:p w:rsidR="00D31848" w:rsidRPr="00D33719" w:rsidP="00A26335" w14:paraId="47DBFF69" w14:textId="0BD5E24B">
            <w:pPr>
              <w:jc w:val="center"/>
              <w:rPr>
                <w:rFonts w:eastAsiaTheme="minorHAnsi"/>
                <w:lang w:eastAsia="en-US"/>
              </w:rPr>
            </w:pPr>
            <w:r w:rsidRPr="00D33719">
              <w:rPr>
                <w:rFonts w:eastAsiaTheme="minorHAnsi"/>
                <w:lang w:eastAsia="en-US"/>
              </w:rPr>
              <w:t>0</w:t>
            </w:r>
          </w:p>
        </w:tc>
        <w:tc>
          <w:tcPr>
            <w:tcW w:w="949" w:type="pct"/>
            <w:tcBorders>
              <w:top w:val="nil"/>
              <w:left w:val="nil"/>
              <w:bottom w:val="single" w:sz="8" w:space="0" w:color="auto"/>
              <w:right w:val="single" w:sz="8" w:space="0" w:color="auto"/>
            </w:tcBorders>
            <w:vAlign w:val="center"/>
            <w:hideMark/>
          </w:tcPr>
          <w:p w:rsidR="00D31848" w:rsidRPr="00D33719" w:rsidP="00A26335" w14:paraId="5DE22F3E" w14:textId="1E0E629B">
            <w:pPr>
              <w:jc w:val="center"/>
              <w:rPr>
                <w:rFonts w:eastAsiaTheme="minorHAnsi"/>
                <w:lang w:eastAsia="en-US"/>
              </w:rPr>
            </w:pPr>
            <w:r w:rsidRPr="00D33719">
              <w:t>100 000</w:t>
            </w:r>
          </w:p>
        </w:tc>
        <w:tc>
          <w:tcPr>
            <w:tcW w:w="940" w:type="pct"/>
            <w:tcBorders>
              <w:top w:val="nil"/>
              <w:left w:val="nil"/>
              <w:bottom w:val="single" w:sz="8" w:space="0" w:color="auto"/>
              <w:right w:val="single" w:sz="8" w:space="0" w:color="auto"/>
            </w:tcBorders>
            <w:vAlign w:val="center"/>
            <w:hideMark/>
          </w:tcPr>
          <w:p w:rsidR="00D31848" w:rsidRPr="00D33719" w:rsidP="00A26335" w14:paraId="493B3E08" w14:textId="28E98517">
            <w:pPr>
              <w:jc w:val="center"/>
              <w:rPr>
                <w:rFonts w:eastAsiaTheme="minorHAnsi"/>
                <w:lang w:eastAsia="en-US"/>
              </w:rPr>
            </w:pPr>
            <w:r w:rsidRPr="00D33719">
              <w:t>25 000</w:t>
            </w:r>
          </w:p>
        </w:tc>
        <w:tc>
          <w:tcPr>
            <w:tcW w:w="1012" w:type="pct"/>
            <w:tcBorders>
              <w:top w:val="nil"/>
              <w:left w:val="nil"/>
              <w:bottom w:val="single" w:sz="8" w:space="0" w:color="auto"/>
              <w:right w:val="single" w:sz="8" w:space="0" w:color="auto"/>
            </w:tcBorders>
            <w:vAlign w:val="center"/>
            <w:hideMark/>
          </w:tcPr>
          <w:p w:rsidR="00D31848" w:rsidRPr="00D33719" w:rsidP="00A26335" w14:paraId="00C790F4" w14:textId="21A38059">
            <w:pPr>
              <w:jc w:val="center"/>
              <w:rPr>
                <w:rFonts w:eastAsiaTheme="minorHAnsi"/>
                <w:lang w:eastAsia="en-US"/>
              </w:rPr>
            </w:pPr>
            <w:r w:rsidRPr="00D33719">
              <w:t>25 000</w:t>
            </w:r>
          </w:p>
        </w:tc>
      </w:tr>
      <w:tr w14:paraId="60D95B27" w14:textId="77777777" w:rsidTr="00F27703">
        <w:tblPrEx>
          <w:tblW w:w="5000" w:type="pct"/>
          <w:tblCellMar>
            <w:left w:w="0" w:type="dxa"/>
            <w:right w:w="0" w:type="dxa"/>
          </w:tblCellMar>
          <w:tblLook w:val="04A0"/>
        </w:tblPrEx>
        <w:tc>
          <w:tcPr>
            <w:tcW w:w="1052" w:type="pct"/>
            <w:tcBorders>
              <w:top w:val="nil"/>
              <w:left w:val="single" w:sz="8" w:space="0" w:color="auto"/>
              <w:bottom w:val="single" w:sz="8" w:space="0" w:color="auto"/>
              <w:right w:val="single" w:sz="8" w:space="0" w:color="auto"/>
            </w:tcBorders>
            <w:tcMar>
              <w:top w:w="30" w:type="dxa"/>
              <w:left w:w="30" w:type="dxa"/>
              <w:bottom w:w="30" w:type="dxa"/>
              <w:right w:w="30" w:type="dxa"/>
            </w:tcMar>
            <w:hideMark/>
          </w:tcPr>
          <w:p w:rsidR="00D31848" w:rsidRPr="00CB360A" w:rsidP="00A26335" w14:paraId="2AC4DA77" w14:textId="77777777">
            <w:pPr>
              <w:spacing w:before="100" w:beforeAutospacing="1" w:after="100" w:afterAutospacing="1" w:line="276" w:lineRule="auto"/>
            </w:pPr>
            <w:r w:rsidRPr="00CB360A">
              <w:t>2.2. valsts speciālais budžets</w:t>
            </w:r>
          </w:p>
        </w:tc>
        <w:tc>
          <w:tcPr>
            <w:tcW w:w="498" w:type="pct"/>
            <w:tcBorders>
              <w:top w:val="nil"/>
              <w:left w:val="nil"/>
              <w:bottom w:val="single" w:sz="8" w:space="0" w:color="auto"/>
              <w:right w:val="single" w:sz="8" w:space="0" w:color="auto"/>
            </w:tcBorders>
            <w:vAlign w:val="center"/>
            <w:hideMark/>
          </w:tcPr>
          <w:p w:rsidR="00D31848" w:rsidRPr="00D33719" w:rsidP="00A26335" w14:paraId="5CFDD7F6" w14:textId="77777777">
            <w:pPr>
              <w:jc w:val="center"/>
              <w:rPr>
                <w:rFonts w:eastAsiaTheme="minorHAnsi"/>
                <w:lang w:eastAsia="en-US"/>
              </w:rPr>
            </w:pPr>
            <w:r w:rsidRPr="00D33719">
              <w:rPr>
                <w:rFonts w:eastAsiaTheme="minorHAnsi"/>
                <w:lang w:eastAsia="en-US"/>
              </w:rPr>
              <w:t>0</w:t>
            </w:r>
          </w:p>
        </w:tc>
        <w:tc>
          <w:tcPr>
            <w:tcW w:w="549" w:type="pct"/>
            <w:tcBorders>
              <w:top w:val="nil"/>
              <w:left w:val="nil"/>
              <w:bottom w:val="single" w:sz="8" w:space="0" w:color="auto"/>
              <w:right w:val="single" w:sz="8" w:space="0" w:color="auto"/>
            </w:tcBorders>
            <w:vAlign w:val="center"/>
            <w:hideMark/>
          </w:tcPr>
          <w:p w:rsidR="00D31848" w:rsidRPr="00D33719" w:rsidP="00A26335" w14:paraId="1152E9ED" w14:textId="77777777">
            <w:pPr>
              <w:jc w:val="center"/>
              <w:rPr>
                <w:rFonts w:eastAsiaTheme="minorHAnsi"/>
                <w:lang w:eastAsia="en-US"/>
              </w:rPr>
            </w:pPr>
            <w:r w:rsidRPr="00D33719">
              <w:rPr>
                <w:rFonts w:eastAsiaTheme="minorHAnsi"/>
                <w:lang w:eastAsia="en-US"/>
              </w:rPr>
              <w:t>0</w:t>
            </w:r>
          </w:p>
        </w:tc>
        <w:tc>
          <w:tcPr>
            <w:tcW w:w="949" w:type="pct"/>
            <w:tcBorders>
              <w:top w:val="nil"/>
              <w:left w:val="nil"/>
              <w:bottom w:val="single" w:sz="8" w:space="0" w:color="auto"/>
              <w:right w:val="single" w:sz="8" w:space="0" w:color="auto"/>
            </w:tcBorders>
            <w:vAlign w:val="center"/>
            <w:hideMark/>
          </w:tcPr>
          <w:p w:rsidR="00D31848" w:rsidRPr="00D33719" w:rsidP="00A26335" w14:paraId="34E4D3F5" w14:textId="77777777">
            <w:pPr>
              <w:jc w:val="center"/>
              <w:rPr>
                <w:rFonts w:eastAsiaTheme="minorHAnsi"/>
                <w:lang w:eastAsia="en-US"/>
              </w:rPr>
            </w:pPr>
            <w:r w:rsidRPr="00D33719">
              <w:rPr>
                <w:rFonts w:eastAsiaTheme="minorHAnsi"/>
                <w:lang w:eastAsia="en-US"/>
              </w:rPr>
              <w:t>0</w:t>
            </w:r>
          </w:p>
        </w:tc>
        <w:tc>
          <w:tcPr>
            <w:tcW w:w="940" w:type="pct"/>
            <w:tcBorders>
              <w:top w:val="nil"/>
              <w:left w:val="nil"/>
              <w:bottom w:val="single" w:sz="8" w:space="0" w:color="auto"/>
              <w:right w:val="single" w:sz="8" w:space="0" w:color="auto"/>
            </w:tcBorders>
            <w:vAlign w:val="center"/>
            <w:hideMark/>
          </w:tcPr>
          <w:p w:rsidR="00D31848" w:rsidRPr="00D33719" w:rsidP="00A26335" w14:paraId="49A433F2" w14:textId="77777777">
            <w:pPr>
              <w:jc w:val="center"/>
              <w:rPr>
                <w:rFonts w:eastAsiaTheme="minorHAnsi"/>
                <w:lang w:eastAsia="en-US"/>
              </w:rPr>
            </w:pPr>
            <w:r w:rsidRPr="00D33719">
              <w:rPr>
                <w:rFonts w:eastAsiaTheme="minorHAnsi"/>
                <w:lang w:eastAsia="en-US"/>
              </w:rPr>
              <w:t>0</w:t>
            </w:r>
          </w:p>
        </w:tc>
        <w:tc>
          <w:tcPr>
            <w:tcW w:w="1012" w:type="pct"/>
            <w:tcBorders>
              <w:top w:val="nil"/>
              <w:left w:val="nil"/>
              <w:bottom w:val="single" w:sz="8" w:space="0" w:color="auto"/>
              <w:right w:val="single" w:sz="8" w:space="0" w:color="auto"/>
            </w:tcBorders>
            <w:vAlign w:val="center"/>
            <w:hideMark/>
          </w:tcPr>
          <w:p w:rsidR="00D31848" w:rsidRPr="00D33719" w:rsidP="00A26335" w14:paraId="3B69B1DE" w14:textId="77777777">
            <w:pPr>
              <w:jc w:val="center"/>
              <w:rPr>
                <w:rFonts w:eastAsiaTheme="minorHAnsi"/>
                <w:lang w:eastAsia="en-US"/>
              </w:rPr>
            </w:pPr>
            <w:r w:rsidRPr="00D33719">
              <w:rPr>
                <w:rFonts w:eastAsiaTheme="minorHAnsi"/>
                <w:lang w:eastAsia="en-US"/>
              </w:rPr>
              <w:t>0</w:t>
            </w:r>
          </w:p>
        </w:tc>
      </w:tr>
      <w:tr w14:paraId="3C18506C" w14:textId="77777777" w:rsidTr="00F27703">
        <w:tblPrEx>
          <w:tblW w:w="5000" w:type="pct"/>
          <w:tblCellMar>
            <w:left w:w="0" w:type="dxa"/>
            <w:right w:w="0" w:type="dxa"/>
          </w:tblCellMar>
          <w:tblLook w:val="04A0"/>
        </w:tblPrEx>
        <w:tc>
          <w:tcPr>
            <w:tcW w:w="1052" w:type="pct"/>
            <w:tcBorders>
              <w:top w:val="nil"/>
              <w:left w:val="single" w:sz="8" w:space="0" w:color="auto"/>
              <w:bottom w:val="single" w:sz="8" w:space="0" w:color="auto"/>
              <w:right w:val="single" w:sz="8" w:space="0" w:color="auto"/>
            </w:tcBorders>
            <w:tcMar>
              <w:top w:w="30" w:type="dxa"/>
              <w:left w:w="30" w:type="dxa"/>
              <w:bottom w:w="30" w:type="dxa"/>
              <w:right w:w="30" w:type="dxa"/>
            </w:tcMar>
            <w:hideMark/>
          </w:tcPr>
          <w:p w:rsidR="00D31848" w:rsidRPr="00CB360A" w:rsidP="00A26335" w14:paraId="0D8AC847" w14:textId="77777777">
            <w:pPr>
              <w:spacing w:before="100" w:beforeAutospacing="1" w:after="100" w:afterAutospacing="1" w:line="276" w:lineRule="auto"/>
            </w:pPr>
            <w:r w:rsidRPr="00CB360A">
              <w:t>2.3. pašvaldību budžets</w:t>
            </w:r>
          </w:p>
        </w:tc>
        <w:tc>
          <w:tcPr>
            <w:tcW w:w="498" w:type="pct"/>
            <w:tcBorders>
              <w:top w:val="nil"/>
              <w:left w:val="nil"/>
              <w:bottom w:val="single" w:sz="8" w:space="0" w:color="auto"/>
              <w:right w:val="single" w:sz="8" w:space="0" w:color="auto"/>
            </w:tcBorders>
            <w:vAlign w:val="center"/>
            <w:hideMark/>
          </w:tcPr>
          <w:p w:rsidR="00D31848" w:rsidRPr="00D33719" w:rsidP="00A26335" w14:paraId="20320EDB" w14:textId="77777777">
            <w:pPr>
              <w:jc w:val="center"/>
              <w:rPr>
                <w:rFonts w:eastAsiaTheme="minorHAnsi"/>
                <w:lang w:eastAsia="en-US"/>
              </w:rPr>
            </w:pPr>
            <w:r w:rsidRPr="00D33719">
              <w:rPr>
                <w:rFonts w:eastAsiaTheme="minorHAnsi"/>
                <w:lang w:eastAsia="en-US"/>
              </w:rPr>
              <w:t>0</w:t>
            </w:r>
          </w:p>
        </w:tc>
        <w:tc>
          <w:tcPr>
            <w:tcW w:w="549" w:type="pct"/>
            <w:tcBorders>
              <w:top w:val="nil"/>
              <w:left w:val="nil"/>
              <w:bottom w:val="single" w:sz="8" w:space="0" w:color="auto"/>
              <w:right w:val="single" w:sz="8" w:space="0" w:color="auto"/>
            </w:tcBorders>
            <w:vAlign w:val="center"/>
            <w:hideMark/>
          </w:tcPr>
          <w:p w:rsidR="00D31848" w:rsidRPr="00D33719" w:rsidP="00A26335" w14:paraId="3B70B0D7" w14:textId="77777777">
            <w:pPr>
              <w:jc w:val="center"/>
              <w:rPr>
                <w:rFonts w:eastAsiaTheme="minorHAnsi"/>
                <w:lang w:eastAsia="en-US"/>
              </w:rPr>
            </w:pPr>
            <w:r w:rsidRPr="00D33719">
              <w:rPr>
                <w:rFonts w:eastAsiaTheme="minorHAnsi"/>
                <w:lang w:eastAsia="en-US"/>
              </w:rPr>
              <w:t>0</w:t>
            </w:r>
          </w:p>
        </w:tc>
        <w:tc>
          <w:tcPr>
            <w:tcW w:w="949" w:type="pct"/>
            <w:tcBorders>
              <w:top w:val="nil"/>
              <w:left w:val="nil"/>
              <w:bottom w:val="single" w:sz="8" w:space="0" w:color="auto"/>
              <w:right w:val="single" w:sz="8" w:space="0" w:color="auto"/>
            </w:tcBorders>
            <w:vAlign w:val="center"/>
            <w:hideMark/>
          </w:tcPr>
          <w:p w:rsidR="00D31848" w:rsidRPr="00D33719" w:rsidP="00A26335" w14:paraId="6D3CF44E" w14:textId="77777777">
            <w:pPr>
              <w:jc w:val="center"/>
              <w:rPr>
                <w:rFonts w:eastAsiaTheme="minorHAnsi"/>
                <w:lang w:eastAsia="en-US"/>
              </w:rPr>
            </w:pPr>
            <w:r w:rsidRPr="00D33719">
              <w:rPr>
                <w:rFonts w:eastAsiaTheme="minorHAnsi"/>
                <w:lang w:eastAsia="en-US"/>
              </w:rPr>
              <w:t>0</w:t>
            </w:r>
          </w:p>
        </w:tc>
        <w:tc>
          <w:tcPr>
            <w:tcW w:w="940" w:type="pct"/>
            <w:tcBorders>
              <w:top w:val="nil"/>
              <w:left w:val="nil"/>
              <w:bottom w:val="single" w:sz="8" w:space="0" w:color="auto"/>
              <w:right w:val="single" w:sz="8" w:space="0" w:color="auto"/>
            </w:tcBorders>
            <w:vAlign w:val="center"/>
            <w:hideMark/>
          </w:tcPr>
          <w:p w:rsidR="00D31848" w:rsidRPr="00D33719" w:rsidP="00A26335" w14:paraId="56754A1F" w14:textId="77777777">
            <w:pPr>
              <w:jc w:val="center"/>
              <w:rPr>
                <w:rFonts w:eastAsiaTheme="minorHAnsi"/>
                <w:lang w:eastAsia="en-US"/>
              </w:rPr>
            </w:pPr>
            <w:r w:rsidRPr="00D33719">
              <w:rPr>
                <w:rFonts w:eastAsiaTheme="minorHAnsi"/>
                <w:lang w:eastAsia="en-US"/>
              </w:rPr>
              <w:t>0</w:t>
            </w:r>
          </w:p>
        </w:tc>
        <w:tc>
          <w:tcPr>
            <w:tcW w:w="1012" w:type="pct"/>
            <w:tcBorders>
              <w:top w:val="nil"/>
              <w:left w:val="nil"/>
              <w:bottom w:val="single" w:sz="8" w:space="0" w:color="auto"/>
              <w:right w:val="single" w:sz="8" w:space="0" w:color="auto"/>
            </w:tcBorders>
            <w:vAlign w:val="center"/>
            <w:hideMark/>
          </w:tcPr>
          <w:p w:rsidR="00D31848" w:rsidRPr="00D33719" w:rsidP="00A26335" w14:paraId="6CA975C7" w14:textId="77777777">
            <w:pPr>
              <w:jc w:val="center"/>
              <w:rPr>
                <w:rFonts w:eastAsiaTheme="minorHAnsi"/>
                <w:lang w:eastAsia="en-US"/>
              </w:rPr>
            </w:pPr>
            <w:r w:rsidRPr="00D33719">
              <w:rPr>
                <w:rFonts w:eastAsiaTheme="minorHAnsi"/>
                <w:lang w:eastAsia="en-US"/>
              </w:rPr>
              <w:t>0</w:t>
            </w:r>
          </w:p>
        </w:tc>
      </w:tr>
      <w:tr w14:paraId="50DA0649" w14:textId="77777777" w:rsidTr="00F27703">
        <w:tblPrEx>
          <w:tblW w:w="5000" w:type="pct"/>
          <w:tblCellMar>
            <w:left w:w="0" w:type="dxa"/>
            <w:right w:w="0" w:type="dxa"/>
          </w:tblCellMar>
          <w:tblLook w:val="04A0"/>
        </w:tblPrEx>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CB360A" w:rsidP="00A26335" w14:paraId="0BD22644" w14:textId="77777777">
            <w:pPr>
              <w:spacing w:before="100" w:beforeAutospacing="1" w:after="100" w:afterAutospacing="1" w:line="276" w:lineRule="auto"/>
            </w:pPr>
            <w:r w:rsidRPr="00CB360A">
              <w:t>3. Finansiālā ietekme:</w:t>
            </w:r>
          </w:p>
        </w:tc>
        <w:tc>
          <w:tcPr>
            <w:tcW w:w="498"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D33719" w:rsidP="00A26335" w14:paraId="1812A8D1" w14:textId="77777777">
            <w:pPr>
              <w:spacing w:line="276" w:lineRule="auto"/>
              <w:jc w:val="center"/>
            </w:pPr>
            <w:r w:rsidRPr="00D33719">
              <w:t>0</w:t>
            </w:r>
          </w:p>
        </w:tc>
        <w:tc>
          <w:tcPr>
            <w:tcW w:w="549"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D33719" w:rsidP="00A26335" w14:paraId="1EE3108D" w14:textId="77777777">
            <w:pPr>
              <w:spacing w:line="276" w:lineRule="auto"/>
              <w:jc w:val="center"/>
            </w:pPr>
            <w:r w:rsidRPr="00D33719">
              <w:t>0</w:t>
            </w:r>
          </w:p>
        </w:tc>
        <w:tc>
          <w:tcPr>
            <w:tcW w:w="949"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D33719" w:rsidP="00A70AEC" w14:paraId="07FEB4A9" w14:textId="439FBF83">
            <w:pPr>
              <w:spacing w:line="276" w:lineRule="auto"/>
              <w:jc w:val="center"/>
            </w:pPr>
            <w:r w:rsidRPr="00D33719">
              <w:t>0</w:t>
            </w:r>
          </w:p>
        </w:tc>
        <w:tc>
          <w:tcPr>
            <w:tcW w:w="940"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D33719" w:rsidP="00D31848" w14:paraId="51657D27" w14:textId="6282DD87">
            <w:pPr>
              <w:spacing w:line="276" w:lineRule="auto"/>
              <w:jc w:val="center"/>
            </w:pPr>
            <w:r w:rsidRPr="00D33719">
              <w:t>0</w:t>
            </w:r>
          </w:p>
        </w:tc>
        <w:tc>
          <w:tcPr>
            <w:tcW w:w="1012"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D33719" w:rsidP="00A26335" w14:paraId="3D7F1F21" w14:textId="355E6C1E">
            <w:pPr>
              <w:spacing w:line="276" w:lineRule="auto"/>
              <w:jc w:val="center"/>
            </w:pPr>
            <w:r w:rsidRPr="00D33719">
              <w:t>0</w:t>
            </w:r>
          </w:p>
        </w:tc>
      </w:tr>
      <w:tr w14:paraId="25B23975" w14:textId="77777777" w:rsidTr="00F27703">
        <w:tblPrEx>
          <w:tblW w:w="5000" w:type="pct"/>
          <w:tblCellMar>
            <w:left w:w="0" w:type="dxa"/>
            <w:right w:w="0" w:type="dxa"/>
          </w:tblCellMar>
          <w:tblLook w:val="04A0"/>
        </w:tblPrEx>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CB360A" w:rsidP="00A26335" w14:paraId="572FFB6E" w14:textId="77777777">
            <w:pPr>
              <w:spacing w:before="100" w:beforeAutospacing="1" w:after="100" w:afterAutospacing="1" w:line="276" w:lineRule="auto"/>
              <w:rPr>
                <w:color w:val="000000"/>
              </w:rPr>
            </w:pPr>
            <w:r w:rsidRPr="00CB360A">
              <w:t>3.1. valsts pamatbudžets</w:t>
            </w:r>
          </w:p>
        </w:tc>
        <w:tc>
          <w:tcPr>
            <w:tcW w:w="498" w:type="pct"/>
            <w:tcBorders>
              <w:top w:val="nil"/>
              <w:left w:val="nil"/>
              <w:bottom w:val="outset" w:sz="8" w:space="0" w:color="000000"/>
              <w:right w:val="outset" w:sz="8" w:space="0" w:color="000000"/>
            </w:tcBorders>
            <w:vAlign w:val="center"/>
            <w:hideMark/>
          </w:tcPr>
          <w:p w:rsidR="00D31848" w:rsidRPr="00D33719" w:rsidP="00A26335" w14:paraId="66CD8DCA" w14:textId="77777777">
            <w:pPr>
              <w:jc w:val="center"/>
              <w:rPr>
                <w:rFonts w:eastAsiaTheme="minorHAnsi"/>
                <w:lang w:eastAsia="en-US"/>
              </w:rPr>
            </w:pPr>
            <w:r w:rsidRPr="00D33719">
              <w:rPr>
                <w:rFonts w:eastAsiaTheme="minorHAnsi"/>
                <w:lang w:eastAsia="en-US"/>
              </w:rPr>
              <w:t>0</w:t>
            </w:r>
          </w:p>
        </w:tc>
        <w:tc>
          <w:tcPr>
            <w:tcW w:w="549" w:type="pct"/>
            <w:tcBorders>
              <w:top w:val="nil"/>
              <w:left w:val="nil"/>
              <w:bottom w:val="outset" w:sz="8" w:space="0" w:color="000000"/>
              <w:right w:val="outset" w:sz="8" w:space="0" w:color="000000"/>
            </w:tcBorders>
            <w:vAlign w:val="center"/>
            <w:hideMark/>
          </w:tcPr>
          <w:p w:rsidR="00D31848" w:rsidRPr="00D33719" w:rsidP="00A26335" w14:paraId="76C56E9F" w14:textId="77777777">
            <w:pPr>
              <w:jc w:val="center"/>
              <w:rPr>
                <w:rFonts w:eastAsiaTheme="minorHAnsi"/>
                <w:lang w:eastAsia="en-US"/>
              </w:rPr>
            </w:pPr>
            <w:r w:rsidRPr="00D33719">
              <w:rPr>
                <w:rFonts w:eastAsiaTheme="minorHAnsi"/>
                <w:lang w:eastAsia="en-US"/>
              </w:rPr>
              <w:t>0</w:t>
            </w:r>
          </w:p>
        </w:tc>
        <w:tc>
          <w:tcPr>
            <w:tcW w:w="949" w:type="pct"/>
            <w:tcBorders>
              <w:top w:val="nil"/>
              <w:left w:val="nil"/>
              <w:bottom w:val="outset" w:sz="8" w:space="0" w:color="000000"/>
              <w:right w:val="outset" w:sz="8" w:space="0" w:color="000000"/>
            </w:tcBorders>
            <w:vAlign w:val="center"/>
            <w:hideMark/>
          </w:tcPr>
          <w:p w:rsidR="00D31848" w:rsidRPr="00D33719" w:rsidP="00A70AEC" w14:paraId="0F31CDB7" w14:textId="39E01013">
            <w:pPr>
              <w:jc w:val="center"/>
              <w:rPr>
                <w:rFonts w:eastAsiaTheme="minorHAnsi"/>
                <w:lang w:eastAsia="en-US"/>
              </w:rPr>
            </w:pPr>
            <w:r w:rsidRPr="00D33719">
              <w:rPr>
                <w:rFonts w:eastAsiaTheme="minorHAnsi"/>
                <w:lang w:eastAsia="en-US"/>
              </w:rPr>
              <w:t>0</w:t>
            </w:r>
          </w:p>
        </w:tc>
        <w:tc>
          <w:tcPr>
            <w:tcW w:w="940" w:type="pct"/>
            <w:tcBorders>
              <w:top w:val="nil"/>
              <w:left w:val="nil"/>
              <w:bottom w:val="outset" w:sz="8" w:space="0" w:color="000000"/>
              <w:right w:val="outset" w:sz="8" w:space="0" w:color="000000"/>
            </w:tcBorders>
            <w:vAlign w:val="center"/>
            <w:hideMark/>
          </w:tcPr>
          <w:p w:rsidR="00D31848" w:rsidRPr="00D33719" w:rsidP="00A26335" w14:paraId="04AD9404" w14:textId="63D585F6">
            <w:pPr>
              <w:jc w:val="center"/>
              <w:rPr>
                <w:rFonts w:eastAsiaTheme="minorHAnsi"/>
                <w:lang w:eastAsia="en-US"/>
              </w:rPr>
            </w:pPr>
            <w:r w:rsidRPr="00D33719">
              <w:t>0</w:t>
            </w:r>
          </w:p>
        </w:tc>
        <w:tc>
          <w:tcPr>
            <w:tcW w:w="1012" w:type="pct"/>
            <w:tcBorders>
              <w:top w:val="nil"/>
              <w:left w:val="nil"/>
              <w:bottom w:val="outset" w:sz="8" w:space="0" w:color="000000"/>
              <w:right w:val="outset" w:sz="8" w:space="0" w:color="000000"/>
            </w:tcBorders>
            <w:vAlign w:val="center"/>
            <w:hideMark/>
          </w:tcPr>
          <w:p w:rsidR="00D31848" w:rsidRPr="00D33719" w:rsidP="00A26335" w14:paraId="12140937" w14:textId="026683CF">
            <w:pPr>
              <w:jc w:val="center"/>
              <w:rPr>
                <w:rFonts w:eastAsiaTheme="minorHAnsi"/>
                <w:lang w:eastAsia="en-US"/>
              </w:rPr>
            </w:pPr>
            <w:r w:rsidRPr="00D33719">
              <w:t>0</w:t>
            </w:r>
          </w:p>
        </w:tc>
      </w:tr>
      <w:tr w14:paraId="224FC4EE" w14:textId="77777777" w:rsidTr="00F27703">
        <w:tblPrEx>
          <w:tblW w:w="5000" w:type="pct"/>
          <w:tblCellMar>
            <w:left w:w="0" w:type="dxa"/>
            <w:right w:w="0" w:type="dxa"/>
          </w:tblCellMar>
          <w:tblLook w:val="04A0"/>
        </w:tblPrEx>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CB360A" w:rsidP="00A26335" w14:paraId="4152F301" w14:textId="77777777">
            <w:pPr>
              <w:spacing w:before="100" w:beforeAutospacing="1" w:after="100" w:afterAutospacing="1" w:line="276" w:lineRule="auto"/>
            </w:pPr>
            <w:r w:rsidRPr="00CB360A">
              <w:t>3.2. speciālais budžets</w:t>
            </w:r>
          </w:p>
        </w:tc>
        <w:tc>
          <w:tcPr>
            <w:tcW w:w="498" w:type="pct"/>
            <w:tcBorders>
              <w:top w:val="nil"/>
              <w:left w:val="nil"/>
              <w:bottom w:val="outset" w:sz="8" w:space="0" w:color="000000"/>
              <w:right w:val="outset" w:sz="8" w:space="0" w:color="000000"/>
            </w:tcBorders>
            <w:vAlign w:val="center"/>
            <w:hideMark/>
          </w:tcPr>
          <w:p w:rsidR="00D31848" w:rsidRPr="00CB360A" w:rsidP="00A26335" w14:paraId="26413B5E" w14:textId="77777777">
            <w:pPr>
              <w:jc w:val="center"/>
              <w:rPr>
                <w:rFonts w:eastAsiaTheme="minorHAnsi"/>
                <w:lang w:eastAsia="en-US"/>
              </w:rPr>
            </w:pPr>
            <w:r w:rsidRPr="00CB360A">
              <w:rPr>
                <w:rFonts w:eastAsiaTheme="minorHAnsi"/>
                <w:lang w:eastAsia="en-US"/>
              </w:rPr>
              <w:t>0</w:t>
            </w:r>
          </w:p>
        </w:tc>
        <w:tc>
          <w:tcPr>
            <w:tcW w:w="549" w:type="pct"/>
            <w:tcBorders>
              <w:top w:val="nil"/>
              <w:left w:val="nil"/>
              <w:bottom w:val="outset" w:sz="8" w:space="0" w:color="000000"/>
              <w:right w:val="outset" w:sz="8" w:space="0" w:color="000000"/>
            </w:tcBorders>
            <w:vAlign w:val="center"/>
            <w:hideMark/>
          </w:tcPr>
          <w:p w:rsidR="00D31848" w:rsidRPr="00CB360A" w:rsidP="00A26335" w14:paraId="2F8F3BFF" w14:textId="77777777">
            <w:pPr>
              <w:jc w:val="center"/>
              <w:rPr>
                <w:rFonts w:eastAsiaTheme="minorHAnsi"/>
                <w:lang w:eastAsia="en-US"/>
              </w:rPr>
            </w:pPr>
            <w:r w:rsidRPr="00CB360A">
              <w:rPr>
                <w:rFonts w:eastAsiaTheme="minorHAnsi"/>
                <w:lang w:eastAsia="en-US"/>
              </w:rPr>
              <w:t>0</w:t>
            </w:r>
          </w:p>
        </w:tc>
        <w:tc>
          <w:tcPr>
            <w:tcW w:w="949" w:type="pct"/>
            <w:tcBorders>
              <w:top w:val="nil"/>
              <w:left w:val="nil"/>
              <w:bottom w:val="outset" w:sz="8" w:space="0" w:color="000000"/>
              <w:right w:val="outset" w:sz="8" w:space="0" w:color="000000"/>
            </w:tcBorders>
            <w:vAlign w:val="center"/>
            <w:hideMark/>
          </w:tcPr>
          <w:p w:rsidR="00D31848" w:rsidRPr="00CB360A" w:rsidP="00A26335" w14:paraId="24FD7DFB" w14:textId="77777777">
            <w:pPr>
              <w:jc w:val="center"/>
              <w:rPr>
                <w:rFonts w:eastAsiaTheme="minorHAnsi"/>
                <w:lang w:eastAsia="en-US"/>
              </w:rPr>
            </w:pPr>
            <w:r w:rsidRPr="00CB360A">
              <w:rPr>
                <w:rFonts w:eastAsiaTheme="minorHAnsi"/>
                <w:lang w:eastAsia="en-US"/>
              </w:rPr>
              <w:t>0</w:t>
            </w:r>
          </w:p>
        </w:tc>
        <w:tc>
          <w:tcPr>
            <w:tcW w:w="940" w:type="pct"/>
            <w:tcBorders>
              <w:top w:val="nil"/>
              <w:left w:val="nil"/>
              <w:bottom w:val="outset" w:sz="8" w:space="0" w:color="000000"/>
              <w:right w:val="outset" w:sz="8" w:space="0" w:color="000000"/>
            </w:tcBorders>
            <w:vAlign w:val="center"/>
            <w:hideMark/>
          </w:tcPr>
          <w:p w:rsidR="00D31848" w:rsidRPr="00CB360A" w:rsidP="00A26335" w14:paraId="2BD6BF95" w14:textId="77777777">
            <w:pPr>
              <w:jc w:val="center"/>
              <w:rPr>
                <w:rFonts w:eastAsiaTheme="minorHAnsi"/>
                <w:lang w:eastAsia="en-US"/>
              </w:rPr>
            </w:pPr>
            <w:r w:rsidRPr="00CB360A">
              <w:rPr>
                <w:rFonts w:eastAsiaTheme="minorHAnsi"/>
                <w:lang w:eastAsia="en-US"/>
              </w:rPr>
              <w:t>0</w:t>
            </w:r>
          </w:p>
        </w:tc>
        <w:tc>
          <w:tcPr>
            <w:tcW w:w="1012" w:type="pct"/>
            <w:tcBorders>
              <w:top w:val="nil"/>
              <w:left w:val="nil"/>
              <w:bottom w:val="outset" w:sz="8" w:space="0" w:color="000000"/>
              <w:right w:val="outset" w:sz="8" w:space="0" w:color="000000"/>
            </w:tcBorders>
            <w:vAlign w:val="center"/>
            <w:hideMark/>
          </w:tcPr>
          <w:p w:rsidR="00D31848" w:rsidRPr="00CB360A" w:rsidP="00A26335" w14:paraId="68806FD9" w14:textId="77777777">
            <w:pPr>
              <w:jc w:val="center"/>
              <w:rPr>
                <w:rFonts w:eastAsiaTheme="minorHAnsi"/>
                <w:lang w:eastAsia="en-US"/>
              </w:rPr>
            </w:pPr>
            <w:r w:rsidRPr="00CB360A">
              <w:rPr>
                <w:rFonts w:eastAsiaTheme="minorHAnsi"/>
                <w:lang w:eastAsia="en-US"/>
              </w:rPr>
              <w:t>0</w:t>
            </w:r>
          </w:p>
        </w:tc>
      </w:tr>
      <w:tr w14:paraId="7F0A6DC0" w14:textId="77777777" w:rsidTr="00F27703">
        <w:tblPrEx>
          <w:tblW w:w="5000" w:type="pct"/>
          <w:tblCellMar>
            <w:left w:w="0" w:type="dxa"/>
            <w:right w:w="0" w:type="dxa"/>
          </w:tblCellMar>
          <w:tblLook w:val="04A0"/>
        </w:tblPrEx>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CB360A" w:rsidP="00A26335" w14:paraId="6942A3EB" w14:textId="77777777">
            <w:pPr>
              <w:spacing w:before="100" w:beforeAutospacing="1" w:after="100" w:afterAutospacing="1" w:line="276" w:lineRule="auto"/>
            </w:pPr>
            <w:r w:rsidRPr="00CB360A">
              <w:t>3.3. pašvaldību budžets</w:t>
            </w:r>
          </w:p>
        </w:tc>
        <w:tc>
          <w:tcPr>
            <w:tcW w:w="498" w:type="pct"/>
            <w:tcBorders>
              <w:top w:val="nil"/>
              <w:left w:val="nil"/>
              <w:bottom w:val="outset" w:sz="8" w:space="0" w:color="000000"/>
              <w:right w:val="outset" w:sz="8" w:space="0" w:color="000000"/>
            </w:tcBorders>
            <w:vAlign w:val="center"/>
            <w:hideMark/>
          </w:tcPr>
          <w:p w:rsidR="00D31848" w:rsidRPr="00CB360A" w:rsidP="00A26335" w14:paraId="3C9756D2" w14:textId="77777777">
            <w:pPr>
              <w:jc w:val="center"/>
              <w:rPr>
                <w:rFonts w:eastAsiaTheme="minorHAnsi"/>
                <w:lang w:eastAsia="en-US"/>
              </w:rPr>
            </w:pPr>
            <w:r w:rsidRPr="00CB360A">
              <w:rPr>
                <w:rFonts w:eastAsiaTheme="minorHAnsi"/>
                <w:lang w:eastAsia="en-US"/>
              </w:rPr>
              <w:t>0</w:t>
            </w:r>
          </w:p>
        </w:tc>
        <w:tc>
          <w:tcPr>
            <w:tcW w:w="549" w:type="pct"/>
            <w:tcBorders>
              <w:top w:val="nil"/>
              <w:left w:val="nil"/>
              <w:bottom w:val="single" w:sz="4" w:space="0" w:color="auto"/>
              <w:right w:val="outset" w:sz="8" w:space="0" w:color="000000"/>
            </w:tcBorders>
            <w:vAlign w:val="center"/>
            <w:hideMark/>
          </w:tcPr>
          <w:p w:rsidR="00D31848" w:rsidRPr="00CB360A" w:rsidP="00A26335" w14:paraId="14EA9813" w14:textId="77777777">
            <w:pPr>
              <w:jc w:val="center"/>
              <w:rPr>
                <w:rFonts w:eastAsiaTheme="minorHAnsi"/>
                <w:lang w:eastAsia="en-US"/>
              </w:rPr>
            </w:pPr>
            <w:r w:rsidRPr="00CB360A">
              <w:rPr>
                <w:rFonts w:eastAsiaTheme="minorHAnsi"/>
                <w:lang w:eastAsia="en-US"/>
              </w:rPr>
              <w:t>0</w:t>
            </w:r>
          </w:p>
        </w:tc>
        <w:tc>
          <w:tcPr>
            <w:tcW w:w="949" w:type="pct"/>
            <w:tcBorders>
              <w:top w:val="nil"/>
              <w:left w:val="nil"/>
              <w:bottom w:val="single" w:sz="4" w:space="0" w:color="auto"/>
              <w:right w:val="outset" w:sz="8" w:space="0" w:color="000000"/>
            </w:tcBorders>
            <w:vAlign w:val="center"/>
            <w:hideMark/>
          </w:tcPr>
          <w:p w:rsidR="00D31848" w:rsidRPr="00CB360A" w:rsidP="00A26335" w14:paraId="06D8C5F5" w14:textId="77777777">
            <w:pPr>
              <w:jc w:val="center"/>
              <w:rPr>
                <w:rFonts w:eastAsiaTheme="minorHAnsi"/>
                <w:lang w:eastAsia="en-US"/>
              </w:rPr>
            </w:pPr>
            <w:r w:rsidRPr="00CB360A">
              <w:rPr>
                <w:rFonts w:eastAsiaTheme="minorHAnsi"/>
                <w:lang w:eastAsia="en-US"/>
              </w:rPr>
              <w:t>0</w:t>
            </w:r>
          </w:p>
        </w:tc>
        <w:tc>
          <w:tcPr>
            <w:tcW w:w="940" w:type="pct"/>
            <w:tcBorders>
              <w:top w:val="nil"/>
              <w:left w:val="nil"/>
              <w:bottom w:val="single" w:sz="4" w:space="0" w:color="auto"/>
              <w:right w:val="outset" w:sz="8" w:space="0" w:color="000000"/>
            </w:tcBorders>
            <w:vAlign w:val="center"/>
            <w:hideMark/>
          </w:tcPr>
          <w:p w:rsidR="00D31848" w:rsidRPr="00CB360A" w:rsidP="00A26335" w14:paraId="452EEC32" w14:textId="77777777">
            <w:pPr>
              <w:jc w:val="center"/>
              <w:rPr>
                <w:rFonts w:eastAsiaTheme="minorHAnsi"/>
                <w:lang w:eastAsia="en-US"/>
              </w:rPr>
            </w:pPr>
            <w:r w:rsidRPr="00CB360A">
              <w:rPr>
                <w:rFonts w:eastAsiaTheme="minorHAnsi"/>
                <w:lang w:eastAsia="en-US"/>
              </w:rPr>
              <w:t>0</w:t>
            </w:r>
          </w:p>
        </w:tc>
        <w:tc>
          <w:tcPr>
            <w:tcW w:w="1012" w:type="pct"/>
            <w:tcBorders>
              <w:top w:val="nil"/>
              <w:left w:val="nil"/>
              <w:bottom w:val="single" w:sz="4" w:space="0" w:color="auto"/>
              <w:right w:val="outset" w:sz="8" w:space="0" w:color="000000"/>
            </w:tcBorders>
            <w:vAlign w:val="center"/>
            <w:hideMark/>
          </w:tcPr>
          <w:p w:rsidR="00D31848" w:rsidRPr="00CB360A" w:rsidP="00A26335" w14:paraId="342809BD" w14:textId="77777777">
            <w:pPr>
              <w:jc w:val="center"/>
              <w:rPr>
                <w:rFonts w:eastAsiaTheme="minorHAnsi"/>
                <w:lang w:eastAsia="en-US"/>
              </w:rPr>
            </w:pPr>
            <w:r w:rsidRPr="00CB360A">
              <w:rPr>
                <w:rFonts w:eastAsiaTheme="minorHAnsi"/>
                <w:lang w:eastAsia="en-US"/>
              </w:rPr>
              <w:t>0</w:t>
            </w:r>
          </w:p>
        </w:tc>
      </w:tr>
      <w:tr w14:paraId="1C5AD729" w14:textId="77777777" w:rsidTr="00F27703">
        <w:tblPrEx>
          <w:tblW w:w="5000" w:type="pct"/>
          <w:tblCellMar>
            <w:left w:w="0" w:type="dxa"/>
            <w:right w:w="0" w:type="dxa"/>
          </w:tblCellMar>
          <w:tblLook w:val="04A0"/>
        </w:tblPrEx>
        <w:trPr>
          <w:trHeight w:val="636"/>
        </w:trPr>
        <w:tc>
          <w:tcPr>
            <w:tcW w:w="1052" w:type="pct"/>
            <w:vMerge w:val="restart"/>
            <w:tcBorders>
              <w:top w:val="nil"/>
              <w:left w:val="outset" w:sz="8" w:space="0" w:color="000000"/>
              <w:right w:val="outset" w:sz="8" w:space="0" w:color="000000"/>
            </w:tcBorders>
            <w:tcMar>
              <w:top w:w="30" w:type="dxa"/>
              <w:left w:w="30" w:type="dxa"/>
              <w:bottom w:w="30" w:type="dxa"/>
              <w:right w:w="30" w:type="dxa"/>
            </w:tcMar>
            <w:hideMark/>
          </w:tcPr>
          <w:p w:rsidR="00D31848" w:rsidRPr="00CB360A" w:rsidP="00A26335" w14:paraId="4E2153A3" w14:textId="77777777">
            <w:pPr>
              <w:spacing w:before="100" w:beforeAutospacing="1" w:after="100" w:afterAutospacing="1" w:line="276" w:lineRule="auto"/>
            </w:pPr>
            <w:r w:rsidRPr="00CB360A">
              <w:t>4. Finanšu līdzekļi papildu izde</w:t>
            </w:r>
            <w:r w:rsidRPr="00CB360A">
              <w:softHyphen/>
              <w:t>vumu finansēšanai (kompensējošu izdevumu samazinājumu norāda ar "+" zīmi)</w:t>
            </w:r>
          </w:p>
        </w:tc>
        <w:tc>
          <w:tcPr>
            <w:tcW w:w="498" w:type="pct"/>
            <w:vMerge w:val="restart"/>
            <w:tcBorders>
              <w:top w:val="nil"/>
              <w:left w:val="nil"/>
              <w:right w:val="single" w:sz="4" w:space="0" w:color="auto"/>
            </w:tcBorders>
            <w:tcMar>
              <w:top w:w="30" w:type="dxa"/>
              <w:left w:w="30" w:type="dxa"/>
              <w:bottom w:w="30" w:type="dxa"/>
              <w:right w:w="30" w:type="dxa"/>
            </w:tcMar>
            <w:vAlign w:val="center"/>
            <w:hideMark/>
          </w:tcPr>
          <w:p w:rsidR="00D31848" w:rsidRPr="00CB360A" w:rsidP="00A26335" w14:paraId="6F927BD7" w14:textId="77777777">
            <w:pPr>
              <w:spacing w:before="100" w:beforeAutospacing="1" w:after="100" w:afterAutospacing="1" w:line="276" w:lineRule="auto"/>
              <w:jc w:val="center"/>
            </w:pPr>
            <w:r w:rsidRPr="00CB360A">
              <w:t>X</w:t>
            </w:r>
          </w:p>
        </w:tc>
        <w:tc>
          <w:tcPr>
            <w:tcW w:w="549"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D31848" w:rsidRPr="00CB360A" w:rsidP="00A26335" w14:paraId="61A5C8F6" w14:textId="77777777">
            <w:pPr>
              <w:spacing w:line="276" w:lineRule="auto"/>
              <w:jc w:val="center"/>
            </w:pPr>
            <w:r w:rsidRPr="00CB360A">
              <w:t>0</w:t>
            </w:r>
          </w:p>
        </w:tc>
        <w:tc>
          <w:tcPr>
            <w:tcW w:w="949"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D31848" w:rsidRPr="00CB360A" w:rsidP="00A26335" w14:paraId="301B67E6" w14:textId="77777777">
            <w:pPr>
              <w:spacing w:line="276" w:lineRule="auto"/>
              <w:jc w:val="center"/>
            </w:pPr>
            <w:r w:rsidRPr="00CB360A">
              <w:t>0</w:t>
            </w:r>
          </w:p>
        </w:tc>
        <w:tc>
          <w:tcPr>
            <w:tcW w:w="94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D31848" w:rsidRPr="00CB360A" w:rsidP="00A26335" w14:paraId="266DB6ED" w14:textId="77777777">
            <w:pPr>
              <w:spacing w:line="276" w:lineRule="auto"/>
              <w:jc w:val="center"/>
            </w:pPr>
            <w:r w:rsidRPr="00CB360A">
              <w:t>0</w:t>
            </w:r>
          </w:p>
        </w:tc>
        <w:tc>
          <w:tcPr>
            <w:tcW w:w="1012"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D31848" w:rsidRPr="00CB360A" w:rsidP="00A26335" w14:paraId="5A0F69CE" w14:textId="77777777">
            <w:pPr>
              <w:spacing w:line="276" w:lineRule="auto"/>
              <w:jc w:val="center"/>
            </w:pPr>
            <w:r w:rsidRPr="00CB360A">
              <w:t>0</w:t>
            </w:r>
          </w:p>
        </w:tc>
      </w:tr>
      <w:tr w14:paraId="44454B7D" w14:textId="77777777" w:rsidTr="00F27703">
        <w:tblPrEx>
          <w:tblW w:w="5000" w:type="pct"/>
          <w:tblCellMar>
            <w:left w:w="0" w:type="dxa"/>
            <w:right w:w="0" w:type="dxa"/>
          </w:tblCellMar>
          <w:tblLook w:val="04A0"/>
        </w:tblPrEx>
        <w:trPr>
          <w:trHeight w:val="633"/>
        </w:trPr>
        <w:tc>
          <w:tcPr>
            <w:tcW w:w="1052" w:type="pct"/>
            <w:vMerge/>
            <w:tcBorders>
              <w:left w:val="outset" w:sz="8" w:space="0" w:color="000000"/>
              <w:right w:val="outset" w:sz="8" w:space="0" w:color="000000"/>
            </w:tcBorders>
            <w:tcMar>
              <w:top w:w="30" w:type="dxa"/>
              <w:left w:w="30" w:type="dxa"/>
              <w:bottom w:w="30" w:type="dxa"/>
              <w:right w:w="30" w:type="dxa"/>
            </w:tcMar>
          </w:tcPr>
          <w:p w:rsidR="00D31848" w:rsidRPr="00CB360A" w:rsidP="00A26335" w14:paraId="63FCF2C5" w14:textId="77777777">
            <w:pPr>
              <w:spacing w:before="100" w:beforeAutospacing="1" w:after="100" w:afterAutospacing="1" w:line="276" w:lineRule="auto"/>
            </w:pPr>
          </w:p>
        </w:tc>
        <w:tc>
          <w:tcPr>
            <w:tcW w:w="498" w:type="pct"/>
            <w:vMerge/>
            <w:tcBorders>
              <w:left w:val="nil"/>
              <w:right w:val="single" w:sz="4" w:space="0" w:color="auto"/>
            </w:tcBorders>
            <w:tcMar>
              <w:top w:w="30" w:type="dxa"/>
              <w:left w:w="30" w:type="dxa"/>
              <w:bottom w:w="30" w:type="dxa"/>
              <w:right w:w="30" w:type="dxa"/>
            </w:tcMar>
            <w:vAlign w:val="center"/>
          </w:tcPr>
          <w:p w:rsidR="00D31848" w:rsidRPr="00CB360A" w:rsidP="00A26335" w14:paraId="79FA5637" w14:textId="77777777">
            <w:pPr>
              <w:spacing w:before="100" w:beforeAutospacing="1" w:after="100" w:afterAutospacing="1" w:line="276" w:lineRule="auto"/>
              <w:jc w:val="center"/>
            </w:pPr>
          </w:p>
        </w:tc>
        <w:tc>
          <w:tcPr>
            <w:tcW w:w="549"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D31848" w:rsidRPr="00CB360A" w:rsidP="00A26335" w14:paraId="13CA7657" w14:textId="77777777">
            <w:pPr>
              <w:spacing w:line="276" w:lineRule="auto"/>
              <w:jc w:val="center"/>
            </w:pPr>
            <w:r w:rsidRPr="00CB360A">
              <w:rPr>
                <w:rFonts w:eastAsiaTheme="minorHAnsi"/>
                <w:lang w:eastAsia="en-US"/>
              </w:rPr>
              <w:t>0</w:t>
            </w:r>
          </w:p>
        </w:tc>
        <w:tc>
          <w:tcPr>
            <w:tcW w:w="949"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D31848" w:rsidRPr="00CB360A" w:rsidP="00A26335" w14:paraId="592AB2E8" w14:textId="77777777">
            <w:pPr>
              <w:spacing w:line="276" w:lineRule="auto"/>
              <w:jc w:val="center"/>
            </w:pPr>
            <w:r w:rsidRPr="00CB360A">
              <w:rPr>
                <w:rFonts w:eastAsiaTheme="minorHAnsi"/>
                <w:lang w:eastAsia="en-US"/>
              </w:rPr>
              <w:t>0</w:t>
            </w:r>
          </w:p>
        </w:tc>
        <w:tc>
          <w:tcPr>
            <w:tcW w:w="94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D31848" w:rsidRPr="00CB360A" w:rsidP="00A26335" w14:paraId="561E5D2D" w14:textId="77777777">
            <w:pPr>
              <w:spacing w:line="276" w:lineRule="auto"/>
              <w:jc w:val="center"/>
            </w:pPr>
            <w:r w:rsidRPr="00CB360A">
              <w:rPr>
                <w:rFonts w:eastAsiaTheme="minorHAnsi"/>
                <w:lang w:eastAsia="en-US"/>
              </w:rPr>
              <w:t>0</w:t>
            </w:r>
          </w:p>
        </w:tc>
        <w:tc>
          <w:tcPr>
            <w:tcW w:w="1012"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D31848" w:rsidRPr="00CB360A" w:rsidP="00A26335" w14:paraId="65E95A97" w14:textId="77777777">
            <w:pPr>
              <w:spacing w:line="276" w:lineRule="auto"/>
              <w:jc w:val="center"/>
            </w:pPr>
            <w:r w:rsidRPr="00CB360A">
              <w:rPr>
                <w:rFonts w:eastAsiaTheme="minorHAnsi"/>
                <w:lang w:eastAsia="en-US"/>
              </w:rPr>
              <w:t>0</w:t>
            </w:r>
          </w:p>
        </w:tc>
      </w:tr>
      <w:tr w14:paraId="29954546" w14:textId="77777777" w:rsidTr="00F27703">
        <w:tblPrEx>
          <w:tblW w:w="5000" w:type="pct"/>
          <w:tblCellMar>
            <w:left w:w="0" w:type="dxa"/>
            <w:right w:w="0" w:type="dxa"/>
          </w:tblCellMar>
          <w:tblLook w:val="04A0"/>
        </w:tblPrEx>
        <w:trPr>
          <w:trHeight w:val="633"/>
        </w:trPr>
        <w:tc>
          <w:tcPr>
            <w:tcW w:w="1052" w:type="pct"/>
            <w:vMerge/>
            <w:tcBorders>
              <w:left w:val="outset" w:sz="8" w:space="0" w:color="000000"/>
              <w:right w:val="outset" w:sz="8" w:space="0" w:color="000000"/>
            </w:tcBorders>
            <w:tcMar>
              <w:top w:w="30" w:type="dxa"/>
              <w:left w:w="30" w:type="dxa"/>
              <w:bottom w:w="30" w:type="dxa"/>
              <w:right w:w="30" w:type="dxa"/>
            </w:tcMar>
          </w:tcPr>
          <w:p w:rsidR="00D31848" w:rsidRPr="00CB360A" w:rsidP="00A26335" w14:paraId="316DE52F" w14:textId="77777777">
            <w:pPr>
              <w:spacing w:before="100" w:beforeAutospacing="1" w:after="100" w:afterAutospacing="1" w:line="276" w:lineRule="auto"/>
            </w:pPr>
          </w:p>
        </w:tc>
        <w:tc>
          <w:tcPr>
            <w:tcW w:w="498" w:type="pct"/>
            <w:vMerge/>
            <w:tcBorders>
              <w:left w:val="nil"/>
              <w:right w:val="single" w:sz="4" w:space="0" w:color="auto"/>
            </w:tcBorders>
            <w:tcMar>
              <w:top w:w="30" w:type="dxa"/>
              <w:left w:w="30" w:type="dxa"/>
              <w:bottom w:w="30" w:type="dxa"/>
              <w:right w:w="30" w:type="dxa"/>
            </w:tcMar>
            <w:vAlign w:val="center"/>
          </w:tcPr>
          <w:p w:rsidR="00D31848" w:rsidRPr="00CB360A" w:rsidP="00A26335" w14:paraId="5FFE0FB1" w14:textId="77777777">
            <w:pPr>
              <w:spacing w:before="100" w:beforeAutospacing="1" w:after="100" w:afterAutospacing="1" w:line="276" w:lineRule="auto"/>
              <w:jc w:val="center"/>
            </w:pPr>
          </w:p>
        </w:tc>
        <w:tc>
          <w:tcPr>
            <w:tcW w:w="549"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D31848" w:rsidRPr="00CB360A" w:rsidP="00A26335" w14:paraId="30ACEE6A" w14:textId="77777777">
            <w:pPr>
              <w:spacing w:line="276" w:lineRule="auto"/>
              <w:jc w:val="center"/>
            </w:pPr>
            <w:r w:rsidRPr="00CB360A">
              <w:rPr>
                <w:rFonts w:eastAsiaTheme="minorHAnsi"/>
                <w:lang w:eastAsia="en-US"/>
              </w:rPr>
              <w:t>0</w:t>
            </w:r>
          </w:p>
        </w:tc>
        <w:tc>
          <w:tcPr>
            <w:tcW w:w="949"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D31848" w:rsidRPr="00CB360A" w:rsidP="00A26335" w14:paraId="75432EAC" w14:textId="77777777">
            <w:pPr>
              <w:spacing w:line="276" w:lineRule="auto"/>
              <w:jc w:val="center"/>
            </w:pPr>
            <w:r w:rsidRPr="00CB360A">
              <w:rPr>
                <w:rFonts w:eastAsiaTheme="minorHAnsi"/>
                <w:lang w:eastAsia="en-US"/>
              </w:rPr>
              <w:t>0</w:t>
            </w:r>
          </w:p>
        </w:tc>
        <w:tc>
          <w:tcPr>
            <w:tcW w:w="94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D31848" w:rsidRPr="00CB360A" w:rsidP="00A26335" w14:paraId="2D627858" w14:textId="77777777">
            <w:pPr>
              <w:spacing w:line="276" w:lineRule="auto"/>
              <w:jc w:val="center"/>
            </w:pPr>
            <w:r w:rsidRPr="00CB360A">
              <w:rPr>
                <w:rFonts w:eastAsiaTheme="minorHAnsi"/>
                <w:lang w:eastAsia="en-US"/>
              </w:rPr>
              <w:t>0</w:t>
            </w:r>
          </w:p>
        </w:tc>
        <w:tc>
          <w:tcPr>
            <w:tcW w:w="1012"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D31848" w:rsidRPr="00CB360A" w:rsidP="00A26335" w14:paraId="35AF8530" w14:textId="77777777">
            <w:pPr>
              <w:spacing w:line="276" w:lineRule="auto"/>
              <w:jc w:val="center"/>
            </w:pPr>
            <w:r w:rsidRPr="00CB360A">
              <w:rPr>
                <w:rFonts w:eastAsiaTheme="minorHAnsi"/>
                <w:lang w:eastAsia="en-US"/>
              </w:rPr>
              <w:t>0</w:t>
            </w:r>
          </w:p>
        </w:tc>
      </w:tr>
      <w:tr w14:paraId="595E48FC" w14:textId="77777777" w:rsidTr="00F27703">
        <w:tblPrEx>
          <w:tblW w:w="5000" w:type="pct"/>
          <w:tblCellMar>
            <w:left w:w="0" w:type="dxa"/>
            <w:right w:w="0" w:type="dxa"/>
          </w:tblCellMar>
          <w:tblLook w:val="04A0"/>
        </w:tblPrEx>
        <w:trPr>
          <w:trHeight w:val="633"/>
        </w:trPr>
        <w:tc>
          <w:tcPr>
            <w:tcW w:w="1052" w:type="pct"/>
            <w:vMerge/>
            <w:tcBorders>
              <w:left w:val="outset" w:sz="8" w:space="0" w:color="000000"/>
              <w:bottom w:val="outset" w:sz="8" w:space="0" w:color="000000"/>
              <w:right w:val="outset" w:sz="8" w:space="0" w:color="000000"/>
            </w:tcBorders>
            <w:tcMar>
              <w:top w:w="30" w:type="dxa"/>
              <w:left w:w="30" w:type="dxa"/>
              <w:bottom w:w="30" w:type="dxa"/>
              <w:right w:w="30" w:type="dxa"/>
            </w:tcMar>
          </w:tcPr>
          <w:p w:rsidR="00D31848" w:rsidRPr="00CB360A" w:rsidP="00A26335" w14:paraId="5E8F692B" w14:textId="77777777">
            <w:pPr>
              <w:spacing w:before="100" w:beforeAutospacing="1" w:after="100" w:afterAutospacing="1" w:line="276" w:lineRule="auto"/>
            </w:pPr>
          </w:p>
        </w:tc>
        <w:tc>
          <w:tcPr>
            <w:tcW w:w="498" w:type="pct"/>
            <w:vMerge/>
            <w:tcBorders>
              <w:left w:val="nil"/>
              <w:bottom w:val="outset" w:sz="8" w:space="0" w:color="000000"/>
              <w:right w:val="single" w:sz="4" w:space="0" w:color="auto"/>
            </w:tcBorders>
            <w:tcMar>
              <w:top w:w="30" w:type="dxa"/>
              <w:left w:w="30" w:type="dxa"/>
              <w:bottom w:w="30" w:type="dxa"/>
              <w:right w:w="30" w:type="dxa"/>
            </w:tcMar>
            <w:vAlign w:val="center"/>
          </w:tcPr>
          <w:p w:rsidR="00D31848" w:rsidRPr="00CB360A" w:rsidP="00A26335" w14:paraId="3EC26F30" w14:textId="77777777">
            <w:pPr>
              <w:spacing w:before="100" w:beforeAutospacing="1" w:after="100" w:afterAutospacing="1" w:line="276" w:lineRule="auto"/>
              <w:jc w:val="center"/>
            </w:pPr>
          </w:p>
        </w:tc>
        <w:tc>
          <w:tcPr>
            <w:tcW w:w="549"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D31848" w:rsidRPr="00CB360A" w:rsidP="00A26335" w14:paraId="443052BD" w14:textId="77777777">
            <w:pPr>
              <w:spacing w:line="276" w:lineRule="auto"/>
              <w:jc w:val="center"/>
            </w:pPr>
            <w:r w:rsidRPr="00CB360A">
              <w:rPr>
                <w:rFonts w:eastAsiaTheme="minorHAnsi"/>
                <w:lang w:eastAsia="en-US"/>
              </w:rPr>
              <w:t>0</w:t>
            </w:r>
          </w:p>
        </w:tc>
        <w:tc>
          <w:tcPr>
            <w:tcW w:w="949"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D31848" w:rsidRPr="00CB360A" w:rsidP="00A26335" w14:paraId="0CE2EF62" w14:textId="77777777">
            <w:pPr>
              <w:spacing w:line="276" w:lineRule="auto"/>
              <w:jc w:val="center"/>
            </w:pPr>
            <w:r w:rsidRPr="00CB360A">
              <w:rPr>
                <w:rFonts w:eastAsiaTheme="minorHAnsi"/>
                <w:lang w:eastAsia="en-US"/>
              </w:rPr>
              <w:t>0</w:t>
            </w:r>
          </w:p>
        </w:tc>
        <w:tc>
          <w:tcPr>
            <w:tcW w:w="94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D31848" w:rsidRPr="00CB360A" w:rsidP="00A26335" w14:paraId="79064A74" w14:textId="77777777">
            <w:pPr>
              <w:spacing w:line="276" w:lineRule="auto"/>
              <w:jc w:val="center"/>
            </w:pPr>
            <w:r w:rsidRPr="00CB360A">
              <w:rPr>
                <w:rFonts w:eastAsiaTheme="minorHAnsi"/>
                <w:lang w:eastAsia="en-US"/>
              </w:rPr>
              <w:t>0</w:t>
            </w:r>
          </w:p>
        </w:tc>
        <w:tc>
          <w:tcPr>
            <w:tcW w:w="1012"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D31848" w:rsidRPr="00CB360A" w:rsidP="00A26335" w14:paraId="01634BC4" w14:textId="77777777">
            <w:pPr>
              <w:spacing w:line="276" w:lineRule="auto"/>
              <w:jc w:val="center"/>
            </w:pPr>
            <w:r w:rsidRPr="00CB360A">
              <w:rPr>
                <w:rFonts w:eastAsiaTheme="minorHAnsi"/>
                <w:lang w:eastAsia="en-US"/>
              </w:rPr>
              <w:t>0</w:t>
            </w:r>
          </w:p>
        </w:tc>
      </w:tr>
      <w:tr w14:paraId="7F5630B7" w14:textId="77777777" w:rsidTr="00F27703">
        <w:tblPrEx>
          <w:tblW w:w="5000" w:type="pct"/>
          <w:tblCellMar>
            <w:left w:w="0" w:type="dxa"/>
            <w:right w:w="0" w:type="dxa"/>
          </w:tblCellMar>
          <w:tblLook w:val="04A0"/>
        </w:tblPrEx>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CB360A" w:rsidP="00A26335" w14:paraId="1122E0E4" w14:textId="77777777">
            <w:pPr>
              <w:spacing w:before="100" w:beforeAutospacing="1" w:after="100" w:afterAutospacing="1" w:line="276" w:lineRule="auto"/>
            </w:pPr>
            <w:r w:rsidRPr="00CB360A">
              <w:t>5. Precizēta finansiālā ietekme:</w:t>
            </w:r>
          </w:p>
        </w:tc>
        <w:tc>
          <w:tcPr>
            <w:tcW w:w="498" w:type="pct"/>
            <w:vMerge w:val="restart"/>
            <w:tcBorders>
              <w:top w:val="nil"/>
              <w:left w:val="nil"/>
              <w:bottom w:val="outset" w:sz="8" w:space="0" w:color="000000"/>
              <w:right w:val="outset" w:sz="8" w:space="0" w:color="000000"/>
            </w:tcBorders>
            <w:tcMar>
              <w:top w:w="30" w:type="dxa"/>
              <w:left w:w="30" w:type="dxa"/>
              <w:bottom w:w="30" w:type="dxa"/>
              <w:right w:w="30" w:type="dxa"/>
            </w:tcMar>
            <w:vAlign w:val="center"/>
            <w:hideMark/>
          </w:tcPr>
          <w:p w:rsidR="00D31848" w:rsidRPr="00CB360A" w:rsidP="00A26335" w14:paraId="021A34A4" w14:textId="77777777">
            <w:pPr>
              <w:spacing w:before="100" w:beforeAutospacing="1" w:after="100" w:afterAutospacing="1" w:line="276" w:lineRule="auto"/>
              <w:jc w:val="center"/>
            </w:pPr>
            <w:r w:rsidRPr="00CB360A">
              <w:t>X</w:t>
            </w:r>
          </w:p>
        </w:tc>
        <w:tc>
          <w:tcPr>
            <w:tcW w:w="549" w:type="pct"/>
            <w:tcBorders>
              <w:top w:val="single" w:sz="4" w:space="0" w:color="auto"/>
              <w:left w:val="nil"/>
              <w:bottom w:val="outset" w:sz="8" w:space="0" w:color="000000"/>
              <w:right w:val="outset" w:sz="8" w:space="0" w:color="000000"/>
            </w:tcBorders>
            <w:tcMar>
              <w:top w:w="30" w:type="dxa"/>
              <w:left w:w="30" w:type="dxa"/>
              <w:bottom w:w="30" w:type="dxa"/>
              <w:right w:w="30" w:type="dxa"/>
            </w:tcMar>
            <w:vAlign w:val="center"/>
            <w:hideMark/>
          </w:tcPr>
          <w:p w:rsidR="00D31848" w:rsidRPr="00CB360A" w:rsidP="00A26335" w14:paraId="426238B1" w14:textId="77777777">
            <w:pPr>
              <w:spacing w:line="276" w:lineRule="auto"/>
              <w:jc w:val="center"/>
            </w:pPr>
            <w:r w:rsidRPr="00CB360A">
              <w:t>0</w:t>
            </w:r>
          </w:p>
        </w:tc>
        <w:tc>
          <w:tcPr>
            <w:tcW w:w="949" w:type="pct"/>
            <w:tcBorders>
              <w:top w:val="single" w:sz="4" w:space="0" w:color="auto"/>
              <w:left w:val="nil"/>
              <w:bottom w:val="outset" w:sz="8" w:space="0" w:color="000000"/>
              <w:right w:val="outset" w:sz="8" w:space="0" w:color="000000"/>
            </w:tcBorders>
            <w:tcMar>
              <w:top w:w="30" w:type="dxa"/>
              <w:left w:w="30" w:type="dxa"/>
              <w:bottom w:w="30" w:type="dxa"/>
              <w:right w:w="30" w:type="dxa"/>
            </w:tcMar>
            <w:vAlign w:val="center"/>
            <w:hideMark/>
          </w:tcPr>
          <w:p w:rsidR="00D31848" w:rsidRPr="00CB360A" w:rsidP="00A26335" w14:paraId="4D25B239" w14:textId="77777777">
            <w:pPr>
              <w:spacing w:line="276" w:lineRule="auto"/>
              <w:jc w:val="center"/>
            </w:pPr>
            <w:r w:rsidRPr="00CB360A">
              <w:t>0</w:t>
            </w:r>
          </w:p>
        </w:tc>
        <w:tc>
          <w:tcPr>
            <w:tcW w:w="940" w:type="pct"/>
            <w:tcBorders>
              <w:top w:val="single" w:sz="4" w:space="0" w:color="auto"/>
              <w:left w:val="nil"/>
              <w:bottom w:val="outset" w:sz="8" w:space="0" w:color="000000"/>
              <w:right w:val="outset" w:sz="8" w:space="0" w:color="000000"/>
            </w:tcBorders>
            <w:tcMar>
              <w:top w:w="30" w:type="dxa"/>
              <w:left w:w="30" w:type="dxa"/>
              <w:bottom w:w="30" w:type="dxa"/>
              <w:right w:w="30" w:type="dxa"/>
            </w:tcMar>
            <w:vAlign w:val="center"/>
            <w:hideMark/>
          </w:tcPr>
          <w:p w:rsidR="00D31848" w:rsidRPr="00CB360A" w:rsidP="00A26335" w14:paraId="3A330FF8" w14:textId="77777777">
            <w:pPr>
              <w:spacing w:line="276" w:lineRule="auto"/>
              <w:jc w:val="center"/>
            </w:pPr>
            <w:r w:rsidRPr="00CB360A">
              <w:t>0</w:t>
            </w:r>
          </w:p>
        </w:tc>
        <w:tc>
          <w:tcPr>
            <w:tcW w:w="1012" w:type="pct"/>
            <w:tcBorders>
              <w:top w:val="single" w:sz="4" w:space="0" w:color="auto"/>
              <w:left w:val="nil"/>
              <w:bottom w:val="outset" w:sz="8" w:space="0" w:color="000000"/>
              <w:right w:val="outset" w:sz="8" w:space="0" w:color="000000"/>
            </w:tcBorders>
            <w:tcMar>
              <w:top w:w="30" w:type="dxa"/>
              <w:left w:w="30" w:type="dxa"/>
              <w:bottom w:w="30" w:type="dxa"/>
              <w:right w:w="30" w:type="dxa"/>
            </w:tcMar>
            <w:vAlign w:val="center"/>
            <w:hideMark/>
          </w:tcPr>
          <w:p w:rsidR="00D31848" w:rsidRPr="00CB360A" w:rsidP="00A26335" w14:paraId="53F88013" w14:textId="77777777">
            <w:pPr>
              <w:spacing w:line="276" w:lineRule="auto"/>
              <w:jc w:val="center"/>
            </w:pPr>
            <w:r w:rsidRPr="00CB360A">
              <w:t>0</w:t>
            </w:r>
          </w:p>
        </w:tc>
      </w:tr>
      <w:tr w14:paraId="1069FEFA" w14:textId="77777777" w:rsidTr="00F27703">
        <w:tblPrEx>
          <w:tblW w:w="5000" w:type="pct"/>
          <w:tblCellMar>
            <w:left w:w="0" w:type="dxa"/>
            <w:right w:w="0" w:type="dxa"/>
          </w:tblCellMar>
          <w:tblLook w:val="04A0"/>
        </w:tblPrEx>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CB360A" w:rsidP="00A26335" w14:paraId="2897D830" w14:textId="77777777">
            <w:pPr>
              <w:spacing w:before="100" w:beforeAutospacing="1" w:after="100" w:afterAutospacing="1" w:line="276" w:lineRule="auto"/>
            </w:pPr>
            <w:r w:rsidRPr="00CB360A">
              <w:t>5.1. valsts pamatbudžets</w:t>
            </w:r>
          </w:p>
        </w:tc>
        <w:tc>
          <w:tcPr>
            <w:tcW w:w="498" w:type="pct"/>
            <w:vMerge/>
            <w:tcBorders>
              <w:top w:val="nil"/>
              <w:left w:val="nil"/>
              <w:bottom w:val="outset" w:sz="8" w:space="0" w:color="000000"/>
              <w:right w:val="outset" w:sz="8" w:space="0" w:color="000000"/>
            </w:tcBorders>
            <w:vAlign w:val="center"/>
            <w:hideMark/>
          </w:tcPr>
          <w:p w:rsidR="00D31848" w:rsidRPr="00CB360A" w:rsidP="00A26335" w14:paraId="644D7F14" w14:textId="77777777">
            <w:pPr>
              <w:rPr>
                <w:rFonts w:eastAsiaTheme="minorHAnsi"/>
                <w:lang w:eastAsia="en-US"/>
              </w:rPr>
            </w:pPr>
          </w:p>
        </w:tc>
        <w:tc>
          <w:tcPr>
            <w:tcW w:w="549" w:type="pct"/>
            <w:tcBorders>
              <w:top w:val="outset" w:sz="8" w:space="0" w:color="000000"/>
              <w:left w:val="nil"/>
              <w:bottom w:val="outset" w:sz="8" w:space="0" w:color="000000"/>
              <w:right w:val="outset" w:sz="8" w:space="0" w:color="000000"/>
            </w:tcBorders>
            <w:vAlign w:val="center"/>
            <w:hideMark/>
          </w:tcPr>
          <w:p w:rsidR="00D31848" w:rsidRPr="00CB360A" w:rsidP="00A26335" w14:paraId="0C1113B6" w14:textId="77777777">
            <w:pPr>
              <w:jc w:val="center"/>
              <w:rPr>
                <w:rFonts w:eastAsiaTheme="minorHAnsi"/>
                <w:lang w:eastAsia="en-US"/>
              </w:rPr>
            </w:pPr>
            <w:r w:rsidRPr="00CB360A">
              <w:rPr>
                <w:rFonts w:eastAsiaTheme="minorHAnsi"/>
                <w:lang w:eastAsia="en-US"/>
              </w:rPr>
              <w:t>0</w:t>
            </w:r>
          </w:p>
        </w:tc>
        <w:tc>
          <w:tcPr>
            <w:tcW w:w="949" w:type="pct"/>
            <w:tcBorders>
              <w:top w:val="outset" w:sz="8" w:space="0" w:color="000000"/>
              <w:left w:val="nil"/>
              <w:bottom w:val="outset" w:sz="8" w:space="0" w:color="000000"/>
              <w:right w:val="outset" w:sz="8" w:space="0" w:color="000000"/>
            </w:tcBorders>
            <w:vAlign w:val="center"/>
            <w:hideMark/>
          </w:tcPr>
          <w:p w:rsidR="00D31848" w:rsidRPr="00CB360A" w:rsidP="00A26335" w14:paraId="062DE0BF" w14:textId="77777777">
            <w:pPr>
              <w:jc w:val="center"/>
              <w:rPr>
                <w:rFonts w:eastAsiaTheme="minorHAnsi"/>
                <w:lang w:eastAsia="en-US"/>
              </w:rPr>
            </w:pPr>
            <w:r w:rsidRPr="00CB360A">
              <w:rPr>
                <w:rFonts w:eastAsiaTheme="minorHAnsi"/>
                <w:lang w:eastAsia="en-US"/>
              </w:rPr>
              <w:t>0</w:t>
            </w:r>
          </w:p>
        </w:tc>
        <w:tc>
          <w:tcPr>
            <w:tcW w:w="940" w:type="pct"/>
            <w:tcBorders>
              <w:top w:val="outset" w:sz="8" w:space="0" w:color="000000"/>
              <w:left w:val="nil"/>
              <w:bottom w:val="outset" w:sz="8" w:space="0" w:color="000000"/>
              <w:right w:val="outset" w:sz="8" w:space="0" w:color="000000"/>
            </w:tcBorders>
            <w:vAlign w:val="center"/>
            <w:hideMark/>
          </w:tcPr>
          <w:p w:rsidR="00D31848" w:rsidRPr="00CB360A" w:rsidP="00A26335" w14:paraId="2913B8A2" w14:textId="77777777">
            <w:pPr>
              <w:jc w:val="center"/>
              <w:rPr>
                <w:rFonts w:eastAsiaTheme="minorHAnsi"/>
                <w:lang w:eastAsia="en-US"/>
              </w:rPr>
            </w:pPr>
            <w:r w:rsidRPr="00CB360A">
              <w:rPr>
                <w:rFonts w:eastAsiaTheme="minorHAnsi"/>
                <w:lang w:eastAsia="en-US"/>
              </w:rPr>
              <w:t>0</w:t>
            </w:r>
          </w:p>
        </w:tc>
        <w:tc>
          <w:tcPr>
            <w:tcW w:w="1012" w:type="pct"/>
            <w:tcBorders>
              <w:top w:val="outset" w:sz="8" w:space="0" w:color="000000"/>
              <w:left w:val="nil"/>
              <w:bottom w:val="outset" w:sz="8" w:space="0" w:color="000000"/>
              <w:right w:val="outset" w:sz="8" w:space="0" w:color="000000"/>
            </w:tcBorders>
            <w:vAlign w:val="center"/>
            <w:hideMark/>
          </w:tcPr>
          <w:p w:rsidR="00D31848" w:rsidRPr="00CB360A" w:rsidP="00A26335" w14:paraId="749EEFFF" w14:textId="77777777">
            <w:pPr>
              <w:jc w:val="center"/>
              <w:rPr>
                <w:rFonts w:eastAsiaTheme="minorHAnsi"/>
                <w:lang w:eastAsia="en-US"/>
              </w:rPr>
            </w:pPr>
            <w:r w:rsidRPr="00CB360A">
              <w:rPr>
                <w:rFonts w:eastAsiaTheme="minorHAnsi"/>
                <w:lang w:eastAsia="en-US"/>
              </w:rPr>
              <w:t>0</w:t>
            </w:r>
          </w:p>
        </w:tc>
      </w:tr>
      <w:tr w14:paraId="3874E381" w14:textId="77777777" w:rsidTr="00F27703">
        <w:tblPrEx>
          <w:tblW w:w="5000" w:type="pct"/>
          <w:tblCellMar>
            <w:left w:w="0" w:type="dxa"/>
            <w:right w:w="0" w:type="dxa"/>
          </w:tblCellMar>
          <w:tblLook w:val="04A0"/>
        </w:tblPrEx>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CB360A" w:rsidP="00A26335" w14:paraId="4D6781AE" w14:textId="77777777">
            <w:pPr>
              <w:spacing w:before="100" w:beforeAutospacing="1" w:after="100" w:afterAutospacing="1" w:line="276" w:lineRule="auto"/>
            </w:pPr>
            <w:r w:rsidRPr="00CB360A">
              <w:t>5.2. speciālais budžets</w:t>
            </w:r>
          </w:p>
        </w:tc>
        <w:tc>
          <w:tcPr>
            <w:tcW w:w="498" w:type="pct"/>
            <w:vMerge/>
            <w:tcBorders>
              <w:top w:val="nil"/>
              <w:left w:val="nil"/>
              <w:bottom w:val="outset" w:sz="8" w:space="0" w:color="000000"/>
              <w:right w:val="outset" w:sz="8" w:space="0" w:color="000000"/>
            </w:tcBorders>
            <w:vAlign w:val="center"/>
            <w:hideMark/>
          </w:tcPr>
          <w:p w:rsidR="00D31848" w:rsidRPr="00CB360A" w:rsidP="00A26335" w14:paraId="16E6C748" w14:textId="77777777">
            <w:pPr>
              <w:rPr>
                <w:rFonts w:eastAsiaTheme="minorHAnsi"/>
                <w:lang w:eastAsia="en-US"/>
              </w:rPr>
            </w:pPr>
          </w:p>
        </w:tc>
        <w:tc>
          <w:tcPr>
            <w:tcW w:w="549" w:type="pct"/>
            <w:tcBorders>
              <w:top w:val="outset" w:sz="8" w:space="0" w:color="000000"/>
              <w:left w:val="nil"/>
              <w:bottom w:val="outset" w:sz="8" w:space="0" w:color="000000"/>
              <w:right w:val="outset" w:sz="8" w:space="0" w:color="000000"/>
            </w:tcBorders>
            <w:vAlign w:val="center"/>
            <w:hideMark/>
          </w:tcPr>
          <w:p w:rsidR="00D31848" w:rsidRPr="00CB360A" w:rsidP="00A26335" w14:paraId="2E77CB2E" w14:textId="77777777">
            <w:pPr>
              <w:jc w:val="center"/>
              <w:rPr>
                <w:rFonts w:eastAsiaTheme="minorHAnsi"/>
                <w:lang w:eastAsia="en-US"/>
              </w:rPr>
            </w:pPr>
            <w:r w:rsidRPr="00CB360A">
              <w:rPr>
                <w:rFonts w:eastAsiaTheme="minorHAnsi"/>
                <w:lang w:eastAsia="en-US"/>
              </w:rPr>
              <w:t>0</w:t>
            </w:r>
          </w:p>
        </w:tc>
        <w:tc>
          <w:tcPr>
            <w:tcW w:w="949" w:type="pct"/>
            <w:tcBorders>
              <w:top w:val="outset" w:sz="8" w:space="0" w:color="000000"/>
              <w:left w:val="nil"/>
              <w:bottom w:val="outset" w:sz="8" w:space="0" w:color="000000"/>
              <w:right w:val="outset" w:sz="8" w:space="0" w:color="000000"/>
            </w:tcBorders>
            <w:vAlign w:val="center"/>
            <w:hideMark/>
          </w:tcPr>
          <w:p w:rsidR="00D31848" w:rsidRPr="00CB360A" w:rsidP="00A26335" w14:paraId="44BA7C20" w14:textId="77777777">
            <w:pPr>
              <w:jc w:val="center"/>
              <w:rPr>
                <w:rFonts w:eastAsiaTheme="minorHAnsi"/>
                <w:lang w:eastAsia="en-US"/>
              </w:rPr>
            </w:pPr>
            <w:r w:rsidRPr="00CB360A">
              <w:rPr>
                <w:rFonts w:eastAsiaTheme="minorHAnsi"/>
                <w:lang w:eastAsia="en-US"/>
              </w:rPr>
              <w:t>0</w:t>
            </w:r>
          </w:p>
        </w:tc>
        <w:tc>
          <w:tcPr>
            <w:tcW w:w="940" w:type="pct"/>
            <w:tcBorders>
              <w:top w:val="outset" w:sz="8" w:space="0" w:color="000000"/>
              <w:left w:val="nil"/>
              <w:bottom w:val="outset" w:sz="8" w:space="0" w:color="000000"/>
              <w:right w:val="outset" w:sz="8" w:space="0" w:color="000000"/>
            </w:tcBorders>
            <w:vAlign w:val="center"/>
            <w:hideMark/>
          </w:tcPr>
          <w:p w:rsidR="00D31848" w:rsidRPr="00CB360A" w:rsidP="00A26335" w14:paraId="4138BE5A" w14:textId="77777777">
            <w:pPr>
              <w:jc w:val="center"/>
              <w:rPr>
                <w:rFonts w:eastAsiaTheme="minorHAnsi"/>
                <w:lang w:eastAsia="en-US"/>
              </w:rPr>
            </w:pPr>
            <w:r w:rsidRPr="00CB360A">
              <w:rPr>
                <w:rFonts w:eastAsiaTheme="minorHAnsi"/>
                <w:lang w:eastAsia="en-US"/>
              </w:rPr>
              <w:t>0</w:t>
            </w:r>
          </w:p>
        </w:tc>
        <w:tc>
          <w:tcPr>
            <w:tcW w:w="1012" w:type="pct"/>
            <w:tcBorders>
              <w:top w:val="outset" w:sz="8" w:space="0" w:color="000000"/>
              <w:left w:val="nil"/>
              <w:bottom w:val="outset" w:sz="8" w:space="0" w:color="000000"/>
              <w:right w:val="outset" w:sz="8" w:space="0" w:color="000000"/>
            </w:tcBorders>
            <w:vAlign w:val="center"/>
            <w:hideMark/>
          </w:tcPr>
          <w:p w:rsidR="00D31848" w:rsidRPr="00CB360A" w:rsidP="00A26335" w14:paraId="38EB5DA9" w14:textId="77777777">
            <w:pPr>
              <w:jc w:val="center"/>
              <w:rPr>
                <w:rFonts w:eastAsiaTheme="minorHAnsi"/>
                <w:lang w:eastAsia="en-US"/>
              </w:rPr>
            </w:pPr>
            <w:r w:rsidRPr="00CB360A">
              <w:rPr>
                <w:rFonts w:eastAsiaTheme="minorHAnsi"/>
                <w:lang w:eastAsia="en-US"/>
              </w:rPr>
              <w:t>0</w:t>
            </w:r>
          </w:p>
        </w:tc>
      </w:tr>
      <w:tr w14:paraId="06D6DCED" w14:textId="77777777" w:rsidTr="00F27703">
        <w:tblPrEx>
          <w:tblW w:w="5000" w:type="pct"/>
          <w:tblCellMar>
            <w:left w:w="0" w:type="dxa"/>
            <w:right w:w="0" w:type="dxa"/>
          </w:tblCellMar>
          <w:tblLook w:val="04A0"/>
        </w:tblPrEx>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CB360A" w:rsidP="00A26335" w14:paraId="77488DCC" w14:textId="77777777">
            <w:pPr>
              <w:spacing w:before="100" w:beforeAutospacing="1" w:after="100" w:afterAutospacing="1" w:line="276" w:lineRule="auto"/>
            </w:pPr>
            <w:r w:rsidRPr="00CB360A">
              <w:t>5.3. pašvaldību budžets</w:t>
            </w:r>
          </w:p>
        </w:tc>
        <w:tc>
          <w:tcPr>
            <w:tcW w:w="498" w:type="pct"/>
            <w:vMerge/>
            <w:tcBorders>
              <w:top w:val="nil"/>
              <w:left w:val="nil"/>
              <w:bottom w:val="outset" w:sz="8" w:space="0" w:color="000000"/>
              <w:right w:val="outset" w:sz="8" w:space="0" w:color="000000"/>
            </w:tcBorders>
            <w:vAlign w:val="center"/>
            <w:hideMark/>
          </w:tcPr>
          <w:p w:rsidR="00D31848" w:rsidRPr="00CB360A" w:rsidP="00A26335" w14:paraId="3574C552" w14:textId="77777777">
            <w:pPr>
              <w:rPr>
                <w:rFonts w:eastAsiaTheme="minorHAnsi"/>
                <w:lang w:eastAsia="en-US"/>
              </w:rPr>
            </w:pPr>
          </w:p>
        </w:tc>
        <w:tc>
          <w:tcPr>
            <w:tcW w:w="549" w:type="pct"/>
            <w:tcBorders>
              <w:top w:val="outset" w:sz="8" w:space="0" w:color="000000"/>
              <w:left w:val="nil"/>
              <w:bottom w:val="outset" w:sz="8" w:space="0" w:color="000000"/>
              <w:right w:val="outset" w:sz="8" w:space="0" w:color="000000"/>
            </w:tcBorders>
            <w:vAlign w:val="center"/>
            <w:hideMark/>
          </w:tcPr>
          <w:p w:rsidR="00D31848" w:rsidRPr="00CB360A" w:rsidP="00A26335" w14:paraId="5BC29827" w14:textId="77777777">
            <w:pPr>
              <w:jc w:val="center"/>
              <w:rPr>
                <w:rFonts w:eastAsiaTheme="minorHAnsi"/>
                <w:lang w:eastAsia="en-US"/>
              </w:rPr>
            </w:pPr>
            <w:r w:rsidRPr="00CB360A">
              <w:rPr>
                <w:rFonts w:eastAsiaTheme="minorHAnsi"/>
                <w:lang w:eastAsia="en-US"/>
              </w:rPr>
              <w:t>0</w:t>
            </w:r>
          </w:p>
        </w:tc>
        <w:tc>
          <w:tcPr>
            <w:tcW w:w="949" w:type="pct"/>
            <w:tcBorders>
              <w:top w:val="outset" w:sz="8" w:space="0" w:color="000000"/>
              <w:left w:val="nil"/>
              <w:bottom w:val="outset" w:sz="8" w:space="0" w:color="000000"/>
              <w:right w:val="outset" w:sz="8" w:space="0" w:color="000000"/>
            </w:tcBorders>
            <w:vAlign w:val="center"/>
            <w:hideMark/>
          </w:tcPr>
          <w:p w:rsidR="00D31848" w:rsidRPr="00CB360A" w:rsidP="00A26335" w14:paraId="5354074E" w14:textId="77777777">
            <w:pPr>
              <w:jc w:val="center"/>
              <w:rPr>
                <w:rFonts w:eastAsiaTheme="minorHAnsi"/>
                <w:lang w:eastAsia="en-US"/>
              </w:rPr>
            </w:pPr>
            <w:r w:rsidRPr="00CB360A">
              <w:rPr>
                <w:rFonts w:eastAsiaTheme="minorHAnsi"/>
                <w:lang w:eastAsia="en-US"/>
              </w:rPr>
              <w:t>0</w:t>
            </w:r>
          </w:p>
        </w:tc>
        <w:tc>
          <w:tcPr>
            <w:tcW w:w="940" w:type="pct"/>
            <w:tcBorders>
              <w:top w:val="outset" w:sz="8" w:space="0" w:color="000000"/>
              <w:left w:val="nil"/>
              <w:bottom w:val="outset" w:sz="8" w:space="0" w:color="000000"/>
              <w:right w:val="outset" w:sz="8" w:space="0" w:color="000000"/>
            </w:tcBorders>
            <w:vAlign w:val="center"/>
            <w:hideMark/>
          </w:tcPr>
          <w:p w:rsidR="00D31848" w:rsidRPr="00CB360A" w:rsidP="00A26335" w14:paraId="59A90DD5" w14:textId="77777777">
            <w:pPr>
              <w:jc w:val="center"/>
              <w:rPr>
                <w:rFonts w:eastAsiaTheme="minorHAnsi"/>
                <w:lang w:eastAsia="en-US"/>
              </w:rPr>
            </w:pPr>
            <w:r w:rsidRPr="00CB360A">
              <w:rPr>
                <w:rFonts w:eastAsiaTheme="minorHAnsi"/>
                <w:lang w:eastAsia="en-US"/>
              </w:rPr>
              <w:t>0</w:t>
            </w:r>
          </w:p>
        </w:tc>
        <w:tc>
          <w:tcPr>
            <w:tcW w:w="1012" w:type="pct"/>
            <w:tcBorders>
              <w:top w:val="outset" w:sz="8" w:space="0" w:color="000000"/>
              <w:left w:val="nil"/>
              <w:bottom w:val="outset" w:sz="8" w:space="0" w:color="000000"/>
              <w:right w:val="outset" w:sz="8" w:space="0" w:color="000000"/>
            </w:tcBorders>
            <w:vAlign w:val="center"/>
            <w:hideMark/>
          </w:tcPr>
          <w:p w:rsidR="00D31848" w:rsidRPr="00CB360A" w:rsidP="00A26335" w14:paraId="45847DB2" w14:textId="77777777">
            <w:pPr>
              <w:jc w:val="center"/>
              <w:rPr>
                <w:rFonts w:eastAsiaTheme="minorHAnsi"/>
                <w:lang w:eastAsia="en-US"/>
              </w:rPr>
            </w:pPr>
            <w:r w:rsidRPr="00CB360A">
              <w:rPr>
                <w:rFonts w:eastAsiaTheme="minorHAnsi"/>
                <w:lang w:eastAsia="en-US"/>
              </w:rPr>
              <w:t>0</w:t>
            </w:r>
          </w:p>
        </w:tc>
      </w:tr>
      <w:tr w14:paraId="6D125608" w14:textId="77777777" w:rsidTr="008E6501">
        <w:tblPrEx>
          <w:tblW w:w="5000" w:type="pct"/>
          <w:tblCellMar>
            <w:left w:w="0" w:type="dxa"/>
            <w:right w:w="0" w:type="dxa"/>
          </w:tblCellMar>
          <w:tblLook w:val="04A0"/>
        </w:tblPrEx>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B719EB" w:rsidP="00587225" w14:paraId="7BE6199B" w14:textId="77777777">
            <w:pPr>
              <w:jc w:val="both"/>
            </w:pPr>
            <w:r w:rsidRPr="00B719EB">
              <w:t>6. Detalizēts ieņēmumu un izdevu</w:t>
            </w:r>
            <w:r w:rsidRPr="00B719EB">
              <w:softHyphen/>
              <w:t>mu aprēķins (ja nepieciešams, detalizētu ieņēmumu un izdevumu aprēķinu var pievienot anotācijas pielikumā):</w:t>
            </w:r>
          </w:p>
        </w:tc>
        <w:tc>
          <w:tcPr>
            <w:tcW w:w="3948" w:type="pct"/>
            <w:gridSpan w:val="5"/>
            <w:vMerge w:val="restart"/>
            <w:tcBorders>
              <w:top w:val="nil"/>
              <w:left w:val="nil"/>
              <w:bottom w:val="outset" w:sz="8" w:space="0" w:color="000000"/>
              <w:right w:val="outset" w:sz="8" w:space="0" w:color="000000"/>
            </w:tcBorders>
            <w:tcMar>
              <w:top w:w="30" w:type="dxa"/>
              <w:left w:w="30" w:type="dxa"/>
              <w:bottom w:w="30" w:type="dxa"/>
              <w:right w:w="30" w:type="dxa"/>
            </w:tcMar>
          </w:tcPr>
          <w:p w:rsidR="008E6501" w:rsidRPr="00344208" w:rsidP="008E6501" w14:paraId="10E99211" w14:textId="68D60AAE">
            <w:pPr>
              <w:pStyle w:val="CommentText"/>
              <w:jc w:val="both"/>
              <w:rPr>
                <w:sz w:val="24"/>
                <w:szCs w:val="24"/>
                <w:u w:val="single"/>
                <w:lang w:eastAsia="en-US"/>
              </w:rPr>
            </w:pPr>
            <w:r w:rsidRPr="008E6501">
              <w:rPr>
                <w:sz w:val="24"/>
                <w:szCs w:val="24"/>
                <w:u w:val="single"/>
                <w:lang w:eastAsia="en-US"/>
              </w:rPr>
              <w:t>Detalizēts izdevumu apraksts:</w:t>
            </w:r>
          </w:p>
          <w:p w:rsidR="007F274F" w:rsidP="008E6501" w14:paraId="41D15A5D" w14:textId="745D1FE0">
            <w:pPr>
              <w:pStyle w:val="CommentText"/>
              <w:jc w:val="both"/>
              <w:rPr>
                <w:sz w:val="24"/>
                <w:szCs w:val="24"/>
                <w:lang w:eastAsia="en-US"/>
              </w:rPr>
            </w:pPr>
            <w:r>
              <w:rPr>
                <w:b/>
                <w:sz w:val="24"/>
                <w:szCs w:val="24"/>
                <w:lang w:eastAsia="en-US"/>
              </w:rPr>
              <w:t>1. </w:t>
            </w:r>
            <w:r w:rsidR="003A5E2A">
              <w:rPr>
                <w:b/>
                <w:sz w:val="24"/>
                <w:szCs w:val="24"/>
                <w:lang w:eastAsia="en-US"/>
              </w:rPr>
              <w:t>2018.</w:t>
            </w:r>
            <w:r w:rsidR="00BB4B7B">
              <w:rPr>
                <w:b/>
                <w:sz w:val="24"/>
                <w:szCs w:val="24"/>
                <w:lang w:eastAsia="en-US"/>
              </w:rPr>
              <w:t> </w:t>
            </w:r>
            <w:r w:rsidR="003A5E2A">
              <w:rPr>
                <w:b/>
                <w:sz w:val="24"/>
                <w:szCs w:val="24"/>
                <w:lang w:eastAsia="en-US"/>
              </w:rPr>
              <w:t>gad</w:t>
            </w:r>
            <w:r w:rsidR="008D0A88">
              <w:rPr>
                <w:b/>
                <w:sz w:val="24"/>
                <w:szCs w:val="24"/>
                <w:lang w:eastAsia="en-US"/>
              </w:rPr>
              <w:t>s</w:t>
            </w:r>
            <w:r w:rsidR="003A5E2A">
              <w:rPr>
                <w:b/>
                <w:sz w:val="24"/>
                <w:szCs w:val="24"/>
                <w:lang w:eastAsia="en-US"/>
              </w:rPr>
              <w:t xml:space="preserve"> - </w:t>
            </w:r>
            <w:r w:rsidRPr="008E6501" w:rsidR="007B0846">
              <w:rPr>
                <w:b/>
                <w:sz w:val="24"/>
                <w:szCs w:val="24"/>
                <w:lang w:eastAsia="en-US"/>
              </w:rPr>
              <w:t xml:space="preserve">Gaisu piesārņojošo vielu emisiju </w:t>
            </w:r>
            <w:r>
              <w:rPr>
                <w:b/>
                <w:sz w:val="24"/>
                <w:szCs w:val="24"/>
                <w:lang w:eastAsia="en-US"/>
              </w:rPr>
              <w:t>samazināšanas</w:t>
            </w:r>
            <w:r w:rsidRPr="008E6501">
              <w:rPr>
                <w:b/>
                <w:sz w:val="24"/>
                <w:szCs w:val="24"/>
                <w:lang w:eastAsia="en-US"/>
              </w:rPr>
              <w:t xml:space="preserve"> </w:t>
            </w:r>
            <w:r>
              <w:rPr>
                <w:b/>
                <w:sz w:val="24"/>
                <w:szCs w:val="24"/>
                <w:lang w:eastAsia="en-US"/>
              </w:rPr>
              <w:t xml:space="preserve">plāna </w:t>
            </w:r>
            <w:r>
              <w:rPr>
                <w:b/>
                <w:sz w:val="24"/>
                <w:szCs w:val="24"/>
                <w:lang w:eastAsia="en-US"/>
              </w:rPr>
              <w:t>2020.</w:t>
            </w:r>
            <w:r w:rsidR="009A65BA">
              <w:rPr>
                <w:b/>
                <w:sz w:val="24"/>
                <w:szCs w:val="24"/>
                <w:lang w:eastAsia="en-US"/>
              </w:rPr>
              <w:t xml:space="preserve"> </w:t>
            </w:r>
            <w:r>
              <w:rPr>
                <w:b/>
                <w:sz w:val="24"/>
                <w:szCs w:val="24"/>
                <w:lang w:eastAsia="en-US"/>
              </w:rPr>
              <w:t>-</w:t>
            </w:r>
            <w:r w:rsidR="009A65BA">
              <w:rPr>
                <w:b/>
                <w:sz w:val="24"/>
                <w:szCs w:val="24"/>
                <w:lang w:eastAsia="en-US"/>
              </w:rPr>
              <w:t xml:space="preserve"> </w:t>
            </w:r>
            <w:r>
              <w:rPr>
                <w:b/>
                <w:sz w:val="24"/>
                <w:szCs w:val="24"/>
                <w:lang w:eastAsia="en-US"/>
              </w:rPr>
              <w:t xml:space="preserve">2030.gadam izstrāde. </w:t>
            </w:r>
            <w:r w:rsidRPr="008E6501">
              <w:rPr>
                <w:sz w:val="24"/>
                <w:szCs w:val="24"/>
                <w:lang w:eastAsia="en-US"/>
              </w:rPr>
              <w:t>Izstrāde jāuzsāk</w:t>
            </w:r>
            <w:r w:rsidR="00572575">
              <w:rPr>
                <w:sz w:val="24"/>
                <w:szCs w:val="24"/>
                <w:lang w:eastAsia="en-US"/>
              </w:rPr>
              <w:t xml:space="preserve"> </w:t>
            </w:r>
            <w:r w:rsidR="008D0A88">
              <w:rPr>
                <w:sz w:val="24"/>
                <w:szCs w:val="24"/>
                <w:lang w:eastAsia="en-US"/>
              </w:rPr>
              <w:t>pēc iespējas ātrāk</w:t>
            </w:r>
            <w:r w:rsidRPr="008E6501">
              <w:rPr>
                <w:sz w:val="24"/>
                <w:szCs w:val="24"/>
                <w:lang w:eastAsia="en-US"/>
              </w:rPr>
              <w:t xml:space="preserve">, lai līdz 2019.gada aprīlim </w:t>
            </w:r>
            <w:r w:rsidR="004F24DC">
              <w:rPr>
                <w:sz w:val="24"/>
                <w:szCs w:val="24"/>
                <w:lang w:eastAsia="en-US"/>
              </w:rPr>
              <w:t xml:space="preserve">to </w:t>
            </w:r>
            <w:r w:rsidRPr="008E6501">
              <w:rPr>
                <w:sz w:val="24"/>
                <w:szCs w:val="24"/>
                <w:lang w:eastAsia="en-US"/>
              </w:rPr>
              <w:t>var iesniegt</w:t>
            </w:r>
            <w:r w:rsidRPr="008E6501" w:rsidR="007B0846">
              <w:rPr>
                <w:sz w:val="24"/>
                <w:szCs w:val="24"/>
                <w:lang w:eastAsia="en-US"/>
              </w:rPr>
              <w:t xml:space="preserve"> E</w:t>
            </w:r>
            <w:r w:rsidRPr="008E6501">
              <w:rPr>
                <w:sz w:val="24"/>
                <w:szCs w:val="24"/>
                <w:lang w:eastAsia="en-US"/>
              </w:rPr>
              <w:t xml:space="preserve">iropas </w:t>
            </w:r>
            <w:r w:rsidRPr="008E6501" w:rsidR="007B0846">
              <w:rPr>
                <w:sz w:val="24"/>
                <w:szCs w:val="24"/>
                <w:lang w:eastAsia="en-US"/>
              </w:rPr>
              <w:t>K</w:t>
            </w:r>
            <w:r w:rsidRPr="008E6501">
              <w:rPr>
                <w:sz w:val="24"/>
                <w:szCs w:val="24"/>
                <w:lang w:eastAsia="en-US"/>
              </w:rPr>
              <w:t xml:space="preserve">omisijai. </w:t>
            </w:r>
            <w:r>
              <w:rPr>
                <w:sz w:val="24"/>
                <w:szCs w:val="24"/>
                <w:lang w:eastAsia="en-US"/>
              </w:rPr>
              <w:t>Plāns</w:t>
            </w:r>
            <w:r w:rsidRPr="008E6501">
              <w:rPr>
                <w:sz w:val="24"/>
                <w:szCs w:val="24"/>
                <w:lang w:eastAsia="en-US"/>
              </w:rPr>
              <w:t xml:space="preserve"> </w:t>
            </w:r>
            <w:r w:rsidRPr="008E6501" w:rsidR="007B0846">
              <w:rPr>
                <w:sz w:val="24"/>
                <w:szCs w:val="24"/>
                <w:lang w:eastAsia="en-US"/>
              </w:rPr>
              <w:t>jāaktualizē ik pēc 4 gadiem.</w:t>
            </w:r>
            <w:r w:rsidR="006137FC">
              <w:rPr>
                <w:sz w:val="24"/>
                <w:szCs w:val="24"/>
                <w:lang w:eastAsia="en-US"/>
              </w:rPr>
              <w:t xml:space="preserve"> </w:t>
            </w:r>
          </w:p>
          <w:p w:rsidR="008E6501" w:rsidP="008E6501" w14:paraId="1C1B6A7D" w14:textId="0AC1A7F4">
            <w:pPr>
              <w:pStyle w:val="CommentText"/>
              <w:jc w:val="both"/>
              <w:rPr>
                <w:sz w:val="24"/>
                <w:szCs w:val="24"/>
                <w:lang w:eastAsia="en-US"/>
              </w:rPr>
            </w:pPr>
            <w:r w:rsidRPr="00D33719">
              <w:rPr>
                <w:sz w:val="24"/>
                <w:szCs w:val="24"/>
                <w:lang w:eastAsia="en-US"/>
              </w:rPr>
              <w:t>VARAM plāna izstrādi organizēs kā ārpakalpojumu. Lai</w:t>
            </w:r>
            <w:r>
              <w:rPr>
                <w:sz w:val="24"/>
                <w:szCs w:val="24"/>
                <w:lang w:eastAsia="en-US"/>
              </w:rPr>
              <w:t xml:space="preserve"> noskaidrotu plāna izstrādei nepieciešamo finansējumu VARAM organizēja cenu aptauju, lai noskaidrotu par kādu summu vides konsultāciju firmas būtu gatavas veikt šādas programmas izstrādi. Tika noskaidrots, ka n</w:t>
            </w:r>
            <w:r>
              <w:rPr>
                <w:sz w:val="24"/>
                <w:szCs w:val="24"/>
                <w:lang w:eastAsia="en-US"/>
              </w:rPr>
              <w:t>epieciešamais finansējums</w:t>
            </w:r>
            <w:r w:rsidR="00572575">
              <w:rPr>
                <w:sz w:val="24"/>
                <w:szCs w:val="24"/>
                <w:lang w:eastAsia="en-US"/>
              </w:rPr>
              <w:t xml:space="preserve"> 2018.gadā </w:t>
            </w:r>
            <w:r>
              <w:rPr>
                <w:sz w:val="24"/>
                <w:szCs w:val="24"/>
                <w:lang w:eastAsia="en-US"/>
              </w:rPr>
              <w:t>varētu būt ~</w:t>
            </w:r>
            <w:r w:rsidR="009F70CC">
              <w:rPr>
                <w:sz w:val="24"/>
                <w:szCs w:val="24"/>
                <w:lang w:eastAsia="en-US"/>
              </w:rPr>
              <w:t xml:space="preserve"> </w:t>
            </w:r>
            <w:r w:rsidRPr="00572575" w:rsidR="00572575">
              <w:rPr>
                <w:b/>
                <w:sz w:val="24"/>
                <w:szCs w:val="24"/>
                <w:lang w:eastAsia="en-US"/>
              </w:rPr>
              <w:t>100 000 EUR</w:t>
            </w:r>
            <w:r>
              <w:rPr>
                <w:b/>
                <w:sz w:val="24"/>
                <w:szCs w:val="24"/>
                <w:lang w:eastAsia="en-US"/>
              </w:rPr>
              <w:t xml:space="preserve"> </w:t>
            </w:r>
            <w:r w:rsidRPr="007F274F">
              <w:rPr>
                <w:sz w:val="24"/>
                <w:szCs w:val="24"/>
                <w:u w:val="single"/>
                <w:lang w:eastAsia="en-US"/>
              </w:rPr>
              <w:t>un tas</w:t>
            </w:r>
            <w:r w:rsidRPr="007F274F">
              <w:rPr>
                <w:sz w:val="24"/>
                <w:szCs w:val="24"/>
                <w:u w:val="single"/>
                <w:lang w:eastAsia="en-US"/>
              </w:rPr>
              <w:t xml:space="preserve"> ietver</w:t>
            </w:r>
            <w:r>
              <w:rPr>
                <w:sz w:val="24"/>
                <w:szCs w:val="24"/>
                <w:lang w:eastAsia="en-US"/>
              </w:rPr>
              <w:t xml:space="preserve"> šādas izmaksu pozīcijas:</w:t>
            </w:r>
          </w:p>
          <w:p w:rsidR="008E6501" w:rsidP="008E6501" w14:paraId="1B1211E1" w14:textId="75E9169F">
            <w:pPr>
              <w:pStyle w:val="CommentText"/>
              <w:jc w:val="both"/>
              <w:rPr>
                <w:sz w:val="24"/>
                <w:szCs w:val="24"/>
                <w:lang w:eastAsia="en-US"/>
              </w:rPr>
            </w:pPr>
            <w:r>
              <w:rPr>
                <w:sz w:val="24"/>
                <w:szCs w:val="24"/>
                <w:lang w:eastAsia="en-US"/>
              </w:rPr>
              <w:t xml:space="preserve">- emisiju aprēķins un emisiju prognožu izstrāde dažādiem </w:t>
            </w:r>
            <w:r w:rsidRPr="00D33719">
              <w:rPr>
                <w:sz w:val="24"/>
                <w:szCs w:val="24"/>
                <w:lang w:eastAsia="en-US"/>
              </w:rPr>
              <w:t xml:space="preserve">scenārijiem – </w:t>
            </w:r>
            <w:r w:rsidRPr="00D33719" w:rsidR="00BF680B">
              <w:rPr>
                <w:sz w:val="24"/>
                <w:szCs w:val="24"/>
                <w:lang w:eastAsia="en-US"/>
              </w:rPr>
              <w:t xml:space="preserve">24 000 </w:t>
            </w:r>
            <w:r w:rsidRPr="00D33719">
              <w:rPr>
                <w:sz w:val="24"/>
                <w:szCs w:val="24"/>
                <w:lang w:eastAsia="en-US"/>
              </w:rPr>
              <w:t>EUR;</w:t>
            </w:r>
          </w:p>
          <w:p w:rsidR="008E6501" w:rsidP="008E6501" w14:paraId="4657CAD0" w14:textId="5E944EFC">
            <w:pPr>
              <w:pStyle w:val="CommentText"/>
              <w:jc w:val="both"/>
              <w:rPr>
                <w:sz w:val="24"/>
                <w:szCs w:val="24"/>
                <w:lang w:eastAsia="en-US"/>
              </w:rPr>
            </w:pPr>
            <w:r>
              <w:rPr>
                <w:sz w:val="24"/>
                <w:szCs w:val="24"/>
                <w:lang w:eastAsia="en-US"/>
              </w:rPr>
              <w:t>- iegūto emisijas aprēķinu izvērtējums un pro</w:t>
            </w:r>
            <w:r w:rsidR="006B7916">
              <w:rPr>
                <w:sz w:val="24"/>
                <w:szCs w:val="24"/>
                <w:lang w:eastAsia="en-US"/>
              </w:rPr>
              <w:t xml:space="preserve">blemātisko mērķu identificēšana </w:t>
            </w:r>
            <w:r w:rsidR="0023319A">
              <w:rPr>
                <w:sz w:val="24"/>
                <w:szCs w:val="24"/>
                <w:lang w:eastAsia="en-US"/>
              </w:rPr>
              <w:t xml:space="preserve">- </w:t>
            </w:r>
            <w:r w:rsidRPr="0023319A" w:rsidR="0023319A">
              <w:rPr>
                <w:sz w:val="24"/>
                <w:szCs w:val="24"/>
                <w:lang w:eastAsia="en-US"/>
              </w:rPr>
              <w:t>15 000 EUR;</w:t>
            </w:r>
          </w:p>
          <w:p w:rsidR="008E6501" w:rsidP="008E6501" w14:paraId="00729200" w14:textId="38D3F920">
            <w:pPr>
              <w:pStyle w:val="CommentText"/>
              <w:jc w:val="both"/>
              <w:rPr>
                <w:sz w:val="24"/>
                <w:szCs w:val="24"/>
                <w:lang w:eastAsia="en-US"/>
              </w:rPr>
            </w:pPr>
            <w:r>
              <w:rPr>
                <w:sz w:val="24"/>
                <w:szCs w:val="24"/>
                <w:lang w:eastAsia="en-US"/>
              </w:rPr>
              <w:t>- rīcības programmas izstrāde – 15 000 EUR;</w:t>
            </w:r>
          </w:p>
          <w:p w:rsidR="008E6501" w:rsidP="008E6501" w14:paraId="70B8359C" w14:textId="716A1248">
            <w:pPr>
              <w:pStyle w:val="CommentText"/>
              <w:jc w:val="both"/>
              <w:rPr>
                <w:sz w:val="24"/>
                <w:szCs w:val="24"/>
                <w:lang w:eastAsia="en-US"/>
              </w:rPr>
            </w:pPr>
            <w:r>
              <w:rPr>
                <w:sz w:val="24"/>
                <w:szCs w:val="24"/>
                <w:lang w:eastAsia="en-US"/>
              </w:rPr>
              <w:t>- noteikto emisijas mērķu sasniegšanas pasākumu (efektivitātes izvērtējums, izmaksu novērtējums, atbildīgo institūciju identificēšana)</w:t>
            </w:r>
            <w:r w:rsidR="00F41617">
              <w:rPr>
                <w:sz w:val="24"/>
                <w:szCs w:val="24"/>
                <w:lang w:eastAsia="en-US"/>
              </w:rPr>
              <w:t xml:space="preserve"> – 13 000 EUR;</w:t>
            </w:r>
          </w:p>
          <w:p w:rsidR="00F41617" w:rsidP="008E6501" w14:paraId="37090FAD" w14:textId="17B74022">
            <w:pPr>
              <w:pStyle w:val="CommentText"/>
              <w:jc w:val="both"/>
              <w:rPr>
                <w:sz w:val="24"/>
                <w:szCs w:val="24"/>
                <w:lang w:eastAsia="en-US"/>
              </w:rPr>
            </w:pPr>
            <w:r>
              <w:rPr>
                <w:sz w:val="24"/>
                <w:szCs w:val="24"/>
                <w:lang w:eastAsia="en-US"/>
              </w:rPr>
              <w:t>- ierosinājumu izstrādāšana aprēķinu datu un izmantoto metodiku uzlabošanai, lai varētu novērtēt veicamo pasākumu devumu gaisa piesārņojuma samazināšanā. Pasākumu identificēšana, kas palīdzētu uzlabot es</w:t>
            </w:r>
            <w:r w:rsidR="00A15DD4">
              <w:rPr>
                <w:sz w:val="24"/>
                <w:szCs w:val="24"/>
                <w:lang w:eastAsia="en-US"/>
              </w:rPr>
              <w:t>ošo datu kvalitāti – 10 000 EUR;</w:t>
            </w:r>
          </w:p>
          <w:p w:rsidR="00F41617" w:rsidP="008E6501" w14:paraId="43A13AA1" w14:textId="3D56DC27">
            <w:pPr>
              <w:pStyle w:val="CommentText"/>
              <w:jc w:val="both"/>
              <w:rPr>
                <w:sz w:val="24"/>
                <w:szCs w:val="24"/>
                <w:lang w:eastAsia="en-US"/>
              </w:rPr>
            </w:pPr>
            <w:r>
              <w:rPr>
                <w:sz w:val="24"/>
                <w:szCs w:val="24"/>
                <w:lang w:eastAsia="en-US"/>
              </w:rPr>
              <w:t xml:space="preserve">- izstrādātās rīcības programmas prezentācija citām iesaistītajām ministrijām un institūcijām, dalības nodrošināšana darba grupās, sadarbība rīcības programmas </w:t>
            </w:r>
            <w:r w:rsidR="00A15DD4">
              <w:rPr>
                <w:sz w:val="24"/>
                <w:szCs w:val="24"/>
                <w:lang w:eastAsia="en-US"/>
              </w:rPr>
              <w:t>saskaņošanas procesā – 2000 EUR;</w:t>
            </w:r>
          </w:p>
          <w:p w:rsidR="000F5840" w:rsidRPr="00D33719" w:rsidP="008E6501" w14:paraId="3B8FB75D" w14:textId="4254E9DF">
            <w:pPr>
              <w:pStyle w:val="CommentText"/>
              <w:jc w:val="both"/>
              <w:rPr>
                <w:sz w:val="24"/>
                <w:szCs w:val="24"/>
                <w:lang w:eastAsia="en-US"/>
              </w:rPr>
            </w:pPr>
            <w:r>
              <w:rPr>
                <w:sz w:val="24"/>
                <w:szCs w:val="24"/>
                <w:lang w:eastAsia="en-US"/>
              </w:rPr>
              <w:t xml:space="preserve">- pievienotās vērtības nodoklis 21 % apmērā </w:t>
            </w:r>
            <w:r w:rsidR="00587225">
              <w:rPr>
                <w:sz w:val="24"/>
                <w:szCs w:val="24"/>
                <w:lang w:eastAsia="en-US"/>
              </w:rPr>
              <w:t>–</w:t>
            </w:r>
            <w:r>
              <w:rPr>
                <w:sz w:val="24"/>
                <w:szCs w:val="24"/>
                <w:lang w:eastAsia="en-US"/>
              </w:rPr>
              <w:t xml:space="preserve"> </w:t>
            </w:r>
            <w:r w:rsidRPr="00D33719" w:rsidR="00BF680B">
              <w:rPr>
                <w:sz w:val="24"/>
                <w:szCs w:val="24"/>
                <w:lang w:eastAsia="en-US"/>
              </w:rPr>
              <w:t xml:space="preserve">21 000 </w:t>
            </w:r>
            <w:r w:rsidRPr="00D33719" w:rsidR="00587225">
              <w:rPr>
                <w:sz w:val="24"/>
                <w:szCs w:val="24"/>
                <w:lang w:eastAsia="en-US"/>
              </w:rPr>
              <w:t>EUR.</w:t>
            </w:r>
            <w:r w:rsidRPr="00D33719" w:rsidR="00833EC4">
              <w:rPr>
                <w:sz w:val="24"/>
                <w:szCs w:val="24"/>
                <w:lang w:eastAsia="en-US"/>
              </w:rPr>
              <w:t xml:space="preserve"> </w:t>
            </w:r>
          </w:p>
          <w:p w:rsidR="00BB4B7B" w:rsidRPr="007B0846" w:rsidP="008E6501" w14:paraId="339CC19F" w14:textId="77777777">
            <w:pPr>
              <w:pStyle w:val="CommentText"/>
              <w:jc w:val="both"/>
              <w:rPr>
                <w:sz w:val="24"/>
                <w:szCs w:val="24"/>
                <w:lang w:eastAsia="en-US"/>
              </w:rPr>
            </w:pPr>
          </w:p>
          <w:p w:rsidR="007317BA" w:rsidP="00557059" w14:paraId="556B2962" w14:textId="77777777">
            <w:pPr>
              <w:pStyle w:val="CommentText"/>
              <w:jc w:val="both"/>
              <w:rPr>
                <w:sz w:val="24"/>
                <w:szCs w:val="24"/>
                <w:lang w:eastAsia="en-US"/>
              </w:rPr>
            </w:pPr>
            <w:r>
              <w:rPr>
                <w:b/>
                <w:sz w:val="24"/>
                <w:szCs w:val="24"/>
                <w:lang w:eastAsia="en-US"/>
              </w:rPr>
              <w:t>2</w:t>
            </w:r>
            <w:r w:rsidRPr="00232943" w:rsidR="007B0846">
              <w:rPr>
                <w:b/>
                <w:sz w:val="24"/>
                <w:szCs w:val="24"/>
                <w:lang w:eastAsia="en-US"/>
              </w:rPr>
              <w:t>.</w:t>
            </w:r>
            <w:r w:rsidR="00232943">
              <w:rPr>
                <w:sz w:val="24"/>
                <w:szCs w:val="24"/>
                <w:lang w:eastAsia="en-US"/>
              </w:rPr>
              <w:t> </w:t>
            </w:r>
            <w:r>
              <w:rPr>
                <w:b/>
                <w:sz w:val="24"/>
                <w:szCs w:val="24"/>
                <w:lang w:eastAsia="en-US"/>
              </w:rPr>
              <w:t>2019.</w:t>
            </w:r>
            <w:r w:rsidR="009F70CC">
              <w:rPr>
                <w:b/>
                <w:sz w:val="24"/>
                <w:szCs w:val="24"/>
                <w:lang w:eastAsia="en-US"/>
              </w:rPr>
              <w:t> </w:t>
            </w:r>
            <w:r>
              <w:rPr>
                <w:b/>
                <w:sz w:val="24"/>
                <w:szCs w:val="24"/>
                <w:lang w:eastAsia="en-US"/>
              </w:rPr>
              <w:t>gad</w:t>
            </w:r>
            <w:r w:rsidR="009F70CC">
              <w:rPr>
                <w:b/>
                <w:sz w:val="24"/>
                <w:szCs w:val="24"/>
                <w:lang w:eastAsia="en-US"/>
              </w:rPr>
              <w:t>s</w:t>
            </w:r>
            <w:r>
              <w:rPr>
                <w:b/>
                <w:sz w:val="24"/>
                <w:szCs w:val="24"/>
                <w:lang w:eastAsia="en-US"/>
              </w:rPr>
              <w:t xml:space="preserve"> -</w:t>
            </w:r>
            <w:r w:rsidRPr="00232943">
              <w:rPr>
                <w:b/>
                <w:sz w:val="24"/>
                <w:szCs w:val="24"/>
                <w:lang w:eastAsia="en-US"/>
              </w:rPr>
              <w:t xml:space="preserve"> </w:t>
            </w:r>
            <w:r w:rsidRPr="00232943" w:rsidR="007B0846">
              <w:rPr>
                <w:b/>
                <w:sz w:val="24"/>
                <w:szCs w:val="24"/>
                <w:lang w:eastAsia="en-US"/>
              </w:rPr>
              <w:t>Gaisu piesārņojošo vie</w:t>
            </w:r>
            <w:r w:rsidRPr="00232943" w:rsidR="008F7B18">
              <w:rPr>
                <w:b/>
                <w:sz w:val="24"/>
                <w:szCs w:val="24"/>
                <w:lang w:eastAsia="en-US"/>
              </w:rPr>
              <w:t>lu emisijas prognožu izstrāde</w:t>
            </w:r>
            <w:r w:rsidR="00650591">
              <w:rPr>
                <w:sz w:val="24"/>
                <w:szCs w:val="24"/>
                <w:lang w:eastAsia="en-US"/>
              </w:rPr>
              <w:t>. </w:t>
            </w:r>
            <w:r w:rsidRPr="007B0846" w:rsidR="007B0846">
              <w:rPr>
                <w:sz w:val="24"/>
                <w:szCs w:val="24"/>
                <w:lang w:eastAsia="en-US"/>
              </w:rPr>
              <w:t>Šobrīd prognozes ir jāgatavo tikai reizi 5 gados, bet jaunā direktīva nosaka, ka tas jādara reizi 2 gados.</w:t>
            </w:r>
            <w:r w:rsidR="008F5A5F">
              <w:rPr>
                <w:sz w:val="24"/>
                <w:szCs w:val="24"/>
                <w:lang w:eastAsia="en-US"/>
              </w:rPr>
              <w:t xml:space="preserve"> </w:t>
            </w:r>
            <w:r w:rsidR="00572575">
              <w:rPr>
                <w:sz w:val="24"/>
                <w:szCs w:val="24"/>
                <w:lang w:eastAsia="en-US"/>
              </w:rPr>
              <w:t>Nākošā p</w:t>
            </w:r>
            <w:r w:rsidR="008F5A5F">
              <w:rPr>
                <w:sz w:val="24"/>
                <w:szCs w:val="24"/>
                <w:lang w:eastAsia="en-US"/>
              </w:rPr>
              <w:t xml:space="preserve">rognožu </w:t>
            </w:r>
            <w:r w:rsidR="00B13BE0">
              <w:rPr>
                <w:sz w:val="24"/>
                <w:szCs w:val="24"/>
                <w:lang w:eastAsia="en-US"/>
              </w:rPr>
              <w:t>izstrāde</w:t>
            </w:r>
            <w:r w:rsidR="00572575">
              <w:rPr>
                <w:sz w:val="24"/>
                <w:szCs w:val="24"/>
                <w:lang w:eastAsia="en-US"/>
              </w:rPr>
              <w:t xml:space="preserve"> jāveic 2019.gadā un</w:t>
            </w:r>
            <w:r w:rsidR="00B13BE0">
              <w:rPr>
                <w:sz w:val="24"/>
                <w:szCs w:val="24"/>
                <w:lang w:eastAsia="en-US"/>
              </w:rPr>
              <w:t xml:space="preserve"> izmaksas</w:t>
            </w:r>
            <w:r w:rsidR="00572575">
              <w:rPr>
                <w:sz w:val="24"/>
                <w:szCs w:val="24"/>
                <w:lang w:eastAsia="en-US"/>
              </w:rPr>
              <w:t xml:space="preserve"> sastāda</w:t>
            </w:r>
            <w:r w:rsidR="00B13BE0">
              <w:rPr>
                <w:sz w:val="24"/>
                <w:szCs w:val="24"/>
                <w:lang w:eastAsia="en-US"/>
              </w:rPr>
              <w:t xml:space="preserve"> ~ </w:t>
            </w:r>
            <w:r w:rsidRPr="00572575" w:rsidR="00B13BE0">
              <w:rPr>
                <w:b/>
                <w:sz w:val="24"/>
                <w:szCs w:val="24"/>
                <w:lang w:eastAsia="en-US"/>
              </w:rPr>
              <w:t>25 000 EUR.</w:t>
            </w:r>
            <w:r w:rsidRPr="00557059" w:rsidR="00557059">
              <w:rPr>
                <w:sz w:val="24"/>
                <w:szCs w:val="24"/>
                <w:lang w:eastAsia="en-US"/>
              </w:rPr>
              <w:t xml:space="preserve"> </w:t>
            </w:r>
          </w:p>
          <w:p w:rsidR="00557059" w:rsidRPr="00D33719" w:rsidP="00557059" w14:paraId="5E59D341" w14:textId="0B1F709E">
            <w:pPr>
              <w:pStyle w:val="CommentText"/>
              <w:jc w:val="both"/>
              <w:rPr>
                <w:sz w:val="24"/>
                <w:szCs w:val="24"/>
                <w:lang w:eastAsia="en-US"/>
              </w:rPr>
            </w:pPr>
            <w:r w:rsidRPr="00D33719">
              <w:rPr>
                <w:sz w:val="24"/>
                <w:szCs w:val="24"/>
                <w:lang w:eastAsia="en-US"/>
              </w:rPr>
              <w:t>Izmaksas ietver: atlīdzību – 18 586  EUR (vadošais speciālists saskaņā ar LVĢMC valdes apstiprinātu štata sarakstu mēnešalga 1 700 EUR/mēnesī x 2 cilvēki x 2,4 mēneši x 1,2409 % darba devēja sociālais nodoklis (24.09%) + veselības apdrošināšanas polise 60,0 EUR/darbiniekam x 2 gab</w:t>
            </w:r>
            <w:r w:rsidRPr="00D33719" w:rsidR="00203B59">
              <w:rPr>
                <w:sz w:val="24"/>
                <w:szCs w:val="24"/>
                <w:lang w:eastAsia="en-US"/>
              </w:rPr>
              <w:t>.</w:t>
            </w:r>
            <w:r w:rsidRPr="00D33719">
              <w:rPr>
                <w:sz w:val="24"/>
                <w:szCs w:val="24"/>
                <w:lang w:eastAsia="en-US"/>
              </w:rPr>
              <w:t xml:space="preserve"> (atbilstoši slodzei), speciālists saskaņā ar LVĢMC valdes apstiprinātu štata sarakstu mēnešalga 1 100 EUR/mēnesī x 2 cilvēki x 3 mēneši x 1,2409 % darba devēja sociālais nodoklis (24.09%) + veselības apdrošināšanas polise 75 EUR/darbiniekam x 2 gab (atbilstoši slodzei)) (2019.gadā un pēc tam katru gadu)</w:t>
            </w:r>
            <w:r w:rsidRPr="00D33719" w:rsidR="000C756D">
              <w:rPr>
                <w:sz w:val="24"/>
                <w:szCs w:val="24"/>
                <w:lang w:eastAsia="en-US"/>
              </w:rPr>
              <w:t>.</w:t>
            </w:r>
          </w:p>
          <w:p w:rsidR="00D31848" w:rsidRPr="00D33719" w:rsidP="00557059" w14:paraId="6D413872" w14:textId="55BBCCBC">
            <w:pPr>
              <w:pStyle w:val="CommentText"/>
              <w:jc w:val="both"/>
              <w:rPr>
                <w:sz w:val="24"/>
                <w:szCs w:val="24"/>
                <w:lang w:eastAsia="en-US"/>
              </w:rPr>
            </w:pPr>
            <w:r w:rsidRPr="00D33719">
              <w:rPr>
                <w:sz w:val="24"/>
                <w:szCs w:val="24"/>
                <w:lang w:eastAsia="en-US"/>
              </w:rPr>
              <w:t>Darba vietas uzturēšana 4 darbiniekiem</w:t>
            </w:r>
            <w:r w:rsidRPr="00D33719" w:rsidR="008A744F">
              <w:rPr>
                <w:sz w:val="24"/>
                <w:szCs w:val="24"/>
                <w:lang w:eastAsia="en-US"/>
              </w:rPr>
              <w:t xml:space="preserve"> </w:t>
            </w:r>
            <w:r w:rsidRPr="00D33719">
              <w:rPr>
                <w:sz w:val="24"/>
                <w:szCs w:val="24"/>
                <w:lang w:eastAsia="en-US"/>
              </w:rPr>
              <w:t>– 6 414 EUR (4 x (sakaru pakalpojumi 50 EUR + komunālie pakalpojumi 460 EUR + administratīvie izdevumi 300 EUR + citi pakalpojumi 333,50 EUR + biroja preces un inventārs 170 EUR + kārtējā remonta un uzturēšanas materiāli 290 EUR)).</w:t>
            </w:r>
          </w:p>
          <w:p w:rsidR="003A5E2A" w:rsidRPr="00746F68" w:rsidP="00557059" w14:paraId="4ADF9C03" w14:textId="77777777">
            <w:pPr>
              <w:pStyle w:val="CommentText"/>
              <w:jc w:val="both"/>
              <w:rPr>
                <w:b/>
                <w:sz w:val="24"/>
                <w:szCs w:val="24"/>
                <w:lang w:eastAsia="en-US"/>
              </w:rPr>
            </w:pPr>
          </w:p>
          <w:p w:rsidR="007317BA" w:rsidP="007317BA" w14:paraId="21397E6E" w14:textId="402A76A4">
            <w:pPr>
              <w:pStyle w:val="CommentText"/>
              <w:jc w:val="both"/>
              <w:rPr>
                <w:b/>
                <w:sz w:val="24"/>
                <w:szCs w:val="24"/>
                <w:lang w:eastAsia="en-US"/>
              </w:rPr>
            </w:pPr>
            <w:r w:rsidRPr="00746F68">
              <w:rPr>
                <w:b/>
                <w:sz w:val="24"/>
                <w:szCs w:val="24"/>
                <w:lang w:eastAsia="en-US"/>
              </w:rPr>
              <w:t>3. 2020.</w:t>
            </w:r>
            <w:r w:rsidR="009F70CC">
              <w:rPr>
                <w:b/>
                <w:sz w:val="24"/>
                <w:szCs w:val="24"/>
                <w:lang w:eastAsia="en-US"/>
              </w:rPr>
              <w:t> </w:t>
            </w:r>
            <w:r w:rsidRPr="00746F68">
              <w:rPr>
                <w:b/>
                <w:sz w:val="24"/>
                <w:szCs w:val="24"/>
                <w:lang w:eastAsia="en-US"/>
              </w:rPr>
              <w:t>gad</w:t>
            </w:r>
            <w:r w:rsidR="009F70CC">
              <w:rPr>
                <w:b/>
                <w:sz w:val="24"/>
                <w:szCs w:val="24"/>
                <w:lang w:eastAsia="en-US"/>
              </w:rPr>
              <w:t>s</w:t>
            </w:r>
            <w:r w:rsidRPr="00746F68">
              <w:rPr>
                <w:b/>
                <w:sz w:val="24"/>
                <w:szCs w:val="24"/>
                <w:lang w:eastAsia="en-US"/>
              </w:rPr>
              <w:t xml:space="preserve"> - plānots veikt starpposma izvērtējums par rīcības programmas izpildi. </w:t>
            </w:r>
            <w:r w:rsidRPr="00D33719" w:rsidR="00D33719">
              <w:rPr>
                <w:sz w:val="24"/>
                <w:szCs w:val="24"/>
                <w:lang w:eastAsia="en-US"/>
              </w:rPr>
              <w:t xml:space="preserve">Kopējās izmaksas sastāda </w:t>
            </w:r>
            <w:r w:rsidR="00D33719">
              <w:rPr>
                <w:sz w:val="24"/>
                <w:szCs w:val="24"/>
                <w:lang w:eastAsia="en-US"/>
              </w:rPr>
              <w:t xml:space="preserve">aptuveni </w:t>
            </w:r>
            <w:r w:rsidR="00D33719">
              <w:rPr>
                <w:b/>
                <w:sz w:val="24"/>
                <w:szCs w:val="24"/>
                <w:lang w:eastAsia="en-US"/>
              </w:rPr>
              <w:t>25 000 EUR.</w:t>
            </w:r>
          </w:p>
          <w:p w:rsidR="007317BA" w:rsidRPr="00D33719" w:rsidP="007317BA" w14:paraId="570A9D6E" w14:textId="35B3FFDA">
            <w:pPr>
              <w:pStyle w:val="CommentText"/>
              <w:jc w:val="both"/>
              <w:rPr>
                <w:sz w:val="24"/>
                <w:szCs w:val="24"/>
                <w:lang w:eastAsia="en-US"/>
              </w:rPr>
            </w:pPr>
            <w:r w:rsidRPr="00D33719">
              <w:rPr>
                <w:sz w:val="24"/>
                <w:szCs w:val="24"/>
                <w:lang w:eastAsia="en-US"/>
              </w:rPr>
              <w:t>Izmaksas ietver: atlīdzību – 18 586  EUR (vadošais speciālists saskaņā ar LVĢMC valdes apstiprinātu štata sarakstu mēnešalga 1 700 EUR/mēnesī x 2 cilvēki x 2,4 mēneši x 1,2409 % darba devēja sociālais nodoklis (24.09%) + veselības apdrošināšanas polise 60,0 EUR/darbiniekam x 2 gab. (atbilstoši slodzei), speciālists saskaņā ar LVĢMC valdes apstiprinātu štata sarakstu mēnešalga 1 100 EUR/mēnesī x 2 cilvēki x 3 mēneši x 1,2409 % darba devēja sociālais nodoklis (24.09%) + veselības apdrošināšanas polise 75 EUR/darbiniekam x 2 gab (atbilstoši slodzei)) (2019.gadā un pēc tam katru gadu).</w:t>
            </w:r>
          </w:p>
          <w:p w:rsidR="00244912" w:rsidRPr="009845E6" w:rsidP="00A26335" w14:paraId="0898E83E" w14:textId="51107B4B">
            <w:pPr>
              <w:pStyle w:val="CommentText"/>
              <w:jc w:val="both"/>
              <w:rPr>
                <w:b/>
                <w:sz w:val="24"/>
                <w:szCs w:val="24"/>
                <w:lang w:eastAsia="en-US"/>
              </w:rPr>
            </w:pPr>
            <w:r w:rsidRPr="00D33719">
              <w:rPr>
                <w:sz w:val="24"/>
                <w:szCs w:val="24"/>
                <w:lang w:eastAsia="en-US"/>
              </w:rPr>
              <w:t>Darba vietas uzturēšana 4 darbiniekiem – 6 414 EUR (4 x (sakaru pakalpojumi 50 EUR + komunālie pakalpojumi 460 EUR + administratīvie izdevumi 300 EUR + citi pakalpojumi 333,50 EUR + biroja preces un inventārs 170 EUR + kārtējā remonta un uzturēšanas materiāli 290 EUR)).</w:t>
            </w:r>
          </w:p>
        </w:tc>
      </w:tr>
      <w:tr w14:paraId="3203A511" w14:textId="77777777" w:rsidTr="00F27703">
        <w:tblPrEx>
          <w:tblW w:w="5000" w:type="pct"/>
          <w:tblCellMar>
            <w:left w:w="0" w:type="dxa"/>
            <w:right w:w="0" w:type="dxa"/>
          </w:tblCellMar>
          <w:tblLook w:val="04A0"/>
        </w:tblPrEx>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B719EB" w:rsidP="00A26335" w14:paraId="737B63FE" w14:textId="5E534520">
            <w:pPr>
              <w:spacing w:before="100" w:beforeAutospacing="1" w:after="100" w:afterAutospacing="1" w:line="276" w:lineRule="auto"/>
            </w:pPr>
            <w:r w:rsidRPr="00B719EB">
              <w:t>6.1. detalizēts ieņēmumu aprēķins</w:t>
            </w:r>
          </w:p>
        </w:tc>
        <w:tc>
          <w:tcPr>
            <w:tcW w:w="3948" w:type="pct"/>
            <w:gridSpan w:val="5"/>
            <w:vMerge/>
            <w:tcBorders>
              <w:top w:val="nil"/>
              <w:left w:val="outset" w:sz="8" w:space="0" w:color="000000"/>
              <w:bottom w:val="outset" w:sz="8" w:space="0" w:color="000000"/>
              <w:right w:val="outset" w:sz="8" w:space="0" w:color="000000"/>
            </w:tcBorders>
            <w:vAlign w:val="center"/>
            <w:hideMark/>
          </w:tcPr>
          <w:p w:rsidR="00D31848" w:rsidRPr="00CB360A" w:rsidP="00A26335" w14:paraId="5FB80779" w14:textId="77777777">
            <w:pPr>
              <w:rPr>
                <w:rFonts w:eastAsiaTheme="minorHAnsi"/>
                <w:color w:val="000000"/>
                <w:sz w:val="16"/>
                <w:szCs w:val="16"/>
                <w:lang w:eastAsia="en-US"/>
              </w:rPr>
            </w:pPr>
          </w:p>
        </w:tc>
      </w:tr>
      <w:tr w14:paraId="7020CF80" w14:textId="77777777" w:rsidTr="00F27703">
        <w:tblPrEx>
          <w:tblW w:w="5000" w:type="pct"/>
          <w:tblCellMar>
            <w:left w:w="0" w:type="dxa"/>
            <w:right w:w="0" w:type="dxa"/>
          </w:tblCellMar>
          <w:tblLook w:val="04A0"/>
        </w:tblPrEx>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B719EB" w:rsidP="00A26335" w14:paraId="50E05D88" w14:textId="77777777">
            <w:pPr>
              <w:spacing w:before="100" w:beforeAutospacing="1" w:after="100" w:afterAutospacing="1" w:line="276" w:lineRule="auto"/>
            </w:pPr>
            <w:r w:rsidRPr="00B719EB">
              <w:t>6.2. detalizēts izdevumu aprēķins</w:t>
            </w:r>
          </w:p>
        </w:tc>
        <w:tc>
          <w:tcPr>
            <w:tcW w:w="3948" w:type="pct"/>
            <w:gridSpan w:val="5"/>
            <w:vMerge/>
            <w:tcBorders>
              <w:top w:val="nil"/>
              <w:left w:val="outset" w:sz="8" w:space="0" w:color="000000"/>
              <w:bottom w:val="outset" w:sz="8" w:space="0" w:color="000000"/>
              <w:right w:val="outset" w:sz="8" w:space="0" w:color="000000"/>
            </w:tcBorders>
            <w:vAlign w:val="center"/>
            <w:hideMark/>
          </w:tcPr>
          <w:p w:rsidR="00D31848" w:rsidRPr="00CB360A" w:rsidP="00A26335" w14:paraId="4A711AE0" w14:textId="77777777">
            <w:pPr>
              <w:rPr>
                <w:rFonts w:eastAsiaTheme="minorHAnsi"/>
                <w:color w:val="000000"/>
                <w:sz w:val="16"/>
                <w:szCs w:val="16"/>
                <w:lang w:eastAsia="en-US"/>
              </w:rPr>
            </w:pPr>
          </w:p>
        </w:tc>
      </w:tr>
      <w:tr w14:paraId="62D760FC" w14:textId="77777777" w:rsidTr="00F27703">
        <w:tblPrEx>
          <w:tblW w:w="5000" w:type="pct"/>
          <w:tblCellMar>
            <w:left w:w="0" w:type="dxa"/>
            <w:right w:w="0" w:type="dxa"/>
          </w:tblCellMar>
          <w:tblLook w:val="04A0"/>
        </w:tblPrEx>
        <w:trPr>
          <w:trHeight w:val="35"/>
        </w:trPr>
        <w:tc>
          <w:tcPr>
            <w:tcW w:w="1052"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D31848" w:rsidRPr="00B719EB" w:rsidP="00A26335" w14:paraId="35C55052" w14:textId="77777777">
            <w:pPr>
              <w:spacing w:before="100" w:beforeAutospacing="1" w:after="100" w:afterAutospacing="1" w:line="276" w:lineRule="auto"/>
            </w:pPr>
            <w:r w:rsidRPr="00B719EB">
              <w:t>7. Cita informācija</w:t>
            </w:r>
          </w:p>
        </w:tc>
        <w:tc>
          <w:tcPr>
            <w:tcW w:w="3948" w:type="pct"/>
            <w:gridSpan w:val="5"/>
            <w:tcBorders>
              <w:top w:val="nil"/>
              <w:left w:val="nil"/>
              <w:bottom w:val="outset" w:sz="8" w:space="0" w:color="000000"/>
              <w:right w:val="outset" w:sz="8" w:space="0" w:color="000000"/>
            </w:tcBorders>
            <w:tcMar>
              <w:top w:w="30" w:type="dxa"/>
              <w:left w:w="30" w:type="dxa"/>
              <w:bottom w:w="30" w:type="dxa"/>
              <w:right w:w="30" w:type="dxa"/>
            </w:tcMar>
            <w:hideMark/>
          </w:tcPr>
          <w:p w:rsidR="00D31848" w:rsidRPr="00B719EB" w:rsidP="00D33719" w14:paraId="7FD67F1C" w14:textId="1D1B01A0">
            <w:pPr>
              <w:tabs>
                <w:tab w:val="left" w:pos="1020"/>
              </w:tabs>
              <w:jc w:val="both"/>
            </w:pPr>
            <w:r>
              <w:t>Finansējums šīs sadaļas 6. punktā minēto prasību ieviešanai</w:t>
            </w:r>
            <w:r w:rsidR="00244912">
              <w:t xml:space="preserve"> pieprasīts arī iesniedzot VARAM </w:t>
            </w:r>
            <w:r w:rsidRPr="00244912" w:rsidR="00244912">
              <w:t>priekšlikumus par prioritārajiem pasākumiem</w:t>
            </w:r>
            <w:r>
              <w:t xml:space="preserve"> </w:t>
            </w:r>
            <w:r w:rsidRPr="00244912" w:rsidR="00244912">
              <w:t xml:space="preserve">2018., 2019. un </w:t>
            </w:r>
            <w:r w:rsidRPr="00DD02EA" w:rsidR="00244912">
              <w:t>2020. gadā.</w:t>
            </w:r>
            <w:r w:rsidRPr="00DD02EA" w:rsidR="00E35B43">
              <w:t xml:space="preserve"> </w:t>
            </w:r>
            <w:r w:rsidRPr="00DD02EA" w:rsidR="00D33719">
              <w:t xml:space="preserve">Finansējums rīcības plāna un emisiju prognožu izstrādei prioritāro pasākumu ietvaros piešķirts VARAM apakšprogrammā 28.00.00 "Meteoroloģija un bīstamo atkritumu apsaimniekošana" (prioritārā pasākuma nosaukums </w:t>
            </w:r>
            <w:r w:rsidRPr="00DD02EA" w:rsidR="00D33719">
              <w:rPr>
                <w:i/>
                <w:iCs/>
              </w:rPr>
              <w:t>“Vides uzraudzības stiprināšana (t. sk. algas inspektoriem)</w:t>
            </w:r>
            <w:r w:rsidRPr="00DD02EA" w:rsidR="00D33719">
              <w:t xml:space="preserve">”, pasākuma kods- </w:t>
            </w:r>
            <w:r w:rsidRPr="00DD02EA" w:rsidR="00D33719">
              <w:rPr>
                <w:i/>
                <w:iCs/>
              </w:rPr>
              <w:t>21_21_P</w:t>
            </w:r>
            <w:r w:rsidRPr="00DD02EA" w:rsidR="00D33719">
              <w:t>).</w:t>
            </w:r>
          </w:p>
        </w:tc>
      </w:tr>
    </w:tbl>
    <w:p w:rsidR="00D31848" w14:paraId="0D7D61AF" w14:textId="77777777">
      <w:pPr>
        <w:spacing w:line="360" w:lineRule="auto"/>
        <w:rPr>
          <w:rFonts w:ascii="Arial" w:hAnsi="Arial" w:cs="Arial"/>
          <w:color w:val="414142"/>
          <w:sz w:val="20"/>
          <w:szCs w:val="20"/>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1"/>
        <w:gridCol w:w="2626"/>
        <w:gridCol w:w="5978"/>
      </w:tblGrid>
      <w:tr w14:paraId="009FB972" w14:textId="77777777" w:rsidTr="00F27703">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1"/>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E0637B" w14:paraId="3C8976CF" w14:textId="77777777">
            <w:pPr>
              <w:spacing w:before="120" w:after="120" w:line="293" w:lineRule="atLeast"/>
              <w:jc w:val="center"/>
              <w:rPr>
                <w:b/>
                <w:color w:val="414142"/>
              </w:rPr>
            </w:pPr>
            <w:r>
              <w:rPr>
                <w:b/>
              </w:rPr>
              <w:t>IV. Tiesību akta projekta ietekme uz spēkā esošo tiesību normu sistēmu</w:t>
            </w:r>
          </w:p>
        </w:tc>
      </w:tr>
      <w:tr w14:paraId="5D10B3DF" w14:textId="77777777" w:rsidTr="00F27703">
        <w:tblPrEx>
          <w:tblW w:w="5000" w:type="pct"/>
          <w:jc w:val="center"/>
          <w:tblCellMar>
            <w:top w:w="24" w:type="dxa"/>
            <w:left w:w="24" w:type="dxa"/>
            <w:bottom w:w="24" w:type="dxa"/>
            <w:right w:w="24" w:type="dxa"/>
          </w:tblCellMar>
          <w:tblLook w:val="04A0"/>
        </w:tblPrEx>
        <w:trPr>
          <w:trHeight w:val="2226"/>
          <w:jc w:val="center"/>
        </w:trPr>
        <w:tc>
          <w:tcPr>
            <w:tcW w:w="249" w:type="pct"/>
            <w:tcBorders>
              <w:top w:val="outset" w:sz="6" w:space="0" w:color="414142"/>
              <w:left w:val="outset" w:sz="6" w:space="0" w:color="414142"/>
              <w:bottom w:val="outset" w:sz="6" w:space="0" w:color="414142"/>
              <w:right w:val="outset" w:sz="6" w:space="0" w:color="414142"/>
            </w:tcBorders>
          </w:tcPr>
          <w:p w:rsidR="00E0637B" w14:paraId="0A9A0084" w14:textId="77777777">
            <w:r>
              <w:t>1.</w:t>
            </w:r>
          </w:p>
        </w:tc>
        <w:tc>
          <w:tcPr>
            <w:tcW w:w="1450" w:type="pct"/>
            <w:tcBorders>
              <w:top w:val="outset" w:sz="6" w:space="0" w:color="414142"/>
              <w:left w:val="outset" w:sz="6" w:space="0" w:color="414142"/>
              <w:bottom w:val="outset" w:sz="6" w:space="0" w:color="414142"/>
              <w:right w:val="outset" w:sz="6" w:space="0" w:color="414142"/>
            </w:tcBorders>
          </w:tcPr>
          <w:p w:rsidR="00E0637B" w14:paraId="511280F9" w14:textId="77777777">
            <w:r>
              <w:t>Nepieciešamie saistītie tiesību aktu projekti</w:t>
            </w:r>
          </w:p>
        </w:tc>
        <w:tc>
          <w:tcPr>
            <w:tcW w:w="3301" w:type="pct"/>
            <w:tcBorders>
              <w:top w:val="outset" w:sz="6" w:space="0" w:color="414142"/>
              <w:left w:val="outset" w:sz="6" w:space="0" w:color="414142"/>
              <w:bottom w:val="outset" w:sz="6" w:space="0" w:color="414142"/>
              <w:right w:val="outset" w:sz="6" w:space="0" w:color="414142"/>
            </w:tcBorders>
          </w:tcPr>
          <w:p w:rsidR="00E0637B" w:rsidRPr="00D134E1" w14:paraId="4DEABE90" w14:textId="01B2812D">
            <w:pPr>
              <w:jc w:val="both"/>
            </w:pPr>
            <w:r>
              <w:t>Ministru kabinetam</w:t>
            </w:r>
            <w:r w:rsidR="00C47105">
              <w:t xml:space="preserve"> </w:t>
            </w:r>
            <w:r w:rsidRPr="00D134E1" w:rsidR="00D134E1">
              <w:t>līdz 2018. gada 1. jūlijam</w:t>
            </w:r>
            <w:r w:rsidRPr="00D134E1" w:rsidR="00105B33">
              <w:t xml:space="preserve">: </w:t>
            </w:r>
          </w:p>
          <w:p w:rsidR="00691C1B" w:rsidRPr="00D33719" w:rsidP="00686311" w14:paraId="22A7C5E5" w14:textId="08A7BED6">
            <w:pPr>
              <w:jc w:val="both"/>
            </w:pPr>
            <w:r w:rsidRPr="00D134E1">
              <w:t>-</w:t>
            </w:r>
            <w:r w:rsidRPr="00D134E1" w:rsidR="00105B33">
              <w:t xml:space="preserve"> </w:t>
            </w:r>
            <w:r w:rsidRPr="00D134E1" w:rsidR="00997F57">
              <w:t xml:space="preserve">jāizdod jaunā redakcijā </w:t>
            </w:r>
            <w:r w:rsidRPr="00D134E1" w:rsidR="001E6C00">
              <w:t>Ministru kabineta</w:t>
            </w:r>
            <w:r w:rsidR="001E6C00">
              <w:t xml:space="preserve"> 2011.</w:t>
            </w:r>
            <w:r w:rsidR="00E30128">
              <w:t> </w:t>
            </w:r>
            <w:r w:rsidR="001E6C00">
              <w:t>gada 31.</w:t>
            </w:r>
            <w:r w:rsidR="00E30128">
              <w:t> </w:t>
            </w:r>
            <w:r w:rsidR="001E6C00">
              <w:t>maij</w:t>
            </w:r>
            <w:r w:rsidR="00BF11D0">
              <w:t>a</w:t>
            </w:r>
            <w:r w:rsidR="001E6C00">
              <w:t xml:space="preserve"> noteikumi Nr.</w:t>
            </w:r>
            <w:r w:rsidRPr="00D33719" w:rsidR="001E6C00">
              <w:t>419 "Noteikumi par kopējo valstī maksimāli pieļaujamo emisiju gaisā" (</w:t>
            </w:r>
            <w:r w:rsidRPr="00D33719" w:rsidR="007A6671">
              <w:t>jāpār</w:t>
            </w:r>
            <w:r w:rsidRPr="00D33719" w:rsidR="001E6C00">
              <w:t>ņem līdz 2018.</w:t>
            </w:r>
            <w:r w:rsidRPr="00D33719" w:rsidR="00E30128">
              <w:t> </w:t>
            </w:r>
            <w:r w:rsidRPr="00D33719" w:rsidR="001E6C00">
              <w:t>gada 1.</w:t>
            </w:r>
            <w:r w:rsidRPr="00D33719" w:rsidR="00E30128">
              <w:t> </w:t>
            </w:r>
            <w:r w:rsidRPr="00D33719" w:rsidR="001E6C00">
              <w:t>jūlijam)</w:t>
            </w:r>
            <w:r w:rsidRPr="00D33719" w:rsidR="00B94DDD">
              <w:t>. Šādi noteikumi nepieciešami, lai pārņemtu direktīvā (ES) 2016/2284 noteiktās prasības un noteiktu gaisu piesārņojošo vielu emisiju samazināšanas mērķus, rīcības programmas izstrādes kārtību un emisiju ziņojumu sagatavošanas prasības.</w:t>
            </w:r>
          </w:p>
          <w:p w:rsidR="001275A8" w:rsidRPr="00D33719" w:rsidP="005864D6" w14:paraId="06DE087E" w14:textId="0E82ED96">
            <w:pPr>
              <w:jc w:val="both"/>
            </w:pPr>
            <w:r w:rsidRPr="00D33719">
              <w:t xml:space="preserve">- </w:t>
            </w:r>
            <w:r w:rsidRPr="00D33719" w:rsidR="00997F57">
              <w:t>jāveic g</w:t>
            </w:r>
            <w:r w:rsidRPr="00D33719" w:rsidR="0043322E">
              <w:t xml:space="preserve">rozījumi </w:t>
            </w:r>
            <w:r w:rsidRPr="00D33719" w:rsidR="00A85BC3">
              <w:t>Ministru kabineta 2011.</w:t>
            </w:r>
            <w:r w:rsidRPr="00D33719" w:rsidR="00E30128">
              <w:t> </w:t>
            </w:r>
            <w:r w:rsidRPr="00D33719" w:rsidR="00A85BC3">
              <w:t>gada 21.</w:t>
            </w:r>
            <w:r w:rsidRPr="00D33719" w:rsidR="00E30128">
              <w:t> </w:t>
            </w:r>
            <w:r w:rsidRPr="00D33719" w:rsidR="00A85BC3">
              <w:t>jūnij</w:t>
            </w:r>
            <w:r w:rsidRPr="00D33719" w:rsidR="0080729E">
              <w:t>a</w:t>
            </w:r>
            <w:r w:rsidRPr="00D33719" w:rsidR="00A85BC3">
              <w:t xml:space="preserve"> noteikumos Nr.</w:t>
            </w:r>
            <w:r w:rsidRPr="00D33719" w:rsidR="007671D1">
              <w:t> </w:t>
            </w:r>
            <w:r w:rsidRPr="00D33719" w:rsidR="009378D1">
              <w:t xml:space="preserve">485 </w:t>
            </w:r>
            <w:r w:rsidRPr="00D33719" w:rsidR="00A85BC3">
              <w:t>"Atsevišķu veidu bīstamo atkr</w:t>
            </w:r>
            <w:r w:rsidRPr="00D33719" w:rsidR="001215E1">
              <w:t>itumu apsaimniekošanas kārtība".</w:t>
            </w:r>
            <w:r w:rsidRPr="00D33719" w:rsidR="00B94DDD">
              <w:t xml:space="preserve"> Tas nepieciešams, lai pārņemtu direktīvā 2010/75/ES noteiktās prasības, kas attiecas uz titāna dioksīda ražošanas uzņēmumiem.</w:t>
            </w:r>
          </w:p>
          <w:p w:rsidR="00E13C8A" w:rsidRPr="00D33719" w:rsidP="005864D6" w14:paraId="48C889B3" w14:textId="77777777">
            <w:pPr>
              <w:jc w:val="both"/>
            </w:pPr>
          </w:p>
          <w:p w:rsidR="00686311" w:rsidRPr="00D33719" w:rsidP="005864D6" w14:paraId="76CC3740" w14:textId="6C01A298">
            <w:pPr>
              <w:jc w:val="both"/>
            </w:pPr>
            <w:r w:rsidRPr="00D33719">
              <w:t>M</w:t>
            </w:r>
            <w:r w:rsidRPr="00D33719" w:rsidR="00D134E1">
              <w:t>inistru kabinetam līdz 2020. gada 1. janvārim</w:t>
            </w:r>
            <w:r w:rsidRPr="00D33719">
              <w:t xml:space="preserve"> jāizdod jaunā redakcijā šādi noteikumi</w:t>
            </w:r>
            <w:r w:rsidRPr="00D33719" w:rsidR="001275A8">
              <w:t>:</w:t>
            </w:r>
          </w:p>
          <w:p w:rsidR="00E0637B" w:rsidRPr="002D68C6" w:rsidP="00155850" w14:paraId="28B8728E" w14:textId="6D768A63">
            <w:pPr>
              <w:jc w:val="both"/>
            </w:pPr>
            <w:r w:rsidRPr="00D33719">
              <w:t xml:space="preserve">- </w:t>
            </w:r>
            <w:r w:rsidRPr="00D33719" w:rsidR="00686311">
              <w:t xml:space="preserve"> Ministru kabineta 2017. gada 23. maijā noteikumi Nr. 271 "Noteikumi par vides aizsardzības oficiālās statistikas veidlapām"</w:t>
            </w:r>
            <w:r w:rsidRPr="00D33719" w:rsidR="00155850">
              <w:t>.</w:t>
            </w:r>
            <w:r w:rsidRPr="00D33719" w:rsidR="00B94DDD">
              <w:t xml:space="preserve"> Nepieciešams veikt precizējumus, lai noteiktu</w:t>
            </w:r>
            <w:r w:rsidRPr="00D33719" w:rsidR="009B3419">
              <w:t>, ka minētie pārskati it nevis statistikas pārskati, bet pārskati par vides normatīvajos aktos noteikto prasību izpildi.</w:t>
            </w:r>
            <w:r w:rsidR="00B94DDD">
              <w:t xml:space="preserve"> </w:t>
            </w:r>
          </w:p>
        </w:tc>
      </w:tr>
      <w:tr w14:paraId="233E57E4" w14:textId="77777777" w:rsidTr="00F27703">
        <w:tblPrEx>
          <w:tblW w:w="5000" w:type="pct"/>
          <w:jc w:val="center"/>
          <w:tblCellMar>
            <w:top w:w="24" w:type="dxa"/>
            <w:left w:w="24" w:type="dxa"/>
            <w:bottom w:w="24" w:type="dxa"/>
            <w:right w:w="24" w:type="dxa"/>
          </w:tblCellMar>
          <w:tblLook w:val="04A0"/>
        </w:tblPrEx>
        <w:trPr>
          <w:trHeight w:val="302"/>
          <w:jc w:val="center"/>
        </w:trPr>
        <w:tc>
          <w:tcPr>
            <w:tcW w:w="249" w:type="pct"/>
            <w:tcBorders>
              <w:top w:val="outset" w:sz="6" w:space="0" w:color="414142"/>
              <w:left w:val="outset" w:sz="6" w:space="0" w:color="414142"/>
              <w:bottom w:val="outset" w:sz="6" w:space="0" w:color="414142"/>
              <w:right w:val="outset" w:sz="6" w:space="0" w:color="414142"/>
            </w:tcBorders>
          </w:tcPr>
          <w:p w:rsidR="00E0637B" w14:paraId="64D15225" w14:textId="77777777">
            <w:r>
              <w:t>2.</w:t>
            </w:r>
          </w:p>
        </w:tc>
        <w:tc>
          <w:tcPr>
            <w:tcW w:w="1450" w:type="pct"/>
            <w:tcBorders>
              <w:top w:val="outset" w:sz="6" w:space="0" w:color="414142"/>
              <w:left w:val="outset" w:sz="6" w:space="0" w:color="414142"/>
              <w:bottom w:val="outset" w:sz="6" w:space="0" w:color="414142"/>
              <w:right w:val="outset" w:sz="6" w:space="0" w:color="414142"/>
            </w:tcBorders>
          </w:tcPr>
          <w:p w:rsidR="00E0637B" w14:paraId="4D493101" w14:textId="77777777">
            <w:r>
              <w:t>Atbildīgā institūcija</w:t>
            </w:r>
          </w:p>
        </w:tc>
        <w:tc>
          <w:tcPr>
            <w:tcW w:w="3301" w:type="pct"/>
            <w:tcBorders>
              <w:top w:val="outset" w:sz="6" w:space="0" w:color="414142"/>
              <w:left w:val="outset" w:sz="6" w:space="0" w:color="414142"/>
              <w:bottom w:val="outset" w:sz="6" w:space="0" w:color="414142"/>
              <w:right w:val="outset" w:sz="6" w:space="0" w:color="414142"/>
            </w:tcBorders>
          </w:tcPr>
          <w:p w:rsidR="00E0637B" w14:paraId="0BE9CBDB" w14:textId="77777777">
            <w:r>
              <w:t>VARAM</w:t>
            </w:r>
          </w:p>
        </w:tc>
      </w:tr>
      <w:tr w14:paraId="2DA869D5" w14:textId="77777777" w:rsidTr="00F27703">
        <w:tblPrEx>
          <w:tblW w:w="5000" w:type="pct"/>
          <w:jc w:val="center"/>
          <w:tblCellMar>
            <w:top w:w="24" w:type="dxa"/>
            <w:left w:w="24" w:type="dxa"/>
            <w:bottom w:w="24" w:type="dxa"/>
            <w:right w:w="24" w:type="dxa"/>
          </w:tblCellMar>
          <w:tblLook w:val="04A0"/>
        </w:tblPrEx>
        <w:trPr>
          <w:trHeight w:val="289"/>
          <w:jc w:val="center"/>
        </w:trPr>
        <w:tc>
          <w:tcPr>
            <w:tcW w:w="249" w:type="pct"/>
            <w:tcBorders>
              <w:top w:val="outset" w:sz="6" w:space="0" w:color="414142"/>
              <w:left w:val="outset" w:sz="6" w:space="0" w:color="414142"/>
              <w:bottom w:val="outset" w:sz="6" w:space="0" w:color="414142"/>
              <w:right w:val="outset" w:sz="6" w:space="0" w:color="414142"/>
            </w:tcBorders>
          </w:tcPr>
          <w:p w:rsidR="00E0637B" w14:paraId="29BE9CAC" w14:textId="77777777">
            <w:r>
              <w:t>3.</w:t>
            </w:r>
          </w:p>
        </w:tc>
        <w:tc>
          <w:tcPr>
            <w:tcW w:w="1450" w:type="pct"/>
            <w:tcBorders>
              <w:top w:val="outset" w:sz="6" w:space="0" w:color="414142"/>
              <w:left w:val="outset" w:sz="6" w:space="0" w:color="414142"/>
              <w:bottom w:val="outset" w:sz="6" w:space="0" w:color="414142"/>
              <w:right w:val="outset" w:sz="6" w:space="0" w:color="414142"/>
            </w:tcBorders>
          </w:tcPr>
          <w:p w:rsidR="00E0637B" w14:paraId="108D39F8" w14:textId="77777777">
            <w:r>
              <w:t>Cita informācija</w:t>
            </w:r>
          </w:p>
        </w:tc>
        <w:tc>
          <w:tcPr>
            <w:tcW w:w="3301" w:type="pct"/>
            <w:tcBorders>
              <w:top w:val="outset" w:sz="6" w:space="0" w:color="414142"/>
              <w:left w:val="outset" w:sz="6" w:space="0" w:color="414142"/>
              <w:bottom w:val="outset" w:sz="6" w:space="0" w:color="414142"/>
              <w:right w:val="outset" w:sz="6" w:space="0" w:color="414142"/>
            </w:tcBorders>
          </w:tcPr>
          <w:p w:rsidR="00E0637B" w14:paraId="14F59D83" w14:textId="24CE0184">
            <w:pPr>
              <w:spacing w:before="100" w:beforeAutospacing="1" w:after="100" w:afterAutospacing="1" w:line="293" w:lineRule="atLeast"/>
            </w:pPr>
            <w:r>
              <w:t>Nav.</w:t>
            </w:r>
          </w:p>
        </w:tc>
      </w:tr>
    </w:tbl>
    <w:p w:rsidR="007F2476" w14:paraId="4BDF76BB" w14:textId="77777777">
      <w:pPr>
        <w:spacing w:line="360" w:lineRule="auto"/>
        <w:rPr>
          <w:rFonts w:ascii="Arial" w:hAnsi="Arial" w:cs="Arial"/>
          <w:color w:val="414142"/>
          <w:sz w:val="20"/>
          <w:szCs w:val="20"/>
        </w:rPr>
      </w:pPr>
    </w:p>
    <w:tbl>
      <w:tblPr>
        <w:tblStyle w:val="TableGrid"/>
        <w:tblW w:w="5000" w:type="pct"/>
        <w:tblLook w:val="04A0"/>
      </w:tblPr>
      <w:tblGrid>
        <w:gridCol w:w="404"/>
        <w:gridCol w:w="2709"/>
        <w:gridCol w:w="5948"/>
      </w:tblGrid>
      <w:tr w14:paraId="1DC489C5" w14:textId="77777777">
        <w:tblPrEx>
          <w:tblW w:w="5000" w:type="pct"/>
          <w:tblLook w:val="04A0"/>
        </w:tblPrEx>
        <w:trPr>
          <w:trHeight w:val="350"/>
        </w:trPr>
        <w:tc>
          <w:tcPr>
            <w:tcW w:w="5000" w:type="pct"/>
            <w:gridSpan w:val="3"/>
            <w:tcBorders>
              <w:top w:val="single" w:sz="4" w:space="0" w:color="auto"/>
              <w:left w:val="single" w:sz="4" w:space="0" w:color="auto"/>
              <w:bottom w:val="single" w:sz="4" w:space="0" w:color="auto"/>
              <w:right w:val="single" w:sz="4" w:space="0" w:color="auto"/>
            </w:tcBorders>
          </w:tcPr>
          <w:p w:rsidR="00E0637B" w14:paraId="2156E60F" w14:textId="77777777">
            <w:pPr>
              <w:spacing w:before="120" w:after="120"/>
              <w:jc w:val="center"/>
            </w:pPr>
            <w:r>
              <w:rPr>
                <w:b/>
              </w:rPr>
              <w:t>V. Tiesību akta projekta atbilstība Latvijas Republikas starptautiskajām saistībām</w:t>
            </w:r>
          </w:p>
        </w:tc>
      </w:tr>
      <w:tr w14:paraId="2C029566" w14:textId="77777777" w:rsidTr="00A66CE8">
        <w:tblPrEx>
          <w:tblW w:w="5000" w:type="pct"/>
          <w:tblLook w:val="04A0"/>
        </w:tblPrEx>
        <w:tc>
          <w:tcPr>
            <w:tcW w:w="223" w:type="pct"/>
            <w:tcBorders>
              <w:top w:val="single" w:sz="4" w:space="0" w:color="auto"/>
              <w:left w:val="single" w:sz="4" w:space="0" w:color="auto"/>
              <w:bottom w:val="single" w:sz="4" w:space="0" w:color="auto"/>
              <w:right w:val="single" w:sz="4" w:space="0" w:color="auto"/>
            </w:tcBorders>
          </w:tcPr>
          <w:p w:rsidR="00E0637B" w14:paraId="17E60683" w14:textId="77777777">
            <w:r>
              <w:t>1.</w:t>
            </w:r>
          </w:p>
        </w:tc>
        <w:tc>
          <w:tcPr>
            <w:tcW w:w="1495" w:type="pct"/>
            <w:tcBorders>
              <w:top w:val="single" w:sz="4" w:space="0" w:color="auto"/>
              <w:left w:val="single" w:sz="4" w:space="0" w:color="auto"/>
              <w:bottom w:val="single" w:sz="4" w:space="0" w:color="auto"/>
              <w:right w:val="single" w:sz="4" w:space="0" w:color="auto"/>
            </w:tcBorders>
          </w:tcPr>
          <w:p w:rsidR="00E0637B" w14:paraId="6E948F0D" w14:textId="77777777">
            <w:r>
              <w:t>Saistības pret Eiropas Savienību</w:t>
            </w:r>
          </w:p>
        </w:tc>
        <w:tc>
          <w:tcPr>
            <w:tcW w:w="3282" w:type="pct"/>
            <w:tcBorders>
              <w:top w:val="single" w:sz="4" w:space="0" w:color="auto"/>
              <w:left w:val="single" w:sz="4" w:space="0" w:color="auto"/>
              <w:bottom w:val="single" w:sz="4" w:space="0" w:color="auto"/>
              <w:right w:val="single" w:sz="4" w:space="0" w:color="auto"/>
            </w:tcBorders>
          </w:tcPr>
          <w:p w:rsidR="00853668" w:rsidP="00853668" w14:paraId="1473D95C" w14:textId="5D12BDB6">
            <w:pPr>
              <w:jc w:val="both"/>
            </w:pPr>
            <w:r>
              <w:t>1. Eiropas Parlamenta un Padomes 2010.</w:t>
            </w:r>
            <w:r w:rsidR="00767770">
              <w:t> </w:t>
            </w:r>
            <w:r>
              <w:t>gada 24.</w:t>
            </w:r>
            <w:r w:rsidR="00767770">
              <w:t> </w:t>
            </w:r>
            <w:r w:rsidR="00D9372A">
              <w:t xml:space="preserve">novembra </w:t>
            </w:r>
            <w:r w:rsidR="00AF342F">
              <w:t>d</w:t>
            </w:r>
            <w:r w:rsidR="00D9372A">
              <w:t>irektīva</w:t>
            </w:r>
            <w:r>
              <w:t xml:space="preserve"> 2010/75/ES par </w:t>
            </w:r>
            <w:r w:rsidRPr="00767770">
              <w:t>rūpnieciskajām emisijām (piesārņojuma integrēta novēršana un kontrole)</w:t>
            </w:r>
            <w:r w:rsidR="002172F4">
              <w:t>;</w:t>
            </w:r>
          </w:p>
          <w:p w:rsidR="00E0637B" w:rsidP="00853668" w14:paraId="0FBA46C2" w14:textId="75DF4E97">
            <w:pPr>
              <w:jc w:val="both"/>
            </w:pPr>
            <w:r w:rsidRPr="00853668">
              <w:t>2</w:t>
            </w:r>
            <w:r w:rsidRPr="00767770" w:rsidR="00105B33">
              <w:t xml:space="preserve">. Eiropas Parlamenta un Padomes 2015. gada 25. novembra </w:t>
            </w:r>
            <w:r w:rsidR="00AF342F">
              <w:t>d</w:t>
            </w:r>
            <w:r w:rsidRPr="00767770" w:rsidR="00105B33">
              <w:t>irektīva (ES)</w:t>
            </w:r>
            <w:r w:rsidR="007A4B2C">
              <w:t xml:space="preserve"> </w:t>
            </w:r>
            <w:r w:rsidRPr="00767770" w:rsidR="00105B33">
              <w:t>2015/2193 par ierobežojumiem attiecībā uz dažu piesārņojošu vielu emisiju gaisā no vidējas</w:t>
            </w:r>
            <w:r w:rsidR="002172F4">
              <w:t xml:space="preserve"> jaudas sadedzināšanas iekārtām;</w:t>
            </w:r>
          </w:p>
          <w:p w:rsidR="001E6C00" w:rsidRPr="00A66CE8" w:rsidP="00853668" w14:paraId="6833F31D" w14:textId="46C8DCAB">
            <w:pPr>
              <w:jc w:val="both"/>
            </w:pPr>
            <w:r>
              <w:t xml:space="preserve">3) </w:t>
            </w:r>
            <w:r w:rsidRPr="008C16D1">
              <w:t>2016. gada 14. decembr</w:t>
            </w:r>
            <w:r>
              <w:t>a</w:t>
            </w:r>
            <w:r w:rsidRPr="008C16D1">
              <w:t xml:space="preserve"> E</w:t>
            </w:r>
            <w:r>
              <w:t>iropas</w:t>
            </w:r>
            <w:r w:rsidRPr="008C16D1">
              <w:t xml:space="preserve"> P</w:t>
            </w:r>
            <w:r>
              <w:t>arlamenta</w:t>
            </w:r>
            <w:r w:rsidRPr="008C16D1">
              <w:t xml:space="preserve"> </w:t>
            </w:r>
            <w:r>
              <w:t>un</w:t>
            </w:r>
            <w:r w:rsidRPr="008C16D1">
              <w:t xml:space="preserve"> P</w:t>
            </w:r>
            <w:r>
              <w:t>adomes</w:t>
            </w:r>
            <w:r w:rsidR="000C403D">
              <w:t xml:space="preserve"> direktīva</w:t>
            </w:r>
            <w:r w:rsidRPr="008C16D1">
              <w:t xml:space="preserve"> (ES) 2016/2284</w:t>
            </w:r>
            <w:r>
              <w:t xml:space="preserve"> </w:t>
            </w:r>
            <w:r w:rsidRPr="008C16D1">
              <w:t>par dažu gaisu piesārņojošo vielu valstu emisiju samazināšanu un ar ko groza Direktīvu 2003/35/EK un atceļ Direktīvu 2001/81/EK</w:t>
            </w:r>
            <w:r w:rsidR="00352C90">
              <w:t>.</w:t>
            </w:r>
          </w:p>
        </w:tc>
      </w:tr>
      <w:tr w14:paraId="182C89F3" w14:textId="77777777" w:rsidTr="00A66CE8">
        <w:tblPrEx>
          <w:tblW w:w="5000" w:type="pct"/>
          <w:tblLook w:val="04A0"/>
        </w:tblPrEx>
        <w:tc>
          <w:tcPr>
            <w:tcW w:w="223" w:type="pct"/>
            <w:tcBorders>
              <w:top w:val="single" w:sz="4" w:space="0" w:color="auto"/>
              <w:left w:val="single" w:sz="4" w:space="0" w:color="auto"/>
              <w:bottom w:val="single" w:sz="4" w:space="0" w:color="auto"/>
              <w:right w:val="single" w:sz="4" w:space="0" w:color="auto"/>
            </w:tcBorders>
          </w:tcPr>
          <w:p w:rsidR="00E0637B" w14:paraId="7A2A392D" w14:textId="77777777">
            <w:r>
              <w:t>2.</w:t>
            </w:r>
          </w:p>
        </w:tc>
        <w:tc>
          <w:tcPr>
            <w:tcW w:w="1495" w:type="pct"/>
            <w:tcBorders>
              <w:top w:val="single" w:sz="4" w:space="0" w:color="auto"/>
              <w:left w:val="single" w:sz="4" w:space="0" w:color="auto"/>
              <w:bottom w:val="single" w:sz="4" w:space="0" w:color="auto"/>
              <w:right w:val="single" w:sz="4" w:space="0" w:color="auto"/>
            </w:tcBorders>
          </w:tcPr>
          <w:p w:rsidR="00E0637B" w14:paraId="40E06C5B" w14:textId="77777777">
            <w:r>
              <w:t>Citas starptautiskās saistības</w:t>
            </w:r>
          </w:p>
        </w:tc>
        <w:tc>
          <w:tcPr>
            <w:tcW w:w="3282" w:type="pct"/>
            <w:tcBorders>
              <w:top w:val="single" w:sz="4" w:space="0" w:color="auto"/>
              <w:left w:val="single" w:sz="4" w:space="0" w:color="auto"/>
              <w:bottom w:val="single" w:sz="4" w:space="0" w:color="auto"/>
              <w:right w:val="single" w:sz="4" w:space="0" w:color="auto"/>
            </w:tcBorders>
          </w:tcPr>
          <w:p w:rsidR="00E0637B" w14:paraId="7CA9C662" w14:textId="2D7ADC21">
            <w:pPr>
              <w:jc w:val="both"/>
            </w:pPr>
            <w:r>
              <w:t>1979.</w:t>
            </w:r>
            <w:r w:rsidR="00767770">
              <w:t> </w:t>
            </w:r>
            <w:r>
              <w:t xml:space="preserve">gada Ženēvas Konvencija </w:t>
            </w:r>
            <w:r w:rsidR="00767770">
              <w:t>"</w:t>
            </w:r>
            <w:r>
              <w:t>Par robežšķērsojošo gaisa piesārņošanu lielos attālumos samazināšanu un ierobežošanu</w:t>
            </w:r>
            <w:r w:rsidR="00767770">
              <w:t>"</w:t>
            </w:r>
            <w:r>
              <w:t xml:space="preserve"> un tās 1999.</w:t>
            </w:r>
            <w:r w:rsidR="00767770">
              <w:t> </w:t>
            </w:r>
            <w:r>
              <w:t xml:space="preserve">gada Gēteborgas protokols </w:t>
            </w:r>
            <w:r w:rsidR="00767770">
              <w:t>"</w:t>
            </w:r>
            <w:r>
              <w:t>Par paskābināšanas, eitrofikācijas un piezemes ozona līmeņa samazināšanu</w:t>
            </w:r>
            <w:r w:rsidR="00767770">
              <w:t>"</w:t>
            </w:r>
            <w:r>
              <w:t>.</w:t>
            </w:r>
          </w:p>
        </w:tc>
      </w:tr>
      <w:tr w14:paraId="6B1E753D" w14:textId="77777777" w:rsidTr="00A66CE8">
        <w:tblPrEx>
          <w:tblW w:w="5000" w:type="pct"/>
          <w:tblLook w:val="04A0"/>
        </w:tblPrEx>
        <w:tc>
          <w:tcPr>
            <w:tcW w:w="223" w:type="pct"/>
            <w:tcBorders>
              <w:top w:val="single" w:sz="4" w:space="0" w:color="auto"/>
              <w:left w:val="single" w:sz="4" w:space="0" w:color="auto"/>
              <w:bottom w:val="single" w:sz="4" w:space="0" w:color="auto"/>
              <w:right w:val="single" w:sz="4" w:space="0" w:color="auto"/>
            </w:tcBorders>
          </w:tcPr>
          <w:p w:rsidR="00E0637B" w14:paraId="7FB4FBED" w14:textId="77777777">
            <w:r>
              <w:t>3.</w:t>
            </w:r>
          </w:p>
        </w:tc>
        <w:tc>
          <w:tcPr>
            <w:tcW w:w="1495" w:type="pct"/>
            <w:tcBorders>
              <w:top w:val="single" w:sz="4" w:space="0" w:color="auto"/>
              <w:left w:val="single" w:sz="4" w:space="0" w:color="auto"/>
              <w:bottom w:val="single" w:sz="4" w:space="0" w:color="auto"/>
              <w:right w:val="single" w:sz="4" w:space="0" w:color="auto"/>
            </w:tcBorders>
          </w:tcPr>
          <w:p w:rsidR="00E0637B" w14:paraId="5D31AC55" w14:textId="77777777">
            <w:r>
              <w:t>Cita informācija</w:t>
            </w:r>
          </w:p>
        </w:tc>
        <w:tc>
          <w:tcPr>
            <w:tcW w:w="3282" w:type="pct"/>
            <w:tcBorders>
              <w:top w:val="single" w:sz="4" w:space="0" w:color="auto"/>
              <w:left w:val="single" w:sz="4" w:space="0" w:color="auto"/>
              <w:bottom w:val="single" w:sz="4" w:space="0" w:color="auto"/>
              <w:right w:val="single" w:sz="4" w:space="0" w:color="auto"/>
            </w:tcBorders>
          </w:tcPr>
          <w:p w:rsidR="00E0637B" w14:paraId="55AD0ED2" w14:textId="2ED812DF">
            <w:r>
              <w:t>Nav</w:t>
            </w:r>
            <w:r w:rsidR="00767770">
              <w:t>.</w:t>
            </w:r>
          </w:p>
        </w:tc>
      </w:tr>
    </w:tbl>
    <w:p w:rsidR="00E0637B" w14:paraId="0A849508" w14:textId="77777777">
      <w:pPr>
        <w:tabs>
          <w:tab w:val="left" w:pos="2475"/>
        </w:tabs>
        <w:spacing w:line="360" w:lineRule="auto"/>
        <w:rPr>
          <w:rFonts w:ascii="Arial" w:hAnsi="Arial" w:cs="Arial"/>
          <w:color w:val="414142"/>
          <w:sz w:val="20"/>
          <w:szCs w:val="20"/>
        </w:rPr>
      </w:pPr>
    </w:p>
    <w:p w:rsidR="00E0637B" w14:paraId="1B560EBA" w14:textId="77777777">
      <w:pPr>
        <w:jc w:val="center"/>
        <w:rPr>
          <w:vanish/>
        </w:rPr>
      </w:pPr>
    </w:p>
    <w:tbl>
      <w:tblPr>
        <w:tblStyle w:val="TableGrid"/>
        <w:tblW w:w="5000" w:type="pct"/>
        <w:jc w:val="center"/>
        <w:tblLayout w:type="fixed"/>
        <w:tblLook w:val="04A0"/>
      </w:tblPr>
      <w:tblGrid>
        <w:gridCol w:w="3114"/>
        <w:gridCol w:w="1299"/>
        <w:gridCol w:w="118"/>
        <w:gridCol w:w="2330"/>
        <w:gridCol w:w="80"/>
        <w:gridCol w:w="2120"/>
      </w:tblGrid>
      <w:tr w14:paraId="72E63C1A" w14:textId="77777777" w:rsidTr="007B303A">
        <w:tblPrEx>
          <w:tblW w:w="5000" w:type="pct"/>
          <w:jc w:val="center"/>
          <w:tblLayout w:type="fixed"/>
          <w:tblLook w:val="04A0"/>
        </w:tblPrEx>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E0637B" w14:paraId="4F7FBF99" w14:textId="77777777">
            <w:pPr>
              <w:jc w:val="center"/>
              <w:rPr>
                <w:sz w:val="22"/>
                <w:szCs w:val="22"/>
              </w:rPr>
            </w:pPr>
            <w:r>
              <w:rPr>
                <w:b/>
                <w:sz w:val="22"/>
                <w:szCs w:val="22"/>
              </w:rPr>
              <w:t>1. tabula</w:t>
            </w:r>
            <w:r>
              <w:rPr>
                <w:b/>
                <w:sz w:val="22"/>
                <w:szCs w:val="22"/>
              </w:rPr>
              <w:br/>
              <w:t xml:space="preserve"> Tiesību akta projekta atbilstība ES tiesību aktiem</w:t>
            </w:r>
          </w:p>
        </w:tc>
      </w:tr>
      <w:tr w14:paraId="05469FDB"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tcPr>
          <w:p w:rsidR="00E0637B" w14:paraId="059CA464" w14:textId="77777777">
            <w:pPr>
              <w:rPr>
                <w:sz w:val="22"/>
                <w:szCs w:val="22"/>
              </w:rPr>
            </w:pPr>
            <w:r w:rsidRPr="00FA791C">
              <w:rPr>
                <w:szCs w:val="22"/>
              </w:rPr>
              <w:t>Attiecīgā ES tiesību akta datums, numurs un nosaukums</w:t>
            </w:r>
          </w:p>
        </w:tc>
        <w:tc>
          <w:tcPr>
            <w:tcW w:w="3282" w:type="pct"/>
            <w:gridSpan w:val="5"/>
            <w:tcBorders>
              <w:top w:val="single" w:sz="4" w:space="0" w:color="auto"/>
              <w:left w:val="single" w:sz="4" w:space="0" w:color="auto"/>
              <w:bottom w:val="single" w:sz="4" w:space="0" w:color="auto"/>
              <w:right w:val="single" w:sz="4" w:space="0" w:color="auto"/>
            </w:tcBorders>
          </w:tcPr>
          <w:p w:rsidR="00E0637B" w14:paraId="655B3604" w14:textId="4C0B0569">
            <w:pPr>
              <w:jc w:val="both"/>
            </w:pPr>
            <w:r>
              <w:t xml:space="preserve">1. Eiropas Parlamenta un Padomes 2015. gada 25. novembra </w:t>
            </w:r>
            <w:r w:rsidR="00532FF1">
              <w:rPr>
                <w:b/>
              </w:rPr>
              <w:t>d</w:t>
            </w:r>
            <w:r>
              <w:rPr>
                <w:b/>
              </w:rPr>
              <w:t>irektīva (ES)</w:t>
            </w:r>
            <w:r w:rsidR="0009003D">
              <w:rPr>
                <w:b/>
              </w:rPr>
              <w:t xml:space="preserve"> </w:t>
            </w:r>
            <w:r>
              <w:rPr>
                <w:b/>
              </w:rPr>
              <w:t>2015/2193</w:t>
            </w:r>
            <w:r>
              <w:t xml:space="preserve"> par ierobežojumiem attiecībā uz dažu piesārņojošu vielu emisiju gaisā no vidējas jaudas sadedzināšanas iekārtām.</w:t>
            </w:r>
          </w:p>
          <w:p w:rsidR="00E0637B" w14:paraId="77341F4D" w14:textId="76636AB2">
            <w:pPr>
              <w:jc w:val="both"/>
            </w:pPr>
            <w:r>
              <w:t>2. Eiropas Parlamenta un Padomes 2010.</w:t>
            </w:r>
            <w:r w:rsidR="00767770">
              <w:t> </w:t>
            </w:r>
            <w:r>
              <w:t>gada 24.</w:t>
            </w:r>
            <w:r w:rsidR="00767770">
              <w:t> </w:t>
            </w:r>
            <w:r>
              <w:t xml:space="preserve">novembra </w:t>
            </w:r>
            <w:r w:rsidR="00532FF1">
              <w:rPr>
                <w:b/>
              </w:rPr>
              <w:t>d</w:t>
            </w:r>
            <w:r w:rsidR="00352C90">
              <w:rPr>
                <w:b/>
              </w:rPr>
              <w:t>irektīva</w:t>
            </w:r>
            <w:r>
              <w:rPr>
                <w:b/>
              </w:rPr>
              <w:t xml:space="preserve"> 2010/75/ES</w:t>
            </w:r>
            <w:r>
              <w:t xml:space="preserve"> par rūpnieciskajām emisijām (piesārņojuma integrēta novēršana un kontrole)</w:t>
            </w:r>
            <w:r w:rsidR="00352C90">
              <w:t>;</w:t>
            </w:r>
          </w:p>
          <w:p w:rsidR="00E0637B" w:rsidP="001E6C00" w14:paraId="49DED964" w14:textId="0DB9DA43">
            <w:pPr>
              <w:pStyle w:val="Title"/>
              <w:jc w:val="both"/>
              <w:rPr>
                <w:b w:val="0"/>
                <w:sz w:val="22"/>
                <w:szCs w:val="22"/>
              </w:rPr>
            </w:pPr>
            <w:r w:rsidRPr="00FA791C">
              <w:rPr>
                <w:rStyle w:val="Strong"/>
              </w:rPr>
              <w:t xml:space="preserve">3. </w:t>
            </w:r>
            <w:r w:rsidRPr="008C16D1" w:rsidR="001E6C00">
              <w:rPr>
                <w:b w:val="0"/>
              </w:rPr>
              <w:t>2016. gada 14. decembr</w:t>
            </w:r>
            <w:r w:rsidR="001E6C00">
              <w:rPr>
                <w:b w:val="0"/>
              </w:rPr>
              <w:t>a</w:t>
            </w:r>
            <w:r w:rsidRPr="008C16D1" w:rsidR="001E6C00">
              <w:rPr>
                <w:b w:val="0"/>
              </w:rPr>
              <w:t xml:space="preserve"> E</w:t>
            </w:r>
            <w:r w:rsidR="001E6C00">
              <w:rPr>
                <w:b w:val="0"/>
              </w:rPr>
              <w:t>iropas</w:t>
            </w:r>
            <w:r w:rsidRPr="008C16D1" w:rsidR="001E6C00">
              <w:rPr>
                <w:b w:val="0"/>
              </w:rPr>
              <w:t xml:space="preserve"> P</w:t>
            </w:r>
            <w:r w:rsidR="001E6C00">
              <w:rPr>
                <w:b w:val="0"/>
              </w:rPr>
              <w:t>arlamenta</w:t>
            </w:r>
            <w:r w:rsidRPr="008C16D1" w:rsidR="001E6C00">
              <w:rPr>
                <w:b w:val="0"/>
              </w:rPr>
              <w:t xml:space="preserve"> </w:t>
            </w:r>
            <w:r w:rsidR="001E6C00">
              <w:rPr>
                <w:b w:val="0"/>
              </w:rPr>
              <w:t>un</w:t>
            </w:r>
            <w:r w:rsidRPr="008C16D1" w:rsidR="001E6C00">
              <w:rPr>
                <w:b w:val="0"/>
              </w:rPr>
              <w:t xml:space="preserve"> P</w:t>
            </w:r>
            <w:r w:rsidR="001E6C00">
              <w:rPr>
                <w:b w:val="0"/>
              </w:rPr>
              <w:t>adomes</w:t>
            </w:r>
            <w:r w:rsidRPr="008C16D1" w:rsidR="001E6C00">
              <w:rPr>
                <w:b w:val="0"/>
              </w:rPr>
              <w:t xml:space="preserve"> </w:t>
            </w:r>
            <w:r w:rsidR="00532FF1">
              <w:t>direktīva</w:t>
            </w:r>
            <w:r w:rsidRPr="008C16D1" w:rsidR="001E6C00">
              <w:t xml:space="preserve"> (ES) 2016/2284</w:t>
            </w:r>
            <w:r w:rsidR="001E6C00">
              <w:rPr>
                <w:b w:val="0"/>
              </w:rPr>
              <w:t xml:space="preserve"> </w:t>
            </w:r>
            <w:r w:rsidRPr="008C16D1" w:rsidR="001E6C00">
              <w:rPr>
                <w:b w:val="0"/>
              </w:rPr>
              <w:t>par dažu gaisu piesārņojošo vielu valstu emisiju samazināšanu un ar ko groza Direktīvu 2003/35/EK un atceļ Direktīvu 2001/81/EK</w:t>
            </w:r>
          </w:p>
        </w:tc>
      </w:tr>
      <w:tr w14:paraId="351DC50D"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tcPr>
          <w:p w:rsidR="00E0637B" w14:paraId="016F55D3" w14:textId="77777777">
            <w:pPr>
              <w:spacing w:before="100" w:beforeAutospacing="1" w:after="100" w:afterAutospacing="1"/>
              <w:rPr>
                <w:sz w:val="22"/>
                <w:szCs w:val="22"/>
              </w:rPr>
            </w:pPr>
            <w:r>
              <w:rPr>
                <w:sz w:val="22"/>
                <w:szCs w:val="22"/>
              </w:rPr>
              <w:t>A</w:t>
            </w:r>
          </w:p>
        </w:tc>
        <w:tc>
          <w:tcPr>
            <w:tcW w:w="782" w:type="pct"/>
            <w:gridSpan w:val="2"/>
            <w:tcBorders>
              <w:top w:val="single" w:sz="4" w:space="0" w:color="auto"/>
              <w:left w:val="single" w:sz="4" w:space="0" w:color="auto"/>
              <w:bottom w:val="single" w:sz="4" w:space="0" w:color="auto"/>
              <w:right w:val="single" w:sz="4" w:space="0" w:color="auto"/>
            </w:tcBorders>
          </w:tcPr>
          <w:p w:rsidR="00E0637B" w14:paraId="273C3B26" w14:textId="77777777">
            <w:pPr>
              <w:spacing w:before="100" w:beforeAutospacing="1" w:after="100" w:afterAutospacing="1"/>
              <w:rPr>
                <w:sz w:val="22"/>
                <w:szCs w:val="22"/>
              </w:rPr>
            </w:pPr>
            <w:r>
              <w:rPr>
                <w:sz w:val="22"/>
                <w:szCs w:val="22"/>
              </w:rPr>
              <w:t>B</w:t>
            </w:r>
          </w:p>
        </w:tc>
        <w:tc>
          <w:tcPr>
            <w:tcW w:w="1330" w:type="pct"/>
            <w:gridSpan w:val="2"/>
            <w:tcBorders>
              <w:top w:val="single" w:sz="4" w:space="0" w:color="auto"/>
              <w:left w:val="single" w:sz="4" w:space="0" w:color="auto"/>
              <w:bottom w:val="single" w:sz="4" w:space="0" w:color="auto"/>
              <w:right w:val="single" w:sz="4" w:space="0" w:color="auto"/>
            </w:tcBorders>
          </w:tcPr>
          <w:p w:rsidR="00E0637B" w14:paraId="4CB5DCD3" w14:textId="77777777">
            <w:pPr>
              <w:spacing w:before="100" w:beforeAutospacing="1" w:after="100" w:afterAutospacing="1"/>
              <w:rPr>
                <w:sz w:val="22"/>
                <w:szCs w:val="22"/>
              </w:rPr>
            </w:pPr>
            <w:r>
              <w:rPr>
                <w:sz w:val="22"/>
                <w:szCs w:val="22"/>
              </w:rPr>
              <w:t>C</w:t>
            </w:r>
          </w:p>
        </w:tc>
        <w:tc>
          <w:tcPr>
            <w:tcW w:w="1170" w:type="pct"/>
            <w:tcBorders>
              <w:top w:val="single" w:sz="4" w:space="0" w:color="auto"/>
              <w:left w:val="single" w:sz="4" w:space="0" w:color="auto"/>
              <w:bottom w:val="single" w:sz="4" w:space="0" w:color="auto"/>
              <w:right w:val="single" w:sz="4" w:space="0" w:color="auto"/>
            </w:tcBorders>
          </w:tcPr>
          <w:p w:rsidR="00E0637B" w14:paraId="77E55C95" w14:textId="77777777">
            <w:pPr>
              <w:spacing w:before="100" w:beforeAutospacing="1" w:after="100" w:afterAutospacing="1"/>
              <w:rPr>
                <w:sz w:val="22"/>
                <w:szCs w:val="22"/>
              </w:rPr>
            </w:pPr>
            <w:r>
              <w:rPr>
                <w:sz w:val="22"/>
                <w:szCs w:val="22"/>
              </w:rPr>
              <w:t>D</w:t>
            </w:r>
          </w:p>
        </w:tc>
      </w:tr>
      <w:tr w14:paraId="3C0FD3BA" w14:textId="77777777" w:rsidTr="00B3116A">
        <w:tblPrEx>
          <w:tblW w:w="5000" w:type="pct"/>
          <w:jc w:val="center"/>
          <w:tblLayout w:type="fixed"/>
          <w:tblLook w:val="04A0"/>
        </w:tblPrEx>
        <w:trPr>
          <w:jc w:val="center"/>
        </w:trPr>
        <w:tc>
          <w:tcPr>
            <w:tcW w:w="1718" w:type="pct"/>
          </w:tcPr>
          <w:p w:rsidR="00E0637B" w:rsidRPr="00B04061" w14:paraId="521D668D" w14:textId="77777777">
            <w:pPr>
              <w:rPr>
                <w:sz w:val="22"/>
                <w:szCs w:val="22"/>
              </w:rPr>
            </w:pPr>
            <w:r w:rsidRPr="00B04061">
              <w:rPr>
                <w:sz w:val="22"/>
                <w:szCs w:val="22"/>
              </w:rPr>
              <w:t xml:space="preserve">Attiecīgā ES tiesību akta panta numurs </w:t>
            </w:r>
          </w:p>
        </w:tc>
        <w:tc>
          <w:tcPr>
            <w:tcW w:w="782" w:type="pct"/>
            <w:gridSpan w:val="2"/>
          </w:tcPr>
          <w:p w:rsidR="00E0637B" w:rsidRPr="00B04061" w:rsidP="00B04061" w14:paraId="4CF41F77" w14:textId="77777777">
            <w:pPr>
              <w:rPr>
                <w:sz w:val="22"/>
                <w:szCs w:val="22"/>
              </w:rPr>
            </w:pPr>
            <w:r w:rsidRPr="00B04061">
              <w:rPr>
                <w:sz w:val="22"/>
                <w:szCs w:val="22"/>
              </w:rPr>
              <w:t>Projekta vienība, kas pārņem vai ievieš katru šīs tabulas A ailē minēto ES tiesību akta vienību, vai tiesību akts, kur attiecīgā ES tiesību akta vienība pārņemta vai ieviesta</w:t>
            </w:r>
          </w:p>
        </w:tc>
        <w:tc>
          <w:tcPr>
            <w:tcW w:w="1330" w:type="pct"/>
            <w:gridSpan w:val="2"/>
          </w:tcPr>
          <w:p w:rsidR="00E0637B" w:rsidRPr="00B04061" w:rsidP="00B04061" w14:paraId="4C67F5D1" w14:textId="77777777">
            <w:pPr>
              <w:rPr>
                <w:sz w:val="22"/>
                <w:szCs w:val="22"/>
              </w:rPr>
            </w:pPr>
            <w:r w:rsidRPr="00B04061">
              <w:rPr>
                <w:sz w:val="22"/>
                <w:szCs w:val="22"/>
              </w:rPr>
              <w:t>Informācija par to, vai šīs tabulas A ailē minētās ES tiesību akta vienības tiek pārņemtas vai ieviestas pilnībā vai daļēji.</w:t>
            </w:r>
          </w:p>
          <w:p w:rsidR="00E0637B" w:rsidRPr="00B04061" w:rsidP="00B04061" w14:paraId="4B4E27BF" w14:textId="77777777">
            <w:pPr>
              <w:rPr>
                <w:sz w:val="22"/>
                <w:szCs w:val="22"/>
              </w:rPr>
            </w:pPr>
            <w:r w:rsidRPr="00B04061">
              <w:rPr>
                <w:sz w:val="22"/>
                <w:szCs w:val="22"/>
              </w:rPr>
              <w:t>Ja attiecīgā ES tiesību akta vienība tiek pārņemta vai ieviesta daļēji, sniedz attiecīgu skaidrojumu, kā arī precīzi norāda, kad un kādā veidā ES tiesību akta vienība tiks pārņemta vai ieviesta pilnībā.</w:t>
            </w:r>
          </w:p>
          <w:p w:rsidR="00E0637B" w:rsidRPr="00B04061" w:rsidP="00B04061" w14:paraId="1057958B" w14:textId="77777777">
            <w:pPr>
              <w:rPr>
                <w:sz w:val="22"/>
                <w:szCs w:val="22"/>
              </w:rPr>
            </w:pPr>
            <w:r w:rsidRPr="00B04061">
              <w:rPr>
                <w:sz w:val="22"/>
                <w:szCs w:val="22"/>
              </w:rPr>
              <w:t>Norāda institūciju, kas ir atbildīga par šo saistību izpildi pilnībā</w:t>
            </w:r>
          </w:p>
        </w:tc>
        <w:tc>
          <w:tcPr>
            <w:tcW w:w="1170" w:type="pct"/>
          </w:tcPr>
          <w:p w:rsidR="00E0637B" w:rsidRPr="00B04061" w:rsidP="00B04061" w14:paraId="0B10B018" w14:textId="77777777">
            <w:pPr>
              <w:rPr>
                <w:sz w:val="22"/>
                <w:szCs w:val="22"/>
              </w:rPr>
            </w:pPr>
            <w:r w:rsidRPr="00B04061">
              <w:rPr>
                <w:sz w:val="22"/>
                <w:szCs w:val="22"/>
              </w:rPr>
              <w:t>Informācija par to, vai šīs tabulas B ailē minētās projekta vienības paredz stingrākas prasības nekā šīs tabulas A ailē minētās ES tiesību akta vienības.</w:t>
            </w:r>
          </w:p>
          <w:p w:rsidR="00E0637B" w:rsidRPr="00B04061" w:rsidP="00B04061" w14:paraId="1A403DD8" w14:textId="77777777">
            <w:pPr>
              <w:rPr>
                <w:sz w:val="22"/>
                <w:szCs w:val="22"/>
              </w:rPr>
            </w:pPr>
            <w:r w:rsidRPr="00B04061">
              <w:rPr>
                <w:sz w:val="22"/>
                <w:szCs w:val="22"/>
              </w:rPr>
              <w:t>Ja projekts satur stingrākas prasības nekā attiecīgais ES tiesību akts, norāda pamatojumu un samērīgumu.</w:t>
            </w:r>
          </w:p>
          <w:p w:rsidR="00E0637B" w:rsidRPr="00B04061" w:rsidP="00B04061" w14:paraId="2D9158FE" w14:textId="5D5BA5B1">
            <w:pPr>
              <w:rPr>
                <w:sz w:val="22"/>
                <w:szCs w:val="22"/>
              </w:rPr>
            </w:pPr>
            <w:r w:rsidRPr="00B04061">
              <w:rPr>
                <w:sz w:val="22"/>
                <w:szCs w:val="22"/>
              </w:rPr>
              <w:t xml:space="preserve">Norāda iespējamās alternatīvas (t.sk. alternatīvas, kas neparedz tiesiskā regulējuma izstrādi) – kādos gadījumos būtu iespējams izvairīties no stingrāku prasību noteikšanas, nekā paredzēts attiecīgajos </w:t>
            </w:r>
            <w:r w:rsidRPr="00B04061" w:rsidR="00110EBC">
              <w:rPr>
                <w:sz w:val="22"/>
                <w:szCs w:val="22"/>
              </w:rPr>
              <w:t xml:space="preserve">Eiropas Savienības </w:t>
            </w:r>
            <w:r w:rsidRPr="00B04061">
              <w:rPr>
                <w:sz w:val="22"/>
                <w:szCs w:val="22"/>
              </w:rPr>
              <w:t>tiesību aktos</w:t>
            </w:r>
            <w:r w:rsidRPr="00B04061" w:rsidR="00110EBC">
              <w:rPr>
                <w:sz w:val="22"/>
                <w:szCs w:val="22"/>
              </w:rPr>
              <w:t>.</w:t>
            </w:r>
          </w:p>
        </w:tc>
      </w:tr>
      <w:tr w14:paraId="3DA84608" w14:textId="77777777" w:rsidTr="00B73CE9">
        <w:tblPrEx>
          <w:tblW w:w="5000" w:type="pct"/>
          <w:jc w:val="center"/>
          <w:tblLayout w:type="fixed"/>
          <w:tblLook w:val="04A0"/>
        </w:tblPrEx>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B09FA" w14:paraId="5158D655" w14:textId="1E6C0853">
            <w:pPr>
              <w:rPr>
                <w:b/>
              </w:rPr>
            </w:pPr>
            <w:r>
              <w:rPr>
                <w:b/>
              </w:rPr>
              <w:t>Direktīva (ES)</w:t>
            </w:r>
            <w:r w:rsidR="0009003D">
              <w:rPr>
                <w:b/>
              </w:rPr>
              <w:t xml:space="preserve"> </w:t>
            </w:r>
            <w:r>
              <w:rPr>
                <w:b/>
              </w:rPr>
              <w:t>2015/2193</w:t>
            </w:r>
          </w:p>
          <w:p w:rsidR="00F52EF4" w:rsidRPr="00F52EF4" w14:paraId="7D6F9B5D" w14:textId="7E48FE83">
            <w:pPr>
              <w:rPr>
                <w:b/>
              </w:rPr>
            </w:pPr>
          </w:p>
        </w:tc>
      </w:tr>
      <w:tr w14:paraId="298379CE"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E0637B" w:rsidRPr="00A32A84" w:rsidP="00A32A84" w14:paraId="7B93757F" w14:textId="49443D95">
            <w:pPr>
              <w:spacing w:before="120" w:after="120"/>
              <w:rPr>
                <w:sz w:val="22"/>
                <w:szCs w:val="22"/>
              </w:rPr>
            </w:pPr>
            <w:r w:rsidRPr="00A32A84">
              <w:rPr>
                <w:sz w:val="22"/>
                <w:szCs w:val="22"/>
              </w:rPr>
              <w:t>7. panta 6. 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E0637B" w:rsidRPr="00AD1806" w:rsidP="004C5BC2" w14:paraId="630F8C1C" w14:textId="6133981F">
            <w:pPr>
              <w:spacing w:before="100" w:beforeAutospacing="1" w:after="100" w:afterAutospacing="1"/>
              <w:rPr>
                <w:sz w:val="22"/>
                <w:szCs w:val="22"/>
              </w:rPr>
            </w:pPr>
            <w:r>
              <w:rPr>
                <w:sz w:val="22"/>
                <w:szCs w:val="22"/>
              </w:rPr>
              <w:t>6</w:t>
            </w:r>
            <w:r w:rsidRPr="00AD1806" w:rsidR="00AD1806">
              <w:rPr>
                <w:sz w:val="22"/>
                <w:szCs w:val="22"/>
              </w:rPr>
              <w:t>. p</w:t>
            </w:r>
            <w:r w:rsidR="004C5BC2">
              <w:rPr>
                <w:sz w:val="22"/>
                <w:szCs w:val="22"/>
              </w:rPr>
              <w:t>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E0637B" w:rsidRPr="00AD1806" w14:paraId="667EFB7D" w14:textId="42735BB8">
            <w:pPr>
              <w:spacing w:before="100" w:beforeAutospacing="1" w:after="100" w:afterAutospacing="1"/>
              <w:rPr>
                <w:sz w:val="22"/>
                <w:szCs w:val="22"/>
              </w:rPr>
            </w:pPr>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vAlign w:val="center"/>
          </w:tcPr>
          <w:p w:rsidR="00E0637B" w:rsidRPr="00AD1806" w14:paraId="3082EB23" w14:textId="5B7B5AC4">
            <w:r w:rsidRPr="00AD1806">
              <w:t>Neparedz stingrākas prasības</w:t>
            </w:r>
          </w:p>
        </w:tc>
      </w:tr>
      <w:tr w14:paraId="2580C649"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D1806" w:rsidRPr="00A32A84" w:rsidP="00AD1806" w14:paraId="7D8D2060" w14:textId="7F67CCFB">
            <w:pPr>
              <w:spacing w:before="120" w:after="120"/>
              <w:rPr>
                <w:sz w:val="22"/>
                <w:szCs w:val="22"/>
              </w:rPr>
            </w:pPr>
            <w:r w:rsidRPr="00A32A84">
              <w:rPr>
                <w:sz w:val="22"/>
                <w:szCs w:val="22"/>
              </w:rPr>
              <w:t>7. panta 7. 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4C5BC2" w14:paraId="2A1FFDAF" w14:textId="5DAC27D3">
            <w:pPr>
              <w:spacing w:before="100" w:beforeAutospacing="1" w:after="100" w:afterAutospacing="1"/>
              <w:rPr>
                <w:sz w:val="22"/>
                <w:szCs w:val="22"/>
              </w:rPr>
            </w:pPr>
            <w:r>
              <w:rPr>
                <w:sz w:val="22"/>
                <w:szCs w:val="22"/>
              </w:rPr>
              <w:t>6</w:t>
            </w:r>
            <w:r w:rsidRPr="00AD1806">
              <w:rPr>
                <w:sz w:val="22"/>
                <w:szCs w:val="22"/>
              </w:rPr>
              <w:t>. p</w:t>
            </w:r>
            <w:r w:rsidR="004C5BC2">
              <w:rPr>
                <w:sz w:val="22"/>
                <w:szCs w:val="22"/>
              </w:rPr>
              <w:t>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AD1806" w14:paraId="2853F153" w14:textId="3274F335">
            <w:pPr>
              <w:spacing w:before="100" w:beforeAutospacing="1" w:after="100" w:afterAutospacing="1"/>
              <w:rPr>
                <w:sz w:val="22"/>
                <w:szCs w:val="22"/>
              </w:rPr>
            </w:pPr>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tcPr>
          <w:p w:rsidR="00AD1806" w:rsidRPr="00AD1806" w:rsidP="00AD1806" w14:paraId="375DD352" w14:textId="428BC6A2">
            <w:r w:rsidRPr="00AD1806">
              <w:t>Neparedz stingrākas prasības</w:t>
            </w:r>
          </w:p>
        </w:tc>
      </w:tr>
      <w:tr w14:paraId="245DC2BC"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D1806" w:rsidRPr="00A32A84" w:rsidP="00AD1806" w14:paraId="33E49061" w14:textId="39357D3B">
            <w:pPr>
              <w:spacing w:before="120" w:after="120"/>
              <w:rPr>
                <w:sz w:val="22"/>
                <w:szCs w:val="22"/>
              </w:rPr>
            </w:pPr>
            <w:r w:rsidRPr="00A32A84">
              <w:rPr>
                <w:sz w:val="22"/>
                <w:szCs w:val="22"/>
              </w:rPr>
              <w:t>7. panta 8. 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D1806" w:rsidRPr="0041125F" w:rsidP="004C5BC2" w14:paraId="6283AA16" w14:textId="57009169">
            <w:pPr>
              <w:spacing w:before="100" w:beforeAutospacing="1" w:after="100" w:afterAutospacing="1"/>
              <w:rPr>
                <w:sz w:val="22"/>
                <w:szCs w:val="22"/>
              </w:rPr>
            </w:pPr>
            <w:r>
              <w:rPr>
                <w:sz w:val="22"/>
                <w:szCs w:val="22"/>
              </w:rPr>
              <w:t>6</w:t>
            </w:r>
            <w:r w:rsidRPr="0041125F">
              <w:rPr>
                <w:sz w:val="22"/>
                <w:szCs w:val="22"/>
              </w:rPr>
              <w:t>. p</w:t>
            </w:r>
            <w:r w:rsidR="004C5BC2">
              <w:rPr>
                <w:sz w:val="22"/>
                <w:szCs w:val="22"/>
              </w:rPr>
              <w:t>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AD1806" w14:paraId="7020E774" w14:textId="4BA30761">
            <w:pPr>
              <w:spacing w:before="100" w:beforeAutospacing="1" w:after="100" w:afterAutospacing="1"/>
              <w:rPr>
                <w:sz w:val="22"/>
                <w:szCs w:val="22"/>
              </w:rPr>
            </w:pPr>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tcPr>
          <w:p w:rsidR="00AD1806" w:rsidRPr="00AD1806" w:rsidP="00AD1806" w14:paraId="395C48B3" w14:textId="074FFB10">
            <w:r w:rsidRPr="00AD1806">
              <w:t>Neparedz stingrākas prasības</w:t>
            </w:r>
          </w:p>
        </w:tc>
      </w:tr>
      <w:tr w14:paraId="3FF8D10F"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D1806" w:rsidRPr="00A32A84" w:rsidP="00AD1806" w14:paraId="1E3B4B9C" w14:textId="4778F55B">
            <w:pPr>
              <w:spacing w:before="120" w:after="120"/>
              <w:rPr>
                <w:sz w:val="22"/>
                <w:szCs w:val="22"/>
              </w:rPr>
            </w:pPr>
            <w:r w:rsidRPr="00A32A84">
              <w:rPr>
                <w:sz w:val="22"/>
                <w:szCs w:val="22"/>
              </w:rPr>
              <w:t>8. panta 3. 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D1806" w:rsidRPr="006D1C6F" w:rsidP="004C5BC2" w14:paraId="63D06115" w14:textId="1FBB067C">
            <w:pPr>
              <w:spacing w:before="100" w:beforeAutospacing="1" w:after="100" w:afterAutospacing="1"/>
              <w:rPr>
                <w:b/>
                <w:sz w:val="22"/>
                <w:szCs w:val="22"/>
              </w:rPr>
            </w:pPr>
            <w:r>
              <w:rPr>
                <w:sz w:val="22"/>
                <w:szCs w:val="22"/>
              </w:rPr>
              <w:t>6</w:t>
            </w:r>
            <w:r w:rsidRPr="0041125F">
              <w:rPr>
                <w:sz w:val="22"/>
                <w:szCs w:val="22"/>
              </w:rPr>
              <w:t>. </w:t>
            </w:r>
            <w:r>
              <w:rPr>
                <w:sz w:val="22"/>
                <w:szCs w:val="22"/>
              </w:rPr>
              <w:t>un 2</w:t>
            </w:r>
            <w:r w:rsidR="00A25A6F">
              <w:rPr>
                <w:sz w:val="22"/>
                <w:szCs w:val="22"/>
              </w:rPr>
              <w:t>2</w:t>
            </w:r>
            <w:r>
              <w:rPr>
                <w:sz w:val="22"/>
                <w:szCs w:val="22"/>
              </w:rPr>
              <w:t>. </w:t>
            </w:r>
            <w:r w:rsidRPr="0041125F">
              <w:rPr>
                <w:sz w:val="22"/>
                <w:szCs w:val="22"/>
              </w:rPr>
              <w:t>p</w:t>
            </w:r>
            <w:r w:rsidR="004C5BC2">
              <w:rPr>
                <w:sz w:val="22"/>
                <w:szCs w:val="22"/>
              </w:rPr>
              <w:t>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AD1806" w14:paraId="4C29526C" w14:textId="485EE6E2">
            <w:pPr>
              <w:spacing w:before="100" w:beforeAutospacing="1" w:after="100" w:afterAutospacing="1"/>
              <w:rPr>
                <w:sz w:val="22"/>
                <w:szCs w:val="22"/>
              </w:rPr>
            </w:pPr>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tcPr>
          <w:p w:rsidR="00AD1806" w:rsidRPr="00AD1806" w:rsidP="00AD1806" w14:paraId="684BD35F" w14:textId="225F4FDC">
            <w:r w:rsidRPr="00AD1806">
              <w:t>Neparedz stingrākas prasības</w:t>
            </w:r>
          </w:p>
        </w:tc>
      </w:tr>
      <w:tr w14:paraId="0CC5CF2C"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E0637B" w:rsidRPr="00A32A84" w14:paraId="3C04799E" w14:textId="4B7F4B31">
            <w:pPr>
              <w:spacing w:before="120" w:after="120"/>
              <w:rPr>
                <w:sz w:val="22"/>
                <w:szCs w:val="22"/>
              </w:rPr>
            </w:pPr>
            <w:r w:rsidRPr="00A32A84">
              <w:rPr>
                <w:sz w:val="22"/>
                <w:szCs w:val="22"/>
              </w:rPr>
              <w:t>9. pants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E0637B" w:rsidRPr="0041125F" w14:paraId="12BA7BA4" w14:textId="0B4935A0">
            <w:pPr>
              <w:spacing w:before="100" w:beforeAutospacing="1" w:after="100" w:afterAutospacing="1"/>
              <w:rPr>
                <w:sz w:val="22"/>
                <w:szCs w:val="22"/>
              </w:rPr>
            </w:pPr>
            <w:r w:rsidRPr="0041125F">
              <w:rPr>
                <w:sz w:val="22"/>
                <w:szCs w:val="22"/>
              </w:rPr>
              <w:t>3. </w:t>
            </w:r>
            <w:r w:rsidR="004C5BC2">
              <w:rPr>
                <w:sz w:val="22"/>
                <w:szCs w:val="22"/>
              </w:rPr>
              <w:t>pants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E0637B" w:rsidRPr="00AD1806" w14:paraId="172602DF" w14:textId="7BCC5359">
            <w:pPr>
              <w:spacing w:before="100" w:beforeAutospacing="1" w:after="100" w:afterAutospacing="1"/>
              <w:rPr>
                <w:sz w:val="22"/>
                <w:szCs w:val="22"/>
              </w:rPr>
            </w:pPr>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vAlign w:val="center"/>
          </w:tcPr>
          <w:p w:rsidR="00E0637B" w:rsidRPr="006D1C6F" w14:paraId="2848D2A5" w14:textId="4C9D1986">
            <w:pPr>
              <w:rPr>
                <w:b/>
              </w:rPr>
            </w:pPr>
            <w:r w:rsidRPr="00AD1806">
              <w:t>Neparedz stingrākas prasības</w:t>
            </w:r>
          </w:p>
        </w:tc>
      </w:tr>
      <w:tr w14:paraId="5F743067" w14:textId="77777777" w:rsidTr="00A32A84">
        <w:tblPrEx>
          <w:tblW w:w="5000" w:type="pct"/>
          <w:jc w:val="center"/>
          <w:tblLayout w:type="fixed"/>
          <w:tblLook w:val="04A0"/>
        </w:tblPrEx>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32A84" w14:paraId="653ED164" w14:textId="77777777">
            <w:pPr>
              <w:rPr>
                <w:b/>
              </w:rPr>
            </w:pPr>
            <w:r>
              <w:rPr>
                <w:b/>
              </w:rPr>
              <w:t>Direktīva 2010/75/ES</w:t>
            </w:r>
          </w:p>
          <w:p w:rsidR="00AE27F0" w:rsidRPr="006D1C6F" w14:paraId="7A95CA06" w14:textId="222D4AA8">
            <w:pPr>
              <w:rPr>
                <w:b/>
              </w:rPr>
            </w:pPr>
          </w:p>
        </w:tc>
      </w:tr>
      <w:tr w14:paraId="3C94250A"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D1806" w:rsidRPr="00A32A84" w:rsidP="00AD1806" w14:paraId="0771D2BD" w14:textId="427AB072">
            <w:pPr>
              <w:spacing w:before="120" w:after="120"/>
              <w:rPr>
                <w:sz w:val="22"/>
                <w:szCs w:val="22"/>
              </w:rPr>
            </w:pPr>
            <w:r w:rsidRPr="00A32A84">
              <w:rPr>
                <w:sz w:val="22"/>
                <w:szCs w:val="22"/>
              </w:rPr>
              <w:t>3. panta 12)</w:t>
            </w:r>
            <w:r>
              <w:rPr>
                <w:sz w:val="22"/>
                <w:szCs w:val="22"/>
              </w:rPr>
              <w:t>,</w:t>
            </w:r>
            <w:r w:rsidRPr="00A32A84">
              <w:rPr>
                <w:sz w:val="22"/>
                <w:szCs w:val="22"/>
              </w:rPr>
              <w:t xml:space="preserve"> 13)</w:t>
            </w:r>
            <w:r>
              <w:rPr>
                <w:sz w:val="22"/>
                <w:szCs w:val="22"/>
              </w:rPr>
              <w:t xml:space="preserve"> un 18)</w:t>
            </w:r>
            <w:r w:rsidRPr="00A32A84">
              <w:rPr>
                <w:sz w:val="22"/>
                <w:szCs w:val="22"/>
              </w:rPr>
              <w:t xml:space="preserve"> 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D1806" w:rsidRPr="007C31F1" w:rsidP="00AD1806" w14:paraId="34AE3EAE" w14:textId="5ABDD2C4">
            <w:pPr>
              <w:spacing w:before="100" w:beforeAutospacing="1" w:after="100" w:afterAutospacing="1"/>
              <w:rPr>
                <w:sz w:val="22"/>
                <w:szCs w:val="22"/>
              </w:rPr>
            </w:pPr>
            <w:r w:rsidRPr="007C31F1">
              <w:rPr>
                <w:sz w:val="22"/>
                <w:szCs w:val="22"/>
              </w:rPr>
              <w:t>3. </w:t>
            </w:r>
            <w:r w:rsidR="004C5BC2">
              <w:rPr>
                <w:sz w:val="22"/>
                <w:szCs w:val="22"/>
              </w:rPr>
              <w:t>pants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AD1806" w14:paraId="1BA75E86" w14:textId="68A68912">
            <w:pPr>
              <w:spacing w:before="100" w:beforeAutospacing="1" w:after="100" w:afterAutospacing="1"/>
              <w:rPr>
                <w:sz w:val="22"/>
                <w:szCs w:val="22"/>
              </w:rPr>
            </w:pPr>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tcPr>
          <w:p w:rsidR="00AD1806" w:rsidRPr="006D1C6F" w:rsidP="00AD1806" w14:paraId="7EE1EED4" w14:textId="70B1D6BB">
            <w:pPr>
              <w:rPr>
                <w:b/>
              </w:rPr>
            </w:pPr>
            <w:r w:rsidRPr="007E2F3E">
              <w:t>Neparedz stingrākas prasības</w:t>
            </w:r>
          </w:p>
        </w:tc>
      </w:tr>
      <w:tr w14:paraId="7147BE0E"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D1806" w:rsidRPr="00A32A84" w:rsidP="00AD1806" w14:paraId="283D5FA2" w14:textId="50BB59FC">
            <w:pPr>
              <w:spacing w:before="120" w:after="120"/>
              <w:rPr>
                <w:sz w:val="22"/>
                <w:szCs w:val="22"/>
              </w:rPr>
            </w:pPr>
            <w:r w:rsidRPr="00A32A84">
              <w:rPr>
                <w:sz w:val="22"/>
                <w:szCs w:val="22"/>
              </w:rPr>
              <w:t>14. panta 1. punkta a) apakšpunkts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D1806" w:rsidRPr="007C31F1" w:rsidP="00AD1806" w14:paraId="558A832C" w14:textId="502E2050">
            <w:pPr>
              <w:spacing w:before="100" w:beforeAutospacing="1" w:after="100" w:afterAutospacing="1"/>
              <w:rPr>
                <w:sz w:val="22"/>
                <w:szCs w:val="22"/>
              </w:rPr>
            </w:pPr>
            <w:r>
              <w:rPr>
                <w:sz w:val="22"/>
                <w:szCs w:val="22"/>
              </w:rPr>
              <w:t>20</w:t>
            </w:r>
            <w:r w:rsidRPr="007C31F1">
              <w:rPr>
                <w:sz w:val="22"/>
                <w:szCs w:val="22"/>
              </w:rPr>
              <w:t xml:space="preserve">. </w:t>
            </w:r>
            <w:r w:rsidR="004C5BC2">
              <w:rPr>
                <w:sz w:val="22"/>
                <w:szCs w:val="22"/>
              </w:rPr>
              <w:t>pants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AD1806" w14:paraId="3DD7071A" w14:textId="57E56E99">
            <w:pPr>
              <w:spacing w:before="100" w:beforeAutospacing="1" w:after="100" w:afterAutospacing="1"/>
              <w:rPr>
                <w:sz w:val="22"/>
                <w:szCs w:val="22"/>
              </w:rPr>
            </w:pPr>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tcPr>
          <w:p w:rsidR="00AD1806" w:rsidRPr="006D1C6F" w:rsidP="00AD1806" w14:paraId="7D383B4C" w14:textId="7187BD3D">
            <w:pPr>
              <w:rPr>
                <w:b/>
              </w:rPr>
            </w:pPr>
            <w:r w:rsidRPr="007E2F3E">
              <w:t>Neparedz stingrākas prasības</w:t>
            </w:r>
          </w:p>
        </w:tc>
      </w:tr>
      <w:tr w14:paraId="5C339836"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D1806" w:rsidRPr="00A32A84" w:rsidP="00AD1806" w14:paraId="67A1FB9F" w14:textId="1847EDC3">
            <w:pPr>
              <w:spacing w:before="120" w:after="120"/>
              <w:rPr>
                <w:sz w:val="22"/>
                <w:szCs w:val="22"/>
              </w:rPr>
            </w:pPr>
            <w:r w:rsidRPr="00A32A84">
              <w:rPr>
                <w:sz w:val="22"/>
                <w:szCs w:val="22"/>
              </w:rPr>
              <w:t>14. panta 1. punkta d) apakšpunkta i) apakšpunkts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D1806" w:rsidRPr="007C31F1" w:rsidP="00AD1806" w14:paraId="4C3EE78A" w14:textId="052F2953">
            <w:pPr>
              <w:spacing w:before="100" w:beforeAutospacing="1" w:after="100" w:afterAutospacing="1"/>
              <w:rPr>
                <w:sz w:val="22"/>
                <w:szCs w:val="22"/>
              </w:rPr>
            </w:pPr>
            <w:r>
              <w:rPr>
                <w:sz w:val="22"/>
                <w:szCs w:val="22"/>
              </w:rPr>
              <w:t>20</w:t>
            </w:r>
            <w:r w:rsidRPr="007C31F1">
              <w:rPr>
                <w:sz w:val="22"/>
                <w:szCs w:val="22"/>
              </w:rPr>
              <w:t xml:space="preserve">. </w:t>
            </w:r>
            <w:r w:rsidR="004C5BC2">
              <w:rPr>
                <w:sz w:val="22"/>
                <w:szCs w:val="22"/>
              </w:rPr>
              <w:t>pants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AD1806" w14:paraId="24457EBD" w14:textId="17D0D57A">
            <w:pPr>
              <w:spacing w:before="100" w:beforeAutospacing="1" w:after="100" w:afterAutospacing="1"/>
              <w:rPr>
                <w:sz w:val="22"/>
                <w:szCs w:val="22"/>
              </w:rPr>
            </w:pPr>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tcPr>
          <w:p w:rsidR="00AD1806" w:rsidRPr="006D1C6F" w:rsidP="00AD1806" w14:paraId="191BD7D4" w14:textId="7F73D05B">
            <w:pPr>
              <w:rPr>
                <w:b/>
              </w:rPr>
            </w:pPr>
            <w:r w:rsidRPr="007E2F3E">
              <w:t>Neparedz stingrākas prasības</w:t>
            </w:r>
          </w:p>
        </w:tc>
      </w:tr>
      <w:tr w14:paraId="6BCBFF65"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D1806" w:rsidRPr="00A32A84" w:rsidP="00AD1806" w14:paraId="0314E7B0" w14:textId="1A790D69">
            <w:pPr>
              <w:spacing w:before="120" w:after="120"/>
              <w:rPr>
                <w:sz w:val="22"/>
                <w:szCs w:val="22"/>
              </w:rPr>
            </w:pPr>
            <w:r w:rsidRPr="00A32A84">
              <w:rPr>
                <w:sz w:val="22"/>
                <w:szCs w:val="22"/>
              </w:rPr>
              <w:t>15. pants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D1806" w:rsidRPr="007C31F1" w:rsidP="00AD1806" w14:paraId="54090B73" w14:textId="2B515CCE">
            <w:pPr>
              <w:spacing w:before="100" w:beforeAutospacing="1" w:after="100" w:afterAutospacing="1"/>
              <w:rPr>
                <w:sz w:val="22"/>
                <w:szCs w:val="22"/>
              </w:rPr>
            </w:pPr>
            <w:r>
              <w:rPr>
                <w:sz w:val="22"/>
                <w:szCs w:val="22"/>
              </w:rPr>
              <w:t>20</w:t>
            </w:r>
            <w:r>
              <w:rPr>
                <w:sz w:val="22"/>
                <w:szCs w:val="22"/>
              </w:rPr>
              <w:t>. </w:t>
            </w:r>
            <w:r w:rsidR="004C5BC2">
              <w:rPr>
                <w:sz w:val="22"/>
                <w:szCs w:val="22"/>
              </w:rPr>
              <w:t>pants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AD1806" w14:paraId="7A0923AD" w14:textId="419A6065">
            <w:pPr>
              <w:spacing w:before="100" w:beforeAutospacing="1" w:after="100" w:afterAutospacing="1"/>
              <w:rPr>
                <w:sz w:val="22"/>
                <w:szCs w:val="22"/>
              </w:rPr>
            </w:pPr>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tcPr>
          <w:p w:rsidR="00AD1806" w:rsidRPr="006D1C6F" w:rsidP="00AD1806" w14:paraId="4BAAA014" w14:textId="190D355D">
            <w:pPr>
              <w:rPr>
                <w:b/>
              </w:rPr>
            </w:pPr>
            <w:r w:rsidRPr="007E2F3E">
              <w:t>Neparedz stingrākas prasības</w:t>
            </w:r>
          </w:p>
        </w:tc>
      </w:tr>
      <w:tr w14:paraId="6D2FC0B1"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D1806" w:rsidRPr="00A32A84" w:rsidP="00AD1806" w14:paraId="0E77B2DC" w14:textId="78A67414">
            <w:pPr>
              <w:spacing w:before="120" w:after="120"/>
            </w:pPr>
            <w:r w:rsidRPr="00A32A84">
              <w:rPr>
                <w:sz w:val="22"/>
                <w:szCs w:val="22"/>
              </w:rPr>
              <w:t>21. panta 3. 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D1806" w:rsidRPr="007C31F1" w:rsidP="004C5BC2" w14:paraId="21154D4F" w14:textId="12511A66">
            <w:pPr>
              <w:spacing w:before="100" w:beforeAutospacing="1" w:after="100" w:afterAutospacing="1"/>
              <w:rPr>
                <w:sz w:val="22"/>
                <w:szCs w:val="22"/>
              </w:rPr>
            </w:pPr>
            <w:r>
              <w:rPr>
                <w:sz w:val="22"/>
                <w:szCs w:val="22"/>
              </w:rPr>
              <w:t>2</w:t>
            </w:r>
            <w:r w:rsidR="00A25A6F">
              <w:rPr>
                <w:sz w:val="22"/>
                <w:szCs w:val="22"/>
              </w:rPr>
              <w:t>1</w:t>
            </w:r>
            <w:r>
              <w:rPr>
                <w:sz w:val="22"/>
                <w:szCs w:val="22"/>
              </w:rPr>
              <w:t>. p</w:t>
            </w:r>
            <w:r w:rsidR="004C5BC2">
              <w:rPr>
                <w:sz w:val="22"/>
                <w:szCs w:val="22"/>
              </w:rPr>
              <w:t>ant</w:t>
            </w:r>
            <w:r>
              <w:rPr>
                <w:sz w:val="22"/>
                <w:szCs w:val="22"/>
              </w:rPr>
              <w: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AD1806" w14:paraId="494389B2" w14:textId="5A70C993">
            <w:pPr>
              <w:spacing w:before="100" w:beforeAutospacing="1" w:after="100" w:afterAutospacing="1"/>
              <w:rPr>
                <w:sz w:val="22"/>
                <w:szCs w:val="22"/>
              </w:rPr>
            </w:pPr>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tcPr>
          <w:p w:rsidR="00AD1806" w:rsidRPr="006D1C6F" w:rsidP="00AD1806" w14:paraId="3F063BC5" w14:textId="2AC4DF78">
            <w:pPr>
              <w:rPr>
                <w:b/>
              </w:rPr>
            </w:pPr>
            <w:r w:rsidRPr="007E2F3E">
              <w:t>Neparedz stingrākas prasības</w:t>
            </w:r>
          </w:p>
        </w:tc>
      </w:tr>
      <w:tr w14:paraId="1DA981BB"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D1806" w:rsidRPr="00A32A84" w:rsidP="00AD1806" w14:paraId="253A6377" w14:textId="7AD9A8BB">
            <w:pPr>
              <w:spacing w:before="120" w:after="120"/>
              <w:rPr>
                <w:sz w:val="22"/>
                <w:szCs w:val="22"/>
              </w:rPr>
            </w:pPr>
            <w:r w:rsidRPr="00A32A84">
              <w:rPr>
                <w:sz w:val="22"/>
                <w:szCs w:val="22"/>
              </w:rPr>
              <w:t>23. panta 4.</w:t>
            </w:r>
            <w:r>
              <w:rPr>
                <w:sz w:val="22"/>
                <w:szCs w:val="22"/>
              </w:rPr>
              <w:t>, 5. un 6.</w:t>
            </w:r>
            <w:r w:rsidRPr="00A32A84">
              <w:rPr>
                <w:sz w:val="22"/>
                <w:szCs w:val="22"/>
              </w:rPr>
              <w:t xml:space="preserve"> 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D1806" w:rsidRPr="007C31F1" w:rsidP="00A25A6F" w14:paraId="4C067F8E" w14:textId="08DB473A">
            <w:pPr>
              <w:spacing w:before="100" w:beforeAutospacing="1" w:after="100" w:afterAutospacing="1"/>
              <w:rPr>
                <w:sz w:val="22"/>
                <w:szCs w:val="22"/>
              </w:rPr>
            </w:pPr>
            <w:r>
              <w:rPr>
                <w:sz w:val="22"/>
                <w:szCs w:val="22"/>
              </w:rPr>
              <w:t>2</w:t>
            </w:r>
            <w:r w:rsidR="00A25A6F">
              <w:rPr>
                <w:sz w:val="22"/>
                <w:szCs w:val="22"/>
              </w:rPr>
              <w:t>7</w:t>
            </w:r>
            <w:r>
              <w:rPr>
                <w:sz w:val="22"/>
                <w:szCs w:val="22"/>
              </w:rPr>
              <w:t xml:space="preserve">. </w:t>
            </w:r>
            <w:r w:rsidR="004C5BC2">
              <w:rPr>
                <w:sz w:val="22"/>
                <w:szCs w:val="22"/>
              </w:rPr>
              <w:t>pants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AD1806" w14:paraId="305854B0" w14:textId="285886F5">
            <w:pPr>
              <w:spacing w:before="100" w:beforeAutospacing="1" w:after="100" w:afterAutospacing="1"/>
              <w:rPr>
                <w:sz w:val="22"/>
                <w:szCs w:val="22"/>
              </w:rPr>
            </w:pPr>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tcPr>
          <w:p w:rsidR="00AD1806" w:rsidRPr="006D1C6F" w:rsidP="00AD1806" w14:paraId="47B59F35" w14:textId="5DBDB849">
            <w:pPr>
              <w:rPr>
                <w:b/>
              </w:rPr>
            </w:pPr>
            <w:r w:rsidRPr="007E2F3E">
              <w:t>Neparedz stingrākas prasības</w:t>
            </w:r>
          </w:p>
        </w:tc>
      </w:tr>
      <w:tr w14:paraId="168762EA"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D1806" w:rsidRPr="00A32A84" w:rsidP="00AD1806" w14:paraId="1A5DCB60" w14:textId="7E40BEEF">
            <w:pPr>
              <w:spacing w:before="120" w:after="120"/>
              <w:rPr>
                <w:sz w:val="22"/>
                <w:szCs w:val="22"/>
              </w:rPr>
            </w:pPr>
            <w:r w:rsidRPr="00A32A84">
              <w:rPr>
                <w:sz w:val="22"/>
                <w:szCs w:val="22"/>
              </w:rPr>
              <w:t>24. panta 2</w:t>
            </w:r>
            <w:r>
              <w:rPr>
                <w:sz w:val="22"/>
                <w:szCs w:val="22"/>
              </w:rPr>
              <w:t>.</w:t>
            </w:r>
            <w:r w:rsidRPr="00A32A84">
              <w:rPr>
                <w:sz w:val="22"/>
                <w:szCs w:val="22"/>
              </w:rPr>
              <w:t xml:space="preserve"> punkta a) apakšpunkts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D1806" w:rsidRPr="007C31F1" w:rsidP="00A25A6F" w14:paraId="1B4FD414" w14:textId="72517D21">
            <w:pPr>
              <w:spacing w:before="100" w:beforeAutospacing="1" w:after="100" w:afterAutospacing="1"/>
              <w:rPr>
                <w:sz w:val="22"/>
                <w:szCs w:val="22"/>
              </w:rPr>
            </w:pPr>
            <w:r>
              <w:rPr>
                <w:sz w:val="22"/>
                <w:szCs w:val="22"/>
              </w:rPr>
              <w:t>2</w:t>
            </w:r>
            <w:r w:rsidR="00A25A6F">
              <w:rPr>
                <w:sz w:val="22"/>
                <w:szCs w:val="22"/>
              </w:rPr>
              <w:t>5</w:t>
            </w:r>
            <w:r>
              <w:rPr>
                <w:sz w:val="22"/>
                <w:szCs w:val="22"/>
              </w:rPr>
              <w:t xml:space="preserve">. </w:t>
            </w:r>
            <w:r w:rsidR="004C5BC2">
              <w:rPr>
                <w:sz w:val="22"/>
                <w:szCs w:val="22"/>
              </w:rPr>
              <w:t>pants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AD1806" w14:paraId="6087D190" w14:textId="673E395F">
            <w:pPr>
              <w:spacing w:before="100" w:beforeAutospacing="1" w:after="100" w:afterAutospacing="1"/>
              <w:rPr>
                <w:sz w:val="22"/>
                <w:szCs w:val="22"/>
              </w:rPr>
            </w:pPr>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tcPr>
          <w:p w:rsidR="00AD1806" w:rsidRPr="006D1C6F" w:rsidP="00AD1806" w14:paraId="557F7A65" w14:textId="5253C37A">
            <w:pPr>
              <w:rPr>
                <w:b/>
              </w:rPr>
            </w:pPr>
            <w:r w:rsidRPr="007E2F3E">
              <w:t>Neparedz stingrākas prasības</w:t>
            </w:r>
          </w:p>
        </w:tc>
      </w:tr>
      <w:tr w14:paraId="0D6EC12D"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D1806" w:rsidRPr="00A32A84" w:rsidP="00AD1806" w14:paraId="0493EEF4" w14:textId="2386458D">
            <w:pPr>
              <w:spacing w:before="120" w:after="120"/>
              <w:rPr>
                <w:sz w:val="22"/>
                <w:szCs w:val="22"/>
              </w:rPr>
            </w:pPr>
            <w:r>
              <w:rPr>
                <w:sz w:val="22"/>
                <w:szCs w:val="22"/>
              </w:rPr>
              <w:t>24. panta 3. punkta a) apakšpunkts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D1806" w:rsidRPr="007C31F1" w:rsidP="00A25A6F" w14:paraId="3A42A97C" w14:textId="456ADF58">
            <w:pPr>
              <w:spacing w:before="100" w:beforeAutospacing="1" w:after="100" w:afterAutospacing="1"/>
              <w:rPr>
                <w:sz w:val="22"/>
                <w:szCs w:val="22"/>
              </w:rPr>
            </w:pPr>
            <w:r w:rsidRPr="007C31F1">
              <w:rPr>
                <w:sz w:val="22"/>
                <w:szCs w:val="22"/>
              </w:rPr>
              <w:t>1</w:t>
            </w:r>
            <w:r w:rsidR="00A25A6F">
              <w:rPr>
                <w:sz w:val="22"/>
                <w:szCs w:val="22"/>
              </w:rPr>
              <w:t>9</w:t>
            </w:r>
            <w:r w:rsidRPr="007C31F1">
              <w:rPr>
                <w:sz w:val="22"/>
                <w:szCs w:val="22"/>
              </w:rPr>
              <w:t xml:space="preserve">. </w:t>
            </w:r>
            <w:r w:rsidR="004C5BC2">
              <w:rPr>
                <w:sz w:val="22"/>
                <w:szCs w:val="22"/>
              </w:rPr>
              <w:t>pants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AD1806" w14:paraId="2A6CBF48" w14:textId="592BDF95">
            <w:pPr>
              <w:spacing w:before="100" w:beforeAutospacing="1" w:after="100" w:afterAutospacing="1"/>
              <w:rPr>
                <w:sz w:val="22"/>
                <w:szCs w:val="22"/>
              </w:rPr>
            </w:pPr>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tcPr>
          <w:p w:rsidR="00AD1806" w:rsidRPr="006D1C6F" w:rsidP="00AD1806" w14:paraId="28F300B4" w14:textId="727EFBEE">
            <w:pPr>
              <w:rPr>
                <w:b/>
              </w:rPr>
            </w:pPr>
            <w:r w:rsidRPr="007E2F3E">
              <w:t>Neparedz stingrākas prasības</w:t>
            </w:r>
          </w:p>
        </w:tc>
      </w:tr>
      <w:tr w14:paraId="129DD97A"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D1806" w:rsidRPr="00A32A84" w:rsidP="00AD1806" w14:paraId="6A5EFC57" w14:textId="7F1C7DF6">
            <w:pPr>
              <w:spacing w:before="120" w:after="120"/>
              <w:rPr>
                <w:sz w:val="22"/>
                <w:szCs w:val="22"/>
              </w:rPr>
            </w:pPr>
            <w:r w:rsidRPr="00A32A84">
              <w:rPr>
                <w:sz w:val="22"/>
                <w:szCs w:val="22"/>
              </w:rPr>
              <w:t>I pielikuma</w:t>
            </w:r>
            <w:r>
              <w:rPr>
                <w:sz w:val="22"/>
                <w:szCs w:val="22"/>
              </w:rPr>
              <w:t xml:space="preserve"> 1. punkta 1.1. apakšpunkts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D1806" w:rsidRPr="007C31F1" w:rsidP="00F34215" w14:paraId="59038D31" w14:textId="1BCAB89F">
            <w:pPr>
              <w:spacing w:before="100" w:beforeAutospacing="1" w:after="100" w:afterAutospacing="1"/>
              <w:rPr>
                <w:sz w:val="22"/>
                <w:szCs w:val="22"/>
              </w:rPr>
            </w:pPr>
            <w:r>
              <w:rPr>
                <w:sz w:val="22"/>
                <w:szCs w:val="22"/>
              </w:rPr>
              <w:t>31</w:t>
            </w:r>
            <w:r>
              <w:rPr>
                <w:sz w:val="22"/>
                <w:szCs w:val="22"/>
              </w:rPr>
              <w:t>. </w:t>
            </w:r>
            <w:r w:rsidR="004C5BC2">
              <w:rPr>
                <w:sz w:val="22"/>
                <w:szCs w:val="22"/>
              </w:rPr>
              <w:t>pants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AD1806" w14:paraId="784C66BE" w14:textId="032D2A74">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tcPr>
          <w:p w:rsidR="00AD1806" w:rsidP="00AD1806" w14:paraId="260E6DFA" w14:textId="0C93C6C9">
            <w:r w:rsidRPr="007E2F3E">
              <w:t>Neparedz stingrākas prasības</w:t>
            </w:r>
          </w:p>
        </w:tc>
      </w:tr>
      <w:tr w14:paraId="081AAD77"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D1806" w:rsidRPr="00A32A84" w:rsidP="00AD1806" w14:paraId="23D97BE4" w14:textId="0738AA76">
            <w:pPr>
              <w:spacing w:before="120" w:after="120"/>
              <w:rPr>
                <w:sz w:val="22"/>
                <w:szCs w:val="22"/>
              </w:rPr>
            </w:pPr>
            <w:r w:rsidRPr="00A32A84">
              <w:rPr>
                <w:sz w:val="22"/>
                <w:szCs w:val="22"/>
              </w:rPr>
              <w:t>I pielikuma</w:t>
            </w:r>
            <w:r>
              <w:rPr>
                <w:sz w:val="22"/>
                <w:szCs w:val="22"/>
              </w:rPr>
              <w:t xml:space="preserve"> 3.1. apakšpunkts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D1806" w:rsidRPr="007C31F1" w:rsidP="00F34215" w14:paraId="6972A4AE" w14:textId="2872CCCE">
            <w:pPr>
              <w:spacing w:before="100" w:beforeAutospacing="1" w:after="100" w:afterAutospacing="1"/>
              <w:rPr>
                <w:sz w:val="22"/>
                <w:szCs w:val="22"/>
              </w:rPr>
            </w:pPr>
            <w:r>
              <w:rPr>
                <w:sz w:val="22"/>
                <w:szCs w:val="22"/>
              </w:rPr>
              <w:t>31</w:t>
            </w:r>
            <w:r>
              <w:rPr>
                <w:sz w:val="22"/>
                <w:szCs w:val="22"/>
              </w:rPr>
              <w:t>. </w:t>
            </w:r>
            <w:r w:rsidR="004C5BC2">
              <w:rPr>
                <w:sz w:val="22"/>
                <w:szCs w:val="22"/>
              </w:rPr>
              <w:t>pants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AD1806" w14:paraId="6E2492A8" w14:textId="76C25704">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tcPr>
          <w:p w:rsidR="00AD1806" w:rsidP="00AD1806" w14:paraId="0C1B2302" w14:textId="1C3DC119">
            <w:r w:rsidRPr="007E2F3E">
              <w:t>Neparedz stingrākas prasības</w:t>
            </w:r>
          </w:p>
        </w:tc>
      </w:tr>
      <w:tr w14:paraId="35F963A8"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D1806" w:rsidRPr="00A32A84" w:rsidP="00AD1806" w14:paraId="23F6376A" w14:textId="4D8CC2B4">
            <w:pPr>
              <w:spacing w:before="120" w:after="120"/>
              <w:rPr>
                <w:sz w:val="22"/>
                <w:szCs w:val="22"/>
              </w:rPr>
            </w:pPr>
            <w:r w:rsidRPr="00A32A84">
              <w:rPr>
                <w:sz w:val="22"/>
                <w:szCs w:val="22"/>
              </w:rPr>
              <w:t>I pielikuma</w:t>
            </w:r>
            <w:r>
              <w:rPr>
                <w:sz w:val="22"/>
                <w:szCs w:val="22"/>
              </w:rPr>
              <w:t xml:space="preserve"> 5.4. apakšpunkts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D1806" w:rsidRPr="007C31F1" w:rsidP="00F34215" w14:paraId="37B8AFB4" w14:textId="2E13E2A6">
            <w:pPr>
              <w:spacing w:before="100" w:beforeAutospacing="1" w:after="100" w:afterAutospacing="1"/>
              <w:rPr>
                <w:sz w:val="22"/>
                <w:szCs w:val="22"/>
              </w:rPr>
            </w:pPr>
            <w:r>
              <w:rPr>
                <w:sz w:val="22"/>
                <w:szCs w:val="22"/>
              </w:rPr>
              <w:t>31</w:t>
            </w:r>
            <w:r>
              <w:rPr>
                <w:sz w:val="22"/>
                <w:szCs w:val="22"/>
              </w:rPr>
              <w:t xml:space="preserve">. </w:t>
            </w:r>
            <w:r w:rsidR="004C5BC2">
              <w:rPr>
                <w:sz w:val="22"/>
                <w:szCs w:val="22"/>
              </w:rPr>
              <w:t>pants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AD1806" w14:paraId="43397032" w14:textId="18911B1C">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tcPr>
          <w:p w:rsidR="00AD1806" w:rsidP="00AD1806" w14:paraId="0D9205E9" w14:textId="082598C7">
            <w:r w:rsidRPr="007E2F3E">
              <w:t>Neparedz stingrākas prasības</w:t>
            </w:r>
          </w:p>
        </w:tc>
      </w:tr>
      <w:tr w14:paraId="7BE7ECA5"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D1806" w:rsidRPr="00A32A84" w:rsidP="00AD1806" w14:paraId="4F174C15" w14:textId="498F205B">
            <w:pPr>
              <w:spacing w:before="120" w:after="120"/>
              <w:rPr>
                <w:sz w:val="22"/>
                <w:szCs w:val="22"/>
              </w:rPr>
            </w:pPr>
            <w:r w:rsidRPr="00A32A84">
              <w:rPr>
                <w:sz w:val="22"/>
                <w:szCs w:val="22"/>
              </w:rPr>
              <w:t>I pielikuma</w:t>
            </w:r>
            <w:r>
              <w:rPr>
                <w:sz w:val="22"/>
                <w:szCs w:val="22"/>
              </w:rPr>
              <w:t xml:space="preserve"> 6.8. apakšpunkts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D1806" w:rsidRPr="007C31F1" w:rsidP="00F34215" w14:paraId="4BCE9E51" w14:textId="0B663AC8">
            <w:pPr>
              <w:spacing w:before="100" w:beforeAutospacing="1" w:after="100" w:afterAutospacing="1"/>
              <w:rPr>
                <w:sz w:val="22"/>
                <w:szCs w:val="22"/>
              </w:rPr>
            </w:pPr>
            <w:r>
              <w:rPr>
                <w:sz w:val="22"/>
                <w:szCs w:val="22"/>
              </w:rPr>
              <w:t>31</w:t>
            </w:r>
            <w:r>
              <w:rPr>
                <w:sz w:val="22"/>
                <w:szCs w:val="22"/>
              </w:rPr>
              <w:t xml:space="preserve">. </w:t>
            </w:r>
            <w:r w:rsidR="004C5BC2">
              <w:rPr>
                <w:sz w:val="22"/>
                <w:szCs w:val="22"/>
              </w:rPr>
              <w:t>pants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D1806" w:rsidRPr="00AD1806" w:rsidP="00AD1806" w14:paraId="509C575A" w14:textId="11C9C5E2">
            <w:r w:rsidRPr="00AD1806">
              <w:rPr>
                <w:sz w:val="22"/>
                <w:szCs w:val="22"/>
              </w:rPr>
              <w:t>Pārņemts pilnībā</w:t>
            </w:r>
          </w:p>
        </w:tc>
        <w:tc>
          <w:tcPr>
            <w:tcW w:w="1170" w:type="pct"/>
            <w:tcBorders>
              <w:top w:val="single" w:sz="4" w:space="0" w:color="auto"/>
              <w:left w:val="single" w:sz="4" w:space="0" w:color="auto"/>
              <w:bottom w:val="single" w:sz="4" w:space="0" w:color="auto"/>
              <w:right w:val="single" w:sz="4" w:space="0" w:color="auto"/>
            </w:tcBorders>
          </w:tcPr>
          <w:p w:rsidR="00AD1806" w:rsidP="00AD1806" w14:paraId="18CFEDF1" w14:textId="2562C2B7">
            <w:r w:rsidRPr="007E2F3E">
              <w:t>Neparedz stingrākas prasības</w:t>
            </w:r>
          </w:p>
        </w:tc>
      </w:tr>
      <w:tr w14:paraId="5A1177E8" w14:textId="77777777" w:rsidTr="0041125F">
        <w:tblPrEx>
          <w:tblW w:w="5000" w:type="pct"/>
          <w:jc w:val="center"/>
          <w:tblLayout w:type="fixed"/>
          <w:tblLook w:val="04A0"/>
        </w:tblPrEx>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41125F" w14:paraId="35F3C87D" w14:textId="77777777">
            <w:pPr>
              <w:rPr>
                <w:b/>
              </w:rPr>
            </w:pPr>
            <w:r w:rsidRPr="0041125F">
              <w:rPr>
                <w:b/>
              </w:rPr>
              <w:t>Direktīva (ES) 2016/2284</w:t>
            </w:r>
          </w:p>
          <w:p w:rsidR="00AE27F0" w:rsidRPr="0041125F" w14:paraId="1B2E4B75" w14:textId="668A8365">
            <w:pPr>
              <w:rPr>
                <w:b/>
              </w:rPr>
            </w:pPr>
          </w:p>
        </w:tc>
      </w:tr>
      <w:tr w14:paraId="73D34C59"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vAlign w:val="center"/>
          </w:tcPr>
          <w:p w:rsidR="00A32A84" w:rsidRPr="00A32A84" w:rsidP="0041125F" w14:paraId="75422019" w14:textId="357AB768">
            <w:pPr>
              <w:spacing w:before="120" w:after="120"/>
              <w:rPr>
                <w:sz w:val="22"/>
                <w:szCs w:val="22"/>
              </w:rPr>
            </w:pPr>
            <w:r>
              <w:rPr>
                <w:sz w:val="22"/>
                <w:szCs w:val="22"/>
              </w:rPr>
              <w:t>6. panta 1. punkts un 8. panta 1. punkts</w:t>
            </w:r>
          </w:p>
        </w:tc>
        <w:tc>
          <w:tcPr>
            <w:tcW w:w="782" w:type="pct"/>
            <w:gridSpan w:val="2"/>
            <w:tcBorders>
              <w:top w:val="single" w:sz="4" w:space="0" w:color="auto"/>
              <w:left w:val="single" w:sz="4" w:space="0" w:color="auto"/>
              <w:bottom w:val="single" w:sz="4" w:space="0" w:color="auto"/>
              <w:right w:val="single" w:sz="4" w:space="0" w:color="auto"/>
            </w:tcBorders>
            <w:vAlign w:val="center"/>
          </w:tcPr>
          <w:p w:rsidR="00A32A84" w14:paraId="04D66030" w14:textId="7F9AA241">
            <w:pPr>
              <w:spacing w:before="100" w:beforeAutospacing="1" w:after="100" w:afterAutospacing="1"/>
              <w:rPr>
                <w:sz w:val="22"/>
                <w:szCs w:val="22"/>
              </w:rPr>
            </w:pPr>
            <w:r>
              <w:rPr>
                <w:sz w:val="22"/>
                <w:szCs w:val="22"/>
              </w:rPr>
              <w:t>9</w:t>
            </w:r>
            <w:r w:rsidR="0041125F">
              <w:rPr>
                <w:sz w:val="22"/>
                <w:szCs w:val="22"/>
              </w:rPr>
              <w:t>. </w:t>
            </w:r>
            <w:r w:rsidR="004C5BC2">
              <w:rPr>
                <w:sz w:val="22"/>
                <w:szCs w:val="22"/>
              </w:rPr>
              <w:t>pants</w:t>
            </w:r>
          </w:p>
        </w:tc>
        <w:tc>
          <w:tcPr>
            <w:tcW w:w="1330" w:type="pct"/>
            <w:gridSpan w:val="2"/>
            <w:tcBorders>
              <w:top w:val="single" w:sz="4" w:space="0" w:color="auto"/>
              <w:left w:val="single" w:sz="4" w:space="0" w:color="auto"/>
              <w:bottom w:val="single" w:sz="4" w:space="0" w:color="auto"/>
              <w:right w:val="single" w:sz="4" w:space="0" w:color="auto"/>
            </w:tcBorders>
            <w:vAlign w:val="center"/>
          </w:tcPr>
          <w:p w:rsidR="00A32A84" w:rsidRPr="00FA791C" w14:paraId="2F34C3B7" w14:textId="18FD46C6">
            <w:pPr>
              <w:rPr>
                <w:b/>
              </w:rPr>
            </w:pPr>
            <w:r w:rsidRPr="00C67850">
              <w:t>Pārņemts daļēji. Pārējās prasības tiks pārņemtas</w:t>
            </w:r>
            <w:r w:rsidR="00897D34">
              <w:t>,</w:t>
            </w:r>
            <w:r w:rsidRPr="00C67850">
              <w:t xml:space="preserve"> izdodot</w:t>
            </w:r>
            <w:r w:rsidRPr="00AD1806">
              <w:t xml:space="preserve"> jaunus MK noteikumus.</w:t>
            </w:r>
          </w:p>
        </w:tc>
        <w:tc>
          <w:tcPr>
            <w:tcW w:w="1170" w:type="pct"/>
            <w:tcBorders>
              <w:top w:val="single" w:sz="4" w:space="0" w:color="auto"/>
              <w:left w:val="single" w:sz="4" w:space="0" w:color="auto"/>
              <w:bottom w:val="single" w:sz="4" w:space="0" w:color="auto"/>
              <w:right w:val="single" w:sz="4" w:space="0" w:color="auto"/>
            </w:tcBorders>
            <w:vAlign w:val="center"/>
          </w:tcPr>
          <w:p w:rsidR="00A32A84" w14:paraId="164518C0" w14:textId="58D4B7B4">
            <w:r w:rsidRPr="00AD1806">
              <w:t>Neparedz stingrākas prasības</w:t>
            </w:r>
          </w:p>
        </w:tc>
      </w:tr>
      <w:tr w14:paraId="67A468F5"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tcPr>
          <w:p w:rsidR="00E0637B" w14:paraId="6E8A4E6D" w14:textId="77777777">
            <w:pPr>
              <w:rPr>
                <w:sz w:val="22"/>
                <w:szCs w:val="22"/>
              </w:rPr>
            </w:pPr>
            <w:r>
              <w:rPr>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282" w:type="pct"/>
            <w:gridSpan w:val="5"/>
            <w:tcBorders>
              <w:top w:val="single" w:sz="4" w:space="0" w:color="auto"/>
              <w:left w:val="single" w:sz="4" w:space="0" w:color="auto"/>
              <w:bottom w:val="single" w:sz="4" w:space="0" w:color="auto"/>
              <w:right w:val="single" w:sz="4" w:space="0" w:color="auto"/>
            </w:tcBorders>
          </w:tcPr>
          <w:p w:rsidR="00E0637B" w14:paraId="4AEFABF3" w14:textId="77777777">
            <w:pPr>
              <w:rPr>
                <w:sz w:val="22"/>
                <w:szCs w:val="22"/>
              </w:rPr>
            </w:pPr>
            <w:r>
              <w:rPr>
                <w:sz w:val="22"/>
                <w:szCs w:val="22"/>
              </w:rPr>
              <w:t>Noteikumu projekts šo jomu neskar.</w:t>
            </w:r>
          </w:p>
        </w:tc>
      </w:tr>
      <w:tr w14:paraId="64CD0B00" w14:textId="77777777" w:rsidTr="00B3116A">
        <w:tblPrEx>
          <w:tblW w:w="5000" w:type="pct"/>
          <w:jc w:val="center"/>
          <w:tblLayout w:type="fixed"/>
          <w:tblLook w:val="04A0"/>
        </w:tblPrEx>
        <w:trPr>
          <w:jc w:val="center"/>
        </w:trPr>
        <w:tc>
          <w:tcPr>
            <w:tcW w:w="1718" w:type="pct"/>
            <w:tcBorders>
              <w:top w:val="single" w:sz="4" w:space="0" w:color="auto"/>
              <w:left w:val="single" w:sz="4" w:space="0" w:color="auto"/>
              <w:bottom w:val="single" w:sz="4" w:space="0" w:color="auto"/>
              <w:right w:val="single" w:sz="4" w:space="0" w:color="auto"/>
            </w:tcBorders>
          </w:tcPr>
          <w:p w:rsidR="00E0637B" w14:paraId="295B7D7C" w14:textId="77777777">
            <w:pPr>
              <w:rPr>
                <w:sz w:val="22"/>
                <w:szCs w:val="22"/>
              </w:rPr>
            </w:pPr>
            <w:r>
              <w:rPr>
                <w:sz w:val="22"/>
                <w:szCs w:val="22"/>
              </w:rPr>
              <w:t>Cita informācija</w:t>
            </w:r>
          </w:p>
        </w:tc>
        <w:tc>
          <w:tcPr>
            <w:tcW w:w="3282" w:type="pct"/>
            <w:gridSpan w:val="5"/>
            <w:tcBorders>
              <w:top w:val="single" w:sz="4" w:space="0" w:color="auto"/>
              <w:left w:val="single" w:sz="4" w:space="0" w:color="auto"/>
              <w:bottom w:val="single" w:sz="4" w:space="0" w:color="auto"/>
              <w:right w:val="single" w:sz="4" w:space="0" w:color="auto"/>
            </w:tcBorders>
          </w:tcPr>
          <w:p w:rsidR="00E0637B" w14:paraId="35E9C8E7" w14:textId="77777777">
            <w:pPr>
              <w:rPr>
                <w:sz w:val="22"/>
                <w:szCs w:val="22"/>
              </w:rPr>
            </w:pPr>
            <w:r>
              <w:rPr>
                <w:sz w:val="22"/>
                <w:szCs w:val="22"/>
              </w:rPr>
              <w:t>Nav</w:t>
            </w:r>
          </w:p>
        </w:tc>
      </w:tr>
      <w:tr w14:paraId="14E2227C" w14:textId="77777777" w:rsidTr="007B303A">
        <w:tblPrEx>
          <w:tblW w:w="5000" w:type="pct"/>
          <w:jc w:val="center"/>
          <w:tblLayout w:type="fixed"/>
          <w:tblLook w:val="04A0"/>
        </w:tblPrEx>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E0637B" w:rsidP="00F925F5" w14:paraId="292BEAF9" w14:textId="29117C15">
            <w:pPr>
              <w:jc w:val="center"/>
              <w:rPr>
                <w:b/>
                <w:sz w:val="22"/>
                <w:szCs w:val="22"/>
              </w:rPr>
            </w:pPr>
            <w:r>
              <w:rPr>
                <w:b/>
                <w:sz w:val="22"/>
                <w:szCs w:val="22"/>
              </w:rPr>
              <w:t>2. tabula</w:t>
            </w:r>
            <w:r>
              <w:rPr>
                <w:b/>
                <w:sz w:val="22"/>
                <w:szCs w:val="22"/>
              </w:rPr>
              <w:br/>
              <w:t>Ar tiesību akta projektu izpildītās vai uzņemtās saistības, kas izriet no starptautiskajiem tiesību aktiem vai starptautiskas institūcijas vai organizācijas dokumentiem.</w:t>
            </w:r>
            <w:r>
              <w:rPr>
                <w:b/>
                <w:sz w:val="22"/>
                <w:szCs w:val="22"/>
              </w:rPr>
              <w:br/>
              <w:t>Pasākumi šo saistību izpildei</w:t>
            </w:r>
          </w:p>
        </w:tc>
      </w:tr>
      <w:tr w14:paraId="53CA6E85" w14:textId="77777777" w:rsidTr="007B303A">
        <w:tblPrEx>
          <w:tblW w:w="5000" w:type="pct"/>
          <w:jc w:val="center"/>
          <w:tblLayout w:type="fixed"/>
          <w:tblLook w:val="04A0"/>
        </w:tblPrEx>
        <w:trPr>
          <w:jc w:val="center"/>
        </w:trPr>
        <w:tc>
          <w:tcPr>
            <w:tcW w:w="2435" w:type="pct"/>
            <w:gridSpan w:val="2"/>
            <w:tcBorders>
              <w:top w:val="single" w:sz="4" w:space="0" w:color="auto"/>
              <w:left w:val="single" w:sz="4" w:space="0" w:color="auto"/>
              <w:bottom w:val="single" w:sz="4" w:space="0" w:color="auto"/>
              <w:right w:val="single" w:sz="4" w:space="0" w:color="auto"/>
            </w:tcBorders>
          </w:tcPr>
          <w:p w:rsidR="00E0637B" w14:paraId="4251A239" w14:textId="77777777">
            <w:pPr>
              <w:rPr>
                <w:sz w:val="22"/>
                <w:szCs w:val="22"/>
                <w:lang w:eastAsia="en-US"/>
              </w:rPr>
            </w:pPr>
            <w:r>
              <w:rPr>
                <w:sz w:val="22"/>
                <w:szCs w:val="22"/>
              </w:rPr>
              <w:t>Attiecīgā starptautiskā tiesību akta vai starptautiskas institūcijas vai organizācijas dokumenta (turpmāk – starptautiskais dokuments) datums, numurs un nosaukums</w:t>
            </w:r>
          </w:p>
        </w:tc>
        <w:tc>
          <w:tcPr>
            <w:tcW w:w="2565" w:type="pct"/>
            <w:gridSpan w:val="4"/>
            <w:tcBorders>
              <w:top w:val="single" w:sz="4" w:space="0" w:color="auto"/>
              <w:left w:val="single" w:sz="4" w:space="0" w:color="auto"/>
              <w:bottom w:val="single" w:sz="4" w:space="0" w:color="auto"/>
              <w:right w:val="single" w:sz="4" w:space="0" w:color="auto"/>
            </w:tcBorders>
          </w:tcPr>
          <w:p w:rsidR="00E0637B" w:rsidRPr="0036576E" w:rsidP="00776115" w14:paraId="50C940DE" w14:textId="1ED1EF26">
            <w:pPr>
              <w:jc w:val="both"/>
              <w:rPr>
                <w:sz w:val="22"/>
                <w:szCs w:val="22"/>
              </w:rPr>
            </w:pPr>
            <w:r>
              <w:t>1979. gada Ženēvas Konvencijas "Par robežšķērsojošo gaisa piesārņošanu lielos attālumos samazināšanu un ierobežošanu" un tās 1999. gada Gēteborgas protokols "Par paskābināšanas, eitrofikācijas un piezemes ozona līmeņa samazināšanu".</w:t>
            </w:r>
          </w:p>
        </w:tc>
      </w:tr>
      <w:tr w14:paraId="4523C6B7" w14:textId="77777777" w:rsidTr="007B303A">
        <w:tblPrEx>
          <w:tblW w:w="5000" w:type="pct"/>
          <w:jc w:val="center"/>
          <w:tblLayout w:type="fixed"/>
          <w:tblLook w:val="04A0"/>
        </w:tblPrEx>
        <w:trPr>
          <w:jc w:val="center"/>
        </w:trPr>
        <w:tc>
          <w:tcPr>
            <w:tcW w:w="2435" w:type="pct"/>
            <w:gridSpan w:val="2"/>
            <w:tcBorders>
              <w:top w:val="single" w:sz="4" w:space="0" w:color="auto"/>
              <w:left w:val="single" w:sz="4" w:space="0" w:color="auto"/>
              <w:bottom w:val="single" w:sz="4" w:space="0" w:color="auto"/>
              <w:right w:val="single" w:sz="4" w:space="0" w:color="auto"/>
            </w:tcBorders>
          </w:tcPr>
          <w:p w:rsidR="00E0637B" w14:paraId="17FED769" w14:textId="77777777">
            <w:pPr>
              <w:jc w:val="center"/>
              <w:rPr>
                <w:sz w:val="22"/>
                <w:szCs w:val="22"/>
              </w:rPr>
            </w:pPr>
            <w:r>
              <w:rPr>
                <w:sz w:val="22"/>
                <w:szCs w:val="22"/>
              </w:rPr>
              <w:t>A</w:t>
            </w:r>
          </w:p>
        </w:tc>
        <w:tc>
          <w:tcPr>
            <w:tcW w:w="1351" w:type="pct"/>
            <w:gridSpan w:val="2"/>
            <w:tcBorders>
              <w:top w:val="single" w:sz="4" w:space="0" w:color="auto"/>
              <w:left w:val="single" w:sz="4" w:space="0" w:color="auto"/>
              <w:bottom w:val="single" w:sz="4" w:space="0" w:color="auto"/>
              <w:right w:val="single" w:sz="4" w:space="0" w:color="auto"/>
            </w:tcBorders>
          </w:tcPr>
          <w:p w:rsidR="00E0637B" w14:paraId="269A8A9F" w14:textId="77777777">
            <w:pPr>
              <w:jc w:val="center"/>
              <w:rPr>
                <w:sz w:val="22"/>
                <w:szCs w:val="22"/>
              </w:rPr>
            </w:pPr>
            <w:r>
              <w:rPr>
                <w:sz w:val="22"/>
                <w:szCs w:val="22"/>
              </w:rPr>
              <w:t>B</w:t>
            </w:r>
          </w:p>
        </w:tc>
        <w:tc>
          <w:tcPr>
            <w:tcW w:w="1214" w:type="pct"/>
            <w:gridSpan w:val="2"/>
            <w:tcBorders>
              <w:top w:val="single" w:sz="4" w:space="0" w:color="auto"/>
              <w:left w:val="single" w:sz="4" w:space="0" w:color="auto"/>
              <w:bottom w:val="single" w:sz="4" w:space="0" w:color="auto"/>
              <w:right w:val="single" w:sz="4" w:space="0" w:color="auto"/>
            </w:tcBorders>
          </w:tcPr>
          <w:p w:rsidR="00E0637B" w14:paraId="11C4C770" w14:textId="77777777">
            <w:pPr>
              <w:jc w:val="center"/>
              <w:rPr>
                <w:sz w:val="22"/>
                <w:szCs w:val="22"/>
              </w:rPr>
            </w:pPr>
            <w:r>
              <w:rPr>
                <w:sz w:val="22"/>
                <w:szCs w:val="22"/>
              </w:rPr>
              <w:t>C</w:t>
            </w:r>
          </w:p>
        </w:tc>
      </w:tr>
      <w:tr w14:paraId="3A26C1C6" w14:textId="77777777" w:rsidTr="007B303A">
        <w:tblPrEx>
          <w:tblW w:w="5000" w:type="pct"/>
          <w:jc w:val="center"/>
          <w:tblLayout w:type="fixed"/>
          <w:tblLook w:val="04A0"/>
        </w:tblPrEx>
        <w:trPr>
          <w:jc w:val="center"/>
        </w:trPr>
        <w:tc>
          <w:tcPr>
            <w:tcW w:w="2435" w:type="pct"/>
            <w:gridSpan w:val="2"/>
            <w:tcBorders>
              <w:top w:val="single" w:sz="4" w:space="0" w:color="auto"/>
              <w:left w:val="single" w:sz="4" w:space="0" w:color="auto"/>
              <w:bottom w:val="single" w:sz="4" w:space="0" w:color="auto"/>
              <w:right w:val="single" w:sz="4" w:space="0" w:color="auto"/>
            </w:tcBorders>
          </w:tcPr>
          <w:p w:rsidR="00E0637B" w:rsidP="00A6736C" w14:paraId="088B28B6" w14:textId="34C8D934">
            <w:pPr>
              <w:spacing w:before="75" w:after="75"/>
              <w:jc w:val="both"/>
              <w:rPr>
                <w:sz w:val="22"/>
                <w:szCs w:val="22"/>
              </w:rPr>
            </w:pPr>
            <w:r>
              <w:rPr>
                <w:sz w:val="22"/>
                <w:szCs w:val="22"/>
              </w:rPr>
              <w:t xml:space="preserve">Protokols </w:t>
            </w:r>
            <w:r w:rsidR="00A6736C">
              <w:rPr>
                <w:sz w:val="22"/>
                <w:szCs w:val="22"/>
              </w:rPr>
              <w:t>nosaka</w:t>
            </w:r>
            <w:r>
              <w:rPr>
                <w:sz w:val="22"/>
                <w:szCs w:val="22"/>
              </w:rPr>
              <w:t xml:space="preserve"> Latvijai pienākumu </w:t>
            </w:r>
            <w:r w:rsidRPr="00E42F68">
              <w:rPr>
                <w:sz w:val="22"/>
                <w:szCs w:val="22"/>
              </w:rPr>
              <w:t>veikt attiecīgus pasākumus, lai Latvija pēc 2010.gada nepārsniegtu maksimāli pieļaujamo gaisu piesārņojošo vielu emisiju gaisā (protokola 3.pants un II.</w:t>
            </w:r>
            <w:r>
              <w:rPr>
                <w:sz w:val="22"/>
                <w:szCs w:val="22"/>
              </w:rPr>
              <w:t xml:space="preserve"> </w:t>
            </w:r>
            <w:r w:rsidRPr="00E42F68">
              <w:rPr>
                <w:sz w:val="22"/>
                <w:szCs w:val="22"/>
              </w:rPr>
              <w:t>pielikums);</w:t>
            </w:r>
          </w:p>
        </w:tc>
        <w:tc>
          <w:tcPr>
            <w:tcW w:w="1351" w:type="pct"/>
            <w:gridSpan w:val="2"/>
            <w:tcBorders>
              <w:top w:val="single" w:sz="4" w:space="0" w:color="auto"/>
              <w:left w:val="single" w:sz="4" w:space="0" w:color="auto"/>
              <w:bottom w:val="single" w:sz="4" w:space="0" w:color="auto"/>
              <w:right w:val="single" w:sz="4" w:space="0" w:color="auto"/>
            </w:tcBorders>
          </w:tcPr>
          <w:p w:rsidR="00E0637B" w:rsidRPr="004E653D" w:rsidP="00E42F68" w14:paraId="5DA57381" w14:textId="2775D86E">
            <w:pPr>
              <w:jc w:val="both"/>
              <w:rPr>
                <w:sz w:val="22"/>
                <w:szCs w:val="22"/>
              </w:rPr>
            </w:pPr>
            <w:r>
              <w:rPr>
                <w:sz w:val="22"/>
                <w:szCs w:val="22"/>
              </w:rPr>
              <w:t>Likumprojekta 9. punkts, kas nosaka pienākumu izstrādāt gaisa piesārņojuma samazināšanas rīcības programmu un veikt tajā noteiktos pasākumus emisiju samazināšanai</w:t>
            </w:r>
          </w:p>
        </w:tc>
        <w:tc>
          <w:tcPr>
            <w:tcW w:w="1214" w:type="pct"/>
            <w:gridSpan w:val="2"/>
            <w:tcBorders>
              <w:top w:val="single" w:sz="4" w:space="0" w:color="auto"/>
              <w:left w:val="single" w:sz="4" w:space="0" w:color="auto"/>
              <w:bottom w:val="single" w:sz="4" w:space="0" w:color="auto"/>
              <w:right w:val="single" w:sz="4" w:space="0" w:color="auto"/>
            </w:tcBorders>
          </w:tcPr>
          <w:p w:rsidR="00E0637B" w:rsidRPr="004E653D" w14:paraId="2F4D0E35" w14:textId="29E8A7EB">
            <w:pPr>
              <w:rPr>
                <w:sz w:val="22"/>
                <w:szCs w:val="22"/>
              </w:rPr>
            </w:pPr>
            <w:r w:rsidRPr="004E653D">
              <w:rPr>
                <w:sz w:val="22"/>
                <w:szCs w:val="22"/>
              </w:rPr>
              <w:t>Saistības pilnībā izpildītas.</w:t>
            </w:r>
          </w:p>
        </w:tc>
      </w:tr>
      <w:tr w14:paraId="1CF76C64" w14:textId="77777777" w:rsidTr="007B303A">
        <w:tblPrEx>
          <w:tblW w:w="5000" w:type="pct"/>
          <w:jc w:val="center"/>
          <w:tblLayout w:type="fixed"/>
          <w:tblLook w:val="04A0"/>
        </w:tblPrEx>
        <w:trPr>
          <w:jc w:val="center"/>
        </w:trPr>
        <w:tc>
          <w:tcPr>
            <w:tcW w:w="2435" w:type="pct"/>
            <w:gridSpan w:val="2"/>
            <w:tcBorders>
              <w:top w:val="single" w:sz="4" w:space="0" w:color="auto"/>
              <w:left w:val="single" w:sz="4" w:space="0" w:color="auto"/>
              <w:bottom w:val="single" w:sz="4" w:space="0" w:color="auto"/>
              <w:right w:val="single" w:sz="4" w:space="0" w:color="auto"/>
            </w:tcBorders>
          </w:tcPr>
          <w:p w:rsidR="007B303A" w14:paraId="7BE49D72" w14:textId="196EC6CE">
            <w:pPr>
              <w:rPr>
                <w:sz w:val="22"/>
                <w:szCs w:val="22"/>
              </w:rPr>
            </w:pPr>
            <w:r>
              <w:rPr>
                <w:sz w:val="22"/>
                <w:szCs w:val="22"/>
              </w:rPr>
              <w:t>Vai starptautiskajā dokumentā paredzētās saistības nav pretrunā ar jau esošajām Latvijas Republikas starptautiskajām saistībām</w:t>
            </w:r>
          </w:p>
        </w:tc>
        <w:tc>
          <w:tcPr>
            <w:tcW w:w="2565" w:type="pct"/>
            <w:gridSpan w:val="4"/>
            <w:tcBorders>
              <w:top w:val="single" w:sz="4" w:space="0" w:color="auto"/>
              <w:left w:val="single" w:sz="4" w:space="0" w:color="auto"/>
              <w:bottom w:val="single" w:sz="4" w:space="0" w:color="auto"/>
              <w:right w:val="single" w:sz="4" w:space="0" w:color="auto"/>
            </w:tcBorders>
          </w:tcPr>
          <w:p w:rsidR="00E0637B" w14:paraId="0C791A6D" w14:textId="77777777">
            <w:pPr>
              <w:rPr>
                <w:sz w:val="22"/>
                <w:szCs w:val="22"/>
              </w:rPr>
            </w:pPr>
            <w:r>
              <w:rPr>
                <w:sz w:val="22"/>
                <w:szCs w:val="22"/>
              </w:rPr>
              <w:t>Projekts šo jomu neskar.</w:t>
            </w:r>
          </w:p>
        </w:tc>
      </w:tr>
      <w:tr w14:paraId="0D65133C" w14:textId="77777777" w:rsidTr="007B303A">
        <w:tblPrEx>
          <w:tblW w:w="5000" w:type="pct"/>
          <w:jc w:val="center"/>
          <w:tblLayout w:type="fixed"/>
          <w:tblLook w:val="04A0"/>
        </w:tblPrEx>
        <w:trPr>
          <w:jc w:val="center"/>
        </w:trPr>
        <w:tc>
          <w:tcPr>
            <w:tcW w:w="2435" w:type="pct"/>
            <w:gridSpan w:val="2"/>
            <w:tcBorders>
              <w:top w:val="single" w:sz="4" w:space="0" w:color="auto"/>
              <w:left w:val="single" w:sz="4" w:space="0" w:color="auto"/>
              <w:bottom w:val="single" w:sz="4" w:space="0" w:color="auto"/>
              <w:right w:val="single" w:sz="4" w:space="0" w:color="auto"/>
            </w:tcBorders>
          </w:tcPr>
          <w:p w:rsidR="007B303A" w14:paraId="5B05F2EC" w14:textId="49CD899A">
            <w:pPr>
              <w:rPr>
                <w:sz w:val="22"/>
                <w:szCs w:val="22"/>
              </w:rPr>
            </w:pPr>
            <w:r>
              <w:rPr>
                <w:sz w:val="22"/>
                <w:szCs w:val="22"/>
              </w:rPr>
              <w:t>Cita informācija</w:t>
            </w:r>
          </w:p>
        </w:tc>
        <w:tc>
          <w:tcPr>
            <w:tcW w:w="2565" w:type="pct"/>
            <w:gridSpan w:val="4"/>
            <w:tcBorders>
              <w:top w:val="single" w:sz="4" w:space="0" w:color="auto"/>
              <w:left w:val="single" w:sz="4" w:space="0" w:color="auto"/>
              <w:bottom w:val="single" w:sz="4" w:space="0" w:color="auto"/>
              <w:right w:val="single" w:sz="4" w:space="0" w:color="auto"/>
            </w:tcBorders>
          </w:tcPr>
          <w:p w:rsidR="00E0637B" w14:paraId="0E45233A" w14:textId="26588BCC">
            <w:pPr>
              <w:rPr>
                <w:sz w:val="22"/>
                <w:szCs w:val="22"/>
              </w:rPr>
            </w:pPr>
            <w:r>
              <w:rPr>
                <w:sz w:val="22"/>
                <w:szCs w:val="22"/>
              </w:rPr>
              <w:t>Nav</w:t>
            </w:r>
            <w:r w:rsidR="00655FA0">
              <w:rPr>
                <w:sz w:val="22"/>
                <w:szCs w:val="22"/>
              </w:rPr>
              <w:t>.</w:t>
            </w:r>
          </w:p>
        </w:tc>
      </w:tr>
    </w:tbl>
    <w:p w:rsidR="00E0637B" w14:paraId="799F89E2" w14:textId="777777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1"/>
        <w:gridCol w:w="1558"/>
        <w:gridCol w:w="7082"/>
      </w:tblGrid>
      <w:tr w14:paraId="6CF95EFA" w14:textId="77777777" w:rsidTr="00567DA5">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jc w:val="center"/>
        </w:trPr>
        <w:tc>
          <w:tcPr>
            <w:tcW w:w="5000" w:type="pct"/>
            <w:gridSpan w:val="3"/>
          </w:tcPr>
          <w:p w:rsidR="00E0637B" w14:paraId="78799FEE" w14:textId="77777777">
            <w:pPr>
              <w:pStyle w:val="naisnod"/>
              <w:spacing w:before="0" w:after="0"/>
              <w:ind w:left="57" w:right="57"/>
            </w:pPr>
            <w:r>
              <w:t>VI. Sabiedrības līdzdalība un komunikācijas aktivitātes</w:t>
            </w:r>
          </w:p>
        </w:tc>
      </w:tr>
      <w:tr w14:paraId="4BC41242" w14:textId="77777777" w:rsidTr="00567DA5">
        <w:tblPrEx>
          <w:tblW w:w="5000" w:type="pct"/>
          <w:jc w:val="center"/>
          <w:tblLayout w:type="fixed"/>
          <w:tblCellMar>
            <w:left w:w="0" w:type="dxa"/>
            <w:right w:w="0" w:type="dxa"/>
          </w:tblCellMar>
          <w:tblLook w:val="04A0"/>
        </w:tblPrEx>
        <w:trPr>
          <w:trHeight w:val="553"/>
          <w:jc w:val="center"/>
        </w:trPr>
        <w:tc>
          <w:tcPr>
            <w:tcW w:w="232" w:type="pct"/>
          </w:tcPr>
          <w:p w:rsidR="00E0637B" w14:paraId="35BD7DDA" w14:textId="77777777">
            <w:pPr>
              <w:pStyle w:val="naiskr"/>
              <w:spacing w:before="0" w:after="0"/>
              <w:ind w:left="57" w:right="57"/>
            </w:pPr>
            <w:r>
              <w:rPr>
                <w:sz w:val="22"/>
                <w:szCs w:val="22"/>
              </w:rPr>
              <w:t>1.</w:t>
            </w:r>
          </w:p>
        </w:tc>
        <w:tc>
          <w:tcPr>
            <w:tcW w:w="860" w:type="pct"/>
          </w:tcPr>
          <w:p w:rsidR="00E0637B" w14:paraId="4191F6BA" w14:textId="77777777">
            <w:pPr>
              <w:pStyle w:val="naiskr"/>
              <w:tabs>
                <w:tab w:val="left" w:pos="170"/>
              </w:tabs>
              <w:spacing w:before="0" w:after="0"/>
              <w:ind w:left="57" w:right="57"/>
            </w:pPr>
            <w:r>
              <w:t>Plānotās sabiedrības līdzdalības un komunikācijas aktivitātes saistībā ar projektu</w:t>
            </w:r>
          </w:p>
        </w:tc>
        <w:tc>
          <w:tcPr>
            <w:tcW w:w="3907" w:type="pct"/>
          </w:tcPr>
          <w:p w:rsidR="00E0637B" w:rsidP="00434EAA" w14:paraId="17B311F1" w14:textId="05FD46B7">
            <w:pPr>
              <w:jc w:val="both"/>
            </w:pPr>
            <w:r>
              <w:t>Saskaņā ar Ministru kabineta 2009. gada 25. augusta noteikumu Nr. 970 „Sabiedrības līdzdalības kārtība</w:t>
            </w:r>
            <w:r w:rsidR="00923CBD">
              <w:t xml:space="preserve"> attīstības plānošanas procesā” </w:t>
            </w:r>
            <w:r>
              <w:t>7.4.</w:t>
            </w:r>
            <w:r>
              <w:rPr>
                <w:vertAlign w:val="superscript"/>
              </w:rPr>
              <w:t>1 </w:t>
            </w:r>
            <w:r>
              <w:t xml:space="preserve">apakšpunktu sabiedrības pārstāvji ir aicināti līdzdarboties, rakstiski sniedzot viedokli par </w:t>
            </w:r>
            <w:r w:rsidR="00FD0FF1">
              <w:t>likum</w:t>
            </w:r>
            <w:r>
              <w:t xml:space="preserve">projektu tā izstrādes stadijā. Sabiedrības pārstāvji ir informēti par iespēju līdzdarboties, publicējot paziņojumu par līdzdalības procesu </w:t>
            </w:r>
            <w:r w:rsidR="00434EAA">
              <w:t>VARAM tīmekļ</w:t>
            </w:r>
            <w:r>
              <w:t>vietnē.</w:t>
            </w:r>
          </w:p>
        </w:tc>
      </w:tr>
      <w:tr w14:paraId="408EA931" w14:textId="77777777" w:rsidTr="00567DA5">
        <w:tblPrEx>
          <w:tblW w:w="5000" w:type="pct"/>
          <w:jc w:val="center"/>
          <w:tblLayout w:type="fixed"/>
          <w:tblCellMar>
            <w:left w:w="0" w:type="dxa"/>
            <w:right w:w="0" w:type="dxa"/>
          </w:tblCellMar>
          <w:tblLook w:val="04A0"/>
        </w:tblPrEx>
        <w:trPr>
          <w:trHeight w:val="339"/>
          <w:jc w:val="center"/>
        </w:trPr>
        <w:tc>
          <w:tcPr>
            <w:tcW w:w="232" w:type="pct"/>
          </w:tcPr>
          <w:p w:rsidR="00E0637B" w14:paraId="3BFD414C" w14:textId="77777777">
            <w:pPr>
              <w:pStyle w:val="naiskr"/>
              <w:spacing w:before="0" w:after="0"/>
              <w:ind w:left="57" w:right="57"/>
            </w:pPr>
            <w:r>
              <w:rPr>
                <w:sz w:val="22"/>
                <w:szCs w:val="22"/>
              </w:rPr>
              <w:t>2.</w:t>
            </w:r>
          </w:p>
        </w:tc>
        <w:tc>
          <w:tcPr>
            <w:tcW w:w="860" w:type="pct"/>
          </w:tcPr>
          <w:p w:rsidR="00E0637B" w14:paraId="7DBED9D8" w14:textId="77777777">
            <w:pPr>
              <w:pStyle w:val="naiskr"/>
              <w:spacing w:before="0" w:after="0"/>
              <w:ind w:left="57" w:right="57"/>
            </w:pPr>
            <w:r>
              <w:t xml:space="preserve">Sabiedrības līdzdalība projekta izstrādē </w:t>
            </w:r>
          </w:p>
        </w:tc>
        <w:tc>
          <w:tcPr>
            <w:tcW w:w="3907" w:type="pct"/>
          </w:tcPr>
          <w:p w:rsidR="00E0637B" w:rsidP="0039556F" w14:paraId="1DB8407C" w14:textId="4A7D3C21">
            <w:pPr>
              <w:pStyle w:val="naiskr"/>
              <w:spacing w:before="0" w:after="0"/>
              <w:ind w:left="57" w:right="57"/>
              <w:jc w:val="both"/>
            </w:pPr>
            <w:r>
              <w:t>Likumprojekts</w:t>
            </w:r>
            <w:r w:rsidR="00105B33">
              <w:t xml:space="preserve"> 2017. gada </w:t>
            </w:r>
            <w:r w:rsidRPr="00D33719" w:rsidR="00B06C33">
              <w:t xml:space="preserve">22. augustā </w:t>
            </w:r>
            <w:r w:rsidRPr="00D33719" w:rsidR="00105B33">
              <w:t xml:space="preserve">ievietots </w:t>
            </w:r>
            <w:r w:rsidR="0039556F">
              <w:t>VARAM</w:t>
            </w:r>
            <w:r w:rsidRPr="00D33719" w:rsidR="00655FA0">
              <w:t xml:space="preserve"> </w:t>
            </w:r>
            <w:r w:rsidRPr="00D33719" w:rsidR="008B3646">
              <w:t>tīmekļ</w:t>
            </w:r>
            <w:r w:rsidRPr="00D33719" w:rsidR="00105B33">
              <w:t>vietnē</w:t>
            </w:r>
            <w:r w:rsidR="00105B33">
              <w:t>,</w:t>
            </w:r>
            <w:r w:rsidR="00655FA0">
              <w:t xml:space="preserve"> </w:t>
            </w:r>
            <w:r w:rsidR="00105B33">
              <w:t>s</w:t>
            </w:r>
            <w:r w:rsidR="00336FD6">
              <w:t>adaļā „Sabiedrības līdzdalība”</w:t>
            </w:r>
            <w:r w:rsidR="0039556F">
              <w:t>.</w:t>
            </w:r>
          </w:p>
        </w:tc>
      </w:tr>
      <w:tr w14:paraId="5B4E7AFA" w14:textId="77777777" w:rsidTr="00567DA5">
        <w:tblPrEx>
          <w:tblW w:w="5000" w:type="pct"/>
          <w:jc w:val="center"/>
          <w:tblLayout w:type="fixed"/>
          <w:tblCellMar>
            <w:left w:w="0" w:type="dxa"/>
            <w:right w:w="0" w:type="dxa"/>
          </w:tblCellMar>
          <w:tblLook w:val="04A0"/>
        </w:tblPrEx>
        <w:trPr>
          <w:trHeight w:val="375"/>
          <w:jc w:val="center"/>
        </w:trPr>
        <w:tc>
          <w:tcPr>
            <w:tcW w:w="232" w:type="pct"/>
          </w:tcPr>
          <w:p w:rsidR="00E0637B" w14:paraId="3BFD95F7" w14:textId="77777777">
            <w:pPr>
              <w:pStyle w:val="naiskr"/>
              <w:spacing w:before="0" w:after="0"/>
              <w:ind w:left="57" w:right="57"/>
            </w:pPr>
            <w:r>
              <w:rPr>
                <w:sz w:val="22"/>
                <w:szCs w:val="22"/>
              </w:rPr>
              <w:t>3.</w:t>
            </w:r>
          </w:p>
        </w:tc>
        <w:tc>
          <w:tcPr>
            <w:tcW w:w="860" w:type="pct"/>
          </w:tcPr>
          <w:p w:rsidR="00E0637B" w14:paraId="0A6F046B" w14:textId="77777777">
            <w:pPr>
              <w:pStyle w:val="naiskr"/>
              <w:spacing w:before="0" w:after="0"/>
              <w:ind w:left="57" w:right="57"/>
            </w:pPr>
            <w:r>
              <w:t xml:space="preserve">Sabiedrības līdzdalības rezultāti </w:t>
            </w:r>
          </w:p>
        </w:tc>
        <w:tc>
          <w:tcPr>
            <w:tcW w:w="3907" w:type="pct"/>
          </w:tcPr>
          <w:p w:rsidR="00014AAD" w:rsidP="00336FD6" w14:paraId="60092E9F" w14:textId="24F0F1E9">
            <w:pPr>
              <w:jc w:val="both"/>
            </w:pPr>
            <w:r>
              <w:t>Komentāri netika saņemti.</w:t>
            </w:r>
          </w:p>
        </w:tc>
      </w:tr>
      <w:tr w14:paraId="79AFF06B" w14:textId="77777777" w:rsidTr="00567DA5">
        <w:tblPrEx>
          <w:tblW w:w="5000" w:type="pct"/>
          <w:jc w:val="center"/>
          <w:tblLayout w:type="fixed"/>
          <w:tblCellMar>
            <w:left w:w="0" w:type="dxa"/>
            <w:right w:w="0" w:type="dxa"/>
          </w:tblCellMar>
          <w:tblLook w:val="04A0"/>
        </w:tblPrEx>
        <w:trPr>
          <w:trHeight w:val="154"/>
          <w:jc w:val="center"/>
        </w:trPr>
        <w:tc>
          <w:tcPr>
            <w:tcW w:w="232" w:type="pct"/>
          </w:tcPr>
          <w:p w:rsidR="00E0637B" w14:paraId="6CD0B444" w14:textId="3599754B">
            <w:pPr>
              <w:pStyle w:val="naiskr"/>
              <w:spacing w:before="0" w:after="0"/>
              <w:ind w:left="57" w:right="57"/>
            </w:pPr>
            <w:r>
              <w:rPr>
                <w:sz w:val="22"/>
                <w:szCs w:val="22"/>
              </w:rPr>
              <w:t>4.</w:t>
            </w:r>
          </w:p>
        </w:tc>
        <w:tc>
          <w:tcPr>
            <w:tcW w:w="860" w:type="pct"/>
          </w:tcPr>
          <w:p w:rsidR="00E0637B" w14:paraId="1DA080AD" w14:textId="77777777">
            <w:pPr>
              <w:pStyle w:val="naiskr"/>
              <w:spacing w:before="0" w:after="0"/>
              <w:ind w:left="57" w:right="57"/>
            </w:pPr>
            <w:r>
              <w:t>Cita informācija</w:t>
            </w:r>
          </w:p>
        </w:tc>
        <w:tc>
          <w:tcPr>
            <w:tcW w:w="3907" w:type="pct"/>
          </w:tcPr>
          <w:p w:rsidR="00E0637B" w14:paraId="31753CF2" w14:textId="3644FABE">
            <w:pPr>
              <w:pStyle w:val="naiskr"/>
              <w:spacing w:before="0" w:after="0"/>
              <w:ind w:right="57"/>
              <w:jc w:val="both"/>
            </w:pPr>
            <w:r>
              <w:t>Nav</w:t>
            </w:r>
            <w:r w:rsidR="00655FA0">
              <w:t>.</w:t>
            </w:r>
          </w:p>
        </w:tc>
      </w:tr>
    </w:tbl>
    <w:p w:rsidR="00E0637B" w14:paraId="6DA73746" w14:textId="777777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02"/>
        <w:gridCol w:w="3987"/>
        <w:gridCol w:w="4672"/>
      </w:tblGrid>
      <w:tr w14:paraId="00D9565E" w14:textId="7777777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jc w:val="center"/>
        </w:trPr>
        <w:tc>
          <w:tcPr>
            <w:tcW w:w="5000" w:type="pct"/>
            <w:gridSpan w:val="3"/>
            <w:tcBorders>
              <w:top w:val="single" w:sz="4" w:space="0" w:color="auto"/>
            </w:tcBorders>
          </w:tcPr>
          <w:p w:rsidR="00E0637B" w14:paraId="430062C1" w14:textId="77777777">
            <w:pPr>
              <w:pStyle w:val="naisnod"/>
              <w:spacing w:before="0" w:after="0"/>
              <w:ind w:left="57" w:right="57"/>
            </w:pPr>
            <w:r>
              <w:t>VII. Tiesību akta projekta izpildes nodrošināšana un tās ietekme uz institūcijām</w:t>
            </w:r>
          </w:p>
        </w:tc>
      </w:tr>
      <w:tr w14:paraId="51345DD1" w14:textId="77777777">
        <w:tblPrEx>
          <w:tblW w:w="5000" w:type="pct"/>
          <w:jc w:val="center"/>
          <w:tblCellMar>
            <w:top w:w="28" w:type="dxa"/>
            <w:left w:w="28" w:type="dxa"/>
            <w:bottom w:w="28" w:type="dxa"/>
            <w:right w:w="28" w:type="dxa"/>
          </w:tblCellMar>
          <w:tblLook w:val="04A0"/>
        </w:tblPrEx>
        <w:trPr>
          <w:trHeight w:val="427"/>
          <w:jc w:val="center"/>
        </w:trPr>
        <w:tc>
          <w:tcPr>
            <w:tcW w:w="222" w:type="pct"/>
          </w:tcPr>
          <w:p w:rsidR="00E0637B" w14:paraId="2CD2F5DE" w14:textId="77777777">
            <w:pPr>
              <w:pStyle w:val="naisnod"/>
              <w:spacing w:before="0" w:after="0"/>
              <w:ind w:left="57" w:right="57"/>
              <w:jc w:val="left"/>
              <w:rPr>
                <w:b w:val="0"/>
              </w:rPr>
            </w:pPr>
            <w:r>
              <w:rPr>
                <w:b w:val="0"/>
                <w:sz w:val="22"/>
                <w:szCs w:val="22"/>
              </w:rPr>
              <w:t>1.</w:t>
            </w:r>
          </w:p>
        </w:tc>
        <w:tc>
          <w:tcPr>
            <w:tcW w:w="2200" w:type="pct"/>
          </w:tcPr>
          <w:p w:rsidR="00E0637B" w:rsidRPr="00EC74DA" w14:paraId="342F1573" w14:textId="77777777">
            <w:pPr>
              <w:pStyle w:val="naisf"/>
              <w:spacing w:before="0" w:after="0"/>
              <w:ind w:left="57" w:right="57" w:firstLine="0"/>
              <w:jc w:val="left"/>
            </w:pPr>
            <w:r w:rsidRPr="00EC74DA">
              <w:t xml:space="preserve">Projekta izpildē iesaistītās institūcijas </w:t>
            </w:r>
          </w:p>
        </w:tc>
        <w:tc>
          <w:tcPr>
            <w:tcW w:w="2578" w:type="pct"/>
          </w:tcPr>
          <w:p w:rsidR="00E0637B" w:rsidRPr="00EC74DA" w14:paraId="0D56ACEB" w14:textId="2B619516">
            <w:pPr>
              <w:pStyle w:val="naisnod"/>
              <w:spacing w:before="0" w:after="0"/>
              <w:ind w:left="57" w:right="57"/>
              <w:jc w:val="both"/>
              <w:rPr>
                <w:b w:val="0"/>
              </w:rPr>
            </w:pPr>
            <w:r w:rsidRPr="00EC74DA">
              <w:rPr>
                <w:b w:val="0"/>
              </w:rPr>
              <w:t>Valsts vides dienests un Latvijas Vides, ģeoloģijas un meteoroloģijas centrs,</w:t>
            </w:r>
            <w:r w:rsidRPr="00EC74DA" w:rsidR="00655FA0">
              <w:rPr>
                <w:b w:val="0"/>
              </w:rPr>
              <w:t xml:space="preserve"> </w:t>
            </w:r>
            <w:r w:rsidRPr="00EC74DA">
              <w:rPr>
                <w:b w:val="0"/>
              </w:rPr>
              <w:t>VARAM</w:t>
            </w:r>
          </w:p>
        </w:tc>
      </w:tr>
      <w:tr w14:paraId="15AF44E2" w14:textId="77777777">
        <w:tblPrEx>
          <w:tblW w:w="5000" w:type="pct"/>
          <w:jc w:val="center"/>
          <w:tblCellMar>
            <w:top w:w="28" w:type="dxa"/>
            <w:left w:w="28" w:type="dxa"/>
            <w:bottom w:w="28" w:type="dxa"/>
            <w:right w:w="28" w:type="dxa"/>
          </w:tblCellMar>
          <w:tblLook w:val="04A0"/>
        </w:tblPrEx>
        <w:trPr>
          <w:trHeight w:val="463"/>
          <w:jc w:val="center"/>
        </w:trPr>
        <w:tc>
          <w:tcPr>
            <w:tcW w:w="222" w:type="pct"/>
          </w:tcPr>
          <w:p w:rsidR="00E0637B" w14:paraId="61000416" w14:textId="77777777">
            <w:pPr>
              <w:pStyle w:val="naisnod"/>
              <w:spacing w:before="0" w:after="0"/>
              <w:ind w:left="57" w:right="57"/>
              <w:jc w:val="left"/>
              <w:rPr>
                <w:b w:val="0"/>
              </w:rPr>
            </w:pPr>
            <w:r>
              <w:rPr>
                <w:b w:val="0"/>
                <w:sz w:val="22"/>
                <w:szCs w:val="22"/>
              </w:rPr>
              <w:t>2.</w:t>
            </w:r>
          </w:p>
        </w:tc>
        <w:tc>
          <w:tcPr>
            <w:tcW w:w="2200" w:type="pct"/>
          </w:tcPr>
          <w:p w:rsidR="00E0637B" w:rsidRPr="00EC74DA" w14:paraId="58A9AA64" w14:textId="77777777">
            <w:pPr>
              <w:pStyle w:val="naisf"/>
              <w:spacing w:before="0" w:after="0"/>
              <w:ind w:left="57" w:right="57" w:firstLine="0"/>
              <w:jc w:val="left"/>
            </w:pPr>
            <w:r w:rsidRPr="00EC74DA">
              <w:t>Projekta izpildes ietekme uz pārvaldes funkcijām un institucionālo struktūru</w:t>
            </w:r>
          </w:p>
          <w:p w:rsidR="00E0637B" w:rsidRPr="00EC74DA" w14:paraId="7FFA9577" w14:textId="77777777">
            <w:pPr>
              <w:pStyle w:val="naisf"/>
              <w:spacing w:before="0" w:after="0"/>
              <w:ind w:left="57" w:right="57" w:firstLine="0"/>
              <w:jc w:val="left"/>
              <w:rPr>
                <w:shd w:val="clear" w:color="auto" w:fill="FFFFFF"/>
              </w:rPr>
            </w:pPr>
          </w:p>
          <w:p w:rsidR="00E0637B" w:rsidRPr="00EC74DA" w14:paraId="4B44FFF3" w14:textId="77777777">
            <w:pPr>
              <w:pStyle w:val="naisf"/>
              <w:spacing w:before="0" w:after="0"/>
              <w:ind w:left="57" w:right="57" w:firstLine="0"/>
            </w:pPr>
            <w:r w:rsidRPr="00EC74DA">
              <w:rPr>
                <w:shd w:val="clear" w:color="auto" w:fill="FFFFFF"/>
              </w:rPr>
              <w:t>Jaunu institūciju izveide, esošu institūciju likvidācija vai reorganizācija, to ietekme uz institūcijas cilvēkresursiem</w:t>
            </w:r>
          </w:p>
        </w:tc>
        <w:tc>
          <w:tcPr>
            <w:tcW w:w="2578" w:type="pct"/>
          </w:tcPr>
          <w:p w:rsidR="00607C3C" w:rsidP="00607C3C" w14:paraId="73C0E287" w14:textId="0EC00CB2">
            <w:pPr>
              <w:pStyle w:val="CommentText"/>
              <w:jc w:val="both"/>
              <w:rPr>
                <w:sz w:val="24"/>
                <w:szCs w:val="24"/>
              </w:rPr>
            </w:pPr>
            <w:r>
              <w:rPr>
                <w:sz w:val="24"/>
                <w:szCs w:val="24"/>
              </w:rPr>
              <w:t>Papildu</w:t>
            </w:r>
            <w:r w:rsidRPr="007F2476">
              <w:rPr>
                <w:sz w:val="24"/>
                <w:szCs w:val="24"/>
              </w:rPr>
              <w:t xml:space="preserve"> funkcijas tiks radītas Latvijas Vides, ģeoloģijas un meteoroloģijas centram saistībā ar </w:t>
            </w:r>
            <w:r>
              <w:rPr>
                <w:sz w:val="24"/>
                <w:szCs w:val="24"/>
              </w:rPr>
              <w:t xml:space="preserve">biežāku </w:t>
            </w:r>
            <w:r w:rsidRPr="007F2476">
              <w:rPr>
                <w:sz w:val="24"/>
                <w:szCs w:val="24"/>
              </w:rPr>
              <w:t>ziņojumu sagatavoš</w:t>
            </w:r>
            <w:r>
              <w:rPr>
                <w:sz w:val="24"/>
                <w:szCs w:val="24"/>
              </w:rPr>
              <w:t xml:space="preserve">anas un iesniegšanas pienākumu. </w:t>
            </w:r>
          </w:p>
          <w:p w:rsidR="00607C3C" w:rsidP="00607C3C" w14:paraId="49BF4715" w14:textId="77777777">
            <w:pPr>
              <w:pStyle w:val="CommentText"/>
              <w:jc w:val="both"/>
              <w:rPr>
                <w:sz w:val="24"/>
                <w:szCs w:val="24"/>
              </w:rPr>
            </w:pPr>
            <w:r>
              <w:rPr>
                <w:sz w:val="24"/>
                <w:szCs w:val="24"/>
              </w:rPr>
              <w:t>Jauna funkcija - VARAM saistīta ar valsts līmeņa gaisa piesārņojuma samazināšanas rīcības programmas izstrādi.</w:t>
            </w:r>
          </w:p>
          <w:p w:rsidR="00E0637B" w:rsidRPr="00607C3C" w:rsidP="00607C3C" w14:paraId="311BE1B9" w14:textId="4A16DC27">
            <w:pPr>
              <w:pStyle w:val="naisnod"/>
              <w:spacing w:before="0" w:after="0"/>
              <w:ind w:right="57"/>
              <w:jc w:val="both"/>
              <w:rPr>
                <w:b w:val="0"/>
              </w:rPr>
            </w:pPr>
            <w:r w:rsidRPr="00607C3C">
              <w:rPr>
                <w:b w:val="0"/>
              </w:rPr>
              <w:t>Jauns pienākums Valsts vides dienestam saistībā ar to A kategorijas operatoru atkārtotu kontrolēšanu, kas ir pārkāpuši atļaujas nosacījumus.</w:t>
            </w:r>
          </w:p>
        </w:tc>
      </w:tr>
      <w:tr w14:paraId="298C2284" w14:textId="77777777">
        <w:tblPrEx>
          <w:tblW w:w="5000" w:type="pct"/>
          <w:jc w:val="center"/>
          <w:tblCellMar>
            <w:top w:w="28" w:type="dxa"/>
            <w:left w:w="28" w:type="dxa"/>
            <w:bottom w:w="28" w:type="dxa"/>
            <w:right w:w="28" w:type="dxa"/>
          </w:tblCellMar>
          <w:tblLook w:val="04A0"/>
        </w:tblPrEx>
        <w:trPr>
          <w:trHeight w:val="218"/>
          <w:jc w:val="center"/>
        </w:trPr>
        <w:tc>
          <w:tcPr>
            <w:tcW w:w="222" w:type="pct"/>
          </w:tcPr>
          <w:p w:rsidR="00E0637B" w14:paraId="7FF2614C" w14:textId="77777777">
            <w:pPr>
              <w:pStyle w:val="naiskr"/>
              <w:spacing w:before="0" w:after="0"/>
              <w:ind w:left="57" w:right="57"/>
            </w:pPr>
            <w:r>
              <w:rPr>
                <w:sz w:val="22"/>
                <w:szCs w:val="22"/>
              </w:rPr>
              <w:t>3.</w:t>
            </w:r>
          </w:p>
        </w:tc>
        <w:tc>
          <w:tcPr>
            <w:tcW w:w="2200" w:type="pct"/>
          </w:tcPr>
          <w:p w:rsidR="00E0637B" w:rsidRPr="00092852" w14:paraId="108BA097" w14:textId="77777777">
            <w:pPr>
              <w:pStyle w:val="naiskr"/>
              <w:spacing w:before="0" w:after="0"/>
              <w:ind w:left="57" w:right="57"/>
            </w:pPr>
            <w:r w:rsidRPr="00092852">
              <w:t>Cita informācija</w:t>
            </w:r>
          </w:p>
        </w:tc>
        <w:tc>
          <w:tcPr>
            <w:tcW w:w="2578" w:type="pct"/>
          </w:tcPr>
          <w:p w:rsidR="00E0637B" w:rsidRPr="00092852" w14:paraId="579C7D9F" w14:textId="59A138D2">
            <w:pPr>
              <w:pStyle w:val="naiskr"/>
              <w:spacing w:before="0" w:after="0"/>
              <w:ind w:left="57" w:right="57"/>
            </w:pPr>
            <w:r w:rsidRPr="00092852">
              <w:t>Nav</w:t>
            </w:r>
            <w:r w:rsidRPr="00092852" w:rsidR="00655FA0">
              <w:t>.</w:t>
            </w:r>
          </w:p>
        </w:tc>
      </w:tr>
    </w:tbl>
    <w:p w:rsidR="006127DA" w14:paraId="10A26EED" w14:textId="77777777">
      <w:pPr>
        <w:jc w:val="both"/>
        <w:rPr>
          <w:sz w:val="28"/>
          <w:szCs w:val="28"/>
        </w:rPr>
      </w:pPr>
    </w:p>
    <w:p w:rsidR="000F24A1" w14:paraId="71426DF5" w14:textId="77777777">
      <w:pPr>
        <w:jc w:val="both"/>
        <w:rPr>
          <w:sz w:val="28"/>
          <w:szCs w:val="28"/>
        </w:rPr>
      </w:pPr>
    </w:p>
    <w:p w:rsidR="000F24A1" w14:paraId="1C81347C" w14:textId="77777777">
      <w:pPr>
        <w:jc w:val="both"/>
        <w:rPr>
          <w:sz w:val="28"/>
          <w:szCs w:val="28"/>
        </w:rPr>
      </w:pPr>
    </w:p>
    <w:p w:rsidR="00D31848" w:rsidRPr="005864D6" w14:paraId="31B7722F" w14:textId="77777777">
      <w:pPr>
        <w:jc w:val="both"/>
      </w:pPr>
    </w:p>
    <w:p w:rsidR="005864D6" w:rsidRPr="005864D6" w:rsidP="005864D6" w14:paraId="785B68F6" w14:textId="7A03E96E">
      <w:pPr>
        <w:pStyle w:val="BodyTextIndent3"/>
        <w:spacing w:after="0"/>
        <w:ind w:left="0" w:firstLine="720"/>
        <w:rPr>
          <w:sz w:val="24"/>
          <w:szCs w:val="24"/>
        </w:rPr>
      </w:pPr>
      <w:r w:rsidRPr="005864D6">
        <w:rPr>
          <w:sz w:val="24"/>
          <w:szCs w:val="24"/>
        </w:rPr>
        <w:t>Vides aizsardzības un reģionālās attīstības ministrs</w:t>
      </w:r>
      <w:r w:rsidRPr="005864D6">
        <w:rPr>
          <w:sz w:val="24"/>
          <w:szCs w:val="24"/>
        </w:rPr>
        <w:tab/>
      </w:r>
      <w:r w:rsidRPr="005864D6">
        <w:rPr>
          <w:sz w:val="24"/>
          <w:szCs w:val="24"/>
        </w:rPr>
        <w:tab/>
        <w:t>K. Gerhards</w:t>
      </w:r>
      <w:r w:rsidRPr="005864D6">
        <w:rPr>
          <w:sz w:val="24"/>
          <w:szCs w:val="24"/>
        </w:rPr>
        <w:tab/>
      </w:r>
    </w:p>
    <w:p w:rsidR="005864D6" w:rsidP="00B3116A" w14:paraId="4D53E97A" w14:textId="0E1B4542">
      <w:pPr>
        <w:tabs>
          <w:tab w:val="left" w:pos="0"/>
        </w:tabs>
        <w:jc w:val="both"/>
      </w:pPr>
    </w:p>
    <w:p w:rsidR="000F24A1" w:rsidP="00B3116A" w14:paraId="23C742DA" w14:textId="77777777">
      <w:pPr>
        <w:tabs>
          <w:tab w:val="left" w:pos="0"/>
        </w:tabs>
        <w:jc w:val="both"/>
      </w:pPr>
    </w:p>
    <w:p w:rsidR="000F24A1" w:rsidRPr="00B3116A" w:rsidP="00B3116A" w14:paraId="2E5C7BD0" w14:textId="77777777">
      <w:pPr>
        <w:tabs>
          <w:tab w:val="left" w:pos="0"/>
        </w:tabs>
        <w:jc w:val="both"/>
      </w:pPr>
    </w:p>
    <w:p w:rsidR="005864D6" w:rsidP="005864D6" w14:paraId="2730DD91" w14:textId="77777777">
      <w:pPr>
        <w:rPr>
          <w:sz w:val="20"/>
          <w:szCs w:val="20"/>
        </w:rPr>
      </w:pPr>
    </w:p>
    <w:p w:rsidR="005864D6" w:rsidP="005864D6" w14:paraId="22A5D408" w14:textId="77777777">
      <w:pPr>
        <w:rPr>
          <w:sz w:val="20"/>
          <w:szCs w:val="20"/>
        </w:rPr>
      </w:pPr>
    </w:p>
    <w:p w:rsidR="005864D6" w:rsidRPr="002A6534" w:rsidP="005864D6" w14:paraId="06F13970" w14:textId="77777777">
      <w:pPr>
        <w:rPr>
          <w:sz w:val="20"/>
          <w:szCs w:val="20"/>
        </w:rPr>
      </w:pPr>
      <w:bookmarkStart w:id="0" w:name="_GoBack"/>
      <w:bookmarkEnd w:id="0"/>
      <w:r w:rsidRPr="002A6534">
        <w:rPr>
          <w:sz w:val="20"/>
          <w:szCs w:val="20"/>
        </w:rPr>
        <w:t>L.</w:t>
      </w:r>
      <w:r>
        <w:rPr>
          <w:sz w:val="20"/>
          <w:szCs w:val="20"/>
        </w:rPr>
        <w:t> </w:t>
      </w:r>
      <w:r w:rsidRPr="002A6534">
        <w:rPr>
          <w:sz w:val="20"/>
          <w:szCs w:val="20"/>
        </w:rPr>
        <w:t xml:space="preserve">Maslova </w:t>
      </w:r>
    </w:p>
    <w:p w:rsidR="005864D6" w:rsidP="005864D6" w14:paraId="6F3522C6" w14:textId="77777777">
      <w:pPr>
        <w:rPr>
          <w:sz w:val="20"/>
          <w:szCs w:val="20"/>
        </w:rPr>
      </w:pPr>
      <w:smartTag w:uri="schemas-tilde-lv/tildestengine" w:element="phone">
        <w:smartTagPr>
          <w:attr w:name="phone_number" w:val="7026586"/>
          <w:attr w:name="phone_prefix" w:val="6"/>
        </w:smartTagPr>
        <w:r w:rsidRPr="002A6534">
          <w:rPr>
            <w:sz w:val="20"/>
            <w:szCs w:val="20"/>
          </w:rPr>
          <w:t>67026586</w:t>
        </w:r>
      </w:smartTag>
      <w:r w:rsidRPr="002A6534">
        <w:rPr>
          <w:sz w:val="20"/>
          <w:szCs w:val="20"/>
        </w:rPr>
        <w:t xml:space="preserve">, </w:t>
      </w:r>
      <w:r>
        <w:fldChar w:fldCharType="begin"/>
      </w:r>
      <w:r>
        <w:instrText xml:space="preserve"> HYPERLINK "mailto:lana.maslova@varam.gov.lv" </w:instrText>
      </w:r>
      <w:r>
        <w:fldChar w:fldCharType="separate"/>
      </w:r>
      <w:r w:rsidRPr="007C7B00">
        <w:rPr>
          <w:rStyle w:val="Hyperlink"/>
          <w:sz w:val="20"/>
          <w:szCs w:val="20"/>
        </w:rPr>
        <w:t>lana.maslova@varam.gov.lv</w:t>
      </w:r>
      <w:r>
        <w:fldChar w:fldCharType="end"/>
      </w:r>
    </w:p>
    <w:p w:rsidR="00E0637B" w:rsidRPr="007A1FE9" w:rsidP="00241162" w14:paraId="36ADB895" w14:textId="7B44C040">
      <w:pPr>
        <w:tabs>
          <w:tab w:val="left" w:pos="6128"/>
        </w:tabs>
        <w:jc w:val="both"/>
        <w:rPr>
          <w:sz w:val="20"/>
          <w:szCs w:val="20"/>
        </w:rPr>
      </w:pPr>
      <w:r>
        <w:rPr>
          <w:sz w:val="20"/>
          <w:szCs w:val="20"/>
        </w:rPr>
        <w:tab/>
      </w:r>
    </w:p>
    <w:sectPr w:rsidSect="00E0637B">
      <w:headerReference w:type="default" r:id="rId5"/>
      <w:footerReference w:type="default" r:id="rId6"/>
      <w:footerReference w:type="first" r:id="rId7"/>
      <w:pgSz w:w="11906" w:h="16838" w:code="9"/>
      <w:pgMar w:top="1418" w:right="1134" w:bottom="1134" w:left="1701"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371" w14:paraId="7C8176A0" w14:textId="334F78FD">
    <w:pPr>
      <w:jc w:val="both"/>
      <w:rPr>
        <w:sz w:val="20"/>
        <w:szCs w:val="20"/>
      </w:rPr>
    </w:pPr>
    <w:r>
      <w:rPr>
        <w:sz w:val="20"/>
        <w:szCs w:val="20"/>
      </w:rPr>
      <w:t>VARAManot_231017_Pies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371" w14:paraId="539049E3" w14:textId="17CC01F7">
    <w:pPr>
      <w:jc w:val="both"/>
      <w:rPr>
        <w:sz w:val="20"/>
        <w:szCs w:val="20"/>
      </w:rPr>
    </w:pPr>
    <w:r>
      <w:rPr>
        <w:sz w:val="20"/>
        <w:szCs w:val="20"/>
      </w:rPr>
      <w:t>VARAManot_231017_Pies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371" w14:paraId="12EE9D2C" w14:textId="77777777">
    <w:pPr>
      <w:pStyle w:val="Head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25712"/>
    <w:multiLevelType w:val="hybridMultilevel"/>
    <w:tmpl w:val="117E5E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89348C"/>
    <w:multiLevelType w:val="hybridMultilevel"/>
    <w:tmpl w:val="162260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6E72CD"/>
    <w:multiLevelType w:val="hybridMultilevel"/>
    <w:tmpl w:val="CB5033FE"/>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E517183"/>
    <w:multiLevelType w:val="hybridMultilevel"/>
    <w:tmpl w:val="FB5C9D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A148E7"/>
    <w:multiLevelType w:val="hybridMultilevel"/>
    <w:tmpl w:val="040A2C84"/>
    <w:lvl w:ilvl="0">
      <w:start w:val="1"/>
      <w:numFmt w:val="decimal"/>
      <w:lvlText w:val="%1)"/>
      <w:lvlJc w:val="left"/>
      <w:pPr>
        <w:ind w:left="757" w:hanging="360"/>
      </w:pPr>
      <w:rPr>
        <w:rFonts w:hint="default"/>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5">
    <w:nsid w:val="1CBC0290"/>
    <w:multiLevelType w:val="hybridMultilevel"/>
    <w:tmpl w:val="58D6A58C"/>
    <w:lvl w:ilvl="0">
      <w:start w:val="11"/>
      <w:numFmt w:val="decimal"/>
      <w:lvlText w:val="%1)"/>
      <w:lvlJc w:val="left"/>
      <w:pPr>
        <w:ind w:left="957" w:hanging="390"/>
      </w:pPr>
      <w:rPr>
        <w:rFonts w:hint="default"/>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
    <w:nsid w:val="22793D9D"/>
    <w:multiLevelType w:val="hybridMultilevel"/>
    <w:tmpl w:val="F7D66E8E"/>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27855D32"/>
    <w:multiLevelType w:val="hybridMultilevel"/>
    <w:tmpl w:val="24B21AC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83D69FE"/>
    <w:multiLevelType w:val="hybridMultilevel"/>
    <w:tmpl w:val="7C44D22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92A6152"/>
    <w:multiLevelType w:val="hybridMultilevel"/>
    <w:tmpl w:val="ADE25F84"/>
    <w:lvl w:ilvl="0">
      <w:start w:val="1"/>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0">
    <w:nsid w:val="29FC6377"/>
    <w:multiLevelType w:val="hybridMultilevel"/>
    <w:tmpl w:val="0C52176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D95D89"/>
    <w:multiLevelType w:val="hybridMultilevel"/>
    <w:tmpl w:val="3C5E75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116B9D"/>
    <w:multiLevelType w:val="multilevel"/>
    <w:tmpl w:val="71123ADE"/>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353915AD"/>
    <w:multiLevelType w:val="hybridMultilevel"/>
    <w:tmpl w:val="7E0C2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5F37289"/>
    <w:multiLevelType w:val="hybridMultilevel"/>
    <w:tmpl w:val="86BE9F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F02424"/>
    <w:multiLevelType w:val="hybridMultilevel"/>
    <w:tmpl w:val="F10615F8"/>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AF1C3C"/>
    <w:multiLevelType w:val="hybridMultilevel"/>
    <w:tmpl w:val="E66C67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B8C2CDF"/>
    <w:multiLevelType w:val="hybridMultilevel"/>
    <w:tmpl w:val="4EFEDF3C"/>
    <w:lvl w:ilvl="0">
      <w:start w:val="0"/>
      <w:numFmt w:val="bullet"/>
      <w:lvlText w:val="-"/>
      <w:lvlJc w:val="left"/>
      <w:pPr>
        <w:ind w:left="1500" w:hanging="360"/>
      </w:pPr>
      <w:rPr>
        <w:rFonts w:ascii="Times New Roman" w:eastAsia="Times New Roman" w:hAnsi="Times New Roman" w:cs="Times New Roman"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18">
    <w:nsid w:val="414826E3"/>
    <w:multiLevelType w:val="hybridMultilevel"/>
    <w:tmpl w:val="F776000A"/>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181331B"/>
    <w:multiLevelType w:val="hybridMultilevel"/>
    <w:tmpl w:val="888A7FE4"/>
    <w:lvl w:ilvl="0">
      <w:start w:val="0"/>
      <w:numFmt w:val="bullet"/>
      <w:lvlText w:val=""/>
      <w:lvlJc w:val="left"/>
      <w:pPr>
        <w:tabs>
          <w:tab w:val="left" w:pos="0"/>
        </w:tabs>
        <w:ind w:left="720" w:hanging="360"/>
      </w:pPr>
      <w:rPr>
        <w:rFonts w:ascii="Symbol" w:eastAsia="Times New Roman"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0">
    <w:nsid w:val="45FC1AC7"/>
    <w:multiLevelType w:val="hybridMultilevel"/>
    <w:tmpl w:val="AA92163C"/>
    <w:lvl w:ilvl="0">
      <w:start w:val="1"/>
      <w:numFmt w:val="decimal"/>
      <w:lvlText w:val="%1)"/>
      <w:lvlJc w:val="left"/>
      <w:pPr>
        <w:ind w:left="72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60A2302"/>
    <w:multiLevelType w:val="hybridMultilevel"/>
    <w:tmpl w:val="7DE8B486"/>
    <w:lvl w:ilvl="0">
      <w:start w:val="1"/>
      <w:numFmt w:val="decimal"/>
      <w:lvlText w:val="%1."/>
      <w:lvlJc w:val="left"/>
      <w:pPr>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22">
    <w:nsid w:val="49737CD3"/>
    <w:multiLevelType w:val="hybridMultilevel"/>
    <w:tmpl w:val="F46A3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C53ED4"/>
    <w:multiLevelType w:val="hybridMultilevel"/>
    <w:tmpl w:val="316C88DC"/>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4">
    <w:nsid w:val="4E0A1C24"/>
    <w:multiLevelType w:val="hybridMultilevel"/>
    <w:tmpl w:val="AA1A2656"/>
    <w:lvl w:ilvl="0">
      <w:start w:val="1"/>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5">
    <w:nsid w:val="50B74189"/>
    <w:multiLevelType w:val="hybridMultilevel"/>
    <w:tmpl w:val="F02444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1F863E1"/>
    <w:multiLevelType w:val="hybridMultilevel"/>
    <w:tmpl w:val="065A1352"/>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7E95163"/>
    <w:multiLevelType w:val="hybridMultilevel"/>
    <w:tmpl w:val="19868474"/>
    <w:lvl w:ilvl="0">
      <w:start w:val="1"/>
      <w:numFmt w:val="bullet"/>
      <w:lvlText w:val="-"/>
      <w:lvlJc w:val="left"/>
      <w:pPr>
        <w:ind w:left="1117" w:hanging="360"/>
      </w:pPr>
      <w:rPr>
        <w:rFonts w:ascii="Calibri" w:eastAsia="Calibri" w:hAnsi="Calibri" w:cs="Times New Roman"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8">
    <w:nsid w:val="57FC27E5"/>
    <w:multiLevelType w:val="hybridMultilevel"/>
    <w:tmpl w:val="5C36DD36"/>
    <w:lvl w:ilvl="0">
      <w:start w:val="1"/>
      <w:numFmt w:val="decimal"/>
      <w:lvlText w:val="%1)"/>
      <w:lvlJc w:val="left"/>
      <w:pPr>
        <w:ind w:left="450" w:hanging="360"/>
      </w:pPr>
      <w:rPr>
        <w:rFonts w:hint="default"/>
        <w:b w:val="0"/>
        <w:sz w:val="24"/>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9">
    <w:nsid w:val="5C5B60AA"/>
    <w:multiLevelType w:val="hybridMultilevel"/>
    <w:tmpl w:val="41B679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CCF2F20"/>
    <w:multiLevelType w:val="hybridMultilevel"/>
    <w:tmpl w:val="4E4AD5CE"/>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DBD7101"/>
    <w:multiLevelType w:val="hybridMultilevel"/>
    <w:tmpl w:val="2AA2E6D2"/>
    <w:lvl w:ilvl="0">
      <w:start w:val="0"/>
      <w:numFmt w:val="bullet"/>
      <w:lvlText w:val="-"/>
      <w:lvlJc w:val="left"/>
      <w:pPr>
        <w:ind w:left="780" w:hanging="360"/>
      </w:pPr>
      <w:rPr>
        <w:rFonts w:ascii="Times New Roman" w:eastAsia="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2">
    <w:nsid w:val="5E5B13B5"/>
    <w:multiLevelType w:val="hybridMultilevel"/>
    <w:tmpl w:val="8F1CBDF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EAA6BE7"/>
    <w:multiLevelType w:val="multilevel"/>
    <w:tmpl w:val="7D8261F4"/>
    <w:lvl w:ilvl="0">
      <w:start w:val="0"/>
      <w:numFmt w:val="bullet"/>
      <w:lvlText w:val="-"/>
      <w:lvlJc w:val="left"/>
      <w:rPr>
        <w:rFonts w:ascii="Times New Roman" w:eastAsia="Times New Roman" w:hAnsi="Times New Roman" w:cs="Times New Roman"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61693A1C"/>
    <w:multiLevelType w:val="hybridMultilevel"/>
    <w:tmpl w:val="8FAAEC2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1DB5A93"/>
    <w:multiLevelType w:val="hybridMultilevel"/>
    <w:tmpl w:val="F0A6D7FA"/>
    <w:lvl w:ilvl="0">
      <w:start w:val="1"/>
      <w:numFmt w:val="bullet"/>
      <w:lvlText w:val="•"/>
      <w:lvlJc w:val="left"/>
      <w:pPr>
        <w:tabs>
          <w:tab w:val="left" w:pos="0"/>
        </w:tabs>
        <w:ind w:left="720" w:hanging="360"/>
      </w:pPr>
      <w:rPr>
        <w:rFonts w:ascii="Arial" w:hAnsi="Arial" w:hint="default"/>
      </w:rPr>
    </w:lvl>
    <w:lvl w:ilvl="1">
      <w:start w:val="1"/>
      <w:numFmt w:val="bullet"/>
      <w:lvlText w:val="•"/>
      <w:lvlJc w:val="left"/>
      <w:pPr>
        <w:tabs>
          <w:tab w:val="left" w:pos="0"/>
        </w:tabs>
        <w:ind w:left="1440" w:hanging="360"/>
      </w:pPr>
      <w:rPr>
        <w:rFonts w:ascii="Arial" w:hAnsi="Arial" w:hint="default"/>
      </w:rPr>
    </w:lvl>
    <w:lvl w:ilvl="2">
      <w:start w:val="1"/>
      <w:numFmt w:val="bullet"/>
      <w:lvlText w:val="•"/>
      <w:lvlJc w:val="left"/>
      <w:pPr>
        <w:tabs>
          <w:tab w:val="left" w:pos="0"/>
        </w:tabs>
        <w:ind w:left="2160" w:hanging="360"/>
      </w:pPr>
      <w:rPr>
        <w:rFonts w:ascii="Arial" w:hAnsi="Arial" w:hint="default"/>
      </w:rPr>
    </w:lvl>
    <w:lvl w:ilvl="3">
      <w:start w:val="1"/>
      <w:numFmt w:val="bullet"/>
      <w:lvlText w:val="•"/>
      <w:lvlJc w:val="left"/>
      <w:pPr>
        <w:tabs>
          <w:tab w:val="left" w:pos="0"/>
        </w:tabs>
        <w:ind w:left="2880" w:hanging="360"/>
      </w:pPr>
      <w:rPr>
        <w:rFonts w:ascii="Arial" w:hAnsi="Arial" w:hint="default"/>
      </w:rPr>
    </w:lvl>
    <w:lvl w:ilvl="4">
      <w:start w:val="1"/>
      <w:numFmt w:val="bullet"/>
      <w:lvlText w:val="•"/>
      <w:lvlJc w:val="left"/>
      <w:pPr>
        <w:tabs>
          <w:tab w:val="left" w:pos="0"/>
        </w:tabs>
        <w:ind w:left="3600" w:hanging="360"/>
      </w:pPr>
      <w:rPr>
        <w:rFonts w:ascii="Arial" w:hAnsi="Arial" w:hint="default"/>
      </w:rPr>
    </w:lvl>
    <w:lvl w:ilvl="5">
      <w:start w:val="1"/>
      <w:numFmt w:val="bullet"/>
      <w:lvlText w:val="•"/>
      <w:lvlJc w:val="left"/>
      <w:pPr>
        <w:tabs>
          <w:tab w:val="left" w:pos="0"/>
        </w:tabs>
        <w:ind w:left="4320" w:hanging="360"/>
      </w:pPr>
      <w:rPr>
        <w:rFonts w:ascii="Arial" w:hAnsi="Arial" w:hint="default"/>
      </w:rPr>
    </w:lvl>
    <w:lvl w:ilvl="6">
      <w:start w:val="1"/>
      <w:numFmt w:val="bullet"/>
      <w:lvlText w:val="•"/>
      <w:lvlJc w:val="left"/>
      <w:pPr>
        <w:tabs>
          <w:tab w:val="left" w:pos="0"/>
        </w:tabs>
        <w:ind w:left="5040" w:hanging="360"/>
      </w:pPr>
      <w:rPr>
        <w:rFonts w:ascii="Arial" w:hAnsi="Arial" w:hint="default"/>
      </w:rPr>
    </w:lvl>
    <w:lvl w:ilvl="7">
      <w:start w:val="1"/>
      <w:numFmt w:val="bullet"/>
      <w:lvlText w:val="•"/>
      <w:lvlJc w:val="left"/>
      <w:pPr>
        <w:tabs>
          <w:tab w:val="left" w:pos="0"/>
        </w:tabs>
        <w:ind w:left="5760" w:hanging="360"/>
      </w:pPr>
      <w:rPr>
        <w:rFonts w:ascii="Arial" w:hAnsi="Arial" w:hint="default"/>
      </w:rPr>
    </w:lvl>
    <w:lvl w:ilvl="8">
      <w:start w:val="1"/>
      <w:numFmt w:val="bullet"/>
      <w:lvlText w:val="•"/>
      <w:lvlJc w:val="left"/>
      <w:pPr>
        <w:tabs>
          <w:tab w:val="left" w:pos="0"/>
        </w:tabs>
        <w:ind w:left="6480" w:hanging="360"/>
      </w:pPr>
      <w:rPr>
        <w:rFonts w:ascii="Arial" w:hAnsi="Arial" w:hint="default"/>
      </w:rPr>
    </w:lvl>
  </w:abstractNum>
  <w:abstractNum w:abstractNumId="36">
    <w:nsid w:val="62005F2A"/>
    <w:multiLevelType w:val="hybridMultilevel"/>
    <w:tmpl w:val="E66C67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4BD78FE"/>
    <w:multiLevelType w:val="hybridMultilevel"/>
    <w:tmpl w:val="D24ADA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4FB4E74"/>
    <w:multiLevelType w:val="hybridMultilevel"/>
    <w:tmpl w:val="21A89AFA"/>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39">
    <w:nsid w:val="657A4030"/>
    <w:multiLevelType w:val="hybridMultilevel"/>
    <w:tmpl w:val="4B268664"/>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8276CDF"/>
    <w:multiLevelType w:val="hybridMultilevel"/>
    <w:tmpl w:val="D480E958"/>
    <w:lvl w:ilvl="0">
      <w:start w:val="0"/>
      <w:numFmt w:val="bullet"/>
      <w:lvlText w:val="-"/>
      <w:lvlJc w:val="left"/>
      <w:pPr>
        <w:ind w:left="1500" w:hanging="360"/>
      </w:pPr>
      <w:rPr>
        <w:rFonts w:ascii="Times New Roman" w:eastAsia="Times New Roman" w:hAnsi="Times New Roman" w:cs="Times New Roman"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41">
    <w:nsid w:val="6AD23882"/>
    <w:multiLevelType w:val="hybridMultilevel"/>
    <w:tmpl w:val="20B4E7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3C754A"/>
    <w:multiLevelType w:val="hybridMultilevel"/>
    <w:tmpl w:val="DFB49A82"/>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3">
    <w:nsid w:val="6D7C6D88"/>
    <w:multiLevelType w:val="hybridMultilevel"/>
    <w:tmpl w:val="FC7A8390"/>
    <w:lvl w:ilvl="0">
      <w:start w:val="5"/>
      <w:numFmt w:val="bullet"/>
      <w:lvlText w:val="-"/>
      <w:lvlJc w:val="left"/>
      <w:pPr>
        <w:ind w:left="720" w:hanging="360"/>
      </w:pPr>
      <w:rPr>
        <w:rFonts w:ascii="Times New Roman" w:eastAsia="Times New Roman" w:hAnsi="Times New Roman" w:cs="Times New Roman"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8540853"/>
    <w:multiLevelType w:val="hybridMultilevel"/>
    <w:tmpl w:val="F44E1478"/>
    <w:lvl w:ilvl="0">
      <w:start w:val="1"/>
      <w:numFmt w:val="decimal"/>
      <w:lvlText w:val="%1)"/>
      <w:lvlJc w:val="left"/>
      <w:pPr>
        <w:ind w:left="757" w:hanging="360"/>
      </w:pPr>
      <w:rPr>
        <w:rFonts w:hint="default"/>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45">
    <w:nsid w:val="79877EE5"/>
    <w:multiLevelType w:val="hybridMultilevel"/>
    <w:tmpl w:val="F07A4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A8E6A34"/>
    <w:multiLevelType w:val="hybridMultilevel"/>
    <w:tmpl w:val="44E8C3FA"/>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45"/>
  </w:num>
  <w:num w:numId="4">
    <w:abstractNumId w:val="41"/>
  </w:num>
  <w:num w:numId="5">
    <w:abstractNumId w:val="14"/>
  </w:num>
  <w:num w:numId="6">
    <w:abstractNumId w:val="35"/>
  </w:num>
  <w:num w:numId="7">
    <w:abstractNumId w:val="21"/>
  </w:num>
  <w:num w:numId="8">
    <w:abstractNumId w:val="4"/>
  </w:num>
  <w:num w:numId="9">
    <w:abstractNumId w:val="27"/>
  </w:num>
  <w:num w:numId="10">
    <w:abstractNumId w:val="16"/>
  </w:num>
  <w:num w:numId="11">
    <w:abstractNumId w:val="44"/>
  </w:num>
  <w:num w:numId="12">
    <w:abstractNumId w:val="42"/>
  </w:num>
  <w:num w:numId="13">
    <w:abstractNumId w:val="42"/>
  </w:num>
  <w:num w:numId="14">
    <w:abstractNumId w:val="13"/>
  </w:num>
  <w:num w:numId="15">
    <w:abstractNumId w:val="13"/>
  </w:num>
  <w:num w:numId="16">
    <w:abstractNumId w:val="24"/>
  </w:num>
  <w:num w:numId="17">
    <w:abstractNumId w:val="18"/>
  </w:num>
  <w:num w:numId="18">
    <w:abstractNumId w:val="7"/>
  </w:num>
  <w:num w:numId="19">
    <w:abstractNumId w:val="46"/>
  </w:num>
  <w:num w:numId="20">
    <w:abstractNumId w:val="24"/>
  </w:num>
  <w:num w:numId="21">
    <w:abstractNumId w:val="12"/>
  </w:num>
  <w:num w:numId="22">
    <w:abstractNumId w:val="26"/>
  </w:num>
  <w:num w:numId="23">
    <w:abstractNumId w:val="2"/>
  </w:num>
  <w:num w:numId="24">
    <w:abstractNumId w:val="39"/>
  </w:num>
  <w:num w:numId="25">
    <w:abstractNumId w:val="31"/>
  </w:num>
  <w:num w:numId="26">
    <w:abstractNumId w:val="33"/>
  </w:num>
  <w:num w:numId="27">
    <w:abstractNumId w:val="11"/>
  </w:num>
  <w:num w:numId="28">
    <w:abstractNumId w:val="38"/>
  </w:num>
  <w:num w:numId="29">
    <w:abstractNumId w:val="23"/>
  </w:num>
  <w:num w:numId="30">
    <w:abstractNumId w:val="0"/>
  </w:num>
  <w:num w:numId="31">
    <w:abstractNumId w:val="17"/>
  </w:num>
  <w:num w:numId="32">
    <w:abstractNumId w:val="40"/>
  </w:num>
  <w:num w:numId="33">
    <w:abstractNumId w:val="37"/>
  </w:num>
  <w:num w:numId="34">
    <w:abstractNumId w:val="29"/>
  </w:num>
  <w:num w:numId="35">
    <w:abstractNumId w:val="1"/>
  </w:num>
  <w:num w:numId="36">
    <w:abstractNumId w:val="19"/>
  </w:num>
  <w:num w:numId="37">
    <w:abstractNumId w:val="25"/>
  </w:num>
  <w:num w:numId="38">
    <w:abstractNumId w:val="36"/>
  </w:num>
  <w:num w:numId="39">
    <w:abstractNumId w:val="20"/>
  </w:num>
  <w:num w:numId="40">
    <w:abstractNumId w:val="43"/>
  </w:num>
  <w:num w:numId="41">
    <w:abstractNumId w:val="3"/>
  </w:num>
  <w:num w:numId="42">
    <w:abstractNumId w:val="8"/>
  </w:num>
  <w:num w:numId="43">
    <w:abstractNumId w:val="30"/>
  </w:num>
  <w:num w:numId="44">
    <w:abstractNumId w:val="15"/>
  </w:num>
  <w:num w:numId="45">
    <w:abstractNumId w:val="32"/>
  </w:num>
  <w:num w:numId="46">
    <w:abstractNumId w:val="3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65"/>
    <w:rsid w:val="000000B6"/>
    <w:rsid w:val="00000E6B"/>
    <w:rsid w:val="00001000"/>
    <w:rsid w:val="000015B9"/>
    <w:rsid w:val="00001F13"/>
    <w:rsid w:val="000033D7"/>
    <w:rsid w:val="000036C3"/>
    <w:rsid w:val="000036E2"/>
    <w:rsid w:val="00005F71"/>
    <w:rsid w:val="0000681F"/>
    <w:rsid w:val="00013FE8"/>
    <w:rsid w:val="00014536"/>
    <w:rsid w:val="00014A3C"/>
    <w:rsid w:val="00014AAD"/>
    <w:rsid w:val="00014C17"/>
    <w:rsid w:val="000174B2"/>
    <w:rsid w:val="000177CF"/>
    <w:rsid w:val="00020FFC"/>
    <w:rsid w:val="000218C7"/>
    <w:rsid w:val="00021D26"/>
    <w:rsid w:val="0002287B"/>
    <w:rsid w:val="0002308A"/>
    <w:rsid w:val="00024A52"/>
    <w:rsid w:val="00025C19"/>
    <w:rsid w:val="00026B1E"/>
    <w:rsid w:val="00027818"/>
    <w:rsid w:val="00027C34"/>
    <w:rsid w:val="00027FE4"/>
    <w:rsid w:val="00030B17"/>
    <w:rsid w:val="00030DB4"/>
    <w:rsid w:val="00031382"/>
    <w:rsid w:val="00031E60"/>
    <w:rsid w:val="000322AD"/>
    <w:rsid w:val="00032BA1"/>
    <w:rsid w:val="000331AA"/>
    <w:rsid w:val="00033735"/>
    <w:rsid w:val="00034691"/>
    <w:rsid w:val="00041691"/>
    <w:rsid w:val="000419B3"/>
    <w:rsid w:val="00041DE6"/>
    <w:rsid w:val="00042C03"/>
    <w:rsid w:val="00043FB9"/>
    <w:rsid w:val="00044290"/>
    <w:rsid w:val="000459C0"/>
    <w:rsid w:val="00045F0C"/>
    <w:rsid w:val="00050169"/>
    <w:rsid w:val="000505A9"/>
    <w:rsid w:val="000517F4"/>
    <w:rsid w:val="00051C65"/>
    <w:rsid w:val="00052EEB"/>
    <w:rsid w:val="000544EB"/>
    <w:rsid w:val="00054837"/>
    <w:rsid w:val="00055BF1"/>
    <w:rsid w:val="00056A87"/>
    <w:rsid w:val="00057874"/>
    <w:rsid w:val="000578A6"/>
    <w:rsid w:val="00060C4B"/>
    <w:rsid w:val="000651DF"/>
    <w:rsid w:val="0006530F"/>
    <w:rsid w:val="0006669E"/>
    <w:rsid w:val="00070A70"/>
    <w:rsid w:val="00070E59"/>
    <w:rsid w:val="00071639"/>
    <w:rsid w:val="00071E21"/>
    <w:rsid w:val="0007411C"/>
    <w:rsid w:val="0007577E"/>
    <w:rsid w:val="00075D5B"/>
    <w:rsid w:val="00075DB2"/>
    <w:rsid w:val="00076000"/>
    <w:rsid w:val="00076594"/>
    <w:rsid w:val="00077173"/>
    <w:rsid w:val="00081438"/>
    <w:rsid w:val="00083AD7"/>
    <w:rsid w:val="000846B5"/>
    <w:rsid w:val="000860E0"/>
    <w:rsid w:val="000876D2"/>
    <w:rsid w:val="0009003D"/>
    <w:rsid w:val="00091F2D"/>
    <w:rsid w:val="000922AB"/>
    <w:rsid w:val="00092852"/>
    <w:rsid w:val="000935ED"/>
    <w:rsid w:val="000947BC"/>
    <w:rsid w:val="000951DC"/>
    <w:rsid w:val="00095E76"/>
    <w:rsid w:val="00095FD0"/>
    <w:rsid w:val="0009609F"/>
    <w:rsid w:val="0009708F"/>
    <w:rsid w:val="00097324"/>
    <w:rsid w:val="00097D26"/>
    <w:rsid w:val="00097FB2"/>
    <w:rsid w:val="000A0219"/>
    <w:rsid w:val="000A0B20"/>
    <w:rsid w:val="000A2DAB"/>
    <w:rsid w:val="000A30EE"/>
    <w:rsid w:val="000A38E3"/>
    <w:rsid w:val="000A3C42"/>
    <w:rsid w:val="000A4466"/>
    <w:rsid w:val="000A580A"/>
    <w:rsid w:val="000A68DF"/>
    <w:rsid w:val="000A6E10"/>
    <w:rsid w:val="000A722B"/>
    <w:rsid w:val="000A7361"/>
    <w:rsid w:val="000A7DFA"/>
    <w:rsid w:val="000B074B"/>
    <w:rsid w:val="000B0BF8"/>
    <w:rsid w:val="000B0E4F"/>
    <w:rsid w:val="000B1567"/>
    <w:rsid w:val="000B22C4"/>
    <w:rsid w:val="000B2B61"/>
    <w:rsid w:val="000B2EAF"/>
    <w:rsid w:val="000B30C5"/>
    <w:rsid w:val="000B3484"/>
    <w:rsid w:val="000B34EA"/>
    <w:rsid w:val="000B3869"/>
    <w:rsid w:val="000B39CE"/>
    <w:rsid w:val="000B3D0C"/>
    <w:rsid w:val="000B4091"/>
    <w:rsid w:val="000B4327"/>
    <w:rsid w:val="000B51C4"/>
    <w:rsid w:val="000B569D"/>
    <w:rsid w:val="000B68BE"/>
    <w:rsid w:val="000C2116"/>
    <w:rsid w:val="000C2740"/>
    <w:rsid w:val="000C403D"/>
    <w:rsid w:val="000C45E7"/>
    <w:rsid w:val="000C4680"/>
    <w:rsid w:val="000C5D66"/>
    <w:rsid w:val="000C6C38"/>
    <w:rsid w:val="000C756D"/>
    <w:rsid w:val="000C7899"/>
    <w:rsid w:val="000D0BAC"/>
    <w:rsid w:val="000D0F2E"/>
    <w:rsid w:val="000D22B2"/>
    <w:rsid w:val="000D238D"/>
    <w:rsid w:val="000D45F9"/>
    <w:rsid w:val="000D4B8B"/>
    <w:rsid w:val="000D4F5A"/>
    <w:rsid w:val="000D5179"/>
    <w:rsid w:val="000D5B01"/>
    <w:rsid w:val="000D68DD"/>
    <w:rsid w:val="000D71D3"/>
    <w:rsid w:val="000E0755"/>
    <w:rsid w:val="000E0D42"/>
    <w:rsid w:val="000E1102"/>
    <w:rsid w:val="000E1823"/>
    <w:rsid w:val="000E3EC1"/>
    <w:rsid w:val="000E41F2"/>
    <w:rsid w:val="000E4385"/>
    <w:rsid w:val="000E44AA"/>
    <w:rsid w:val="000E58C4"/>
    <w:rsid w:val="000E5FF2"/>
    <w:rsid w:val="000E7009"/>
    <w:rsid w:val="000F0EB1"/>
    <w:rsid w:val="000F199F"/>
    <w:rsid w:val="000F24A1"/>
    <w:rsid w:val="000F2BA4"/>
    <w:rsid w:val="000F4E95"/>
    <w:rsid w:val="000F5840"/>
    <w:rsid w:val="000F5CB7"/>
    <w:rsid w:val="000F683B"/>
    <w:rsid w:val="00100765"/>
    <w:rsid w:val="00100949"/>
    <w:rsid w:val="00103B7E"/>
    <w:rsid w:val="0010491D"/>
    <w:rsid w:val="00104B5D"/>
    <w:rsid w:val="00105B33"/>
    <w:rsid w:val="00106989"/>
    <w:rsid w:val="00107987"/>
    <w:rsid w:val="00110EBC"/>
    <w:rsid w:val="001117F7"/>
    <w:rsid w:val="001124D6"/>
    <w:rsid w:val="00112D32"/>
    <w:rsid w:val="00112FFE"/>
    <w:rsid w:val="00113870"/>
    <w:rsid w:val="00113EDA"/>
    <w:rsid w:val="00114BD2"/>
    <w:rsid w:val="00114F8E"/>
    <w:rsid w:val="0011524F"/>
    <w:rsid w:val="00115791"/>
    <w:rsid w:val="001159A1"/>
    <w:rsid w:val="00115D49"/>
    <w:rsid w:val="00115FC9"/>
    <w:rsid w:val="001160A8"/>
    <w:rsid w:val="00116D9F"/>
    <w:rsid w:val="00117225"/>
    <w:rsid w:val="00120962"/>
    <w:rsid w:val="00120CC7"/>
    <w:rsid w:val="001215E1"/>
    <w:rsid w:val="001218CA"/>
    <w:rsid w:val="00121A21"/>
    <w:rsid w:val="00124618"/>
    <w:rsid w:val="001252EC"/>
    <w:rsid w:val="00125384"/>
    <w:rsid w:val="00125721"/>
    <w:rsid w:val="00126D1B"/>
    <w:rsid w:val="0012729F"/>
    <w:rsid w:val="001275A8"/>
    <w:rsid w:val="00130524"/>
    <w:rsid w:val="00130E30"/>
    <w:rsid w:val="001320C2"/>
    <w:rsid w:val="00133B8E"/>
    <w:rsid w:val="00136A91"/>
    <w:rsid w:val="0013702A"/>
    <w:rsid w:val="00137043"/>
    <w:rsid w:val="0014021C"/>
    <w:rsid w:val="00140503"/>
    <w:rsid w:val="00140842"/>
    <w:rsid w:val="00142D65"/>
    <w:rsid w:val="00143E83"/>
    <w:rsid w:val="00144402"/>
    <w:rsid w:val="00144495"/>
    <w:rsid w:val="00144E08"/>
    <w:rsid w:val="001451CF"/>
    <w:rsid w:val="00145A72"/>
    <w:rsid w:val="00146237"/>
    <w:rsid w:val="00147DEF"/>
    <w:rsid w:val="00151A95"/>
    <w:rsid w:val="00152C3B"/>
    <w:rsid w:val="001536F3"/>
    <w:rsid w:val="00154905"/>
    <w:rsid w:val="00154A36"/>
    <w:rsid w:val="00155850"/>
    <w:rsid w:val="001558C4"/>
    <w:rsid w:val="00156415"/>
    <w:rsid w:val="0015680E"/>
    <w:rsid w:val="001579B2"/>
    <w:rsid w:val="00157F8E"/>
    <w:rsid w:val="00161657"/>
    <w:rsid w:val="00164DC5"/>
    <w:rsid w:val="00165D0E"/>
    <w:rsid w:val="00166A22"/>
    <w:rsid w:val="00167342"/>
    <w:rsid w:val="001673D2"/>
    <w:rsid w:val="00167544"/>
    <w:rsid w:val="00167B13"/>
    <w:rsid w:val="00170230"/>
    <w:rsid w:val="001705C1"/>
    <w:rsid w:val="00170AC9"/>
    <w:rsid w:val="00170BE7"/>
    <w:rsid w:val="001737CD"/>
    <w:rsid w:val="0017567E"/>
    <w:rsid w:val="00177419"/>
    <w:rsid w:val="00177A96"/>
    <w:rsid w:val="00177C92"/>
    <w:rsid w:val="001808E8"/>
    <w:rsid w:val="0018211C"/>
    <w:rsid w:val="001827E0"/>
    <w:rsid w:val="00182A05"/>
    <w:rsid w:val="00185808"/>
    <w:rsid w:val="00185847"/>
    <w:rsid w:val="00185A0C"/>
    <w:rsid w:val="001869E0"/>
    <w:rsid w:val="001876AC"/>
    <w:rsid w:val="001909CD"/>
    <w:rsid w:val="00191188"/>
    <w:rsid w:val="00191E03"/>
    <w:rsid w:val="00192165"/>
    <w:rsid w:val="00192471"/>
    <w:rsid w:val="001933B7"/>
    <w:rsid w:val="001954A3"/>
    <w:rsid w:val="00195ACB"/>
    <w:rsid w:val="00196116"/>
    <w:rsid w:val="0019625C"/>
    <w:rsid w:val="0019658E"/>
    <w:rsid w:val="00196FBB"/>
    <w:rsid w:val="0019762C"/>
    <w:rsid w:val="001A119A"/>
    <w:rsid w:val="001A30CA"/>
    <w:rsid w:val="001A4278"/>
    <w:rsid w:val="001A4DA7"/>
    <w:rsid w:val="001A5D25"/>
    <w:rsid w:val="001A62E7"/>
    <w:rsid w:val="001A65E3"/>
    <w:rsid w:val="001A6B08"/>
    <w:rsid w:val="001A6F7C"/>
    <w:rsid w:val="001B02E2"/>
    <w:rsid w:val="001B0CE5"/>
    <w:rsid w:val="001B0E45"/>
    <w:rsid w:val="001B17F5"/>
    <w:rsid w:val="001B2135"/>
    <w:rsid w:val="001B263E"/>
    <w:rsid w:val="001B33A3"/>
    <w:rsid w:val="001B42B9"/>
    <w:rsid w:val="001B4A89"/>
    <w:rsid w:val="001B4DA6"/>
    <w:rsid w:val="001B6233"/>
    <w:rsid w:val="001B669C"/>
    <w:rsid w:val="001B75F7"/>
    <w:rsid w:val="001B7BE0"/>
    <w:rsid w:val="001C06E8"/>
    <w:rsid w:val="001C2127"/>
    <w:rsid w:val="001C2A22"/>
    <w:rsid w:val="001C2B5C"/>
    <w:rsid w:val="001C33CF"/>
    <w:rsid w:val="001C3F16"/>
    <w:rsid w:val="001C447C"/>
    <w:rsid w:val="001C493F"/>
    <w:rsid w:val="001C6D3E"/>
    <w:rsid w:val="001D0097"/>
    <w:rsid w:val="001D36C3"/>
    <w:rsid w:val="001D3D81"/>
    <w:rsid w:val="001D44B8"/>
    <w:rsid w:val="001E1E23"/>
    <w:rsid w:val="001E225D"/>
    <w:rsid w:val="001E2BBB"/>
    <w:rsid w:val="001E2BEB"/>
    <w:rsid w:val="001E2C78"/>
    <w:rsid w:val="001E574D"/>
    <w:rsid w:val="001E6010"/>
    <w:rsid w:val="001E60B8"/>
    <w:rsid w:val="001E61AB"/>
    <w:rsid w:val="001E6B10"/>
    <w:rsid w:val="001E6C00"/>
    <w:rsid w:val="001E6EF8"/>
    <w:rsid w:val="001E7050"/>
    <w:rsid w:val="001E73DD"/>
    <w:rsid w:val="001F034A"/>
    <w:rsid w:val="001F09F4"/>
    <w:rsid w:val="001F0C08"/>
    <w:rsid w:val="001F0D72"/>
    <w:rsid w:val="001F3A75"/>
    <w:rsid w:val="001F4EBC"/>
    <w:rsid w:val="001F576A"/>
    <w:rsid w:val="001F58C8"/>
    <w:rsid w:val="001F5DA3"/>
    <w:rsid w:val="001F5FE6"/>
    <w:rsid w:val="001F7710"/>
    <w:rsid w:val="002004DB"/>
    <w:rsid w:val="002027D5"/>
    <w:rsid w:val="002030AA"/>
    <w:rsid w:val="00203B59"/>
    <w:rsid w:val="00205C0D"/>
    <w:rsid w:val="00206034"/>
    <w:rsid w:val="0020619A"/>
    <w:rsid w:val="00206535"/>
    <w:rsid w:val="00207D9C"/>
    <w:rsid w:val="00207E6C"/>
    <w:rsid w:val="00211301"/>
    <w:rsid w:val="002116DC"/>
    <w:rsid w:val="00212B1E"/>
    <w:rsid w:val="002131F2"/>
    <w:rsid w:val="002136B9"/>
    <w:rsid w:val="00214307"/>
    <w:rsid w:val="00216225"/>
    <w:rsid w:val="00217249"/>
    <w:rsid w:val="002172BA"/>
    <w:rsid w:val="002172F4"/>
    <w:rsid w:val="00220A45"/>
    <w:rsid w:val="002213D7"/>
    <w:rsid w:val="0022164C"/>
    <w:rsid w:val="00223342"/>
    <w:rsid w:val="0022338D"/>
    <w:rsid w:val="00223EB7"/>
    <w:rsid w:val="002246CD"/>
    <w:rsid w:val="00224D36"/>
    <w:rsid w:val="0022720E"/>
    <w:rsid w:val="00227368"/>
    <w:rsid w:val="0023077A"/>
    <w:rsid w:val="00231CE4"/>
    <w:rsid w:val="00231F04"/>
    <w:rsid w:val="00232275"/>
    <w:rsid w:val="00232943"/>
    <w:rsid w:val="0023318D"/>
    <w:rsid w:val="0023319A"/>
    <w:rsid w:val="00234383"/>
    <w:rsid w:val="0023460A"/>
    <w:rsid w:val="00235E68"/>
    <w:rsid w:val="00236D3F"/>
    <w:rsid w:val="00240078"/>
    <w:rsid w:val="00241006"/>
    <w:rsid w:val="00241162"/>
    <w:rsid w:val="00241A3D"/>
    <w:rsid w:val="00241D1B"/>
    <w:rsid w:val="00242A4A"/>
    <w:rsid w:val="00243A46"/>
    <w:rsid w:val="002442BE"/>
    <w:rsid w:val="00244912"/>
    <w:rsid w:val="002468B9"/>
    <w:rsid w:val="00246F8B"/>
    <w:rsid w:val="00250DF8"/>
    <w:rsid w:val="00250F74"/>
    <w:rsid w:val="0025119E"/>
    <w:rsid w:val="0025126B"/>
    <w:rsid w:val="002515CD"/>
    <w:rsid w:val="00252B1F"/>
    <w:rsid w:val="00252D78"/>
    <w:rsid w:val="002547EA"/>
    <w:rsid w:val="00257159"/>
    <w:rsid w:val="00257A08"/>
    <w:rsid w:val="00262F73"/>
    <w:rsid w:val="0026321D"/>
    <w:rsid w:val="00264003"/>
    <w:rsid w:val="00265032"/>
    <w:rsid w:val="00266D5F"/>
    <w:rsid w:val="00266F53"/>
    <w:rsid w:val="0027023E"/>
    <w:rsid w:val="00270614"/>
    <w:rsid w:val="00271274"/>
    <w:rsid w:val="0027215B"/>
    <w:rsid w:val="00272DF0"/>
    <w:rsid w:val="00272FF0"/>
    <w:rsid w:val="00273770"/>
    <w:rsid w:val="0027378B"/>
    <w:rsid w:val="002766BF"/>
    <w:rsid w:val="00276B95"/>
    <w:rsid w:val="0027731B"/>
    <w:rsid w:val="0027769D"/>
    <w:rsid w:val="002777A7"/>
    <w:rsid w:val="00280F3B"/>
    <w:rsid w:val="00282BE0"/>
    <w:rsid w:val="0028391A"/>
    <w:rsid w:val="002839C9"/>
    <w:rsid w:val="002841F1"/>
    <w:rsid w:val="002849E0"/>
    <w:rsid w:val="00285F07"/>
    <w:rsid w:val="00286818"/>
    <w:rsid w:val="00287ADE"/>
    <w:rsid w:val="0029012F"/>
    <w:rsid w:val="002902FB"/>
    <w:rsid w:val="002904EE"/>
    <w:rsid w:val="00291E4A"/>
    <w:rsid w:val="0029216F"/>
    <w:rsid w:val="0029220A"/>
    <w:rsid w:val="0029331C"/>
    <w:rsid w:val="002933A9"/>
    <w:rsid w:val="00293709"/>
    <w:rsid w:val="00293FDC"/>
    <w:rsid w:val="002963BA"/>
    <w:rsid w:val="002969D1"/>
    <w:rsid w:val="002A2730"/>
    <w:rsid w:val="002A302A"/>
    <w:rsid w:val="002A3228"/>
    <w:rsid w:val="002A3259"/>
    <w:rsid w:val="002A443A"/>
    <w:rsid w:val="002A46C3"/>
    <w:rsid w:val="002A6534"/>
    <w:rsid w:val="002A6650"/>
    <w:rsid w:val="002A7DB2"/>
    <w:rsid w:val="002B09FA"/>
    <w:rsid w:val="002B3172"/>
    <w:rsid w:val="002C0447"/>
    <w:rsid w:val="002C3ACE"/>
    <w:rsid w:val="002C40F6"/>
    <w:rsid w:val="002C4C55"/>
    <w:rsid w:val="002C70AD"/>
    <w:rsid w:val="002C7AC2"/>
    <w:rsid w:val="002D15FD"/>
    <w:rsid w:val="002D2937"/>
    <w:rsid w:val="002D2A73"/>
    <w:rsid w:val="002D412C"/>
    <w:rsid w:val="002D57CA"/>
    <w:rsid w:val="002D603A"/>
    <w:rsid w:val="002D626E"/>
    <w:rsid w:val="002D68C6"/>
    <w:rsid w:val="002D752A"/>
    <w:rsid w:val="002D7557"/>
    <w:rsid w:val="002D79DB"/>
    <w:rsid w:val="002D7D67"/>
    <w:rsid w:val="002E018F"/>
    <w:rsid w:val="002E06E7"/>
    <w:rsid w:val="002E0EE3"/>
    <w:rsid w:val="002E4BF4"/>
    <w:rsid w:val="002E56A6"/>
    <w:rsid w:val="002F0738"/>
    <w:rsid w:val="002F1137"/>
    <w:rsid w:val="002F2EE7"/>
    <w:rsid w:val="002F36A6"/>
    <w:rsid w:val="002F3EEB"/>
    <w:rsid w:val="002F5159"/>
    <w:rsid w:val="002F62E4"/>
    <w:rsid w:val="002F670C"/>
    <w:rsid w:val="002F69CC"/>
    <w:rsid w:val="002F6ACE"/>
    <w:rsid w:val="002F78BC"/>
    <w:rsid w:val="003011FB"/>
    <w:rsid w:val="00301406"/>
    <w:rsid w:val="003040DA"/>
    <w:rsid w:val="0030457A"/>
    <w:rsid w:val="00304D75"/>
    <w:rsid w:val="0030552C"/>
    <w:rsid w:val="003057FF"/>
    <w:rsid w:val="00305AB4"/>
    <w:rsid w:val="00305FBB"/>
    <w:rsid w:val="00306740"/>
    <w:rsid w:val="00306C54"/>
    <w:rsid w:val="00307004"/>
    <w:rsid w:val="0030772B"/>
    <w:rsid w:val="003100A7"/>
    <w:rsid w:val="0031041D"/>
    <w:rsid w:val="00313A8A"/>
    <w:rsid w:val="00314FA6"/>
    <w:rsid w:val="003169A1"/>
    <w:rsid w:val="0031768E"/>
    <w:rsid w:val="00317D87"/>
    <w:rsid w:val="0032019F"/>
    <w:rsid w:val="00320B60"/>
    <w:rsid w:val="00322DBD"/>
    <w:rsid w:val="003231F4"/>
    <w:rsid w:val="00323751"/>
    <w:rsid w:val="00324481"/>
    <w:rsid w:val="00324F0E"/>
    <w:rsid w:val="00325A19"/>
    <w:rsid w:val="00326F73"/>
    <w:rsid w:val="00327A7C"/>
    <w:rsid w:val="00331FD0"/>
    <w:rsid w:val="003324C1"/>
    <w:rsid w:val="00334481"/>
    <w:rsid w:val="0033457F"/>
    <w:rsid w:val="003346CE"/>
    <w:rsid w:val="003354AE"/>
    <w:rsid w:val="00336C4D"/>
    <w:rsid w:val="00336FD6"/>
    <w:rsid w:val="00337F12"/>
    <w:rsid w:val="003420AD"/>
    <w:rsid w:val="00342D1E"/>
    <w:rsid w:val="00344150"/>
    <w:rsid w:val="00344208"/>
    <w:rsid w:val="00345E1F"/>
    <w:rsid w:val="0034630D"/>
    <w:rsid w:val="003463E0"/>
    <w:rsid w:val="00347914"/>
    <w:rsid w:val="003503B1"/>
    <w:rsid w:val="00350677"/>
    <w:rsid w:val="00351A22"/>
    <w:rsid w:val="003525EA"/>
    <w:rsid w:val="00352C90"/>
    <w:rsid w:val="00353309"/>
    <w:rsid w:val="0035340B"/>
    <w:rsid w:val="0035498C"/>
    <w:rsid w:val="0035551A"/>
    <w:rsid w:val="00356169"/>
    <w:rsid w:val="00356C85"/>
    <w:rsid w:val="00357CD7"/>
    <w:rsid w:val="00361163"/>
    <w:rsid w:val="0036132F"/>
    <w:rsid w:val="00361A01"/>
    <w:rsid w:val="00362B60"/>
    <w:rsid w:val="003633D3"/>
    <w:rsid w:val="003638BF"/>
    <w:rsid w:val="0036576E"/>
    <w:rsid w:val="003659A3"/>
    <w:rsid w:val="0037125B"/>
    <w:rsid w:val="00372066"/>
    <w:rsid w:val="003734A9"/>
    <w:rsid w:val="00373587"/>
    <w:rsid w:val="00374296"/>
    <w:rsid w:val="003752C8"/>
    <w:rsid w:val="003754DF"/>
    <w:rsid w:val="00375864"/>
    <w:rsid w:val="00376B9B"/>
    <w:rsid w:val="00376CAE"/>
    <w:rsid w:val="00377816"/>
    <w:rsid w:val="0037792A"/>
    <w:rsid w:val="0038041A"/>
    <w:rsid w:val="0038070F"/>
    <w:rsid w:val="00381A3E"/>
    <w:rsid w:val="00382BA8"/>
    <w:rsid w:val="00383C53"/>
    <w:rsid w:val="00384891"/>
    <w:rsid w:val="003850E7"/>
    <w:rsid w:val="003855A0"/>
    <w:rsid w:val="003855A4"/>
    <w:rsid w:val="00386CBA"/>
    <w:rsid w:val="0038709A"/>
    <w:rsid w:val="00390001"/>
    <w:rsid w:val="003929EE"/>
    <w:rsid w:val="00393A0B"/>
    <w:rsid w:val="0039556F"/>
    <w:rsid w:val="00396F60"/>
    <w:rsid w:val="003A1D02"/>
    <w:rsid w:val="003A2A5F"/>
    <w:rsid w:val="003A2B9A"/>
    <w:rsid w:val="003A4595"/>
    <w:rsid w:val="003A5E2A"/>
    <w:rsid w:val="003A60EE"/>
    <w:rsid w:val="003A627F"/>
    <w:rsid w:val="003A6394"/>
    <w:rsid w:val="003A6B90"/>
    <w:rsid w:val="003A6F25"/>
    <w:rsid w:val="003A7513"/>
    <w:rsid w:val="003A7B23"/>
    <w:rsid w:val="003B0B2A"/>
    <w:rsid w:val="003B1088"/>
    <w:rsid w:val="003B1233"/>
    <w:rsid w:val="003B12C2"/>
    <w:rsid w:val="003B1406"/>
    <w:rsid w:val="003B1B9F"/>
    <w:rsid w:val="003B2580"/>
    <w:rsid w:val="003B341D"/>
    <w:rsid w:val="003B3F12"/>
    <w:rsid w:val="003B4789"/>
    <w:rsid w:val="003B4B50"/>
    <w:rsid w:val="003B4BD5"/>
    <w:rsid w:val="003B4F06"/>
    <w:rsid w:val="003B672B"/>
    <w:rsid w:val="003B6871"/>
    <w:rsid w:val="003C196D"/>
    <w:rsid w:val="003C1CAD"/>
    <w:rsid w:val="003C20BB"/>
    <w:rsid w:val="003C29B7"/>
    <w:rsid w:val="003C2A4C"/>
    <w:rsid w:val="003C2CD5"/>
    <w:rsid w:val="003C2D80"/>
    <w:rsid w:val="003C426B"/>
    <w:rsid w:val="003C525D"/>
    <w:rsid w:val="003D05F3"/>
    <w:rsid w:val="003D11A1"/>
    <w:rsid w:val="003D14AF"/>
    <w:rsid w:val="003D23B5"/>
    <w:rsid w:val="003D39B6"/>
    <w:rsid w:val="003D3EDA"/>
    <w:rsid w:val="003D4424"/>
    <w:rsid w:val="003D4BEF"/>
    <w:rsid w:val="003D4BF9"/>
    <w:rsid w:val="003D4D76"/>
    <w:rsid w:val="003D51B3"/>
    <w:rsid w:val="003D58CE"/>
    <w:rsid w:val="003D5B8F"/>
    <w:rsid w:val="003D76F7"/>
    <w:rsid w:val="003E014D"/>
    <w:rsid w:val="003E1693"/>
    <w:rsid w:val="003E25FA"/>
    <w:rsid w:val="003E2AA5"/>
    <w:rsid w:val="003E3DF4"/>
    <w:rsid w:val="003E48AE"/>
    <w:rsid w:val="003E4DAB"/>
    <w:rsid w:val="003E7335"/>
    <w:rsid w:val="003E76F8"/>
    <w:rsid w:val="003E7BC7"/>
    <w:rsid w:val="003F201A"/>
    <w:rsid w:val="003F2066"/>
    <w:rsid w:val="003F24DA"/>
    <w:rsid w:val="003F31E2"/>
    <w:rsid w:val="003F3FA2"/>
    <w:rsid w:val="003F406C"/>
    <w:rsid w:val="003F4B59"/>
    <w:rsid w:val="003F55A4"/>
    <w:rsid w:val="003F63FB"/>
    <w:rsid w:val="003F6B90"/>
    <w:rsid w:val="003F7872"/>
    <w:rsid w:val="00400048"/>
    <w:rsid w:val="00401895"/>
    <w:rsid w:val="00401D2B"/>
    <w:rsid w:val="00402282"/>
    <w:rsid w:val="00402B27"/>
    <w:rsid w:val="00402C33"/>
    <w:rsid w:val="00402D0F"/>
    <w:rsid w:val="00405B4D"/>
    <w:rsid w:val="00405E2F"/>
    <w:rsid w:val="004068BB"/>
    <w:rsid w:val="00407790"/>
    <w:rsid w:val="00410213"/>
    <w:rsid w:val="0041125F"/>
    <w:rsid w:val="00411314"/>
    <w:rsid w:val="0041319B"/>
    <w:rsid w:val="00413211"/>
    <w:rsid w:val="0041385D"/>
    <w:rsid w:val="00414987"/>
    <w:rsid w:val="00414B4D"/>
    <w:rsid w:val="00414FCA"/>
    <w:rsid w:val="00414FEF"/>
    <w:rsid w:val="00414FFB"/>
    <w:rsid w:val="0041596C"/>
    <w:rsid w:val="00415B5D"/>
    <w:rsid w:val="0041651F"/>
    <w:rsid w:val="00417396"/>
    <w:rsid w:val="00420DBE"/>
    <w:rsid w:val="00421AF7"/>
    <w:rsid w:val="00422B51"/>
    <w:rsid w:val="00422FAD"/>
    <w:rsid w:val="00424576"/>
    <w:rsid w:val="004252C3"/>
    <w:rsid w:val="00426849"/>
    <w:rsid w:val="00427C24"/>
    <w:rsid w:val="004324B1"/>
    <w:rsid w:val="00432852"/>
    <w:rsid w:val="0043322E"/>
    <w:rsid w:val="004343A0"/>
    <w:rsid w:val="00434895"/>
    <w:rsid w:val="00434EAA"/>
    <w:rsid w:val="00434F0B"/>
    <w:rsid w:val="00435C02"/>
    <w:rsid w:val="0043663E"/>
    <w:rsid w:val="004370C6"/>
    <w:rsid w:val="004378BC"/>
    <w:rsid w:val="0044006D"/>
    <w:rsid w:val="004404F1"/>
    <w:rsid w:val="00440C9D"/>
    <w:rsid w:val="00441068"/>
    <w:rsid w:val="004430E9"/>
    <w:rsid w:val="004434C0"/>
    <w:rsid w:val="00443E6D"/>
    <w:rsid w:val="0044462C"/>
    <w:rsid w:val="0044502A"/>
    <w:rsid w:val="00445872"/>
    <w:rsid w:val="00445D9B"/>
    <w:rsid w:val="00446011"/>
    <w:rsid w:val="00446DD7"/>
    <w:rsid w:val="004508F7"/>
    <w:rsid w:val="004509E3"/>
    <w:rsid w:val="00450A96"/>
    <w:rsid w:val="004512D3"/>
    <w:rsid w:val="004518AA"/>
    <w:rsid w:val="00451B8B"/>
    <w:rsid w:val="00451E69"/>
    <w:rsid w:val="00451EC1"/>
    <w:rsid w:val="00454718"/>
    <w:rsid w:val="00456C36"/>
    <w:rsid w:val="00456E9A"/>
    <w:rsid w:val="004575CB"/>
    <w:rsid w:val="00457889"/>
    <w:rsid w:val="0046002D"/>
    <w:rsid w:val="004609A3"/>
    <w:rsid w:val="004616F9"/>
    <w:rsid w:val="00463385"/>
    <w:rsid w:val="00464C6F"/>
    <w:rsid w:val="00464FFE"/>
    <w:rsid w:val="004658C4"/>
    <w:rsid w:val="004666E3"/>
    <w:rsid w:val="00466870"/>
    <w:rsid w:val="00467C2A"/>
    <w:rsid w:val="00470322"/>
    <w:rsid w:val="00470B71"/>
    <w:rsid w:val="00471496"/>
    <w:rsid w:val="00471DEA"/>
    <w:rsid w:val="00474882"/>
    <w:rsid w:val="00474FA3"/>
    <w:rsid w:val="0047572F"/>
    <w:rsid w:val="004764E2"/>
    <w:rsid w:val="004768A1"/>
    <w:rsid w:val="0047693F"/>
    <w:rsid w:val="00477D4A"/>
    <w:rsid w:val="004801DC"/>
    <w:rsid w:val="004815F7"/>
    <w:rsid w:val="00481F03"/>
    <w:rsid w:val="0048234C"/>
    <w:rsid w:val="0048258A"/>
    <w:rsid w:val="004842C6"/>
    <w:rsid w:val="00484BA8"/>
    <w:rsid w:val="0048546C"/>
    <w:rsid w:val="00485B06"/>
    <w:rsid w:val="00486200"/>
    <w:rsid w:val="00487302"/>
    <w:rsid w:val="00487823"/>
    <w:rsid w:val="0049061D"/>
    <w:rsid w:val="00490AC1"/>
    <w:rsid w:val="004911FD"/>
    <w:rsid w:val="0049171A"/>
    <w:rsid w:val="004918E4"/>
    <w:rsid w:val="00491B7F"/>
    <w:rsid w:val="004920D0"/>
    <w:rsid w:val="00492161"/>
    <w:rsid w:val="004922D5"/>
    <w:rsid w:val="00492420"/>
    <w:rsid w:val="004934FA"/>
    <w:rsid w:val="00493964"/>
    <w:rsid w:val="004949B6"/>
    <w:rsid w:val="00494C15"/>
    <w:rsid w:val="004958EB"/>
    <w:rsid w:val="00495B23"/>
    <w:rsid w:val="00495F7B"/>
    <w:rsid w:val="004A0E8F"/>
    <w:rsid w:val="004A1136"/>
    <w:rsid w:val="004A1C91"/>
    <w:rsid w:val="004A24F9"/>
    <w:rsid w:val="004A31BF"/>
    <w:rsid w:val="004A32E3"/>
    <w:rsid w:val="004A6367"/>
    <w:rsid w:val="004B023D"/>
    <w:rsid w:val="004B086E"/>
    <w:rsid w:val="004B2B52"/>
    <w:rsid w:val="004B3B21"/>
    <w:rsid w:val="004B4696"/>
    <w:rsid w:val="004B5362"/>
    <w:rsid w:val="004B5D44"/>
    <w:rsid w:val="004B6403"/>
    <w:rsid w:val="004C00DC"/>
    <w:rsid w:val="004C1B6C"/>
    <w:rsid w:val="004C1DA1"/>
    <w:rsid w:val="004C5BC2"/>
    <w:rsid w:val="004C63B3"/>
    <w:rsid w:val="004C7084"/>
    <w:rsid w:val="004C782A"/>
    <w:rsid w:val="004D04E8"/>
    <w:rsid w:val="004D05D5"/>
    <w:rsid w:val="004D0797"/>
    <w:rsid w:val="004D0F15"/>
    <w:rsid w:val="004D15DC"/>
    <w:rsid w:val="004D1A6B"/>
    <w:rsid w:val="004D1AAF"/>
    <w:rsid w:val="004D31AC"/>
    <w:rsid w:val="004D3238"/>
    <w:rsid w:val="004D340A"/>
    <w:rsid w:val="004D458A"/>
    <w:rsid w:val="004D4737"/>
    <w:rsid w:val="004E13F7"/>
    <w:rsid w:val="004E1E40"/>
    <w:rsid w:val="004E203E"/>
    <w:rsid w:val="004E2B2D"/>
    <w:rsid w:val="004E2B77"/>
    <w:rsid w:val="004E2E64"/>
    <w:rsid w:val="004E35F9"/>
    <w:rsid w:val="004E3ABA"/>
    <w:rsid w:val="004E4C17"/>
    <w:rsid w:val="004E5411"/>
    <w:rsid w:val="004E6155"/>
    <w:rsid w:val="004E653D"/>
    <w:rsid w:val="004E6AFA"/>
    <w:rsid w:val="004F1090"/>
    <w:rsid w:val="004F2025"/>
    <w:rsid w:val="004F24DC"/>
    <w:rsid w:val="004F2890"/>
    <w:rsid w:val="004F294E"/>
    <w:rsid w:val="004F2F46"/>
    <w:rsid w:val="004F3784"/>
    <w:rsid w:val="004F3FDA"/>
    <w:rsid w:val="004F5841"/>
    <w:rsid w:val="004F75EA"/>
    <w:rsid w:val="004F7B59"/>
    <w:rsid w:val="00501FB3"/>
    <w:rsid w:val="00502202"/>
    <w:rsid w:val="00503293"/>
    <w:rsid w:val="005041EF"/>
    <w:rsid w:val="00504F14"/>
    <w:rsid w:val="00505CFF"/>
    <w:rsid w:val="00506933"/>
    <w:rsid w:val="00506A04"/>
    <w:rsid w:val="005071A1"/>
    <w:rsid w:val="00507C8B"/>
    <w:rsid w:val="00510032"/>
    <w:rsid w:val="0051013D"/>
    <w:rsid w:val="005101A6"/>
    <w:rsid w:val="005101D8"/>
    <w:rsid w:val="005101EE"/>
    <w:rsid w:val="00510C37"/>
    <w:rsid w:val="005113FB"/>
    <w:rsid w:val="00512DFE"/>
    <w:rsid w:val="00512FC4"/>
    <w:rsid w:val="00513421"/>
    <w:rsid w:val="00513CB9"/>
    <w:rsid w:val="0051438E"/>
    <w:rsid w:val="00514853"/>
    <w:rsid w:val="00515428"/>
    <w:rsid w:val="0051745E"/>
    <w:rsid w:val="005211FD"/>
    <w:rsid w:val="00521CB1"/>
    <w:rsid w:val="005228E7"/>
    <w:rsid w:val="00522A6A"/>
    <w:rsid w:val="005235A7"/>
    <w:rsid w:val="005239A1"/>
    <w:rsid w:val="00525877"/>
    <w:rsid w:val="005258DA"/>
    <w:rsid w:val="00525DCE"/>
    <w:rsid w:val="00526A80"/>
    <w:rsid w:val="00527B42"/>
    <w:rsid w:val="00530D31"/>
    <w:rsid w:val="005314CF"/>
    <w:rsid w:val="00532999"/>
    <w:rsid w:val="00532DC0"/>
    <w:rsid w:val="00532FF1"/>
    <w:rsid w:val="005350E8"/>
    <w:rsid w:val="00535A2C"/>
    <w:rsid w:val="0054081E"/>
    <w:rsid w:val="00541C34"/>
    <w:rsid w:val="005429BD"/>
    <w:rsid w:val="00542C7F"/>
    <w:rsid w:val="00542D46"/>
    <w:rsid w:val="00542DD0"/>
    <w:rsid w:val="00544EF1"/>
    <w:rsid w:val="00545687"/>
    <w:rsid w:val="00545C29"/>
    <w:rsid w:val="00545C65"/>
    <w:rsid w:val="00545C6E"/>
    <w:rsid w:val="005464D7"/>
    <w:rsid w:val="005477C2"/>
    <w:rsid w:val="00550639"/>
    <w:rsid w:val="00550E51"/>
    <w:rsid w:val="00551E7B"/>
    <w:rsid w:val="005521AA"/>
    <w:rsid w:val="00554135"/>
    <w:rsid w:val="00554580"/>
    <w:rsid w:val="00556457"/>
    <w:rsid w:val="00557059"/>
    <w:rsid w:val="00557F60"/>
    <w:rsid w:val="00560328"/>
    <w:rsid w:val="00561637"/>
    <w:rsid w:val="005619B9"/>
    <w:rsid w:val="00562097"/>
    <w:rsid w:val="00562BA1"/>
    <w:rsid w:val="00563C94"/>
    <w:rsid w:val="00564AD1"/>
    <w:rsid w:val="00566862"/>
    <w:rsid w:val="00566AA9"/>
    <w:rsid w:val="005670E5"/>
    <w:rsid w:val="00567D78"/>
    <w:rsid w:val="00567DA5"/>
    <w:rsid w:val="00567FC1"/>
    <w:rsid w:val="00570C45"/>
    <w:rsid w:val="00570EAB"/>
    <w:rsid w:val="005711F4"/>
    <w:rsid w:val="005716B0"/>
    <w:rsid w:val="00571D66"/>
    <w:rsid w:val="00572575"/>
    <w:rsid w:val="00572C3D"/>
    <w:rsid w:val="00573880"/>
    <w:rsid w:val="00574096"/>
    <w:rsid w:val="0057416C"/>
    <w:rsid w:val="0057504A"/>
    <w:rsid w:val="005751D9"/>
    <w:rsid w:val="0057563F"/>
    <w:rsid w:val="005762DC"/>
    <w:rsid w:val="00576516"/>
    <w:rsid w:val="005808FF"/>
    <w:rsid w:val="00580C8E"/>
    <w:rsid w:val="00581838"/>
    <w:rsid w:val="00582D07"/>
    <w:rsid w:val="0058491B"/>
    <w:rsid w:val="005850FF"/>
    <w:rsid w:val="005864D6"/>
    <w:rsid w:val="005866C9"/>
    <w:rsid w:val="00586DEE"/>
    <w:rsid w:val="00587225"/>
    <w:rsid w:val="005909EA"/>
    <w:rsid w:val="0059144E"/>
    <w:rsid w:val="00592023"/>
    <w:rsid w:val="00592A39"/>
    <w:rsid w:val="0059339A"/>
    <w:rsid w:val="00595353"/>
    <w:rsid w:val="00595DE5"/>
    <w:rsid w:val="0059612B"/>
    <w:rsid w:val="00596190"/>
    <w:rsid w:val="005965A4"/>
    <w:rsid w:val="00596F0C"/>
    <w:rsid w:val="0059789F"/>
    <w:rsid w:val="00597BF6"/>
    <w:rsid w:val="005A0D7F"/>
    <w:rsid w:val="005A0F99"/>
    <w:rsid w:val="005A1993"/>
    <w:rsid w:val="005A1CE5"/>
    <w:rsid w:val="005A353A"/>
    <w:rsid w:val="005A4011"/>
    <w:rsid w:val="005A500F"/>
    <w:rsid w:val="005A6168"/>
    <w:rsid w:val="005A626E"/>
    <w:rsid w:val="005B094D"/>
    <w:rsid w:val="005B0EEC"/>
    <w:rsid w:val="005B315C"/>
    <w:rsid w:val="005B324C"/>
    <w:rsid w:val="005B4F50"/>
    <w:rsid w:val="005B5406"/>
    <w:rsid w:val="005B6604"/>
    <w:rsid w:val="005B79F3"/>
    <w:rsid w:val="005C00C8"/>
    <w:rsid w:val="005C0DEC"/>
    <w:rsid w:val="005C14F6"/>
    <w:rsid w:val="005C1F0D"/>
    <w:rsid w:val="005C203F"/>
    <w:rsid w:val="005C2F4A"/>
    <w:rsid w:val="005C30E8"/>
    <w:rsid w:val="005C3A6D"/>
    <w:rsid w:val="005C3DAF"/>
    <w:rsid w:val="005C4D3D"/>
    <w:rsid w:val="005C65AF"/>
    <w:rsid w:val="005C6B70"/>
    <w:rsid w:val="005C7570"/>
    <w:rsid w:val="005D06F9"/>
    <w:rsid w:val="005D0CCB"/>
    <w:rsid w:val="005D2519"/>
    <w:rsid w:val="005D3006"/>
    <w:rsid w:val="005D3B91"/>
    <w:rsid w:val="005D4076"/>
    <w:rsid w:val="005D4094"/>
    <w:rsid w:val="005D5097"/>
    <w:rsid w:val="005D6C36"/>
    <w:rsid w:val="005D723E"/>
    <w:rsid w:val="005E0DB8"/>
    <w:rsid w:val="005E0E9A"/>
    <w:rsid w:val="005E1E61"/>
    <w:rsid w:val="005E1FBF"/>
    <w:rsid w:val="005E2141"/>
    <w:rsid w:val="005E2E3E"/>
    <w:rsid w:val="005E44CD"/>
    <w:rsid w:val="005E45BD"/>
    <w:rsid w:val="005E4974"/>
    <w:rsid w:val="005E5CC2"/>
    <w:rsid w:val="005E6526"/>
    <w:rsid w:val="005E6639"/>
    <w:rsid w:val="005E73A8"/>
    <w:rsid w:val="005E7A38"/>
    <w:rsid w:val="005E7C72"/>
    <w:rsid w:val="005F1CDB"/>
    <w:rsid w:val="005F50E6"/>
    <w:rsid w:val="005F5676"/>
    <w:rsid w:val="005F60E7"/>
    <w:rsid w:val="005F6682"/>
    <w:rsid w:val="005F70D2"/>
    <w:rsid w:val="005F78B8"/>
    <w:rsid w:val="006007E8"/>
    <w:rsid w:val="006026CE"/>
    <w:rsid w:val="00603E37"/>
    <w:rsid w:val="00605A1E"/>
    <w:rsid w:val="00607C3C"/>
    <w:rsid w:val="006101D3"/>
    <w:rsid w:val="006104D9"/>
    <w:rsid w:val="00611892"/>
    <w:rsid w:val="006127DA"/>
    <w:rsid w:val="006137FC"/>
    <w:rsid w:val="00613B81"/>
    <w:rsid w:val="00614EE0"/>
    <w:rsid w:val="00616DA0"/>
    <w:rsid w:val="006175DE"/>
    <w:rsid w:val="006175FC"/>
    <w:rsid w:val="00621938"/>
    <w:rsid w:val="00622321"/>
    <w:rsid w:val="006236AC"/>
    <w:rsid w:val="00625347"/>
    <w:rsid w:val="00625FE7"/>
    <w:rsid w:val="006263E4"/>
    <w:rsid w:val="00626485"/>
    <w:rsid w:val="006308A0"/>
    <w:rsid w:val="00632FDC"/>
    <w:rsid w:val="00633D99"/>
    <w:rsid w:val="00633DD9"/>
    <w:rsid w:val="00633E3A"/>
    <w:rsid w:val="006348EF"/>
    <w:rsid w:val="00634BE8"/>
    <w:rsid w:val="00634CE9"/>
    <w:rsid w:val="00636206"/>
    <w:rsid w:val="006368F5"/>
    <w:rsid w:val="00637BEA"/>
    <w:rsid w:val="00640A82"/>
    <w:rsid w:val="00640CE7"/>
    <w:rsid w:val="006438B4"/>
    <w:rsid w:val="006439AF"/>
    <w:rsid w:val="00643E2D"/>
    <w:rsid w:val="00644DA8"/>
    <w:rsid w:val="006452AD"/>
    <w:rsid w:val="00645492"/>
    <w:rsid w:val="00646E98"/>
    <w:rsid w:val="00647E93"/>
    <w:rsid w:val="00650591"/>
    <w:rsid w:val="00650913"/>
    <w:rsid w:val="00651026"/>
    <w:rsid w:val="00651556"/>
    <w:rsid w:val="00652609"/>
    <w:rsid w:val="0065377E"/>
    <w:rsid w:val="00653BEB"/>
    <w:rsid w:val="00653FF8"/>
    <w:rsid w:val="006555EB"/>
    <w:rsid w:val="0065568E"/>
    <w:rsid w:val="00655E62"/>
    <w:rsid w:val="00655FA0"/>
    <w:rsid w:val="00660FDA"/>
    <w:rsid w:val="006611E4"/>
    <w:rsid w:val="00662039"/>
    <w:rsid w:val="00662608"/>
    <w:rsid w:val="00663043"/>
    <w:rsid w:val="006644D9"/>
    <w:rsid w:val="00664578"/>
    <w:rsid w:val="00664789"/>
    <w:rsid w:val="00665A98"/>
    <w:rsid w:val="0066649F"/>
    <w:rsid w:val="0067014A"/>
    <w:rsid w:val="00670E78"/>
    <w:rsid w:val="006735EB"/>
    <w:rsid w:val="00673682"/>
    <w:rsid w:val="006738EF"/>
    <w:rsid w:val="00673B54"/>
    <w:rsid w:val="0067599C"/>
    <w:rsid w:val="00675E27"/>
    <w:rsid w:val="0067603F"/>
    <w:rsid w:val="00676417"/>
    <w:rsid w:val="00680F4A"/>
    <w:rsid w:val="006812DA"/>
    <w:rsid w:val="00681897"/>
    <w:rsid w:val="00681F3F"/>
    <w:rsid w:val="0068311E"/>
    <w:rsid w:val="006842D3"/>
    <w:rsid w:val="00684AC0"/>
    <w:rsid w:val="006854C5"/>
    <w:rsid w:val="00686311"/>
    <w:rsid w:val="006863FD"/>
    <w:rsid w:val="00686A01"/>
    <w:rsid w:val="006900A2"/>
    <w:rsid w:val="00690556"/>
    <w:rsid w:val="00690603"/>
    <w:rsid w:val="00690DE0"/>
    <w:rsid w:val="0069102E"/>
    <w:rsid w:val="006918C0"/>
    <w:rsid w:val="00691C1B"/>
    <w:rsid w:val="006925EB"/>
    <w:rsid w:val="00692A33"/>
    <w:rsid w:val="00692A36"/>
    <w:rsid w:val="00692EEA"/>
    <w:rsid w:val="006931B8"/>
    <w:rsid w:val="00693492"/>
    <w:rsid w:val="00694B3E"/>
    <w:rsid w:val="00694D93"/>
    <w:rsid w:val="006956DB"/>
    <w:rsid w:val="006969BF"/>
    <w:rsid w:val="00697814"/>
    <w:rsid w:val="006A088F"/>
    <w:rsid w:val="006A12BF"/>
    <w:rsid w:val="006A1B23"/>
    <w:rsid w:val="006A1B80"/>
    <w:rsid w:val="006A1BFD"/>
    <w:rsid w:val="006A2F39"/>
    <w:rsid w:val="006A32DB"/>
    <w:rsid w:val="006A3976"/>
    <w:rsid w:val="006A4433"/>
    <w:rsid w:val="006A44D1"/>
    <w:rsid w:val="006A4795"/>
    <w:rsid w:val="006A4ACE"/>
    <w:rsid w:val="006A52E7"/>
    <w:rsid w:val="006A59DA"/>
    <w:rsid w:val="006A6539"/>
    <w:rsid w:val="006B0154"/>
    <w:rsid w:val="006B1225"/>
    <w:rsid w:val="006B1D1C"/>
    <w:rsid w:val="006B2C9B"/>
    <w:rsid w:val="006B593D"/>
    <w:rsid w:val="006B70A5"/>
    <w:rsid w:val="006B7916"/>
    <w:rsid w:val="006B7C2F"/>
    <w:rsid w:val="006B7C84"/>
    <w:rsid w:val="006C0746"/>
    <w:rsid w:val="006C23F8"/>
    <w:rsid w:val="006C2D13"/>
    <w:rsid w:val="006C36FE"/>
    <w:rsid w:val="006C3D32"/>
    <w:rsid w:val="006C578B"/>
    <w:rsid w:val="006C5FD4"/>
    <w:rsid w:val="006C6580"/>
    <w:rsid w:val="006C7064"/>
    <w:rsid w:val="006C7D63"/>
    <w:rsid w:val="006C7E93"/>
    <w:rsid w:val="006D0630"/>
    <w:rsid w:val="006D0F0B"/>
    <w:rsid w:val="006D103C"/>
    <w:rsid w:val="006D185F"/>
    <w:rsid w:val="006D1C5F"/>
    <w:rsid w:val="006D1C6F"/>
    <w:rsid w:val="006D2410"/>
    <w:rsid w:val="006D24A1"/>
    <w:rsid w:val="006D3822"/>
    <w:rsid w:val="006D3E1F"/>
    <w:rsid w:val="006D428F"/>
    <w:rsid w:val="006D4EBF"/>
    <w:rsid w:val="006D4F65"/>
    <w:rsid w:val="006D5067"/>
    <w:rsid w:val="006D574A"/>
    <w:rsid w:val="006D58FD"/>
    <w:rsid w:val="006D704C"/>
    <w:rsid w:val="006D736F"/>
    <w:rsid w:val="006E0155"/>
    <w:rsid w:val="006E033D"/>
    <w:rsid w:val="006E1042"/>
    <w:rsid w:val="006E165D"/>
    <w:rsid w:val="006E1DA1"/>
    <w:rsid w:val="006E3095"/>
    <w:rsid w:val="006E31A1"/>
    <w:rsid w:val="006E37D8"/>
    <w:rsid w:val="006E405E"/>
    <w:rsid w:val="006E51FE"/>
    <w:rsid w:val="006E5358"/>
    <w:rsid w:val="006E7254"/>
    <w:rsid w:val="006E7A6D"/>
    <w:rsid w:val="006E7FA6"/>
    <w:rsid w:val="006F0020"/>
    <w:rsid w:val="006F07FB"/>
    <w:rsid w:val="006F0C51"/>
    <w:rsid w:val="006F29F8"/>
    <w:rsid w:val="006F2B7F"/>
    <w:rsid w:val="006F2E11"/>
    <w:rsid w:val="006F3393"/>
    <w:rsid w:val="006F44E7"/>
    <w:rsid w:val="006F5B54"/>
    <w:rsid w:val="00700BC4"/>
    <w:rsid w:val="0070284C"/>
    <w:rsid w:val="007032BD"/>
    <w:rsid w:val="007039B1"/>
    <w:rsid w:val="007041C0"/>
    <w:rsid w:val="00704B0D"/>
    <w:rsid w:val="00706CAE"/>
    <w:rsid w:val="00706CE0"/>
    <w:rsid w:val="007072D6"/>
    <w:rsid w:val="00707F6D"/>
    <w:rsid w:val="00710276"/>
    <w:rsid w:val="00710D8E"/>
    <w:rsid w:val="00712456"/>
    <w:rsid w:val="00712AF4"/>
    <w:rsid w:val="0071403F"/>
    <w:rsid w:val="00715607"/>
    <w:rsid w:val="0071603F"/>
    <w:rsid w:val="00716446"/>
    <w:rsid w:val="00716613"/>
    <w:rsid w:val="00717689"/>
    <w:rsid w:val="00717EC4"/>
    <w:rsid w:val="007201AD"/>
    <w:rsid w:val="0072029B"/>
    <w:rsid w:val="00720EE0"/>
    <w:rsid w:val="0072104E"/>
    <w:rsid w:val="007222D2"/>
    <w:rsid w:val="00726F73"/>
    <w:rsid w:val="007277E5"/>
    <w:rsid w:val="007303A4"/>
    <w:rsid w:val="00730A80"/>
    <w:rsid w:val="007317BA"/>
    <w:rsid w:val="00732029"/>
    <w:rsid w:val="00732193"/>
    <w:rsid w:val="00732D8F"/>
    <w:rsid w:val="00733667"/>
    <w:rsid w:val="00733B8A"/>
    <w:rsid w:val="0073440A"/>
    <w:rsid w:val="00734635"/>
    <w:rsid w:val="007374F2"/>
    <w:rsid w:val="0073773A"/>
    <w:rsid w:val="007377F5"/>
    <w:rsid w:val="00740677"/>
    <w:rsid w:val="007416E8"/>
    <w:rsid w:val="00741D74"/>
    <w:rsid w:val="00742764"/>
    <w:rsid w:val="00743C61"/>
    <w:rsid w:val="00746906"/>
    <w:rsid w:val="00746F68"/>
    <w:rsid w:val="0075012B"/>
    <w:rsid w:val="00750D9F"/>
    <w:rsid w:val="0075216D"/>
    <w:rsid w:val="00753417"/>
    <w:rsid w:val="00753438"/>
    <w:rsid w:val="007534D5"/>
    <w:rsid w:val="00753AE7"/>
    <w:rsid w:val="00754953"/>
    <w:rsid w:val="00755ABC"/>
    <w:rsid w:val="007568CE"/>
    <w:rsid w:val="00757659"/>
    <w:rsid w:val="00761F04"/>
    <w:rsid w:val="00763039"/>
    <w:rsid w:val="00763041"/>
    <w:rsid w:val="00763953"/>
    <w:rsid w:val="007658C8"/>
    <w:rsid w:val="007671D1"/>
    <w:rsid w:val="00767770"/>
    <w:rsid w:val="00767D3B"/>
    <w:rsid w:val="007703F4"/>
    <w:rsid w:val="00772E4E"/>
    <w:rsid w:val="007732EA"/>
    <w:rsid w:val="00773FEA"/>
    <w:rsid w:val="007743E2"/>
    <w:rsid w:val="007749BF"/>
    <w:rsid w:val="00776115"/>
    <w:rsid w:val="0077670B"/>
    <w:rsid w:val="00776800"/>
    <w:rsid w:val="007768E6"/>
    <w:rsid w:val="00777BA5"/>
    <w:rsid w:val="00780BCF"/>
    <w:rsid w:val="00781754"/>
    <w:rsid w:val="007817C8"/>
    <w:rsid w:val="00781919"/>
    <w:rsid w:val="00782DAD"/>
    <w:rsid w:val="00783D17"/>
    <w:rsid w:val="007840AD"/>
    <w:rsid w:val="0078615C"/>
    <w:rsid w:val="00790442"/>
    <w:rsid w:val="0079064E"/>
    <w:rsid w:val="00790B24"/>
    <w:rsid w:val="00791B19"/>
    <w:rsid w:val="00791D3F"/>
    <w:rsid w:val="00791FE3"/>
    <w:rsid w:val="00792808"/>
    <w:rsid w:val="00792C89"/>
    <w:rsid w:val="00793E78"/>
    <w:rsid w:val="00794070"/>
    <w:rsid w:val="007946A5"/>
    <w:rsid w:val="0079585F"/>
    <w:rsid w:val="0079749B"/>
    <w:rsid w:val="00797A38"/>
    <w:rsid w:val="007A067B"/>
    <w:rsid w:val="007A0EB3"/>
    <w:rsid w:val="007A1826"/>
    <w:rsid w:val="007A1BF1"/>
    <w:rsid w:val="007A1FE9"/>
    <w:rsid w:val="007A2185"/>
    <w:rsid w:val="007A2747"/>
    <w:rsid w:val="007A290E"/>
    <w:rsid w:val="007A47AD"/>
    <w:rsid w:val="007A49D9"/>
    <w:rsid w:val="007A4B2C"/>
    <w:rsid w:val="007A58D5"/>
    <w:rsid w:val="007A5F76"/>
    <w:rsid w:val="007A6671"/>
    <w:rsid w:val="007A7B88"/>
    <w:rsid w:val="007B0314"/>
    <w:rsid w:val="007B0846"/>
    <w:rsid w:val="007B1269"/>
    <w:rsid w:val="007B2A38"/>
    <w:rsid w:val="007B2A3D"/>
    <w:rsid w:val="007B303A"/>
    <w:rsid w:val="007B3E84"/>
    <w:rsid w:val="007B4437"/>
    <w:rsid w:val="007B63AD"/>
    <w:rsid w:val="007B7718"/>
    <w:rsid w:val="007C0023"/>
    <w:rsid w:val="007C0153"/>
    <w:rsid w:val="007C060E"/>
    <w:rsid w:val="007C1632"/>
    <w:rsid w:val="007C17F7"/>
    <w:rsid w:val="007C17FE"/>
    <w:rsid w:val="007C31F1"/>
    <w:rsid w:val="007C33DE"/>
    <w:rsid w:val="007C3FD1"/>
    <w:rsid w:val="007C5E42"/>
    <w:rsid w:val="007C77E5"/>
    <w:rsid w:val="007C7B00"/>
    <w:rsid w:val="007D171E"/>
    <w:rsid w:val="007D2707"/>
    <w:rsid w:val="007D2D44"/>
    <w:rsid w:val="007D4205"/>
    <w:rsid w:val="007D4F6B"/>
    <w:rsid w:val="007D66E5"/>
    <w:rsid w:val="007D7E92"/>
    <w:rsid w:val="007E0066"/>
    <w:rsid w:val="007E09DE"/>
    <w:rsid w:val="007E21D4"/>
    <w:rsid w:val="007E2F3E"/>
    <w:rsid w:val="007E40F6"/>
    <w:rsid w:val="007E4E7E"/>
    <w:rsid w:val="007E5A4E"/>
    <w:rsid w:val="007E6088"/>
    <w:rsid w:val="007E720E"/>
    <w:rsid w:val="007E7AC0"/>
    <w:rsid w:val="007E7B74"/>
    <w:rsid w:val="007F04DC"/>
    <w:rsid w:val="007F069B"/>
    <w:rsid w:val="007F0EB5"/>
    <w:rsid w:val="007F14F3"/>
    <w:rsid w:val="007F167A"/>
    <w:rsid w:val="007F1BD9"/>
    <w:rsid w:val="007F2436"/>
    <w:rsid w:val="007F2476"/>
    <w:rsid w:val="007F274F"/>
    <w:rsid w:val="007F34E3"/>
    <w:rsid w:val="007F5079"/>
    <w:rsid w:val="007F51AE"/>
    <w:rsid w:val="007F5606"/>
    <w:rsid w:val="007F7AE8"/>
    <w:rsid w:val="008007C4"/>
    <w:rsid w:val="00800AAA"/>
    <w:rsid w:val="008018DB"/>
    <w:rsid w:val="00801A3A"/>
    <w:rsid w:val="0080345F"/>
    <w:rsid w:val="008034B1"/>
    <w:rsid w:val="00805AA1"/>
    <w:rsid w:val="00805F66"/>
    <w:rsid w:val="00805FA5"/>
    <w:rsid w:val="008063E4"/>
    <w:rsid w:val="008066DC"/>
    <w:rsid w:val="0080729E"/>
    <w:rsid w:val="00807811"/>
    <w:rsid w:val="00810A06"/>
    <w:rsid w:val="00811286"/>
    <w:rsid w:val="00811B81"/>
    <w:rsid w:val="00811DB3"/>
    <w:rsid w:val="00811E02"/>
    <w:rsid w:val="00811F39"/>
    <w:rsid w:val="008121D5"/>
    <w:rsid w:val="008128B8"/>
    <w:rsid w:val="008143B2"/>
    <w:rsid w:val="008153FA"/>
    <w:rsid w:val="00816728"/>
    <w:rsid w:val="00820074"/>
    <w:rsid w:val="00820238"/>
    <w:rsid w:val="00820340"/>
    <w:rsid w:val="00820491"/>
    <w:rsid w:val="00821DF2"/>
    <w:rsid w:val="0082305D"/>
    <w:rsid w:val="00823680"/>
    <w:rsid w:val="008238CD"/>
    <w:rsid w:val="008238D8"/>
    <w:rsid w:val="008246BF"/>
    <w:rsid w:val="0082494C"/>
    <w:rsid w:val="00826D06"/>
    <w:rsid w:val="00827315"/>
    <w:rsid w:val="0082788C"/>
    <w:rsid w:val="00827D92"/>
    <w:rsid w:val="00830374"/>
    <w:rsid w:val="00830C59"/>
    <w:rsid w:val="00831586"/>
    <w:rsid w:val="008320F1"/>
    <w:rsid w:val="00833076"/>
    <w:rsid w:val="0083397B"/>
    <w:rsid w:val="00833EC4"/>
    <w:rsid w:val="008342B1"/>
    <w:rsid w:val="00835083"/>
    <w:rsid w:val="00835A1F"/>
    <w:rsid w:val="008376BC"/>
    <w:rsid w:val="00840DD5"/>
    <w:rsid w:val="00841515"/>
    <w:rsid w:val="008425E8"/>
    <w:rsid w:val="008428EC"/>
    <w:rsid w:val="0084313C"/>
    <w:rsid w:val="0084331A"/>
    <w:rsid w:val="00843A35"/>
    <w:rsid w:val="00845079"/>
    <w:rsid w:val="00846169"/>
    <w:rsid w:val="00846F4A"/>
    <w:rsid w:val="0084787B"/>
    <w:rsid w:val="00850554"/>
    <w:rsid w:val="00850CC6"/>
    <w:rsid w:val="00850D68"/>
    <w:rsid w:val="00852FAA"/>
    <w:rsid w:val="00853668"/>
    <w:rsid w:val="00853CDB"/>
    <w:rsid w:val="008544ED"/>
    <w:rsid w:val="00854805"/>
    <w:rsid w:val="00854FB5"/>
    <w:rsid w:val="008561E4"/>
    <w:rsid w:val="0085621F"/>
    <w:rsid w:val="00856FC7"/>
    <w:rsid w:val="00857788"/>
    <w:rsid w:val="00857B56"/>
    <w:rsid w:val="00860E60"/>
    <w:rsid w:val="008622C8"/>
    <w:rsid w:val="008624F1"/>
    <w:rsid w:val="00862758"/>
    <w:rsid w:val="00862BEC"/>
    <w:rsid w:val="00864964"/>
    <w:rsid w:val="0086507B"/>
    <w:rsid w:val="00865D88"/>
    <w:rsid w:val="00867289"/>
    <w:rsid w:val="0086761E"/>
    <w:rsid w:val="008708C8"/>
    <w:rsid w:val="00871B9A"/>
    <w:rsid w:val="008735BF"/>
    <w:rsid w:val="00874222"/>
    <w:rsid w:val="00874357"/>
    <w:rsid w:val="00874BD0"/>
    <w:rsid w:val="0087549B"/>
    <w:rsid w:val="00875A79"/>
    <w:rsid w:val="008771E1"/>
    <w:rsid w:val="00877840"/>
    <w:rsid w:val="00877A3F"/>
    <w:rsid w:val="008807E0"/>
    <w:rsid w:val="00880E9F"/>
    <w:rsid w:val="008820C3"/>
    <w:rsid w:val="00883D05"/>
    <w:rsid w:val="00883D4C"/>
    <w:rsid w:val="00884740"/>
    <w:rsid w:val="00885348"/>
    <w:rsid w:val="00886B05"/>
    <w:rsid w:val="00887048"/>
    <w:rsid w:val="008874B3"/>
    <w:rsid w:val="00887F5C"/>
    <w:rsid w:val="00890A8A"/>
    <w:rsid w:val="00890D56"/>
    <w:rsid w:val="008923B3"/>
    <w:rsid w:val="008926B7"/>
    <w:rsid w:val="00892C83"/>
    <w:rsid w:val="0089308B"/>
    <w:rsid w:val="0089454C"/>
    <w:rsid w:val="0089480A"/>
    <w:rsid w:val="0089604B"/>
    <w:rsid w:val="00896278"/>
    <w:rsid w:val="00896C50"/>
    <w:rsid w:val="00897D34"/>
    <w:rsid w:val="008A015C"/>
    <w:rsid w:val="008A0CEC"/>
    <w:rsid w:val="008A1972"/>
    <w:rsid w:val="008A1B8F"/>
    <w:rsid w:val="008A214D"/>
    <w:rsid w:val="008A23FE"/>
    <w:rsid w:val="008A3675"/>
    <w:rsid w:val="008A3695"/>
    <w:rsid w:val="008A3B00"/>
    <w:rsid w:val="008A3D5A"/>
    <w:rsid w:val="008A529F"/>
    <w:rsid w:val="008A567B"/>
    <w:rsid w:val="008A5E3A"/>
    <w:rsid w:val="008A6214"/>
    <w:rsid w:val="008A7376"/>
    <w:rsid w:val="008A744F"/>
    <w:rsid w:val="008A7673"/>
    <w:rsid w:val="008B0423"/>
    <w:rsid w:val="008B1623"/>
    <w:rsid w:val="008B1E93"/>
    <w:rsid w:val="008B293D"/>
    <w:rsid w:val="008B2E5B"/>
    <w:rsid w:val="008B2E66"/>
    <w:rsid w:val="008B325B"/>
    <w:rsid w:val="008B3646"/>
    <w:rsid w:val="008B3A48"/>
    <w:rsid w:val="008B4127"/>
    <w:rsid w:val="008B4254"/>
    <w:rsid w:val="008B4913"/>
    <w:rsid w:val="008B49FC"/>
    <w:rsid w:val="008B4F6A"/>
    <w:rsid w:val="008B5588"/>
    <w:rsid w:val="008B560F"/>
    <w:rsid w:val="008B5DB7"/>
    <w:rsid w:val="008C0F30"/>
    <w:rsid w:val="008C14BF"/>
    <w:rsid w:val="008C14F5"/>
    <w:rsid w:val="008C16D1"/>
    <w:rsid w:val="008C20E6"/>
    <w:rsid w:val="008C5263"/>
    <w:rsid w:val="008C53B2"/>
    <w:rsid w:val="008C67AC"/>
    <w:rsid w:val="008C69B5"/>
    <w:rsid w:val="008C6CA3"/>
    <w:rsid w:val="008C6E91"/>
    <w:rsid w:val="008D0115"/>
    <w:rsid w:val="008D0A88"/>
    <w:rsid w:val="008D225A"/>
    <w:rsid w:val="008D24B6"/>
    <w:rsid w:val="008D4B60"/>
    <w:rsid w:val="008D4E13"/>
    <w:rsid w:val="008D5BEB"/>
    <w:rsid w:val="008D7292"/>
    <w:rsid w:val="008D78A7"/>
    <w:rsid w:val="008E0096"/>
    <w:rsid w:val="008E03E3"/>
    <w:rsid w:val="008E2937"/>
    <w:rsid w:val="008E3461"/>
    <w:rsid w:val="008E3E91"/>
    <w:rsid w:val="008E6501"/>
    <w:rsid w:val="008E666B"/>
    <w:rsid w:val="008E6C5F"/>
    <w:rsid w:val="008E6DA4"/>
    <w:rsid w:val="008E753D"/>
    <w:rsid w:val="008E7AB4"/>
    <w:rsid w:val="008F000B"/>
    <w:rsid w:val="008F0150"/>
    <w:rsid w:val="008F08D7"/>
    <w:rsid w:val="008F0F8C"/>
    <w:rsid w:val="008F2916"/>
    <w:rsid w:val="008F3057"/>
    <w:rsid w:val="008F346F"/>
    <w:rsid w:val="008F4224"/>
    <w:rsid w:val="008F4298"/>
    <w:rsid w:val="008F441F"/>
    <w:rsid w:val="008F4DBC"/>
    <w:rsid w:val="008F5A5F"/>
    <w:rsid w:val="008F66B9"/>
    <w:rsid w:val="008F6CB9"/>
    <w:rsid w:val="008F7062"/>
    <w:rsid w:val="008F766B"/>
    <w:rsid w:val="008F7B18"/>
    <w:rsid w:val="009000D2"/>
    <w:rsid w:val="0090025F"/>
    <w:rsid w:val="00900687"/>
    <w:rsid w:val="009027F6"/>
    <w:rsid w:val="0090377A"/>
    <w:rsid w:val="0090472C"/>
    <w:rsid w:val="0090498F"/>
    <w:rsid w:val="00904A13"/>
    <w:rsid w:val="00905A0A"/>
    <w:rsid w:val="00905BFA"/>
    <w:rsid w:val="00910279"/>
    <w:rsid w:val="00910302"/>
    <w:rsid w:val="009110F6"/>
    <w:rsid w:val="00911285"/>
    <w:rsid w:val="009154A0"/>
    <w:rsid w:val="00916AC0"/>
    <w:rsid w:val="00916D3C"/>
    <w:rsid w:val="00920116"/>
    <w:rsid w:val="00920763"/>
    <w:rsid w:val="009207D3"/>
    <w:rsid w:val="00920BE0"/>
    <w:rsid w:val="00920BFF"/>
    <w:rsid w:val="009226AF"/>
    <w:rsid w:val="00922B94"/>
    <w:rsid w:val="00923CBD"/>
    <w:rsid w:val="00924D41"/>
    <w:rsid w:val="00925ADA"/>
    <w:rsid w:val="00930447"/>
    <w:rsid w:val="0093073C"/>
    <w:rsid w:val="00931186"/>
    <w:rsid w:val="009315FD"/>
    <w:rsid w:val="00932323"/>
    <w:rsid w:val="009327F9"/>
    <w:rsid w:val="009336BC"/>
    <w:rsid w:val="00934AB1"/>
    <w:rsid w:val="0093596F"/>
    <w:rsid w:val="009378D1"/>
    <w:rsid w:val="009407B7"/>
    <w:rsid w:val="00940A14"/>
    <w:rsid w:val="00941D33"/>
    <w:rsid w:val="00942DCA"/>
    <w:rsid w:val="0094315A"/>
    <w:rsid w:val="009443DD"/>
    <w:rsid w:val="00944EBA"/>
    <w:rsid w:val="009469A6"/>
    <w:rsid w:val="00946C41"/>
    <w:rsid w:val="009474F6"/>
    <w:rsid w:val="00947C23"/>
    <w:rsid w:val="009528DB"/>
    <w:rsid w:val="00953AB9"/>
    <w:rsid w:val="0095447A"/>
    <w:rsid w:val="009554EC"/>
    <w:rsid w:val="00957930"/>
    <w:rsid w:val="00957D68"/>
    <w:rsid w:val="00960A39"/>
    <w:rsid w:val="00961898"/>
    <w:rsid w:val="00963127"/>
    <w:rsid w:val="00964025"/>
    <w:rsid w:val="009647A6"/>
    <w:rsid w:val="00965B92"/>
    <w:rsid w:val="00965D2A"/>
    <w:rsid w:val="00970276"/>
    <w:rsid w:val="00970B1C"/>
    <w:rsid w:val="00970D0D"/>
    <w:rsid w:val="00971004"/>
    <w:rsid w:val="00971B6C"/>
    <w:rsid w:val="0097246A"/>
    <w:rsid w:val="0097413B"/>
    <w:rsid w:val="0097461F"/>
    <w:rsid w:val="00974964"/>
    <w:rsid w:val="00975216"/>
    <w:rsid w:val="00976730"/>
    <w:rsid w:val="00976A8A"/>
    <w:rsid w:val="00976C61"/>
    <w:rsid w:val="00976DB4"/>
    <w:rsid w:val="0098008C"/>
    <w:rsid w:val="009813A2"/>
    <w:rsid w:val="009827A7"/>
    <w:rsid w:val="0098329C"/>
    <w:rsid w:val="00983441"/>
    <w:rsid w:val="00983462"/>
    <w:rsid w:val="00984353"/>
    <w:rsid w:val="009845E6"/>
    <w:rsid w:val="00986A7F"/>
    <w:rsid w:val="00987815"/>
    <w:rsid w:val="009914FC"/>
    <w:rsid w:val="009918B5"/>
    <w:rsid w:val="009924CD"/>
    <w:rsid w:val="00992844"/>
    <w:rsid w:val="00992BE0"/>
    <w:rsid w:val="00992DD0"/>
    <w:rsid w:val="00992F45"/>
    <w:rsid w:val="00993734"/>
    <w:rsid w:val="009939E8"/>
    <w:rsid w:val="00994588"/>
    <w:rsid w:val="009947E0"/>
    <w:rsid w:val="0099726B"/>
    <w:rsid w:val="00997F57"/>
    <w:rsid w:val="009A029D"/>
    <w:rsid w:val="009A04EB"/>
    <w:rsid w:val="009A08A2"/>
    <w:rsid w:val="009A0933"/>
    <w:rsid w:val="009A0F24"/>
    <w:rsid w:val="009A1BC3"/>
    <w:rsid w:val="009A2B24"/>
    <w:rsid w:val="009A3862"/>
    <w:rsid w:val="009A4D33"/>
    <w:rsid w:val="009A53C9"/>
    <w:rsid w:val="009A65BA"/>
    <w:rsid w:val="009A7443"/>
    <w:rsid w:val="009A767E"/>
    <w:rsid w:val="009A7B7C"/>
    <w:rsid w:val="009B035A"/>
    <w:rsid w:val="009B050A"/>
    <w:rsid w:val="009B129E"/>
    <w:rsid w:val="009B254F"/>
    <w:rsid w:val="009B3419"/>
    <w:rsid w:val="009B3C3D"/>
    <w:rsid w:val="009B40CC"/>
    <w:rsid w:val="009B4C5D"/>
    <w:rsid w:val="009B5680"/>
    <w:rsid w:val="009B5F85"/>
    <w:rsid w:val="009B630D"/>
    <w:rsid w:val="009B6945"/>
    <w:rsid w:val="009B6DFA"/>
    <w:rsid w:val="009B77AC"/>
    <w:rsid w:val="009C0FA0"/>
    <w:rsid w:val="009C113D"/>
    <w:rsid w:val="009C33B3"/>
    <w:rsid w:val="009C3588"/>
    <w:rsid w:val="009C4E2E"/>
    <w:rsid w:val="009C5604"/>
    <w:rsid w:val="009C69BE"/>
    <w:rsid w:val="009C7027"/>
    <w:rsid w:val="009C710F"/>
    <w:rsid w:val="009D13A7"/>
    <w:rsid w:val="009D163D"/>
    <w:rsid w:val="009D18DD"/>
    <w:rsid w:val="009D2580"/>
    <w:rsid w:val="009D27AD"/>
    <w:rsid w:val="009D3C54"/>
    <w:rsid w:val="009D3CDD"/>
    <w:rsid w:val="009D4192"/>
    <w:rsid w:val="009D5C86"/>
    <w:rsid w:val="009D6E60"/>
    <w:rsid w:val="009D7ADD"/>
    <w:rsid w:val="009D7B79"/>
    <w:rsid w:val="009E04DB"/>
    <w:rsid w:val="009E153D"/>
    <w:rsid w:val="009E1DCF"/>
    <w:rsid w:val="009E225E"/>
    <w:rsid w:val="009E2912"/>
    <w:rsid w:val="009E29CC"/>
    <w:rsid w:val="009E3343"/>
    <w:rsid w:val="009E42A9"/>
    <w:rsid w:val="009E51A2"/>
    <w:rsid w:val="009E5DF4"/>
    <w:rsid w:val="009E64B4"/>
    <w:rsid w:val="009E65BF"/>
    <w:rsid w:val="009E6A87"/>
    <w:rsid w:val="009E756E"/>
    <w:rsid w:val="009E764D"/>
    <w:rsid w:val="009F0217"/>
    <w:rsid w:val="009F0C9F"/>
    <w:rsid w:val="009F0EBB"/>
    <w:rsid w:val="009F4C7B"/>
    <w:rsid w:val="009F4CD7"/>
    <w:rsid w:val="009F70CC"/>
    <w:rsid w:val="009F74AE"/>
    <w:rsid w:val="009F7530"/>
    <w:rsid w:val="009F7B78"/>
    <w:rsid w:val="00A00701"/>
    <w:rsid w:val="00A007EF"/>
    <w:rsid w:val="00A00815"/>
    <w:rsid w:val="00A00B99"/>
    <w:rsid w:val="00A01855"/>
    <w:rsid w:val="00A021EA"/>
    <w:rsid w:val="00A02806"/>
    <w:rsid w:val="00A028D4"/>
    <w:rsid w:val="00A02DFF"/>
    <w:rsid w:val="00A03EA0"/>
    <w:rsid w:val="00A046DC"/>
    <w:rsid w:val="00A04C01"/>
    <w:rsid w:val="00A053C8"/>
    <w:rsid w:val="00A05900"/>
    <w:rsid w:val="00A06362"/>
    <w:rsid w:val="00A06416"/>
    <w:rsid w:val="00A064CC"/>
    <w:rsid w:val="00A06D03"/>
    <w:rsid w:val="00A07972"/>
    <w:rsid w:val="00A07E6F"/>
    <w:rsid w:val="00A109BC"/>
    <w:rsid w:val="00A10D5A"/>
    <w:rsid w:val="00A114CE"/>
    <w:rsid w:val="00A12826"/>
    <w:rsid w:val="00A12960"/>
    <w:rsid w:val="00A13CBE"/>
    <w:rsid w:val="00A1408C"/>
    <w:rsid w:val="00A14A85"/>
    <w:rsid w:val="00A1514B"/>
    <w:rsid w:val="00A15DD4"/>
    <w:rsid w:val="00A16B0A"/>
    <w:rsid w:val="00A17809"/>
    <w:rsid w:val="00A204FC"/>
    <w:rsid w:val="00A210F6"/>
    <w:rsid w:val="00A2128A"/>
    <w:rsid w:val="00A21CAC"/>
    <w:rsid w:val="00A241BF"/>
    <w:rsid w:val="00A24462"/>
    <w:rsid w:val="00A245DB"/>
    <w:rsid w:val="00A24885"/>
    <w:rsid w:val="00A25A6F"/>
    <w:rsid w:val="00A260A9"/>
    <w:rsid w:val="00A26108"/>
    <w:rsid w:val="00A26335"/>
    <w:rsid w:val="00A26FF5"/>
    <w:rsid w:val="00A274E3"/>
    <w:rsid w:val="00A27E18"/>
    <w:rsid w:val="00A30372"/>
    <w:rsid w:val="00A309B5"/>
    <w:rsid w:val="00A31240"/>
    <w:rsid w:val="00A31581"/>
    <w:rsid w:val="00A31A5B"/>
    <w:rsid w:val="00A31C04"/>
    <w:rsid w:val="00A31E2F"/>
    <w:rsid w:val="00A32566"/>
    <w:rsid w:val="00A32A84"/>
    <w:rsid w:val="00A33367"/>
    <w:rsid w:val="00A34471"/>
    <w:rsid w:val="00A3522A"/>
    <w:rsid w:val="00A35468"/>
    <w:rsid w:val="00A37063"/>
    <w:rsid w:val="00A37F8B"/>
    <w:rsid w:val="00A4016D"/>
    <w:rsid w:val="00A421A5"/>
    <w:rsid w:val="00A4224E"/>
    <w:rsid w:val="00A42293"/>
    <w:rsid w:val="00A43A0F"/>
    <w:rsid w:val="00A4423A"/>
    <w:rsid w:val="00A45D93"/>
    <w:rsid w:val="00A463AD"/>
    <w:rsid w:val="00A4653B"/>
    <w:rsid w:val="00A46B49"/>
    <w:rsid w:val="00A46E69"/>
    <w:rsid w:val="00A475D7"/>
    <w:rsid w:val="00A50501"/>
    <w:rsid w:val="00A50CCC"/>
    <w:rsid w:val="00A50E86"/>
    <w:rsid w:val="00A52DEB"/>
    <w:rsid w:val="00A53F11"/>
    <w:rsid w:val="00A54572"/>
    <w:rsid w:val="00A54BA8"/>
    <w:rsid w:val="00A54F27"/>
    <w:rsid w:val="00A5791E"/>
    <w:rsid w:val="00A57A7C"/>
    <w:rsid w:val="00A57E69"/>
    <w:rsid w:val="00A602C4"/>
    <w:rsid w:val="00A613B5"/>
    <w:rsid w:val="00A615A6"/>
    <w:rsid w:val="00A615FE"/>
    <w:rsid w:val="00A623A3"/>
    <w:rsid w:val="00A627A7"/>
    <w:rsid w:val="00A64255"/>
    <w:rsid w:val="00A64274"/>
    <w:rsid w:val="00A65FA2"/>
    <w:rsid w:val="00A66CE8"/>
    <w:rsid w:val="00A6736C"/>
    <w:rsid w:val="00A7082E"/>
    <w:rsid w:val="00A70911"/>
    <w:rsid w:val="00A70AEC"/>
    <w:rsid w:val="00A70D77"/>
    <w:rsid w:val="00A7197E"/>
    <w:rsid w:val="00A728A2"/>
    <w:rsid w:val="00A72C6F"/>
    <w:rsid w:val="00A73B61"/>
    <w:rsid w:val="00A745B0"/>
    <w:rsid w:val="00A74C33"/>
    <w:rsid w:val="00A752B5"/>
    <w:rsid w:val="00A7685C"/>
    <w:rsid w:val="00A778E7"/>
    <w:rsid w:val="00A77ED4"/>
    <w:rsid w:val="00A811E3"/>
    <w:rsid w:val="00A81D03"/>
    <w:rsid w:val="00A82F87"/>
    <w:rsid w:val="00A834D0"/>
    <w:rsid w:val="00A83814"/>
    <w:rsid w:val="00A83C5F"/>
    <w:rsid w:val="00A84CB1"/>
    <w:rsid w:val="00A84FF8"/>
    <w:rsid w:val="00A858F1"/>
    <w:rsid w:val="00A85B10"/>
    <w:rsid w:val="00A85BC3"/>
    <w:rsid w:val="00A85EF1"/>
    <w:rsid w:val="00A85F70"/>
    <w:rsid w:val="00A86646"/>
    <w:rsid w:val="00A87A35"/>
    <w:rsid w:val="00A9202A"/>
    <w:rsid w:val="00A92213"/>
    <w:rsid w:val="00A94997"/>
    <w:rsid w:val="00A95938"/>
    <w:rsid w:val="00A96E51"/>
    <w:rsid w:val="00A973AB"/>
    <w:rsid w:val="00A97697"/>
    <w:rsid w:val="00AA0DF3"/>
    <w:rsid w:val="00AA24C6"/>
    <w:rsid w:val="00AA24D1"/>
    <w:rsid w:val="00AA30B5"/>
    <w:rsid w:val="00AA3B87"/>
    <w:rsid w:val="00AA5E7F"/>
    <w:rsid w:val="00AA64B2"/>
    <w:rsid w:val="00AA64B6"/>
    <w:rsid w:val="00AA6F0A"/>
    <w:rsid w:val="00AB03B0"/>
    <w:rsid w:val="00AB0CB0"/>
    <w:rsid w:val="00AB2B5E"/>
    <w:rsid w:val="00AB2C43"/>
    <w:rsid w:val="00AB36B4"/>
    <w:rsid w:val="00AB3C8C"/>
    <w:rsid w:val="00AB4082"/>
    <w:rsid w:val="00AB4F16"/>
    <w:rsid w:val="00AB57B4"/>
    <w:rsid w:val="00AB6911"/>
    <w:rsid w:val="00AB6E0B"/>
    <w:rsid w:val="00AB766A"/>
    <w:rsid w:val="00AC06B1"/>
    <w:rsid w:val="00AC07E8"/>
    <w:rsid w:val="00AC0910"/>
    <w:rsid w:val="00AC0D0A"/>
    <w:rsid w:val="00AC12C8"/>
    <w:rsid w:val="00AC2557"/>
    <w:rsid w:val="00AC3857"/>
    <w:rsid w:val="00AC3DD8"/>
    <w:rsid w:val="00AC4049"/>
    <w:rsid w:val="00AC6C55"/>
    <w:rsid w:val="00AC7B8B"/>
    <w:rsid w:val="00AD0044"/>
    <w:rsid w:val="00AD16CF"/>
    <w:rsid w:val="00AD1806"/>
    <w:rsid w:val="00AD209B"/>
    <w:rsid w:val="00AD2B31"/>
    <w:rsid w:val="00AD4377"/>
    <w:rsid w:val="00AD464B"/>
    <w:rsid w:val="00AD4C03"/>
    <w:rsid w:val="00AD5630"/>
    <w:rsid w:val="00AD5B62"/>
    <w:rsid w:val="00AD60C9"/>
    <w:rsid w:val="00AD7461"/>
    <w:rsid w:val="00AE070C"/>
    <w:rsid w:val="00AE169A"/>
    <w:rsid w:val="00AE19C3"/>
    <w:rsid w:val="00AE1F61"/>
    <w:rsid w:val="00AE2242"/>
    <w:rsid w:val="00AE27F0"/>
    <w:rsid w:val="00AE28DF"/>
    <w:rsid w:val="00AE2A9F"/>
    <w:rsid w:val="00AE490E"/>
    <w:rsid w:val="00AE69B3"/>
    <w:rsid w:val="00AE749F"/>
    <w:rsid w:val="00AE760A"/>
    <w:rsid w:val="00AE77FF"/>
    <w:rsid w:val="00AE7CE1"/>
    <w:rsid w:val="00AF01AF"/>
    <w:rsid w:val="00AF0501"/>
    <w:rsid w:val="00AF1110"/>
    <w:rsid w:val="00AF1113"/>
    <w:rsid w:val="00AF1A8A"/>
    <w:rsid w:val="00AF1B80"/>
    <w:rsid w:val="00AF1FE3"/>
    <w:rsid w:val="00AF21CB"/>
    <w:rsid w:val="00AF2684"/>
    <w:rsid w:val="00AF342F"/>
    <w:rsid w:val="00AF3584"/>
    <w:rsid w:val="00AF3FF3"/>
    <w:rsid w:val="00AF4882"/>
    <w:rsid w:val="00AF4ACD"/>
    <w:rsid w:val="00AF558A"/>
    <w:rsid w:val="00AF647D"/>
    <w:rsid w:val="00B007B5"/>
    <w:rsid w:val="00B02227"/>
    <w:rsid w:val="00B03898"/>
    <w:rsid w:val="00B03E38"/>
    <w:rsid w:val="00B03EC9"/>
    <w:rsid w:val="00B04061"/>
    <w:rsid w:val="00B06C33"/>
    <w:rsid w:val="00B07545"/>
    <w:rsid w:val="00B07994"/>
    <w:rsid w:val="00B07C49"/>
    <w:rsid w:val="00B13685"/>
    <w:rsid w:val="00B138DC"/>
    <w:rsid w:val="00B13BE0"/>
    <w:rsid w:val="00B15308"/>
    <w:rsid w:val="00B153B6"/>
    <w:rsid w:val="00B15DAF"/>
    <w:rsid w:val="00B2079B"/>
    <w:rsid w:val="00B21C0F"/>
    <w:rsid w:val="00B22D1A"/>
    <w:rsid w:val="00B23E0F"/>
    <w:rsid w:val="00B23FF4"/>
    <w:rsid w:val="00B24C90"/>
    <w:rsid w:val="00B256AF"/>
    <w:rsid w:val="00B2604F"/>
    <w:rsid w:val="00B3116A"/>
    <w:rsid w:val="00B34FFE"/>
    <w:rsid w:val="00B35A89"/>
    <w:rsid w:val="00B36541"/>
    <w:rsid w:val="00B36E03"/>
    <w:rsid w:val="00B4039D"/>
    <w:rsid w:val="00B41153"/>
    <w:rsid w:val="00B418B1"/>
    <w:rsid w:val="00B419D9"/>
    <w:rsid w:val="00B426D6"/>
    <w:rsid w:val="00B4323A"/>
    <w:rsid w:val="00B43E59"/>
    <w:rsid w:val="00B4403E"/>
    <w:rsid w:val="00B44E47"/>
    <w:rsid w:val="00B46B7D"/>
    <w:rsid w:val="00B46FB9"/>
    <w:rsid w:val="00B47035"/>
    <w:rsid w:val="00B50344"/>
    <w:rsid w:val="00B5120B"/>
    <w:rsid w:val="00B51501"/>
    <w:rsid w:val="00B52897"/>
    <w:rsid w:val="00B52AD8"/>
    <w:rsid w:val="00B53C6E"/>
    <w:rsid w:val="00B566D0"/>
    <w:rsid w:val="00B56998"/>
    <w:rsid w:val="00B56AF4"/>
    <w:rsid w:val="00B57663"/>
    <w:rsid w:val="00B60256"/>
    <w:rsid w:val="00B60CCD"/>
    <w:rsid w:val="00B61E52"/>
    <w:rsid w:val="00B62B44"/>
    <w:rsid w:val="00B62E2C"/>
    <w:rsid w:val="00B63572"/>
    <w:rsid w:val="00B63E15"/>
    <w:rsid w:val="00B64D83"/>
    <w:rsid w:val="00B655FE"/>
    <w:rsid w:val="00B66822"/>
    <w:rsid w:val="00B67AAF"/>
    <w:rsid w:val="00B67D1E"/>
    <w:rsid w:val="00B70E74"/>
    <w:rsid w:val="00B7114E"/>
    <w:rsid w:val="00B715DE"/>
    <w:rsid w:val="00B719EB"/>
    <w:rsid w:val="00B72771"/>
    <w:rsid w:val="00B73117"/>
    <w:rsid w:val="00B7342E"/>
    <w:rsid w:val="00B73CE9"/>
    <w:rsid w:val="00B74029"/>
    <w:rsid w:val="00B74E69"/>
    <w:rsid w:val="00B7580F"/>
    <w:rsid w:val="00B75830"/>
    <w:rsid w:val="00B760C8"/>
    <w:rsid w:val="00B76D85"/>
    <w:rsid w:val="00B7735F"/>
    <w:rsid w:val="00B77C1B"/>
    <w:rsid w:val="00B80422"/>
    <w:rsid w:val="00B80A0C"/>
    <w:rsid w:val="00B8108E"/>
    <w:rsid w:val="00B81105"/>
    <w:rsid w:val="00B81815"/>
    <w:rsid w:val="00B841DA"/>
    <w:rsid w:val="00B912D0"/>
    <w:rsid w:val="00B91544"/>
    <w:rsid w:val="00B92C4C"/>
    <w:rsid w:val="00B93DBC"/>
    <w:rsid w:val="00B94BBB"/>
    <w:rsid w:val="00B94DDD"/>
    <w:rsid w:val="00B9691D"/>
    <w:rsid w:val="00BA038F"/>
    <w:rsid w:val="00BA333D"/>
    <w:rsid w:val="00BA6D82"/>
    <w:rsid w:val="00BA6F31"/>
    <w:rsid w:val="00BA6F83"/>
    <w:rsid w:val="00BA7AF4"/>
    <w:rsid w:val="00BB3457"/>
    <w:rsid w:val="00BB3A2E"/>
    <w:rsid w:val="00BB4220"/>
    <w:rsid w:val="00BB4B7B"/>
    <w:rsid w:val="00BB4CD5"/>
    <w:rsid w:val="00BB5E62"/>
    <w:rsid w:val="00BB70A2"/>
    <w:rsid w:val="00BB73E3"/>
    <w:rsid w:val="00BB7402"/>
    <w:rsid w:val="00BC0C79"/>
    <w:rsid w:val="00BC159B"/>
    <w:rsid w:val="00BC195A"/>
    <w:rsid w:val="00BC1BA9"/>
    <w:rsid w:val="00BC4499"/>
    <w:rsid w:val="00BC543B"/>
    <w:rsid w:val="00BC5572"/>
    <w:rsid w:val="00BC5AD7"/>
    <w:rsid w:val="00BD04DD"/>
    <w:rsid w:val="00BD1E2E"/>
    <w:rsid w:val="00BD28D6"/>
    <w:rsid w:val="00BD295B"/>
    <w:rsid w:val="00BD4E47"/>
    <w:rsid w:val="00BD51A1"/>
    <w:rsid w:val="00BD5278"/>
    <w:rsid w:val="00BD67DB"/>
    <w:rsid w:val="00BD7CC4"/>
    <w:rsid w:val="00BE0AE1"/>
    <w:rsid w:val="00BE0BE5"/>
    <w:rsid w:val="00BE0F1E"/>
    <w:rsid w:val="00BE1E0A"/>
    <w:rsid w:val="00BE1E6D"/>
    <w:rsid w:val="00BE242F"/>
    <w:rsid w:val="00BE35D0"/>
    <w:rsid w:val="00BE3739"/>
    <w:rsid w:val="00BE505A"/>
    <w:rsid w:val="00BE5910"/>
    <w:rsid w:val="00BE6D9C"/>
    <w:rsid w:val="00BF0D32"/>
    <w:rsid w:val="00BF11D0"/>
    <w:rsid w:val="00BF2311"/>
    <w:rsid w:val="00BF26CE"/>
    <w:rsid w:val="00BF45E3"/>
    <w:rsid w:val="00BF650C"/>
    <w:rsid w:val="00BF680B"/>
    <w:rsid w:val="00BF7521"/>
    <w:rsid w:val="00BF78A0"/>
    <w:rsid w:val="00BF7A1D"/>
    <w:rsid w:val="00C00054"/>
    <w:rsid w:val="00C00AD8"/>
    <w:rsid w:val="00C00EB7"/>
    <w:rsid w:val="00C01CF4"/>
    <w:rsid w:val="00C02CD0"/>
    <w:rsid w:val="00C02E6A"/>
    <w:rsid w:val="00C03971"/>
    <w:rsid w:val="00C0532A"/>
    <w:rsid w:val="00C0613C"/>
    <w:rsid w:val="00C06738"/>
    <w:rsid w:val="00C0694F"/>
    <w:rsid w:val="00C06B22"/>
    <w:rsid w:val="00C13A48"/>
    <w:rsid w:val="00C140AB"/>
    <w:rsid w:val="00C14830"/>
    <w:rsid w:val="00C158A2"/>
    <w:rsid w:val="00C17415"/>
    <w:rsid w:val="00C17C43"/>
    <w:rsid w:val="00C17C8A"/>
    <w:rsid w:val="00C22A46"/>
    <w:rsid w:val="00C22CCE"/>
    <w:rsid w:val="00C22D61"/>
    <w:rsid w:val="00C22F98"/>
    <w:rsid w:val="00C245B3"/>
    <w:rsid w:val="00C252F1"/>
    <w:rsid w:val="00C25840"/>
    <w:rsid w:val="00C25F95"/>
    <w:rsid w:val="00C2692F"/>
    <w:rsid w:val="00C2715C"/>
    <w:rsid w:val="00C27A8A"/>
    <w:rsid w:val="00C27E71"/>
    <w:rsid w:val="00C301D5"/>
    <w:rsid w:val="00C314FF"/>
    <w:rsid w:val="00C33A91"/>
    <w:rsid w:val="00C344F7"/>
    <w:rsid w:val="00C34C56"/>
    <w:rsid w:val="00C3502A"/>
    <w:rsid w:val="00C36EBC"/>
    <w:rsid w:val="00C3718C"/>
    <w:rsid w:val="00C376E3"/>
    <w:rsid w:val="00C40466"/>
    <w:rsid w:val="00C4048D"/>
    <w:rsid w:val="00C40549"/>
    <w:rsid w:val="00C41E26"/>
    <w:rsid w:val="00C42169"/>
    <w:rsid w:val="00C42D3F"/>
    <w:rsid w:val="00C43467"/>
    <w:rsid w:val="00C444B5"/>
    <w:rsid w:val="00C451D0"/>
    <w:rsid w:val="00C4569E"/>
    <w:rsid w:val="00C459A3"/>
    <w:rsid w:val="00C469D9"/>
    <w:rsid w:val="00C47105"/>
    <w:rsid w:val="00C476A7"/>
    <w:rsid w:val="00C47D1C"/>
    <w:rsid w:val="00C47E8C"/>
    <w:rsid w:val="00C520BD"/>
    <w:rsid w:val="00C5282F"/>
    <w:rsid w:val="00C52EDB"/>
    <w:rsid w:val="00C53220"/>
    <w:rsid w:val="00C5397C"/>
    <w:rsid w:val="00C543D4"/>
    <w:rsid w:val="00C556BE"/>
    <w:rsid w:val="00C55BDE"/>
    <w:rsid w:val="00C55E2F"/>
    <w:rsid w:val="00C563D1"/>
    <w:rsid w:val="00C57424"/>
    <w:rsid w:val="00C574A9"/>
    <w:rsid w:val="00C57ABB"/>
    <w:rsid w:val="00C6063B"/>
    <w:rsid w:val="00C64565"/>
    <w:rsid w:val="00C645F5"/>
    <w:rsid w:val="00C651AD"/>
    <w:rsid w:val="00C65CA1"/>
    <w:rsid w:val="00C663B9"/>
    <w:rsid w:val="00C67850"/>
    <w:rsid w:val="00C67989"/>
    <w:rsid w:val="00C702C2"/>
    <w:rsid w:val="00C721CC"/>
    <w:rsid w:val="00C725EB"/>
    <w:rsid w:val="00C727FC"/>
    <w:rsid w:val="00C7604B"/>
    <w:rsid w:val="00C76340"/>
    <w:rsid w:val="00C7731C"/>
    <w:rsid w:val="00C7777A"/>
    <w:rsid w:val="00C77F75"/>
    <w:rsid w:val="00C80D03"/>
    <w:rsid w:val="00C81EE6"/>
    <w:rsid w:val="00C82B3D"/>
    <w:rsid w:val="00C84B80"/>
    <w:rsid w:val="00C855A9"/>
    <w:rsid w:val="00C8581C"/>
    <w:rsid w:val="00C85B5D"/>
    <w:rsid w:val="00C85CEA"/>
    <w:rsid w:val="00C860B6"/>
    <w:rsid w:val="00C86452"/>
    <w:rsid w:val="00C86A50"/>
    <w:rsid w:val="00C87CC8"/>
    <w:rsid w:val="00C87EE7"/>
    <w:rsid w:val="00C90A03"/>
    <w:rsid w:val="00C91D25"/>
    <w:rsid w:val="00C93047"/>
    <w:rsid w:val="00C941BA"/>
    <w:rsid w:val="00C942A5"/>
    <w:rsid w:val="00C94BCB"/>
    <w:rsid w:val="00C96440"/>
    <w:rsid w:val="00C96818"/>
    <w:rsid w:val="00C9685F"/>
    <w:rsid w:val="00C969CA"/>
    <w:rsid w:val="00C96D8D"/>
    <w:rsid w:val="00CA0800"/>
    <w:rsid w:val="00CA1782"/>
    <w:rsid w:val="00CA2A8A"/>
    <w:rsid w:val="00CA2D1D"/>
    <w:rsid w:val="00CA33FE"/>
    <w:rsid w:val="00CA3D09"/>
    <w:rsid w:val="00CA3E6D"/>
    <w:rsid w:val="00CA4031"/>
    <w:rsid w:val="00CA5547"/>
    <w:rsid w:val="00CA5631"/>
    <w:rsid w:val="00CA7743"/>
    <w:rsid w:val="00CB07AE"/>
    <w:rsid w:val="00CB1C10"/>
    <w:rsid w:val="00CB2D55"/>
    <w:rsid w:val="00CB360A"/>
    <w:rsid w:val="00CB5E35"/>
    <w:rsid w:val="00CB63ED"/>
    <w:rsid w:val="00CB6553"/>
    <w:rsid w:val="00CB6A39"/>
    <w:rsid w:val="00CB6CC9"/>
    <w:rsid w:val="00CC0201"/>
    <w:rsid w:val="00CC053D"/>
    <w:rsid w:val="00CC36EF"/>
    <w:rsid w:val="00CC4659"/>
    <w:rsid w:val="00CC5BB0"/>
    <w:rsid w:val="00CC66D3"/>
    <w:rsid w:val="00CC714C"/>
    <w:rsid w:val="00CC75FB"/>
    <w:rsid w:val="00CD1135"/>
    <w:rsid w:val="00CD12B9"/>
    <w:rsid w:val="00CD4B24"/>
    <w:rsid w:val="00CD4B26"/>
    <w:rsid w:val="00CD507B"/>
    <w:rsid w:val="00CD55FF"/>
    <w:rsid w:val="00CD5668"/>
    <w:rsid w:val="00CD5EEA"/>
    <w:rsid w:val="00CD6580"/>
    <w:rsid w:val="00CD7556"/>
    <w:rsid w:val="00CD7F9B"/>
    <w:rsid w:val="00CE005A"/>
    <w:rsid w:val="00CE085A"/>
    <w:rsid w:val="00CE0A87"/>
    <w:rsid w:val="00CE1393"/>
    <w:rsid w:val="00CE14AE"/>
    <w:rsid w:val="00CE1734"/>
    <w:rsid w:val="00CE1F64"/>
    <w:rsid w:val="00CE34A2"/>
    <w:rsid w:val="00CE36D9"/>
    <w:rsid w:val="00CE3CF7"/>
    <w:rsid w:val="00CE4436"/>
    <w:rsid w:val="00CE576F"/>
    <w:rsid w:val="00CE5813"/>
    <w:rsid w:val="00CE6577"/>
    <w:rsid w:val="00CE6A3F"/>
    <w:rsid w:val="00CE76BE"/>
    <w:rsid w:val="00CF0035"/>
    <w:rsid w:val="00CF09A0"/>
    <w:rsid w:val="00CF158E"/>
    <w:rsid w:val="00CF2037"/>
    <w:rsid w:val="00CF2352"/>
    <w:rsid w:val="00CF23A0"/>
    <w:rsid w:val="00CF2B3A"/>
    <w:rsid w:val="00CF302D"/>
    <w:rsid w:val="00CF491D"/>
    <w:rsid w:val="00CF5214"/>
    <w:rsid w:val="00CF526F"/>
    <w:rsid w:val="00CF6DC1"/>
    <w:rsid w:val="00D0048E"/>
    <w:rsid w:val="00D009C9"/>
    <w:rsid w:val="00D01EA9"/>
    <w:rsid w:val="00D02372"/>
    <w:rsid w:val="00D02BEF"/>
    <w:rsid w:val="00D02F29"/>
    <w:rsid w:val="00D04A1E"/>
    <w:rsid w:val="00D04D29"/>
    <w:rsid w:val="00D0545D"/>
    <w:rsid w:val="00D05604"/>
    <w:rsid w:val="00D05AA1"/>
    <w:rsid w:val="00D07E2A"/>
    <w:rsid w:val="00D11286"/>
    <w:rsid w:val="00D120CE"/>
    <w:rsid w:val="00D122BF"/>
    <w:rsid w:val="00D12B0A"/>
    <w:rsid w:val="00D134E1"/>
    <w:rsid w:val="00D155EC"/>
    <w:rsid w:val="00D1653B"/>
    <w:rsid w:val="00D16893"/>
    <w:rsid w:val="00D22C01"/>
    <w:rsid w:val="00D23B3E"/>
    <w:rsid w:val="00D2492E"/>
    <w:rsid w:val="00D24D5C"/>
    <w:rsid w:val="00D25D08"/>
    <w:rsid w:val="00D25FB1"/>
    <w:rsid w:val="00D273D9"/>
    <w:rsid w:val="00D27C7E"/>
    <w:rsid w:val="00D27C8B"/>
    <w:rsid w:val="00D27CA1"/>
    <w:rsid w:val="00D303FC"/>
    <w:rsid w:val="00D307E1"/>
    <w:rsid w:val="00D30D10"/>
    <w:rsid w:val="00D31848"/>
    <w:rsid w:val="00D31AB9"/>
    <w:rsid w:val="00D31F91"/>
    <w:rsid w:val="00D326FF"/>
    <w:rsid w:val="00D3301A"/>
    <w:rsid w:val="00D33719"/>
    <w:rsid w:val="00D337C9"/>
    <w:rsid w:val="00D34AB6"/>
    <w:rsid w:val="00D34C60"/>
    <w:rsid w:val="00D34EE5"/>
    <w:rsid w:val="00D35391"/>
    <w:rsid w:val="00D35A45"/>
    <w:rsid w:val="00D35EB7"/>
    <w:rsid w:val="00D36201"/>
    <w:rsid w:val="00D36461"/>
    <w:rsid w:val="00D40770"/>
    <w:rsid w:val="00D41271"/>
    <w:rsid w:val="00D413E9"/>
    <w:rsid w:val="00D4176C"/>
    <w:rsid w:val="00D417D8"/>
    <w:rsid w:val="00D41CE6"/>
    <w:rsid w:val="00D4235E"/>
    <w:rsid w:val="00D439CC"/>
    <w:rsid w:val="00D44EB0"/>
    <w:rsid w:val="00D457F7"/>
    <w:rsid w:val="00D46CE4"/>
    <w:rsid w:val="00D47DB7"/>
    <w:rsid w:val="00D50F94"/>
    <w:rsid w:val="00D51CFD"/>
    <w:rsid w:val="00D51FEA"/>
    <w:rsid w:val="00D53B56"/>
    <w:rsid w:val="00D5451E"/>
    <w:rsid w:val="00D549C5"/>
    <w:rsid w:val="00D54FB3"/>
    <w:rsid w:val="00D55006"/>
    <w:rsid w:val="00D5673B"/>
    <w:rsid w:val="00D57D17"/>
    <w:rsid w:val="00D60507"/>
    <w:rsid w:val="00D61048"/>
    <w:rsid w:val="00D6219D"/>
    <w:rsid w:val="00D62AF8"/>
    <w:rsid w:val="00D62C61"/>
    <w:rsid w:val="00D63412"/>
    <w:rsid w:val="00D63942"/>
    <w:rsid w:val="00D6398F"/>
    <w:rsid w:val="00D63A1F"/>
    <w:rsid w:val="00D64688"/>
    <w:rsid w:val="00D6518F"/>
    <w:rsid w:val="00D65D3F"/>
    <w:rsid w:val="00D6602C"/>
    <w:rsid w:val="00D66524"/>
    <w:rsid w:val="00D67D80"/>
    <w:rsid w:val="00D67FEA"/>
    <w:rsid w:val="00D70370"/>
    <w:rsid w:val="00D70C4E"/>
    <w:rsid w:val="00D72462"/>
    <w:rsid w:val="00D72785"/>
    <w:rsid w:val="00D72CED"/>
    <w:rsid w:val="00D73281"/>
    <w:rsid w:val="00D73BF8"/>
    <w:rsid w:val="00D73E67"/>
    <w:rsid w:val="00D73F79"/>
    <w:rsid w:val="00D74823"/>
    <w:rsid w:val="00D749C1"/>
    <w:rsid w:val="00D75798"/>
    <w:rsid w:val="00D76171"/>
    <w:rsid w:val="00D80039"/>
    <w:rsid w:val="00D803C6"/>
    <w:rsid w:val="00D8120D"/>
    <w:rsid w:val="00D819F6"/>
    <w:rsid w:val="00D82AD5"/>
    <w:rsid w:val="00D84C1E"/>
    <w:rsid w:val="00D85AF2"/>
    <w:rsid w:val="00D862B7"/>
    <w:rsid w:val="00D86316"/>
    <w:rsid w:val="00D866D6"/>
    <w:rsid w:val="00D8728C"/>
    <w:rsid w:val="00D87E15"/>
    <w:rsid w:val="00D90548"/>
    <w:rsid w:val="00D9055D"/>
    <w:rsid w:val="00D9070C"/>
    <w:rsid w:val="00D9096B"/>
    <w:rsid w:val="00D92267"/>
    <w:rsid w:val="00D93358"/>
    <w:rsid w:val="00D9372A"/>
    <w:rsid w:val="00D948B7"/>
    <w:rsid w:val="00D95878"/>
    <w:rsid w:val="00D95B1B"/>
    <w:rsid w:val="00DA0003"/>
    <w:rsid w:val="00DA1F25"/>
    <w:rsid w:val="00DA298E"/>
    <w:rsid w:val="00DA2F4B"/>
    <w:rsid w:val="00DA31FB"/>
    <w:rsid w:val="00DA3211"/>
    <w:rsid w:val="00DA3499"/>
    <w:rsid w:val="00DA36C2"/>
    <w:rsid w:val="00DA3B69"/>
    <w:rsid w:val="00DA55BC"/>
    <w:rsid w:val="00DA56A2"/>
    <w:rsid w:val="00DA5B2F"/>
    <w:rsid w:val="00DA6964"/>
    <w:rsid w:val="00DA7F9F"/>
    <w:rsid w:val="00DB1379"/>
    <w:rsid w:val="00DB1575"/>
    <w:rsid w:val="00DB298B"/>
    <w:rsid w:val="00DB3324"/>
    <w:rsid w:val="00DB3385"/>
    <w:rsid w:val="00DB426D"/>
    <w:rsid w:val="00DB4F2D"/>
    <w:rsid w:val="00DB60A4"/>
    <w:rsid w:val="00DB63FF"/>
    <w:rsid w:val="00DB6732"/>
    <w:rsid w:val="00DB7BA4"/>
    <w:rsid w:val="00DB7C14"/>
    <w:rsid w:val="00DC1C6D"/>
    <w:rsid w:val="00DC27EC"/>
    <w:rsid w:val="00DC3AC1"/>
    <w:rsid w:val="00DC448B"/>
    <w:rsid w:val="00DC5391"/>
    <w:rsid w:val="00DC601E"/>
    <w:rsid w:val="00DC61E5"/>
    <w:rsid w:val="00DC6B54"/>
    <w:rsid w:val="00DC7804"/>
    <w:rsid w:val="00DD02EA"/>
    <w:rsid w:val="00DD041C"/>
    <w:rsid w:val="00DD0452"/>
    <w:rsid w:val="00DD0738"/>
    <w:rsid w:val="00DD2180"/>
    <w:rsid w:val="00DD21A2"/>
    <w:rsid w:val="00DD2290"/>
    <w:rsid w:val="00DD2DE8"/>
    <w:rsid w:val="00DD329B"/>
    <w:rsid w:val="00DD43CD"/>
    <w:rsid w:val="00DD4670"/>
    <w:rsid w:val="00DD47C9"/>
    <w:rsid w:val="00DD6A75"/>
    <w:rsid w:val="00DD6AF1"/>
    <w:rsid w:val="00DE0359"/>
    <w:rsid w:val="00DE08E9"/>
    <w:rsid w:val="00DE0C81"/>
    <w:rsid w:val="00DE19E2"/>
    <w:rsid w:val="00DE5420"/>
    <w:rsid w:val="00DE589E"/>
    <w:rsid w:val="00DE5D17"/>
    <w:rsid w:val="00DE6598"/>
    <w:rsid w:val="00DE6F51"/>
    <w:rsid w:val="00DE783F"/>
    <w:rsid w:val="00DE7EF2"/>
    <w:rsid w:val="00DF0588"/>
    <w:rsid w:val="00DF1354"/>
    <w:rsid w:val="00DF48A3"/>
    <w:rsid w:val="00DF4F9A"/>
    <w:rsid w:val="00DF5562"/>
    <w:rsid w:val="00DF558F"/>
    <w:rsid w:val="00DF5A9E"/>
    <w:rsid w:val="00DF5E6B"/>
    <w:rsid w:val="00DF6644"/>
    <w:rsid w:val="00DF7F33"/>
    <w:rsid w:val="00E008F5"/>
    <w:rsid w:val="00E01499"/>
    <w:rsid w:val="00E03793"/>
    <w:rsid w:val="00E03ADE"/>
    <w:rsid w:val="00E03D67"/>
    <w:rsid w:val="00E05962"/>
    <w:rsid w:val="00E05F10"/>
    <w:rsid w:val="00E0602D"/>
    <w:rsid w:val="00E0637B"/>
    <w:rsid w:val="00E07803"/>
    <w:rsid w:val="00E10251"/>
    <w:rsid w:val="00E115E0"/>
    <w:rsid w:val="00E119A4"/>
    <w:rsid w:val="00E122D4"/>
    <w:rsid w:val="00E13C8A"/>
    <w:rsid w:val="00E1460C"/>
    <w:rsid w:val="00E159E0"/>
    <w:rsid w:val="00E16E13"/>
    <w:rsid w:val="00E1759C"/>
    <w:rsid w:val="00E20CEE"/>
    <w:rsid w:val="00E2197B"/>
    <w:rsid w:val="00E223A9"/>
    <w:rsid w:val="00E23014"/>
    <w:rsid w:val="00E24313"/>
    <w:rsid w:val="00E2799A"/>
    <w:rsid w:val="00E27A28"/>
    <w:rsid w:val="00E30128"/>
    <w:rsid w:val="00E301F4"/>
    <w:rsid w:val="00E31F97"/>
    <w:rsid w:val="00E32153"/>
    <w:rsid w:val="00E3274C"/>
    <w:rsid w:val="00E334E0"/>
    <w:rsid w:val="00E33897"/>
    <w:rsid w:val="00E35B43"/>
    <w:rsid w:val="00E36093"/>
    <w:rsid w:val="00E37BF4"/>
    <w:rsid w:val="00E40A9D"/>
    <w:rsid w:val="00E41341"/>
    <w:rsid w:val="00E41A3A"/>
    <w:rsid w:val="00E4235F"/>
    <w:rsid w:val="00E4280B"/>
    <w:rsid w:val="00E42F68"/>
    <w:rsid w:val="00E431E5"/>
    <w:rsid w:val="00E441A3"/>
    <w:rsid w:val="00E44385"/>
    <w:rsid w:val="00E447E4"/>
    <w:rsid w:val="00E45CF7"/>
    <w:rsid w:val="00E45E7D"/>
    <w:rsid w:val="00E45FDF"/>
    <w:rsid w:val="00E46798"/>
    <w:rsid w:val="00E469C9"/>
    <w:rsid w:val="00E4716E"/>
    <w:rsid w:val="00E47715"/>
    <w:rsid w:val="00E514A2"/>
    <w:rsid w:val="00E527E0"/>
    <w:rsid w:val="00E53C90"/>
    <w:rsid w:val="00E540F8"/>
    <w:rsid w:val="00E554C5"/>
    <w:rsid w:val="00E55FA8"/>
    <w:rsid w:val="00E576EB"/>
    <w:rsid w:val="00E619F3"/>
    <w:rsid w:val="00E62865"/>
    <w:rsid w:val="00E62C33"/>
    <w:rsid w:val="00E640C9"/>
    <w:rsid w:val="00E6417F"/>
    <w:rsid w:val="00E642F8"/>
    <w:rsid w:val="00E64392"/>
    <w:rsid w:val="00E6550A"/>
    <w:rsid w:val="00E65DBC"/>
    <w:rsid w:val="00E705FF"/>
    <w:rsid w:val="00E70F8C"/>
    <w:rsid w:val="00E72227"/>
    <w:rsid w:val="00E72BF7"/>
    <w:rsid w:val="00E740A4"/>
    <w:rsid w:val="00E7426C"/>
    <w:rsid w:val="00E75683"/>
    <w:rsid w:val="00E75D83"/>
    <w:rsid w:val="00E80465"/>
    <w:rsid w:val="00E80D4D"/>
    <w:rsid w:val="00E81BFC"/>
    <w:rsid w:val="00E829E4"/>
    <w:rsid w:val="00E8423F"/>
    <w:rsid w:val="00E845B4"/>
    <w:rsid w:val="00E84C48"/>
    <w:rsid w:val="00E85A86"/>
    <w:rsid w:val="00E8621A"/>
    <w:rsid w:val="00E903FC"/>
    <w:rsid w:val="00E90836"/>
    <w:rsid w:val="00E909AF"/>
    <w:rsid w:val="00E91D6E"/>
    <w:rsid w:val="00E92080"/>
    <w:rsid w:val="00E936B1"/>
    <w:rsid w:val="00E937AB"/>
    <w:rsid w:val="00E941F7"/>
    <w:rsid w:val="00E94852"/>
    <w:rsid w:val="00E97CD5"/>
    <w:rsid w:val="00EA112C"/>
    <w:rsid w:val="00EA1809"/>
    <w:rsid w:val="00EA3594"/>
    <w:rsid w:val="00EA5832"/>
    <w:rsid w:val="00EA6BE5"/>
    <w:rsid w:val="00EA75DB"/>
    <w:rsid w:val="00EA7D3B"/>
    <w:rsid w:val="00EB02E2"/>
    <w:rsid w:val="00EB0AA4"/>
    <w:rsid w:val="00EB5817"/>
    <w:rsid w:val="00EB66AB"/>
    <w:rsid w:val="00EB6A42"/>
    <w:rsid w:val="00EC0680"/>
    <w:rsid w:val="00EC161F"/>
    <w:rsid w:val="00EC1FB2"/>
    <w:rsid w:val="00EC2508"/>
    <w:rsid w:val="00EC2CB3"/>
    <w:rsid w:val="00EC34B9"/>
    <w:rsid w:val="00EC3FE1"/>
    <w:rsid w:val="00EC447E"/>
    <w:rsid w:val="00EC4DD0"/>
    <w:rsid w:val="00EC6765"/>
    <w:rsid w:val="00EC6B53"/>
    <w:rsid w:val="00EC6C4E"/>
    <w:rsid w:val="00EC74DA"/>
    <w:rsid w:val="00EC79CA"/>
    <w:rsid w:val="00EC7A3A"/>
    <w:rsid w:val="00EC7E68"/>
    <w:rsid w:val="00EC7FA2"/>
    <w:rsid w:val="00ED0182"/>
    <w:rsid w:val="00ED02EE"/>
    <w:rsid w:val="00ED0D78"/>
    <w:rsid w:val="00ED0D85"/>
    <w:rsid w:val="00ED18F1"/>
    <w:rsid w:val="00ED25E5"/>
    <w:rsid w:val="00ED39F3"/>
    <w:rsid w:val="00ED3A21"/>
    <w:rsid w:val="00ED47F7"/>
    <w:rsid w:val="00ED51EF"/>
    <w:rsid w:val="00ED6A07"/>
    <w:rsid w:val="00ED7E62"/>
    <w:rsid w:val="00EE070E"/>
    <w:rsid w:val="00EE0FE9"/>
    <w:rsid w:val="00EE1CF9"/>
    <w:rsid w:val="00EE2C20"/>
    <w:rsid w:val="00EE473F"/>
    <w:rsid w:val="00EE5796"/>
    <w:rsid w:val="00EE5C78"/>
    <w:rsid w:val="00EE6495"/>
    <w:rsid w:val="00EE7157"/>
    <w:rsid w:val="00EF0C0C"/>
    <w:rsid w:val="00EF10DA"/>
    <w:rsid w:val="00EF115E"/>
    <w:rsid w:val="00EF20BA"/>
    <w:rsid w:val="00EF26D8"/>
    <w:rsid w:val="00EF3C21"/>
    <w:rsid w:val="00EF48BE"/>
    <w:rsid w:val="00EF5693"/>
    <w:rsid w:val="00EF63C5"/>
    <w:rsid w:val="00EF674D"/>
    <w:rsid w:val="00F00284"/>
    <w:rsid w:val="00F0093E"/>
    <w:rsid w:val="00F00C5D"/>
    <w:rsid w:val="00F01DC2"/>
    <w:rsid w:val="00F03B18"/>
    <w:rsid w:val="00F04F76"/>
    <w:rsid w:val="00F05274"/>
    <w:rsid w:val="00F10222"/>
    <w:rsid w:val="00F11149"/>
    <w:rsid w:val="00F11D8A"/>
    <w:rsid w:val="00F13EAA"/>
    <w:rsid w:val="00F13EE2"/>
    <w:rsid w:val="00F146CE"/>
    <w:rsid w:val="00F15211"/>
    <w:rsid w:val="00F16421"/>
    <w:rsid w:val="00F16B33"/>
    <w:rsid w:val="00F16E8E"/>
    <w:rsid w:val="00F1722D"/>
    <w:rsid w:val="00F20315"/>
    <w:rsid w:val="00F21467"/>
    <w:rsid w:val="00F21CFB"/>
    <w:rsid w:val="00F22338"/>
    <w:rsid w:val="00F236EE"/>
    <w:rsid w:val="00F23798"/>
    <w:rsid w:val="00F2454E"/>
    <w:rsid w:val="00F24983"/>
    <w:rsid w:val="00F24B10"/>
    <w:rsid w:val="00F25445"/>
    <w:rsid w:val="00F255B8"/>
    <w:rsid w:val="00F27703"/>
    <w:rsid w:val="00F30E04"/>
    <w:rsid w:val="00F30F79"/>
    <w:rsid w:val="00F31F89"/>
    <w:rsid w:val="00F339BA"/>
    <w:rsid w:val="00F34215"/>
    <w:rsid w:val="00F3488D"/>
    <w:rsid w:val="00F35B1F"/>
    <w:rsid w:val="00F35BB2"/>
    <w:rsid w:val="00F35CCB"/>
    <w:rsid w:val="00F379FC"/>
    <w:rsid w:val="00F4127E"/>
    <w:rsid w:val="00F41617"/>
    <w:rsid w:val="00F425A1"/>
    <w:rsid w:val="00F426D4"/>
    <w:rsid w:val="00F44F5B"/>
    <w:rsid w:val="00F46263"/>
    <w:rsid w:val="00F46579"/>
    <w:rsid w:val="00F4678B"/>
    <w:rsid w:val="00F46B0A"/>
    <w:rsid w:val="00F505BE"/>
    <w:rsid w:val="00F509B1"/>
    <w:rsid w:val="00F50E65"/>
    <w:rsid w:val="00F50EDE"/>
    <w:rsid w:val="00F51649"/>
    <w:rsid w:val="00F51CF4"/>
    <w:rsid w:val="00F51FD2"/>
    <w:rsid w:val="00F527E5"/>
    <w:rsid w:val="00F52EF4"/>
    <w:rsid w:val="00F533C6"/>
    <w:rsid w:val="00F533FB"/>
    <w:rsid w:val="00F535B3"/>
    <w:rsid w:val="00F54063"/>
    <w:rsid w:val="00F54340"/>
    <w:rsid w:val="00F55AAC"/>
    <w:rsid w:val="00F55FA7"/>
    <w:rsid w:val="00F60235"/>
    <w:rsid w:val="00F60ED7"/>
    <w:rsid w:val="00F63103"/>
    <w:rsid w:val="00F63A63"/>
    <w:rsid w:val="00F64342"/>
    <w:rsid w:val="00F64875"/>
    <w:rsid w:val="00F65371"/>
    <w:rsid w:val="00F6552B"/>
    <w:rsid w:val="00F662DE"/>
    <w:rsid w:val="00F706C0"/>
    <w:rsid w:val="00F70AA5"/>
    <w:rsid w:val="00F70B05"/>
    <w:rsid w:val="00F70BF2"/>
    <w:rsid w:val="00F70C74"/>
    <w:rsid w:val="00F71CCE"/>
    <w:rsid w:val="00F723E9"/>
    <w:rsid w:val="00F72F4E"/>
    <w:rsid w:val="00F736E6"/>
    <w:rsid w:val="00F73F16"/>
    <w:rsid w:val="00F741ED"/>
    <w:rsid w:val="00F7465A"/>
    <w:rsid w:val="00F75141"/>
    <w:rsid w:val="00F75311"/>
    <w:rsid w:val="00F754CC"/>
    <w:rsid w:val="00F75854"/>
    <w:rsid w:val="00F75FDF"/>
    <w:rsid w:val="00F76B2F"/>
    <w:rsid w:val="00F76F1E"/>
    <w:rsid w:val="00F76FDE"/>
    <w:rsid w:val="00F77271"/>
    <w:rsid w:val="00F77D31"/>
    <w:rsid w:val="00F80054"/>
    <w:rsid w:val="00F80B9A"/>
    <w:rsid w:val="00F82C32"/>
    <w:rsid w:val="00F82CCA"/>
    <w:rsid w:val="00F82E84"/>
    <w:rsid w:val="00F84EA7"/>
    <w:rsid w:val="00F84F3C"/>
    <w:rsid w:val="00F84FC9"/>
    <w:rsid w:val="00F8515E"/>
    <w:rsid w:val="00F862A0"/>
    <w:rsid w:val="00F8770D"/>
    <w:rsid w:val="00F90181"/>
    <w:rsid w:val="00F902AB"/>
    <w:rsid w:val="00F90408"/>
    <w:rsid w:val="00F9078C"/>
    <w:rsid w:val="00F925F5"/>
    <w:rsid w:val="00F92AB9"/>
    <w:rsid w:val="00F93B1E"/>
    <w:rsid w:val="00F93C1E"/>
    <w:rsid w:val="00F943C8"/>
    <w:rsid w:val="00F94A39"/>
    <w:rsid w:val="00F9694F"/>
    <w:rsid w:val="00F97088"/>
    <w:rsid w:val="00F97508"/>
    <w:rsid w:val="00FA0848"/>
    <w:rsid w:val="00FA1C70"/>
    <w:rsid w:val="00FA286B"/>
    <w:rsid w:val="00FA3485"/>
    <w:rsid w:val="00FA3B0B"/>
    <w:rsid w:val="00FA3CE5"/>
    <w:rsid w:val="00FA5641"/>
    <w:rsid w:val="00FA679D"/>
    <w:rsid w:val="00FA771C"/>
    <w:rsid w:val="00FA791C"/>
    <w:rsid w:val="00FA7B2C"/>
    <w:rsid w:val="00FB010D"/>
    <w:rsid w:val="00FB0499"/>
    <w:rsid w:val="00FB15AD"/>
    <w:rsid w:val="00FB1632"/>
    <w:rsid w:val="00FB255F"/>
    <w:rsid w:val="00FB2662"/>
    <w:rsid w:val="00FB2952"/>
    <w:rsid w:val="00FB5AD3"/>
    <w:rsid w:val="00FB6091"/>
    <w:rsid w:val="00FB6A8C"/>
    <w:rsid w:val="00FB6EE1"/>
    <w:rsid w:val="00FB7F93"/>
    <w:rsid w:val="00FC054A"/>
    <w:rsid w:val="00FC0CCD"/>
    <w:rsid w:val="00FC26C2"/>
    <w:rsid w:val="00FC3158"/>
    <w:rsid w:val="00FC3564"/>
    <w:rsid w:val="00FC3DE2"/>
    <w:rsid w:val="00FC4530"/>
    <w:rsid w:val="00FC46D5"/>
    <w:rsid w:val="00FC565E"/>
    <w:rsid w:val="00FC631B"/>
    <w:rsid w:val="00FD0608"/>
    <w:rsid w:val="00FD0A18"/>
    <w:rsid w:val="00FD0FF1"/>
    <w:rsid w:val="00FD20A2"/>
    <w:rsid w:val="00FD3326"/>
    <w:rsid w:val="00FD3BDC"/>
    <w:rsid w:val="00FD3C48"/>
    <w:rsid w:val="00FD5721"/>
    <w:rsid w:val="00FD7C4A"/>
    <w:rsid w:val="00FE1015"/>
    <w:rsid w:val="00FE18AD"/>
    <w:rsid w:val="00FE20C1"/>
    <w:rsid w:val="00FE331F"/>
    <w:rsid w:val="00FE3507"/>
    <w:rsid w:val="00FE363A"/>
    <w:rsid w:val="00FE4703"/>
    <w:rsid w:val="00FF039D"/>
    <w:rsid w:val="00FF03A1"/>
    <w:rsid w:val="00FF03FB"/>
    <w:rsid w:val="00FF3104"/>
    <w:rsid w:val="00FF3B59"/>
    <w:rsid w:val="00FF4639"/>
    <w:rsid w:val="00FF4BE8"/>
    <w:rsid w:val="00FF6B55"/>
    <w:rsid w:val="00FF78F6"/>
  </w:rsids>
  <m:mathPr>
    <m:mathFont m:val="Cambria Math"/>
    <m:smallFrac/>
  </m:mathPr>
  <w:themeFontLang w:val="lv-LV"/>
  <w:clrSchemeMapping w:bg1="light1" w:t1="dark1" w:bg2="light2" w:t2="dark2" w:accent1="accent1" w:accent2="accent2" w:accent3="accent3" w:accent4="accent4" w:accent5="accent5" w:accent6="accent6" w:hyperlink="hyperlink" w:followedHyperlink="followedHyperlink"/>
  <w15:docId w15:val="{C1D49F84-80BB-44F8-80A9-1E5E90CA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Times New Roman" w:cs="Times New Roman"/>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7B"/>
    <w:pPr>
      <w:spacing w:after="0" w:line="240" w:lineRule="auto"/>
    </w:pPr>
    <w:rPr>
      <w:rFonts w:ascii="Times New Roman" w:eastAsia="Times New Roman"/>
      <w:sz w:val="24"/>
      <w:szCs w:val="24"/>
      <w:lang w:eastAsia="lv-LV"/>
    </w:rPr>
  </w:style>
  <w:style w:type="paragraph" w:styleId="Heading1">
    <w:name w:val="heading 1"/>
    <w:basedOn w:val="Normal"/>
    <w:link w:val="Heading1Char"/>
    <w:uiPriority w:val="9"/>
    <w:qFormat/>
    <w:rsid w:val="00E0637B"/>
    <w:pPr>
      <w:spacing w:before="100" w:beforeAutospacing="1" w:after="100" w:afterAutospacing="1"/>
      <w:outlineLvl w:val="0"/>
    </w:pPr>
    <w:rPr>
      <w:b/>
      <w:kern w:val="36"/>
      <w:sz w:val="48"/>
      <w:szCs w:val="48"/>
      <w:lang w:val="en-US" w:eastAsia="en-US" w:bidi="as-IN"/>
    </w:rPr>
  </w:style>
  <w:style w:type="paragraph" w:styleId="Heading3">
    <w:name w:val="heading 3"/>
    <w:basedOn w:val="Normal"/>
    <w:link w:val="Heading3Char"/>
    <w:uiPriority w:val="9"/>
    <w:qFormat/>
    <w:rsid w:val="00E0637B"/>
    <w:pPr>
      <w:keepNext/>
      <w:keepLines/>
      <w:spacing w:before="40"/>
      <w:outlineLvl w:val="2"/>
    </w:pPr>
    <w:rPr>
      <w:rFonts w:asci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637B"/>
    <w:pPr>
      <w:tabs>
        <w:tab w:val="center" w:pos="4153"/>
        <w:tab w:val="right" w:pos="8306"/>
      </w:tabs>
    </w:pPr>
  </w:style>
  <w:style w:type="character" w:customStyle="1" w:styleId="HeaderChar">
    <w:name w:val="Header Char"/>
    <w:basedOn w:val="DefaultParagraphFont"/>
    <w:link w:val="Header"/>
    <w:uiPriority w:val="99"/>
    <w:rsid w:val="00E0637B"/>
    <w:rPr>
      <w:rFonts w:ascii="Times New Roman" w:eastAsia="Times New Roman" w:hAnsi="Times New Roman" w:cs="Times New Roman"/>
      <w:sz w:val="24"/>
      <w:szCs w:val="24"/>
      <w:lang w:eastAsia="lv-LV"/>
    </w:rPr>
  </w:style>
  <w:style w:type="paragraph" w:customStyle="1" w:styleId="naisf">
    <w:name w:val="naisf"/>
    <w:basedOn w:val="Normal"/>
    <w:uiPriority w:val="99"/>
    <w:rsid w:val="00E0637B"/>
    <w:pPr>
      <w:spacing w:before="75" w:after="75"/>
      <w:ind w:firstLine="375"/>
      <w:jc w:val="both"/>
    </w:pPr>
  </w:style>
  <w:style w:type="character" w:styleId="PageNumber">
    <w:name w:val="page number"/>
    <w:basedOn w:val="DefaultParagraphFont"/>
    <w:rsid w:val="00E0637B"/>
  </w:style>
  <w:style w:type="character" w:styleId="Hyperlink">
    <w:name w:val="Hyperlink"/>
    <w:uiPriority w:val="99"/>
    <w:rsid w:val="00E0637B"/>
    <w:rPr>
      <w:rFonts w:cs="Times New Roman"/>
      <w:color w:val="0000FF"/>
      <w:u w:val="single"/>
    </w:rPr>
  </w:style>
  <w:style w:type="paragraph" w:customStyle="1" w:styleId="naisnod">
    <w:name w:val="naisnod"/>
    <w:basedOn w:val="Normal"/>
    <w:uiPriority w:val="99"/>
    <w:rsid w:val="00E0637B"/>
    <w:pPr>
      <w:spacing w:before="150" w:after="150"/>
      <w:jc w:val="center"/>
    </w:pPr>
    <w:rPr>
      <w:b/>
    </w:rPr>
  </w:style>
  <w:style w:type="paragraph" w:customStyle="1" w:styleId="naiskr">
    <w:name w:val="naiskr"/>
    <w:basedOn w:val="Normal"/>
    <w:rsid w:val="00E0637B"/>
    <w:pPr>
      <w:spacing w:before="75" w:after="75"/>
    </w:pPr>
  </w:style>
  <w:style w:type="paragraph" w:styleId="Title">
    <w:name w:val="Title"/>
    <w:basedOn w:val="Normal"/>
    <w:link w:val="TitleChar"/>
    <w:uiPriority w:val="99"/>
    <w:qFormat/>
    <w:rsid w:val="00E0637B"/>
    <w:pPr>
      <w:jc w:val="center"/>
    </w:pPr>
    <w:rPr>
      <w:b/>
    </w:rPr>
  </w:style>
  <w:style w:type="character" w:customStyle="1" w:styleId="TitleChar">
    <w:name w:val="Title Char"/>
    <w:basedOn w:val="DefaultParagraphFont"/>
    <w:link w:val="Title"/>
    <w:uiPriority w:val="99"/>
    <w:rsid w:val="00E0637B"/>
    <w:rPr>
      <w:rFonts w:ascii="Times New Roman" w:eastAsia="Times New Roman" w:hAnsi="Times New Roman" w:cs="Times New Roman"/>
      <w:b/>
      <w:sz w:val="24"/>
      <w:szCs w:val="24"/>
    </w:rPr>
  </w:style>
  <w:style w:type="paragraph" w:customStyle="1" w:styleId="naisc">
    <w:name w:val="naisc"/>
    <w:basedOn w:val="Normal"/>
    <w:rsid w:val="00E0637B"/>
    <w:pPr>
      <w:spacing w:before="75" w:after="75"/>
      <w:jc w:val="center"/>
    </w:pPr>
  </w:style>
  <w:style w:type="paragraph" w:customStyle="1" w:styleId="tvhtml1">
    <w:name w:val="tv_html1"/>
    <w:basedOn w:val="Normal"/>
    <w:rsid w:val="00E0637B"/>
    <w:pPr>
      <w:spacing w:before="100" w:beforeAutospacing="1" w:line="360" w:lineRule="auto"/>
    </w:pPr>
    <w:rPr>
      <w:rFonts w:ascii="Verdana" w:hAnsi="Verdana"/>
      <w:sz w:val="18"/>
      <w:szCs w:val="18"/>
      <w:lang w:val="en-US" w:eastAsia="en-US"/>
    </w:rPr>
  </w:style>
  <w:style w:type="paragraph" w:customStyle="1" w:styleId="tv2131">
    <w:name w:val="tv2131"/>
    <w:basedOn w:val="Normal"/>
    <w:rsid w:val="00E0637B"/>
    <w:pPr>
      <w:spacing w:before="240" w:line="360" w:lineRule="auto"/>
      <w:ind w:firstLine="217"/>
      <w:jc w:val="both"/>
    </w:pPr>
    <w:rPr>
      <w:rFonts w:ascii="Verdana" w:hAnsi="Verdana"/>
      <w:sz w:val="13"/>
      <w:szCs w:val="13"/>
      <w:lang w:val="en-US" w:eastAsia="en-US"/>
    </w:rPr>
  </w:style>
  <w:style w:type="paragraph" w:customStyle="1" w:styleId="tv2161">
    <w:name w:val="tv2161"/>
    <w:basedOn w:val="Normal"/>
    <w:rsid w:val="00E0637B"/>
    <w:pPr>
      <w:spacing w:before="240" w:line="360" w:lineRule="auto"/>
      <w:ind w:firstLine="259"/>
      <w:jc w:val="right"/>
    </w:pPr>
    <w:rPr>
      <w:rFonts w:ascii="Verdana" w:hAnsi="Verdana"/>
      <w:sz w:val="16"/>
      <w:szCs w:val="16"/>
      <w:lang w:eastAsia="en-US"/>
    </w:rPr>
  </w:style>
  <w:style w:type="paragraph" w:customStyle="1" w:styleId="naislab">
    <w:name w:val="naislab"/>
    <w:basedOn w:val="Normal"/>
    <w:uiPriority w:val="99"/>
    <w:rsid w:val="00E0637B"/>
    <w:pPr>
      <w:spacing w:before="75" w:after="75"/>
      <w:jc w:val="right"/>
    </w:pPr>
  </w:style>
  <w:style w:type="paragraph" w:customStyle="1" w:styleId="Default">
    <w:name w:val="Default"/>
    <w:rsid w:val="00E0637B"/>
    <w:pPr>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uiPriority w:val="99"/>
    <w:rsid w:val="00E0637B"/>
    <w:rPr>
      <w:rFonts w:cs="Times New Roman"/>
      <w:color w:val="auto"/>
    </w:rPr>
  </w:style>
  <w:style w:type="paragraph" w:customStyle="1" w:styleId="tv20787921">
    <w:name w:val="tv207_87_921"/>
    <w:basedOn w:val="Normal"/>
    <w:uiPriority w:val="99"/>
    <w:rsid w:val="00E0637B"/>
    <w:pPr>
      <w:spacing w:after="567" w:line="360" w:lineRule="auto"/>
      <w:jc w:val="center"/>
    </w:pPr>
    <w:rPr>
      <w:rFonts w:ascii="Verdana" w:hAnsi="Verdana"/>
      <w:b/>
      <w:sz w:val="28"/>
      <w:szCs w:val="28"/>
    </w:rPr>
  </w:style>
  <w:style w:type="paragraph" w:styleId="EnvelopeReturn">
    <w:name w:val="envelope return"/>
    <w:basedOn w:val="Normal"/>
    <w:rsid w:val="00E0637B"/>
    <w:pPr>
      <w:keepLines/>
      <w:spacing w:before="600"/>
    </w:pPr>
    <w:rPr>
      <w:sz w:val="26"/>
      <w:szCs w:val="20"/>
      <w:lang w:val="en-AU" w:eastAsia="en-US"/>
    </w:rPr>
  </w:style>
  <w:style w:type="paragraph" w:styleId="BodyTextIndent2">
    <w:name w:val="Body Text Indent 2"/>
    <w:basedOn w:val="Normal"/>
    <w:link w:val="BodyTextIndent2Char"/>
    <w:uiPriority w:val="99"/>
    <w:rsid w:val="00E0637B"/>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rsid w:val="00E0637B"/>
    <w:rPr>
      <w:rFonts w:ascii="Calibri" w:eastAsia="Times New Roman" w:hAnsi="Calibri" w:cs="Times New Roman"/>
      <w:lang w:eastAsia="lv-LV"/>
    </w:rPr>
  </w:style>
  <w:style w:type="paragraph" w:styleId="ListParagraph">
    <w:name w:val="List Paragraph"/>
    <w:basedOn w:val="Normal"/>
    <w:uiPriority w:val="34"/>
    <w:qFormat/>
    <w:rsid w:val="00E0637B"/>
    <w:pPr>
      <w:spacing w:after="200" w:line="276" w:lineRule="auto"/>
      <w:ind w:left="720"/>
      <w:contextualSpacing/>
    </w:pPr>
    <w:rPr>
      <w:rFonts w:ascii="Calibri" w:eastAsia="Calibri" w:hAnsi="Calibri"/>
      <w:sz w:val="22"/>
      <w:szCs w:val="22"/>
    </w:rPr>
  </w:style>
  <w:style w:type="paragraph" w:styleId="Caption">
    <w:name w:val="caption"/>
    <w:basedOn w:val="Normal"/>
    <w:uiPriority w:val="99"/>
    <w:qFormat/>
    <w:rsid w:val="00E0637B"/>
    <w:pPr>
      <w:spacing w:after="200" w:line="276" w:lineRule="auto"/>
    </w:pPr>
    <w:rPr>
      <w:rFonts w:ascii="Calibri" w:eastAsia="Calibri" w:hAnsi="Calibri"/>
      <w:b/>
      <w:sz w:val="20"/>
      <w:szCs w:val="20"/>
      <w:lang w:eastAsia="en-US"/>
    </w:rPr>
  </w:style>
  <w:style w:type="character" w:customStyle="1" w:styleId="Heading1Char">
    <w:name w:val="Heading 1 Char"/>
    <w:basedOn w:val="DefaultParagraphFont"/>
    <w:link w:val="Heading1"/>
    <w:uiPriority w:val="9"/>
    <w:rsid w:val="00E0637B"/>
    <w:rPr>
      <w:rFonts w:ascii="Times New Roman" w:eastAsia="Times New Roman" w:hAnsi="Times New Roman" w:cs="Times New Roman"/>
      <w:b/>
      <w:kern w:val="36"/>
      <w:sz w:val="48"/>
      <w:szCs w:val="48"/>
      <w:lang w:val="en-US" w:bidi="as-IN"/>
    </w:rPr>
  </w:style>
  <w:style w:type="character" w:customStyle="1" w:styleId="apple-converted-space">
    <w:name w:val="apple-converted-space"/>
    <w:basedOn w:val="DefaultParagraphFont"/>
    <w:rsid w:val="00E0637B"/>
  </w:style>
  <w:style w:type="paragraph" w:styleId="Footer">
    <w:name w:val="footer"/>
    <w:basedOn w:val="Normal"/>
    <w:link w:val="FooterChar"/>
    <w:uiPriority w:val="99"/>
    <w:rsid w:val="00E0637B"/>
    <w:pPr>
      <w:tabs>
        <w:tab w:val="center" w:pos="4153"/>
        <w:tab w:val="right" w:pos="8306"/>
      </w:tabs>
    </w:pPr>
  </w:style>
  <w:style w:type="character" w:customStyle="1" w:styleId="FooterChar">
    <w:name w:val="Footer Char"/>
    <w:basedOn w:val="DefaultParagraphFont"/>
    <w:link w:val="Footer"/>
    <w:uiPriority w:val="99"/>
    <w:rsid w:val="00E0637B"/>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rsid w:val="00E0637B"/>
    <w:pPr>
      <w:spacing w:after="120"/>
      <w:ind w:left="283"/>
    </w:pPr>
    <w:rPr>
      <w:sz w:val="16"/>
      <w:szCs w:val="16"/>
    </w:rPr>
  </w:style>
  <w:style w:type="character" w:customStyle="1" w:styleId="BodyTextIndent3Char">
    <w:name w:val="Body Text Indent 3 Char"/>
    <w:basedOn w:val="DefaultParagraphFont"/>
    <w:link w:val="BodyTextIndent3"/>
    <w:uiPriority w:val="99"/>
    <w:rsid w:val="00E0637B"/>
    <w:rPr>
      <w:rFonts w:ascii="Times New Roman" w:eastAsia="Times New Roman" w:hAnsi="Times New Roman" w:cs="Times New Roman"/>
      <w:sz w:val="16"/>
      <w:szCs w:val="16"/>
      <w:lang w:eastAsia="lv-LV"/>
    </w:rPr>
  </w:style>
  <w:style w:type="character" w:styleId="CommentReference">
    <w:name w:val="annotation reference"/>
    <w:basedOn w:val="DefaultParagraphFont"/>
    <w:uiPriority w:val="99"/>
    <w:rsid w:val="00E0637B"/>
    <w:rPr>
      <w:sz w:val="16"/>
      <w:szCs w:val="16"/>
    </w:rPr>
  </w:style>
  <w:style w:type="paragraph" w:styleId="CommentText">
    <w:name w:val="annotation text"/>
    <w:basedOn w:val="Normal"/>
    <w:link w:val="CommentTextChar"/>
    <w:uiPriority w:val="99"/>
    <w:rsid w:val="00E0637B"/>
    <w:rPr>
      <w:sz w:val="20"/>
      <w:szCs w:val="20"/>
    </w:rPr>
  </w:style>
  <w:style w:type="character" w:customStyle="1" w:styleId="CommentTextChar">
    <w:name w:val="Comment Text Char"/>
    <w:basedOn w:val="DefaultParagraphFont"/>
    <w:link w:val="CommentText"/>
    <w:uiPriority w:val="99"/>
    <w:rsid w:val="00E0637B"/>
    <w:rPr>
      <w:rFonts w:ascii="Times New Roman" w:eastAsia="Times New Roman" w:hAnsi="Times New Roman" w:cs="Times New Roman"/>
      <w:sz w:val="20"/>
      <w:szCs w:val="20"/>
      <w:lang w:eastAsia="lv-LV"/>
    </w:rPr>
  </w:style>
  <w:style w:type="paragraph" w:styleId="CommentSubject">
    <w:name w:val="annotation subject"/>
    <w:basedOn w:val="CommentText"/>
    <w:link w:val="CommentSubjectChar"/>
    <w:uiPriority w:val="99"/>
    <w:rsid w:val="00E0637B"/>
    <w:rPr>
      <w:b/>
    </w:rPr>
  </w:style>
  <w:style w:type="character" w:customStyle="1" w:styleId="CommentSubjectChar">
    <w:name w:val="Comment Subject Char"/>
    <w:basedOn w:val="CommentTextChar"/>
    <w:link w:val="CommentSubject"/>
    <w:uiPriority w:val="99"/>
    <w:rsid w:val="00E0637B"/>
    <w:rPr>
      <w:rFonts w:ascii="Times New Roman" w:eastAsia="Times New Roman" w:hAnsi="Times New Roman" w:cs="Times New Roman"/>
      <w:b/>
      <w:sz w:val="20"/>
      <w:szCs w:val="20"/>
      <w:lang w:eastAsia="lv-LV"/>
    </w:rPr>
  </w:style>
  <w:style w:type="paragraph" w:styleId="BalloonText">
    <w:name w:val="Balloon Text"/>
    <w:basedOn w:val="Normal"/>
    <w:link w:val="BalloonTextChar"/>
    <w:uiPriority w:val="99"/>
    <w:rsid w:val="00E0637B"/>
    <w:rPr>
      <w:rFonts w:ascii="Tahoma" w:hAnsi="Tahoma" w:cs="Tahoma"/>
      <w:sz w:val="16"/>
      <w:szCs w:val="16"/>
    </w:rPr>
  </w:style>
  <w:style w:type="character" w:customStyle="1" w:styleId="BalloonTextChar">
    <w:name w:val="Balloon Text Char"/>
    <w:basedOn w:val="DefaultParagraphFont"/>
    <w:link w:val="BalloonText"/>
    <w:uiPriority w:val="99"/>
    <w:rsid w:val="00E0637B"/>
    <w:rPr>
      <w:rFonts w:ascii="Tahoma" w:eastAsia="Times New Roman" w:hAnsi="Tahoma" w:cs="Tahoma"/>
      <w:sz w:val="16"/>
      <w:szCs w:val="16"/>
      <w:lang w:eastAsia="lv-LV"/>
    </w:rPr>
  </w:style>
  <w:style w:type="character" w:styleId="Emphasis">
    <w:name w:val="Emphasis"/>
    <w:basedOn w:val="DefaultParagraphFont"/>
    <w:uiPriority w:val="20"/>
    <w:qFormat/>
    <w:rsid w:val="00E0637B"/>
    <w:rPr>
      <w:i/>
    </w:rPr>
  </w:style>
  <w:style w:type="character" w:styleId="FollowedHyperlink">
    <w:name w:val="FollowedHyperlink"/>
    <w:basedOn w:val="DefaultParagraphFont"/>
    <w:uiPriority w:val="99"/>
    <w:rsid w:val="00E0637B"/>
    <w:rPr>
      <w:color w:val="800080"/>
      <w:u w:val="single"/>
    </w:rPr>
  </w:style>
  <w:style w:type="table" w:styleId="TableGrid">
    <w:name w:val="Table Grid"/>
    <w:basedOn w:val="TableNormal"/>
    <w:uiPriority w:val="59"/>
    <w:rsid w:val="00E0637B"/>
    <w:pPr>
      <w:spacing w:after="0" w:line="240" w:lineRule="auto"/>
    </w:pPr>
    <w:rPr>
      <w:rFonts w:ascii="Times New Roman"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0637B"/>
    <w:pPr>
      <w:spacing w:before="75" w:after="75"/>
    </w:pPr>
  </w:style>
  <w:style w:type="character" w:customStyle="1" w:styleId="NoSpacingChar">
    <w:name w:val="No Spacing Char"/>
    <w:basedOn w:val="DefaultParagraphFont"/>
    <w:link w:val="NoSpacing"/>
    <w:uiPriority w:val="1"/>
    <w:rsid w:val="00E0637B"/>
    <w:rPr>
      <w:rFonts w:ascii="Times New Roman" w:eastAsia="Times New Roman" w:hAnsi="Times New Roman" w:cs="Times New Roman"/>
      <w:sz w:val="24"/>
      <w:szCs w:val="24"/>
    </w:rPr>
  </w:style>
  <w:style w:type="paragraph" w:styleId="NoSpacing">
    <w:name w:val="No Spacing"/>
    <w:link w:val="NoSpacingChar"/>
    <w:uiPriority w:val="1"/>
    <w:qFormat/>
    <w:rsid w:val="00E0637B"/>
    <w:pPr>
      <w:spacing w:after="0" w:line="240" w:lineRule="auto"/>
    </w:pPr>
    <w:rPr>
      <w:rFonts w:ascii="Times New Roman" w:eastAsia="Times New Roman"/>
      <w:sz w:val="24"/>
      <w:szCs w:val="24"/>
    </w:rPr>
  </w:style>
  <w:style w:type="character" w:customStyle="1" w:styleId="Heading3Char">
    <w:name w:val="Heading 3 Char"/>
    <w:basedOn w:val="DefaultParagraphFont"/>
    <w:link w:val="Heading3"/>
    <w:uiPriority w:val="9"/>
    <w:rsid w:val="00E0637B"/>
    <w:rPr>
      <w:rFonts w:ascii="Cambria"/>
      <w:color w:val="243F60"/>
      <w:sz w:val="24"/>
      <w:szCs w:val="24"/>
      <w:lang w:eastAsia="lv-LV"/>
    </w:rPr>
  </w:style>
  <w:style w:type="character" w:styleId="Strong">
    <w:name w:val="Strong"/>
    <w:basedOn w:val="DefaultParagraphFont"/>
    <w:uiPriority w:val="22"/>
    <w:qFormat/>
    <w:rsid w:val="00E0637B"/>
    <w:rPr>
      <w:b/>
    </w:rPr>
  </w:style>
  <w:style w:type="character" w:customStyle="1" w:styleId="file-details3">
    <w:name w:val="file-details3"/>
    <w:basedOn w:val="DefaultParagraphFont"/>
    <w:rsid w:val="00DA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02F4-4343-47A8-92F8-AE0B9E4C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16458</Words>
  <Characters>9382</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Likumprojekta "Grozījumi likumā "Par piesārņojumu" anotācija</vt:lpstr>
    </vt:vector>
  </TitlesOfParts>
  <Company>VARAM</Company>
  <LinksUpToDate>false</LinksUpToDate>
  <CharactersWithSpaces>25789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piesārņojumu" anotācija</dc:title>
  <dc:subject>Likumprojekta "Grozījumi likumā "Par piesārņojumu" anotācija</dc:subject>
  <dc:creator>Lana Maslova</dc:creator>
  <dc:description>t.67026586, 
e-pasts: lana.maslova@varam.gov.lv</dc:description>
  <cp:lastModifiedBy>Sergejs Puhovs</cp:lastModifiedBy>
  <cp:revision>40</cp:revision>
  <cp:lastPrinted>2017-08-18T10:19:00Z</cp:lastPrinted>
  <dcterms:created xsi:type="dcterms:W3CDTF">2017-10-06T13:19:00Z</dcterms:created>
  <dcterms:modified xsi:type="dcterms:W3CDTF">2017-10-31T07:12:00Z</dcterms:modified>
  <cp:category>Vides politika</cp:category>
</cp:coreProperties>
</file>