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style1.xml" ContentType="application/vnd.ms-office.chartstyle+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A2F6E" w:rsidRPr="00FC2419" w:rsidP="0075306E" w14:paraId="2FB079CC" w14:textId="77777777">
      <w:pPr>
        <w:pStyle w:val="Heading1"/>
      </w:pPr>
      <w:r w:rsidRPr="00FC2419">
        <w:t>Projekts</w:t>
      </w:r>
    </w:p>
    <w:p w:rsidR="005A2F6E" w:rsidRPr="00197599" w:rsidP="005A2F6E" w14:paraId="203D5629" w14:textId="77777777">
      <w:pPr>
        <w:spacing w:after="0" w:line="240" w:lineRule="auto"/>
        <w:ind w:left="6096"/>
        <w:rPr>
          <w:rStyle w:val="Hyperlink"/>
          <w:rFonts w:ascii="Times New Roman" w:hAnsi="Times New Roman"/>
          <w:sz w:val="24"/>
          <w:szCs w:val="24"/>
          <w:highlight w:val="yellow"/>
        </w:rPr>
      </w:pPr>
    </w:p>
    <w:p w:rsidR="005A2F6E" w:rsidRPr="00FC2419" w:rsidP="005A2F6E" w14:paraId="6C1F2E92" w14:textId="77777777">
      <w:pPr>
        <w:spacing w:after="0" w:line="240" w:lineRule="auto"/>
        <w:ind w:left="5670"/>
        <w:rPr>
          <w:rStyle w:val="Hyperlink"/>
          <w:rFonts w:ascii="Times New Roman" w:hAnsi="Times New Roman"/>
          <w:b/>
          <w:color w:val="auto"/>
          <w:sz w:val="24"/>
          <w:szCs w:val="24"/>
          <w:highlight w:val="yellow"/>
          <w:u w:val="none"/>
        </w:rPr>
      </w:pPr>
      <w:r w:rsidRPr="00FC2419">
        <w:rPr>
          <w:rFonts w:ascii="Times New Roman" w:hAnsi="Times New Roman"/>
          <w:b/>
          <w:sz w:val="24"/>
          <w:szCs w:val="24"/>
        </w:rPr>
        <w:t xml:space="preserve">Latvijas Republikas Saeimas </w:t>
      </w:r>
      <w:r w:rsidR="0075306E">
        <w:rPr>
          <w:rFonts w:ascii="Times New Roman" w:hAnsi="Times New Roman"/>
          <w:b/>
          <w:sz w:val="24"/>
          <w:szCs w:val="24"/>
        </w:rPr>
        <w:t xml:space="preserve">Ilgtspējīgas attīstības </w:t>
      </w:r>
      <w:r w:rsidRPr="00FC2419">
        <w:rPr>
          <w:rFonts w:ascii="Times New Roman" w:hAnsi="Times New Roman"/>
          <w:b/>
          <w:sz w:val="24"/>
          <w:szCs w:val="24"/>
        </w:rPr>
        <w:t>komisijai</w:t>
      </w:r>
    </w:p>
    <w:p w:rsidR="005A2F6E" w:rsidRPr="00FC2419" w:rsidP="005A2F6E" w14:paraId="034A826A" w14:textId="77777777">
      <w:pPr>
        <w:spacing w:after="0" w:line="240" w:lineRule="auto"/>
        <w:ind w:left="6096"/>
        <w:rPr>
          <w:rStyle w:val="Hyperlink"/>
          <w:rFonts w:ascii="Times New Roman" w:hAnsi="Times New Roman"/>
          <w:sz w:val="24"/>
          <w:szCs w:val="24"/>
          <w:u w:val="none"/>
        </w:rPr>
      </w:pPr>
    </w:p>
    <w:p w:rsidR="005A2F6E" w:rsidRPr="00FC2419" w:rsidP="005A2F6E" w14:paraId="5C79DB39" w14:textId="77777777">
      <w:pPr>
        <w:spacing w:after="0" w:line="240" w:lineRule="auto"/>
        <w:ind w:left="6946"/>
        <w:rPr>
          <w:rStyle w:val="Hyperlink"/>
          <w:rFonts w:ascii="Times New Roman" w:hAnsi="Times New Roman"/>
          <w:sz w:val="24"/>
          <w:szCs w:val="24"/>
        </w:rPr>
      </w:pPr>
    </w:p>
    <w:p w:rsidR="005A2F6E" w:rsidRPr="00D61114" w:rsidP="005A2F6E" w14:paraId="49DBF4D2" w14:textId="77777777">
      <w:pPr>
        <w:spacing w:after="0" w:line="240" w:lineRule="auto"/>
        <w:ind w:right="5115"/>
        <w:rPr>
          <w:rFonts w:ascii="Times New Roman" w:hAnsi="Times New Roman"/>
          <w:i/>
          <w:sz w:val="24"/>
          <w:szCs w:val="24"/>
        </w:rPr>
      </w:pPr>
      <w:bookmarkStart w:id="0" w:name="OLE_LINK3"/>
      <w:bookmarkStart w:id="1" w:name="OLE_LINK4"/>
      <w:bookmarkStart w:id="2" w:name="OLE_LINK1"/>
      <w:bookmarkStart w:id="3" w:name="OLE_LINK5"/>
      <w:bookmarkStart w:id="4" w:name="OLE_LINK8"/>
      <w:bookmarkStart w:id="5" w:name="OLE_LINK9"/>
      <w:r w:rsidRPr="00FC2419">
        <w:rPr>
          <w:rFonts w:ascii="Times New Roman" w:hAnsi="Times New Roman"/>
          <w:i/>
          <w:sz w:val="24"/>
          <w:szCs w:val="24"/>
        </w:rPr>
        <w:t xml:space="preserve">Par </w:t>
      </w:r>
      <w:r w:rsidR="0075306E">
        <w:rPr>
          <w:rFonts w:ascii="Times New Roman" w:hAnsi="Times New Roman"/>
          <w:i/>
          <w:sz w:val="24"/>
          <w:szCs w:val="24"/>
        </w:rPr>
        <w:t>nodošanu atbildīgai ministrijai</w:t>
      </w:r>
    </w:p>
    <w:p w:rsidR="005A2F6E" w:rsidP="005A2F6E" w14:paraId="164C0857" w14:textId="77777777">
      <w:pPr>
        <w:spacing w:after="0" w:line="240" w:lineRule="auto"/>
        <w:ind w:firstLine="851"/>
        <w:jc w:val="both"/>
        <w:rPr>
          <w:rFonts w:ascii="Times New Roman" w:hAnsi="Times New Roman"/>
          <w:sz w:val="24"/>
          <w:szCs w:val="24"/>
        </w:rPr>
      </w:pPr>
      <w:bookmarkEnd w:id="0"/>
      <w:bookmarkEnd w:id="1"/>
      <w:bookmarkEnd w:id="2"/>
      <w:bookmarkEnd w:id="3"/>
      <w:bookmarkEnd w:id="4"/>
      <w:bookmarkEnd w:id="5"/>
    </w:p>
    <w:p w:rsidR="005A2F6E" w:rsidRPr="00D61114" w:rsidP="005A2F6E" w14:paraId="7DE8A23B" w14:textId="77777777">
      <w:pPr>
        <w:spacing w:after="0" w:line="240" w:lineRule="auto"/>
        <w:ind w:firstLine="851"/>
        <w:jc w:val="both"/>
        <w:rPr>
          <w:rFonts w:ascii="Times New Roman" w:hAnsi="Times New Roman"/>
          <w:sz w:val="24"/>
          <w:szCs w:val="24"/>
        </w:rPr>
      </w:pPr>
    </w:p>
    <w:p w:rsidR="0075306E" w:rsidP="005A2F6E" w14:paraId="60A4AD37" w14:textId="6EF225D4">
      <w:pPr>
        <w:tabs>
          <w:tab w:val="left" w:pos="0"/>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Ministru kabinets ir saņēmis Latvijas Republikas </w:t>
      </w:r>
      <w:r>
        <w:rPr>
          <w:rFonts w:ascii="Times New Roman" w:hAnsi="Times New Roman"/>
          <w:sz w:val="24"/>
          <w:szCs w:val="24"/>
        </w:rPr>
        <w:t>Ilgtspējīgas attīstības</w:t>
      </w:r>
      <w:r>
        <w:rPr>
          <w:rFonts w:ascii="Times New Roman" w:hAnsi="Times New Roman"/>
          <w:sz w:val="24"/>
          <w:szCs w:val="24"/>
        </w:rPr>
        <w:t xml:space="preserve"> komisijas (turpmāk – Komisija) 2017.</w:t>
      </w:r>
      <w:r w:rsidR="007865D9">
        <w:rPr>
          <w:rFonts w:ascii="Times New Roman" w:hAnsi="Times New Roman"/>
          <w:sz w:val="24"/>
          <w:szCs w:val="24"/>
        </w:rPr>
        <w:t xml:space="preserve"> </w:t>
      </w:r>
      <w:r>
        <w:rPr>
          <w:rFonts w:ascii="Times New Roman" w:hAnsi="Times New Roman"/>
          <w:sz w:val="24"/>
          <w:szCs w:val="24"/>
        </w:rPr>
        <w:t xml:space="preserve">gada </w:t>
      </w:r>
      <w:r>
        <w:rPr>
          <w:rFonts w:ascii="Times New Roman" w:hAnsi="Times New Roman"/>
          <w:sz w:val="24"/>
          <w:szCs w:val="24"/>
        </w:rPr>
        <w:t>15.</w:t>
      </w:r>
      <w:r w:rsidR="007865D9">
        <w:rPr>
          <w:rFonts w:ascii="Times New Roman" w:hAnsi="Times New Roman"/>
          <w:sz w:val="24"/>
          <w:szCs w:val="24"/>
        </w:rPr>
        <w:t xml:space="preserve"> </w:t>
      </w:r>
      <w:r>
        <w:rPr>
          <w:rFonts w:ascii="Times New Roman" w:hAnsi="Times New Roman"/>
          <w:sz w:val="24"/>
          <w:szCs w:val="24"/>
        </w:rPr>
        <w:t>jūnija</w:t>
      </w:r>
      <w:r>
        <w:rPr>
          <w:rFonts w:ascii="Times New Roman" w:hAnsi="Times New Roman"/>
          <w:sz w:val="24"/>
          <w:szCs w:val="24"/>
        </w:rPr>
        <w:t xml:space="preserve"> vēstuli Nr.142.9/</w:t>
      </w:r>
      <w:r>
        <w:rPr>
          <w:rFonts w:ascii="Times New Roman" w:hAnsi="Times New Roman"/>
          <w:sz w:val="24"/>
          <w:szCs w:val="24"/>
        </w:rPr>
        <w:t>17-11</w:t>
      </w:r>
      <w:r>
        <w:rPr>
          <w:rFonts w:ascii="Times New Roman" w:hAnsi="Times New Roman"/>
          <w:sz w:val="24"/>
          <w:szCs w:val="24"/>
        </w:rPr>
        <w:t>-12/17, kurā Komisija</w:t>
      </w:r>
      <w:r>
        <w:rPr>
          <w:rFonts w:ascii="Times New Roman" w:hAnsi="Times New Roman"/>
          <w:sz w:val="24"/>
          <w:szCs w:val="24"/>
        </w:rPr>
        <w:t xml:space="preserve"> uzdod Vides aizsardzības un reģionālās attīstības ministrijai (turpmāk – ministrija) līdz 2017.</w:t>
      </w:r>
      <w:r w:rsidR="007865D9">
        <w:rPr>
          <w:rFonts w:ascii="Times New Roman" w:hAnsi="Times New Roman"/>
          <w:sz w:val="24"/>
          <w:szCs w:val="24"/>
        </w:rPr>
        <w:t xml:space="preserve"> </w:t>
      </w:r>
      <w:r>
        <w:rPr>
          <w:rFonts w:ascii="Times New Roman" w:hAnsi="Times New Roman"/>
          <w:sz w:val="24"/>
          <w:szCs w:val="24"/>
        </w:rPr>
        <w:t>gada 15.</w:t>
      </w:r>
      <w:r w:rsidR="00741435">
        <w:rPr>
          <w:rFonts w:ascii="Times New Roman" w:hAnsi="Times New Roman"/>
          <w:sz w:val="24"/>
          <w:szCs w:val="24"/>
        </w:rPr>
        <w:t> </w:t>
      </w:r>
      <w:r>
        <w:rPr>
          <w:rFonts w:ascii="Times New Roman" w:hAnsi="Times New Roman"/>
          <w:sz w:val="24"/>
          <w:szCs w:val="24"/>
        </w:rPr>
        <w:t>decembrim:</w:t>
      </w:r>
    </w:p>
    <w:p w:rsidR="00B138DA" w:rsidP="00B138DA" w14:paraId="2895F385" w14:textId="77777777">
      <w:pPr>
        <w:tabs>
          <w:tab w:val="left" w:pos="0"/>
        </w:tabs>
        <w:spacing w:after="120" w:line="240" w:lineRule="auto"/>
        <w:jc w:val="both"/>
        <w:rPr>
          <w:rFonts w:ascii="Times New Roman" w:hAnsi="Times New Roman"/>
          <w:sz w:val="24"/>
          <w:szCs w:val="24"/>
        </w:rPr>
      </w:pPr>
      <w:r>
        <w:rPr>
          <w:rFonts w:ascii="Times New Roman" w:hAnsi="Times New Roman"/>
          <w:sz w:val="24"/>
          <w:szCs w:val="24"/>
        </w:rPr>
        <w:tab/>
      </w:r>
      <w:r w:rsidRPr="00124E26">
        <w:rPr>
          <w:rFonts w:ascii="Times New Roman" w:hAnsi="Times New Roman"/>
          <w:b/>
          <w:sz w:val="24"/>
          <w:szCs w:val="24"/>
        </w:rPr>
        <w:t xml:space="preserve">1) </w:t>
      </w:r>
      <w:r w:rsidRPr="00124E26" w:rsidR="0075306E">
        <w:rPr>
          <w:rFonts w:ascii="Times New Roman" w:hAnsi="Times New Roman"/>
          <w:b/>
          <w:sz w:val="24"/>
          <w:szCs w:val="24"/>
        </w:rPr>
        <w:t>iesniegt informāciju par veiktajiem pasākumiem VSIA “Latvijas Vides, ģeoloģijas un meteoroloģijas centrs” darbības efektivitātes paaugstināšanai</w:t>
      </w:r>
      <w:r w:rsidRPr="00B138DA" w:rsidR="0075306E">
        <w:rPr>
          <w:rFonts w:ascii="Times New Roman" w:hAnsi="Times New Roman"/>
          <w:sz w:val="24"/>
          <w:szCs w:val="24"/>
        </w:rPr>
        <w:t>;</w:t>
      </w:r>
    </w:p>
    <w:p w:rsidR="005A2F6E" w:rsidRPr="00124E26" w:rsidP="00B138DA" w14:paraId="1BABF54F" w14:textId="77777777">
      <w:pPr>
        <w:tabs>
          <w:tab w:val="left" w:pos="0"/>
        </w:tabs>
        <w:spacing w:after="120" w:line="240" w:lineRule="auto"/>
        <w:jc w:val="both"/>
        <w:rPr>
          <w:rFonts w:ascii="Times New Roman" w:hAnsi="Times New Roman"/>
          <w:b/>
          <w:sz w:val="24"/>
          <w:szCs w:val="24"/>
        </w:rPr>
      </w:pPr>
      <w:r w:rsidRPr="00124E26">
        <w:rPr>
          <w:rFonts w:ascii="Times New Roman" w:hAnsi="Times New Roman"/>
          <w:b/>
          <w:sz w:val="24"/>
          <w:szCs w:val="24"/>
        </w:rPr>
        <w:tab/>
        <w:t xml:space="preserve">2) </w:t>
      </w:r>
      <w:r w:rsidRPr="00124E26" w:rsidR="0075306E">
        <w:rPr>
          <w:rFonts w:ascii="Times New Roman" w:hAnsi="Times New Roman"/>
          <w:b/>
          <w:sz w:val="24"/>
          <w:szCs w:val="24"/>
        </w:rPr>
        <w:t>izstrādājot Latgales reģiona attīstības plānu, izvērtēt iespēju iekļaut pasākumus kūdras nozares attīstībai reģionā</w:t>
      </w:r>
      <w:r w:rsidRPr="00124E26" w:rsidR="00B57B54">
        <w:rPr>
          <w:rFonts w:ascii="Times New Roman" w:hAnsi="Times New Roman"/>
          <w:b/>
          <w:sz w:val="24"/>
          <w:szCs w:val="24"/>
        </w:rPr>
        <w:t xml:space="preserve">. </w:t>
      </w:r>
    </w:p>
    <w:p w:rsidR="005A2F6E" w:rsidP="0075306E" w14:paraId="2EEE8FD2" w14:textId="700F6F04">
      <w:pPr>
        <w:tabs>
          <w:tab w:val="left" w:pos="0"/>
        </w:tabs>
        <w:spacing w:after="120" w:line="240" w:lineRule="auto"/>
        <w:ind w:firstLine="851"/>
        <w:jc w:val="both"/>
        <w:rPr>
          <w:rFonts w:ascii="Times New Roman" w:hAnsi="Times New Roman"/>
          <w:sz w:val="24"/>
          <w:szCs w:val="24"/>
        </w:rPr>
      </w:pPr>
      <w:r w:rsidRPr="0075306E">
        <w:rPr>
          <w:rFonts w:ascii="Times New Roman" w:hAnsi="Times New Roman"/>
          <w:sz w:val="24"/>
          <w:szCs w:val="24"/>
        </w:rPr>
        <w:t xml:space="preserve">Ievērojot Komisijas vēstulē izteikto lūgumu, Ministru kabinets ir iepazinies ar </w:t>
      </w:r>
      <w:r w:rsidRPr="0075306E" w:rsidR="0075306E">
        <w:rPr>
          <w:rFonts w:ascii="Times New Roman" w:hAnsi="Times New Roman"/>
          <w:sz w:val="24"/>
          <w:szCs w:val="24"/>
        </w:rPr>
        <w:t>vides aizsardzības un reģionālās attīstības ministra</w:t>
      </w:r>
      <w:r w:rsidRPr="0075306E">
        <w:rPr>
          <w:rFonts w:ascii="Times New Roman" w:hAnsi="Times New Roman"/>
          <w:sz w:val="24"/>
          <w:szCs w:val="24"/>
        </w:rPr>
        <w:t xml:space="preserve"> viedokli un sniedz</w:t>
      </w:r>
      <w:r w:rsidR="00741435">
        <w:rPr>
          <w:rFonts w:ascii="Times New Roman" w:hAnsi="Times New Roman"/>
          <w:sz w:val="24"/>
          <w:szCs w:val="24"/>
        </w:rPr>
        <w:t xml:space="preserve"> šādu</w:t>
      </w:r>
      <w:r w:rsidRPr="0075306E">
        <w:rPr>
          <w:rFonts w:ascii="Times New Roman" w:hAnsi="Times New Roman"/>
          <w:sz w:val="24"/>
          <w:szCs w:val="24"/>
        </w:rPr>
        <w:t xml:space="preserve"> </w:t>
      </w:r>
      <w:r w:rsidR="00A24CB7">
        <w:rPr>
          <w:rFonts w:ascii="Times New Roman" w:hAnsi="Times New Roman"/>
          <w:sz w:val="24"/>
          <w:szCs w:val="24"/>
        </w:rPr>
        <w:t>atbildi</w:t>
      </w:r>
      <w:r w:rsidRPr="0075306E">
        <w:rPr>
          <w:rFonts w:ascii="Times New Roman" w:hAnsi="Times New Roman"/>
          <w:sz w:val="24"/>
          <w:szCs w:val="24"/>
        </w:rPr>
        <w:t>.</w:t>
      </w:r>
    </w:p>
    <w:p w:rsidR="00542B72" w:rsidRPr="0075306E" w:rsidP="0075306E" w14:paraId="11104701" w14:textId="77777777">
      <w:pPr>
        <w:tabs>
          <w:tab w:val="left" w:pos="0"/>
        </w:tabs>
        <w:spacing w:after="120" w:line="240" w:lineRule="auto"/>
        <w:ind w:firstLine="851"/>
        <w:jc w:val="both"/>
        <w:rPr>
          <w:rFonts w:ascii="Times New Roman" w:hAnsi="Times New Roman"/>
          <w:sz w:val="24"/>
          <w:szCs w:val="24"/>
        </w:rPr>
      </w:pPr>
    </w:p>
    <w:p w:rsidR="0075306E" w:rsidRPr="0075306E" w:rsidP="0075306E" w14:paraId="3880B16E" w14:textId="77777777">
      <w:pPr>
        <w:spacing w:after="120" w:line="240" w:lineRule="auto"/>
        <w:ind w:firstLine="720"/>
        <w:jc w:val="both"/>
        <w:rPr>
          <w:rFonts w:ascii="Times New Roman" w:hAnsi="Times New Roman"/>
          <w:sz w:val="24"/>
          <w:szCs w:val="24"/>
        </w:rPr>
      </w:pPr>
      <w:r w:rsidRPr="00124E26">
        <w:rPr>
          <w:rFonts w:ascii="Times New Roman" w:hAnsi="Times New Roman"/>
          <w:b/>
          <w:sz w:val="24"/>
          <w:szCs w:val="24"/>
        </w:rPr>
        <w:t>[1]</w:t>
      </w:r>
      <w:r w:rsidR="00B138DA">
        <w:rPr>
          <w:rFonts w:ascii="Times New Roman" w:hAnsi="Times New Roman"/>
          <w:sz w:val="24"/>
          <w:szCs w:val="24"/>
        </w:rPr>
        <w:t xml:space="preserve"> VSIA “</w:t>
      </w:r>
      <w:r w:rsidRPr="0075306E">
        <w:rPr>
          <w:rFonts w:ascii="Times New Roman" w:hAnsi="Times New Roman"/>
          <w:sz w:val="24"/>
          <w:szCs w:val="24"/>
        </w:rPr>
        <w:t>Latvijas Vides, ģeol</w:t>
      </w:r>
      <w:r w:rsidR="00B138DA">
        <w:rPr>
          <w:rFonts w:ascii="Times New Roman" w:hAnsi="Times New Roman"/>
          <w:sz w:val="24"/>
          <w:szCs w:val="24"/>
        </w:rPr>
        <w:t>oģijas un meteoroloģijas centrs” (turpmāk – LVĢMC)</w:t>
      </w:r>
      <w:r w:rsidRPr="0075306E">
        <w:rPr>
          <w:rFonts w:ascii="Times New Roman" w:hAnsi="Times New Roman"/>
          <w:sz w:val="24"/>
          <w:szCs w:val="24"/>
        </w:rPr>
        <w:t xml:space="preserve"> ir valsts kapitālsabiedrība, kas izveidota 2009. gada 7. jūlijā, pamatojoties uz 2009. gada 1. jūlija </w:t>
      </w:r>
      <w:r w:rsidR="00B138DA">
        <w:rPr>
          <w:rFonts w:ascii="Times New Roman" w:hAnsi="Times New Roman"/>
          <w:sz w:val="24"/>
          <w:szCs w:val="24"/>
        </w:rPr>
        <w:t xml:space="preserve">Ministru kabineta </w:t>
      </w:r>
      <w:r w:rsidRPr="0075306E">
        <w:rPr>
          <w:rFonts w:ascii="Times New Roman" w:hAnsi="Times New Roman"/>
          <w:sz w:val="24"/>
          <w:szCs w:val="24"/>
        </w:rPr>
        <w:t xml:space="preserve">rīkojumu Nr. 448 "Par valsts aģentūras "Latvijas Vides, ģeoloģijas un meteoroloģijas aģentūra" un "Bīstamo atkritumu pārvaldības" valsts aģentūras likvidāciju un valsts sabiedrības ar ierobežotu atbildību "Latvijas Vides, ģeoloģijas un meteoroloģijas centrs" dibināšanu", savu darbību uzsākot 2009. gada 1. augustā.  </w:t>
      </w:r>
      <w:r w:rsidR="00B138DA">
        <w:rPr>
          <w:rFonts w:ascii="Times New Roman" w:hAnsi="Times New Roman"/>
          <w:sz w:val="24"/>
          <w:szCs w:val="24"/>
        </w:rPr>
        <w:t>LVĢMC</w:t>
      </w:r>
      <w:r w:rsidRPr="0075306E">
        <w:rPr>
          <w:rFonts w:ascii="Times New Roman" w:hAnsi="Times New Roman"/>
          <w:sz w:val="24"/>
          <w:szCs w:val="24"/>
        </w:rPr>
        <w:t xml:space="preserve"> ir “Latvijas Vides, ģeoloģijas un meteoroloģijas aģentūras” un “Bīstamo atkritumu pārvaldības” valsts aģentūras tiesību un saistību pārņēmējs.</w:t>
      </w:r>
    </w:p>
    <w:p w:rsidR="0075306E" w:rsidRPr="0075306E" w:rsidP="0075306E" w14:paraId="3C23880D" w14:textId="77777777">
      <w:pPr>
        <w:spacing w:after="120" w:line="240" w:lineRule="auto"/>
        <w:ind w:firstLine="720"/>
        <w:jc w:val="both"/>
        <w:rPr>
          <w:rFonts w:ascii="Times New Roman" w:hAnsi="Times New Roman"/>
          <w:sz w:val="24"/>
          <w:szCs w:val="24"/>
        </w:rPr>
      </w:pPr>
      <w:r w:rsidRPr="0075306E">
        <w:rPr>
          <w:rFonts w:ascii="Times New Roman" w:hAnsi="Times New Roman"/>
          <w:sz w:val="24"/>
          <w:szCs w:val="24"/>
        </w:rPr>
        <w:t xml:space="preserve"> LVĢMC dibināšanas mērķis ir nodrošināt vides informācijas apkopošanu, uzk</w:t>
      </w:r>
      <w:r w:rsidR="00124E26">
        <w:rPr>
          <w:rFonts w:ascii="Times New Roman" w:hAnsi="Times New Roman"/>
          <w:sz w:val="24"/>
          <w:szCs w:val="24"/>
        </w:rPr>
        <w:t>rāšanu un sniegšanu sabiedrībai,</w:t>
      </w:r>
      <w:r w:rsidRPr="0075306E">
        <w:rPr>
          <w:rFonts w:ascii="Times New Roman" w:hAnsi="Times New Roman"/>
          <w:sz w:val="24"/>
          <w:szCs w:val="24"/>
        </w:rPr>
        <w:t xml:space="preserve"> valsts un pašvaldību institūcijām, vides monitoringa veikšanu, zemes dzīļu resursu apzināšanu un izvērtēšanu, valstij piederošo bīstamo atkritumu apsaimniekošanas objektu apsaimniekošanu, radioaktīvo atkritumu un kodolobjektu drošu apsaimniekošanu, kā arī piedalīties valsts politikas īstenošanā zemes dzīļu, meteoroloģijas, klimatoloģijas, hidroloģijas, ūdens un gaisa kvalitātes, pārrobežu gaisa piesārņojuma ietekmes un radioaktīvo un bīstamo atkritumu apsaimniekošanas jomā.</w:t>
      </w:r>
    </w:p>
    <w:p w:rsidR="0075306E" w:rsidRPr="0075306E" w:rsidP="00124E26" w14:paraId="3A273251" w14:textId="765D38C1">
      <w:pPr>
        <w:spacing w:after="120" w:line="240" w:lineRule="auto"/>
        <w:ind w:firstLine="720"/>
        <w:jc w:val="both"/>
        <w:rPr>
          <w:rFonts w:ascii="Times New Roman" w:hAnsi="Times New Roman"/>
          <w:sz w:val="24"/>
          <w:szCs w:val="24"/>
        </w:rPr>
      </w:pPr>
      <w:r w:rsidRPr="0075306E">
        <w:rPr>
          <w:rFonts w:ascii="Times New Roman" w:hAnsi="Times New Roman"/>
          <w:sz w:val="24"/>
          <w:szCs w:val="24"/>
        </w:rPr>
        <w:t xml:space="preserve">Īstenojot uzdotos uzdevumus, LVĢMC patstāvīgi veic procesu un darbību analīzes, lai veicinātu </w:t>
      </w:r>
      <w:r w:rsidR="00124E26">
        <w:rPr>
          <w:rFonts w:ascii="Times New Roman" w:hAnsi="Times New Roman"/>
          <w:sz w:val="24"/>
          <w:szCs w:val="24"/>
        </w:rPr>
        <w:t>darbības efektivitāti</w:t>
      </w:r>
      <w:r w:rsidRPr="0075306E">
        <w:rPr>
          <w:rFonts w:ascii="Times New Roman" w:hAnsi="Times New Roman"/>
          <w:sz w:val="24"/>
          <w:szCs w:val="24"/>
        </w:rPr>
        <w:t>:</w:t>
      </w:r>
    </w:p>
    <w:p w:rsidR="0075306E" w:rsidRPr="0075306E" w:rsidP="00B138DA" w14:paraId="0CC20DDE" w14:textId="73832852">
      <w:pPr>
        <w:widowControl/>
        <w:spacing w:after="120" w:line="240" w:lineRule="auto"/>
        <w:ind w:firstLine="720"/>
        <w:jc w:val="both"/>
        <w:rPr>
          <w:rFonts w:ascii="Times New Roman" w:hAnsi="Times New Roman"/>
          <w:sz w:val="24"/>
          <w:szCs w:val="24"/>
        </w:rPr>
      </w:pPr>
      <w:r>
        <w:rPr>
          <w:rFonts w:ascii="Times New Roman" w:hAnsi="Times New Roman"/>
          <w:sz w:val="24"/>
          <w:szCs w:val="24"/>
        </w:rPr>
        <w:t xml:space="preserve">1. </w:t>
      </w:r>
      <w:r w:rsidRPr="0075306E">
        <w:rPr>
          <w:rFonts w:ascii="Times New Roman" w:hAnsi="Times New Roman"/>
          <w:sz w:val="24"/>
          <w:szCs w:val="24"/>
        </w:rPr>
        <w:t xml:space="preserve">ieviestas organizatoriski strukturālas izmaiņas, attīstot LVĢMC plašo nozaru pārvaldību, tajā skaitā izveidojot </w:t>
      </w:r>
      <w:r w:rsidR="00741435">
        <w:rPr>
          <w:rFonts w:ascii="Times New Roman" w:hAnsi="Times New Roman"/>
          <w:sz w:val="24"/>
          <w:szCs w:val="24"/>
        </w:rPr>
        <w:t>z</w:t>
      </w:r>
      <w:r w:rsidRPr="0075306E">
        <w:rPr>
          <w:rFonts w:ascii="Times New Roman" w:hAnsi="Times New Roman"/>
          <w:sz w:val="24"/>
          <w:szCs w:val="24"/>
        </w:rPr>
        <w:t>emes dzīļu daļu, kuras pārziņā ir visas LVĢMC funkcijas zemes dzīļu jomā;</w:t>
      </w:r>
    </w:p>
    <w:p w:rsidR="0075306E" w:rsidRPr="0075306E" w:rsidP="00B138DA" w14:paraId="0B9AB938" w14:textId="12F1FEC1">
      <w:pPr>
        <w:widowControl/>
        <w:spacing w:after="120" w:line="240" w:lineRule="auto"/>
        <w:ind w:firstLine="720"/>
        <w:jc w:val="both"/>
        <w:rPr>
          <w:rFonts w:ascii="Times New Roman" w:hAnsi="Times New Roman"/>
          <w:sz w:val="24"/>
          <w:szCs w:val="24"/>
        </w:rPr>
      </w:pPr>
      <w:r>
        <w:rPr>
          <w:rFonts w:ascii="Times New Roman" w:hAnsi="Times New Roman"/>
          <w:sz w:val="24"/>
          <w:szCs w:val="24"/>
        </w:rPr>
        <w:t xml:space="preserve">2. </w:t>
      </w:r>
      <w:r w:rsidRPr="0075306E">
        <w:rPr>
          <w:rFonts w:ascii="Times New Roman" w:hAnsi="Times New Roman"/>
          <w:sz w:val="24"/>
          <w:szCs w:val="24"/>
        </w:rPr>
        <w:t>ir izstrādāta</w:t>
      </w:r>
      <w:r w:rsidR="00835C96">
        <w:rPr>
          <w:rFonts w:ascii="Times New Roman" w:hAnsi="Times New Roman"/>
          <w:sz w:val="24"/>
          <w:szCs w:val="24"/>
        </w:rPr>
        <w:t xml:space="preserve"> LVĢMC</w:t>
      </w:r>
      <w:r w:rsidRPr="0075306E">
        <w:rPr>
          <w:rFonts w:ascii="Times New Roman" w:hAnsi="Times New Roman"/>
          <w:sz w:val="24"/>
          <w:szCs w:val="24"/>
        </w:rPr>
        <w:t xml:space="preserve"> darbības stratēģija līdz 2020. gadam;</w:t>
      </w:r>
    </w:p>
    <w:p w:rsidR="0075306E" w:rsidRPr="0075306E" w:rsidP="00B138DA" w14:paraId="49C05C54" w14:textId="77777777">
      <w:pPr>
        <w:widowControl/>
        <w:spacing w:after="120" w:line="240" w:lineRule="auto"/>
        <w:ind w:firstLine="720"/>
        <w:jc w:val="both"/>
        <w:rPr>
          <w:rFonts w:ascii="Times New Roman" w:hAnsi="Times New Roman"/>
          <w:sz w:val="24"/>
          <w:szCs w:val="24"/>
        </w:rPr>
      </w:pPr>
      <w:r>
        <w:rPr>
          <w:rFonts w:ascii="Times New Roman" w:hAnsi="Times New Roman"/>
          <w:sz w:val="24"/>
          <w:szCs w:val="24"/>
        </w:rPr>
        <w:t xml:space="preserve">3. </w:t>
      </w:r>
      <w:r w:rsidRPr="0075306E">
        <w:rPr>
          <w:rFonts w:ascii="Times New Roman" w:hAnsi="Times New Roman"/>
          <w:sz w:val="24"/>
          <w:szCs w:val="24"/>
        </w:rPr>
        <w:t xml:space="preserve">norit aktīvs darbs īstenojot Eiropas Savienības Kohēzijas fonda 5.4.2. specifiskā atbalsta mērķa “Nodrošināt vides monitoringa un kontroles sistēmas attīstību un savlaicīgu vides risku novēršanu, kā arī sabiedrības un līdzdalību vides pārvaldībā” 5.4.2.2. pasākuma “Vides monitoringa un kontroles sistēmas attīstība un sabiedrības līdzdalības vides pārvaldībā veicināšana” projekta “Vides monitoringa un kontroles sistēmas attīstība” ietvaros, kuru laikā tiks </w:t>
      </w:r>
      <w:r w:rsidRPr="0075306E">
        <w:rPr>
          <w:rFonts w:ascii="Times New Roman" w:hAnsi="Times New Roman"/>
          <w:sz w:val="24"/>
          <w:szCs w:val="24"/>
        </w:rPr>
        <w:t>veikti būtiski efektivitātes uzlabojumi Vides monitoringā, izveidojot automatizētas vides monitoringa sistēmas, kas nodrošinās ātru un kvalitatīvu datu iegūšanu un analīzes iespējas;</w:t>
      </w:r>
    </w:p>
    <w:p w:rsidR="0075306E" w:rsidRPr="0075306E" w:rsidP="00B138DA" w14:paraId="73A2EB30" w14:textId="77777777">
      <w:pPr>
        <w:widowControl/>
        <w:spacing w:after="120" w:line="240" w:lineRule="auto"/>
        <w:ind w:firstLine="720"/>
        <w:jc w:val="both"/>
        <w:rPr>
          <w:rFonts w:ascii="Times New Roman" w:hAnsi="Times New Roman"/>
          <w:sz w:val="24"/>
          <w:szCs w:val="24"/>
        </w:rPr>
      </w:pPr>
      <w:r>
        <w:rPr>
          <w:rFonts w:ascii="Times New Roman" w:hAnsi="Times New Roman"/>
          <w:sz w:val="24"/>
          <w:szCs w:val="24"/>
        </w:rPr>
        <w:t xml:space="preserve">4. </w:t>
      </w:r>
      <w:r w:rsidRPr="0075306E">
        <w:rPr>
          <w:rFonts w:ascii="Times New Roman" w:hAnsi="Times New Roman"/>
          <w:sz w:val="24"/>
          <w:szCs w:val="24"/>
        </w:rPr>
        <w:t>tiek īstenota vienota pakalpojumu centra izveide, kura ietvaros tiks apvienotas vairākas struktūrvienības, līdz ar to uzlabojot pārvaldību un izveidojot mūsdienīgu darba vidi;</w:t>
      </w:r>
    </w:p>
    <w:p w:rsidR="0075306E" w:rsidRPr="0075306E" w:rsidP="00B138DA" w14:paraId="4C258720" w14:textId="77777777">
      <w:pPr>
        <w:widowControl/>
        <w:spacing w:after="120" w:line="240" w:lineRule="auto"/>
        <w:ind w:firstLine="720"/>
        <w:jc w:val="both"/>
        <w:rPr>
          <w:rFonts w:ascii="Times New Roman" w:hAnsi="Times New Roman"/>
          <w:sz w:val="24"/>
          <w:szCs w:val="24"/>
        </w:rPr>
      </w:pPr>
      <w:r>
        <w:rPr>
          <w:rFonts w:ascii="Times New Roman" w:hAnsi="Times New Roman"/>
          <w:sz w:val="24"/>
          <w:szCs w:val="24"/>
        </w:rPr>
        <w:t xml:space="preserve">5. </w:t>
      </w:r>
      <w:r w:rsidRPr="0075306E">
        <w:rPr>
          <w:rFonts w:ascii="Times New Roman" w:hAnsi="Times New Roman"/>
          <w:sz w:val="24"/>
          <w:szCs w:val="24"/>
        </w:rPr>
        <w:t>tiek īstenoti vairāki informācijas tehnoloģiju projekti, kuru ietvaros tiek uzlabota LVĢMC pakalpojumu sniegšana, tajā skaitā tiks nodrošināta pakalpojumu attālināta saņemšana.</w:t>
      </w:r>
    </w:p>
    <w:p w:rsidR="0075306E" w:rsidRPr="0075306E" w:rsidP="0017522E" w14:paraId="56BDA5AC" w14:textId="77777777">
      <w:pPr>
        <w:spacing w:after="120" w:line="240" w:lineRule="auto"/>
        <w:jc w:val="center"/>
        <w:rPr>
          <w:rFonts w:ascii="Times New Roman" w:hAnsi="Times New Roman"/>
          <w:sz w:val="24"/>
          <w:szCs w:val="24"/>
        </w:rPr>
      </w:pPr>
    </w:p>
    <w:p w:rsidR="00FF5F2C" w:rsidP="00D64BA0" w14:paraId="0CE83708" w14:textId="07CF50B5">
      <w:pPr>
        <w:spacing w:after="120" w:line="240" w:lineRule="auto"/>
        <w:ind w:firstLine="720"/>
        <w:jc w:val="both"/>
        <w:rPr>
          <w:rFonts w:ascii="Times New Roman" w:hAnsi="Times New Roman"/>
          <w:sz w:val="24"/>
          <w:szCs w:val="24"/>
        </w:rPr>
      </w:pPr>
      <w:r>
        <w:rPr>
          <w:rFonts w:ascii="Times New Roman" w:hAnsi="Times New Roman"/>
          <w:sz w:val="24"/>
          <w:szCs w:val="24"/>
        </w:rPr>
        <w:t xml:space="preserve">Zemes dzīļu jomā </w:t>
      </w:r>
      <w:r w:rsidR="00124E26">
        <w:rPr>
          <w:rFonts w:ascii="Times New Roman" w:hAnsi="Times New Roman"/>
          <w:sz w:val="24"/>
          <w:szCs w:val="24"/>
        </w:rPr>
        <w:t>2017.</w:t>
      </w:r>
      <w:r w:rsidR="007865D9">
        <w:rPr>
          <w:rFonts w:ascii="Times New Roman" w:hAnsi="Times New Roman"/>
          <w:sz w:val="24"/>
          <w:szCs w:val="24"/>
        </w:rPr>
        <w:t xml:space="preserve"> </w:t>
      </w:r>
      <w:r w:rsidR="00124E26">
        <w:rPr>
          <w:rFonts w:ascii="Times New Roman" w:hAnsi="Times New Roman"/>
          <w:sz w:val="24"/>
          <w:szCs w:val="24"/>
        </w:rPr>
        <w:t xml:space="preserve">gadā </w:t>
      </w:r>
      <w:r w:rsidRPr="00CC256C" w:rsidR="00B138DA">
        <w:rPr>
          <w:rFonts w:ascii="Times New Roman" w:hAnsi="Times New Roman"/>
          <w:sz w:val="24"/>
          <w:szCs w:val="24"/>
        </w:rPr>
        <w:t>LVĢMC</w:t>
      </w:r>
      <w:r>
        <w:rPr>
          <w:rFonts w:ascii="Times New Roman" w:hAnsi="Times New Roman"/>
          <w:sz w:val="24"/>
          <w:szCs w:val="24"/>
        </w:rPr>
        <w:t>:</w:t>
      </w:r>
    </w:p>
    <w:p w:rsidR="0075306E" w:rsidRPr="00D64BA0" w:rsidP="00D64BA0" w14:paraId="64E688B9" w14:textId="0DEAF377">
      <w:pPr>
        <w:spacing w:after="120" w:line="240" w:lineRule="auto"/>
        <w:ind w:firstLine="720"/>
        <w:jc w:val="both"/>
        <w:rPr>
          <w:rFonts w:ascii="Times New Roman" w:hAnsi="Times New Roman"/>
          <w:sz w:val="24"/>
          <w:szCs w:val="24"/>
        </w:rPr>
      </w:pPr>
      <w:r>
        <w:rPr>
          <w:rFonts w:ascii="Times New Roman" w:hAnsi="Times New Roman"/>
          <w:sz w:val="24"/>
          <w:szCs w:val="24"/>
        </w:rPr>
        <w:t>1</w:t>
      </w:r>
      <w:r w:rsidR="00132BCB">
        <w:rPr>
          <w:rFonts w:ascii="Times New Roman" w:hAnsi="Times New Roman"/>
          <w:sz w:val="24"/>
          <w:szCs w:val="24"/>
        </w:rPr>
        <w:t>)</w:t>
      </w:r>
      <w:r w:rsidRPr="00CC256C">
        <w:rPr>
          <w:rFonts w:ascii="Times New Roman" w:hAnsi="Times New Roman"/>
          <w:sz w:val="24"/>
          <w:szCs w:val="24"/>
        </w:rPr>
        <w:t xml:space="preserve"> </w:t>
      </w:r>
      <w:r w:rsidRPr="00CC256C" w:rsidR="00EC23E3">
        <w:rPr>
          <w:rFonts w:ascii="Times New Roman" w:hAnsi="Times New Roman"/>
          <w:sz w:val="24"/>
          <w:szCs w:val="24"/>
        </w:rPr>
        <w:t>vei</w:t>
      </w:r>
      <w:r w:rsidR="00EC23E3">
        <w:rPr>
          <w:rFonts w:ascii="Times New Roman" w:hAnsi="Times New Roman"/>
          <w:sz w:val="24"/>
          <w:szCs w:val="24"/>
        </w:rPr>
        <w:t>ca</w:t>
      </w:r>
      <w:r w:rsidRPr="00CC256C" w:rsidR="00EC23E3">
        <w:rPr>
          <w:rFonts w:ascii="Times New Roman" w:hAnsi="Times New Roman"/>
          <w:b/>
          <w:sz w:val="24"/>
          <w:szCs w:val="24"/>
        </w:rPr>
        <w:t xml:space="preserve"> </w:t>
      </w:r>
      <w:r w:rsidRPr="00CC256C">
        <w:rPr>
          <w:rFonts w:ascii="Times New Roman" w:hAnsi="Times New Roman"/>
          <w:b/>
          <w:sz w:val="24"/>
          <w:szCs w:val="24"/>
        </w:rPr>
        <w:t>derīgo izrakteņu krājumu akceptēšanas procesa izvērtēšana un optimizācija</w:t>
      </w:r>
      <w:r w:rsidRPr="00CC256C">
        <w:rPr>
          <w:rFonts w:ascii="Times New Roman" w:hAnsi="Times New Roman"/>
          <w:sz w:val="24"/>
          <w:szCs w:val="24"/>
        </w:rPr>
        <w:t xml:space="preserve">, </w:t>
      </w:r>
      <w:r w:rsidRPr="00D64BA0">
        <w:rPr>
          <w:rFonts w:ascii="Times New Roman" w:hAnsi="Times New Roman"/>
          <w:sz w:val="24"/>
          <w:szCs w:val="24"/>
        </w:rPr>
        <w:t>pamatojoties gan uz saņemtajiem iebildumiem un ierosinājumiem par krājumu akceptēšanas procesu, gan arī ar mērķi uzlabot LVĢMC funkciju zemes dzīļu jomā efektivitāti. Rezultātā 2017.</w:t>
      </w:r>
      <w:r w:rsidR="00741435">
        <w:rPr>
          <w:rFonts w:ascii="Times New Roman" w:hAnsi="Times New Roman"/>
          <w:sz w:val="24"/>
          <w:szCs w:val="24"/>
        </w:rPr>
        <w:t> </w:t>
      </w:r>
      <w:r w:rsidRPr="00D64BA0">
        <w:rPr>
          <w:rFonts w:ascii="Times New Roman" w:hAnsi="Times New Roman"/>
          <w:sz w:val="24"/>
          <w:szCs w:val="24"/>
        </w:rPr>
        <w:t xml:space="preserve">gada maija-oktobra periodā, LVĢMC izvērtēto ģeoloģiskās izpētes pārskatu skaits, atbilstoši kuriem </w:t>
      </w:r>
      <w:r w:rsidRPr="00D64BA0">
        <w:rPr>
          <w:rFonts w:ascii="Times New Roman" w:hAnsi="Times New Roman"/>
          <w:sz w:val="24"/>
          <w:szCs w:val="24"/>
          <w:u w:val="single"/>
        </w:rPr>
        <w:t>krājumi akceptēti, pieaudzis līdz 75-82% mēnesī</w:t>
      </w:r>
      <w:r w:rsidRPr="00D64BA0">
        <w:rPr>
          <w:rFonts w:ascii="Times New Roman" w:hAnsi="Times New Roman"/>
          <w:sz w:val="24"/>
          <w:szCs w:val="24"/>
        </w:rPr>
        <w:t xml:space="preserve">, salīdzinot ar, piemēram, šā gada janvāra-aprīļa periodu (vidēji 45%) (skat. </w:t>
      </w:r>
      <w:r w:rsidRPr="00D64BA0" w:rsidR="00CC256C">
        <w:rPr>
          <w:rFonts w:ascii="Times New Roman" w:hAnsi="Times New Roman"/>
          <w:sz w:val="24"/>
          <w:szCs w:val="24"/>
        </w:rPr>
        <w:t>T</w:t>
      </w:r>
      <w:r w:rsidRPr="00D64BA0">
        <w:rPr>
          <w:rFonts w:ascii="Times New Roman" w:hAnsi="Times New Roman"/>
          <w:sz w:val="24"/>
          <w:szCs w:val="24"/>
        </w:rPr>
        <w:t>abulu</w:t>
      </w:r>
      <w:r w:rsidRPr="00D64BA0" w:rsidR="00CC256C">
        <w:rPr>
          <w:rFonts w:ascii="Times New Roman" w:hAnsi="Times New Roman"/>
          <w:sz w:val="24"/>
          <w:szCs w:val="24"/>
        </w:rPr>
        <w:t xml:space="preserve"> Nr.1</w:t>
      </w:r>
      <w:r w:rsidRPr="00D64BA0">
        <w:rPr>
          <w:rFonts w:ascii="Times New Roman" w:hAnsi="Times New Roman"/>
          <w:sz w:val="24"/>
          <w:szCs w:val="24"/>
        </w:rPr>
        <w:t>).</w:t>
      </w:r>
      <w:r w:rsidRPr="00D64BA0">
        <w:rPr>
          <w:rFonts w:ascii="Times New Roman" w:hAnsi="Times New Roman"/>
          <w:color w:val="0000FF"/>
          <w:sz w:val="24"/>
          <w:szCs w:val="24"/>
        </w:rPr>
        <w:t xml:space="preserve"> </w:t>
      </w:r>
      <w:r w:rsidRPr="00D64BA0">
        <w:rPr>
          <w:rFonts w:ascii="Times New Roman" w:hAnsi="Times New Roman"/>
          <w:sz w:val="24"/>
          <w:szCs w:val="24"/>
        </w:rPr>
        <w:t>Procedūras izstrāde šāda veida rezultātu sasniegšanai tika veikta aptuveni pusgadu ilgā laika posmā līdz 2017.</w:t>
      </w:r>
      <w:r w:rsidR="007865D9">
        <w:rPr>
          <w:rFonts w:ascii="Times New Roman" w:hAnsi="Times New Roman"/>
          <w:sz w:val="24"/>
          <w:szCs w:val="24"/>
        </w:rPr>
        <w:t xml:space="preserve"> </w:t>
      </w:r>
      <w:r w:rsidRPr="00D64BA0">
        <w:rPr>
          <w:rFonts w:ascii="Times New Roman" w:hAnsi="Times New Roman"/>
          <w:sz w:val="24"/>
          <w:szCs w:val="24"/>
        </w:rPr>
        <w:t xml:space="preserve">gada maijam un joprojām tiek strādāts pie procesu pilnveidošanas. </w:t>
      </w:r>
    </w:p>
    <w:p w:rsidR="0075306E" w:rsidRPr="00FF5F2C" w:rsidP="00CC256C" w14:paraId="7B181BB6" w14:textId="77777777">
      <w:pPr>
        <w:spacing w:after="120" w:line="240" w:lineRule="auto"/>
        <w:jc w:val="right"/>
        <w:rPr>
          <w:rFonts w:ascii="Times New Roman" w:hAnsi="Times New Roman"/>
          <w:i/>
          <w:sz w:val="24"/>
          <w:szCs w:val="24"/>
          <w:u w:val="single"/>
        </w:rPr>
      </w:pPr>
      <w:r w:rsidRPr="00FF5F2C">
        <w:rPr>
          <w:rFonts w:ascii="Times New Roman" w:hAnsi="Times New Roman"/>
          <w:i/>
          <w:sz w:val="24"/>
          <w:szCs w:val="24"/>
          <w:u w:val="single"/>
        </w:rPr>
        <w:t>Tabula Nr.1</w:t>
      </w:r>
    </w:p>
    <w:p w:rsidR="0075306E" w:rsidRPr="00D64BA0" w:rsidP="00B138DA" w14:paraId="66EC14A5" w14:textId="77777777">
      <w:pPr>
        <w:spacing w:after="120" w:line="240" w:lineRule="auto"/>
        <w:jc w:val="both"/>
        <w:rPr>
          <w:rFonts w:ascii="Times New Roman" w:hAnsi="Times New Roman"/>
          <w:noProof/>
          <w:sz w:val="24"/>
          <w:szCs w:val="24"/>
        </w:rPr>
      </w:pPr>
      <w:r w:rsidRPr="00D64BA0">
        <w:rPr>
          <w:rFonts w:ascii="Times New Roman" w:hAnsi="Times New Roman"/>
          <w:noProof/>
          <w:sz w:val="24"/>
          <w:szCs w:val="24"/>
          <w:lang w:eastAsia="lv-LV"/>
        </w:rPr>
        <w:drawing>
          <wp:inline distT="0" distB="0" distL="0" distR="0">
            <wp:extent cx="5614670" cy="3373120"/>
            <wp:effectExtent l="0" t="0" r="50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5306E" w:rsidRPr="00FF5F2C" w:rsidP="00B138DA" w14:paraId="09E0DDC7" w14:textId="284C03A5">
      <w:pPr>
        <w:spacing w:after="120" w:line="240" w:lineRule="auto"/>
        <w:jc w:val="both"/>
        <w:rPr>
          <w:rFonts w:ascii="Times New Roman" w:hAnsi="Times New Roman"/>
          <w:i/>
          <w:sz w:val="20"/>
          <w:szCs w:val="20"/>
        </w:rPr>
      </w:pPr>
      <w:r w:rsidRPr="00FF5F2C">
        <w:rPr>
          <w:rFonts w:ascii="Times New Roman" w:hAnsi="Times New Roman"/>
          <w:i/>
          <w:sz w:val="20"/>
          <w:szCs w:val="20"/>
        </w:rPr>
        <w:t>* Statistika par 102 derīgo izrakteņu krājumu akceptēšanai izvērtētajiem pārskatiem 2017.</w:t>
      </w:r>
      <w:r w:rsidR="007865D9">
        <w:rPr>
          <w:rFonts w:ascii="Times New Roman" w:hAnsi="Times New Roman"/>
          <w:i/>
          <w:sz w:val="20"/>
          <w:szCs w:val="20"/>
        </w:rPr>
        <w:t xml:space="preserve"> </w:t>
      </w:r>
      <w:r w:rsidRPr="00FF5F2C">
        <w:rPr>
          <w:rFonts w:ascii="Times New Roman" w:hAnsi="Times New Roman"/>
          <w:i/>
          <w:sz w:val="20"/>
          <w:szCs w:val="20"/>
        </w:rPr>
        <w:t>gada janvāra-oktobra periodā, vidēji 10-11 pārskatu mēnesī.</w:t>
      </w:r>
    </w:p>
    <w:p w:rsidR="0075306E" w:rsidRPr="00D64BA0" w:rsidP="00B138DA" w14:paraId="12A8DAFC" w14:textId="77777777">
      <w:pPr>
        <w:spacing w:after="120" w:line="240" w:lineRule="auto"/>
        <w:jc w:val="center"/>
        <w:rPr>
          <w:rFonts w:ascii="Times New Roman" w:hAnsi="Times New Roman"/>
          <w:sz w:val="24"/>
          <w:szCs w:val="24"/>
        </w:rPr>
      </w:pPr>
    </w:p>
    <w:p w:rsidR="0075306E" w:rsidRPr="00835C96" w:rsidP="00FF5F2C" w14:paraId="72E5B828" w14:textId="302028C9">
      <w:pPr>
        <w:widowControl/>
        <w:spacing w:after="120" w:line="240" w:lineRule="auto"/>
        <w:ind w:firstLine="720"/>
        <w:jc w:val="both"/>
        <w:rPr>
          <w:rFonts w:ascii="Times New Roman" w:hAnsi="Times New Roman"/>
          <w:sz w:val="24"/>
          <w:szCs w:val="24"/>
        </w:rPr>
      </w:pPr>
      <w:r w:rsidRPr="00835C96">
        <w:rPr>
          <w:rFonts w:ascii="Times New Roman" w:hAnsi="Times New Roman"/>
          <w:sz w:val="24"/>
          <w:szCs w:val="24"/>
        </w:rPr>
        <w:t xml:space="preserve">LVĢMC organizēto semināru ietvaros ar ģeoloģiskās izpētes veicējiem, kā arī sadarbībā ar derīgo izrakteņu ieguves sektora, t.sk. Latvijas Kūdras asociācijas pārstāvjiem, diskutēts par zemes dzīļu izmantošanu reglamentējošo normatīvo aktu prasībām un to salāgošanu starp valsts pārvaldes funkciju izpildi (kā ģeoloģiskās informācijas uzkrāšana, sistematizēšana un pieejamības nodrošināšana, derīgo izrakteņu krājumu bilances sastādīšana), ģeoloģiskās izpētes veicēju iespējām nodrošināt konkrētu prasību izpildi un derīgo izrakteņu ieguvēju vajadzībām. Identificēti tie procesi, ko krājumu akceptēšanas ietvaros iespējams </w:t>
      </w:r>
      <w:r w:rsidRPr="00835C96">
        <w:rPr>
          <w:rFonts w:ascii="Times New Roman" w:hAnsi="Times New Roman"/>
          <w:sz w:val="24"/>
          <w:szCs w:val="24"/>
          <w:u w:val="single"/>
        </w:rPr>
        <w:t>sekmēt pašreizējā normatīvā regulējuma ietvaros</w:t>
      </w:r>
      <w:r w:rsidRPr="00835C96">
        <w:rPr>
          <w:rFonts w:ascii="Times New Roman" w:hAnsi="Times New Roman"/>
          <w:sz w:val="24"/>
          <w:szCs w:val="24"/>
        </w:rPr>
        <w:t xml:space="preserve">, un tie, kuru </w:t>
      </w:r>
      <w:r w:rsidRPr="00835C96">
        <w:rPr>
          <w:rFonts w:ascii="Times New Roman" w:hAnsi="Times New Roman"/>
          <w:sz w:val="24"/>
          <w:szCs w:val="24"/>
          <w:u w:val="single"/>
        </w:rPr>
        <w:t>pilnveidošanai nepieciešami grozījumi normatīvajos aktos</w:t>
      </w:r>
      <w:r w:rsidRPr="00835C96" w:rsidR="00FF5F2C">
        <w:rPr>
          <w:rFonts w:ascii="Times New Roman" w:hAnsi="Times New Roman"/>
          <w:sz w:val="24"/>
          <w:szCs w:val="24"/>
        </w:rPr>
        <w:t>.</w:t>
      </w:r>
    </w:p>
    <w:p w:rsidR="00CC256C" w:rsidRPr="00835C96" w:rsidP="00FF5F2C" w14:paraId="71D6C2BA" w14:textId="589951E9">
      <w:pPr>
        <w:spacing w:after="120" w:line="240" w:lineRule="auto"/>
        <w:ind w:firstLine="720"/>
        <w:jc w:val="both"/>
        <w:rPr>
          <w:rFonts w:ascii="Times New Roman" w:hAnsi="Times New Roman"/>
          <w:sz w:val="24"/>
          <w:szCs w:val="24"/>
        </w:rPr>
      </w:pPr>
      <w:r w:rsidRPr="00835C96">
        <w:rPr>
          <w:rFonts w:ascii="Times New Roman" w:hAnsi="Times New Roman"/>
          <w:sz w:val="24"/>
          <w:szCs w:val="24"/>
        </w:rPr>
        <w:t>Atbilstoši iepriekš minētajam paātrināts ne tikai derīgo izrakteņu krājumu akceptēšanas process, bet arī pilnveidota LVĢMC publiski nodrošinātā informācija par ģeoloģiskā</w:t>
      </w:r>
      <w:r w:rsidRPr="00835C96" w:rsidR="00FF5F2C">
        <w:rPr>
          <w:rFonts w:ascii="Times New Roman" w:hAnsi="Times New Roman"/>
          <w:sz w:val="24"/>
          <w:szCs w:val="24"/>
        </w:rPr>
        <w:t>s izpētes pārskatu sagatavošanu.</w:t>
      </w:r>
    </w:p>
    <w:p w:rsidR="0075306E" w:rsidRPr="00F86C66" w:rsidP="00132BCB" w14:paraId="3A688919" w14:textId="794377C6">
      <w:pPr>
        <w:spacing w:after="120" w:line="240" w:lineRule="auto"/>
        <w:ind w:firstLine="720"/>
        <w:jc w:val="both"/>
        <w:rPr>
          <w:rFonts w:ascii="Times New Roman" w:hAnsi="Times New Roman"/>
          <w:sz w:val="24"/>
          <w:szCs w:val="24"/>
        </w:rPr>
      </w:pPr>
      <w:r w:rsidRPr="00835C96">
        <w:rPr>
          <w:rFonts w:ascii="Times New Roman" w:hAnsi="Times New Roman"/>
          <w:color w:val="000000"/>
          <w:sz w:val="24"/>
          <w:szCs w:val="24"/>
          <w:lang w:eastAsia="lv-LV"/>
        </w:rPr>
        <w:t xml:space="preserve">Atbilstoši </w:t>
      </w:r>
      <w:r w:rsidRPr="00835C96">
        <w:rPr>
          <w:rFonts w:ascii="Times New Roman" w:hAnsi="Times New Roman"/>
          <w:sz w:val="24"/>
          <w:szCs w:val="24"/>
          <w:lang w:eastAsia="lv-LV"/>
        </w:rPr>
        <w:t>Ministru kabineta 2012.</w:t>
      </w:r>
      <w:r w:rsidRPr="00835C96" w:rsidR="007865D9">
        <w:rPr>
          <w:rFonts w:ascii="Times New Roman" w:hAnsi="Times New Roman"/>
          <w:sz w:val="24"/>
          <w:szCs w:val="24"/>
          <w:lang w:eastAsia="lv-LV"/>
        </w:rPr>
        <w:t xml:space="preserve"> </w:t>
      </w:r>
      <w:r w:rsidRPr="00835C96">
        <w:rPr>
          <w:rFonts w:ascii="Times New Roman" w:hAnsi="Times New Roman"/>
          <w:sz w:val="24"/>
          <w:szCs w:val="24"/>
          <w:lang w:eastAsia="lv-LV"/>
        </w:rPr>
        <w:t>gada 21.</w:t>
      </w:r>
      <w:r w:rsidRPr="00835C96" w:rsidR="007865D9">
        <w:rPr>
          <w:rFonts w:ascii="Times New Roman" w:hAnsi="Times New Roman"/>
          <w:sz w:val="24"/>
          <w:szCs w:val="24"/>
          <w:lang w:eastAsia="lv-LV"/>
        </w:rPr>
        <w:t xml:space="preserve"> </w:t>
      </w:r>
      <w:r w:rsidRPr="00835C96">
        <w:rPr>
          <w:rFonts w:ascii="Times New Roman" w:hAnsi="Times New Roman"/>
          <w:sz w:val="24"/>
          <w:szCs w:val="24"/>
          <w:lang w:eastAsia="lv-LV"/>
        </w:rPr>
        <w:t>augusta noteikumu Nr.570 „Derīgo izrakteņu ieguves kārtība” 35.punktam</w:t>
      </w:r>
      <w:r w:rsidRPr="00835C96">
        <w:rPr>
          <w:rFonts w:ascii="Times New Roman" w:hAnsi="Times New Roman"/>
          <w:sz w:val="24"/>
          <w:szCs w:val="24"/>
        </w:rPr>
        <w:t xml:space="preserve"> krājumu akceptēšanai iesniegtā pārskata izskatīšana LVĢMC jāveic viena mēneša laikā, kas attiecināms arī uz atkārtoti iesniegtajiem pārskatiem. Ar 2017.</w:t>
      </w:r>
      <w:r w:rsidRPr="00835C96" w:rsidR="00526272">
        <w:rPr>
          <w:rFonts w:ascii="Times New Roman" w:hAnsi="Times New Roman"/>
          <w:sz w:val="24"/>
          <w:szCs w:val="24"/>
        </w:rPr>
        <w:t xml:space="preserve"> </w:t>
      </w:r>
      <w:r w:rsidRPr="00835C96">
        <w:rPr>
          <w:rFonts w:ascii="Times New Roman" w:hAnsi="Times New Roman"/>
          <w:sz w:val="24"/>
          <w:szCs w:val="24"/>
        </w:rPr>
        <w:t xml:space="preserve">gada maiju krājumu akceptēšanas procesa ietvaros tiek nodrošināts būtiski </w:t>
      </w:r>
      <w:r w:rsidRPr="00F86C66">
        <w:rPr>
          <w:rFonts w:ascii="Times New Roman" w:hAnsi="Times New Roman"/>
          <w:sz w:val="24"/>
          <w:szCs w:val="24"/>
        </w:rPr>
        <w:t xml:space="preserve">pilnveidots </w:t>
      </w:r>
      <w:r w:rsidRPr="00EC23E3">
        <w:rPr>
          <w:rFonts w:ascii="Times New Roman" w:hAnsi="Times New Roman"/>
          <w:sz w:val="24"/>
          <w:szCs w:val="24"/>
        </w:rPr>
        <w:t>komunikācijas process</w:t>
      </w:r>
      <w:r w:rsidRPr="00F86C66">
        <w:rPr>
          <w:rFonts w:ascii="Times New Roman" w:hAnsi="Times New Roman"/>
          <w:sz w:val="24"/>
          <w:szCs w:val="24"/>
        </w:rPr>
        <w:t xml:space="preserve"> ar krājumu akceptēšanai iesniegto ģeoloģiskās izpētes pārskatu iesniedzējiem, būtiski sekmējot pārskatos konstatēto kļūdu un nepilnību novēršanu un derīgo izrakteņu krājumu akceptēšanu </w:t>
      </w:r>
      <w:r w:rsidRPr="00EC23E3">
        <w:rPr>
          <w:rFonts w:ascii="Times New Roman" w:hAnsi="Times New Roman"/>
          <w:sz w:val="24"/>
          <w:szCs w:val="24"/>
        </w:rPr>
        <w:t>iespējami īsākā termiņā</w:t>
      </w:r>
      <w:r w:rsidRPr="00F86C66">
        <w:rPr>
          <w:rFonts w:ascii="Times New Roman" w:hAnsi="Times New Roman"/>
          <w:sz w:val="24"/>
          <w:szCs w:val="24"/>
        </w:rPr>
        <w:t xml:space="preserve">. </w:t>
      </w:r>
      <w:r w:rsidRPr="00F86C66" w:rsidR="00CC256C">
        <w:rPr>
          <w:rFonts w:ascii="Times New Roman" w:hAnsi="Times New Roman"/>
          <w:sz w:val="24"/>
          <w:szCs w:val="24"/>
        </w:rPr>
        <w:t xml:space="preserve"> </w:t>
      </w:r>
      <w:r w:rsidRPr="00F86C66">
        <w:rPr>
          <w:rFonts w:ascii="Times New Roman" w:hAnsi="Times New Roman"/>
          <w:sz w:val="24"/>
          <w:szCs w:val="24"/>
        </w:rPr>
        <w:t xml:space="preserve">Uzlabotā procesa ietvaros LVĢMC </w:t>
      </w:r>
      <w:r w:rsidRPr="00EC23E3">
        <w:rPr>
          <w:rStyle w:val="Strong"/>
          <w:rFonts w:ascii="Times New Roman" w:hAnsi="Times New Roman"/>
          <w:b w:val="0"/>
          <w:sz w:val="24"/>
          <w:szCs w:val="24"/>
        </w:rPr>
        <w:t>neatgriež izvērtēšanai iesniegto ģeoloģiskās izpētes vai atlikušo krājumu aprēķina pārskatu</w:t>
      </w:r>
      <w:r w:rsidRPr="00F86C66">
        <w:rPr>
          <w:rStyle w:val="Strong"/>
          <w:rFonts w:ascii="Times New Roman" w:hAnsi="Times New Roman"/>
          <w:b w:val="0"/>
          <w:sz w:val="24"/>
          <w:szCs w:val="24"/>
        </w:rPr>
        <w:t>,</w:t>
      </w:r>
      <w:r w:rsidRPr="00F86C66">
        <w:rPr>
          <w:rFonts w:ascii="Times New Roman" w:hAnsi="Times New Roman"/>
          <w:sz w:val="24"/>
          <w:szCs w:val="24"/>
        </w:rPr>
        <w:t xml:space="preserve"> ja tiek konstatētas nepilnības, pēc kuru izlabošanas netiek būtiski mainīts pārskat</w:t>
      </w:r>
      <w:r w:rsidRPr="00F86C66" w:rsidR="00132BCB">
        <w:rPr>
          <w:rFonts w:ascii="Times New Roman" w:hAnsi="Times New Roman"/>
          <w:sz w:val="24"/>
          <w:szCs w:val="24"/>
        </w:rPr>
        <w:t>a saturs.</w:t>
      </w:r>
      <w:r w:rsidRPr="00F86C66">
        <w:rPr>
          <w:rFonts w:ascii="Times New Roman" w:hAnsi="Times New Roman"/>
          <w:sz w:val="24"/>
          <w:szCs w:val="24"/>
        </w:rPr>
        <w:t xml:space="preserve"> Šajā gadījumā pārskata sagatavotājs tiek </w:t>
      </w:r>
      <w:r w:rsidRPr="00EC23E3">
        <w:rPr>
          <w:rFonts w:ascii="Times New Roman" w:hAnsi="Times New Roman"/>
          <w:sz w:val="24"/>
          <w:szCs w:val="24"/>
        </w:rPr>
        <w:t>telefoniski un elektroniskajā sarakstē informēts</w:t>
      </w:r>
      <w:r w:rsidRPr="00F86C66">
        <w:rPr>
          <w:rFonts w:ascii="Times New Roman" w:hAnsi="Times New Roman"/>
          <w:sz w:val="24"/>
          <w:szCs w:val="24"/>
        </w:rPr>
        <w:t xml:space="preserve"> par nepieciešamajiem labojumiem, konstatētās kļūdas un nepilnības, kas ir jāizlabo, pārskata autoram tiek izskaidrotas. Savstarpēji vienojoties ar pārskata autoru tiek noteikts sešu</w:t>
      </w:r>
      <w:r w:rsidRPr="00F86C66">
        <w:rPr>
          <w:rStyle w:val="Emphasis"/>
          <w:rFonts w:ascii="Times New Roman" w:hAnsi="Times New Roman"/>
          <w:i w:val="0"/>
          <w:sz w:val="24"/>
          <w:szCs w:val="24"/>
        </w:rPr>
        <w:t xml:space="preserve"> darba</w:t>
      </w:r>
      <w:r w:rsidRPr="00F86C66">
        <w:rPr>
          <w:rFonts w:ascii="Times New Roman" w:hAnsi="Times New Roman"/>
          <w:sz w:val="24"/>
          <w:szCs w:val="24"/>
        </w:rPr>
        <w:t xml:space="preserve"> dienu termiņš, kuru laikā ir jāveic izmaiņas konkrētās pārskata sadaļās. LVĢMC </w:t>
      </w:r>
      <w:r w:rsidRPr="00EC23E3">
        <w:rPr>
          <w:rFonts w:ascii="Times New Roman" w:hAnsi="Times New Roman"/>
          <w:sz w:val="24"/>
          <w:szCs w:val="24"/>
        </w:rPr>
        <w:t>paātrinātā kārtībā</w:t>
      </w:r>
      <w:r w:rsidRPr="00F86C66">
        <w:rPr>
          <w:rFonts w:ascii="Times New Roman" w:hAnsi="Times New Roman"/>
          <w:sz w:val="24"/>
          <w:szCs w:val="24"/>
        </w:rPr>
        <w:t xml:space="preserve"> – </w:t>
      </w:r>
      <w:r w:rsidRPr="00F86C66">
        <w:rPr>
          <w:rStyle w:val="Emphasis"/>
          <w:rFonts w:ascii="Times New Roman" w:hAnsi="Times New Roman"/>
          <w:i w:val="0"/>
          <w:sz w:val="24"/>
          <w:szCs w:val="24"/>
        </w:rPr>
        <w:t>piecu</w:t>
      </w:r>
      <w:r w:rsidRPr="00F86C66">
        <w:rPr>
          <w:rStyle w:val="Emphasis"/>
          <w:rFonts w:ascii="Times New Roman" w:hAnsi="Times New Roman"/>
          <w:sz w:val="24"/>
          <w:szCs w:val="24"/>
        </w:rPr>
        <w:t xml:space="preserve"> </w:t>
      </w:r>
      <w:r w:rsidRPr="00F86C66">
        <w:rPr>
          <w:rFonts w:ascii="Times New Roman" w:hAnsi="Times New Roman"/>
          <w:sz w:val="24"/>
          <w:szCs w:val="24"/>
        </w:rPr>
        <w:t xml:space="preserve">darba dienu laikā – pārliecinās, vai ir veikti visi nepieciešamie labojumi pārskatā, un akceptē aprēķinātos derīgo izrakteņu krājumus. Šādos gadījumos </w:t>
      </w:r>
      <w:r w:rsidRPr="00EC23E3">
        <w:rPr>
          <w:rFonts w:ascii="Times New Roman" w:hAnsi="Times New Roman"/>
          <w:sz w:val="24"/>
          <w:szCs w:val="24"/>
        </w:rPr>
        <w:t>maksa par pārskatā iestrādāto labojumu pārbaudi netiek piemērota</w:t>
      </w:r>
      <w:r w:rsidRPr="00F86C66">
        <w:rPr>
          <w:rFonts w:ascii="Times New Roman" w:hAnsi="Times New Roman"/>
          <w:sz w:val="24"/>
          <w:szCs w:val="24"/>
        </w:rPr>
        <w:t>.</w:t>
      </w:r>
      <w:r w:rsidRPr="00F86C66" w:rsidR="00132BCB">
        <w:rPr>
          <w:rFonts w:ascii="Times New Roman" w:hAnsi="Times New Roman"/>
          <w:sz w:val="24"/>
          <w:szCs w:val="24"/>
        </w:rPr>
        <w:t xml:space="preserve"> </w:t>
      </w:r>
      <w:r w:rsidRPr="00F86C66">
        <w:rPr>
          <w:rStyle w:val="Strong"/>
          <w:rFonts w:ascii="Times New Roman" w:hAnsi="Times New Roman"/>
          <w:b w:val="0"/>
          <w:sz w:val="24"/>
          <w:szCs w:val="24"/>
        </w:rPr>
        <w:t xml:space="preserve">LVĢMC, </w:t>
      </w:r>
      <w:r w:rsidRPr="00F86C66">
        <w:rPr>
          <w:rFonts w:ascii="Times New Roman" w:hAnsi="Times New Roman"/>
          <w:sz w:val="24"/>
          <w:szCs w:val="24"/>
        </w:rPr>
        <w:t>atgriežot pārskatu,</w:t>
      </w:r>
      <w:r w:rsidRPr="00F86C66">
        <w:rPr>
          <w:rStyle w:val="Strong"/>
          <w:rFonts w:ascii="Times New Roman" w:hAnsi="Times New Roman"/>
          <w:b w:val="0"/>
          <w:sz w:val="24"/>
          <w:szCs w:val="24"/>
        </w:rPr>
        <w:t xml:space="preserve"> </w:t>
      </w:r>
      <w:r w:rsidRPr="00F86C66">
        <w:rPr>
          <w:rFonts w:ascii="Times New Roman" w:hAnsi="Times New Roman"/>
          <w:sz w:val="24"/>
          <w:szCs w:val="24"/>
        </w:rPr>
        <w:t xml:space="preserve">sistemātiski </w:t>
      </w:r>
      <w:r w:rsidRPr="00F86C66">
        <w:rPr>
          <w:rStyle w:val="Strong"/>
          <w:rFonts w:ascii="Times New Roman" w:hAnsi="Times New Roman"/>
          <w:b w:val="0"/>
          <w:sz w:val="24"/>
          <w:szCs w:val="24"/>
        </w:rPr>
        <w:t xml:space="preserve">piedāvā </w:t>
      </w:r>
      <w:r w:rsidRPr="00EC23E3">
        <w:rPr>
          <w:rStyle w:val="Strong"/>
          <w:rFonts w:ascii="Times New Roman" w:hAnsi="Times New Roman"/>
          <w:b w:val="0"/>
          <w:sz w:val="24"/>
          <w:szCs w:val="24"/>
        </w:rPr>
        <w:t>bezmaksas konsultāciju</w:t>
      </w:r>
      <w:r w:rsidRPr="00F86C66">
        <w:rPr>
          <w:rFonts w:ascii="Times New Roman" w:hAnsi="Times New Roman"/>
          <w:sz w:val="24"/>
          <w:szCs w:val="24"/>
        </w:rPr>
        <w:t xml:space="preserve"> par protokolā norādītajām kļūdām un nepilnībām attiecībā uz konkrēto objektu. LVĢMC ir izstrādājis un jau nodrošina jaunas Derīgo izrakteņu krājumu akceptēšanas komisijas sēžu </w:t>
      </w:r>
      <w:r w:rsidRPr="00EC23E3">
        <w:rPr>
          <w:rFonts w:ascii="Times New Roman" w:hAnsi="Times New Roman"/>
          <w:sz w:val="24"/>
          <w:szCs w:val="24"/>
        </w:rPr>
        <w:t>protokolu veidlapas</w:t>
      </w:r>
      <w:r w:rsidRPr="00F86C66">
        <w:rPr>
          <w:rFonts w:ascii="Times New Roman" w:hAnsi="Times New Roman"/>
          <w:sz w:val="24"/>
          <w:szCs w:val="24"/>
        </w:rPr>
        <w:t>, protokolos ietverto informāciju strukturējot galvenokārt tabulu veidā (līdz šim – teksta), ar mērķi paātrināt protokolu sagatavošanu, uzlabot pārskatāmību un datu savstarpēju salīdzināšanu.</w:t>
      </w:r>
    </w:p>
    <w:p w:rsidR="00542B72" w:rsidRPr="00835C96" w:rsidP="008576EC" w14:paraId="57605CB9" w14:textId="77777777">
      <w:pPr>
        <w:widowControl/>
        <w:spacing w:after="120" w:line="240" w:lineRule="auto"/>
        <w:ind w:firstLine="720"/>
        <w:jc w:val="both"/>
        <w:rPr>
          <w:rFonts w:ascii="Times New Roman" w:hAnsi="Times New Roman"/>
          <w:sz w:val="24"/>
          <w:szCs w:val="24"/>
        </w:rPr>
      </w:pPr>
    </w:p>
    <w:p w:rsidR="0075306E" w:rsidRPr="00F86C66" w:rsidP="00CC256C" w14:paraId="26D1FA7A" w14:textId="22FB0A29">
      <w:pPr>
        <w:widowControl/>
        <w:spacing w:after="120" w:line="240" w:lineRule="auto"/>
        <w:ind w:firstLine="720"/>
        <w:jc w:val="both"/>
        <w:rPr>
          <w:rFonts w:ascii="Times New Roman" w:hAnsi="Times New Roman"/>
          <w:sz w:val="24"/>
          <w:szCs w:val="24"/>
        </w:rPr>
      </w:pPr>
      <w:r w:rsidRPr="00835C96">
        <w:rPr>
          <w:rFonts w:ascii="Times New Roman" w:hAnsi="Times New Roman"/>
          <w:bCs/>
          <w:sz w:val="24"/>
          <w:szCs w:val="24"/>
        </w:rPr>
        <w:t>2)</w:t>
      </w:r>
      <w:r w:rsidRPr="00835C96" w:rsidR="00CC256C">
        <w:rPr>
          <w:rFonts w:ascii="Times New Roman" w:hAnsi="Times New Roman"/>
          <w:bCs/>
          <w:sz w:val="24"/>
          <w:szCs w:val="24"/>
        </w:rPr>
        <w:t xml:space="preserve"> </w:t>
      </w:r>
      <w:r w:rsidRPr="00835C96">
        <w:rPr>
          <w:rFonts w:ascii="Times New Roman" w:hAnsi="Times New Roman"/>
          <w:bCs/>
          <w:sz w:val="24"/>
          <w:szCs w:val="24"/>
        </w:rPr>
        <w:t>izstrādājis un ievietojis tīmek</w:t>
      </w:r>
      <w:r w:rsidRPr="00835C96" w:rsidR="008576EC">
        <w:rPr>
          <w:rFonts w:ascii="Times New Roman" w:hAnsi="Times New Roman"/>
          <w:bCs/>
          <w:sz w:val="24"/>
          <w:szCs w:val="24"/>
        </w:rPr>
        <w:t>ļvietnē</w:t>
      </w:r>
      <w:r w:rsidRPr="00835C96">
        <w:rPr>
          <w:rFonts w:ascii="Times New Roman" w:hAnsi="Times New Roman"/>
          <w:bCs/>
          <w:sz w:val="24"/>
          <w:szCs w:val="24"/>
        </w:rPr>
        <w:t xml:space="preserve"> būtiski aktualizētus </w:t>
      </w:r>
      <w:r w:rsidRPr="00835C96">
        <w:rPr>
          <w:rFonts w:ascii="Times New Roman" w:hAnsi="Times New Roman"/>
          <w:b/>
          <w:bCs/>
          <w:sz w:val="24"/>
          <w:szCs w:val="24"/>
        </w:rPr>
        <w:t>metodiskos norādījumus</w:t>
      </w:r>
      <w:r w:rsidRPr="00835C96">
        <w:rPr>
          <w:rFonts w:ascii="Times New Roman" w:hAnsi="Times New Roman"/>
          <w:bCs/>
          <w:sz w:val="24"/>
          <w:szCs w:val="24"/>
        </w:rPr>
        <w:t xml:space="preserve"> par ģeoloģiskās un hidroģeoloģiskās izpētes pārskatu sagatavošanu un noformēšanu, kā arī aprakstus par izpētes un krājumu aprēķinu aprēķinos biežāk sastopamajām kļūdām (</w:t>
      </w:r>
      <w:r>
        <w:fldChar w:fldCharType="begin"/>
      </w:r>
      <w:r>
        <w:instrText xml:space="preserve"> HYPERLINK "http://meteo.lv/lapas/geologija/metodiskie-noradijumi-par-geologiskas-izpetes-parskatu-sagatavosanu-un/geologiskas-izpetes-parskatu-sagatavosana-noformesana-un-biezak-sastop?id=1955&amp;nid=932" </w:instrText>
      </w:r>
      <w:r>
        <w:fldChar w:fldCharType="separate"/>
      </w:r>
      <w:r w:rsidRPr="00835C96">
        <w:rPr>
          <w:rStyle w:val="Hyperlink"/>
          <w:rFonts w:ascii="Times New Roman" w:hAnsi="Times New Roman"/>
          <w:sz w:val="24"/>
          <w:szCs w:val="24"/>
        </w:rPr>
        <w:t>http://meteo.lv/lapas/geologija/metodiskie-noradijumi-par-geologiskas-izpetes-parskatu-sagatavosanu-un/geologiskas-izpetes-parskatu-sagatavosana-noformesana-un-biezak-sastop?id=1955&amp;nid=932</w:t>
      </w:r>
      <w:r>
        <w:fldChar w:fldCharType="end"/>
      </w:r>
      <w:r w:rsidRPr="00835C96">
        <w:rPr>
          <w:rFonts w:ascii="Times New Roman" w:hAnsi="Times New Roman"/>
          <w:sz w:val="24"/>
          <w:szCs w:val="24"/>
        </w:rPr>
        <w:t>)</w:t>
      </w:r>
      <w:r w:rsidRPr="00835C96">
        <w:rPr>
          <w:rFonts w:ascii="Times New Roman" w:hAnsi="Times New Roman"/>
          <w:bCs/>
          <w:sz w:val="24"/>
          <w:szCs w:val="24"/>
        </w:rPr>
        <w:t xml:space="preserve">, t.sk. </w:t>
      </w:r>
      <w:r w:rsidRPr="00EC23E3">
        <w:rPr>
          <w:rFonts w:ascii="Times New Roman" w:hAnsi="Times New Roman"/>
          <w:bCs/>
          <w:sz w:val="24"/>
          <w:szCs w:val="24"/>
        </w:rPr>
        <w:t>lejuplādējamus pārskatu ieteicamā satura un teksta pielikumu paraugus</w:t>
      </w:r>
      <w:r w:rsidRPr="00F86C66">
        <w:rPr>
          <w:rFonts w:ascii="Times New Roman" w:hAnsi="Times New Roman"/>
          <w:bCs/>
          <w:sz w:val="24"/>
          <w:szCs w:val="24"/>
        </w:rPr>
        <w:t xml:space="preserve">. </w:t>
      </w:r>
    </w:p>
    <w:p w:rsidR="0075306E" w:rsidRPr="00835C96" w:rsidP="008576EC" w14:paraId="6082E8EB" w14:textId="7E063D5F">
      <w:pPr>
        <w:spacing w:after="120" w:line="240" w:lineRule="auto"/>
        <w:ind w:firstLine="720"/>
        <w:jc w:val="both"/>
        <w:rPr>
          <w:rFonts w:ascii="Times New Roman" w:hAnsi="Times New Roman"/>
          <w:sz w:val="24"/>
          <w:szCs w:val="24"/>
        </w:rPr>
      </w:pPr>
      <w:r w:rsidRPr="00835C96">
        <w:rPr>
          <w:rFonts w:ascii="Times New Roman" w:hAnsi="Times New Roman"/>
          <w:bCs/>
          <w:sz w:val="24"/>
          <w:szCs w:val="24"/>
        </w:rPr>
        <w:t xml:space="preserve">Līdzīgi kā derīgo izrakteņu krājumu akceptēšanas process, arī metodiskie norādījumi un to pielikumi tiek pilnveidoti. </w:t>
      </w:r>
    </w:p>
    <w:p w:rsidR="00542B72" w:rsidRPr="00835C96" w:rsidP="008576EC" w14:paraId="192E6DF8" w14:textId="77777777">
      <w:pPr>
        <w:spacing w:after="120" w:line="240" w:lineRule="auto"/>
        <w:ind w:firstLine="720"/>
        <w:jc w:val="both"/>
        <w:rPr>
          <w:rFonts w:ascii="Times New Roman" w:hAnsi="Times New Roman"/>
          <w:sz w:val="24"/>
          <w:szCs w:val="24"/>
        </w:rPr>
      </w:pPr>
    </w:p>
    <w:p w:rsidR="0075306E" w:rsidRPr="00835C96" w:rsidP="00CC256C" w14:paraId="253D7A78" w14:textId="5B90B16E">
      <w:pPr>
        <w:widowControl/>
        <w:spacing w:after="120" w:line="240" w:lineRule="auto"/>
        <w:ind w:firstLine="720"/>
        <w:jc w:val="both"/>
        <w:rPr>
          <w:rFonts w:ascii="Times New Roman" w:hAnsi="Times New Roman"/>
          <w:sz w:val="24"/>
          <w:szCs w:val="24"/>
        </w:rPr>
      </w:pPr>
      <w:r w:rsidRPr="00835C96">
        <w:rPr>
          <w:rFonts w:ascii="Times New Roman" w:hAnsi="Times New Roman"/>
          <w:sz w:val="24"/>
          <w:szCs w:val="24"/>
        </w:rPr>
        <w:t>3)</w:t>
      </w:r>
      <w:r w:rsidRPr="00835C96" w:rsidR="00CC256C">
        <w:rPr>
          <w:rFonts w:ascii="Times New Roman" w:hAnsi="Times New Roman"/>
          <w:sz w:val="24"/>
          <w:szCs w:val="24"/>
        </w:rPr>
        <w:t xml:space="preserve"> </w:t>
      </w:r>
      <w:r w:rsidRPr="00835C96">
        <w:rPr>
          <w:rFonts w:ascii="Times New Roman" w:hAnsi="Times New Roman"/>
          <w:sz w:val="24"/>
          <w:szCs w:val="24"/>
        </w:rPr>
        <w:t>uzsācis</w:t>
      </w:r>
      <w:r w:rsidRPr="00835C96">
        <w:rPr>
          <w:rFonts w:ascii="Times New Roman" w:hAnsi="Times New Roman"/>
          <w:sz w:val="24"/>
          <w:szCs w:val="24"/>
        </w:rPr>
        <w:t xml:space="preserve"> rīcībā esošo derīgo izrakteņu </w:t>
      </w:r>
      <w:r w:rsidRPr="00835C96">
        <w:rPr>
          <w:rFonts w:ascii="Times New Roman" w:hAnsi="Times New Roman"/>
          <w:b/>
          <w:sz w:val="24"/>
          <w:szCs w:val="24"/>
        </w:rPr>
        <w:t>atradņu telpiskā izvietojuma digitālo (ģeotelpisko) datu apkopošana</w:t>
      </w:r>
      <w:r w:rsidRPr="00835C96">
        <w:rPr>
          <w:rFonts w:ascii="Times New Roman" w:hAnsi="Times New Roman"/>
          <w:sz w:val="24"/>
          <w:szCs w:val="24"/>
        </w:rPr>
        <w:t xml:space="preserve"> par atradnēm, kam laika periodā no 2009.</w:t>
      </w:r>
      <w:r w:rsidRPr="00835C96" w:rsidR="009518F4">
        <w:rPr>
          <w:rFonts w:ascii="Times New Roman" w:hAnsi="Times New Roman"/>
          <w:sz w:val="24"/>
          <w:szCs w:val="24"/>
        </w:rPr>
        <w:t xml:space="preserve"> </w:t>
      </w:r>
      <w:r w:rsidRPr="00835C96">
        <w:rPr>
          <w:rFonts w:ascii="Times New Roman" w:hAnsi="Times New Roman"/>
          <w:sz w:val="24"/>
          <w:szCs w:val="24"/>
        </w:rPr>
        <w:t xml:space="preserve">gada sagatavotas derīgo izrakteņu atradnes pases un kurās akceptēti derīgo izrakteņu krājumi – kopējais līdz šim apkopotās informācijas apjoms pārsniedz 3 000 ģeotelpisko datu vienības. Ģeotelpiskie dati ar tajos ietverto atribūtu informāciju sistematizēti un ievietoti uz </w:t>
      </w:r>
      <w:r w:rsidRPr="00835C96">
        <w:rPr>
          <w:rFonts w:ascii="Times New Roman" w:hAnsi="Times New Roman"/>
          <w:sz w:val="24"/>
          <w:szCs w:val="24"/>
          <w:u w:val="single"/>
        </w:rPr>
        <w:t>ESRI ArcGIS Online balstītā tīmekļa aplikācijā</w:t>
      </w:r>
      <w:r w:rsidRPr="00835C96">
        <w:rPr>
          <w:rFonts w:ascii="Times New Roman" w:hAnsi="Times New Roman"/>
          <w:sz w:val="24"/>
          <w:szCs w:val="24"/>
        </w:rPr>
        <w:t xml:space="preserve"> (</w:t>
      </w:r>
      <w:r>
        <w:fldChar w:fldCharType="begin"/>
      </w:r>
      <w:r>
        <w:instrText xml:space="preserve"> HYPERLINK "https://lvgmc.maps.arcgis.com/apps/webappviewer/index.html?id=3a9e93e769be409d825c1a924bf6517c" </w:instrText>
      </w:r>
      <w:r>
        <w:fldChar w:fldCharType="separate"/>
      </w:r>
      <w:r w:rsidRPr="00835C96">
        <w:rPr>
          <w:rStyle w:val="Hyperlink"/>
          <w:rFonts w:ascii="Times New Roman" w:hAnsi="Times New Roman"/>
          <w:sz w:val="24"/>
          <w:szCs w:val="24"/>
        </w:rPr>
        <w:t>https://lvgmc.maps.arcgis.com/apps/webappviewer/index.html?id=3a9e93e769be409d825c1a924bf6517c</w:t>
      </w:r>
      <w:r>
        <w:fldChar w:fldCharType="end"/>
      </w:r>
      <w:r w:rsidRPr="00835C96">
        <w:rPr>
          <w:rFonts w:ascii="Times New Roman" w:hAnsi="Times New Roman"/>
          <w:sz w:val="24"/>
          <w:szCs w:val="24"/>
        </w:rPr>
        <w:t xml:space="preserve">) skatīšanās un datu atlases pakalpojuma nodrošināšanai. </w:t>
      </w:r>
    </w:p>
    <w:p w:rsidR="00542B72" w:rsidRPr="00835C96" w:rsidP="00A76EEE" w14:paraId="313B4489" w14:textId="533B6D21">
      <w:pPr>
        <w:spacing w:after="120" w:line="240" w:lineRule="auto"/>
        <w:ind w:firstLine="720"/>
        <w:jc w:val="both"/>
        <w:rPr>
          <w:rFonts w:ascii="Times New Roman" w:hAnsi="Times New Roman"/>
          <w:sz w:val="24"/>
          <w:szCs w:val="24"/>
        </w:rPr>
      </w:pPr>
      <w:r w:rsidRPr="00835C96">
        <w:rPr>
          <w:rFonts w:ascii="Times New Roman" w:hAnsi="Times New Roman"/>
          <w:sz w:val="24"/>
          <w:szCs w:val="24"/>
        </w:rPr>
        <w:t>Sagatavotais kartogrāfiskais materiāls laika gaitā tiek sistemātiski papildināts un atjaunots. Šobrīd piekļuve līdz šim apkopotajiem atradņu ģeotelpiskajiem datiem kartogrāfiskā materiāla darba versijā nodrošināta Valsts vides dienesta speciālistiem funkciju zemes dzīļu jomā atbalstam. Pēc detalizētas datu kvalitātes kontroles, kas ir resurs</w:t>
      </w:r>
      <w:r w:rsidR="00304E1B">
        <w:rPr>
          <w:rFonts w:ascii="Times New Roman" w:hAnsi="Times New Roman"/>
          <w:sz w:val="24"/>
          <w:szCs w:val="24"/>
        </w:rPr>
        <w:t xml:space="preserve">u </w:t>
      </w:r>
      <w:r w:rsidRPr="00835C96">
        <w:rPr>
          <w:rFonts w:ascii="Times New Roman" w:hAnsi="Times New Roman"/>
          <w:sz w:val="24"/>
          <w:szCs w:val="24"/>
        </w:rPr>
        <w:t>ietilpīgs process un joprojām tiek veikts, apkopotai un strukturētai ģeotelpiskajai informācijai plānots nodrošināt arī publisku pieejamību izmantošanai valsts un pašvaldību iestādēs, ģeoloģiskās izpētes, derīgo izrakteņu ieguves un apstrādes nozarē, kā arī plašākai sabiedrībai.</w:t>
      </w:r>
    </w:p>
    <w:p w:rsidR="0075306E" w:rsidRPr="00EC23E3" w:rsidP="00CC256C" w14:paraId="49C11562" w14:textId="2A4A94CD">
      <w:pPr>
        <w:widowControl/>
        <w:spacing w:after="120" w:line="240" w:lineRule="auto"/>
        <w:ind w:firstLine="720"/>
        <w:jc w:val="both"/>
        <w:rPr>
          <w:rFonts w:ascii="Times New Roman" w:hAnsi="Times New Roman"/>
          <w:sz w:val="24"/>
          <w:szCs w:val="24"/>
        </w:rPr>
      </w:pPr>
      <w:r w:rsidRPr="00835C96">
        <w:rPr>
          <w:rFonts w:ascii="Times New Roman" w:hAnsi="Times New Roman"/>
          <w:sz w:val="24"/>
          <w:szCs w:val="24"/>
        </w:rPr>
        <w:t>4</w:t>
      </w:r>
      <w:r w:rsidRPr="00835C96" w:rsidR="00132BCB">
        <w:rPr>
          <w:rFonts w:ascii="Times New Roman" w:hAnsi="Times New Roman"/>
          <w:sz w:val="24"/>
          <w:szCs w:val="24"/>
        </w:rPr>
        <w:t>)</w:t>
      </w:r>
      <w:r w:rsidRPr="00835C96">
        <w:rPr>
          <w:rFonts w:ascii="Times New Roman" w:hAnsi="Times New Roman"/>
          <w:sz w:val="24"/>
          <w:szCs w:val="24"/>
        </w:rPr>
        <w:t xml:space="preserve"> </w:t>
      </w:r>
      <w:r w:rsidRPr="00835C96" w:rsidR="00132BCB">
        <w:rPr>
          <w:rFonts w:ascii="Times New Roman" w:hAnsi="Times New Roman"/>
          <w:sz w:val="24"/>
          <w:szCs w:val="24"/>
        </w:rPr>
        <w:t>p</w:t>
      </w:r>
      <w:r w:rsidRPr="00835C96">
        <w:rPr>
          <w:rFonts w:ascii="Times New Roman" w:hAnsi="Times New Roman"/>
          <w:sz w:val="24"/>
          <w:szCs w:val="24"/>
        </w:rPr>
        <w:t>ēc Latvijas Kūdra</w:t>
      </w:r>
      <w:r w:rsidRPr="00835C96" w:rsidR="00132BCB">
        <w:rPr>
          <w:rFonts w:ascii="Times New Roman" w:hAnsi="Times New Roman"/>
          <w:sz w:val="24"/>
          <w:szCs w:val="24"/>
        </w:rPr>
        <w:t>s asociācijas lūguma 2017.</w:t>
      </w:r>
      <w:r w:rsidRPr="00835C96" w:rsidR="009518F4">
        <w:rPr>
          <w:rFonts w:ascii="Times New Roman" w:hAnsi="Times New Roman"/>
          <w:sz w:val="24"/>
          <w:szCs w:val="24"/>
        </w:rPr>
        <w:t xml:space="preserve"> </w:t>
      </w:r>
      <w:r w:rsidRPr="00835C96" w:rsidR="00132BCB">
        <w:rPr>
          <w:rFonts w:ascii="Times New Roman" w:hAnsi="Times New Roman"/>
          <w:sz w:val="24"/>
          <w:szCs w:val="24"/>
        </w:rPr>
        <w:t xml:space="preserve">gadā </w:t>
      </w:r>
      <w:r w:rsidRPr="00835C96">
        <w:rPr>
          <w:rFonts w:ascii="Times New Roman" w:hAnsi="Times New Roman"/>
          <w:b/>
          <w:sz w:val="24"/>
          <w:szCs w:val="24"/>
        </w:rPr>
        <w:t>sadarbībā ar Valsts vides dienesta speciālistiem veic kūdras atradņu datu izvērtēšanu</w:t>
      </w:r>
      <w:r w:rsidRPr="00835C96">
        <w:rPr>
          <w:rFonts w:ascii="Times New Roman" w:hAnsi="Times New Roman"/>
          <w:sz w:val="24"/>
          <w:szCs w:val="24"/>
        </w:rPr>
        <w:t xml:space="preserve"> (atradņu un ieguves laukumu robežas, to atbilstība robežām dabā un tām, kurās akceptēti krājumi, akceptēto un zemes dzīļu izmantošanas licencēs norādīto krājumu apjoms u.tml.). Šī procesa ietvaros tiek veikta apjomīga informācijas pārbaude un analīze par vairāk kā 120 zemes dzīļu izmantošanas licenču kūdras ieguvei laukumiem atbilstoši biedrības "homo ecos:" izstrādātā </w:t>
      </w:r>
      <w:r w:rsidR="00EC23E3">
        <w:rPr>
          <w:rFonts w:ascii="Times New Roman" w:hAnsi="Times New Roman"/>
          <w:sz w:val="24"/>
          <w:szCs w:val="24"/>
        </w:rPr>
        <w:t xml:space="preserve">Latvijas vides aizsardzības fonda administrācijas </w:t>
      </w:r>
      <w:r w:rsidRPr="00835C96">
        <w:rPr>
          <w:rFonts w:ascii="Times New Roman" w:hAnsi="Times New Roman"/>
          <w:sz w:val="24"/>
          <w:szCs w:val="24"/>
        </w:rPr>
        <w:t xml:space="preserve">projekta “Latvijas kūdras atradņu datu kvalitātes ieteikumu sagatavošana to uzlabošanai un izmantošanai valsts stratēģijas pamatdokumentu sagatavošanai” rezultātiem un kontekstā ar citiem LVĢMC rīcībā esošajiem ģeoloģiskajiem un ģeotelpiskajiem datiem – ģeoloģiskās izpētes pārskatiem, </w:t>
      </w:r>
      <w:r w:rsidRPr="00EC23E3">
        <w:rPr>
          <w:rFonts w:ascii="Times New Roman" w:hAnsi="Times New Roman"/>
          <w:sz w:val="24"/>
          <w:szCs w:val="24"/>
        </w:rPr>
        <w:t xml:space="preserve">derīgo izrakteņu krājumu akceptēšanas protokoliem, derīgo izrakteņu krājumu bilancei, elektroniskajām informācijas sistēmām, LVĢMC gatavoto informāciju zemes dzīļu dokumentācijai pēc </w:t>
      </w:r>
      <w:r w:rsidRPr="00EC23E3" w:rsidR="00EC23E3">
        <w:rPr>
          <w:rFonts w:ascii="Times New Roman" w:hAnsi="Times New Roman"/>
          <w:sz w:val="24"/>
          <w:szCs w:val="24"/>
        </w:rPr>
        <w:t>Valsts vides dienesta</w:t>
      </w:r>
      <w:r w:rsidRPr="00EC23E3">
        <w:rPr>
          <w:rFonts w:ascii="Times New Roman" w:hAnsi="Times New Roman"/>
          <w:sz w:val="24"/>
          <w:szCs w:val="24"/>
        </w:rPr>
        <w:t xml:space="preserve"> pieprasījuma u.tml.</w:t>
      </w:r>
    </w:p>
    <w:p w:rsidR="0075306E" w:rsidRPr="00EC23E3" w:rsidP="00CC256C" w14:paraId="0F5E33BC" w14:textId="77777777">
      <w:pPr>
        <w:spacing w:after="120" w:line="240" w:lineRule="auto"/>
        <w:ind w:firstLine="720"/>
        <w:jc w:val="both"/>
        <w:rPr>
          <w:rFonts w:ascii="Times New Roman" w:hAnsi="Times New Roman"/>
          <w:sz w:val="24"/>
          <w:szCs w:val="24"/>
        </w:rPr>
      </w:pPr>
      <w:r w:rsidRPr="00EC23E3">
        <w:rPr>
          <w:rFonts w:ascii="Times New Roman" w:hAnsi="Times New Roman"/>
          <w:sz w:val="24"/>
          <w:szCs w:val="24"/>
        </w:rPr>
        <w:t>Tāpat arī, pamatojoties uz iepriekš minētajiem datiem, LVĢMC pēc Latvijas Kūdras asociācijas lūguma ir sagatavojis digitālu lielformāta kartogrāfisko materiālu “Zemes dzīļu izmantošanas licenču derīgo izrakteņu (kūdras) ieguvei izvietojuma shēma”.</w:t>
      </w:r>
    </w:p>
    <w:p w:rsidR="0075306E" w:rsidRPr="00EC23E3" w:rsidP="00B138DA" w14:paraId="2BF372B0" w14:textId="77777777">
      <w:pPr>
        <w:pStyle w:val="ListParagraph"/>
        <w:spacing w:after="120" w:line="240" w:lineRule="auto"/>
        <w:ind w:left="0"/>
        <w:rPr>
          <w:rFonts w:ascii="Times New Roman" w:hAnsi="Times New Roman"/>
          <w:sz w:val="24"/>
          <w:szCs w:val="24"/>
        </w:rPr>
      </w:pPr>
    </w:p>
    <w:p w:rsidR="0075306E" w:rsidRPr="00EC23E3" w:rsidP="00CC256C" w14:paraId="3583970A" w14:textId="364E198A">
      <w:pPr>
        <w:widowControl/>
        <w:spacing w:after="120" w:line="240" w:lineRule="auto"/>
        <w:ind w:firstLine="720"/>
        <w:jc w:val="both"/>
        <w:rPr>
          <w:rFonts w:ascii="Times New Roman" w:hAnsi="Times New Roman"/>
          <w:sz w:val="24"/>
          <w:szCs w:val="24"/>
        </w:rPr>
      </w:pPr>
      <w:r w:rsidRPr="00EC23E3">
        <w:rPr>
          <w:rFonts w:ascii="Times New Roman" w:hAnsi="Times New Roman"/>
          <w:sz w:val="24"/>
          <w:szCs w:val="24"/>
        </w:rPr>
        <w:t>5</w:t>
      </w:r>
      <w:r w:rsidRPr="00EC23E3" w:rsidR="00132BCB">
        <w:rPr>
          <w:rFonts w:ascii="Times New Roman" w:hAnsi="Times New Roman"/>
          <w:sz w:val="24"/>
          <w:szCs w:val="24"/>
        </w:rPr>
        <w:t>)</w:t>
      </w:r>
      <w:r w:rsidRPr="00EC23E3">
        <w:rPr>
          <w:rFonts w:ascii="Times New Roman" w:hAnsi="Times New Roman"/>
          <w:sz w:val="24"/>
          <w:szCs w:val="24"/>
        </w:rPr>
        <w:t xml:space="preserve"> </w:t>
      </w:r>
      <w:r w:rsidRPr="00EC23E3">
        <w:rPr>
          <w:rFonts w:ascii="Times New Roman" w:hAnsi="Times New Roman"/>
          <w:sz w:val="24"/>
          <w:szCs w:val="24"/>
        </w:rPr>
        <w:t>veic sagatavošanās darbus, lai informācijas un komunikāciju tehnoloģiju (turpmāk – IKT) mērķarhitektūras projekta</w:t>
      </w:r>
      <w:r w:rsidR="005A2F6E">
        <w:rPr>
          <w:rFonts w:ascii="Times New Roman" w:hAnsi="Times New Roman"/>
          <w:sz w:val="24"/>
          <w:szCs w:val="24"/>
        </w:rPr>
        <w:t xml:space="preserve"> </w:t>
      </w:r>
      <w:r w:rsidRPr="00EC23E3">
        <w:rPr>
          <w:rFonts w:ascii="Times New Roman" w:hAnsi="Times New Roman"/>
          <w:sz w:val="24"/>
          <w:szCs w:val="24"/>
        </w:rPr>
        <w:t>“Informācijas sistēmu izstrāde un pilnveidošana ģeotelpiskajiem un</w:t>
      </w:r>
      <w:r w:rsidR="005A2F6E">
        <w:rPr>
          <w:rFonts w:ascii="Times New Roman" w:hAnsi="Times New Roman"/>
          <w:sz w:val="24"/>
          <w:szCs w:val="24"/>
        </w:rPr>
        <w:t xml:space="preserve"> Daugavas baseina plūdu datiem”</w:t>
      </w:r>
      <w:r w:rsidRPr="00EC23E3">
        <w:rPr>
          <w:rFonts w:ascii="Times New Roman" w:hAnsi="Times New Roman"/>
          <w:sz w:val="24"/>
          <w:szCs w:val="24"/>
        </w:rPr>
        <w:t xml:space="preserve"> ietvaros </w:t>
      </w:r>
      <w:r w:rsidRPr="00EC23E3">
        <w:rPr>
          <w:rFonts w:ascii="Times New Roman" w:hAnsi="Times New Roman"/>
          <w:b/>
          <w:sz w:val="24"/>
          <w:szCs w:val="24"/>
        </w:rPr>
        <w:t>pilnveidot</w:t>
      </w:r>
      <w:r w:rsidR="005A2F6E">
        <w:rPr>
          <w:rFonts w:ascii="Times New Roman" w:hAnsi="Times New Roman"/>
          <w:b/>
          <w:sz w:val="24"/>
          <w:szCs w:val="24"/>
        </w:rPr>
        <w:t>u</w:t>
      </w:r>
      <w:r w:rsidRPr="00EC23E3">
        <w:rPr>
          <w:rFonts w:ascii="Times New Roman" w:hAnsi="Times New Roman"/>
          <w:b/>
          <w:sz w:val="24"/>
          <w:szCs w:val="24"/>
        </w:rPr>
        <w:t xml:space="preserve"> arī ģeoloģiskās informācijas sistēmu</w:t>
      </w:r>
      <w:r w:rsidRPr="00EC23E3">
        <w:rPr>
          <w:rFonts w:ascii="Times New Roman" w:hAnsi="Times New Roman"/>
          <w:sz w:val="24"/>
          <w:szCs w:val="24"/>
        </w:rPr>
        <w:t xml:space="preserve"> atbilstoši sasniedzamajam mērķim Nr.2 “Uzlabot derīgo izrakteņu atradņu reģistra informācijas un derīgo izrakteņu krājumu bilances sagatavošanas un atjaunināšanas efektivitāti un nodrošināt ticamu datu pieejamību”. Ģeoloģiskās informācijas sistēmas pilnveidošana un datu pieejamības uzlabošana, t.sk. valsts un pašvaldību funkciju atbalstam, tiek plānota atbilstoši projekta laika grafikam un pieejamajam finansējumam šī mērķa sasniegšanai.</w:t>
      </w:r>
    </w:p>
    <w:p w:rsidR="00903154" w:rsidRPr="00EC23E3" w:rsidP="00CC256C" w14:paraId="21B6024C" w14:textId="77777777">
      <w:pPr>
        <w:widowControl/>
        <w:spacing w:after="120" w:line="240" w:lineRule="auto"/>
        <w:ind w:firstLine="720"/>
        <w:jc w:val="both"/>
        <w:rPr>
          <w:rFonts w:ascii="Times New Roman" w:hAnsi="Times New Roman"/>
          <w:sz w:val="24"/>
          <w:szCs w:val="24"/>
        </w:rPr>
      </w:pPr>
    </w:p>
    <w:p w:rsidR="0075306E" w:rsidRPr="00835C96" w:rsidP="00903154" w14:paraId="4BC4DFBA" w14:textId="391D6B6D">
      <w:pPr>
        <w:spacing w:after="120" w:line="240" w:lineRule="auto"/>
        <w:ind w:firstLine="720"/>
        <w:jc w:val="both"/>
        <w:rPr>
          <w:rFonts w:ascii="Times New Roman" w:hAnsi="Times New Roman"/>
          <w:sz w:val="24"/>
          <w:szCs w:val="24"/>
        </w:rPr>
      </w:pPr>
      <w:r w:rsidRPr="00EC23E3">
        <w:rPr>
          <w:rFonts w:ascii="Times New Roman" w:hAnsi="Times New Roman"/>
          <w:sz w:val="24"/>
          <w:szCs w:val="24"/>
        </w:rPr>
        <w:t xml:space="preserve">6) </w:t>
      </w:r>
      <w:r w:rsidRPr="00EC23E3">
        <w:rPr>
          <w:rFonts w:ascii="Times New Roman" w:hAnsi="Times New Roman"/>
          <w:sz w:val="24"/>
          <w:szCs w:val="24"/>
        </w:rPr>
        <w:t xml:space="preserve">attīstījis arī </w:t>
      </w:r>
      <w:r w:rsidRPr="00EC23E3">
        <w:rPr>
          <w:rFonts w:ascii="Times New Roman" w:hAnsi="Times New Roman"/>
          <w:b/>
          <w:sz w:val="24"/>
          <w:szCs w:val="24"/>
        </w:rPr>
        <w:t>sadarbību ar vietējām zinātniskajām institūcijām</w:t>
      </w:r>
      <w:r w:rsidRPr="00EC23E3">
        <w:rPr>
          <w:rFonts w:ascii="Times New Roman" w:hAnsi="Times New Roman"/>
          <w:sz w:val="24"/>
          <w:szCs w:val="24"/>
        </w:rPr>
        <w:t xml:space="preserve"> zemes dzīļu jomā.</w:t>
      </w:r>
      <w:r w:rsidRPr="00EC23E3">
        <w:rPr>
          <w:rFonts w:ascii="Times New Roman" w:hAnsi="Times New Roman"/>
          <w:sz w:val="24"/>
          <w:szCs w:val="24"/>
        </w:rPr>
        <w:t xml:space="preserve"> </w:t>
      </w:r>
      <w:r w:rsidRPr="00EC23E3">
        <w:rPr>
          <w:rFonts w:ascii="Times New Roman" w:hAnsi="Times New Roman"/>
          <w:sz w:val="24"/>
          <w:szCs w:val="24"/>
        </w:rPr>
        <w:t>2016.</w:t>
      </w:r>
      <w:r w:rsidRPr="00EC23E3" w:rsidR="009518F4">
        <w:rPr>
          <w:rFonts w:ascii="Times New Roman" w:hAnsi="Times New Roman"/>
          <w:sz w:val="24"/>
          <w:szCs w:val="24"/>
        </w:rPr>
        <w:t xml:space="preserve"> </w:t>
      </w:r>
      <w:r w:rsidRPr="00EC23E3">
        <w:rPr>
          <w:rFonts w:ascii="Times New Roman" w:hAnsi="Times New Roman"/>
          <w:sz w:val="24"/>
          <w:szCs w:val="24"/>
        </w:rPr>
        <w:t>gadā noslēgts sadarbības līgums starp LVĢMC un Latvijas Universitāti par mērķsadarbību zināšanu un tehnoloģiju pārnesē, t.sk. zemes zinātnēs. Tiek īstenota LVĢMC iesai</w:t>
      </w:r>
      <w:r w:rsidR="005A2F6E">
        <w:rPr>
          <w:rFonts w:ascii="Times New Roman" w:hAnsi="Times New Roman"/>
          <w:sz w:val="24"/>
          <w:szCs w:val="24"/>
        </w:rPr>
        <w:t>s</w:t>
      </w:r>
      <w:r w:rsidRPr="00EC23E3">
        <w:rPr>
          <w:rFonts w:ascii="Times New Roman" w:hAnsi="Times New Roman"/>
          <w:sz w:val="24"/>
          <w:szCs w:val="24"/>
        </w:rPr>
        <w:t xml:space="preserve">te ģeoloģijas nozares studiju kursu pilnveidošanā, t.sk. nodrošinot specifiskas ģeoloģiskās informācijas pieejamību, prakses </w:t>
      </w:r>
      <w:bookmarkStart w:id="6" w:name="_GoBack"/>
      <w:bookmarkEnd w:id="6"/>
      <w:r w:rsidRPr="00EC23E3">
        <w:rPr>
          <w:rFonts w:ascii="Times New Roman" w:hAnsi="Times New Roman"/>
          <w:sz w:val="24"/>
          <w:szCs w:val="24"/>
        </w:rPr>
        <w:t>iespējas ģeoloģijas studentiem. Tāpat arī tikusi nodrošināta LVĢMC pārstāvniecība zemes zinātņu studiju kursu pilotakreditācijas procesā.</w:t>
      </w:r>
      <w:r w:rsidRPr="00EC23E3">
        <w:rPr>
          <w:rFonts w:ascii="Times New Roman" w:hAnsi="Times New Roman"/>
          <w:sz w:val="24"/>
          <w:szCs w:val="24"/>
        </w:rPr>
        <w:t xml:space="preserve"> </w:t>
      </w:r>
      <w:r w:rsidRPr="00EC23E3">
        <w:rPr>
          <w:rFonts w:ascii="Times New Roman" w:hAnsi="Times New Roman"/>
          <w:sz w:val="24"/>
          <w:szCs w:val="24"/>
        </w:rPr>
        <w:t xml:space="preserve">Tāpat arī tiek īstenota sadarbība ar Rīgas Tehniskās universitātes Vides Modelēšanas Centru Latvijas hidroģeoloģiskā modeļa </w:t>
      </w:r>
      <w:r w:rsidRPr="00EC23E3" w:rsidR="00EC23E3">
        <w:rPr>
          <w:rFonts w:ascii="Times New Roman" w:hAnsi="Times New Roman"/>
          <w:sz w:val="24"/>
          <w:szCs w:val="24"/>
        </w:rPr>
        <w:t>(</w:t>
      </w:r>
      <w:r w:rsidRPr="00EC23E3">
        <w:rPr>
          <w:rFonts w:ascii="Times New Roman" w:hAnsi="Times New Roman"/>
          <w:sz w:val="24"/>
          <w:szCs w:val="24"/>
        </w:rPr>
        <w:t>LAMO</w:t>
      </w:r>
      <w:r w:rsidRPr="00EC23E3" w:rsidR="00EC23E3">
        <w:rPr>
          <w:rFonts w:ascii="Times New Roman" w:hAnsi="Times New Roman"/>
          <w:sz w:val="24"/>
          <w:szCs w:val="24"/>
        </w:rPr>
        <w:t>)</w:t>
      </w:r>
      <w:r w:rsidRPr="00EC23E3">
        <w:rPr>
          <w:rFonts w:ascii="Times New Roman" w:hAnsi="Times New Roman"/>
          <w:sz w:val="24"/>
          <w:szCs w:val="24"/>
        </w:rPr>
        <w:t xml:space="preserve"> pielietošanā, nodrošinot sistemātisku LVĢMC speciālistu apmācību procesu.</w:t>
      </w:r>
      <w:r w:rsidRPr="00835C96">
        <w:rPr>
          <w:rFonts w:ascii="Times New Roman" w:hAnsi="Times New Roman"/>
          <w:sz w:val="24"/>
          <w:szCs w:val="24"/>
        </w:rPr>
        <w:t xml:space="preserve"> </w:t>
      </w:r>
    </w:p>
    <w:p w:rsidR="00FE7A3B" w:rsidRPr="00835C96" w:rsidP="00CC256C" w14:paraId="2908BE6E" w14:textId="77777777">
      <w:pPr>
        <w:spacing w:after="120" w:line="240" w:lineRule="auto"/>
        <w:ind w:firstLine="720"/>
        <w:jc w:val="both"/>
        <w:rPr>
          <w:rFonts w:ascii="Times New Roman" w:hAnsi="Times New Roman"/>
          <w:sz w:val="24"/>
          <w:szCs w:val="24"/>
        </w:rPr>
      </w:pPr>
    </w:p>
    <w:p w:rsidR="00CC256C" w:rsidRPr="00835C96" w:rsidP="00542B72" w14:paraId="680E2071" w14:textId="078B0DFC">
      <w:pPr>
        <w:widowControl/>
        <w:spacing w:after="120" w:line="240" w:lineRule="auto"/>
        <w:ind w:firstLine="720"/>
        <w:jc w:val="both"/>
        <w:rPr>
          <w:rFonts w:ascii="Times New Roman" w:hAnsi="Times New Roman"/>
          <w:iCs/>
          <w:sz w:val="24"/>
          <w:szCs w:val="24"/>
        </w:rPr>
      </w:pPr>
      <w:r w:rsidRPr="00835C96">
        <w:rPr>
          <w:rFonts w:ascii="Times New Roman" w:hAnsi="Times New Roman"/>
          <w:b/>
          <w:iCs/>
          <w:sz w:val="24"/>
          <w:szCs w:val="24"/>
        </w:rPr>
        <w:t xml:space="preserve"> </w:t>
      </w:r>
      <w:r w:rsidRPr="00835C96" w:rsidR="00132BCB">
        <w:rPr>
          <w:rFonts w:ascii="Times New Roman" w:hAnsi="Times New Roman"/>
          <w:b/>
          <w:iCs/>
          <w:sz w:val="24"/>
          <w:szCs w:val="24"/>
        </w:rPr>
        <w:t>[</w:t>
      </w:r>
      <w:r w:rsidRPr="00835C96">
        <w:rPr>
          <w:rFonts w:ascii="Times New Roman" w:hAnsi="Times New Roman"/>
          <w:b/>
          <w:iCs/>
          <w:sz w:val="24"/>
          <w:szCs w:val="24"/>
        </w:rPr>
        <w:t>2</w:t>
      </w:r>
      <w:r w:rsidRPr="00835C96" w:rsidR="00132BCB">
        <w:rPr>
          <w:rFonts w:ascii="Times New Roman" w:hAnsi="Times New Roman"/>
          <w:b/>
          <w:iCs/>
          <w:sz w:val="24"/>
          <w:szCs w:val="24"/>
        </w:rPr>
        <w:t>]</w:t>
      </w:r>
      <w:r w:rsidRPr="00835C96" w:rsidR="00542B72">
        <w:rPr>
          <w:rFonts w:ascii="Times New Roman" w:hAnsi="Times New Roman"/>
          <w:iCs/>
          <w:sz w:val="24"/>
          <w:szCs w:val="24"/>
        </w:rPr>
        <w:t xml:space="preserve"> I</w:t>
      </w:r>
      <w:r w:rsidRPr="00835C96">
        <w:rPr>
          <w:rFonts w:ascii="Times New Roman" w:hAnsi="Times New Roman"/>
          <w:iCs/>
          <w:sz w:val="24"/>
          <w:szCs w:val="24"/>
        </w:rPr>
        <w:t xml:space="preserve">nformējam, ka </w:t>
      </w:r>
      <w:r w:rsidRPr="00835C96" w:rsidR="00542B72">
        <w:rPr>
          <w:rFonts w:ascii="Times New Roman" w:hAnsi="Times New Roman"/>
          <w:iCs/>
          <w:sz w:val="24"/>
          <w:szCs w:val="24"/>
        </w:rPr>
        <w:t xml:space="preserve">ministrija </w:t>
      </w:r>
      <w:r w:rsidRPr="00835C96">
        <w:rPr>
          <w:rFonts w:ascii="Times New Roman" w:hAnsi="Times New Roman"/>
          <w:iCs/>
          <w:sz w:val="24"/>
          <w:szCs w:val="24"/>
        </w:rPr>
        <w:t>izstrādājot Rīcības plānu Latgales reģiona attīstībai 2018.-2020.</w:t>
      </w:r>
      <w:r w:rsidRPr="00835C96" w:rsidR="009518F4">
        <w:rPr>
          <w:rFonts w:ascii="Times New Roman" w:hAnsi="Times New Roman"/>
          <w:iCs/>
          <w:sz w:val="24"/>
          <w:szCs w:val="24"/>
        </w:rPr>
        <w:t xml:space="preserve"> </w:t>
      </w:r>
      <w:r w:rsidRPr="00835C96">
        <w:rPr>
          <w:rFonts w:ascii="Times New Roman" w:hAnsi="Times New Roman"/>
          <w:iCs/>
          <w:sz w:val="24"/>
          <w:szCs w:val="24"/>
        </w:rPr>
        <w:t xml:space="preserve">gadam, </w:t>
      </w:r>
      <w:r w:rsidRPr="00835C96" w:rsidR="00542B72">
        <w:rPr>
          <w:rFonts w:ascii="Times New Roman" w:hAnsi="Times New Roman"/>
          <w:iCs/>
          <w:sz w:val="24"/>
          <w:szCs w:val="24"/>
        </w:rPr>
        <w:t>izvērtē</w:t>
      </w:r>
      <w:r w:rsidRPr="00835C96">
        <w:rPr>
          <w:rFonts w:ascii="Times New Roman" w:hAnsi="Times New Roman"/>
          <w:iCs/>
          <w:sz w:val="24"/>
          <w:szCs w:val="24"/>
        </w:rPr>
        <w:t xml:space="preserve"> iespēj</w:t>
      </w:r>
      <w:r w:rsidRPr="00835C96" w:rsidR="00542B72">
        <w:rPr>
          <w:rFonts w:ascii="Times New Roman" w:hAnsi="Times New Roman"/>
          <w:iCs/>
          <w:sz w:val="24"/>
          <w:szCs w:val="24"/>
        </w:rPr>
        <w:t>u</w:t>
      </w:r>
      <w:r w:rsidRPr="00835C96">
        <w:rPr>
          <w:rFonts w:ascii="Times New Roman" w:hAnsi="Times New Roman"/>
          <w:iCs/>
          <w:sz w:val="24"/>
          <w:szCs w:val="24"/>
        </w:rPr>
        <w:t xml:space="preserve"> iekļaut pasākumus kūdras nozares attīstībai reģionā</w:t>
      </w:r>
    </w:p>
    <w:p w:rsidR="00542B72" w:rsidRPr="00542B72" w:rsidP="00542B72" w14:paraId="00FF84FE" w14:textId="77777777">
      <w:pPr>
        <w:widowControl/>
        <w:spacing w:after="120" w:line="240" w:lineRule="auto"/>
        <w:ind w:firstLine="720"/>
        <w:jc w:val="both"/>
        <w:rPr>
          <w:rFonts w:ascii="Times New Roman" w:hAnsi="Times New Roman"/>
          <w:sz w:val="24"/>
          <w:szCs w:val="24"/>
        </w:rPr>
      </w:pPr>
    </w:p>
    <w:p w:rsidR="005A2F6E" w:rsidRPr="00E80A25" w:rsidP="00A76EEE" w14:paraId="5DD1EF8E" w14:textId="29D6662D">
      <w:pPr>
        <w:tabs>
          <w:tab w:val="left" w:pos="0"/>
        </w:tabs>
        <w:spacing w:after="120" w:line="240" w:lineRule="auto"/>
        <w:jc w:val="both"/>
        <w:rPr>
          <w:rFonts w:ascii="Times New Roman" w:hAnsi="Times New Roman"/>
          <w:sz w:val="24"/>
          <w:szCs w:val="24"/>
        </w:rPr>
      </w:pPr>
      <w:r>
        <w:rPr>
          <w:rFonts w:ascii="Times New Roman" w:hAnsi="Times New Roman"/>
          <w:sz w:val="24"/>
          <w:szCs w:val="24"/>
        </w:rPr>
        <w:tab/>
      </w:r>
      <w:r w:rsidR="00B57B54">
        <w:rPr>
          <w:rFonts w:ascii="Times New Roman" w:hAnsi="Times New Roman"/>
          <w:sz w:val="24"/>
          <w:szCs w:val="24"/>
        </w:rPr>
        <w:t xml:space="preserve"> </w:t>
      </w:r>
    </w:p>
    <w:p w:rsidR="005A2F6E" w:rsidP="005A2F6E" w14:paraId="59DFF46C" w14:textId="77777777">
      <w:pPr>
        <w:pStyle w:val="naisf"/>
        <w:tabs>
          <w:tab w:val="left" w:pos="7230"/>
        </w:tabs>
        <w:spacing w:before="0" w:after="0"/>
        <w:ind w:firstLine="0"/>
      </w:pPr>
      <w:r>
        <w:t>Ministru prezidents</w:t>
      </w:r>
      <w:r>
        <w:tab/>
        <w:t>M.Kučinskis</w:t>
      </w:r>
    </w:p>
    <w:p w:rsidR="005A2F6E" w:rsidP="005A2F6E" w14:paraId="7FB0CB44" w14:textId="77777777">
      <w:pPr>
        <w:pStyle w:val="naisf"/>
        <w:spacing w:before="0" w:after="0"/>
        <w:ind w:firstLine="0"/>
      </w:pPr>
    </w:p>
    <w:p w:rsidR="005A2F6E" w:rsidP="005A2F6E" w14:paraId="3C72EF75" w14:textId="77777777">
      <w:pPr>
        <w:pStyle w:val="naisf"/>
        <w:spacing w:before="0" w:after="0"/>
        <w:ind w:firstLine="0"/>
      </w:pPr>
    </w:p>
    <w:p w:rsidR="005A2F6E" w:rsidP="005A2F6E" w14:paraId="205929CE" w14:textId="77777777">
      <w:pPr>
        <w:pStyle w:val="naisf"/>
        <w:spacing w:before="0" w:after="0"/>
        <w:ind w:firstLine="0"/>
      </w:pPr>
    </w:p>
    <w:p w:rsidR="005A2F6E" w:rsidP="005A2F6E" w14:paraId="17A5968F" w14:textId="77777777">
      <w:pPr>
        <w:pStyle w:val="naisf"/>
        <w:spacing w:before="0" w:after="0"/>
        <w:ind w:firstLine="0"/>
      </w:pPr>
      <w:r>
        <w:t>Iesniedzējs:</w:t>
      </w:r>
    </w:p>
    <w:p w:rsidR="005A2F6E" w:rsidP="005A2F6E" w14:paraId="468DB3CE" w14:textId="77777777">
      <w:pPr>
        <w:pStyle w:val="naisf"/>
        <w:spacing w:before="0" w:after="0"/>
        <w:ind w:firstLine="0"/>
      </w:pPr>
      <w:r>
        <w:t>Vides aizsardzības un reģionālās</w:t>
      </w:r>
    </w:p>
    <w:p w:rsidR="005A2F6E" w:rsidP="005A2F6E" w14:paraId="4537C718" w14:textId="77777777">
      <w:pPr>
        <w:pStyle w:val="naisf"/>
        <w:tabs>
          <w:tab w:val="left" w:pos="7230"/>
        </w:tabs>
        <w:spacing w:before="0" w:after="0"/>
        <w:ind w:firstLine="0"/>
      </w:pPr>
      <w:r>
        <w:t>attīstības ministrs</w:t>
      </w:r>
      <w:r>
        <w:tab/>
        <w:t>K.Gerhards</w:t>
      </w:r>
    </w:p>
    <w:p w:rsidR="005A2F6E" w:rsidP="005A2F6E" w14:paraId="07DDB4B8" w14:textId="77777777">
      <w:pPr>
        <w:pStyle w:val="naisf"/>
        <w:tabs>
          <w:tab w:val="left" w:pos="7230"/>
        </w:tabs>
        <w:spacing w:before="0" w:after="0"/>
        <w:ind w:firstLine="0"/>
      </w:pPr>
    </w:p>
    <w:p w:rsidR="00A069CD" w:rsidP="005A2F6E" w14:paraId="532E01B5" w14:textId="77777777">
      <w:pPr>
        <w:pStyle w:val="naisf"/>
        <w:tabs>
          <w:tab w:val="left" w:pos="7230"/>
        </w:tabs>
        <w:spacing w:before="0" w:after="0"/>
        <w:ind w:firstLine="0"/>
      </w:pPr>
    </w:p>
    <w:p w:rsidR="005A2F6E" w:rsidP="005A2F6E" w14:paraId="5F6AB7E1" w14:textId="77777777">
      <w:pPr>
        <w:pStyle w:val="naisf"/>
        <w:tabs>
          <w:tab w:val="left" w:pos="7230"/>
        </w:tabs>
        <w:spacing w:before="0" w:after="0"/>
        <w:ind w:firstLine="0"/>
      </w:pPr>
      <w:r>
        <w:t>Vizē:</w:t>
      </w:r>
    </w:p>
    <w:p w:rsidR="005A2F6E" w:rsidP="005A2F6E" w14:paraId="1C1D260E" w14:textId="77777777">
      <w:pPr>
        <w:pStyle w:val="BodyTextIndent"/>
        <w:tabs>
          <w:tab w:val="left" w:pos="7371"/>
        </w:tabs>
        <w:spacing w:before="0" w:after="0"/>
        <w:ind w:left="0"/>
        <w:jc w:val="both"/>
        <w:rPr>
          <w:sz w:val="24"/>
          <w:szCs w:val="24"/>
        </w:rPr>
      </w:pPr>
      <w:r>
        <w:rPr>
          <w:sz w:val="24"/>
          <w:szCs w:val="24"/>
        </w:rPr>
        <w:t xml:space="preserve">Vides aizsardzības un reģionālās </w:t>
      </w:r>
    </w:p>
    <w:p w:rsidR="005A2F6E" w:rsidRPr="00163476" w:rsidP="005A2F6E" w14:paraId="2549AF78" w14:textId="77777777">
      <w:pPr>
        <w:pStyle w:val="BodyTextIndent"/>
        <w:tabs>
          <w:tab w:val="left" w:pos="7371"/>
        </w:tabs>
        <w:spacing w:before="0" w:after="0"/>
        <w:ind w:left="0"/>
        <w:jc w:val="both"/>
        <w:rPr>
          <w:sz w:val="24"/>
          <w:szCs w:val="24"/>
        </w:rPr>
      </w:pPr>
      <w:r w:rsidRPr="00163476">
        <w:rPr>
          <w:sz w:val="24"/>
          <w:szCs w:val="24"/>
        </w:rPr>
        <w:t>attīstības ministrijas valsts sekretārs</w:t>
      </w:r>
      <w:r w:rsidRPr="00163476">
        <w:rPr>
          <w:sz w:val="24"/>
          <w:szCs w:val="24"/>
        </w:rPr>
        <w:tab/>
        <w:t>R.Muciņš</w:t>
      </w:r>
    </w:p>
    <w:p w:rsidR="005A2F6E" w:rsidP="005A2F6E" w14:paraId="16DD53E8" w14:textId="77777777">
      <w:pPr>
        <w:spacing w:after="0" w:line="240" w:lineRule="auto"/>
        <w:rPr>
          <w:rFonts w:ascii="Times New Roman" w:hAnsi="Times New Roman"/>
          <w:sz w:val="20"/>
          <w:szCs w:val="20"/>
        </w:rPr>
      </w:pPr>
      <w:bookmarkStart w:id="7" w:name="OLE_LINK6"/>
      <w:bookmarkStart w:id="8" w:name="OLE_LINK7"/>
      <w:bookmarkStart w:id="9" w:name="OLE_LINK2"/>
    </w:p>
    <w:p w:rsidR="005A2F6E" w:rsidP="005A2F6E" w14:paraId="43E89F6E" w14:textId="77777777">
      <w:pPr>
        <w:spacing w:after="0" w:line="240" w:lineRule="auto"/>
        <w:rPr>
          <w:rFonts w:ascii="Times New Roman" w:hAnsi="Times New Roman"/>
          <w:sz w:val="20"/>
          <w:szCs w:val="20"/>
        </w:rPr>
      </w:pPr>
    </w:p>
    <w:p w:rsidR="005A2F6E" w:rsidP="005A2F6E" w14:paraId="4E3928FC" w14:textId="77777777">
      <w:pPr>
        <w:spacing w:after="0" w:line="240" w:lineRule="auto"/>
        <w:rPr>
          <w:rFonts w:ascii="Times New Roman" w:hAnsi="Times New Roman"/>
          <w:sz w:val="20"/>
          <w:szCs w:val="20"/>
        </w:rPr>
      </w:pPr>
    </w:p>
    <w:p w:rsidR="005A2F6E" w:rsidP="005A2F6E" w14:paraId="01E62637" w14:textId="77777777">
      <w:pPr>
        <w:spacing w:after="0" w:line="240" w:lineRule="auto"/>
        <w:rPr>
          <w:rFonts w:ascii="Times New Roman" w:hAnsi="Times New Roman"/>
          <w:sz w:val="20"/>
          <w:szCs w:val="20"/>
        </w:rPr>
      </w:pPr>
    </w:p>
    <w:p w:rsidR="005A2F6E" w:rsidP="005A2F6E" w14:paraId="7554B736" w14:textId="77777777">
      <w:pPr>
        <w:spacing w:after="0" w:line="240" w:lineRule="auto"/>
        <w:rPr>
          <w:rFonts w:ascii="Times New Roman" w:hAnsi="Times New Roman"/>
          <w:sz w:val="20"/>
          <w:szCs w:val="20"/>
        </w:rPr>
      </w:pPr>
    </w:p>
    <w:p w:rsidR="005A2F6E" w:rsidP="005A2F6E" w14:paraId="4E058B67" w14:textId="77777777">
      <w:pPr>
        <w:spacing w:after="0" w:line="240" w:lineRule="auto"/>
        <w:rPr>
          <w:rFonts w:ascii="Times New Roman" w:hAnsi="Times New Roman"/>
          <w:sz w:val="20"/>
          <w:szCs w:val="20"/>
        </w:rPr>
      </w:pPr>
    </w:p>
    <w:p w:rsidR="005A2F6E" w:rsidP="005A2F6E" w14:paraId="78478BF3" w14:textId="77777777">
      <w:pPr>
        <w:spacing w:after="0" w:line="240" w:lineRule="auto"/>
        <w:rPr>
          <w:rFonts w:ascii="Times New Roman" w:hAnsi="Times New Roman"/>
          <w:sz w:val="20"/>
          <w:szCs w:val="20"/>
        </w:rPr>
      </w:pPr>
      <w:r>
        <w:rPr>
          <w:rFonts w:ascii="Times New Roman" w:hAnsi="Times New Roman"/>
          <w:sz w:val="20"/>
          <w:szCs w:val="20"/>
        </w:rPr>
        <w:t>S.Balka</w:t>
      </w:r>
    </w:p>
    <w:p w:rsidR="00304E1B" w:rsidP="009C1C4A" w14:paraId="6BD0DF10" w14:textId="1260D238">
      <w:pPr>
        <w:spacing w:after="0" w:line="240" w:lineRule="auto"/>
        <w:rPr>
          <w:rFonts w:ascii="Times New Roman" w:hAnsi="Times New Roman"/>
          <w:color w:val="0000FF"/>
          <w:sz w:val="20"/>
          <w:szCs w:val="20"/>
          <w:u w:val="single"/>
        </w:rPr>
      </w:pPr>
      <w:r>
        <w:rPr>
          <w:rFonts w:ascii="Times New Roman" w:hAnsi="Times New Roman"/>
          <w:sz w:val="20"/>
          <w:szCs w:val="20"/>
        </w:rPr>
        <w:t>67026916</w:t>
      </w:r>
      <w:r w:rsidR="00B57B54">
        <w:rPr>
          <w:rFonts w:ascii="Times New Roman" w:hAnsi="Times New Roman"/>
          <w:sz w:val="20"/>
          <w:szCs w:val="20"/>
        </w:rPr>
        <w:t xml:space="preserve">, </w:t>
      </w:r>
      <w:r>
        <w:fldChar w:fldCharType="begin"/>
      </w:r>
      <w:r>
        <w:instrText xml:space="preserve"> HYPERLINK "mailto:Sandija.Balka@varam.gov.lv" </w:instrText>
      </w:r>
      <w:r>
        <w:fldChar w:fldCharType="separate"/>
      </w:r>
      <w:r w:rsidRPr="007854C6">
        <w:rPr>
          <w:rStyle w:val="Hyperlink"/>
          <w:rFonts w:ascii="Times New Roman" w:hAnsi="Times New Roman"/>
          <w:sz w:val="20"/>
          <w:szCs w:val="20"/>
        </w:rPr>
        <w:t>Sandija.Balka@varam.gov.lv</w:t>
      </w:r>
      <w:r>
        <w:fldChar w:fldCharType="end"/>
      </w:r>
      <w:bookmarkEnd w:id="7"/>
      <w:bookmarkEnd w:id="8"/>
      <w:bookmarkEnd w:id="9"/>
    </w:p>
    <w:p w:rsidR="00304E1B" w:rsidRPr="00304E1B" w:rsidP="00304E1B" w14:paraId="287998BE" w14:textId="77777777">
      <w:pPr>
        <w:rPr>
          <w:rFonts w:ascii="Times New Roman" w:hAnsi="Times New Roman"/>
          <w:sz w:val="20"/>
          <w:szCs w:val="20"/>
        </w:rPr>
      </w:pPr>
    </w:p>
    <w:p w:rsidR="00304E1B" w:rsidRPr="00304E1B" w:rsidP="00304E1B" w14:paraId="0F271C4E" w14:textId="77777777">
      <w:pPr>
        <w:rPr>
          <w:rFonts w:ascii="Times New Roman" w:hAnsi="Times New Roman"/>
          <w:sz w:val="20"/>
          <w:szCs w:val="20"/>
        </w:rPr>
      </w:pPr>
    </w:p>
    <w:p w:rsidR="00304E1B" w:rsidRPr="00304E1B" w:rsidP="00304E1B" w14:paraId="3E7389B2" w14:textId="77777777">
      <w:pPr>
        <w:rPr>
          <w:rFonts w:ascii="Times New Roman" w:hAnsi="Times New Roman"/>
          <w:sz w:val="20"/>
          <w:szCs w:val="20"/>
        </w:rPr>
      </w:pPr>
    </w:p>
    <w:p w:rsidR="00304E1B" w:rsidRPr="00304E1B" w:rsidP="00304E1B" w14:paraId="6218E716" w14:textId="77777777">
      <w:pPr>
        <w:rPr>
          <w:rFonts w:ascii="Times New Roman" w:hAnsi="Times New Roman"/>
          <w:sz w:val="20"/>
          <w:szCs w:val="20"/>
        </w:rPr>
      </w:pPr>
    </w:p>
    <w:p w:rsidR="00304E1B" w:rsidRPr="00304E1B" w:rsidP="00304E1B" w14:paraId="183E7A6E" w14:textId="77777777">
      <w:pPr>
        <w:rPr>
          <w:rFonts w:ascii="Times New Roman" w:hAnsi="Times New Roman"/>
          <w:sz w:val="20"/>
          <w:szCs w:val="20"/>
        </w:rPr>
      </w:pPr>
    </w:p>
    <w:p w:rsidR="00304E1B" w:rsidRPr="00304E1B" w:rsidP="00304E1B" w14:paraId="7BD3D4B2" w14:textId="77777777">
      <w:pPr>
        <w:rPr>
          <w:rFonts w:ascii="Times New Roman" w:hAnsi="Times New Roman"/>
          <w:sz w:val="20"/>
          <w:szCs w:val="20"/>
        </w:rPr>
      </w:pPr>
    </w:p>
    <w:p w:rsidR="00304E1B" w:rsidRPr="00304E1B" w:rsidP="00304E1B" w14:paraId="261A3935" w14:textId="77777777">
      <w:pPr>
        <w:rPr>
          <w:rFonts w:ascii="Times New Roman" w:hAnsi="Times New Roman"/>
          <w:sz w:val="20"/>
          <w:szCs w:val="20"/>
        </w:rPr>
      </w:pPr>
    </w:p>
    <w:p w:rsidR="00304E1B" w:rsidRPr="00304E1B" w:rsidP="00304E1B" w14:paraId="50E57E82" w14:textId="77777777">
      <w:pPr>
        <w:rPr>
          <w:rFonts w:ascii="Times New Roman" w:hAnsi="Times New Roman"/>
          <w:sz w:val="20"/>
          <w:szCs w:val="20"/>
        </w:rPr>
      </w:pPr>
    </w:p>
    <w:p w:rsidR="00304E1B" w:rsidRPr="00304E1B" w:rsidP="00304E1B" w14:paraId="383D3A5B" w14:textId="77777777">
      <w:pPr>
        <w:rPr>
          <w:rFonts w:ascii="Times New Roman" w:hAnsi="Times New Roman"/>
          <w:sz w:val="20"/>
          <w:szCs w:val="20"/>
        </w:rPr>
      </w:pPr>
    </w:p>
    <w:p w:rsidR="00304E1B" w:rsidRPr="00304E1B" w:rsidP="00304E1B" w14:paraId="01F5D7EF" w14:textId="77777777">
      <w:pPr>
        <w:rPr>
          <w:rFonts w:ascii="Times New Roman" w:hAnsi="Times New Roman"/>
          <w:sz w:val="20"/>
          <w:szCs w:val="20"/>
        </w:rPr>
      </w:pPr>
    </w:p>
    <w:p w:rsidR="00304E1B" w:rsidRPr="00304E1B" w:rsidP="00304E1B" w14:paraId="1F39DF5E" w14:textId="77777777">
      <w:pPr>
        <w:rPr>
          <w:rFonts w:ascii="Times New Roman" w:hAnsi="Times New Roman"/>
          <w:sz w:val="20"/>
          <w:szCs w:val="20"/>
        </w:rPr>
      </w:pPr>
    </w:p>
    <w:p w:rsidR="00304E1B" w:rsidRPr="00304E1B" w:rsidP="00304E1B" w14:paraId="112FB51B" w14:textId="77777777">
      <w:pPr>
        <w:rPr>
          <w:rFonts w:ascii="Times New Roman" w:hAnsi="Times New Roman"/>
          <w:sz w:val="20"/>
          <w:szCs w:val="20"/>
        </w:rPr>
      </w:pPr>
    </w:p>
    <w:p w:rsidR="00304E1B" w:rsidRPr="00304E1B" w:rsidP="00304E1B" w14:paraId="2DEB0A36" w14:textId="77777777">
      <w:pPr>
        <w:rPr>
          <w:rFonts w:ascii="Times New Roman" w:hAnsi="Times New Roman"/>
          <w:sz w:val="20"/>
          <w:szCs w:val="20"/>
        </w:rPr>
      </w:pPr>
    </w:p>
    <w:p w:rsidR="00304E1B" w:rsidRPr="00304E1B" w:rsidP="00304E1B" w14:paraId="15675875" w14:textId="77777777">
      <w:pPr>
        <w:rPr>
          <w:rFonts w:ascii="Times New Roman" w:hAnsi="Times New Roman"/>
          <w:sz w:val="20"/>
          <w:szCs w:val="20"/>
        </w:rPr>
      </w:pPr>
    </w:p>
    <w:p w:rsidR="00304E1B" w:rsidRPr="00304E1B" w:rsidP="00304E1B" w14:paraId="35E92063" w14:textId="77777777">
      <w:pPr>
        <w:rPr>
          <w:rFonts w:ascii="Times New Roman" w:hAnsi="Times New Roman"/>
          <w:sz w:val="20"/>
          <w:szCs w:val="20"/>
        </w:rPr>
      </w:pPr>
    </w:p>
    <w:p w:rsidR="00304E1B" w:rsidRPr="00304E1B" w:rsidP="00304E1B" w14:paraId="61C45929" w14:textId="77777777">
      <w:pPr>
        <w:rPr>
          <w:rFonts w:ascii="Times New Roman" w:hAnsi="Times New Roman"/>
          <w:sz w:val="20"/>
          <w:szCs w:val="20"/>
        </w:rPr>
      </w:pPr>
    </w:p>
    <w:p w:rsidR="00304E1B" w:rsidP="00304E1B" w14:paraId="276D73E1" w14:textId="449D62DE">
      <w:pPr>
        <w:rPr>
          <w:rFonts w:ascii="Times New Roman" w:hAnsi="Times New Roman"/>
          <w:sz w:val="20"/>
          <w:szCs w:val="20"/>
        </w:rPr>
      </w:pPr>
    </w:p>
    <w:p w:rsidR="005A2F6E" w:rsidRPr="00304E1B" w:rsidP="00304E1B" w14:paraId="64E6CAD8" w14:textId="0500A567">
      <w:pPr>
        <w:tabs>
          <w:tab w:val="left" w:pos="1508"/>
        </w:tabs>
        <w:rPr>
          <w:rFonts w:ascii="Times New Roman" w:hAnsi="Times New Roman"/>
          <w:sz w:val="20"/>
          <w:szCs w:val="20"/>
        </w:rPr>
      </w:pPr>
      <w:r>
        <w:rPr>
          <w:rFonts w:ascii="Times New Roman" w:hAnsi="Times New Roman"/>
          <w:sz w:val="20"/>
          <w:szCs w:val="20"/>
        </w:rPr>
        <w:tab/>
      </w:r>
    </w:p>
    <w:sectPr w:rsidSect="005A2F6E">
      <w:headerReference w:type="default" r:id="rId5"/>
      <w:footerReference w:type="default" r:id="rId6"/>
      <w:headerReference w:type="first" r:id="rId7"/>
      <w:footerReference w:type="first" r:id="rId8"/>
      <w:type w:val="continuous"/>
      <w:pgSz w:w="11920" w:h="16840"/>
      <w:pgMar w:top="1134" w:right="863" w:bottom="1134" w:left="1701" w:header="709" w:footer="5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F6E" w:rsidRPr="00132BCB" w:rsidP="00132BCB" w14:paraId="09BC9D6D" w14:textId="6D4C60D1">
    <w:pPr>
      <w:pStyle w:val="Footer"/>
      <w:jc w:val="both"/>
      <w:rPr>
        <w:rFonts w:ascii="Times New Roman" w:hAnsi="Times New Roman"/>
        <w:sz w:val="20"/>
        <w:szCs w:val="20"/>
      </w:rPr>
    </w:pPr>
    <w:r w:rsidRPr="00A706DE">
      <w:rPr>
        <w:rFonts w:ascii="Times New Roman" w:hAnsi="Times New Roman"/>
        <w:sz w:val="20"/>
        <w:szCs w:val="20"/>
      </w:rPr>
      <w:t>VARAMvest_</w:t>
    </w:r>
    <w:r>
      <w:rPr>
        <w:rFonts w:ascii="Times New Roman" w:hAnsi="Times New Roman"/>
        <w:sz w:val="20"/>
        <w:szCs w:val="20"/>
      </w:rPr>
      <w:t>1511</w:t>
    </w:r>
    <w:r w:rsidRPr="00A706DE">
      <w:rPr>
        <w:rFonts w:ascii="Times New Roman" w:hAnsi="Times New Roman"/>
        <w:sz w:val="20"/>
        <w:szCs w:val="20"/>
      </w:rPr>
      <w:t>17_</w:t>
    </w:r>
    <w:r>
      <w:rPr>
        <w:rFonts w:ascii="Times New Roman" w:hAnsi="Times New Roman"/>
        <w:sz w:val="20"/>
        <w:szCs w:val="20"/>
      </w:rPr>
      <w:t>IAS</w:t>
    </w:r>
    <w:r w:rsidRPr="00A706DE">
      <w:rPr>
        <w:rFonts w:ascii="Times New Roman" w:hAnsi="Times New Roman"/>
        <w:sz w:val="20"/>
        <w:szCs w:val="20"/>
      </w:rPr>
      <w:t xml:space="preserve">; </w:t>
    </w:r>
    <w:r>
      <w:rPr>
        <w:rFonts w:ascii="Times New Roman" w:hAnsi="Times New Roman"/>
        <w:sz w:val="20"/>
        <w:szCs w:val="20"/>
      </w:rPr>
      <w:t xml:space="preserve">Atbildes projekts Saeimas Ilgtspējīgas attīstības komisijai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F6E" w:rsidRPr="00A706DE" w:rsidP="005A2F6E" w14:paraId="497C89C4" w14:textId="61CA522F">
    <w:pPr>
      <w:pStyle w:val="Footer"/>
      <w:jc w:val="both"/>
      <w:rPr>
        <w:rFonts w:ascii="Times New Roman" w:hAnsi="Times New Roman"/>
        <w:sz w:val="20"/>
        <w:szCs w:val="20"/>
      </w:rPr>
    </w:pPr>
    <w:r w:rsidRPr="00A706DE">
      <w:rPr>
        <w:rFonts w:ascii="Times New Roman" w:hAnsi="Times New Roman"/>
        <w:sz w:val="20"/>
        <w:szCs w:val="20"/>
      </w:rPr>
      <w:t>VARAMvest_</w:t>
    </w:r>
    <w:r>
      <w:rPr>
        <w:rFonts w:ascii="Times New Roman" w:hAnsi="Times New Roman"/>
        <w:sz w:val="20"/>
        <w:szCs w:val="20"/>
      </w:rPr>
      <w:t>1511</w:t>
    </w:r>
    <w:r w:rsidRPr="00A706DE">
      <w:rPr>
        <w:rFonts w:ascii="Times New Roman" w:hAnsi="Times New Roman"/>
        <w:sz w:val="20"/>
        <w:szCs w:val="20"/>
      </w:rPr>
      <w:t>17_</w:t>
    </w:r>
    <w:r>
      <w:rPr>
        <w:rFonts w:ascii="Times New Roman" w:hAnsi="Times New Roman"/>
        <w:sz w:val="20"/>
        <w:szCs w:val="20"/>
      </w:rPr>
      <w:t>IAK</w:t>
    </w:r>
    <w:r w:rsidRPr="00A706DE">
      <w:rPr>
        <w:rFonts w:ascii="Times New Roman" w:hAnsi="Times New Roman"/>
        <w:sz w:val="20"/>
        <w:szCs w:val="20"/>
      </w:rPr>
      <w:t xml:space="preserve">; </w:t>
    </w:r>
    <w:r>
      <w:rPr>
        <w:rFonts w:ascii="Times New Roman" w:hAnsi="Times New Roman"/>
        <w:sz w:val="20"/>
        <w:szCs w:val="20"/>
      </w:rPr>
      <w:t xml:space="preserve">Atbildes projekts Saeimas Ilgtspējīgas attīstības komisijai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9771790"/>
      <w:docPartObj>
        <w:docPartGallery w:val="Page Numbers (Top of Page)"/>
        <w:docPartUnique/>
      </w:docPartObj>
    </w:sdtPr>
    <w:sdtEndPr>
      <w:rPr>
        <w:noProof/>
      </w:rPr>
    </w:sdtEndPr>
    <w:sdtContent>
      <w:p w:rsidR="005A2F6E" w14:paraId="3C4DC9EC" w14:textId="77777777">
        <w:pPr>
          <w:pStyle w:val="Header"/>
          <w:jc w:val="right"/>
        </w:pPr>
        <w:r>
          <w:fldChar w:fldCharType="begin"/>
        </w:r>
        <w:r>
          <w:instrText xml:space="preserve"> PAGE   \* MERGEFORMAT </w:instrText>
        </w:r>
        <w:r>
          <w:fldChar w:fldCharType="separate"/>
        </w:r>
        <w:r w:rsidR="00D04F28">
          <w:rPr>
            <w:noProof/>
          </w:rPr>
          <w:t>5</w:t>
        </w:r>
        <w:r>
          <w:rPr>
            <w:noProof/>
          </w:rPr>
          <w:fldChar w:fldCharType="end"/>
        </w:r>
      </w:p>
    </w:sdtContent>
  </w:sdt>
  <w:p w:rsidR="005A2F6E" w14:paraId="0F4842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2F6E" w:rsidP="005A2F6E" w14:paraId="7B5392B4" w14:textId="77777777">
    <w:pPr>
      <w:pStyle w:val="Header"/>
      <w:rPr>
        <w:rFonts w:ascii="Times New Roman" w:hAnsi="Times New Roman"/>
      </w:rPr>
    </w:pPr>
  </w:p>
  <w:p w:rsidR="005A2F6E" w14:paraId="502FF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0D222D4"/>
    <w:multiLevelType w:val="multilevel"/>
    <w:tmpl w:val="A480681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1F4951"/>
    <w:multiLevelType w:val="hybridMultilevel"/>
    <w:tmpl w:val="B366D05E"/>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27970410"/>
    <w:multiLevelType w:val="hybridMultilevel"/>
    <w:tmpl w:val="7A462F74"/>
    <w:lvl w:ilvl="0">
      <w:start w:val="1"/>
      <w:numFmt w:val="upperRoman"/>
      <w:lvlText w:val="%1."/>
      <w:lvlJc w:val="left"/>
      <w:pPr>
        <w:ind w:left="1571" w:hanging="72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nsid w:val="36F766E1"/>
    <w:multiLevelType w:val="hybridMultilevel"/>
    <w:tmpl w:val="0108C93A"/>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5">
    <w:nsid w:val="3BD76AC4"/>
    <w:multiLevelType w:val="hybridMultilevel"/>
    <w:tmpl w:val="2334CB36"/>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6BC63A6"/>
    <w:multiLevelType w:val="hybridMultilevel"/>
    <w:tmpl w:val="EF2061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D44275"/>
    <w:multiLevelType w:val="hybridMultilevel"/>
    <w:tmpl w:val="D80262AA"/>
    <w:lvl w:ilvl="0">
      <w:start w:val="1"/>
      <w:numFmt w:val="upperRoman"/>
      <w:lvlText w:val="%1."/>
      <w:lvlJc w:val="left"/>
      <w:pPr>
        <w:ind w:left="1571" w:hanging="72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D9A5630"/>
    <w:multiLevelType w:val="hybridMultilevel"/>
    <w:tmpl w:val="85269F24"/>
    <w:lvl w:ilvl="0">
      <w:start w:val="1"/>
      <w:numFmt w:val="decimal"/>
      <w:lvlText w:val="2.%1)"/>
      <w:lvlJc w:val="left"/>
      <w:pPr>
        <w:ind w:left="2651" w:hanging="360"/>
      </w:pPr>
      <w:rPr>
        <w:rFonts w:hint="default"/>
        <w:b w:val="0"/>
      </w:rPr>
    </w:lvl>
    <w:lvl w:ilvl="1" w:tentative="1">
      <w:start w:val="1"/>
      <w:numFmt w:val="lowerLetter"/>
      <w:lvlText w:val="%2."/>
      <w:lvlJc w:val="left"/>
      <w:pPr>
        <w:ind w:left="3371" w:hanging="360"/>
      </w:pPr>
    </w:lvl>
    <w:lvl w:ilvl="2" w:tentative="1">
      <w:start w:val="1"/>
      <w:numFmt w:val="lowerRoman"/>
      <w:lvlText w:val="%3."/>
      <w:lvlJc w:val="right"/>
      <w:pPr>
        <w:ind w:left="4091" w:hanging="180"/>
      </w:pPr>
    </w:lvl>
    <w:lvl w:ilvl="3" w:tentative="1">
      <w:start w:val="1"/>
      <w:numFmt w:val="decimal"/>
      <w:lvlText w:val="%4."/>
      <w:lvlJc w:val="left"/>
      <w:pPr>
        <w:ind w:left="4811" w:hanging="360"/>
      </w:pPr>
    </w:lvl>
    <w:lvl w:ilvl="4" w:tentative="1">
      <w:start w:val="1"/>
      <w:numFmt w:val="lowerLetter"/>
      <w:lvlText w:val="%5."/>
      <w:lvlJc w:val="left"/>
      <w:pPr>
        <w:ind w:left="5531" w:hanging="360"/>
      </w:pPr>
    </w:lvl>
    <w:lvl w:ilvl="5" w:tentative="1">
      <w:start w:val="1"/>
      <w:numFmt w:val="lowerRoman"/>
      <w:lvlText w:val="%6."/>
      <w:lvlJc w:val="right"/>
      <w:pPr>
        <w:ind w:left="6251" w:hanging="180"/>
      </w:pPr>
    </w:lvl>
    <w:lvl w:ilvl="6" w:tentative="1">
      <w:start w:val="1"/>
      <w:numFmt w:val="decimal"/>
      <w:lvlText w:val="%7."/>
      <w:lvlJc w:val="left"/>
      <w:pPr>
        <w:ind w:left="6971" w:hanging="360"/>
      </w:pPr>
    </w:lvl>
    <w:lvl w:ilvl="7" w:tentative="1">
      <w:start w:val="1"/>
      <w:numFmt w:val="lowerLetter"/>
      <w:lvlText w:val="%8."/>
      <w:lvlJc w:val="left"/>
      <w:pPr>
        <w:ind w:left="7691" w:hanging="360"/>
      </w:pPr>
    </w:lvl>
    <w:lvl w:ilvl="8" w:tentative="1">
      <w:start w:val="1"/>
      <w:numFmt w:val="lowerRoman"/>
      <w:lvlText w:val="%9."/>
      <w:lvlJc w:val="right"/>
      <w:pPr>
        <w:ind w:left="8411" w:hanging="180"/>
      </w:pPr>
    </w:lvl>
  </w:abstractNum>
  <w:abstractNum w:abstractNumId="19">
    <w:nsid w:val="51351C15"/>
    <w:multiLevelType w:val="hybridMultilevel"/>
    <w:tmpl w:val="217866C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0">
    <w:nsid w:val="598872B0"/>
    <w:multiLevelType w:val="hybridMultilevel"/>
    <w:tmpl w:val="20163E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D6C3A10"/>
    <w:multiLevelType w:val="hybridMultilevel"/>
    <w:tmpl w:val="FA121F44"/>
    <w:lvl w:ilvl="0">
      <w:start w:val="0"/>
      <w:numFmt w:val="bullet"/>
      <w:lvlText w:val="-"/>
      <w:lvlJc w:val="left"/>
      <w:pPr>
        <w:ind w:left="644" w:hanging="360"/>
      </w:pPr>
      <w:rPr>
        <w:rFonts w:ascii="Times New Roman" w:eastAsia="Times New Roman" w:hAnsi="Times New Roman" w:cs="Times New Roman"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2">
    <w:nsid w:val="61361049"/>
    <w:multiLevelType w:val="hybridMultilevel"/>
    <w:tmpl w:val="58A04A26"/>
    <w:lvl w:ilvl="0">
      <w:start w:val="1"/>
      <w:numFmt w:val="decimal"/>
      <w:lvlText w:val="%1)"/>
      <w:lvlJc w:val="left"/>
      <w:pPr>
        <w:ind w:left="1211" w:hanging="36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614D22C4"/>
    <w:multiLevelType w:val="hybridMultilevel"/>
    <w:tmpl w:val="D082A816"/>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66714E28"/>
    <w:multiLevelType w:val="hybridMultilevel"/>
    <w:tmpl w:val="BCEAEFD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4"/>
  </w:num>
  <w:num w:numId="14">
    <w:abstractNumId w:val="23"/>
  </w:num>
  <w:num w:numId="15">
    <w:abstractNumId w:val="14"/>
  </w:num>
  <w:num w:numId="16">
    <w:abstractNumId w:val="13"/>
  </w:num>
  <w:num w:numId="17">
    <w:abstractNumId w:val="17"/>
  </w:num>
  <w:num w:numId="18">
    <w:abstractNumId w:val="15"/>
  </w:num>
  <w:num w:numId="19">
    <w:abstractNumId w:val="18"/>
  </w:num>
  <w:num w:numId="20">
    <w:abstractNumId w:val="22"/>
  </w:num>
  <w:num w:numId="21">
    <w:abstractNumId w:val="11"/>
  </w:num>
  <w:num w:numId="22">
    <w:abstractNumId w:val="21"/>
  </w:num>
  <w:num w:numId="23">
    <w:abstractNumId w:val="2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51"/>
    <w:rsid w:val="00124E26"/>
    <w:rsid w:val="00132BCB"/>
    <w:rsid w:val="00163476"/>
    <w:rsid w:val="0017522E"/>
    <w:rsid w:val="00197599"/>
    <w:rsid w:val="00304E1B"/>
    <w:rsid w:val="00360153"/>
    <w:rsid w:val="00363B21"/>
    <w:rsid w:val="00416C5C"/>
    <w:rsid w:val="00526272"/>
    <w:rsid w:val="00542B72"/>
    <w:rsid w:val="005A2F6E"/>
    <w:rsid w:val="006C57F8"/>
    <w:rsid w:val="00741435"/>
    <w:rsid w:val="0075306E"/>
    <w:rsid w:val="00771C51"/>
    <w:rsid w:val="007854C6"/>
    <w:rsid w:val="007865D9"/>
    <w:rsid w:val="00835C96"/>
    <w:rsid w:val="008576EC"/>
    <w:rsid w:val="00903154"/>
    <w:rsid w:val="009518F4"/>
    <w:rsid w:val="009C1C4A"/>
    <w:rsid w:val="00A069CD"/>
    <w:rsid w:val="00A24CB7"/>
    <w:rsid w:val="00A706DE"/>
    <w:rsid w:val="00A76EEE"/>
    <w:rsid w:val="00B138DA"/>
    <w:rsid w:val="00B57B54"/>
    <w:rsid w:val="00CC256C"/>
    <w:rsid w:val="00CE659B"/>
    <w:rsid w:val="00D04F28"/>
    <w:rsid w:val="00D61114"/>
    <w:rsid w:val="00D64BA0"/>
    <w:rsid w:val="00DE4C2B"/>
    <w:rsid w:val="00E80A25"/>
    <w:rsid w:val="00EC23E3"/>
    <w:rsid w:val="00F5463D"/>
    <w:rsid w:val="00F86C66"/>
    <w:rsid w:val="00FC2419"/>
    <w:rsid w:val="00FE7A3B"/>
    <w:rsid w:val="00FF5F2C"/>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3AE2F2FE-DC87-4641-A3C6-415A26B8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7530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customStyle="1" w:styleId="naisf">
    <w:name w:val="naisf"/>
    <w:basedOn w:val="Normal"/>
    <w:rsid w:val="008036C7"/>
    <w:pPr>
      <w:widowControl/>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8036C7"/>
    <w:pPr>
      <w:ind w:left="720"/>
      <w:contextualSpacing/>
    </w:pPr>
  </w:style>
  <w:style w:type="paragraph" w:customStyle="1" w:styleId="tv20787921">
    <w:name w:val="tv207_87_921"/>
    <w:basedOn w:val="Normal"/>
    <w:rsid w:val="00722BC6"/>
    <w:pPr>
      <w:widowControl/>
      <w:spacing w:after="567" w:line="360" w:lineRule="auto"/>
      <w:jc w:val="center"/>
    </w:pPr>
    <w:rPr>
      <w:rFonts w:ascii="Verdana" w:eastAsia="Times New Roman" w:hAnsi="Verdana"/>
      <w:b/>
      <w:bCs/>
      <w:sz w:val="28"/>
      <w:szCs w:val="28"/>
      <w:lang w:eastAsia="lv-LV"/>
    </w:rPr>
  </w:style>
  <w:style w:type="paragraph" w:customStyle="1" w:styleId="tv2132">
    <w:name w:val="tv2132"/>
    <w:basedOn w:val="Normal"/>
    <w:rsid w:val="00C03723"/>
    <w:pPr>
      <w:widowControl/>
      <w:spacing w:after="0" w:line="360" w:lineRule="auto"/>
      <w:ind w:firstLine="300"/>
    </w:pPr>
    <w:rPr>
      <w:rFonts w:ascii="Times New Roman" w:eastAsia="Times New Roman" w:hAnsi="Times New Roman"/>
      <w:color w:val="414142"/>
      <w:sz w:val="20"/>
      <w:szCs w:val="20"/>
      <w:lang w:eastAsia="lv-LV"/>
    </w:rPr>
  </w:style>
  <w:style w:type="character" w:customStyle="1" w:styleId="Heading1Char">
    <w:name w:val="Heading 1 Char"/>
    <w:basedOn w:val="DefaultParagraphFont"/>
    <w:link w:val="Heading1"/>
    <w:uiPriority w:val="9"/>
    <w:rsid w:val="0075306E"/>
    <w:rPr>
      <w:rFonts w:asciiTheme="majorHAnsi" w:eastAsiaTheme="majorEastAsia" w:hAnsiTheme="majorHAnsi" w:cstheme="majorBidi"/>
      <w:color w:val="365F91" w:themeColor="accent1" w:themeShade="BF"/>
      <w:sz w:val="32"/>
      <w:szCs w:val="32"/>
      <w:lang w:eastAsia="en-US"/>
    </w:rPr>
  </w:style>
  <w:style w:type="character" w:styleId="Strong">
    <w:name w:val="Strong"/>
    <w:uiPriority w:val="22"/>
    <w:qFormat/>
    <w:rsid w:val="0075306E"/>
    <w:rPr>
      <w:b/>
      <w:bCs/>
    </w:rPr>
  </w:style>
  <w:style w:type="character" w:styleId="Emphasis">
    <w:name w:val="Emphasis"/>
    <w:uiPriority w:val="20"/>
    <w:qFormat/>
    <w:rsid w:val="0075306E"/>
    <w:rPr>
      <w:i/>
      <w:iCs/>
    </w:rPr>
  </w:style>
  <w:style w:type="character" w:styleId="CommentReference">
    <w:name w:val="annotation reference"/>
    <w:basedOn w:val="DefaultParagraphFont"/>
    <w:uiPriority w:val="99"/>
    <w:semiHidden/>
    <w:unhideWhenUsed/>
    <w:rsid w:val="00542B72"/>
    <w:rPr>
      <w:sz w:val="16"/>
      <w:szCs w:val="16"/>
    </w:rPr>
  </w:style>
  <w:style w:type="paragraph" w:styleId="CommentText">
    <w:name w:val="annotation text"/>
    <w:basedOn w:val="Normal"/>
    <w:link w:val="CommentTextChar"/>
    <w:uiPriority w:val="99"/>
    <w:semiHidden/>
    <w:unhideWhenUsed/>
    <w:rsid w:val="00542B72"/>
    <w:pPr>
      <w:spacing w:line="240" w:lineRule="auto"/>
    </w:pPr>
    <w:rPr>
      <w:sz w:val="20"/>
      <w:szCs w:val="20"/>
    </w:rPr>
  </w:style>
  <w:style w:type="character" w:customStyle="1" w:styleId="CommentTextChar">
    <w:name w:val="Comment Text Char"/>
    <w:basedOn w:val="DefaultParagraphFont"/>
    <w:link w:val="CommentText"/>
    <w:uiPriority w:val="99"/>
    <w:semiHidden/>
    <w:rsid w:val="00542B72"/>
    <w:rPr>
      <w:lang w:eastAsia="en-US"/>
    </w:rPr>
  </w:style>
  <w:style w:type="paragraph" w:styleId="CommentSubject">
    <w:name w:val="annotation subject"/>
    <w:basedOn w:val="CommentText"/>
    <w:next w:val="CommentText"/>
    <w:link w:val="CommentSubjectChar"/>
    <w:uiPriority w:val="99"/>
    <w:semiHidden/>
    <w:unhideWhenUsed/>
    <w:rsid w:val="00542B72"/>
    <w:rPr>
      <w:b/>
      <w:bCs/>
    </w:rPr>
  </w:style>
  <w:style w:type="character" w:customStyle="1" w:styleId="CommentSubjectChar">
    <w:name w:val="Comment Subject Char"/>
    <w:basedOn w:val="CommentTextChar"/>
    <w:link w:val="CommentSubject"/>
    <w:uiPriority w:val="99"/>
    <w:semiHidden/>
    <w:rsid w:val="00542B72"/>
    <w:rPr>
      <w:b/>
      <w:bCs/>
      <w:lang w:eastAsia="en-US"/>
    </w:rPr>
  </w:style>
  <w:style w:type="character" w:customStyle="1" w:styleId="highlight">
    <w:name w:val="highlight"/>
    <w:basedOn w:val="DefaultParagraphFont"/>
    <w:rsid w:val="0074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hart" Target="charts/chart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DAIGA\VARAM\Geologiska_IS_VK_Saeima_IAK_IAK\Geologijas_nozare_kudra_Uzlabojumi_2016-2017\GN_Krajumu_akceptesana_2017_g_statistika_23.10.2017.xls"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960" b="0" i="0" u="none" strike="noStrike" kern="1200" spc="0" baseline="0">
                <a:solidFill>
                  <a:schemeClr val="tx1"/>
                </a:solidFill>
                <a:latin typeface="+mn-lt"/>
                <a:ea typeface="+mn-ea"/>
                <a:cs typeface="+mn-cs"/>
              </a:defRPr>
            </a:pPr>
            <a:r>
              <a:rPr lang="lv-LV"/>
              <a:t>Derīgo izrakteņu (būvmateriālu izejvielas</a:t>
            </a:r>
            <a:r>
              <a:rPr lang="lv-LV" baseline="0"/>
              <a:t> un kūdra</a:t>
            </a:r>
            <a:r>
              <a:rPr lang="lv-LV"/>
              <a:t>)</a:t>
            </a:r>
          </a:p>
          <a:p>
            <a:pPr>
              <a:defRPr/>
            </a:pPr>
            <a:r>
              <a:rPr lang="lv-LV"/>
              <a:t>krājumu akceptēšanas statistika</a:t>
            </a:r>
          </a:p>
          <a:p>
            <a:pPr>
              <a:defRPr/>
            </a:pPr>
            <a:r>
              <a:rPr lang="lv-LV"/>
              <a:t>2017.gada janvāris-oktobris* </a:t>
            </a:r>
            <a:endParaRPr lang="en-US"/>
          </a:p>
        </c:rich>
      </c:tx>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mn-lt"/>
              <a:ea typeface="+mn-ea"/>
              <a:cs typeface="+mn-cs"/>
            </a:defRPr>
          </a:pPr>
          <a:endParaRPr lang="lv-LV"/>
        </a:p>
      </c:txPr>
    </c:title>
    <c:plotArea>
      <c:barChart>
        <c:barDir val="col"/>
        <c:grouping val="clustered"/>
        <c:varyColors val="0"/>
        <c:ser>
          <c:idx val="0"/>
          <c:order val="0"/>
          <c:tx>
            <c:strRef>
              <c:f>'statistika-grafiks'!$C$17</c:f>
              <c:strCache>
                <c:ptCount val="1"/>
                <c:pt idx="0">
                  <c:v>Izvērtēto pārskatu apjoms, atbilstoši kuriem derīgo izrakteņu krājumi akceptēti, %</c:v>
                </c:pt>
              </c:strCache>
            </c:strRef>
          </c:tx>
          <c:spPr>
            <a:solidFill>
              <a:srgbClr val="0070C0"/>
            </a:solidFill>
            <a:ln>
              <a:noFill/>
            </a:ln>
            <a:effectLst/>
          </c:spPr>
          <c:cat>
            <c:strRef>
              <c:f>'statistika-grafiks'!$A$18:$A$27</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'statistika-grafiks'!$C$18:$C$27</c:f>
              <c:numCache>
                <c:formatCode>0</c:formatCode>
                <c:ptCount val="10"/>
                <c:pt idx="0">
                  <c:v>45.454545454545453</c:v>
                </c:pt>
                <c:pt idx="1">
                  <c:v>42.857142857142854</c:v>
                </c:pt>
                <c:pt idx="2">
                  <c:v>57.142857142857139</c:v>
                </c:pt>
                <c:pt idx="3">
                  <c:v>38.461538461538467</c:v>
                </c:pt>
                <c:pt idx="4">
                  <c:v>75</c:v>
                </c:pt>
                <c:pt idx="5">
                  <c:v>81.818181818181827</c:v>
                </c:pt>
                <c:pt idx="6">
                  <c:v>75</c:v>
                </c:pt>
                <c:pt idx="7">
                  <c:v>81.818181818181827</c:v>
                </c:pt>
                <c:pt idx="8">
                  <c:v>78.571428571428569</c:v>
                </c:pt>
                <c:pt idx="9">
                  <c:v>80</c:v>
                </c:pt>
              </c:numCache>
            </c:numRef>
          </c:val>
          <c:extLst>
            <c:ext xmlns:c="http://schemas.openxmlformats.org/drawingml/2006/chart" xmlns:c16="http://schemas.microsoft.com/office/drawing/2014/chart" uri="{C3380CC4-5D6E-409C-BE32-E72D297353CC}">
              <c16:uniqueId val="{00000000-BDB1-442D-A53C-8D1AA350274E}"/>
            </c:ext>
          </c:extLst>
        </c:ser>
        <c:ser>
          <c:idx val="1"/>
          <c:order val="1"/>
          <c:tx>
            <c:strRef>
              <c:f>'statistika-grafiks'!$B$17</c:f>
              <c:strCache>
                <c:ptCount val="1"/>
                <c:pt idx="0">
                  <c:v>Atkārtotai labošanai atgriezto pārskatu apjoms, %</c:v>
                </c:pt>
              </c:strCache>
            </c:strRef>
          </c:tx>
          <c:spPr>
            <a:solidFill>
              <a:schemeClr val="tx1">
                <a:lumMod val="65000"/>
                <a:lumOff val="35000"/>
              </a:schemeClr>
            </a:solidFill>
            <a:ln>
              <a:noFill/>
            </a:ln>
            <a:effectLst/>
          </c:spPr>
          <c:cat>
            <c:strRef>
              <c:f>'statistika-grafiks'!$A$18:$A$27</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'statistika-grafiks'!$B$18:$B$27</c:f>
              <c:numCache>
                <c:formatCode>0</c:formatCode>
                <c:ptCount val="10"/>
                <c:pt idx="0">
                  <c:v>54.54545454545454</c:v>
                </c:pt>
                <c:pt idx="1">
                  <c:v>57.142857142857139</c:v>
                </c:pt>
                <c:pt idx="2">
                  <c:v>42.857142857142854</c:v>
                </c:pt>
                <c:pt idx="3">
                  <c:v>61.53846153846154</c:v>
                </c:pt>
                <c:pt idx="4">
                  <c:v>25</c:v>
                </c:pt>
                <c:pt idx="5">
                  <c:v>18.181818181818183</c:v>
                </c:pt>
                <c:pt idx="6">
                  <c:v>25</c:v>
                </c:pt>
                <c:pt idx="7">
                  <c:v>18.181818181818183</c:v>
                </c:pt>
                <c:pt idx="8">
                  <c:v>21.428571428571427</c:v>
                </c:pt>
                <c:pt idx="9">
                  <c:v>20</c:v>
                </c:pt>
              </c:numCache>
            </c:numRef>
          </c:val>
          <c:extLst>
            <c:ext xmlns:c="http://schemas.openxmlformats.org/drawingml/2006/chart" xmlns:c16="http://schemas.microsoft.com/office/drawing/2014/chart" uri="{C3380CC4-5D6E-409C-BE32-E72D297353CC}">
              <c16:uniqueId val="{00000001-BDB1-442D-A53C-8D1AA350274E}"/>
            </c:ext>
          </c:extLst>
        </c:ser>
        <c:dLbls>
          <c:showLegendKey val="0"/>
          <c:showVal val="0"/>
          <c:showCatName val="0"/>
          <c:showSerName val="0"/>
          <c:showPercent val="0"/>
          <c:showBubbleSize val="0"/>
        </c:dLbls>
        <c:gapWidth val="219"/>
        <c:overlap val="-27"/>
        <c:axId val="439553080"/>
        <c:axId val="439553472"/>
      </c:barChart>
      <c:catAx>
        <c:axId val="439553080"/>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crossAx val="439553472"/>
        <c:crossesAt val="0"/>
        <c:auto val="1"/>
        <c:lblAlgn val="ctr"/>
        <c:lblOffset val="100"/>
      </c:catAx>
      <c:valAx>
        <c:axId val="439553472"/>
        <c:scaling>
          <c:orientation val="minMax"/>
          <c:max val="100"/>
        </c:scaling>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w="6350">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crossAx val="439553080"/>
        <c:crosses val="autoZero"/>
        <c:crossBetween val="between"/>
        <c:majorUnit val="20"/>
        <c:minorUnit val="1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chart>
  <c:spPr>
    <a:solidFill>
      <a:schemeClr val="bg1"/>
    </a:solidFill>
    <a:ln w="9525">
      <a:solidFill>
        <a:schemeClr val="tx1">
          <a:lumMod val="15000"/>
          <a:lumOff val="85000"/>
        </a:schemeClr>
      </a:solidFill>
      <a:round/>
    </a:ln>
    <a:effectLst/>
  </c:spPr>
  <c:txPr>
    <a:bodyPr/>
    <a:lstStyle/>
    <a:p>
      <a:pPr>
        <a:defRPr sz="800">
          <a:solidFill>
            <a:schemeClr val="tx1"/>
          </a:solidFil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5</Pages>
  <Words>8044</Words>
  <Characters>4586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Vēstule</vt:lpstr>
    </vt:vector>
  </TitlesOfParts>
  <Company>VARAM</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Vēstule</dc:title>
  <dc:creator>Sandija Balka</dc:creator>
  <dc:description>sandija.balka@varam.gov.lv, 67026916</dc:description>
  <cp:lastModifiedBy>Sandija Balka</cp:lastModifiedBy>
  <cp:revision>5</cp:revision>
  <cp:lastPrinted>2017-01-17T11:40:00Z</cp:lastPrinted>
  <dcterms:created xsi:type="dcterms:W3CDTF">2017-11-15T09:53:00Z</dcterms:created>
  <dcterms:modified xsi:type="dcterms:W3CDTF">2017-11-24T11:48:00Z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