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8C5649" w:rsidRPr="003F7F9C" w:rsidP="00EA39F4">
      <w:pPr>
        <w:autoSpaceDE w:val="0"/>
        <w:autoSpaceDN w:val="0"/>
        <w:adjustRightInd w:val="0"/>
        <w:jc w:val="center"/>
        <w:rPr>
          <w:b/>
          <w:bCs/>
          <w:sz w:val="28"/>
          <w:szCs w:val="28"/>
        </w:rPr>
      </w:pPr>
      <w:bookmarkStart w:id="0" w:name="OLE_LINK3"/>
      <w:bookmarkStart w:id="1" w:name="OLE_LINK4"/>
      <w:bookmarkStart w:id="2" w:name="OLE_LINK5"/>
      <w:r w:rsidRPr="003F7F9C">
        <w:rPr>
          <w:b/>
          <w:bCs/>
          <w:sz w:val="28"/>
          <w:szCs w:val="28"/>
        </w:rPr>
        <w:t xml:space="preserve">Ministru kabineta noteikumu </w:t>
      </w:r>
      <w:r w:rsidRPr="003F7F9C">
        <w:rPr>
          <w:b/>
          <w:bCs/>
          <w:color w:val="000000"/>
          <w:sz w:val="28"/>
          <w:szCs w:val="28"/>
        </w:rPr>
        <w:t>„Grozījum</w:t>
      </w:r>
      <w:r>
        <w:rPr>
          <w:b/>
          <w:bCs/>
          <w:color w:val="000000"/>
          <w:sz w:val="28"/>
          <w:szCs w:val="28"/>
        </w:rPr>
        <w:t>i</w:t>
      </w:r>
      <w:r w:rsidRPr="003F7F9C">
        <w:rPr>
          <w:b/>
          <w:bCs/>
          <w:color w:val="000000"/>
          <w:sz w:val="28"/>
          <w:szCs w:val="28"/>
        </w:rPr>
        <w:t xml:space="preserve"> Ministru kabineta 2010.gada 29.jūnija noteikumos Nr.595 „Noteikumi par zemāko mēnešalgu un speciālo piemaksu ārstniecības personām”</w:t>
      </w:r>
      <w:r w:rsidRPr="003F7F9C">
        <w:rPr>
          <w:rFonts w:eastAsia="Calibri"/>
          <w:b/>
          <w:color w:val="000000"/>
          <w:sz w:val="28"/>
          <w:szCs w:val="28"/>
        </w:rPr>
        <w:t>”</w:t>
      </w:r>
      <w:r w:rsidRPr="003F7F9C">
        <w:rPr>
          <w:b/>
          <w:bCs/>
          <w:sz w:val="28"/>
          <w:szCs w:val="28"/>
        </w:rPr>
        <w:t xml:space="preserve"> projekta sākotnējās ietekmes novērtējuma ziņojums (anotācija)</w:t>
      </w:r>
    </w:p>
    <w:p w:rsidR="00A54FE1" w:rsidRPr="003F7F9C" w:rsidP="009A0D89">
      <w:pPr>
        <w:autoSpaceDE w:val="0"/>
        <w:autoSpaceDN w:val="0"/>
        <w:adjustRightInd w:val="0"/>
        <w:jc w:val="center"/>
        <w:rPr>
          <w:b/>
          <w:color w:val="000000"/>
        </w:rPr>
      </w:pPr>
      <w:bookmarkStart w:id="3" w:name="_GoBack"/>
      <w:bookmarkEnd w:id="0"/>
      <w:bookmarkEnd w:id="1"/>
      <w:bookmarkEnd w:id="2"/>
      <w:bookmarkEnd w:id="3"/>
    </w:p>
    <w:tbl>
      <w:tblPr>
        <w:tblpPr w:leftFromText="180" w:rightFromText="180" w:vertAnchor="text" w:horzAnchor="margin" w:tblpXSpec="center" w:tblpY="149"/>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03"/>
        <w:gridCol w:w="2721"/>
        <w:gridCol w:w="6804"/>
      </w:tblGrid>
      <w:tr w:rsidTr="00C974B1">
        <w:tblPrEx>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928" w:type="dxa"/>
            <w:gridSpan w:val="3"/>
            <w:vAlign w:val="center"/>
          </w:tcPr>
          <w:p w:rsidR="00852042" w:rsidRPr="003F7F9C" w:rsidP="00597F17">
            <w:pPr>
              <w:pStyle w:val="naisnod"/>
              <w:spacing w:before="0" w:after="0"/>
            </w:pPr>
            <w:r w:rsidRPr="003F7F9C">
              <w:t>I</w:t>
            </w:r>
            <w:r w:rsidRPr="003F7F9C" w:rsidR="000941C5">
              <w:t>.</w:t>
            </w:r>
            <w:r w:rsidRPr="003F7F9C">
              <w:t xml:space="preserve"> Tiesību akta </w:t>
            </w:r>
            <w:r w:rsidRPr="003F7F9C" w:rsidR="002E3FF4">
              <w:t xml:space="preserve">projekta </w:t>
            </w:r>
            <w:r w:rsidRPr="003F7F9C">
              <w:t>izstrādes nepieciešamība</w:t>
            </w:r>
          </w:p>
        </w:tc>
      </w:tr>
      <w:tr w:rsidTr="00C974B1">
        <w:tblPrEx>
          <w:tblW w:w="9928" w:type="dxa"/>
          <w:tblCellMar>
            <w:left w:w="0" w:type="dxa"/>
            <w:right w:w="0" w:type="dxa"/>
          </w:tblCellMar>
          <w:tblLook w:val="0000"/>
        </w:tblPrEx>
        <w:trPr>
          <w:trHeight w:val="630"/>
        </w:trPr>
        <w:tc>
          <w:tcPr>
            <w:tcW w:w="403" w:type="dxa"/>
          </w:tcPr>
          <w:p w:rsidR="00262E2B" w:rsidRPr="003F7F9C" w:rsidP="00597F17">
            <w:pPr>
              <w:pStyle w:val="naiskr"/>
              <w:spacing w:before="0" w:after="0"/>
            </w:pPr>
            <w:r w:rsidRPr="003F7F9C">
              <w:t>1.</w:t>
            </w:r>
          </w:p>
        </w:tc>
        <w:tc>
          <w:tcPr>
            <w:tcW w:w="2721" w:type="dxa"/>
          </w:tcPr>
          <w:p w:rsidR="00262E2B" w:rsidRPr="003F7F9C" w:rsidP="00597F17">
            <w:pPr>
              <w:pStyle w:val="naiskr"/>
              <w:spacing w:before="0" w:after="0"/>
              <w:ind w:hanging="10"/>
            </w:pPr>
            <w:r w:rsidRPr="003F7F9C">
              <w:t>Pamatojums</w:t>
            </w:r>
          </w:p>
        </w:tc>
        <w:tc>
          <w:tcPr>
            <w:tcW w:w="6804" w:type="dxa"/>
          </w:tcPr>
          <w:p w:rsidR="00A266B4" w:rsidRPr="00AE671F" w:rsidP="00A266B4">
            <w:pPr>
              <w:pStyle w:val="NormalWeb"/>
              <w:spacing w:before="0" w:beforeAutospacing="0" w:after="0" w:afterAutospacing="0"/>
              <w:ind w:left="147" w:right="39" w:firstLine="426"/>
              <w:jc w:val="both"/>
            </w:pPr>
            <w:r w:rsidRPr="00AE671F">
              <w:t xml:space="preserve">Ministru kabineta noteikumu „Grozījumi Ministru kabineta 2010.gada 29.jūnija noteikumos Nr.595 „Noteikumi par zemāko mēnešalgu un speciālo piemaksu ārstniecības personām””  projekts (turpmāk – MK noteikumu projekts) izstrādāts, pamatojoties uz: </w:t>
            </w:r>
          </w:p>
          <w:p w:rsidR="00A266B4" w:rsidRPr="00AE671F" w:rsidP="00A266B4">
            <w:pPr>
              <w:pStyle w:val="Virsraksti1"/>
              <w:numPr>
                <w:ilvl w:val="0"/>
                <w:numId w:val="45"/>
              </w:numPr>
              <w:tabs>
                <w:tab w:val="left" w:pos="195"/>
              </w:tabs>
              <w:ind w:left="478"/>
              <w:jc w:val="both"/>
              <w:rPr>
                <w:szCs w:val="24"/>
                <w:shd w:val="clear" w:color="auto" w:fill="FFFFFF"/>
              </w:rPr>
            </w:pPr>
            <w:r w:rsidRPr="00AE671F">
              <w:rPr>
                <w:szCs w:val="24"/>
                <w:shd w:val="clear" w:color="auto" w:fill="FFFFFF"/>
              </w:rPr>
              <w:t xml:space="preserve">Ministru kabineta 2017.gada </w:t>
            </w:r>
            <w:r w:rsidRPr="00AE671F" w:rsidR="009F1E97">
              <w:rPr>
                <w:szCs w:val="24"/>
                <w:shd w:val="clear" w:color="auto" w:fill="FFFFFF"/>
              </w:rPr>
              <w:t>22.</w:t>
            </w:r>
            <w:r w:rsidRPr="00AE671F">
              <w:rPr>
                <w:szCs w:val="24"/>
                <w:shd w:val="clear" w:color="auto" w:fill="FFFFFF"/>
              </w:rPr>
              <w:t>augusta sēdē nolemtais (</w:t>
            </w:r>
            <w:r w:rsidRPr="00AE671F" w:rsidR="009F1E97">
              <w:rPr>
                <w:szCs w:val="24"/>
                <w:shd w:val="clear" w:color="auto" w:fill="FFFFFF"/>
              </w:rPr>
              <w:t>protokols Nr.40 43</w:t>
            </w:r>
            <w:r w:rsidRPr="00AE671F">
              <w:rPr>
                <w:szCs w:val="24"/>
                <w:shd w:val="clear" w:color="auto" w:fill="FFFFFF"/>
              </w:rPr>
              <w:t>.</w:t>
            </w:r>
            <w:r w:rsidRPr="00AE671F">
              <w:rPr>
                <w:szCs w:val="24"/>
              </w:rPr>
              <w:t xml:space="preserve">§ </w:t>
            </w:r>
            <w:r w:rsidRPr="00AE671F" w:rsidR="009F1E97">
              <w:rPr>
                <w:szCs w:val="24"/>
              </w:rPr>
              <w:t>9</w:t>
            </w:r>
            <w:r w:rsidRPr="00AE671F">
              <w:rPr>
                <w:szCs w:val="24"/>
              </w:rPr>
              <w:t>.punkts</w:t>
            </w:r>
            <w:r w:rsidRPr="00AE671F">
              <w:rPr>
                <w:szCs w:val="24"/>
                <w:shd w:val="clear" w:color="auto" w:fill="FFFFFF"/>
              </w:rPr>
              <w:t xml:space="preserve">) saistībā ar minimālās mēneša darba algas paaugstināšanu ar 2018.gada 1.janvāri no 380 uz 430 </w:t>
            </w:r>
            <w:r w:rsidRPr="00AE671F" w:rsidR="00B9441A">
              <w:rPr>
                <w:i/>
                <w:szCs w:val="24"/>
                <w:shd w:val="clear" w:color="auto" w:fill="FFFFFF"/>
              </w:rPr>
              <w:t>euro</w:t>
            </w:r>
            <w:r w:rsidRPr="00AE671F">
              <w:rPr>
                <w:szCs w:val="24"/>
                <w:shd w:val="clear" w:color="auto" w:fill="FFFFFF"/>
              </w:rPr>
              <w:t>;</w:t>
            </w:r>
          </w:p>
          <w:p w:rsidR="00A631E0" w:rsidRPr="00AE671F" w:rsidP="00A631E0">
            <w:pPr>
              <w:pStyle w:val="Virsraksti1"/>
              <w:numPr>
                <w:ilvl w:val="0"/>
                <w:numId w:val="45"/>
              </w:numPr>
              <w:ind w:left="478"/>
              <w:jc w:val="both"/>
              <w:rPr>
                <w:szCs w:val="24"/>
                <w:shd w:val="clear" w:color="auto" w:fill="FFFFFF"/>
              </w:rPr>
            </w:pPr>
            <w:r w:rsidRPr="00AE671F">
              <w:rPr>
                <w:rFonts w:eastAsia="Times New Roman"/>
                <w:szCs w:val="24"/>
                <w:lang w:eastAsia="lv-LV"/>
              </w:rPr>
              <w:t>Ministru kabineta 2017</w:t>
            </w:r>
            <w:r w:rsidRPr="00AE671F" w:rsidR="007D0D98">
              <w:rPr>
                <w:rFonts w:eastAsia="Times New Roman"/>
                <w:szCs w:val="24"/>
                <w:lang w:eastAsia="lv-LV"/>
              </w:rPr>
              <w:t>.gada 22.augusta sēdē nolemtais (protokols Nr.40 43.§ 14.punkts</w:t>
            </w:r>
            <w:r w:rsidRPr="00AE671F" w:rsidR="00C27C34">
              <w:rPr>
                <w:rFonts w:eastAsia="Times New Roman"/>
                <w:szCs w:val="24"/>
                <w:lang w:eastAsia="lv-LV"/>
              </w:rPr>
              <w:t>) saistībā</w:t>
            </w:r>
            <w:r w:rsidRPr="00AE671F" w:rsidR="00DB2EC0">
              <w:rPr>
                <w:rFonts w:eastAsia="Times New Roman"/>
                <w:szCs w:val="24"/>
                <w:lang w:eastAsia="lv-LV"/>
              </w:rPr>
              <w:t xml:space="preserve"> ar</w:t>
            </w:r>
            <w:r w:rsidRPr="00AE671F" w:rsidR="00C27C34">
              <w:rPr>
                <w:rFonts w:eastAsia="Times New Roman"/>
                <w:szCs w:val="24"/>
                <w:lang w:eastAsia="lv-LV"/>
              </w:rPr>
              <w:t xml:space="preserve"> a</w:t>
            </w:r>
            <w:r w:rsidRPr="00AE671F" w:rsidR="007D0D98">
              <w:rPr>
                <w:szCs w:val="24"/>
                <w:shd w:val="clear" w:color="auto" w:fill="FFFFFF"/>
              </w:rPr>
              <w:t>tbalstīt</w:t>
            </w:r>
            <w:r w:rsidRPr="00AE671F" w:rsidR="00C27C34">
              <w:rPr>
                <w:szCs w:val="24"/>
                <w:shd w:val="clear" w:color="auto" w:fill="FFFFFF"/>
              </w:rPr>
              <w:t>o</w:t>
            </w:r>
            <w:r w:rsidRPr="00AE671F" w:rsidR="007D0D98">
              <w:rPr>
                <w:szCs w:val="24"/>
                <w:shd w:val="clear" w:color="auto" w:fill="FFFFFF"/>
              </w:rPr>
              <w:t xml:space="preserve"> papildu finansējumu budžeta resora </w:t>
            </w:r>
            <w:r w:rsidRPr="00AE671F" w:rsidR="003A08EA">
              <w:rPr>
                <w:szCs w:val="24"/>
                <w:shd w:val="clear" w:color="auto" w:fill="FFFFFF"/>
              </w:rPr>
              <w:t>“</w:t>
            </w:r>
            <w:r w:rsidRPr="00AE671F" w:rsidR="007D0D98">
              <w:rPr>
                <w:szCs w:val="24"/>
                <w:shd w:val="clear" w:color="auto" w:fill="FFFFFF"/>
              </w:rPr>
              <w:t>74.Gadskārtējā valsts budžeta izpildes procesā pārdalāmais finansējums</w:t>
            </w:r>
            <w:r w:rsidRPr="00AE671F" w:rsidR="003A08EA">
              <w:rPr>
                <w:szCs w:val="24"/>
                <w:shd w:val="clear" w:color="auto" w:fill="FFFFFF"/>
              </w:rPr>
              <w:t>”</w:t>
            </w:r>
            <w:r w:rsidRPr="00AE671F" w:rsidR="007D0D98">
              <w:rPr>
                <w:szCs w:val="24"/>
                <w:shd w:val="clear" w:color="auto" w:fill="FFFFFF"/>
              </w:rPr>
              <w:t xml:space="preserve"> budžeta programmā 08.00.00 </w:t>
            </w:r>
            <w:r w:rsidRPr="00AE671F" w:rsidR="003A08EA">
              <w:rPr>
                <w:szCs w:val="24"/>
                <w:shd w:val="clear" w:color="auto" w:fill="FFFFFF"/>
              </w:rPr>
              <w:t>“</w:t>
            </w:r>
            <w:r w:rsidRPr="00AE671F" w:rsidR="007D0D98">
              <w:rPr>
                <w:szCs w:val="24"/>
                <w:shd w:val="clear" w:color="auto" w:fill="FFFFFF"/>
              </w:rPr>
              <w:t>Veselības aprūpes sistēmas reformas ieviešanas finansējums</w:t>
            </w:r>
            <w:r w:rsidRPr="00AE671F" w:rsidR="003A08EA">
              <w:rPr>
                <w:szCs w:val="24"/>
                <w:shd w:val="clear" w:color="auto" w:fill="FFFFFF"/>
              </w:rPr>
              <w:t>”</w:t>
            </w:r>
            <w:r w:rsidRPr="00AE671F" w:rsidR="007D0D98">
              <w:rPr>
                <w:szCs w:val="24"/>
                <w:shd w:val="clear" w:color="auto" w:fill="FFFFFF"/>
              </w:rPr>
              <w:t>, attiecīgi samazinot fiskālo telpu</w:t>
            </w:r>
            <w:r w:rsidRPr="00AE671F" w:rsidR="00456163">
              <w:rPr>
                <w:szCs w:val="24"/>
                <w:shd w:val="clear" w:color="auto" w:fill="FFFFFF"/>
              </w:rPr>
              <w:t xml:space="preserve"> </w:t>
            </w:r>
            <w:r w:rsidRPr="00AE671F" w:rsidR="007D0D98">
              <w:rPr>
                <w:szCs w:val="24"/>
                <w:shd w:val="clear" w:color="auto" w:fill="FFFFFF"/>
              </w:rPr>
              <w:t>atbilstoši valsts pamatbudžetā plānotajiem ieņēmumiem no valsts sociālās apdrošināšanas obligāto iemaksu sadales veselības apr</w:t>
            </w:r>
            <w:r w:rsidRPr="00AE671F" w:rsidR="004C29C2">
              <w:rPr>
                <w:szCs w:val="24"/>
                <w:shd w:val="clear" w:color="auto" w:fill="FFFFFF"/>
              </w:rPr>
              <w:t>ūpes finansēšanai 2018.gadam 85 </w:t>
            </w:r>
            <w:r w:rsidRPr="00AE671F" w:rsidR="007D0D98">
              <w:rPr>
                <w:szCs w:val="24"/>
                <w:shd w:val="clear" w:color="auto" w:fill="FFFFFF"/>
              </w:rPr>
              <w:t xml:space="preserve">300 000 </w:t>
            </w:r>
            <w:r w:rsidRPr="00AE671F" w:rsidR="00B9441A">
              <w:rPr>
                <w:i/>
                <w:szCs w:val="24"/>
                <w:shd w:val="clear" w:color="auto" w:fill="FFFFFF"/>
              </w:rPr>
              <w:t>euro</w:t>
            </w:r>
            <w:r w:rsidRPr="00AE671F" w:rsidR="007D0D98">
              <w:rPr>
                <w:szCs w:val="24"/>
                <w:shd w:val="clear" w:color="auto" w:fill="FFFFFF"/>
              </w:rPr>
              <w:t xml:space="preserve">, 2019.gadam 99 600 000 </w:t>
            </w:r>
            <w:r w:rsidRPr="00AE671F" w:rsidR="00B9441A">
              <w:rPr>
                <w:i/>
                <w:szCs w:val="24"/>
                <w:shd w:val="clear" w:color="auto" w:fill="FFFFFF"/>
              </w:rPr>
              <w:t>euro</w:t>
            </w:r>
            <w:r w:rsidRPr="00AE671F" w:rsidR="003A08EA">
              <w:rPr>
                <w:szCs w:val="24"/>
                <w:shd w:val="clear" w:color="auto" w:fill="FFFFFF"/>
              </w:rPr>
              <w:t xml:space="preserve"> </w:t>
            </w:r>
            <w:r w:rsidRPr="00AE671F" w:rsidR="007D0D98">
              <w:rPr>
                <w:szCs w:val="24"/>
                <w:shd w:val="clear" w:color="auto" w:fill="FFFFFF"/>
              </w:rPr>
              <w:t xml:space="preserve">un 2020.gadam 105 500 000 </w:t>
            </w:r>
            <w:r w:rsidRPr="00AE671F" w:rsidR="00B9441A">
              <w:rPr>
                <w:i/>
                <w:szCs w:val="24"/>
                <w:shd w:val="clear" w:color="auto" w:fill="FFFFFF"/>
              </w:rPr>
              <w:t>euro</w:t>
            </w:r>
            <w:r w:rsidRPr="00AE671F" w:rsidR="003A08EA">
              <w:rPr>
                <w:szCs w:val="24"/>
                <w:shd w:val="clear" w:color="auto" w:fill="FFFFFF"/>
              </w:rPr>
              <w:t xml:space="preserve"> </w:t>
            </w:r>
            <w:r w:rsidRPr="00AE671F" w:rsidR="007D0D98">
              <w:rPr>
                <w:szCs w:val="24"/>
                <w:shd w:val="clear" w:color="auto" w:fill="FFFFFF"/>
              </w:rPr>
              <w:t>apmērā, paredzot finanšu ministram tiesības pārdalīt 2018.gadam rezervēto finansējumu atbilstoši Ministru kabineta pieņemtam lēmumam</w:t>
            </w:r>
            <w:r w:rsidRPr="00AE671F">
              <w:rPr>
                <w:szCs w:val="24"/>
                <w:shd w:val="clear" w:color="auto" w:fill="FFFFFF"/>
              </w:rPr>
              <w:t>;</w:t>
            </w:r>
          </w:p>
          <w:p w:rsidR="00A266B4" w:rsidRPr="00AE671F" w:rsidP="006927C0">
            <w:pPr>
              <w:pStyle w:val="Virsraksti1"/>
              <w:numPr>
                <w:ilvl w:val="0"/>
                <w:numId w:val="45"/>
              </w:numPr>
              <w:ind w:left="478"/>
              <w:jc w:val="both"/>
              <w:rPr>
                <w:szCs w:val="24"/>
                <w:shd w:val="clear" w:color="auto" w:fill="FFFFFF"/>
              </w:rPr>
            </w:pPr>
            <w:r>
              <w:rPr>
                <w:szCs w:val="24"/>
                <w:shd w:val="clear" w:color="auto" w:fill="FFFFFF"/>
              </w:rPr>
              <w:t>Likuma</w:t>
            </w:r>
            <w:r w:rsidRPr="00AE671F" w:rsidR="001565C5">
              <w:rPr>
                <w:szCs w:val="24"/>
                <w:shd w:val="clear" w:color="auto" w:fill="FFFFFF"/>
              </w:rPr>
              <w:t xml:space="preserve"> “Par valsts budžetu 2018.gadam” 54. pants</w:t>
            </w:r>
            <w:r>
              <w:rPr>
                <w:szCs w:val="24"/>
                <w:shd w:val="clear" w:color="auto" w:fill="FFFFFF"/>
              </w:rPr>
              <w:t xml:space="preserve"> </w:t>
            </w:r>
            <w:r w:rsidRPr="00AE671F" w:rsidR="001565C5">
              <w:rPr>
                <w:szCs w:val="24"/>
                <w:shd w:val="clear" w:color="auto" w:fill="FFFFFF"/>
              </w:rPr>
              <w:t>nosaka, ka veselības aprūpes finansēšanai budžeta resora “74. Gadskārtējā valsts budžeta izpildes procesā pārdalāmais finansējums” 08.00.00 programmā “Veselības aprūpes sistēmas reformas ieviešanas finansējums” rezervēto finansējumu 85 302 674 </w:t>
            </w:r>
            <w:r w:rsidRPr="00AE671F" w:rsidR="00B9441A">
              <w:rPr>
                <w:i/>
                <w:iCs/>
                <w:szCs w:val="24"/>
                <w:shd w:val="clear" w:color="auto" w:fill="FFFFFF"/>
              </w:rPr>
              <w:t>euro</w:t>
            </w:r>
            <w:r w:rsidRPr="00AE671F" w:rsidR="001565C5">
              <w:rPr>
                <w:szCs w:val="24"/>
                <w:shd w:val="clear" w:color="auto" w:fill="FFFFFF"/>
              </w:rPr>
              <w:t> apmērā finanšu ministrs pārdala Veselības ministrijai</w:t>
            </w:r>
            <w:r w:rsidRPr="00AE671F" w:rsidR="00A631E0">
              <w:rPr>
                <w:szCs w:val="24"/>
                <w:shd w:val="clear" w:color="auto" w:fill="FFFFFF"/>
              </w:rPr>
              <w:t xml:space="preserve"> </w:t>
            </w:r>
            <w:r w:rsidRPr="00AE671F" w:rsidR="00A631E0">
              <w:rPr>
                <w:noProof/>
              </w:rPr>
              <w:t>pēc tam, kad Ministru kabinets ir apstiprinājis finansējumu veselības reformas pasākumu īstenošanai 2018.gadā, ja Saeimas Budžeta  un finanšu (nodokļu) komisija piecu dienu laikā no attiecīgās informācijas saņemšanas ir izskatījusi to un nav iebildusi pret apropriācijas pārdali (</w:t>
            </w:r>
            <w:r>
              <w:rPr>
                <w:noProof/>
              </w:rPr>
              <w:t>L</w:t>
            </w:r>
            <w:r w:rsidRPr="00AE671F" w:rsidR="00A631E0">
              <w:rPr>
                <w:noProof/>
              </w:rPr>
              <w:t>iku</w:t>
            </w:r>
            <w:r>
              <w:rPr>
                <w:noProof/>
              </w:rPr>
              <w:t>ms</w:t>
            </w:r>
            <w:r w:rsidRPr="00AE671F" w:rsidR="00A631E0">
              <w:rPr>
                <w:noProof/>
              </w:rPr>
              <w:t xml:space="preserve"> “Par valsts budžetu 2018.gadam</w:t>
            </w:r>
            <w:r w:rsidR="00005DDF">
              <w:rPr>
                <w:noProof/>
              </w:rPr>
              <w:t>”</w:t>
            </w:r>
            <w:r w:rsidRPr="00AE671F" w:rsidR="00A631E0">
              <w:rPr>
                <w:noProof/>
              </w:rPr>
              <w:t xml:space="preserve"> 54.pants, </w:t>
            </w:r>
            <w:r w:rsidRPr="00AE671F" w:rsidR="001A48BD">
              <w:rPr>
                <w:noProof/>
              </w:rPr>
              <w:t>i</w:t>
            </w:r>
            <w:r w:rsidRPr="00AE671F" w:rsidR="00642577">
              <w:rPr>
                <w:noProof/>
              </w:rPr>
              <w:t>zsludin</w:t>
            </w:r>
            <w:r w:rsidRPr="00AE671F" w:rsidR="004961BA">
              <w:rPr>
                <w:noProof/>
              </w:rPr>
              <w:t>ā</w:t>
            </w:r>
            <w:r w:rsidRPr="00AE671F" w:rsidR="001A48BD">
              <w:rPr>
                <w:noProof/>
              </w:rPr>
              <w:t>ts</w:t>
            </w:r>
            <w:r w:rsidRPr="00AE671F" w:rsidR="00642577">
              <w:rPr>
                <w:noProof/>
              </w:rPr>
              <w:t xml:space="preserve"> 2017.gada 6.decembrī</w:t>
            </w:r>
            <w:r w:rsidRPr="00AE671F" w:rsidR="00A631E0">
              <w:rPr>
                <w:noProof/>
              </w:rPr>
              <w:t>)</w:t>
            </w:r>
            <w:r w:rsidRPr="00AE671F" w:rsidR="001565C5">
              <w:rPr>
                <w:szCs w:val="24"/>
                <w:shd w:val="clear" w:color="auto" w:fill="FFFFFF"/>
              </w:rPr>
              <w:t>;</w:t>
            </w:r>
          </w:p>
          <w:p w:rsidR="00A266B4" w:rsidRPr="00AE671F" w:rsidP="00A266B4">
            <w:pPr>
              <w:pStyle w:val="Virsraksti1"/>
              <w:numPr>
                <w:ilvl w:val="0"/>
                <w:numId w:val="45"/>
              </w:numPr>
              <w:ind w:left="478"/>
              <w:jc w:val="both"/>
              <w:rPr>
                <w:szCs w:val="24"/>
                <w:shd w:val="clear" w:color="auto" w:fill="FFFFFF"/>
              </w:rPr>
            </w:pPr>
            <w:r w:rsidRPr="00AE671F">
              <w:rPr>
                <w:szCs w:val="24"/>
              </w:rPr>
              <w:t>2017</w:t>
            </w:r>
            <w:r w:rsidRPr="00AE671F" w:rsidR="001565C5">
              <w:rPr>
                <w:szCs w:val="24"/>
              </w:rPr>
              <w:t xml:space="preserve">.gada </w:t>
            </w:r>
            <w:r w:rsidRPr="00AE671F" w:rsidR="009E5E87">
              <w:rPr>
                <w:szCs w:val="24"/>
              </w:rPr>
              <w:t>2</w:t>
            </w:r>
            <w:r w:rsidRPr="00AE671F">
              <w:rPr>
                <w:szCs w:val="24"/>
              </w:rPr>
              <w:t>9</w:t>
            </w:r>
            <w:r w:rsidRPr="00AE671F" w:rsidR="001565C5">
              <w:rPr>
                <w:szCs w:val="24"/>
              </w:rPr>
              <w:t>.</w:t>
            </w:r>
            <w:r w:rsidRPr="00AE671F">
              <w:rPr>
                <w:szCs w:val="24"/>
              </w:rPr>
              <w:t>augusta</w:t>
            </w:r>
            <w:r w:rsidRPr="00AE671F" w:rsidR="001565C5">
              <w:rPr>
                <w:szCs w:val="24"/>
              </w:rPr>
              <w:t xml:space="preserve"> Ministru kabineta noteikumi Nr.</w:t>
            </w:r>
            <w:r w:rsidRPr="00AE671F">
              <w:rPr>
                <w:szCs w:val="24"/>
              </w:rPr>
              <w:t>511</w:t>
            </w:r>
            <w:r w:rsidRPr="00AE671F" w:rsidR="00C5370B">
              <w:rPr>
                <w:szCs w:val="24"/>
              </w:rPr>
              <w:t xml:space="preserve"> „Grozījums Ministru kabineta 2015.gada 24.novembra noteikumos  Nr.656 „Noteikumi par minimālās mēneša darba algas apmēru normāla darba laika ietvaros un minimālās stundas tarifa likmes aprēķināšanu”” (pieņemti Ministru kabineta 201</w:t>
            </w:r>
            <w:r w:rsidRPr="00AE671F" w:rsidR="00A631E0">
              <w:rPr>
                <w:szCs w:val="24"/>
              </w:rPr>
              <w:t>7</w:t>
            </w:r>
            <w:r w:rsidRPr="00AE671F" w:rsidR="00C5370B">
              <w:rPr>
                <w:szCs w:val="24"/>
              </w:rPr>
              <w:t>.gada 2</w:t>
            </w:r>
            <w:r w:rsidRPr="00AE671F" w:rsidR="00A631E0">
              <w:rPr>
                <w:szCs w:val="24"/>
              </w:rPr>
              <w:t>9</w:t>
            </w:r>
            <w:r w:rsidRPr="00AE671F" w:rsidR="00C5370B">
              <w:rPr>
                <w:szCs w:val="24"/>
              </w:rPr>
              <w:t>.</w:t>
            </w:r>
            <w:r w:rsidRPr="00AE671F" w:rsidR="00A631E0">
              <w:rPr>
                <w:szCs w:val="24"/>
              </w:rPr>
              <w:t>augusta</w:t>
            </w:r>
            <w:r w:rsidRPr="00AE671F" w:rsidR="00C5370B">
              <w:rPr>
                <w:szCs w:val="24"/>
              </w:rPr>
              <w:t xml:space="preserve"> sēdē (protokols Nr.</w:t>
            </w:r>
            <w:r w:rsidRPr="00AE671F" w:rsidR="00A631E0">
              <w:rPr>
                <w:szCs w:val="24"/>
              </w:rPr>
              <w:t>42</w:t>
            </w:r>
            <w:r w:rsidRPr="00AE671F" w:rsidR="00C5370B">
              <w:rPr>
                <w:szCs w:val="24"/>
              </w:rPr>
              <w:t xml:space="preserve">, </w:t>
            </w:r>
            <w:r w:rsidRPr="00AE671F" w:rsidR="00A631E0">
              <w:rPr>
                <w:szCs w:val="24"/>
              </w:rPr>
              <w:t>2</w:t>
            </w:r>
            <w:r w:rsidRPr="00AE671F" w:rsidR="00C5370B">
              <w:rPr>
                <w:szCs w:val="24"/>
              </w:rPr>
              <w:t>1.§)</w:t>
            </w:r>
            <w:r w:rsidRPr="00AE671F" w:rsidR="00C5370B">
              <w:rPr>
                <w:bCs/>
                <w:szCs w:val="24"/>
              </w:rPr>
              <w:t>, kas paredz, ka ar 201</w:t>
            </w:r>
            <w:r w:rsidRPr="00AE671F" w:rsidR="003A08EA">
              <w:rPr>
                <w:bCs/>
                <w:szCs w:val="24"/>
              </w:rPr>
              <w:t>8</w:t>
            </w:r>
            <w:r w:rsidRPr="00AE671F" w:rsidR="00C5370B">
              <w:rPr>
                <w:bCs/>
                <w:szCs w:val="24"/>
              </w:rPr>
              <w:t>.gada 1.janvāri</w:t>
            </w:r>
            <w:r w:rsidRPr="00AE671F" w:rsidR="00C5370B">
              <w:rPr>
                <w:rFonts w:ascii="Arial" w:hAnsi="Arial" w:cs="Arial"/>
                <w:szCs w:val="24"/>
              </w:rPr>
              <w:t xml:space="preserve"> </w:t>
            </w:r>
            <w:r w:rsidRPr="00AE671F" w:rsidR="00C5370B">
              <w:rPr>
                <w:szCs w:val="24"/>
              </w:rPr>
              <w:t xml:space="preserve">minimālā mēneša darba alga normālā darba laika ietvaros ir </w:t>
            </w:r>
            <w:r w:rsidRPr="00AE671F" w:rsidR="003A08EA">
              <w:rPr>
                <w:szCs w:val="24"/>
              </w:rPr>
              <w:t xml:space="preserve">430 </w:t>
            </w:r>
            <w:r w:rsidRPr="00AE671F" w:rsidR="00B9441A">
              <w:rPr>
                <w:i/>
                <w:iCs/>
                <w:szCs w:val="24"/>
              </w:rPr>
              <w:t>euro</w:t>
            </w:r>
            <w:r w:rsidRPr="00F00746" w:rsidR="001565C5">
              <w:rPr>
                <w:iCs/>
                <w:szCs w:val="24"/>
              </w:rPr>
              <w:t>;</w:t>
            </w:r>
          </w:p>
          <w:p w:rsidR="00A243E9" w:rsidRPr="00AE671F" w:rsidP="00A266B4">
            <w:pPr>
              <w:pStyle w:val="Virsraksti1"/>
              <w:numPr>
                <w:ilvl w:val="0"/>
                <w:numId w:val="45"/>
              </w:numPr>
              <w:ind w:left="478"/>
              <w:jc w:val="both"/>
              <w:rPr>
                <w:szCs w:val="24"/>
                <w:shd w:val="clear" w:color="auto" w:fill="FFFFFF"/>
              </w:rPr>
            </w:pPr>
            <w:r w:rsidRPr="00AE671F">
              <w:rPr>
                <w:szCs w:val="24"/>
              </w:rPr>
              <w:t xml:space="preserve">Ministru kabineta 2017.gada 5.decembra </w:t>
            </w:r>
            <w:r w:rsidRPr="00AE671F" w:rsidR="001A48BD">
              <w:rPr>
                <w:szCs w:val="24"/>
              </w:rPr>
              <w:t xml:space="preserve">rīkojums Nr.719 </w:t>
            </w:r>
            <w:r w:rsidRPr="00AE671F">
              <w:rPr>
                <w:szCs w:val="24"/>
              </w:rPr>
              <w:t>(</w:t>
            </w:r>
            <w:r w:rsidRPr="00AE671F">
              <w:rPr>
                <w:rFonts w:eastAsia="Times New Roman"/>
                <w:szCs w:val="24"/>
                <w:lang w:eastAsia="lv-LV"/>
              </w:rPr>
              <w:t>protokols Nr.60 30.§</w:t>
            </w:r>
            <w:r w:rsidRPr="00AE671F">
              <w:rPr>
                <w:szCs w:val="24"/>
              </w:rPr>
              <w:t>)</w:t>
            </w:r>
            <w:r w:rsidRPr="00AE671F" w:rsidR="007F56A4">
              <w:rPr>
                <w:szCs w:val="24"/>
              </w:rPr>
              <w:t>, kurā</w:t>
            </w:r>
            <w:r w:rsidRPr="00AE671F">
              <w:rPr>
                <w:szCs w:val="24"/>
              </w:rPr>
              <w:t xml:space="preserve"> </w:t>
            </w:r>
            <w:r w:rsidRPr="00AE671F" w:rsidR="007F56A4">
              <w:rPr>
                <w:szCs w:val="24"/>
              </w:rPr>
              <w:t>a</w:t>
            </w:r>
            <w:r w:rsidRPr="00AE671F">
              <w:rPr>
                <w:szCs w:val="24"/>
              </w:rPr>
              <w:t>tbilstoši valsts pamatbudžetā plānotajiem ieņēmumiem no valsts sociālās apdrošināšanas obligāto iemaksu sadales veselības</w:t>
            </w:r>
            <w:r w:rsidRPr="00AE671F">
              <w:rPr>
                <w:sz w:val="28"/>
                <w:szCs w:val="28"/>
              </w:rPr>
              <w:t xml:space="preserve"> </w:t>
            </w:r>
            <w:r w:rsidRPr="00AE671F">
              <w:rPr>
                <w:szCs w:val="24"/>
              </w:rPr>
              <w:t>aprūpes finansēšanai atbalstīt</w:t>
            </w:r>
            <w:r w:rsidRPr="00AE671F" w:rsidR="007F56A4">
              <w:rPr>
                <w:szCs w:val="24"/>
              </w:rPr>
              <w:t>a</w:t>
            </w:r>
            <w:r w:rsidRPr="00AE671F">
              <w:rPr>
                <w:szCs w:val="24"/>
              </w:rPr>
              <w:t xml:space="preserve"> finansējuma </w:t>
            </w:r>
            <w:r w:rsidRPr="00AE671F" w:rsidR="007F56A4">
              <w:rPr>
                <w:szCs w:val="24"/>
              </w:rPr>
              <w:t>pārdale</w:t>
            </w:r>
            <w:r w:rsidRPr="00AE671F">
              <w:rPr>
                <w:szCs w:val="24"/>
              </w:rPr>
              <w:t xml:space="preserve"> 2018. gadam 85 302 674 </w:t>
            </w:r>
            <w:r w:rsidRPr="00AE671F">
              <w:rPr>
                <w:i/>
                <w:szCs w:val="24"/>
              </w:rPr>
              <w:t>euro</w:t>
            </w:r>
            <w:r w:rsidRPr="00AE671F">
              <w:rPr>
                <w:szCs w:val="24"/>
              </w:rPr>
              <w:t xml:space="preserve"> apmērā no </w:t>
            </w:r>
            <w:bookmarkStart w:id="4" w:name="_Hlk499633943"/>
            <w:r w:rsidRPr="00AE671F">
              <w:rPr>
                <w:szCs w:val="24"/>
              </w:rPr>
              <w:t xml:space="preserve">budžeta resora "74. Gadskārtējā valsts budžeta izpildes procesā </w:t>
            </w:r>
            <w:r w:rsidRPr="00AE671F">
              <w:rPr>
                <w:szCs w:val="24"/>
              </w:rPr>
              <w:t>pārdalāmais finansējums" budžeta programmas 08.00.00 "Veselības aprūpes sistēmas reformas ieviešanas finansējums"</w:t>
            </w:r>
            <w:bookmarkEnd w:id="4"/>
            <w:r w:rsidRPr="00AE671F">
              <w:rPr>
                <w:szCs w:val="24"/>
              </w:rPr>
              <w:t xml:space="preserve"> uz Veselības ministrijas budžetu atlīdzības palielinājumam</w:t>
            </w:r>
            <w:r w:rsidR="00EE49E6">
              <w:rPr>
                <w:szCs w:val="24"/>
              </w:rPr>
              <w:t>;</w:t>
            </w:r>
          </w:p>
          <w:p w:rsidR="00CA7071" w:rsidRPr="00AE671F" w:rsidP="00D76283">
            <w:pPr>
              <w:pStyle w:val="Virsraksti1"/>
              <w:numPr>
                <w:ilvl w:val="0"/>
                <w:numId w:val="45"/>
              </w:numPr>
              <w:ind w:left="478"/>
              <w:jc w:val="both"/>
              <w:rPr>
                <w:szCs w:val="24"/>
                <w:shd w:val="clear" w:color="auto" w:fill="FFFFFF"/>
              </w:rPr>
            </w:pPr>
            <w:r w:rsidRPr="00AE671F">
              <w:rPr>
                <w:rFonts w:eastAsia="Times New Roman"/>
                <w:szCs w:val="24"/>
              </w:rPr>
              <w:t>Ministru kabineta 2017.gada 7.augusta rīkojum</w:t>
            </w:r>
            <w:r w:rsidRPr="00AE671F">
              <w:rPr>
                <w:szCs w:val="24"/>
              </w:rPr>
              <w:t>s</w:t>
            </w:r>
            <w:r w:rsidRPr="00AE671F">
              <w:rPr>
                <w:rFonts w:eastAsia="Times New Roman"/>
                <w:szCs w:val="24"/>
              </w:rPr>
              <w:t xml:space="preserve"> Nr.394 “Par konceptuālo ziņojumu “Par veselības aprūpes sistēmas reformu””</w:t>
            </w:r>
            <w:r w:rsidRPr="00AE671F" w:rsidR="00D76283">
              <w:rPr>
                <w:szCs w:val="24"/>
              </w:rPr>
              <w:t>.</w:t>
            </w:r>
          </w:p>
        </w:tc>
      </w:tr>
      <w:tr w:rsidTr="00C974B1">
        <w:tblPrEx>
          <w:tblW w:w="9928" w:type="dxa"/>
          <w:tblCellMar>
            <w:left w:w="0" w:type="dxa"/>
            <w:right w:w="0" w:type="dxa"/>
          </w:tblCellMar>
          <w:tblLook w:val="0000"/>
        </w:tblPrEx>
        <w:trPr>
          <w:trHeight w:val="422"/>
        </w:trPr>
        <w:tc>
          <w:tcPr>
            <w:tcW w:w="403" w:type="dxa"/>
          </w:tcPr>
          <w:p w:rsidR="00262E2B" w:rsidRPr="003F7F9C" w:rsidP="00597F17">
            <w:pPr>
              <w:pStyle w:val="naiskr"/>
              <w:spacing w:before="0" w:after="0"/>
            </w:pPr>
            <w:r w:rsidRPr="003F7F9C">
              <w:t>2.</w:t>
            </w:r>
          </w:p>
        </w:tc>
        <w:tc>
          <w:tcPr>
            <w:tcW w:w="2721" w:type="dxa"/>
          </w:tcPr>
          <w:p w:rsidR="00777E77" w:rsidRPr="003F7F9C" w:rsidP="00597F17">
            <w:pPr>
              <w:pStyle w:val="naiskr"/>
              <w:tabs>
                <w:tab w:val="left" w:pos="170"/>
              </w:tabs>
              <w:spacing w:before="0" w:after="0"/>
            </w:pPr>
            <w:r w:rsidRPr="003F7F9C">
              <w:t>Pašreizējā situācija</w:t>
            </w:r>
            <w:r w:rsidRPr="003F7F9C" w:rsidR="001F5CD6">
              <w:t xml:space="preserve"> un problēmas</w:t>
            </w:r>
            <w:r w:rsidRPr="003F7F9C" w:rsidR="006E626B">
              <w:t xml:space="preserve">, kuru risināšanai tiesību </w:t>
            </w:r>
          </w:p>
          <w:p w:rsidR="00262E2B" w:rsidRPr="003F7F9C" w:rsidP="00597F17">
            <w:pPr>
              <w:pStyle w:val="naiskr"/>
              <w:tabs>
                <w:tab w:val="left" w:pos="170"/>
              </w:tabs>
              <w:spacing w:before="0" w:after="0"/>
            </w:pPr>
            <w:r w:rsidRPr="003F7F9C">
              <w:t>akta projekts izstrādāts,  tiesiskā regulējuma mērķis un būtīb</w:t>
            </w:r>
            <w:r w:rsidRPr="003F7F9C" w:rsidR="007E5843">
              <w:t>a</w:t>
            </w:r>
          </w:p>
        </w:tc>
        <w:tc>
          <w:tcPr>
            <w:tcW w:w="6804" w:type="dxa"/>
          </w:tcPr>
          <w:p w:rsidR="002D5BAB" w:rsidRPr="003F7F9C" w:rsidP="00096DEC">
            <w:pPr>
              <w:ind w:firstLine="663"/>
              <w:jc w:val="both"/>
            </w:pPr>
            <w:r w:rsidRPr="003F7F9C">
              <w:t>Ministru kabineta 2010.gada 29.jūnija noteikum</w:t>
            </w:r>
            <w:r w:rsidRPr="003F7F9C" w:rsidR="00D31617">
              <w:t>i</w:t>
            </w:r>
            <w:r w:rsidRPr="003F7F9C">
              <w:t xml:space="preserve"> Nr.595 „Noteikumi par zemāko mēnešalgu un speciālo piemaksu ārstniecības personām” (turpmāk – </w:t>
            </w:r>
            <w:r w:rsidRPr="003F7F9C" w:rsidR="00E9448E">
              <w:t>N</w:t>
            </w:r>
            <w:r w:rsidRPr="003F7F9C">
              <w:t xml:space="preserve">oteikumi Nr.595) nosaka </w:t>
            </w:r>
            <w:r w:rsidRPr="003F7F9C" w:rsidR="00D31617">
              <w:t>ār</w:t>
            </w:r>
            <w:r w:rsidRPr="003F7F9C">
              <w:t>stniecības person</w:t>
            </w:r>
            <w:r w:rsidRPr="003F7F9C" w:rsidR="00E225E6">
              <w:t>u</w:t>
            </w:r>
            <w:r w:rsidRPr="003F7F9C">
              <w:t xml:space="preserve"> zemāko mēnešalgas apmēru par slodzi, kas strādā valsts un pašvaldību kapitālsabiedrībās vai publiski privātajās kapitālsabiedrībās, kas noslēgušas līgumu ar Nacionālo veselības dienestu par no valsts budžeta apmaksāto veselības aprūpes pakalpojumu sniegšanu, vai</w:t>
            </w:r>
            <w:r w:rsidRPr="003F7F9C" w:rsidR="0025377D">
              <w:t>,</w:t>
            </w:r>
            <w:r w:rsidRPr="003F7F9C">
              <w:t xml:space="preserve"> kas sniedz no pašvaldību budžetiem apmaksātos veselības aprūpes pakalpojumus pašvaldību izglītības iestādēs. </w:t>
            </w:r>
          </w:p>
          <w:p w:rsidR="004340E5" w:rsidRPr="009B160F" w:rsidP="009B160F">
            <w:pPr>
              <w:ind w:firstLine="663"/>
              <w:jc w:val="both"/>
              <w:rPr>
                <w:rFonts w:eastAsia="Calibri"/>
              </w:rPr>
            </w:pPr>
            <w:r w:rsidRPr="003F7F9C">
              <w:t xml:space="preserve">Noteikumi Nr.595 pēdējo reizi grozīti 2016.gada 20.decembrī (protokols Nr.69 37.§), līdz ar minimālās mēnešalgas noteikšanu valstī ar 2017.gada 1.janvāri 380 </w:t>
            </w:r>
            <w:r w:rsidRPr="00B9441A" w:rsidR="00B9441A">
              <w:rPr>
                <w:i/>
              </w:rPr>
              <w:t>euro</w:t>
            </w:r>
            <w:r w:rsidRPr="003F7F9C">
              <w:t xml:space="preserve"> apmērā, kam tika piešķirts papildus finansējums atbilstoši 2016.gada 18.augusta Ministru kabineta sēdē nolemtajam (protokols Nr.41, 5.§, 22.punkts).</w:t>
            </w:r>
          </w:p>
          <w:p w:rsidR="004340E5" w:rsidRPr="003F7F9C" w:rsidP="004340E5">
            <w:pPr>
              <w:shd w:val="clear" w:color="auto" w:fill="FFFFFF"/>
              <w:ind w:firstLine="566"/>
              <w:jc w:val="both"/>
              <w:outlineLvl w:val="2"/>
            </w:pPr>
            <w:r w:rsidRPr="003F7F9C">
              <w:t>Ar Ministru kabineta 2017.gada 7.augusta rīkojumu Nr.394 “Par konceptuālo ziņojumu “Par veselības aprūpes sistēmas reformu”” tika atbalstīts Veselības ministrijas sagatavotajā konceptuālajā ziņojumā “Par veselības aprūpes sistēmas reformu” (turpmāk - konceptuālais ziņojums) ietvertais risinājums.</w:t>
            </w:r>
          </w:p>
          <w:p w:rsidR="00EA2A08" w:rsidP="00C974B1">
            <w:pPr>
              <w:ind w:firstLine="664"/>
              <w:jc w:val="both"/>
            </w:pPr>
            <w:r w:rsidRPr="003F7F9C">
              <w:t>Konceptuālajā ziņojumā ir norādīts, ka s</w:t>
            </w:r>
            <w:r w:rsidRPr="003F7F9C" w:rsidR="00F4740B">
              <w:t>limnīcās kopējam ārstniecības personu skaitam ir strauja negatīva dinamika. Tam par iemeslu ir esošo ārstniecības personu novecošanās, kas būtiski ietekmē darba spējas un gaidāmo rezultātu, kā arī zemā darba samaksa. Kopumā ā</w:t>
            </w:r>
            <w:r w:rsidRPr="003F7F9C">
              <w:t>rstniecības personu esošais nodrošinājums rada nopietnu apdraudējumu veselības aprūpes pakalpojumu nodrošināšanai nākotnē. Ja pašreiz ārstu un zobārstu skaits ir pietiekams, tad 33% ārstu un 28% zobārstu jau ir vai pēc 7 gadiem būs pensijas vecumā. Vissatraucošākā situācija ir ar māsu nodrošinājumu. Pēc rekomendējošās metodoloģijas šobrīd slimnīcās māsu deficīts ir ap 1500 māsu. Lai sasniegtu optimālo māsu skaitu valstī kopā rekomendējoši līdz 2025.gadam veidojas ap 3050 māsu deficīts</w:t>
            </w:r>
            <w:r w:rsidR="00C974B1">
              <w:t>.</w:t>
            </w:r>
            <w:r w:rsidRPr="003F7F9C">
              <w:t xml:space="preserve"> </w:t>
            </w:r>
          </w:p>
          <w:p w:rsidR="009B160F" w:rsidRPr="003F7F9C" w:rsidP="00C974B1">
            <w:pPr>
              <w:ind w:firstLine="664"/>
              <w:jc w:val="both"/>
              <w:rPr>
                <w:color w:val="FF0000"/>
              </w:rPr>
            </w:pPr>
          </w:p>
          <w:p w:rsidR="0039676D" w:rsidP="007A7FD0">
            <w:pPr>
              <w:ind w:firstLine="720"/>
              <w:jc w:val="both"/>
            </w:pPr>
            <w:r w:rsidRPr="003F7F9C">
              <w:t>Lai mazinātu tendenci ārstniecības personu aizplūšanai</w:t>
            </w:r>
            <w:r w:rsidRPr="003F7F9C" w:rsidR="001F77FD">
              <w:t xml:space="preserve"> uz privāto sektoru</w:t>
            </w:r>
            <w:r w:rsidRPr="003F7F9C">
              <w:t xml:space="preserve"> un </w:t>
            </w:r>
            <w:r w:rsidRPr="003F7F9C" w:rsidR="001F77FD">
              <w:t xml:space="preserve">aktīvāk </w:t>
            </w:r>
            <w:r w:rsidRPr="003F7F9C">
              <w:t>veicin</w:t>
            </w:r>
            <w:r w:rsidRPr="003F7F9C" w:rsidR="001F77FD">
              <w:t xml:space="preserve">ātu </w:t>
            </w:r>
            <w:r w:rsidRPr="003F7F9C">
              <w:t>paaudžu nomaiņu ā</w:t>
            </w:r>
            <w:r w:rsidRPr="003F7F9C" w:rsidR="00A50BB2">
              <w:t>r</w:t>
            </w:r>
            <w:r w:rsidRPr="003F7F9C" w:rsidR="002B6EC1">
              <w:t xml:space="preserve">stniecības personu darba samaksas palielināšanai līdz 2023.gadam nepieciešams novirzīt 500,8 miljonus </w:t>
            </w:r>
            <w:r w:rsidRPr="00B9441A" w:rsidR="00B9441A">
              <w:rPr>
                <w:i/>
              </w:rPr>
              <w:t>euro</w:t>
            </w:r>
            <w:r w:rsidRPr="003F7F9C" w:rsidR="002B6EC1">
              <w:t>, ārstu un funkcionālo speciālistu vidējā darba samaksai 2021.gadā par mērķi nosakot divkāršu tautsaimniecībā nodarbināto vidējo darba samaksu. Ārstniecības un pacientu aprūpes personu darba samaksai nepieciešams sasniegt 60%, bet ārstniecības un pacientu aprūpes atbalsta personu vidējā darba samaksa nepieciešams sasniegt 40% no ārstu un funkcionālo speciālistu vidējās darba samaksas, lielāku finansējuma apjomu paredzot stacionārajām ārstniecības iestādēm. Šāds solis ļaus apturēt ārstniecības personāla migrāciju gan uz ambulatoro sektoru, gan arī migrāciju uz citām ES valstīm, kas šobrīd rada ļoti būtiskus draudus stacionāro veselības aprūpes pakalpojumu pieejamībai.</w:t>
            </w:r>
            <w:r w:rsidRPr="003F7F9C" w:rsidR="004822B8">
              <w:t xml:space="preserve"> Kvalitatīvu veselības aprūpes pakalpojumu </w:t>
            </w:r>
            <w:r w:rsidRPr="003F7F9C" w:rsidR="00087541">
              <w:t xml:space="preserve">ir iespējams nodrošināt tikai tad, ja ārstniecības iestādei ir pietiekams skaits profesionālu speciālistu, kuri strādā vienotā saliedētā </w:t>
            </w:r>
            <w:r w:rsidRPr="003F7F9C" w:rsidR="00087541">
              <w:t>komandā, kur ikviens no dalībniekiem funkcionē</w:t>
            </w:r>
            <w:r w:rsidRPr="003F7F9C" w:rsidR="00387959">
              <w:t xml:space="preserve"> </w:t>
            </w:r>
            <w:r w:rsidRPr="003F7F9C" w:rsidR="00087541">
              <w:t>patstāvīgi un atbildīgi, skaidri apzinoties sava darb</w:t>
            </w:r>
            <w:r w:rsidR="00661137">
              <w:t>a</w:t>
            </w:r>
            <w:r w:rsidRPr="003F7F9C" w:rsidR="00087541">
              <w:t xml:space="preserve"> uzdevumus un kopējo sasniedzamo mērķi.</w:t>
            </w:r>
            <w:r w:rsidRPr="003F7F9C" w:rsidR="00847521">
              <w:t xml:space="preserve"> Ārstniecības personas ir vērtība, bez kuriem nav iespējams nodrošināt ārstniecību.</w:t>
            </w:r>
            <w:r w:rsidRPr="003F7F9C" w:rsidR="000F6DBA">
              <w:t xml:space="preserve"> </w:t>
            </w:r>
            <w:r w:rsidRPr="003F7F9C" w:rsidR="005F4173">
              <w:t xml:space="preserve">Konkurētspējīgs atalgojums ārstniecības personām ir viens no būtiskākajiem aspektiem, kas ietekmē veselības nozares cilvēkresursu nodrošinājumu veselības aprūpes sistēmā. </w:t>
            </w:r>
            <w:r w:rsidRPr="003F7F9C" w:rsidR="005F4173">
              <w:t>Prioritizējot</w:t>
            </w:r>
            <w:r w:rsidRPr="003F7F9C" w:rsidR="005F4173">
              <w:t xml:space="preserve"> veselības jomu un atzīstot veselību kā vienu no svarīgākajām valsts pamatvērtībām tautsaimniecības izaugsmē un attīstībā, jāpanāk ka finansējums veselības nozarei, t.sk., veselības aprūpes darbinieku darba samaksai tiek mērķtiecīgi palielināts un </w:t>
            </w:r>
            <w:r w:rsidRPr="004D212F" w:rsidR="004D212F">
              <w:t xml:space="preserve">ārstu un funkcionālo speciālistu vidējā darba samaksa 2021.gadā </w:t>
            </w:r>
            <w:r w:rsidR="004D212F">
              <w:t>sasniedz</w:t>
            </w:r>
            <w:r w:rsidRPr="004D212F" w:rsidR="004D212F">
              <w:t xml:space="preserve"> divkāršu tautsaimniecībā nodarbināto vidējo darba samaksu. Ārstniecības un pacientu aprūpes personu darba samaksai nepieciešams sasniegt 60%, bet ārstniecības un pacientu aprūpes atbalsta personu vidējā darba samaksa nepieciešams sasniegt 40% no ārstu un funkcionālo speciālistu vidējās darba </w:t>
            </w:r>
          </w:p>
          <w:p w:rsidR="00C974B1" w:rsidRPr="00C974B1" w:rsidP="00E40B8E">
            <w:pPr>
              <w:ind w:firstLine="663"/>
              <w:jc w:val="both"/>
            </w:pPr>
            <w:r w:rsidRPr="003F7F9C">
              <w:t xml:space="preserve">Cilvēkresursu nodrošinājums tiešā mērā ietekmē ārstniecības pakalpojuma nodrošinājuma kvalitāti un pacientu drošību. Lai uzlabotu situāciju darba tirgū un veicinātu cilvēkresursu attīstību Veselības ministrijas izveidotā darba grupa par ārstniecības personu darba samaksas modeļa pārskatīšanu ir </w:t>
            </w:r>
            <w:r w:rsidR="002C37A0">
              <w:t xml:space="preserve">sagatavojusi priekšlikumus izmaiņām, </w:t>
            </w:r>
            <w:r w:rsidRPr="003F7F9C">
              <w:t>ņ</w:t>
            </w:r>
            <w:r w:rsidR="00E40B8E">
              <w:t>e</w:t>
            </w:r>
            <w:r w:rsidRPr="003F7F9C">
              <w:t>m</w:t>
            </w:r>
            <w:r w:rsidR="002C37A0">
              <w:t>ot</w:t>
            </w:r>
            <w:r w:rsidRPr="003F7F9C">
              <w:t xml:space="preserve"> vērā Latvijas Veselības un sociālās aprūpes darbinieku arodbiedrības izteiktos priekšlikumus </w:t>
            </w:r>
          </w:p>
          <w:p w:rsidR="0039676D" w:rsidRPr="00C974B1" w:rsidP="0039676D">
            <w:pPr>
              <w:ind w:firstLine="720"/>
              <w:jc w:val="both"/>
            </w:pPr>
            <w:r w:rsidRPr="00E977E1">
              <w:t xml:space="preserve">Izmaiņu nepieciešamība ir pamatota ar vienlīdzīgāku nosacījumu nodrošināšanu ārstniecības personām saņemot piemaksu </w:t>
            </w:r>
            <w:r w:rsidRPr="00E977E1" w:rsidR="00B00059">
              <w:t>p</w:t>
            </w:r>
            <w:r w:rsidRPr="00E977E1">
              <w:t xml:space="preserve">ar ārstniecības personu iegūto izglītības līmeni, </w:t>
            </w:r>
            <w:r w:rsidRPr="00E977E1" w:rsidR="002C37A0">
              <w:t xml:space="preserve">akadēmisko vai </w:t>
            </w:r>
            <w:r w:rsidRPr="00E977E1">
              <w:t>zinātnisko grādu un darba novērtējuma rādītājiem un tiek novērsta iespēja, ka ārstniecības iestāde nepiemēro piemaksu ārstniecības personai, neatkarīgi no nostrādā laika perioda.</w:t>
            </w:r>
            <w:r w:rsidRPr="00E977E1" w:rsidR="00C70EFE">
              <w:t xml:space="preserve"> </w:t>
            </w:r>
            <w:r w:rsidRPr="00E977E1" w:rsidR="009D3A1A">
              <w:t>Piemēram, projekta 1.1.apakšpunktā paredzētais noteikumu 5.1.apakšpunkts nosaka, ka ārstniecības persona</w:t>
            </w:r>
            <w:r w:rsidRPr="00E977E1" w:rsidR="00F37CE4">
              <w:t>i</w:t>
            </w:r>
            <w:r w:rsidRPr="00E977E1" w:rsidR="009D3A1A">
              <w:t xml:space="preserve"> var arī nepiemērot % piemaksu, savukārt projekta 1.1. apakšpunktā paredzētais 5.2. apakšpunkts nosaka, ka ārstniecības personai var piemērot vismaz 1% piemaksu.</w:t>
            </w:r>
            <w:r w:rsidRPr="00E977E1" w:rsidR="00C050FD">
              <w:t xml:space="preserve"> L</w:t>
            </w:r>
            <w:r w:rsidRPr="00E977E1" w:rsidR="00313C4B">
              <w:t>ai ārstniecības iestāde  noteiktu p</w:t>
            </w:r>
            <w:r w:rsidRPr="00E977E1" w:rsidR="00375EAC">
              <w:t>iemaksas apmēru, tā veic iekšējo</w:t>
            </w:r>
            <w:r w:rsidRPr="00E977E1" w:rsidR="00313C4B">
              <w:t xml:space="preserve"> darba novērtēšanu, kas nav skatāms kontekstā ar Valsts un pašvaldību institūciju amatpersonu un darbinieku atlīdzības likumu.</w:t>
            </w:r>
          </w:p>
          <w:p w:rsidR="0039676D" w:rsidRPr="003F7F9C" w:rsidP="007A7FD0">
            <w:pPr>
              <w:ind w:firstLine="720"/>
              <w:jc w:val="both"/>
            </w:pPr>
          </w:p>
          <w:p w:rsidR="005F4173" w:rsidRPr="00C974B1" w:rsidP="000F6DBA">
            <w:pPr>
              <w:ind w:firstLine="720"/>
              <w:jc w:val="both"/>
            </w:pPr>
            <w:r w:rsidRPr="00C974B1">
              <w:t>Lai nodrošinātu efektīvāku un pārskatāmāku ārstniecības personu darba samaksas noteikšanas kārtību, ti</w:t>
            </w:r>
            <w:r w:rsidR="002C37A0">
              <w:t>ek</w:t>
            </w:r>
            <w:r w:rsidRPr="00C974B1">
              <w:t xml:space="preserve"> precizēts normatīvais regulējums attiecībā uz ārstniecības personu zemākās mēnešalgas noteikšanu un svītrotas ārstniecības struktūrvienību administratīvo vadītāju kategorijas – galvenais ārsts, galvenā ārsta vietnieks, nodaļas vai struktūrvienības vadītājs, virsmāsa, galvenā medicīnas māsa, galvenā vecmāte, galvenais radiologa asistents, apmaksājot veikto darbu no tarifā iekļautā elementa administrācijas izmaksu segšanai.</w:t>
            </w:r>
          </w:p>
          <w:p w:rsidR="00777E77" w:rsidRPr="003F7F9C" w:rsidP="007F56A4">
            <w:pPr>
              <w:ind w:firstLine="720"/>
              <w:jc w:val="both"/>
            </w:pPr>
            <w:r w:rsidRPr="004D212F">
              <w:t>Reformas ietvaros tika pārskatīts ārstniecības personu sadalījums kategorijās, no 13 kategorijām izveidojot 6 kategorijas. Ārstniecības personu vērtējums, lai veiktu iedalījumu kategorijās tika veikts izmantojot vairākus kritērijus – izglītība, profesionālā pieredze, darba sarežģītība, domāšanas sarežģītība, sadarbība un vadība, atbildība par darba norisi un rezultātiem un atbildība par lēmumiem.</w:t>
            </w:r>
            <w:r w:rsidRPr="00C974B1">
              <w:t xml:space="preserve"> </w:t>
            </w:r>
          </w:p>
          <w:p w:rsidR="000B36A8" w:rsidRPr="001D60E8" w:rsidP="000F6DBA">
            <w:pPr>
              <w:pStyle w:val="NormalWeb"/>
              <w:spacing w:before="0" w:beforeAutospacing="0" w:after="0" w:afterAutospacing="0"/>
              <w:ind w:firstLine="720"/>
              <w:jc w:val="both"/>
            </w:pPr>
            <w:r w:rsidRPr="003F7F9C">
              <w:t>Tāpat N</w:t>
            </w:r>
            <w:r w:rsidRPr="003F7F9C" w:rsidR="00373977">
              <w:t>oteikumu</w:t>
            </w:r>
            <w:r w:rsidRPr="003F7F9C" w:rsidR="00B3704D">
              <w:t xml:space="preserve"> projekts paredz, </w:t>
            </w:r>
            <w:r w:rsidRPr="003F7F9C">
              <w:t>atbilstoši iepriekšminēto kategoriju sadalījumam</w:t>
            </w:r>
            <w:r w:rsidRPr="003F7F9C" w:rsidR="00692416">
              <w:t>,</w:t>
            </w:r>
            <w:r w:rsidRPr="003F7F9C" w:rsidR="00373977">
              <w:t xml:space="preserve"> mainīt Noteikumu Nr.595 2.pielikum</w:t>
            </w:r>
            <w:r w:rsidRPr="003F7F9C">
              <w:t>u</w:t>
            </w:r>
            <w:r w:rsidRPr="003F7F9C" w:rsidR="00373977">
              <w:t xml:space="preserve">, </w:t>
            </w:r>
            <w:r w:rsidRPr="00670006" w:rsidR="00373977">
              <w:rPr>
                <w:b/>
              </w:rPr>
              <w:t>palielinot ārstniecības person</w:t>
            </w:r>
            <w:r w:rsidRPr="00670006" w:rsidR="00210A0A">
              <w:rPr>
                <w:b/>
              </w:rPr>
              <w:t>u</w:t>
            </w:r>
            <w:r w:rsidRPr="003F7F9C" w:rsidR="00373977">
              <w:t xml:space="preserve"> zemāko mēnešalgas likmi </w:t>
            </w:r>
            <w:r w:rsidRPr="003F7F9C" w:rsidR="00E225E6">
              <w:t xml:space="preserve">par slodzi </w:t>
            </w:r>
            <w:r w:rsidRPr="003F7F9C">
              <w:t>6.-1.</w:t>
            </w:r>
            <w:r w:rsidRPr="003F7F9C" w:rsidR="00373977">
              <w:t xml:space="preserve"> </w:t>
            </w:r>
            <w:r w:rsidRPr="003F7F9C" w:rsidR="00C16210">
              <w:t>ā</w:t>
            </w:r>
            <w:r w:rsidRPr="003F7F9C" w:rsidR="00373977">
              <w:t xml:space="preserve">rstniecības personas amata kvalifikācijas kategorijai, </w:t>
            </w:r>
            <w:r w:rsidRPr="00670006">
              <w:rPr>
                <w:b/>
              </w:rPr>
              <w:t>ņemot vērā</w:t>
            </w:r>
            <w:r w:rsidRPr="00670006" w:rsidR="00670006">
              <w:rPr>
                <w:b/>
              </w:rPr>
              <w:t xml:space="preserve"> pieejamo finansējuma apmēru 90 142 231 </w:t>
            </w:r>
            <w:r w:rsidRPr="00670006" w:rsidR="00670006">
              <w:rPr>
                <w:b/>
                <w:i/>
              </w:rPr>
              <w:t>euro</w:t>
            </w:r>
            <w:r w:rsidRPr="001D60E8" w:rsidR="001D60E8">
              <w:t>.</w:t>
            </w:r>
          </w:p>
          <w:p w:rsidR="00C974B1" w:rsidP="007019C3">
            <w:pPr>
              <w:pStyle w:val="NormalWeb"/>
              <w:spacing w:before="0" w:beforeAutospacing="0" w:after="0" w:afterAutospacing="0"/>
              <w:jc w:val="both"/>
            </w:pPr>
          </w:p>
          <w:p w:rsidR="007019C3" w:rsidRPr="007F7437" w:rsidP="007019C3">
            <w:pPr>
              <w:pStyle w:val="NormalWeb"/>
              <w:spacing w:before="0" w:beforeAutospacing="0" w:after="0" w:afterAutospacing="0"/>
              <w:ind w:firstLine="762"/>
              <w:jc w:val="both"/>
            </w:pPr>
            <w:r w:rsidRPr="007F7437">
              <w:t xml:space="preserve">Līdz ar to 2018.gadā paredzēts palielināt ārstu un funkcionālo speciālistu darba samaksu no 859 </w:t>
            </w:r>
            <w:r w:rsidRPr="007F7437" w:rsidR="00B9441A">
              <w:rPr>
                <w:i/>
              </w:rPr>
              <w:t>euro</w:t>
            </w:r>
            <w:r w:rsidRPr="007F7437">
              <w:t xml:space="preserve"> līdz 1125 </w:t>
            </w:r>
            <w:r w:rsidRPr="007F7437" w:rsidR="00B9441A">
              <w:rPr>
                <w:i/>
              </w:rPr>
              <w:t>euro</w:t>
            </w:r>
            <w:r w:rsidRPr="007F7437">
              <w:t xml:space="preserve"> mēnesī, ārstniecības un pacientu aprūpes personas un funkcionālo speciālistu asistentiem no 537 </w:t>
            </w:r>
            <w:r w:rsidRPr="007F7437" w:rsidR="00B9441A">
              <w:rPr>
                <w:i/>
              </w:rPr>
              <w:t>euro</w:t>
            </w:r>
            <w:r w:rsidRPr="007F7437">
              <w:t xml:space="preserve"> līdz 675 </w:t>
            </w:r>
            <w:r w:rsidRPr="007F7437" w:rsidR="00B9441A">
              <w:rPr>
                <w:i/>
              </w:rPr>
              <w:t>euro</w:t>
            </w:r>
            <w:r w:rsidRPr="007F7437">
              <w:t xml:space="preserve"> mēnesī, bet ārstniecības un pacientu aprūpes atbalsta personām – no 400 </w:t>
            </w:r>
            <w:r w:rsidRPr="007F7437" w:rsidR="00B9441A">
              <w:rPr>
                <w:i/>
              </w:rPr>
              <w:t>euro</w:t>
            </w:r>
            <w:r w:rsidRPr="007F7437">
              <w:t xml:space="preserve"> līdz 450 </w:t>
            </w:r>
            <w:r w:rsidRPr="007F7437" w:rsidR="00B9441A">
              <w:rPr>
                <w:i/>
              </w:rPr>
              <w:t>euro</w:t>
            </w:r>
            <w:r w:rsidRPr="007F7437">
              <w:t xml:space="preserve"> mēnesī. Ārstniecības personām stacionārajā sektorā, ņemot vērā obligātās piemaksas par diennakts darba režīmu nodrošināšanu, kā arī normālā pagarinātā darba laika pakāpenisku atcelšanu. Līdz ar to stacionārajās iestādēs ārstniecības personu </w:t>
            </w:r>
            <w:r w:rsidRPr="007F7437" w:rsidR="00362F0B">
              <w:t xml:space="preserve">darba samaksa </w:t>
            </w:r>
            <w:r w:rsidRPr="007F7437">
              <w:t xml:space="preserve">palielināsies vēl būtiskāk - ārstiem un funkcionālajiem speciālistiem – līdz 1547 </w:t>
            </w:r>
            <w:r w:rsidRPr="007F7437" w:rsidR="00B9441A">
              <w:rPr>
                <w:i/>
              </w:rPr>
              <w:t>euro</w:t>
            </w:r>
            <w:r w:rsidRPr="007F7437">
              <w:t xml:space="preserve">, ārstniecības un pacientu aprūpes personas un funkcionālo speciālistu asistentiem – līdz 929 </w:t>
            </w:r>
            <w:r w:rsidRPr="007F7437" w:rsidR="00B9441A">
              <w:rPr>
                <w:i/>
              </w:rPr>
              <w:t>euro</w:t>
            </w:r>
            <w:r w:rsidRPr="007F7437">
              <w:t xml:space="preserve"> un ārstniecības un pacientu aprūpes atbalsta personām – līdz 621 </w:t>
            </w:r>
            <w:r w:rsidRPr="007F7437" w:rsidR="00B9441A">
              <w:rPr>
                <w:i/>
              </w:rPr>
              <w:t>euro</w:t>
            </w:r>
            <w:r w:rsidRPr="007F7437">
              <w:t>. </w:t>
            </w:r>
          </w:p>
          <w:p w:rsidR="007F7437" w:rsidP="007F7437">
            <w:pPr>
              <w:pStyle w:val="NormalWeb"/>
              <w:spacing w:before="0" w:beforeAutospacing="0" w:after="0" w:afterAutospacing="0"/>
              <w:ind w:firstLine="708"/>
              <w:jc w:val="both"/>
            </w:pPr>
            <w:r w:rsidRPr="007F7437">
              <w:t>Procentuālais palielinājums 2018.gadā darba samaksai paredzēts par 44% ārstiem un funkcionālajiem speciālistiem, par 38% ārstniecības un pacientu aprūpes personām un funkcionālo speciālistu asistentiem, bet par 24% ārstniecības un pacientu aprūpes atbalsta personām, kas veidojas ņemot vērā vidējo plānoto darba samaksas palielinājum gan ārstniecības personālam ambulatorā sektorā, gan stacionārajā sektorā.</w:t>
            </w:r>
          </w:p>
          <w:p w:rsidR="00731717" w:rsidRPr="007F7437" w:rsidP="007F7437">
            <w:pPr>
              <w:pStyle w:val="NormalWeb"/>
              <w:spacing w:before="0" w:beforeAutospacing="0" w:after="0" w:afterAutospacing="0"/>
              <w:ind w:firstLine="708"/>
              <w:jc w:val="both"/>
            </w:pPr>
            <w:r>
              <w:t>Lai nodrošinātu, ka piešķirtais finansējums tiek novirzīts paredzētajam mērķim – darba samaksas palielināšanai ārstniecības personām, kas ir iesaistītas valsts apmaksāto veselības aprūpes pakalpojumu sniegšanā, Nacionālais veselības dienests, slēdzot līgumus par valsts apmaksāto pakalpojumu sniegšanu iezīmēs palielinājuma summu katrai ārstniecības iestādei un nodrošinās regulāru atskaitīšanos par izlietoto finansējumu.</w:t>
            </w:r>
          </w:p>
        </w:tc>
      </w:tr>
      <w:tr w:rsidTr="00C974B1">
        <w:tblPrEx>
          <w:tblW w:w="9928" w:type="dxa"/>
          <w:tblCellMar>
            <w:left w:w="0" w:type="dxa"/>
            <w:right w:w="0" w:type="dxa"/>
          </w:tblCellMar>
          <w:tblLook w:val="0000"/>
        </w:tblPrEx>
        <w:trPr>
          <w:trHeight w:val="476"/>
        </w:trPr>
        <w:tc>
          <w:tcPr>
            <w:tcW w:w="403" w:type="dxa"/>
          </w:tcPr>
          <w:p w:rsidR="00262E2B" w:rsidRPr="003F7F9C" w:rsidP="00597F17">
            <w:pPr>
              <w:pStyle w:val="naiskr"/>
              <w:spacing w:before="0" w:after="0"/>
            </w:pPr>
            <w:r w:rsidRPr="003F7F9C">
              <w:t>3.</w:t>
            </w:r>
          </w:p>
        </w:tc>
        <w:tc>
          <w:tcPr>
            <w:tcW w:w="2721" w:type="dxa"/>
          </w:tcPr>
          <w:p w:rsidR="00262E2B" w:rsidRPr="003F7F9C" w:rsidP="00597F17">
            <w:pPr>
              <w:pStyle w:val="naiskr"/>
              <w:spacing w:before="0" w:after="0"/>
            </w:pPr>
            <w:r w:rsidRPr="003F7F9C">
              <w:t>Projekta izstrād</w:t>
            </w:r>
            <w:r w:rsidRPr="003F7F9C" w:rsidR="00420870">
              <w:t xml:space="preserve">ē </w:t>
            </w:r>
            <w:r w:rsidRPr="003F7F9C">
              <w:t>iesaistītās institūcijas</w:t>
            </w:r>
          </w:p>
        </w:tc>
        <w:tc>
          <w:tcPr>
            <w:tcW w:w="6804" w:type="dxa"/>
          </w:tcPr>
          <w:p w:rsidR="00800523" w:rsidRPr="003F7F9C" w:rsidP="00597F17">
            <w:pPr>
              <w:pStyle w:val="naiskr"/>
              <w:spacing w:before="0" w:after="0"/>
              <w:jc w:val="both"/>
            </w:pPr>
            <w:r w:rsidRPr="00E977E1">
              <w:t>Lai nodrošinātu Ministru kabineta 2010.gada 29.jūnija noteikumos Nr.595 “Noteikumi par zemāko mēnešalgu un speciālo piemaksu ārstniecības personām” noteikto ārstniecības personu amata kvalifikācijas kategoriju un tām noteiktās darba samaksas pārskatīšanu</w:t>
            </w:r>
            <w:r w:rsidRPr="00E977E1" w:rsidR="00ED3D65">
              <w:t>,  atbilstoši Veselības ministrijas</w:t>
            </w:r>
            <w:r w:rsidRPr="00E977E1">
              <w:t xml:space="preserve"> 2016.gada 29.februāra rīkojumam Nr.31</w:t>
            </w:r>
            <w:r w:rsidRPr="00E977E1" w:rsidR="00ED3D65">
              <w:t xml:space="preserve"> tika izveidota darba grupa “Par darba grupas izveidi ārstniecības personu darba samaksas modeļa pārskatīšanai” šādā sastāvā: Veselības ministrija, Latvijas Republikas Saeimas Sociālo un darba lietu komisijas Sabiedrības veselības apakškomitejas priekšsēdētājs, Latvijas ārstniecības un aprūpes darbinieku arodbiedrība, VSIA “Bērnu klīniskā universitātes slimnīca”, SIA “Daugavpils reģionālā slimnīca”, SIA “Rīgas Dzemdību nams”, SIA “Vidzemes slimnīca”, Latvijas Veselības un sociālās aprūpes darbinieku arodbiedrība, Latvijas Māsu asociācija</w:t>
            </w:r>
            <w:r w:rsidRPr="00E977E1" w:rsidR="007847AD">
              <w:t>, Latvijas Jauno ārstu asociācija, Latvijas Medicīnas studentu asociācija, Latvijas Studentu apvienība</w:t>
            </w:r>
            <w:r w:rsidRPr="00E977E1" w:rsidR="00ED3D65">
              <w:t>.</w:t>
            </w:r>
          </w:p>
        </w:tc>
      </w:tr>
      <w:tr w:rsidTr="00C974B1">
        <w:tblPrEx>
          <w:tblW w:w="9928" w:type="dxa"/>
          <w:tblCellMar>
            <w:left w:w="0" w:type="dxa"/>
            <w:right w:w="0" w:type="dxa"/>
          </w:tblCellMar>
          <w:tblLook w:val="0000"/>
        </w:tblPrEx>
        <w:tc>
          <w:tcPr>
            <w:tcW w:w="403" w:type="dxa"/>
          </w:tcPr>
          <w:p w:rsidR="00262E2B" w:rsidRPr="003F7F9C" w:rsidP="00597F17">
            <w:pPr>
              <w:pStyle w:val="naiskr"/>
              <w:spacing w:before="0" w:after="0"/>
            </w:pPr>
            <w:r w:rsidRPr="003F7F9C">
              <w:t>4.</w:t>
            </w:r>
          </w:p>
        </w:tc>
        <w:tc>
          <w:tcPr>
            <w:tcW w:w="2721" w:type="dxa"/>
          </w:tcPr>
          <w:p w:rsidR="00262E2B" w:rsidRPr="003F7F9C" w:rsidP="00597F17">
            <w:pPr>
              <w:pStyle w:val="naiskr"/>
              <w:spacing w:before="0" w:after="0"/>
            </w:pPr>
            <w:r w:rsidRPr="003F7F9C">
              <w:t>Cita informācija</w:t>
            </w:r>
          </w:p>
        </w:tc>
        <w:tc>
          <w:tcPr>
            <w:tcW w:w="6804" w:type="dxa"/>
          </w:tcPr>
          <w:p w:rsidR="00800523" w:rsidRPr="003F7F9C" w:rsidP="00597F17">
            <w:pPr>
              <w:pStyle w:val="naiskr"/>
              <w:spacing w:before="0" w:after="0"/>
            </w:pPr>
            <w:r w:rsidRPr="003F7F9C">
              <w:t>Nav</w:t>
            </w:r>
          </w:p>
        </w:tc>
      </w:tr>
    </w:tbl>
    <w:p w:rsidR="00800523" w:rsidRPr="003D07F4" w:rsidP="005D7180">
      <w:pPr>
        <w:pStyle w:val="naisf"/>
        <w:spacing w:before="0" w:after="0"/>
        <w:ind w:firstLine="0"/>
        <w:rPr>
          <w:sz w:val="28"/>
          <w:szCs w:val="28"/>
        </w:rPr>
      </w:pPr>
    </w:p>
    <w:tbl>
      <w:tblPr>
        <w:tblW w:w="549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2"/>
        <w:gridCol w:w="2679"/>
        <w:gridCol w:w="6417"/>
      </w:tblGrid>
      <w:tr w:rsidTr="000F6DBA">
        <w:tblPrEx>
          <w:tblW w:w="549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55"/>
        </w:trPr>
        <w:tc>
          <w:tcPr>
            <w:tcW w:w="5000" w:type="pct"/>
            <w:gridSpan w:val="3"/>
            <w:hideMark/>
          </w:tcPr>
          <w:p w:rsidR="00133D52" w:rsidRPr="003F7F9C" w:rsidP="00133D52">
            <w:pPr>
              <w:spacing w:before="100" w:beforeAutospacing="1" w:after="100" w:afterAutospacing="1"/>
              <w:ind w:firstLine="272"/>
              <w:jc w:val="center"/>
              <w:rPr>
                <w:b/>
                <w:bCs/>
              </w:rPr>
            </w:pPr>
            <w:r w:rsidRPr="003F7F9C">
              <w:rPr>
                <w:b/>
                <w:bCs/>
              </w:rPr>
              <w:t>II. Tiesību akta projekta ietekme uz sabiedrību, tautsaimniecības attīstību un administratīvo slogu</w:t>
            </w:r>
          </w:p>
        </w:tc>
      </w:tr>
      <w:tr w:rsidTr="000F6DBA">
        <w:tblPrEx>
          <w:tblW w:w="5495" w:type="pct"/>
          <w:tblInd w:w="-459" w:type="dxa"/>
          <w:tblLook w:val="04A0"/>
        </w:tblPrEx>
        <w:trPr>
          <w:trHeight w:val="465"/>
        </w:trPr>
        <w:tc>
          <w:tcPr>
            <w:tcW w:w="433" w:type="pct"/>
            <w:hideMark/>
          </w:tcPr>
          <w:p w:rsidR="00133D52" w:rsidRPr="003F7F9C" w:rsidP="00133D52">
            <w:r w:rsidRPr="003F7F9C">
              <w:t>1.</w:t>
            </w:r>
          </w:p>
        </w:tc>
        <w:tc>
          <w:tcPr>
            <w:tcW w:w="1345" w:type="pct"/>
            <w:hideMark/>
          </w:tcPr>
          <w:p w:rsidR="00133D52" w:rsidRPr="003F7F9C" w:rsidP="00133D52">
            <w:r w:rsidRPr="003F7F9C">
              <w:t xml:space="preserve">Sabiedrības </w:t>
            </w:r>
            <w:r w:rsidRPr="003F7F9C">
              <w:t>mērķgrupas</w:t>
            </w:r>
            <w:r w:rsidRPr="003F7F9C">
              <w:t xml:space="preserve">, kuras tiesiskais </w:t>
            </w:r>
            <w:r w:rsidRPr="003F7F9C">
              <w:t>regulējums ietekmē vai varētu ietekmēt</w:t>
            </w:r>
          </w:p>
        </w:tc>
        <w:tc>
          <w:tcPr>
            <w:tcW w:w="3222" w:type="pct"/>
            <w:hideMark/>
          </w:tcPr>
          <w:p w:rsidR="00370CCA" w:rsidRPr="003F7F9C" w:rsidP="00990C60">
            <w:pPr>
              <w:ind w:firstLine="709"/>
              <w:jc w:val="both"/>
            </w:pPr>
            <w:r w:rsidRPr="003F7F9C">
              <w:t xml:space="preserve">Noteikumu projekta tiesiskais regulējums attiecas uz ārstniecības personām, kas strādā pašvaldību iestādēs, valsts un </w:t>
            </w:r>
            <w:r w:rsidRPr="003F7F9C">
              <w:t>pašvaldību kapitālsabiedrībās vai publiski privātās kapitālsabiedrībās, kas noslēgušas līgumu par no valsts budžeta apmaksāto veselība</w:t>
            </w:r>
            <w:r w:rsidR="00B9441A">
              <w:t>s aprūpes pakalpojumu sniegšanu tai skaitā uz rezidentiem.</w:t>
            </w:r>
          </w:p>
          <w:p w:rsidR="00597DF7" w:rsidRPr="003F7F9C" w:rsidP="00990C60">
            <w:pPr>
              <w:ind w:firstLine="709"/>
              <w:jc w:val="both"/>
              <w:rPr>
                <w:bCs/>
              </w:rPr>
            </w:pPr>
            <w:r w:rsidRPr="003F7F9C">
              <w:rPr>
                <w:bCs/>
              </w:rPr>
              <w:t>Plānotais vidējais ārstniecības personu slodžu skaits 201</w:t>
            </w:r>
            <w:r w:rsidRPr="003F7F9C" w:rsidR="00D21359">
              <w:rPr>
                <w:bCs/>
              </w:rPr>
              <w:t>8</w:t>
            </w:r>
            <w:r w:rsidRPr="003F7F9C" w:rsidR="00CA1B89">
              <w:rPr>
                <w:bCs/>
              </w:rPr>
              <w:t xml:space="preserve">.gadam </w:t>
            </w:r>
            <w:r w:rsidRPr="003F7F9C">
              <w:rPr>
                <w:bCs/>
              </w:rPr>
              <w:t xml:space="preserve">kopā </w:t>
            </w:r>
            <w:r w:rsidRPr="003F7F9C" w:rsidR="00CA1B89">
              <w:rPr>
                <w:bCs/>
              </w:rPr>
              <w:t xml:space="preserve">ir </w:t>
            </w:r>
            <w:r w:rsidRPr="003F7F9C" w:rsidR="00D21359">
              <w:rPr>
                <w:bCs/>
              </w:rPr>
              <w:t>22</w:t>
            </w:r>
            <w:r w:rsidRPr="003F7F9C" w:rsidR="00A26F18">
              <w:rPr>
                <w:bCs/>
              </w:rPr>
              <w:t> </w:t>
            </w:r>
            <w:r w:rsidRPr="003F7F9C" w:rsidR="00D21359">
              <w:rPr>
                <w:bCs/>
              </w:rPr>
              <w:t>33</w:t>
            </w:r>
            <w:r w:rsidRPr="003F7F9C" w:rsidR="00A26F18">
              <w:rPr>
                <w:bCs/>
              </w:rPr>
              <w:t>7</w:t>
            </w:r>
            <w:r w:rsidRPr="003F7F9C">
              <w:rPr>
                <w:bCs/>
              </w:rPr>
              <w:t xml:space="preserve">, tai skaitā vidējais ārstu un funkcionālo speciālistu slodžu skaits </w:t>
            </w:r>
            <w:r w:rsidRPr="003F7F9C" w:rsidR="008C2652">
              <w:rPr>
                <w:bCs/>
              </w:rPr>
              <w:t>7</w:t>
            </w:r>
            <w:r w:rsidRPr="003F7F9C" w:rsidR="00A26F18">
              <w:rPr>
                <w:bCs/>
              </w:rPr>
              <w:t> 777</w:t>
            </w:r>
            <w:r w:rsidRPr="003F7F9C">
              <w:rPr>
                <w:bCs/>
              </w:rPr>
              <w:t xml:space="preserve">, vidējais ārstniecības un pacientu aprūpes personu slodžu skaits </w:t>
            </w:r>
            <w:r w:rsidRPr="003F7F9C" w:rsidR="00A26F18">
              <w:rPr>
                <w:bCs/>
              </w:rPr>
              <w:t>11 401</w:t>
            </w:r>
            <w:r w:rsidRPr="003F7F9C">
              <w:rPr>
                <w:bCs/>
              </w:rPr>
              <w:t xml:space="preserve">, vidējais ārstniecības un pacientu aprūpes atbalsta personu slodžu skaits </w:t>
            </w:r>
            <w:r w:rsidRPr="003F7F9C" w:rsidR="008C2652">
              <w:rPr>
                <w:bCs/>
              </w:rPr>
              <w:t>3</w:t>
            </w:r>
            <w:r w:rsidRPr="003F7F9C" w:rsidR="00A26F18">
              <w:rPr>
                <w:bCs/>
              </w:rPr>
              <w:t> 159</w:t>
            </w:r>
            <w:r w:rsidRPr="003F7F9C">
              <w:rPr>
                <w:bCs/>
              </w:rPr>
              <w:t>.</w:t>
            </w:r>
          </w:p>
          <w:p w:rsidR="00CA1B89" w:rsidRPr="003F7F9C" w:rsidP="00990C60">
            <w:pPr>
              <w:ind w:firstLine="709"/>
              <w:jc w:val="both"/>
              <w:rPr>
                <w:bCs/>
              </w:rPr>
            </w:pPr>
            <w:r w:rsidRPr="003F7F9C">
              <w:t>Pārējam personālam, kas nepieciešams valsts apmaksāto veselības aprūpes pakalpojumu sniegšanas nodrošināšanai un nav ārstniecības personas, plānotais vidējais slodžu skaits 201</w:t>
            </w:r>
            <w:r w:rsidRPr="003F7F9C" w:rsidR="00A26F18">
              <w:t>8</w:t>
            </w:r>
            <w:r w:rsidRPr="003F7F9C">
              <w:t xml:space="preserve">.gadam ir </w:t>
            </w:r>
            <w:r w:rsidRPr="003F7F9C" w:rsidR="00A26F18">
              <w:t>8 582</w:t>
            </w:r>
            <w:r w:rsidRPr="003F7F9C">
              <w:t>.</w:t>
            </w:r>
          </w:p>
        </w:tc>
      </w:tr>
      <w:tr w:rsidTr="000F6DBA">
        <w:tblPrEx>
          <w:tblW w:w="5495" w:type="pct"/>
          <w:tblInd w:w="-459" w:type="dxa"/>
          <w:tblLook w:val="04A0"/>
        </w:tblPrEx>
        <w:trPr>
          <w:trHeight w:val="510"/>
        </w:trPr>
        <w:tc>
          <w:tcPr>
            <w:tcW w:w="433" w:type="pct"/>
            <w:hideMark/>
          </w:tcPr>
          <w:p w:rsidR="00133D52" w:rsidRPr="003F7F9C" w:rsidP="00133D52">
            <w:r w:rsidRPr="003F7F9C">
              <w:t>2.</w:t>
            </w:r>
          </w:p>
        </w:tc>
        <w:tc>
          <w:tcPr>
            <w:tcW w:w="1345" w:type="pct"/>
            <w:hideMark/>
          </w:tcPr>
          <w:p w:rsidR="00133D52" w:rsidRPr="003F7F9C" w:rsidP="00133D52">
            <w:r w:rsidRPr="003F7F9C">
              <w:t>Tiesiskā regulējuma ietekme uz tautsaimniecību un administratīvo slogu</w:t>
            </w:r>
          </w:p>
        </w:tc>
        <w:tc>
          <w:tcPr>
            <w:tcW w:w="3222" w:type="pct"/>
            <w:hideMark/>
          </w:tcPr>
          <w:p w:rsidR="00133D52" w:rsidRPr="003F7F9C" w:rsidP="00990C60">
            <w:pPr>
              <w:ind w:firstLine="709"/>
              <w:jc w:val="both"/>
            </w:pPr>
            <w:r w:rsidRPr="003F7F9C">
              <w:t>Tiesiskajam regulējumam nav ietekmes uz tautsaimniecību un administratīvo slogu.</w:t>
            </w:r>
          </w:p>
          <w:p w:rsidR="00133D52" w:rsidRPr="003F7F9C" w:rsidP="00133D52">
            <w:pPr>
              <w:jc w:val="both"/>
            </w:pPr>
          </w:p>
        </w:tc>
      </w:tr>
      <w:tr w:rsidTr="000F6DBA">
        <w:tblPrEx>
          <w:tblW w:w="5495" w:type="pct"/>
          <w:tblInd w:w="-459" w:type="dxa"/>
          <w:tblLook w:val="04A0"/>
        </w:tblPrEx>
        <w:trPr>
          <w:trHeight w:val="510"/>
        </w:trPr>
        <w:tc>
          <w:tcPr>
            <w:tcW w:w="433" w:type="pct"/>
            <w:hideMark/>
          </w:tcPr>
          <w:p w:rsidR="00133D52" w:rsidRPr="003F7F9C" w:rsidP="00133D52">
            <w:r w:rsidRPr="003F7F9C">
              <w:t>3.</w:t>
            </w:r>
          </w:p>
        </w:tc>
        <w:tc>
          <w:tcPr>
            <w:tcW w:w="1345" w:type="pct"/>
            <w:hideMark/>
          </w:tcPr>
          <w:p w:rsidR="00133D52" w:rsidRPr="00E977E1" w:rsidP="00133D52">
            <w:r w:rsidRPr="00E977E1">
              <w:t>Administratīvo izmaksu monetārs novērtējums</w:t>
            </w:r>
          </w:p>
        </w:tc>
        <w:tc>
          <w:tcPr>
            <w:tcW w:w="3222" w:type="pct"/>
            <w:hideMark/>
          </w:tcPr>
          <w:p w:rsidR="00800523" w:rsidRPr="00E977E1" w:rsidP="00133D52">
            <w:r w:rsidRPr="00E977E1">
              <w:t>Projekts šo jomu neskar.</w:t>
            </w:r>
          </w:p>
          <w:p w:rsidR="00800523" w:rsidRPr="00E977E1" w:rsidP="00133D52"/>
        </w:tc>
      </w:tr>
      <w:tr w:rsidTr="000F6DBA">
        <w:tblPrEx>
          <w:tblW w:w="5495" w:type="pct"/>
          <w:tblInd w:w="-459" w:type="dxa"/>
          <w:tblLook w:val="04A0"/>
        </w:tblPrEx>
        <w:trPr>
          <w:trHeight w:val="345"/>
        </w:trPr>
        <w:tc>
          <w:tcPr>
            <w:tcW w:w="433" w:type="pct"/>
            <w:hideMark/>
          </w:tcPr>
          <w:p w:rsidR="00133D52" w:rsidRPr="003F7F9C" w:rsidP="00133D52">
            <w:r w:rsidRPr="003F7F9C">
              <w:t>4.</w:t>
            </w:r>
          </w:p>
        </w:tc>
        <w:tc>
          <w:tcPr>
            <w:tcW w:w="1345" w:type="pct"/>
            <w:hideMark/>
          </w:tcPr>
          <w:p w:rsidR="00133D52" w:rsidRPr="003F7F9C" w:rsidP="00133D52">
            <w:r w:rsidRPr="003F7F9C">
              <w:t>Cita informācija</w:t>
            </w:r>
          </w:p>
        </w:tc>
        <w:tc>
          <w:tcPr>
            <w:tcW w:w="3222" w:type="pct"/>
            <w:hideMark/>
          </w:tcPr>
          <w:p w:rsidR="00800523" w:rsidRPr="003F7F9C" w:rsidP="00133D52">
            <w:pPr>
              <w:spacing w:before="100" w:beforeAutospacing="1" w:after="100" w:afterAutospacing="1" w:line="360" w:lineRule="auto"/>
            </w:pPr>
            <w:r w:rsidRPr="003F7F9C">
              <w:t>Nav</w:t>
            </w:r>
          </w:p>
        </w:tc>
      </w:tr>
    </w:tbl>
    <w:p w:rsidR="00800523" w:rsidRPr="003F7F9C" w:rsidP="005D7180">
      <w:pPr>
        <w:pStyle w:val="naisf"/>
        <w:spacing w:before="0" w:after="0"/>
        <w:ind w:firstLine="0"/>
      </w:pP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2"/>
        <w:gridCol w:w="1117"/>
        <w:gridCol w:w="1601"/>
        <w:gridCol w:w="1698"/>
        <w:gridCol w:w="1698"/>
        <w:gridCol w:w="1698"/>
      </w:tblGrid>
      <w:tr w:rsidTr="00C4776E">
        <w:tblPrEx>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10524" w:type="dxa"/>
            <w:gridSpan w:val="6"/>
            <w:vAlign w:val="center"/>
          </w:tcPr>
          <w:p w:rsidR="006C418A" w:rsidRPr="003F7F9C" w:rsidP="00A20419">
            <w:pPr>
              <w:pStyle w:val="naisf"/>
              <w:spacing w:before="0" w:after="0"/>
              <w:ind w:firstLine="0"/>
              <w:jc w:val="center"/>
              <w:rPr>
                <w:b/>
              </w:rPr>
            </w:pPr>
            <w:r w:rsidRPr="003F7F9C">
              <w:rPr>
                <w:b/>
              </w:rPr>
              <w:t>III. Tiesību akta projekta ietekme uz valsts budžetu un pašvaldību budžetiem</w:t>
            </w:r>
          </w:p>
        </w:tc>
      </w:tr>
      <w:tr w:rsidTr="008B4C5F">
        <w:tblPrEx>
          <w:tblW w:w="10524" w:type="dxa"/>
          <w:jc w:val="center"/>
          <w:tblLook w:val="01E0"/>
        </w:tblPrEx>
        <w:trPr>
          <w:jc w:val="center"/>
        </w:trPr>
        <w:tc>
          <w:tcPr>
            <w:tcW w:w="2712" w:type="dxa"/>
            <w:vMerge w:val="restart"/>
            <w:vAlign w:val="center"/>
          </w:tcPr>
          <w:p w:rsidR="00571028" w:rsidRPr="003F7F9C" w:rsidP="00A20419">
            <w:pPr>
              <w:pStyle w:val="naisf"/>
              <w:spacing w:before="0" w:after="0"/>
              <w:ind w:left="114" w:hanging="114"/>
              <w:jc w:val="center"/>
              <w:rPr>
                <w:b/>
              </w:rPr>
            </w:pPr>
            <w:r w:rsidRPr="003F7F9C">
              <w:rPr>
                <w:b/>
              </w:rPr>
              <w:t>Rādītāji</w:t>
            </w:r>
          </w:p>
        </w:tc>
        <w:tc>
          <w:tcPr>
            <w:tcW w:w="2718" w:type="dxa"/>
            <w:gridSpan w:val="2"/>
            <w:vMerge w:val="restart"/>
            <w:vAlign w:val="center"/>
          </w:tcPr>
          <w:p w:rsidR="00571028" w:rsidRPr="003F7F9C" w:rsidP="00597DF7">
            <w:pPr>
              <w:pStyle w:val="naisf"/>
              <w:spacing w:before="0" w:after="0"/>
              <w:ind w:firstLine="0"/>
              <w:jc w:val="center"/>
              <w:rPr>
                <w:b/>
              </w:rPr>
            </w:pPr>
            <w:r w:rsidRPr="003F7F9C">
              <w:rPr>
                <w:b/>
              </w:rPr>
              <w:t>201</w:t>
            </w:r>
            <w:r w:rsidRPr="003F7F9C" w:rsidR="00034CF0">
              <w:rPr>
                <w:b/>
              </w:rPr>
              <w:t>7</w:t>
            </w:r>
            <w:r w:rsidRPr="003F7F9C">
              <w:rPr>
                <w:b/>
              </w:rPr>
              <w:t>.</w:t>
            </w:r>
            <w:r w:rsidRPr="003F7F9C" w:rsidR="00F46414">
              <w:rPr>
                <w:b/>
              </w:rPr>
              <w:t>gads</w:t>
            </w:r>
          </w:p>
        </w:tc>
        <w:tc>
          <w:tcPr>
            <w:tcW w:w="5094" w:type="dxa"/>
            <w:gridSpan w:val="3"/>
            <w:vAlign w:val="center"/>
          </w:tcPr>
          <w:p w:rsidR="00571028" w:rsidRPr="003F7F9C" w:rsidP="004A05EF">
            <w:pPr>
              <w:pStyle w:val="naisf"/>
              <w:spacing w:before="0" w:after="0"/>
              <w:ind w:firstLine="0"/>
              <w:jc w:val="center"/>
              <w:rPr>
                <w:b/>
                <w:i/>
              </w:rPr>
            </w:pPr>
            <w:r w:rsidRPr="003F7F9C">
              <w:t>Turpmākie trīs gadi (</w:t>
            </w:r>
            <w:r w:rsidRPr="00B9441A" w:rsidR="00B9441A">
              <w:rPr>
                <w:i/>
              </w:rPr>
              <w:t>euro</w:t>
            </w:r>
            <w:r w:rsidRPr="003F7F9C">
              <w:t>)</w:t>
            </w:r>
          </w:p>
        </w:tc>
      </w:tr>
      <w:tr w:rsidTr="008B4C5F">
        <w:tblPrEx>
          <w:tblW w:w="10524" w:type="dxa"/>
          <w:jc w:val="center"/>
          <w:tblLook w:val="01E0"/>
        </w:tblPrEx>
        <w:trPr>
          <w:jc w:val="center"/>
        </w:trPr>
        <w:tc>
          <w:tcPr>
            <w:tcW w:w="2712" w:type="dxa"/>
            <w:vMerge/>
            <w:vAlign w:val="center"/>
          </w:tcPr>
          <w:p w:rsidR="00571028" w:rsidRPr="003F7F9C" w:rsidP="00A20419">
            <w:pPr>
              <w:pStyle w:val="naisf"/>
              <w:spacing w:before="0" w:after="0"/>
              <w:ind w:firstLine="0"/>
              <w:jc w:val="center"/>
              <w:rPr>
                <w:b/>
                <w:i/>
              </w:rPr>
            </w:pPr>
          </w:p>
        </w:tc>
        <w:tc>
          <w:tcPr>
            <w:tcW w:w="2718" w:type="dxa"/>
            <w:gridSpan w:val="2"/>
            <w:vMerge/>
            <w:vAlign w:val="center"/>
          </w:tcPr>
          <w:p w:rsidR="00571028" w:rsidRPr="003F7F9C" w:rsidP="00A20419">
            <w:pPr>
              <w:pStyle w:val="naisf"/>
              <w:spacing w:before="0" w:after="0"/>
              <w:ind w:firstLine="0"/>
              <w:jc w:val="center"/>
              <w:rPr>
                <w:b/>
                <w:i/>
              </w:rPr>
            </w:pPr>
          </w:p>
        </w:tc>
        <w:tc>
          <w:tcPr>
            <w:tcW w:w="1698" w:type="dxa"/>
            <w:vAlign w:val="center"/>
          </w:tcPr>
          <w:p w:rsidR="00571028" w:rsidRPr="003F7F9C" w:rsidP="00597DF7">
            <w:pPr>
              <w:pStyle w:val="naisf"/>
              <w:spacing w:before="0" w:after="0"/>
              <w:ind w:firstLine="0"/>
              <w:jc w:val="center"/>
              <w:rPr>
                <w:b/>
                <w:i/>
              </w:rPr>
            </w:pPr>
            <w:r w:rsidRPr="003F7F9C">
              <w:rPr>
                <w:b/>
                <w:bCs/>
              </w:rPr>
              <w:t>201</w:t>
            </w:r>
            <w:r w:rsidRPr="003F7F9C" w:rsidR="00034CF0">
              <w:rPr>
                <w:b/>
                <w:bCs/>
              </w:rPr>
              <w:t>8</w:t>
            </w:r>
            <w:r w:rsidRPr="003F7F9C">
              <w:rPr>
                <w:b/>
                <w:bCs/>
              </w:rPr>
              <w:t>.</w:t>
            </w:r>
            <w:r w:rsidRPr="003F7F9C" w:rsidR="00F46414">
              <w:rPr>
                <w:b/>
                <w:bCs/>
              </w:rPr>
              <w:t>gads</w:t>
            </w:r>
          </w:p>
        </w:tc>
        <w:tc>
          <w:tcPr>
            <w:tcW w:w="1698" w:type="dxa"/>
            <w:vAlign w:val="center"/>
          </w:tcPr>
          <w:p w:rsidR="00571028" w:rsidRPr="003F7F9C" w:rsidP="00597DF7">
            <w:pPr>
              <w:pStyle w:val="naisf"/>
              <w:spacing w:before="0" w:after="0"/>
              <w:ind w:firstLine="0"/>
              <w:jc w:val="center"/>
              <w:rPr>
                <w:b/>
                <w:i/>
              </w:rPr>
            </w:pPr>
            <w:r w:rsidRPr="003F7F9C">
              <w:rPr>
                <w:b/>
                <w:bCs/>
              </w:rPr>
              <w:t>201</w:t>
            </w:r>
            <w:r w:rsidRPr="003F7F9C" w:rsidR="00034CF0">
              <w:rPr>
                <w:b/>
                <w:bCs/>
              </w:rPr>
              <w:t>9</w:t>
            </w:r>
            <w:r w:rsidRPr="003F7F9C">
              <w:rPr>
                <w:b/>
                <w:bCs/>
              </w:rPr>
              <w:t>.</w:t>
            </w:r>
            <w:r w:rsidRPr="003F7F9C" w:rsidR="00F46414">
              <w:rPr>
                <w:b/>
                <w:bCs/>
              </w:rPr>
              <w:t>gads</w:t>
            </w:r>
          </w:p>
        </w:tc>
        <w:tc>
          <w:tcPr>
            <w:tcW w:w="1698" w:type="dxa"/>
            <w:vAlign w:val="center"/>
          </w:tcPr>
          <w:p w:rsidR="00571028" w:rsidRPr="003F7F9C" w:rsidP="00597DF7">
            <w:pPr>
              <w:pStyle w:val="naisf"/>
              <w:spacing w:before="0" w:after="0"/>
              <w:ind w:firstLine="0"/>
              <w:jc w:val="center"/>
              <w:rPr>
                <w:b/>
                <w:i/>
              </w:rPr>
            </w:pPr>
            <w:r w:rsidRPr="003F7F9C">
              <w:rPr>
                <w:b/>
                <w:bCs/>
              </w:rPr>
              <w:t>2020.</w:t>
            </w:r>
            <w:r w:rsidRPr="003F7F9C" w:rsidR="00F46414">
              <w:rPr>
                <w:b/>
                <w:bCs/>
              </w:rPr>
              <w:t>gads</w:t>
            </w:r>
          </w:p>
        </w:tc>
      </w:tr>
      <w:tr w:rsidTr="008B4C5F">
        <w:tblPrEx>
          <w:tblW w:w="10524" w:type="dxa"/>
          <w:jc w:val="center"/>
          <w:tblLook w:val="01E0"/>
        </w:tblPrEx>
        <w:trPr>
          <w:jc w:val="center"/>
        </w:trPr>
        <w:tc>
          <w:tcPr>
            <w:tcW w:w="2712" w:type="dxa"/>
            <w:vMerge/>
            <w:vAlign w:val="center"/>
          </w:tcPr>
          <w:p w:rsidR="00571028" w:rsidRPr="003F7F9C" w:rsidP="00A20419">
            <w:pPr>
              <w:pStyle w:val="naisf"/>
              <w:spacing w:before="0" w:after="0"/>
              <w:ind w:firstLine="0"/>
              <w:jc w:val="center"/>
              <w:rPr>
                <w:b/>
                <w:i/>
              </w:rPr>
            </w:pPr>
          </w:p>
        </w:tc>
        <w:tc>
          <w:tcPr>
            <w:tcW w:w="1117" w:type="dxa"/>
            <w:vAlign w:val="center"/>
          </w:tcPr>
          <w:p w:rsidR="00571028" w:rsidRPr="003F7F9C" w:rsidP="00A20419">
            <w:pPr>
              <w:pStyle w:val="naisf"/>
              <w:spacing w:before="0" w:after="0"/>
              <w:ind w:firstLine="0"/>
              <w:jc w:val="center"/>
              <w:rPr>
                <w:b/>
                <w:i/>
              </w:rPr>
            </w:pPr>
            <w:r w:rsidRPr="003F7F9C">
              <w:t>Saskaņā ar valsts budžetu kārtējam gadam</w:t>
            </w:r>
          </w:p>
        </w:tc>
        <w:tc>
          <w:tcPr>
            <w:tcW w:w="1601" w:type="dxa"/>
            <w:vAlign w:val="center"/>
          </w:tcPr>
          <w:p w:rsidR="00571028" w:rsidRPr="003F7F9C" w:rsidP="00A20419">
            <w:pPr>
              <w:pStyle w:val="naisf"/>
              <w:spacing w:before="0" w:after="0"/>
              <w:ind w:firstLine="0"/>
              <w:jc w:val="center"/>
              <w:rPr>
                <w:b/>
                <w:i/>
              </w:rPr>
            </w:pPr>
            <w:r w:rsidRPr="003F7F9C">
              <w:t>Izmaiņas kārtējā gadā, salīdzinot ar budžetu kārtējam gadam</w:t>
            </w:r>
          </w:p>
        </w:tc>
        <w:tc>
          <w:tcPr>
            <w:tcW w:w="1698" w:type="dxa"/>
            <w:vAlign w:val="center"/>
          </w:tcPr>
          <w:p w:rsidR="00571028" w:rsidRPr="003F7F9C" w:rsidP="00A20419">
            <w:pPr>
              <w:pStyle w:val="naisf"/>
              <w:spacing w:before="0" w:after="0"/>
              <w:ind w:firstLine="0"/>
              <w:jc w:val="center"/>
              <w:rPr>
                <w:b/>
                <w:i/>
              </w:rPr>
            </w:pPr>
            <w:r w:rsidRPr="003F7F9C">
              <w:t>Izmaiņas, salīdzinot ar kārtējo (n) gadu</w:t>
            </w:r>
          </w:p>
        </w:tc>
        <w:tc>
          <w:tcPr>
            <w:tcW w:w="1698" w:type="dxa"/>
            <w:vAlign w:val="center"/>
          </w:tcPr>
          <w:p w:rsidR="00571028" w:rsidRPr="003F7F9C" w:rsidP="00A20419">
            <w:pPr>
              <w:pStyle w:val="naisf"/>
              <w:spacing w:before="0" w:after="0"/>
              <w:ind w:firstLine="0"/>
              <w:jc w:val="center"/>
              <w:rPr>
                <w:b/>
                <w:i/>
              </w:rPr>
            </w:pPr>
            <w:r w:rsidRPr="003F7F9C">
              <w:t>Izmaiņas, salīdzinot ar kārtējo (n) gadu</w:t>
            </w:r>
          </w:p>
        </w:tc>
        <w:tc>
          <w:tcPr>
            <w:tcW w:w="1698" w:type="dxa"/>
            <w:vAlign w:val="center"/>
          </w:tcPr>
          <w:p w:rsidR="00571028" w:rsidRPr="003F7F9C" w:rsidP="00A20419">
            <w:pPr>
              <w:pStyle w:val="naisf"/>
              <w:spacing w:before="0" w:after="0"/>
              <w:ind w:firstLine="0"/>
              <w:jc w:val="center"/>
              <w:rPr>
                <w:b/>
                <w:i/>
              </w:rPr>
            </w:pPr>
            <w:r w:rsidRPr="003F7F9C">
              <w:t>Izmaiņas, salīdzinot ar kārtējo (n) gadu</w:t>
            </w:r>
          </w:p>
        </w:tc>
      </w:tr>
      <w:tr w:rsidTr="008B4C5F">
        <w:tblPrEx>
          <w:tblW w:w="10524" w:type="dxa"/>
          <w:jc w:val="center"/>
          <w:tblLook w:val="01E0"/>
        </w:tblPrEx>
        <w:trPr>
          <w:jc w:val="center"/>
        </w:trPr>
        <w:tc>
          <w:tcPr>
            <w:tcW w:w="2712" w:type="dxa"/>
            <w:vAlign w:val="center"/>
          </w:tcPr>
          <w:p w:rsidR="00571028" w:rsidRPr="003F7F9C" w:rsidP="00A20419">
            <w:pPr>
              <w:pStyle w:val="naisf"/>
              <w:spacing w:before="0" w:after="0"/>
              <w:ind w:firstLine="0"/>
              <w:jc w:val="center"/>
              <w:rPr>
                <w:bCs/>
              </w:rPr>
            </w:pPr>
            <w:r w:rsidRPr="003F7F9C">
              <w:rPr>
                <w:bCs/>
              </w:rPr>
              <w:t>1</w:t>
            </w:r>
          </w:p>
        </w:tc>
        <w:tc>
          <w:tcPr>
            <w:tcW w:w="1117" w:type="dxa"/>
            <w:vAlign w:val="center"/>
          </w:tcPr>
          <w:p w:rsidR="00571028" w:rsidRPr="003F7F9C" w:rsidP="00A20419">
            <w:pPr>
              <w:pStyle w:val="naisf"/>
              <w:spacing w:before="0" w:after="0"/>
              <w:ind w:firstLine="0"/>
              <w:jc w:val="center"/>
              <w:rPr>
                <w:bCs/>
              </w:rPr>
            </w:pPr>
            <w:r w:rsidRPr="003F7F9C">
              <w:rPr>
                <w:bCs/>
              </w:rPr>
              <w:t>2</w:t>
            </w:r>
          </w:p>
        </w:tc>
        <w:tc>
          <w:tcPr>
            <w:tcW w:w="1601" w:type="dxa"/>
            <w:vAlign w:val="center"/>
          </w:tcPr>
          <w:p w:rsidR="00571028" w:rsidRPr="003F7F9C" w:rsidP="00A20419">
            <w:pPr>
              <w:pStyle w:val="naisf"/>
              <w:spacing w:before="0" w:after="0"/>
              <w:ind w:firstLine="0"/>
              <w:jc w:val="center"/>
              <w:rPr>
                <w:bCs/>
              </w:rPr>
            </w:pPr>
            <w:r w:rsidRPr="003F7F9C">
              <w:rPr>
                <w:bCs/>
              </w:rPr>
              <w:t>3</w:t>
            </w:r>
          </w:p>
        </w:tc>
        <w:tc>
          <w:tcPr>
            <w:tcW w:w="1698" w:type="dxa"/>
            <w:vAlign w:val="center"/>
          </w:tcPr>
          <w:p w:rsidR="00571028" w:rsidRPr="003F7F9C" w:rsidP="00A20419">
            <w:pPr>
              <w:pStyle w:val="naisf"/>
              <w:spacing w:before="0" w:after="0"/>
              <w:ind w:firstLine="0"/>
              <w:jc w:val="center"/>
              <w:rPr>
                <w:bCs/>
              </w:rPr>
            </w:pPr>
            <w:r w:rsidRPr="003F7F9C">
              <w:rPr>
                <w:bCs/>
              </w:rPr>
              <w:t>4</w:t>
            </w:r>
          </w:p>
        </w:tc>
        <w:tc>
          <w:tcPr>
            <w:tcW w:w="1698" w:type="dxa"/>
            <w:vAlign w:val="center"/>
          </w:tcPr>
          <w:p w:rsidR="00571028" w:rsidRPr="003F7F9C" w:rsidP="00A20419">
            <w:pPr>
              <w:pStyle w:val="naisf"/>
              <w:spacing w:before="0" w:after="0"/>
              <w:ind w:firstLine="0"/>
              <w:jc w:val="center"/>
              <w:rPr>
                <w:bCs/>
              </w:rPr>
            </w:pPr>
            <w:r w:rsidRPr="003F7F9C">
              <w:rPr>
                <w:bCs/>
              </w:rPr>
              <w:t>5</w:t>
            </w:r>
          </w:p>
        </w:tc>
        <w:tc>
          <w:tcPr>
            <w:tcW w:w="1698" w:type="dxa"/>
            <w:vAlign w:val="center"/>
          </w:tcPr>
          <w:p w:rsidR="00571028" w:rsidRPr="003F7F9C" w:rsidP="00A20419">
            <w:pPr>
              <w:pStyle w:val="naisf"/>
              <w:spacing w:before="0" w:after="0"/>
              <w:ind w:firstLine="0"/>
              <w:jc w:val="center"/>
              <w:rPr>
                <w:bCs/>
              </w:rPr>
            </w:pPr>
            <w:r w:rsidRPr="003F7F9C">
              <w:rPr>
                <w:bCs/>
              </w:rPr>
              <w:t>6</w:t>
            </w:r>
          </w:p>
        </w:tc>
      </w:tr>
      <w:tr w:rsidTr="008B4C5F">
        <w:tblPrEx>
          <w:tblW w:w="10524" w:type="dxa"/>
          <w:jc w:val="center"/>
          <w:tblLook w:val="01E0"/>
        </w:tblPrEx>
        <w:trPr>
          <w:jc w:val="center"/>
        </w:trPr>
        <w:tc>
          <w:tcPr>
            <w:tcW w:w="2712" w:type="dxa"/>
          </w:tcPr>
          <w:p w:rsidR="00F00746" w:rsidRPr="003F7F9C" w:rsidP="00F00746">
            <w:pPr>
              <w:pStyle w:val="naisf"/>
              <w:spacing w:before="0" w:after="0"/>
              <w:ind w:firstLine="0"/>
              <w:jc w:val="left"/>
              <w:rPr>
                <w:i/>
              </w:rPr>
            </w:pPr>
            <w:r w:rsidRPr="003F7F9C">
              <w:t>1. Budžeta ieņēmumi:</w:t>
            </w:r>
          </w:p>
        </w:tc>
        <w:tc>
          <w:tcPr>
            <w:tcW w:w="1117" w:type="dxa"/>
            <w:vAlign w:val="center"/>
          </w:tcPr>
          <w:p w:rsidR="00F00746" w:rsidRPr="003F7F9C" w:rsidP="00F00746">
            <w:pPr>
              <w:pStyle w:val="naisf"/>
              <w:spacing w:before="0" w:after="0"/>
              <w:ind w:firstLine="0"/>
              <w:jc w:val="center"/>
              <w:rPr>
                <w:b/>
              </w:rPr>
            </w:pPr>
            <w:r w:rsidRPr="003F7F9C">
              <w:rPr>
                <w:b/>
              </w:rPr>
              <w:t>0</w:t>
            </w:r>
          </w:p>
        </w:tc>
        <w:tc>
          <w:tcPr>
            <w:tcW w:w="1601" w:type="dxa"/>
            <w:vAlign w:val="center"/>
          </w:tcPr>
          <w:p w:rsidR="00F00746" w:rsidRPr="003F7F9C" w:rsidP="00F00746">
            <w:pPr>
              <w:pStyle w:val="naisf"/>
              <w:spacing w:before="0" w:after="0"/>
              <w:ind w:firstLine="0"/>
              <w:jc w:val="center"/>
              <w:rPr>
                <w:b/>
              </w:rPr>
            </w:pPr>
            <w:r w:rsidRPr="003F7F9C">
              <w:rPr>
                <w:b/>
              </w:rPr>
              <w:t>0</w:t>
            </w:r>
          </w:p>
        </w:tc>
        <w:tc>
          <w:tcPr>
            <w:tcW w:w="1698" w:type="dxa"/>
            <w:vAlign w:val="center"/>
          </w:tcPr>
          <w:p w:rsidR="00F00746" w:rsidRPr="003F7F9C" w:rsidP="00F00746">
            <w:pPr>
              <w:pStyle w:val="naisf"/>
              <w:spacing w:before="0" w:after="0"/>
              <w:ind w:firstLine="0"/>
              <w:jc w:val="center"/>
              <w:rPr>
                <w:b/>
              </w:rPr>
            </w:pPr>
            <w:r w:rsidRPr="00F00746">
              <w:rPr>
                <w:b/>
              </w:rPr>
              <w:t>+</w:t>
            </w:r>
            <w:r>
              <w:rPr>
                <w:b/>
              </w:rPr>
              <w:t>10 000 000</w:t>
            </w:r>
          </w:p>
        </w:tc>
        <w:tc>
          <w:tcPr>
            <w:tcW w:w="1698" w:type="dxa"/>
            <w:vAlign w:val="center"/>
          </w:tcPr>
          <w:p w:rsidR="00F00746" w:rsidRPr="003F7F9C" w:rsidP="00F00746">
            <w:pPr>
              <w:pStyle w:val="naisf"/>
              <w:spacing w:before="0" w:after="0"/>
              <w:ind w:firstLine="0"/>
              <w:jc w:val="center"/>
              <w:rPr>
                <w:b/>
              </w:rPr>
            </w:pPr>
            <w:r w:rsidRPr="00F00746">
              <w:rPr>
                <w:b/>
              </w:rPr>
              <w:t>+</w:t>
            </w:r>
            <w:r>
              <w:rPr>
                <w:b/>
              </w:rPr>
              <w:t>10 000 000</w:t>
            </w:r>
          </w:p>
        </w:tc>
        <w:tc>
          <w:tcPr>
            <w:tcW w:w="1698" w:type="dxa"/>
            <w:vAlign w:val="center"/>
          </w:tcPr>
          <w:p w:rsidR="00F00746" w:rsidRPr="003F7F9C" w:rsidP="00F00746">
            <w:pPr>
              <w:pStyle w:val="naisf"/>
              <w:spacing w:before="0" w:after="0"/>
              <w:ind w:firstLine="0"/>
              <w:jc w:val="center"/>
              <w:rPr>
                <w:b/>
              </w:rPr>
            </w:pPr>
            <w:r w:rsidRPr="00F00746">
              <w:rPr>
                <w:b/>
              </w:rPr>
              <w:t>+</w:t>
            </w:r>
            <w:r>
              <w:rPr>
                <w:b/>
              </w:rPr>
              <w:t>10 000 000</w:t>
            </w:r>
          </w:p>
        </w:tc>
      </w:tr>
      <w:tr w:rsidTr="008B4C5F">
        <w:tblPrEx>
          <w:tblW w:w="10524" w:type="dxa"/>
          <w:jc w:val="center"/>
          <w:tblLook w:val="01E0"/>
        </w:tblPrEx>
        <w:trPr>
          <w:jc w:val="center"/>
        </w:trPr>
        <w:tc>
          <w:tcPr>
            <w:tcW w:w="2712" w:type="dxa"/>
          </w:tcPr>
          <w:p w:rsidR="00F00746" w:rsidRPr="003F7F9C" w:rsidP="00F00746">
            <w:pPr>
              <w:pStyle w:val="naisf"/>
              <w:spacing w:before="0" w:after="0"/>
              <w:ind w:firstLine="0"/>
              <w:jc w:val="left"/>
              <w:rPr>
                <w:i/>
              </w:rPr>
            </w:pPr>
            <w:r w:rsidRPr="003F7F9C">
              <w:t>1.1. valsts pamatbudžets, tai skaitā ieņēmumi no maksas pakalpojumiem un citi pašu ieņēmumi</w:t>
            </w:r>
          </w:p>
        </w:tc>
        <w:tc>
          <w:tcPr>
            <w:tcW w:w="1117" w:type="dxa"/>
          </w:tcPr>
          <w:p w:rsidR="00F00746" w:rsidRPr="003F7F9C" w:rsidP="00F00746">
            <w:pPr>
              <w:pStyle w:val="naisf"/>
              <w:spacing w:before="0" w:after="0"/>
              <w:ind w:firstLine="0"/>
              <w:jc w:val="center"/>
            </w:pPr>
          </w:p>
          <w:p w:rsidR="00F00746" w:rsidRPr="003F7F9C" w:rsidP="00F00746">
            <w:pPr>
              <w:pStyle w:val="naisf"/>
              <w:spacing w:before="0" w:after="0"/>
              <w:ind w:firstLine="0"/>
              <w:jc w:val="center"/>
            </w:pPr>
          </w:p>
          <w:p w:rsidR="00F00746" w:rsidRPr="003F7F9C" w:rsidP="00F00746">
            <w:pPr>
              <w:pStyle w:val="naisf"/>
              <w:spacing w:before="0" w:after="0"/>
              <w:ind w:firstLine="0"/>
              <w:jc w:val="center"/>
            </w:pPr>
            <w:r w:rsidRPr="003F7F9C">
              <w:t>0</w:t>
            </w:r>
          </w:p>
        </w:tc>
        <w:tc>
          <w:tcPr>
            <w:tcW w:w="1601" w:type="dxa"/>
          </w:tcPr>
          <w:p w:rsidR="00F00746" w:rsidRPr="003F7F9C" w:rsidP="00F00746">
            <w:pPr>
              <w:pStyle w:val="naisf"/>
              <w:spacing w:before="0" w:after="0"/>
              <w:ind w:firstLine="0"/>
              <w:jc w:val="center"/>
            </w:pPr>
          </w:p>
          <w:p w:rsidR="00F00746" w:rsidRPr="003F7F9C" w:rsidP="00F00746">
            <w:pPr>
              <w:pStyle w:val="naisf"/>
              <w:spacing w:before="0" w:after="0"/>
              <w:ind w:firstLine="0"/>
              <w:jc w:val="center"/>
            </w:pPr>
          </w:p>
          <w:p w:rsidR="00F00746" w:rsidRPr="003F7F9C" w:rsidP="00F00746">
            <w:pPr>
              <w:pStyle w:val="naisf"/>
              <w:spacing w:before="0" w:after="0"/>
              <w:ind w:firstLine="0"/>
              <w:jc w:val="center"/>
            </w:pPr>
            <w:r w:rsidRPr="003F7F9C">
              <w:t>0</w:t>
            </w:r>
          </w:p>
        </w:tc>
        <w:tc>
          <w:tcPr>
            <w:tcW w:w="1698" w:type="dxa"/>
            <w:vAlign w:val="center"/>
          </w:tcPr>
          <w:p w:rsidR="00F00746" w:rsidRPr="003F7F9C" w:rsidP="00F00746">
            <w:pPr>
              <w:pStyle w:val="naisf"/>
              <w:spacing w:before="0" w:after="0"/>
              <w:ind w:firstLine="0"/>
              <w:jc w:val="center"/>
            </w:pPr>
            <w:r w:rsidRPr="003F7F9C">
              <w:t>+</w:t>
            </w:r>
            <w:r>
              <w:t>10 000 000</w:t>
            </w:r>
          </w:p>
        </w:tc>
        <w:tc>
          <w:tcPr>
            <w:tcW w:w="1698" w:type="dxa"/>
            <w:vAlign w:val="center"/>
          </w:tcPr>
          <w:p w:rsidR="00F00746" w:rsidRPr="003F7F9C" w:rsidP="00F00746">
            <w:pPr>
              <w:pStyle w:val="naisf"/>
              <w:spacing w:before="0" w:after="0"/>
              <w:ind w:firstLine="0"/>
              <w:jc w:val="center"/>
            </w:pPr>
            <w:r w:rsidRPr="003F7F9C">
              <w:t>+</w:t>
            </w:r>
            <w:r>
              <w:t>10 000 000</w:t>
            </w:r>
          </w:p>
        </w:tc>
        <w:tc>
          <w:tcPr>
            <w:tcW w:w="1698" w:type="dxa"/>
            <w:vAlign w:val="center"/>
          </w:tcPr>
          <w:p w:rsidR="00F00746" w:rsidRPr="003F7F9C" w:rsidP="00F00746">
            <w:pPr>
              <w:pStyle w:val="naisf"/>
              <w:spacing w:before="0" w:after="0"/>
              <w:ind w:firstLine="0"/>
              <w:jc w:val="center"/>
            </w:pPr>
            <w:r w:rsidRPr="003F7F9C">
              <w:t>+</w:t>
            </w:r>
            <w:r>
              <w:t>10 000 000</w:t>
            </w:r>
          </w:p>
        </w:tc>
      </w:tr>
      <w:tr w:rsidTr="008B4C5F">
        <w:tblPrEx>
          <w:tblW w:w="10524" w:type="dxa"/>
          <w:jc w:val="center"/>
          <w:tblLook w:val="01E0"/>
        </w:tblPrEx>
        <w:trPr>
          <w:jc w:val="center"/>
        </w:trPr>
        <w:tc>
          <w:tcPr>
            <w:tcW w:w="2712" w:type="dxa"/>
          </w:tcPr>
          <w:p w:rsidR="00F00746" w:rsidRPr="003F7F9C" w:rsidP="00F00746">
            <w:pPr>
              <w:pStyle w:val="naisf"/>
              <w:spacing w:before="0" w:after="0"/>
              <w:ind w:firstLine="0"/>
              <w:jc w:val="center"/>
            </w:pPr>
            <w:r>
              <w:t>02.04.00</w:t>
            </w:r>
          </w:p>
        </w:tc>
        <w:tc>
          <w:tcPr>
            <w:tcW w:w="1117" w:type="dxa"/>
          </w:tcPr>
          <w:p w:rsidR="00F00746" w:rsidRPr="003F7F9C" w:rsidP="00F00746">
            <w:pPr>
              <w:pStyle w:val="naisf"/>
              <w:spacing w:before="0" w:after="0"/>
              <w:ind w:firstLine="0"/>
              <w:jc w:val="center"/>
            </w:pPr>
            <w:r>
              <w:t>0</w:t>
            </w:r>
          </w:p>
        </w:tc>
        <w:tc>
          <w:tcPr>
            <w:tcW w:w="1601" w:type="dxa"/>
          </w:tcPr>
          <w:p w:rsidR="00F00746" w:rsidRPr="003F7F9C" w:rsidP="00F00746">
            <w:pPr>
              <w:pStyle w:val="naisf"/>
              <w:spacing w:before="0" w:after="0"/>
              <w:ind w:firstLine="0"/>
              <w:jc w:val="center"/>
            </w:pPr>
            <w:r>
              <w:t>0</w:t>
            </w:r>
          </w:p>
        </w:tc>
        <w:tc>
          <w:tcPr>
            <w:tcW w:w="1698" w:type="dxa"/>
            <w:vAlign w:val="center"/>
          </w:tcPr>
          <w:p w:rsidR="00F00746" w:rsidRPr="003F7F9C" w:rsidP="00F00746">
            <w:pPr>
              <w:pStyle w:val="naisf"/>
              <w:spacing w:before="0" w:after="0"/>
              <w:ind w:firstLine="0"/>
              <w:jc w:val="center"/>
            </w:pPr>
            <w:r>
              <w:t>0</w:t>
            </w:r>
          </w:p>
        </w:tc>
        <w:tc>
          <w:tcPr>
            <w:tcW w:w="1698" w:type="dxa"/>
            <w:vAlign w:val="center"/>
          </w:tcPr>
          <w:p w:rsidR="00F00746" w:rsidRPr="003F7F9C" w:rsidP="00F00746">
            <w:pPr>
              <w:pStyle w:val="naisf"/>
              <w:spacing w:before="0" w:after="0"/>
              <w:ind w:firstLine="0"/>
              <w:jc w:val="center"/>
            </w:pPr>
            <w:r>
              <w:t>0</w:t>
            </w:r>
          </w:p>
        </w:tc>
        <w:tc>
          <w:tcPr>
            <w:tcW w:w="1698" w:type="dxa"/>
            <w:vAlign w:val="center"/>
          </w:tcPr>
          <w:p w:rsidR="00F00746" w:rsidRPr="003F7F9C" w:rsidP="00F00746">
            <w:pPr>
              <w:pStyle w:val="naisf"/>
              <w:spacing w:before="0" w:after="0"/>
              <w:ind w:firstLine="0"/>
              <w:jc w:val="center"/>
            </w:pPr>
            <w:r>
              <w:t>0</w:t>
            </w:r>
          </w:p>
        </w:tc>
      </w:tr>
      <w:tr w:rsidTr="008B4C5F">
        <w:tblPrEx>
          <w:tblW w:w="10524" w:type="dxa"/>
          <w:jc w:val="center"/>
          <w:tblLook w:val="01E0"/>
        </w:tblPrEx>
        <w:trPr>
          <w:jc w:val="center"/>
        </w:trPr>
        <w:tc>
          <w:tcPr>
            <w:tcW w:w="2712" w:type="dxa"/>
          </w:tcPr>
          <w:p w:rsidR="00F00746" w:rsidRPr="003F7F9C" w:rsidP="00F00746">
            <w:pPr>
              <w:pStyle w:val="naisf"/>
              <w:spacing w:before="0" w:after="0"/>
              <w:ind w:firstLine="0"/>
              <w:jc w:val="center"/>
            </w:pPr>
            <w:r w:rsidRPr="003F7F9C">
              <w:t>33.14.00</w:t>
            </w:r>
          </w:p>
        </w:tc>
        <w:tc>
          <w:tcPr>
            <w:tcW w:w="1117" w:type="dxa"/>
          </w:tcPr>
          <w:p w:rsidR="00F00746" w:rsidRPr="003F7F9C" w:rsidP="00F00746">
            <w:pPr>
              <w:pStyle w:val="naisf"/>
              <w:spacing w:before="0" w:after="0"/>
              <w:ind w:firstLine="0"/>
              <w:jc w:val="center"/>
            </w:pPr>
            <w:r w:rsidRPr="003F7F9C">
              <w:t>0</w:t>
            </w:r>
          </w:p>
        </w:tc>
        <w:tc>
          <w:tcPr>
            <w:tcW w:w="1601" w:type="dxa"/>
          </w:tcPr>
          <w:p w:rsidR="00F00746" w:rsidRPr="003F7F9C" w:rsidP="00F00746">
            <w:pPr>
              <w:pStyle w:val="naisf"/>
              <w:spacing w:before="0" w:after="0"/>
              <w:ind w:firstLine="0"/>
              <w:jc w:val="center"/>
            </w:pPr>
            <w:r w:rsidRPr="003F7F9C">
              <w:t>0</w:t>
            </w:r>
          </w:p>
        </w:tc>
        <w:tc>
          <w:tcPr>
            <w:tcW w:w="1698" w:type="dxa"/>
            <w:vAlign w:val="center"/>
          </w:tcPr>
          <w:p w:rsidR="00F00746" w:rsidRPr="003F7F9C" w:rsidP="00F00746">
            <w:pPr>
              <w:pStyle w:val="naisf"/>
              <w:spacing w:before="0" w:after="0"/>
              <w:ind w:firstLine="0"/>
              <w:jc w:val="center"/>
            </w:pPr>
            <w:r w:rsidRPr="003F7F9C">
              <w:t>+</w:t>
            </w:r>
            <w:r>
              <w:t>121 154</w:t>
            </w:r>
          </w:p>
        </w:tc>
        <w:tc>
          <w:tcPr>
            <w:tcW w:w="1698" w:type="dxa"/>
            <w:vAlign w:val="center"/>
          </w:tcPr>
          <w:p w:rsidR="00F00746" w:rsidRPr="003F7F9C" w:rsidP="00F00746">
            <w:pPr>
              <w:pStyle w:val="naisf"/>
              <w:spacing w:before="0" w:after="0"/>
              <w:ind w:firstLine="0"/>
              <w:jc w:val="center"/>
            </w:pPr>
            <w:r w:rsidRPr="003F7F9C">
              <w:t>+</w:t>
            </w:r>
            <w:r>
              <w:t>121 154</w:t>
            </w:r>
          </w:p>
        </w:tc>
        <w:tc>
          <w:tcPr>
            <w:tcW w:w="1698" w:type="dxa"/>
            <w:vAlign w:val="center"/>
          </w:tcPr>
          <w:p w:rsidR="00F00746" w:rsidRPr="003F7F9C" w:rsidP="00F00746">
            <w:pPr>
              <w:pStyle w:val="naisf"/>
              <w:spacing w:before="0" w:after="0"/>
              <w:ind w:firstLine="0"/>
              <w:jc w:val="center"/>
            </w:pPr>
            <w:r w:rsidRPr="003F7F9C">
              <w:t>+</w:t>
            </w:r>
            <w:r>
              <w:t>121 154</w:t>
            </w:r>
          </w:p>
        </w:tc>
      </w:tr>
      <w:tr w:rsidTr="008B4C5F">
        <w:tblPrEx>
          <w:tblW w:w="10524" w:type="dxa"/>
          <w:jc w:val="center"/>
          <w:tblLook w:val="01E0"/>
        </w:tblPrEx>
        <w:trPr>
          <w:jc w:val="center"/>
        </w:trPr>
        <w:tc>
          <w:tcPr>
            <w:tcW w:w="2712" w:type="dxa"/>
          </w:tcPr>
          <w:p w:rsidR="00F00746" w:rsidRPr="003F7F9C" w:rsidP="00F00746">
            <w:pPr>
              <w:pStyle w:val="naisf"/>
              <w:spacing w:before="0" w:after="0"/>
              <w:ind w:firstLine="0"/>
              <w:jc w:val="center"/>
            </w:pPr>
            <w:r w:rsidRPr="003F7F9C">
              <w:t>33.15.00</w:t>
            </w:r>
          </w:p>
        </w:tc>
        <w:tc>
          <w:tcPr>
            <w:tcW w:w="1117" w:type="dxa"/>
          </w:tcPr>
          <w:p w:rsidR="00F00746" w:rsidRPr="003F7F9C" w:rsidP="00F00746">
            <w:pPr>
              <w:pStyle w:val="naisf"/>
              <w:spacing w:before="0" w:after="0"/>
              <w:ind w:firstLine="0"/>
              <w:jc w:val="center"/>
            </w:pPr>
            <w:r w:rsidRPr="003F7F9C">
              <w:t>0</w:t>
            </w:r>
          </w:p>
        </w:tc>
        <w:tc>
          <w:tcPr>
            <w:tcW w:w="1601" w:type="dxa"/>
          </w:tcPr>
          <w:p w:rsidR="00F00746" w:rsidRPr="003F7F9C" w:rsidP="00F00746">
            <w:pPr>
              <w:pStyle w:val="naisf"/>
              <w:spacing w:before="0" w:after="0"/>
              <w:ind w:firstLine="0"/>
              <w:jc w:val="center"/>
            </w:pPr>
            <w:r w:rsidRPr="003F7F9C">
              <w:t>0</w:t>
            </w:r>
          </w:p>
        </w:tc>
        <w:tc>
          <w:tcPr>
            <w:tcW w:w="1698" w:type="dxa"/>
            <w:vAlign w:val="center"/>
          </w:tcPr>
          <w:p w:rsidR="00F00746" w:rsidRPr="003F7F9C" w:rsidP="00F00746">
            <w:pPr>
              <w:pStyle w:val="naisf"/>
              <w:spacing w:before="0" w:after="0"/>
              <w:ind w:firstLine="0"/>
              <w:jc w:val="center"/>
            </w:pPr>
            <w:r w:rsidRPr="003F7F9C">
              <w:t>+</w:t>
            </w:r>
            <w:r>
              <w:t>2 626</w:t>
            </w:r>
          </w:p>
        </w:tc>
        <w:tc>
          <w:tcPr>
            <w:tcW w:w="1698" w:type="dxa"/>
            <w:vAlign w:val="center"/>
          </w:tcPr>
          <w:p w:rsidR="00F00746" w:rsidRPr="003F7F9C" w:rsidP="00F00746">
            <w:pPr>
              <w:pStyle w:val="naisf"/>
              <w:spacing w:before="0" w:after="0"/>
              <w:ind w:firstLine="0"/>
              <w:jc w:val="center"/>
            </w:pPr>
            <w:r w:rsidRPr="003F7F9C">
              <w:t>+</w:t>
            </w:r>
            <w:r>
              <w:t>2 626</w:t>
            </w:r>
          </w:p>
        </w:tc>
        <w:tc>
          <w:tcPr>
            <w:tcW w:w="1698" w:type="dxa"/>
            <w:vAlign w:val="center"/>
          </w:tcPr>
          <w:p w:rsidR="00F00746" w:rsidRPr="003F7F9C" w:rsidP="00F00746">
            <w:pPr>
              <w:pStyle w:val="naisf"/>
              <w:spacing w:before="0" w:after="0"/>
              <w:ind w:firstLine="0"/>
              <w:jc w:val="center"/>
            </w:pPr>
            <w:r w:rsidRPr="003F7F9C">
              <w:t>+</w:t>
            </w:r>
            <w:r>
              <w:t>2 626</w:t>
            </w:r>
          </w:p>
        </w:tc>
      </w:tr>
      <w:tr w:rsidTr="008B4C5F">
        <w:tblPrEx>
          <w:tblW w:w="10524" w:type="dxa"/>
          <w:jc w:val="center"/>
          <w:tblLook w:val="01E0"/>
        </w:tblPrEx>
        <w:trPr>
          <w:jc w:val="center"/>
        </w:trPr>
        <w:tc>
          <w:tcPr>
            <w:tcW w:w="2712" w:type="dxa"/>
          </w:tcPr>
          <w:p w:rsidR="00F00746" w:rsidRPr="003F7F9C" w:rsidP="00F00746">
            <w:pPr>
              <w:pStyle w:val="naisf"/>
              <w:spacing w:before="0" w:after="0"/>
              <w:ind w:firstLine="0"/>
              <w:jc w:val="center"/>
            </w:pPr>
            <w:r w:rsidRPr="003F7F9C">
              <w:t>33.16.00</w:t>
            </w:r>
          </w:p>
        </w:tc>
        <w:tc>
          <w:tcPr>
            <w:tcW w:w="1117" w:type="dxa"/>
          </w:tcPr>
          <w:p w:rsidR="00F00746" w:rsidRPr="003F7F9C" w:rsidP="00F00746">
            <w:pPr>
              <w:pStyle w:val="naisf"/>
              <w:spacing w:before="0" w:after="0"/>
              <w:ind w:firstLine="0"/>
              <w:jc w:val="center"/>
            </w:pPr>
            <w:r w:rsidRPr="003F7F9C">
              <w:t>0</w:t>
            </w:r>
          </w:p>
        </w:tc>
        <w:tc>
          <w:tcPr>
            <w:tcW w:w="1601" w:type="dxa"/>
          </w:tcPr>
          <w:p w:rsidR="00F00746" w:rsidRPr="003F7F9C" w:rsidP="00F00746">
            <w:pPr>
              <w:pStyle w:val="naisf"/>
              <w:spacing w:before="0" w:after="0"/>
              <w:ind w:firstLine="0"/>
              <w:jc w:val="center"/>
            </w:pPr>
            <w:r w:rsidRPr="003F7F9C">
              <w:t>0</w:t>
            </w:r>
          </w:p>
        </w:tc>
        <w:tc>
          <w:tcPr>
            <w:tcW w:w="1698" w:type="dxa"/>
            <w:vAlign w:val="center"/>
          </w:tcPr>
          <w:p w:rsidR="00F00746" w:rsidRPr="003F7F9C" w:rsidP="00F00746">
            <w:pPr>
              <w:pStyle w:val="naisf"/>
              <w:spacing w:before="0" w:after="0"/>
              <w:ind w:firstLine="0"/>
              <w:jc w:val="center"/>
            </w:pPr>
            <w:r w:rsidRPr="003F7F9C">
              <w:t>+</w:t>
            </w:r>
            <w:r>
              <w:t>1 017 903</w:t>
            </w:r>
          </w:p>
        </w:tc>
        <w:tc>
          <w:tcPr>
            <w:tcW w:w="1698" w:type="dxa"/>
            <w:vAlign w:val="center"/>
          </w:tcPr>
          <w:p w:rsidR="00F00746" w:rsidRPr="003F7F9C" w:rsidP="00F00746">
            <w:pPr>
              <w:pStyle w:val="naisf"/>
              <w:spacing w:before="0" w:after="0"/>
              <w:ind w:firstLine="0"/>
              <w:jc w:val="center"/>
            </w:pPr>
            <w:r w:rsidRPr="003F7F9C">
              <w:t>+</w:t>
            </w:r>
            <w:r>
              <w:t>1 017 903</w:t>
            </w:r>
          </w:p>
        </w:tc>
        <w:tc>
          <w:tcPr>
            <w:tcW w:w="1698" w:type="dxa"/>
            <w:vAlign w:val="center"/>
          </w:tcPr>
          <w:p w:rsidR="00F00746" w:rsidRPr="003F7F9C" w:rsidP="00F00746">
            <w:pPr>
              <w:pStyle w:val="naisf"/>
              <w:spacing w:before="0" w:after="0"/>
              <w:ind w:firstLine="0"/>
              <w:jc w:val="center"/>
            </w:pPr>
            <w:r w:rsidRPr="003F7F9C">
              <w:t>+</w:t>
            </w:r>
            <w:r>
              <w:t>1 017 903</w:t>
            </w:r>
          </w:p>
        </w:tc>
      </w:tr>
      <w:tr w:rsidTr="008B4C5F">
        <w:tblPrEx>
          <w:tblW w:w="10524" w:type="dxa"/>
          <w:jc w:val="center"/>
          <w:tblLook w:val="01E0"/>
        </w:tblPrEx>
        <w:trPr>
          <w:jc w:val="center"/>
        </w:trPr>
        <w:tc>
          <w:tcPr>
            <w:tcW w:w="2712" w:type="dxa"/>
          </w:tcPr>
          <w:p w:rsidR="00F00746" w:rsidRPr="003F7F9C" w:rsidP="00F00746">
            <w:pPr>
              <w:pStyle w:val="naisf"/>
              <w:spacing w:before="0" w:after="0"/>
              <w:ind w:firstLine="0"/>
              <w:jc w:val="center"/>
            </w:pPr>
            <w:r w:rsidRPr="003F7F9C">
              <w:t>33.17.00</w:t>
            </w:r>
          </w:p>
        </w:tc>
        <w:tc>
          <w:tcPr>
            <w:tcW w:w="1117" w:type="dxa"/>
          </w:tcPr>
          <w:p w:rsidR="00F00746" w:rsidRPr="003F7F9C" w:rsidP="00F00746">
            <w:pPr>
              <w:pStyle w:val="naisf"/>
              <w:spacing w:before="0" w:after="0"/>
              <w:ind w:firstLine="0"/>
              <w:jc w:val="center"/>
            </w:pPr>
            <w:r w:rsidRPr="003F7F9C">
              <w:t>0</w:t>
            </w:r>
          </w:p>
        </w:tc>
        <w:tc>
          <w:tcPr>
            <w:tcW w:w="1601" w:type="dxa"/>
          </w:tcPr>
          <w:p w:rsidR="00F00746" w:rsidRPr="003F7F9C" w:rsidP="00F00746">
            <w:pPr>
              <w:pStyle w:val="naisf"/>
              <w:spacing w:before="0" w:after="0"/>
              <w:ind w:firstLine="0"/>
              <w:jc w:val="center"/>
            </w:pPr>
            <w:r w:rsidRPr="003F7F9C">
              <w:t>0</w:t>
            </w:r>
          </w:p>
        </w:tc>
        <w:tc>
          <w:tcPr>
            <w:tcW w:w="1698" w:type="dxa"/>
            <w:vAlign w:val="center"/>
          </w:tcPr>
          <w:p w:rsidR="00F00746" w:rsidRPr="003F7F9C" w:rsidP="00F00746">
            <w:pPr>
              <w:pStyle w:val="naisf"/>
              <w:spacing w:before="0" w:after="0"/>
              <w:ind w:firstLine="0"/>
              <w:jc w:val="center"/>
            </w:pPr>
            <w:r>
              <w:t>0</w:t>
            </w:r>
          </w:p>
        </w:tc>
        <w:tc>
          <w:tcPr>
            <w:tcW w:w="1698" w:type="dxa"/>
            <w:vAlign w:val="center"/>
          </w:tcPr>
          <w:p w:rsidR="00F00746" w:rsidRPr="003F7F9C" w:rsidP="00F00746">
            <w:pPr>
              <w:pStyle w:val="naisf"/>
              <w:spacing w:before="0" w:after="0"/>
              <w:ind w:firstLine="0"/>
              <w:jc w:val="center"/>
            </w:pPr>
            <w:r>
              <w:t>0</w:t>
            </w:r>
          </w:p>
        </w:tc>
        <w:tc>
          <w:tcPr>
            <w:tcW w:w="1698" w:type="dxa"/>
            <w:vAlign w:val="center"/>
          </w:tcPr>
          <w:p w:rsidR="00F00746" w:rsidRPr="003F7F9C" w:rsidP="00F00746">
            <w:pPr>
              <w:pStyle w:val="naisf"/>
              <w:spacing w:before="0" w:after="0"/>
              <w:ind w:firstLine="0"/>
              <w:jc w:val="center"/>
            </w:pPr>
            <w:r>
              <w:t>0</w:t>
            </w:r>
          </w:p>
        </w:tc>
      </w:tr>
      <w:tr w:rsidTr="008B4C5F">
        <w:tblPrEx>
          <w:tblW w:w="10524" w:type="dxa"/>
          <w:jc w:val="center"/>
          <w:tblLook w:val="01E0"/>
        </w:tblPrEx>
        <w:trPr>
          <w:jc w:val="center"/>
        </w:trPr>
        <w:tc>
          <w:tcPr>
            <w:tcW w:w="2712" w:type="dxa"/>
          </w:tcPr>
          <w:p w:rsidR="00F00746" w:rsidRPr="003F7F9C" w:rsidP="00F00746">
            <w:pPr>
              <w:pStyle w:val="naisf"/>
              <w:spacing w:before="0" w:after="0"/>
              <w:ind w:firstLine="0"/>
              <w:jc w:val="center"/>
            </w:pPr>
            <w:r w:rsidRPr="003F7F9C">
              <w:t>33.18.00</w:t>
            </w:r>
          </w:p>
        </w:tc>
        <w:tc>
          <w:tcPr>
            <w:tcW w:w="1117" w:type="dxa"/>
          </w:tcPr>
          <w:p w:rsidR="00F00746" w:rsidRPr="003F7F9C" w:rsidP="00F00746">
            <w:pPr>
              <w:pStyle w:val="naisf"/>
              <w:spacing w:before="0" w:after="0"/>
              <w:ind w:firstLine="0"/>
              <w:jc w:val="center"/>
            </w:pPr>
            <w:r w:rsidRPr="003F7F9C">
              <w:t>0</w:t>
            </w:r>
          </w:p>
        </w:tc>
        <w:tc>
          <w:tcPr>
            <w:tcW w:w="1601" w:type="dxa"/>
          </w:tcPr>
          <w:p w:rsidR="00F00746" w:rsidRPr="003F7F9C" w:rsidP="00F00746">
            <w:pPr>
              <w:pStyle w:val="naisf"/>
              <w:spacing w:before="0" w:after="0"/>
              <w:ind w:firstLine="0"/>
              <w:jc w:val="center"/>
            </w:pPr>
            <w:r w:rsidRPr="003F7F9C">
              <w:t>0</w:t>
            </w:r>
          </w:p>
        </w:tc>
        <w:tc>
          <w:tcPr>
            <w:tcW w:w="1698" w:type="dxa"/>
            <w:vAlign w:val="center"/>
          </w:tcPr>
          <w:p w:rsidR="00F00746" w:rsidRPr="003F7F9C" w:rsidP="00F00746">
            <w:pPr>
              <w:pStyle w:val="naisf"/>
              <w:spacing w:before="0" w:after="0"/>
              <w:ind w:firstLine="0"/>
              <w:jc w:val="center"/>
            </w:pPr>
            <w:r w:rsidRPr="003F7F9C">
              <w:t>+</w:t>
            </w:r>
            <w:r>
              <w:t>8 858 317</w:t>
            </w:r>
          </w:p>
        </w:tc>
        <w:tc>
          <w:tcPr>
            <w:tcW w:w="1698" w:type="dxa"/>
            <w:vAlign w:val="center"/>
          </w:tcPr>
          <w:p w:rsidR="00F00746" w:rsidRPr="003F7F9C" w:rsidP="00F00746">
            <w:pPr>
              <w:pStyle w:val="naisf"/>
              <w:spacing w:before="0" w:after="0"/>
              <w:ind w:firstLine="0"/>
              <w:jc w:val="center"/>
            </w:pPr>
            <w:r w:rsidRPr="003F7F9C">
              <w:t>+</w:t>
            </w:r>
            <w:r>
              <w:t>8 858 317</w:t>
            </w:r>
          </w:p>
        </w:tc>
        <w:tc>
          <w:tcPr>
            <w:tcW w:w="1698" w:type="dxa"/>
            <w:vAlign w:val="center"/>
          </w:tcPr>
          <w:p w:rsidR="00F00746" w:rsidRPr="003F7F9C" w:rsidP="00F00746">
            <w:pPr>
              <w:pStyle w:val="naisf"/>
              <w:spacing w:before="0" w:after="0"/>
              <w:ind w:firstLine="0"/>
              <w:jc w:val="center"/>
            </w:pPr>
            <w:r w:rsidRPr="003F7F9C">
              <w:t>+</w:t>
            </w:r>
            <w:r>
              <w:t>8 858 317</w:t>
            </w:r>
          </w:p>
        </w:tc>
      </w:tr>
      <w:tr w:rsidTr="008B4C5F">
        <w:tblPrEx>
          <w:tblW w:w="10524" w:type="dxa"/>
          <w:jc w:val="center"/>
          <w:tblLook w:val="01E0"/>
        </w:tblPrEx>
        <w:trPr>
          <w:jc w:val="center"/>
        </w:trPr>
        <w:tc>
          <w:tcPr>
            <w:tcW w:w="2712" w:type="dxa"/>
          </w:tcPr>
          <w:p w:rsidR="00F00746" w:rsidRPr="003F7F9C" w:rsidP="00F00746">
            <w:pPr>
              <w:pStyle w:val="naisf"/>
              <w:spacing w:before="0" w:after="0"/>
              <w:ind w:firstLine="0"/>
              <w:jc w:val="center"/>
            </w:pPr>
            <w:r w:rsidRPr="003F7F9C">
              <w:t>45.01.00</w:t>
            </w:r>
          </w:p>
        </w:tc>
        <w:tc>
          <w:tcPr>
            <w:tcW w:w="1117" w:type="dxa"/>
          </w:tcPr>
          <w:p w:rsidR="00F00746" w:rsidRPr="003F7F9C" w:rsidP="00F00746">
            <w:pPr>
              <w:pStyle w:val="naisf"/>
              <w:spacing w:before="0" w:after="0"/>
              <w:ind w:firstLine="0"/>
              <w:jc w:val="center"/>
            </w:pPr>
            <w:r w:rsidRPr="003F7F9C">
              <w:t>0</w:t>
            </w:r>
          </w:p>
        </w:tc>
        <w:tc>
          <w:tcPr>
            <w:tcW w:w="1601" w:type="dxa"/>
          </w:tcPr>
          <w:p w:rsidR="00F00746" w:rsidRPr="003F7F9C" w:rsidP="00F00746">
            <w:pPr>
              <w:pStyle w:val="naisf"/>
              <w:spacing w:before="0" w:after="0"/>
              <w:ind w:firstLine="0"/>
              <w:jc w:val="center"/>
            </w:pPr>
            <w:r w:rsidRPr="003F7F9C">
              <w:t>0</w:t>
            </w:r>
          </w:p>
        </w:tc>
        <w:tc>
          <w:tcPr>
            <w:tcW w:w="1698" w:type="dxa"/>
            <w:vAlign w:val="center"/>
          </w:tcPr>
          <w:p w:rsidR="00F00746" w:rsidRPr="003F7F9C" w:rsidP="00F00746">
            <w:pPr>
              <w:pStyle w:val="naisf"/>
              <w:spacing w:before="0" w:after="0"/>
              <w:ind w:firstLine="0"/>
              <w:jc w:val="center"/>
            </w:pPr>
            <w:r>
              <w:t>0</w:t>
            </w:r>
          </w:p>
        </w:tc>
        <w:tc>
          <w:tcPr>
            <w:tcW w:w="1698" w:type="dxa"/>
            <w:vAlign w:val="center"/>
          </w:tcPr>
          <w:p w:rsidR="00F00746" w:rsidRPr="003F7F9C" w:rsidP="00F00746">
            <w:pPr>
              <w:pStyle w:val="naisf"/>
              <w:spacing w:before="0" w:after="0"/>
              <w:ind w:firstLine="0"/>
              <w:jc w:val="center"/>
            </w:pPr>
            <w:r>
              <w:t>0</w:t>
            </w:r>
          </w:p>
        </w:tc>
        <w:tc>
          <w:tcPr>
            <w:tcW w:w="1698" w:type="dxa"/>
            <w:vAlign w:val="center"/>
          </w:tcPr>
          <w:p w:rsidR="00F00746" w:rsidRPr="003F7F9C" w:rsidP="00F00746">
            <w:pPr>
              <w:pStyle w:val="naisf"/>
              <w:spacing w:before="0" w:after="0"/>
              <w:ind w:firstLine="0"/>
              <w:jc w:val="center"/>
            </w:pPr>
            <w:r>
              <w:t>0</w:t>
            </w:r>
          </w:p>
        </w:tc>
      </w:tr>
      <w:tr w:rsidTr="008B4C5F">
        <w:tblPrEx>
          <w:tblW w:w="10524" w:type="dxa"/>
          <w:jc w:val="center"/>
          <w:tblLook w:val="01E0"/>
        </w:tblPrEx>
        <w:trPr>
          <w:jc w:val="center"/>
        </w:trPr>
        <w:tc>
          <w:tcPr>
            <w:tcW w:w="2712" w:type="dxa"/>
          </w:tcPr>
          <w:p w:rsidR="00F00746" w:rsidRPr="003F7F9C" w:rsidP="00F00746">
            <w:pPr>
              <w:pStyle w:val="naisf"/>
              <w:spacing w:before="0" w:after="0"/>
              <w:ind w:firstLine="0"/>
              <w:jc w:val="left"/>
              <w:rPr>
                <w:i/>
              </w:rPr>
            </w:pPr>
            <w:r w:rsidRPr="003F7F9C">
              <w:t>1.2. valsts speciālais budžets</w:t>
            </w:r>
          </w:p>
        </w:tc>
        <w:tc>
          <w:tcPr>
            <w:tcW w:w="1117" w:type="dxa"/>
            <w:vAlign w:val="center"/>
          </w:tcPr>
          <w:p w:rsidR="00F00746" w:rsidRPr="003F7F9C" w:rsidP="00F00746">
            <w:pPr>
              <w:pStyle w:val="naisf"/>
              <w:spacing w:before="0" w:after="0"/>
              <w:ind w:firstLine="0"/>
              <w:jc w:val="center"/>
            </w:pPr>
            <w:r w:rsidRPr="003F7F9C">
              <w:t>0</w:t>
            </w:r>
          </w:p>
        </w:tc>
        <w:tc>
          <w:tcPr>
            <w:tcW w:w="1601" w:type="dxa"/>
            <w:vAlign w:val="center"/>
          </w:tcPr>
          <w:p w:rsidR="00F00746" w:rsidRPr="003F7F9C" w:rsidP="00F00746">
            <w:pPr>
              <w:pStyle w:val="naisf"/>
              <w:spacing w:before="0" w:after="0"/>
              <w:ind w:firstLine="0"/>
              <w:jc w:val="center"/>
            </w:pPr>
            <w:r w:rsidRPr="003F7F9C">
              <w:t>0</w:t>
            </w:r>
          </w:p>
        </w:tc>
        <w:tc>
          <w:tcPr>
            <w:tcW w:w="1698" w:type="dxa"/>
            <w:vAlign w:val="center"/>
          </w:tcPr>
          <w:p w:rsidR="00F00746" w:rsidRPr="003F7F9C" w:rsidP="00F00746">
            <w:pPr>
              <w:pStyle w:val="naisf"/>
              <w:spacing w:before="0" w:after="0"/>
              <w:ind w:firstLine="0"/>
              <w:jc w:val="center"/>
            </w:pPr>
            <w:r w:rsidRPr="003F7F9C">
              <w:t>0</w:t>
            </w:r>
          </w:p>
        </w:tc>
        <w:tc>
          <w:tcPr>
            <w:tcW w:w="1698" w:type="dxa"/>
            <w:vAlign w:val="center"/>
          </w:tcPr>
          <w:p w:rsidR="00F00746" w:rsidRPr="003F7F9C" w:rsidP="00F00746">
            <w:pPr>
              <w:pStyle w:val="naisf"/>
              <w:spacing w:before="0" w:after="0"/>
              <w:ind w:firstLine="0"/>
              <w:jc w:val="center"/>
            </w:pPr>
            <w:r w:rsidRPr="003F7F9C">
              <w:t>0</w:t>
            </w:r>
          </w:p>
        </w:tc>
        <w:tc>
          <w:tcPr>
            <w:tcW w:w="1698" w:type="dxa"/>
            <w:vAlign w:val="center"/>
          </w:tcPr>
          <w:p w:rsidR="00F00746" w:rsidRPr="003F7F9C" w:rsidP="00F00746">
            <w:pPr>
              <w:pStyle w:val="naisf"/>
              <w:spacing w:before="0" w:after="0"/>
              <w:ind w:firstLine="0"/>
              <w:jc w:val="center"/>
            </w:pPr>
            <w:r w:rsidRPr="003F7F9C">
              <w:t>0</w:t>
            </w:r>
          </w:p>
        </w:tc>
      </w:tr>
      <w:tr w:rsidTr="008B4C5F">
        <w:tblPrEx>
          <w:tblW w:w="10524" w:type="dxa"/>
          <w:jc w:val="center"/>
          <w:tblLook w:val="01E0"/>
        </w:tblPrEx>
        <w:trPr>
          <w:jc w:val="center"/>
        </w:trPr>
        <w:tc>
          <w:tcPr>
            <w:tcW w:w="2712" w:type="dxa"/>
          </w:tcPr>
          <w:p w:rsidR="00F00746" w:rsidRPr="003F7F9C" w:rsidP="00F00746">
            <w:pPr>
              <w:pStyle w:val="naisf"/>
              <w:spacing w:before="0" w:after="0"/>
              <w:ind w:firstLine="0"/>
              <w:jc w:val="left"/>
              <w:rPr>
                <w:i/>
              </w:rPr>
            </w:pPr>
            <w:r w:rsidRPr="003F7F9C">
              <w:t>1.3. pašvaldību budžets</w:t>
            </w:r>
          </w:p>
        </w:tc>
        <w:tc>
          <w:tcPr>
            <w:tcW w:w="1117" w:type="dxa"/>
            <w:vAlign w:val="center"/>
          </w:tcPr>
          <w:p w:rsidR="00F00746" w:rsidRPr="003F7F9C" w:rsidP="00F00746">
            <w:pPr>
              <w:pStyle w:val="naisf"/>
              <w:spacing w:before="0" w:after="0"/>
              <w:ind w:firstLine="0"/>
              <w:jc w:val="center"/>
            </w:pPr>
            <w:r w:rsidRPr="003F7F9C">
              <w:t>0</w:t>
            </w:r>
          </w:p>
        </w:tc>
        <w:tc>
          <w:tcPr>
            <w:tcW w:w="1601" w:type="dxa"/>
            <w:vAlign w:val="center"/>
          </w:tcPr>
          <w:p w:rsidR="00F00746" w:rsidRPr="003F7F9C" w:rsidP="00F00746">
            <w:pPr>
              <w:pStyle w:val="naisf"/>
              <w:spacing w:before="0" w:after="0"/>
              <w:ind w:firstLine="0"/>
              <w:jc w:val="center"/>
            </w:pPr>
            <w:r w:rsidRPr="003F7F9C">
              <w:t>0</w:t>
            </w:r>
          </w:p>
        </w:tc>
        <w:tc>
          <w:tcPr>
            <w:tcW w:w="1698" w:type="dxa"/>
            <w:vAlign w:val="center"/>
          </w:tcPr>
          <w:p w:rsidR="00F00746" w:rsidRPr="003F7F9C" w:rsidP="00F00746">
            <w:pPr>
              <w:pStyle w:val="naisf"/>
              <w:spacing w:before="0" w:after="0"/>
              <w:ind w:firstLine="0"/>
              <w:jc w:val="center"/>
            </w:pPr>
            <w:r w:rsidRPr="003F7F9C">
              <w:t>0</w:t>
            </w:r>
          </w:p>
        </w:tc>
        <w:tc>
          <w:tcPr>
            <w:tcW w:w="1698" w:type="dxa"/>
            <w:vAlign w:val="center"/>
          </w:tcPr>
          <w:p w:rsidR="00F00746" w:rsidRPr="003F7F9C" w:rsidP="00F00746">
            <w:pPr>
              <w:pStyle w:val="naisf"/>
              <w:spacing w:before="0" w:after="0"/>
              <w:ind w:firstLine="0"/>
              <w:jc w:val="center"/>
            </w:pPr>
            <w:r w:rsidRPr="003F7F9C">
              <w:t>0</w:t>
            </w:r>
          </w:p>
        </w:tc>
        <w:tc>
          <w:tcPr>
            <w:tcW w:w="1698" w:type="dxa"/>
            <w:vAlign w:val="center"/>
          </w:tcPr>
          <w:p w:rsidR="00F00746" w:rsidRPr="003F7F9C" w:rsidP="00F00746">
            <w:pPr>
              <w:pStyle w:val="naisf"/>
              <w:spacing w:before="0" w:after="0"/>
              <w:ind w:firstLine="0"/>
              <w:jc w:val="center"/>
            </w:pPr>
            <w:r w:rsidRPr="003F7F9C">
              <w:t>0</w:t>
            </w:r>
          </w:p>
        </w:tc>
      </w:tr>
      <w:tr w:rsidTr="008B4C5F">
        <w:tblPrEx>
          <w:tblW w:w="10524" w:type="dxa"/>
          <w:jc w:val="center"/>
          <w:tblLook w:val="01E0"/>
        </w:tblPrEx>
        <w:trPr>
          <w:jc w:val="center"/>
        </w:trPr>
        <w:tc>
          <w:tcPr>
            <w:tcW w:w="2712" w:type="dxa"/>
          </w:tcPr>
          <w:p w:rsidR="00A86145" w:rsidRPr="003F7F9C" w:rsidP="00A86145">
            <w:r w:rsidRPr="003F7F9C">
              <w:t>2. Budžeta izdevumi:</w:t>
            </w:r>
          </w:p>
        </w:tc>
        <w:tc>
          <w:tcPr>
            <w:tcW w:w="1117" w:type="dxa"/>
            <w:vAlign w:val="center"/>
          </w:tcPr>
          <w:p w:rsidR="00A86145" w:rsidRPr="00AF1B1B" w:rsidP="00A86145">
            <w:pPr>
              <w:pStyle w:val="naisf"/>
              <w:spacing w:before="0" w:after="0"/>
              <w:ind w:firstLine="0"/>
              <w:jc w:val="center"/>
              <w:rPr>
                <w:b/>
              </w:rPr>
            </w:pPr>
            <w:r w:rsidRPr="00AF1B1B">
              <w:rPr>
                <w:b/>
              </w:rPr>
              <w:t>0</w:t>
            </w:r>
          </w:p>
        </w:tc>
        <w:tc>
          <w:tcPr>
            <w:tcW w:w="1601" w:type="dxa"/>
            <w:vAlign w:val="center"/>
          </w:tcPr>
          <w:p w:rsidR="00A86145" w:rsidRPr="00AF1B1B" w:rsidP="00A86145">
            <w:pPr>
              <w:pStyle w:val="naisf"/>
              <w:spacing w:before="0" w:after="0"/>
              <w:ind w:firstLine="0"/>
              <w:jc w:val="center"/>
              <w:rPr>
                <w:b/>
              </w:rPr>
            </w:pPr>
            <w:r w:rsidRPr="00AF1B1B">
              <w:rPr>
                <w:b/>
              </w:rPr>
              <w:t>0</w:t>
            </w:r>
          </w:p>
        </w:tc>
        <w:tc>
          <w:tcPr>
            <w:tcW w:w="1698" w:type="dxa"/>
            <w:vAlign w:val="center"/>
          </w:tcPr>
          <w:p w:rsidR="00A86145" w:rsidRPr="003F7F9C" w:rsidP="00A86145">
            <w:pPr>
              <w:pStyle w:val="naisf"/>
              <w:spacing w:before="0" w:after="0"/>
              <w:ind w:firstLine="0"/>
              <w:jc w:val="center"/>
              <w:rPr>
                <w:b/>
              </w:rPr>
            </w:pPr>
            <w:r w:rsidRPr="003F7F9C">
              <w:rPr>
                <w:b/>
              </w:rPr>
              <w:t>+</w:t>
            </w:r>
            <w:r>
              <w:rPr>
                <w:b/>
              </w:rPr>
              <w:t>90 142 231</w:t>
            </w:r>
          </w:p>
        </w:tc>
        <w:tc>
          <w:tcPr>
            <w:tcW w:w="1698" w:type="dxa"/>
            <w:vAlign w:val="center"/>
          </w:tcPr>
          <w:p w:rsidR="00A86145" w:rsidRPr="003F7F9C" w:rsidP="00A86145">
            <w:pPr>
              <w:pStyle w:val="naisf"/>
              <w:spacing w:before="0" w:after="0"/>
              <w:ind w:firstLine="0"/>
              <w:jc w:val="center"/>
              <w:rPr>
                <w:b/>
              </w:rPr>
            </w:pPr>
            <w:r w:rsidRPr="003F7F9C">
              <w:rPr>
                <w:b/>
              </w:rPr>
              <w:t>+</w:t>
            </w:r>
            <w:r>
              <w:rPr>
                <w:b/>
              </w:rPr>
              <w:t>90 142 231</w:t>
            </w:r>
          </w:p>
        </w:tc>
        <w:tc>
          <w:tcPr>
            <w:tcW w:w="1698" w:type="dxa"/>
            <w:vAlign w:val="center"/>
          </w:tcPr>
          <w:p w:rsidR="00A86145" w:rsidRPr="003F7F9C" w:rsidP="00A86145">
            <w:pPr>
              <w:pStyle w:val="naisf"/>
              <w:spacing w:before="0" w:after="0"/>
              <w:ind w:firstLine="0"/>
              <w:jc w:val="center"/>
              <w:rPr>
                <w:b/>
              </w:rPr>
            </w:pPr>
            <w:r w:rsidRPr="003F7F9C">
              <w:rPr>
                <w:b/>
              </w:rPr>
              <w:t>+</w:t>
            </w:r>
            <w:r>
              <w:rPr>
                <w:b/>
              </w:rPr>
              <w:t>90 142 231</w:t>
            </w:r>
          </w:p>
        </w:tc>
      </w:tr>
      <w:tr w:rsidTr="008B4C5F">
        <w:tblPrEx>
          <w:tblW w:w="10524" w:type="dxa"/>
          <w:jc w:val="center"/>
          <w:tblLook w:val="01E0"/>
        </w:tblPrEx>
        <w:trPr>
          <w:trHeight w:val="558"/>
          <w:jc w:val="center"/>
        </w:trPr>
        <w:tc>
          <w:tcPr>
            <w:tcW w:w="2712" w:type="dxa"/>
          </w:tcPr>
          <w:p w:rsidR="00A86145" w:rsidRPr="003F7F9C" w:rsidP="00A86145">
            <w:r w:rsidRPr="003F7F9C">
              <w:t>2.1. valsts pamatbudžets</w:t>
            </w:r>
          </w:p>
        </w:tc>
        <w:tc>
          <w:tcPr>
            <w:tcW w:w="1117" w:type="dxa"/>
          </w:tcPr>
          <w:p w:rsidR="00A86145" w:rsidRPr="00AF1B1B" w:rsidP="00A86145">
            <w:pPr>
              <w:pStyle w:val="naisf"/>
              <w:spacing w:before="0" w:after="0"/>
              <w:ind w:firstLine="0"/>
              <w:jc w:val="center"/>
            </w:pPr>
            <w:r w:rsidRPr="00AF1B1B">
              <w:t>0</w:t>
            </w:r>
          </w:p>
        </w:tc>
        <w:tc>
          <w:tcPr>
            <w:tcW w:w="1601" w:type="dxa"/>
            <w:vAlign w:val="center"/>
          </w:tcPr>
          <w:p w:rsidR="00A86145" w:rsidRPr="00AF1B1B" w:rsidP="00A86145">
            <w:pPr>
              <w:pStyle w:val="naisf"/>
              <w:spacing w:before="0" w:after="0"/>
              <w:ind w:firstLine="0"/>
              <w:jc w:val="center"/>
            </w:pPr>
            <w:r w:rsidRPr="00AF1B1B">
              <w:t>0</w:t>
            </w:r>
          </w:p>
        </w:tc>
        <w:tc>
          <w:tcPr>
            <w:tcW w:w="1698" w:type="dxa"/>
            <w:vAlign w:val="center"/>
          </w:tcPr>
          <w:p w:rsidR="00A86145" w:rsidRPr="003F7F9C" w:rsidP="00A86145">
            <w:pPr>
              <w:pStyle w:val="naisf"/>
              <w:spacing w:before="0" w:after="0"/>
              <w:ind w:firstLine="0"/>
              <w:jc w:val="center"/>
            </w:pPr>
            <w:r w:rsidRPr="003F7F9C">
              <w:t>+</w:t>
            </w:r>
            <w:r>
              <w:t>90 142 231</w:t>
            </w:r>
          </w:p>
        </w:tc>
        <w:tc>
          <w:tcPr>
            <w:tcW w:w="1698" w:type="dxa"/>
            <w:vAlign w:val="center"/>
          </w:tcPr>
          <w:p w:rsidR="00A86145" w:rsidRPr="003F7F9C" w:rsidP="00A86145">
            <w:pPr>
              <w:pStyle w:val="naisf"/>
              <w:spacing w:before="0" w:after="0"/>
              <w:ind w:firstLine="0"/>
              <w:jc w:val="center"/>
            </w:pPr>
            <w:r w:rsidRPr="003F7F9C">
              <w:t>+</w:t>
            </w:r>
            <w:r>
              <w:t>90 142 231</w:t>
            </w:r>
          </w:p>
        </w:tc>
        <w:tc>
          <w:tcPr>
            <w:tcW w:w="1698" w:type="dxa"/>
            <w:vAlign w:val="center"/>
          </w:tcPr>
          <w:p w:rsidR="00A86145" w:rsidRPr="003F7F9C" w:rsidP="00A86145">
            <w:pPr>
              <w:pStyle w:val="naisf"/>
              <w:spacing w:before="0" w:after="0"/>
              <w:ind w:firstLine="0"/>
              <w:jc w:val="center"/>
            </w:pPr>
            <w:r w:rsidRPr="003F7F9C">
              <w:t>+</w:t>
            </w:r>
            <w:r>
              <w:t>90 142 231</w:t>
            </w:r>
          </w:p>
        </w:tc>
      </w:tr>
      <w:tr w:rsidTr="008B4C5F">
        <w:tblPrEx>
          <w:tblW w:w="10524" w:type="dxa"/>
          <w:jc w:val="center"/>
          <w:tblLook w:val="01E0"/>
        </w:tblPrEx>
        <w:trPr>
          <w:trHeight w:val="384"/>
          <w:jc w:val="center"/>
        </w:trPr>
        <w:tc>
          <w:tcPr>
            <w:tcW w:w="2712" w:type="dxa"/>
          </w:tcPr>
          <w:p w:rsidR="00A86145" w:rsidRPr="003F7F9C" w:rsidP="00A86145">
            <w:pPr>
              <w:jc w:val="center"/>
            </w:pPr>
            <w:r>
              <w:t>02.04.00</w:t>
            </w:r>
          </w:p>
        </w:tc>
        <w:tc>
          <w:tcPr>
            <w:tcW w:w="1117" w:type="dxa"/>
            <w:vAlign w:val="center"/>
          </w:tcPr>
          <w:p w:rsidR="00A86145" w:rsidRPr="003F7F9C" w:rsidP="00A86145">
            <w:pPr>
              <w:pStyle w:val="naisf"/>
              <w:spacing w:before="0" w:after="0"/>
              <w:ind w:firstLine="0"/>
              <w:jc w:val="center"/>
            </w:pPr>
            <w:r>
              <w:t>0</w:t>
            </w:r>
          </w:p>
        </w:tc>
        <w:tc>
          <w:tcPr>
            <w:tcW w:w="1601" w:type="dxa"/>
            <w:vAlign w:val="center"/>
          </w:tcPr>
          <w:p w:rsidR="00A86145" w:rsidRPr="003F7F9C" w:rsidP="00A86145">
            <w:pPr>
              <w:pStyle w:val="naisf"/>
              <w:spacing w:before="0" w:after="0"/>
              <w:ind w:firstLine="0"/>
              <w:jc w:val="center"/>
            </w:pPr>
            <w:r>
              <w:t>0</w:t>
            </w:r>
          </w:p>
        </w:tc>
        <w:tc>
          <w:tcPr>
            <w:tcW w:w="1698" w:type="dxa"/>
            <w:vAlign w:val="center"/>
          </w:tcPr>
          <w:p w:rsidR="00A86145" w:rsidRPr="003F7F9C" w:rsidP="00A86145">
            <w:pPr>
              <w:pStyle w:val="naisf"/>
              <w:spacing w:before="0" w:after="0"/>
              <w:ind w:firstLine="0"/>
              <w:jc w:val="center"/>
            </w:pPr>
            <w:r>
              <w:t>+2 207 398</w:t>
            </w:r>
          </w:p>
        </w:tc>
        <w:tc>
          <w:tcPr>
            <w:tcW w:w="1698" w:type="dxa"/>
            <w:vAlign w:val="center"/>
          </w:tcPr>
          <w:p w:rsidR="00A86145" w:rsidRPr="003F7F9C" w:rsidP="00A86145">
            <w:pPr>
              <w:pStyle w:val="naisf"/>
              <w:spacing w:before="0" w:after="0"/>
              <w:ind w:firstLine="0"/>
              <w:jc w:val="center"/>
            </w:pPr>
            <w:r>
              <w:t>+2 207 398</w:t>
            </w:r>
          </w:p>
        </w:tc>
        <w:tc>
          <w:tcPr>
            <w:tcW w:w="1698" w:type="dxa"/>
            <w:vAlign w:val="center"/>
          </w:tcPr>
          <w:p w:rsidR="00A86145" w:rsidRPr="003F7F9C" w:rsidP="00A86145">
            <w:pPr>
              <w:pStyle w:val="naisf"/>
              <w:spacing w:before="0" w:after="0"/>
              <w:ind w:firstLine="0"/>
              <w:jc w:val="center"/>
            </w:pPr>
            <w:r>
              <w:t>+2 207 398</w:t>
            </w:r>
          </w:p>
        </w:tc>
      </w:tr>
      <w:tr w:rsidTr="008B4C5F">
        <w:tblPrEx>
          <w:tblW w:w="10524" w:type="dxa"/>
          <w:jc w:val="center"/>
          <w:tblLook w:val="01E0"/>
        </w:tblPrEx>
        <w:trPr>
          <w:trHeight w:val="345"/>
          <w:jc w:val="center"/>
        </w:trPr>
        <w:tc>
          <w:tcPr>
            <w:tcW w:w="2712" w:type="dxa"/>
          </w:tcPr>
          <w:p w:rsidR="00A86145" w:rsidRPr="003F7F9C" w:rsidP="00A86145">
            <w:pPr>
              <w:pStyle w:val="naisf"/>
              <w:spacing w:before="0" w:after="0"/>
              <w:ind w:firstLine="0"/>
              <w:jc w:val="center"/>
            </w:pPr>
            <w:r w:rsidRPr="003F7F9C">
              <w:t>33.14.00</w:t>
            </w:r>
          </w:p>
        </w:tc>
        <w:tc>
          <w:tcPr>
            <w:tcW w:w="1117" w:type="dxa"/>
          </w:tcPr>
          <w:p w:rsidR="00A86145" w:rsidRPr="003F7F9C" w:rsidP="00A86145">
            <w:pPr>
              <w:pStyle w:val="naisf"/>
              <w:spacing w:before="0" w:after="0"/>
              <w:ind w:firstLine="0"/>
              <w:jc w:val="center"/>
            </w:pPr>
            <w:r w:rsidRPr="003F7F9C">
              <w:t>0</w:t>
            </w:r>
          </w:p>
        </w:tc>
        <w:tc>
          <w:tcPr>
            <w:tcW w:w="1601" w:type="dxa"/>
          </w:tcPr>
          <w:p w:rsidR="00A86145" w:rsidRPr="003F7F9C" w:rsidP="00A86145">
            <w:pPr>
              <w:pStyle w:val="naisf"/>
              <w:spacing w:before="0" w:after="0"/>
              <w:ind w:firstLine="0"/>
              <w:jc w:val="center"/>
            </w:pPr>
            <w:r w:rsidRPr="003F7F9C">
              <w:t>0</w:t>
            </w:r>
          </w:p>
        </w:tc>
        <w:tc>
          <w:tcPr>
            <w:tcW w:w="1698" w:type="dxa"/>
            <w:vAlign w:val="center"/>
          </w:tcPr>
          <w:p w:rsidR="00A86145" w:rsidRPr="003F7F9C" w:rsidP="00A86145">
            <w:pPr>
              <w:pStyle w:val="naisf"/>
              <w:spacing w:before="0" w:after="0"/>
              <w:ind w:firstLine="0"/>
              <w:jc w:val="center"/>
            </w:pPr>
            <w:r w:rsidRPr="003F7F9C">
              <w:t>+</w:t>
            </w:r>
            <w:r>
              <w:t>11 959 214</w:t>
            </w:r>
          </w:p>
        </w:tc>
        <w:tc>
          <w:tcPr>
            <w:tcW w:w="1698" w:type="dxa"/>
            <w:vAlign w:val="center"/>
          </w:tcPr>
          <w:p w:rsidR="00A86145" w:rsidRPr="003F7F9C" w:rsidP="00A86145">
            <w:pPr>
              <w:pStyle w:val="naisf"/>
              <w:spacing w:before="0" w:after="0"/>
              <w:ind w:firstLine="0"/>
              <w:jc w:val="center"/>
            </w:pPr>
            <w:r w:rsidRPr="003F7F9C">
              <w:t>+</w:t>
            </w:r>
            <w:r>
              <w:t>11 959 214</w:t>
            </w:r>
          </w:p>
        </w:tc>
        <w:tc>
          <w:tcPr>
            <w:tcW w:w="1698" w:type="dxa"/>
            <w:vAlign w:val="center"/>
          </w:tcPr>
          <w:p w:rsidR="00A86145" w:rsidRPr="003F7F9C" w:rsidP="00A86145">
            <w:pPr>
              <w:pStyle w:val="naisf"/>
              <w:spacing w:before="0" w:after="0"/>
              <w:ind w:firstLine="0"/>
              <w:jc w:val="center"/>
            </w:pPr>
            <w:r w:rsidRPr="003F7F9C">
              <w:t>+</w:t>
            </w:r>
            <w:r>
              <w:t>11 959 214</w:t>
            </w:r>
          </w:p>
        </w:tc>
      </w:tr>
      <w:tr w:rsidTr="008B4C5F">
        <w:tblPrEx>
          <w:tblW w:w="10524" w:type="dxa"/>
          <w:jc w:val="center"/>
          <w:tblLook w:val="01E0"/>
        </w:tblPrEx>
        <w:trPr>
          <w:trHeight w:val="278"/>
          <w:jc w:val="center"/>
        </w:trPr>
        <w:tc>
          <w:tcPr>
            <w:tcW w:w="2712" w:type="dxa"/>
          </w:tcPr>
          <w:p w:rsidR="00A86145" w:rsidRPr="003F7F9C" w:rsidP="00A86145">
            <w:pPr>
              <w:pStyle w:val="naisf"/>
              <w:spacing w:before="0" w:after="0"/>
              <w:ind w:firstLine="0"/>
              <w:jc w:val="center"/>
            </w:pPr>
            <w:r w:rsidRPr="003F7F9C">
              <w:t>33.15.00</w:t>
            </w:r>
          </w:p>
        </w:tc>
        <w:tc>
          <w:tcPr>
            <w:tcW w:w="1117" w:type="dxa"/>
          </w:tcPr>
          <w:p w:rsidR="00A86145" w:rsidRPr="003F7F9C" w:rsidP="00A86145">
            <w:pPr>
              <w:pStyle w:val="naisf"/>
              <w:spacing w:before="0" w:after="0"/>
              <w:ind w:firstLine="0"/>
              <w:jc w:val="center"/>
            </w:pPr>
            <w:r w:rsidRPr="003F7F9C">
              <w:t>0</w:t>
            </w:r>
          </w:p>
        </w:tc>
        <w:tc>
          <w:tcPr>
            <w:tcW w:w="1601" w:type="dxa"/>
          </w:tcPr>
          <w:p w:rsidR="00A86145" w:rsidRPr="003F7F9C" w:rsidP="00A86145">
            <w:pPr>
              <w:pStyle w:val="naisf"/>
              <w:spacing w:before="0" w:after="0"/>
              <w:ind w:firstLine="0"/>
              <w:jc w:val="center"/>
            </w:pPr>
            <w:r w:rsidRPr="003F7F9C">
              <w:t>0</w:t>
            </w:r>
          </w:p>
        </w:tc>
        <w:tc>
          <w:tcPr>
            <w:tcW w:w="1698" w:type="dxa"/>
            <w:vAlign w:val="center"/>
          </w:tcPr>
          <w:p w:rsidR="00A86145" w:rsidRPr="003F7F9C" w:rsidP="00A86145">
            <w:pPr>
              <w:pStyle w:val="naisf"/>
              <w:spacing w:before="0" w:after="0"/>
              <w:ind w:firstLine="0"/>
              <w:jc w:val="center"/>
            </w:pPr>
            <w:r w:rsidRPr="003F7F9C">
              <w:t>+2</w:t>
            </w:r>
            <w:r>
              <w:t> 114 836</w:t>
            </w:r>
          </w:p>
        </w:tc>
        <w:tc>
          <w:tcPr>
            <w:tcW w:w="1698" w:type="dxa"/>
            <w:vAlign w:val="center"/>
          </w:tcPr>
          <w:p w:rsidR="00A86145" w:rsidRPr="003F7F9C" w:rsidP="00A86145">
            <w:pPr>
              <w:pStyle w:val="naisf"/>
              <w:spacing w:before="0" w:after="0"/>
              <w:ind w:firstLine="0"/>
              <w:jc w:val="center"/>
            </w:pPr>
            <w:r w:rsidRPr="003F7F9C">
              <w:t>+2</w:t>
            </w:r>
            <w:r>
              <w:t> 114 836</w:t>
            </w:r>
          </w:p>
        </w:tc>
        <w:tc>
          <w:tcPr>
            <w:tcW w:w="1698" w:type="dxa"/>
            <w:vAlign w:val="center"/>
          </w:tcPr>
          <w:p w:rsidR="00A86145" w:rsidRPr="003F7F9C" w:rsidP="00A86145">
            <w:pPr>
              <w:pStyle w:val="naisf"/>
              <w:spacing w:before="0" w:after="0"/>
              <w:ind w:firstLine="0"/>
              <w:jc w:val="center"/>
            </w:pPr>
            <w:r w:rsidRPr="003F7F9C">
              <w:t>+2</w:t>
            </w:r>
            <w:r>
              <w:t> 114 836</w:t>
            </w:r>
          </w:p>
        </w:tc>
      </w:tr>
      <w:tr w:rsidTr="008B4C5F">
        <w:tblPrEx>
          <w:tblW w:w="10524" w:type="dxa"/>
          <w:jc w:val="center"/>
          <w:tblLook w:val="01E0"/>
        </w:tblPrEx>
        <w:trPr>
          <w:trHeight w:val="383"/>
          <w:jc w:val="center"/>
        </w:trPr>
        <w:tc>
          <w:tcPr>
            <w:tcW w:w="2712" w:type="dxa"/>
          </w:tcPr>
          <w:p w:rsidR="00A86145" w:rsidRPr="003F7F9C" w:rsidP="00A86145">
            <w:pPr>
              <w:pStyle w:val="naisf"/>
              <w:spacing w:before="0" w:after="0"/>
              <w:ind w:firstLine="0"/>
              <w:jc w:val="center"/>
            </w:pPr>
            <w:r w:rsidRPr="003F7F9C">
              <w:t>33.16.00</w:t>
            </w:r>
          </w:p>
        </w:tc>
        <w:tc>
          <w:tcPr>
            <w:tcW w:w="1117" w:type="dxa"/>
          </w:tcPr>
          <w:p w:rsidR="00A86145" w:rsidRPr="003F7F9C" w:rsidP="00A86145">
            <w:pPr>
              <w:pStyle w:val="naisf"/>
              <w:spacing w:before="0" w:after="0"/>
              <w:ind w:firstLine="0"/>
              <w:jc w:val="center"/>
            </w:pPr>
            <w:r w:rsidRPr="003F7F9C">
              <w:t>0</w:t>
            </w:r>
          </w:p>
        </w:tc>
        <w:tc>
          <w:tcPr>
            <w:tcW w:w="1601" w:type="dxa"/>
          </w:tcPr>
          <w:p w:rsidR="00A86145" w:rsidRPr="003F7F9C" w:rsidP="00A86145">
            <w:pPr>
              <w:pStyle w:val="naisf"/>
              <w:spacing w:before="0" w:after="0"/>
              <w:ind w:firstLine="0"/>
              <w:jc w:val="center"/>
            </w:pPr>
            <w:r w:rsidRPr="003F7F9C">
              <w:t>0</w:t>
            </w:r>
          </w:p>
        </w:tc>
        <w:tc>
          <w:tcPr>
            <w:tcW w:w="1698" w:type="dxa"/>
            <w:vAlign w:val="center"/>
          </w:tcPr>
          <w:p w:rsidR="00A86145" w:rsidRPr="003F7F9C" w:rsidP="00A86145">
            <w:pPr>
              <w:pStyle w:val="naisf"/>
              <w:spacing w:before="0" w:after="0"/>
              <w:ind w:firstLine="0"/>
              <w:jc w:val="center"/>
            </w:pPr>
            <w:r w:rsidRPr="003F7F9C">
              <w:t>+</w:t>
            </w:r>
            <w:r>
              <w:t>17 161 315</w:t>
            </w:r>
          </w:p>
        </w:tc>
        <w:tc>
          <w:tcPr>
            <w:tcW w:w="1698" w:type="dxa"/>
            <w:vAlign w:val="center"/>
          </w:tcPr>
          <w:p w:rsidR="00A86145" w:rsidRPr="003F7F9C" w:rsidP="00A86145">
            <w:pPr>
              <w:pStyle w:val="naisf"/>
              <w:spacing w:before="0" w:after="0"/>
              <w:ind w:firstLine="0"/>
              <w:jc w:val="center"/>
            </w:pPr>
            <w:r w:rsidRPr="003F7F9C">
              <w:t>+</w:t>
            </w:r>
            <w:r>
              <w:t>17 161 315</w:t>
            </w:r>
          </w:p>
        </w:tc>
        <w:tc>
          <w:tcPr>
            <w:tcW w:w="1698" w:type="dxa"/>
            <w:vAlign w:val="center"/>
          </w:tcPr>
          <w:p w:rsidR="00A86145" w:rsidRPr="003F7F9C" w:rsidP="00A86145">
            <w:pPr>
              <w:pStyle w:val="naisf"/>
              <w:spacing w:before="0" w:after="0"/>
              <w:ind w:firstLine="0"/>
              <w:jc w:val="center"/>
            </w:pPr>
            <w:r w:rsidRPr="003F7F9C">
              <w:t>+</w:t>
            </w:r>
            <w:r>
              <w:t>17 161 315</w:t>
            </w:r>
          </w:p>
        </w:tc>
      </w:tr>
      <w:tr w:rsidTr="008B4C5F">
        <w:tblPrEx>
          <w:tblW w:w="10524" w:type="dxa"/>
          <w:jc w:val="center"/>
          <w:tblLook w:val="01E0"/>
        </w:tblPrEx>
        <w:trPr>
          <w:trHeight w:val="289"/>
          <w:jc w:val="center"/>
        </w:trPr>
        <w:tc>
          <w:tcPr>
            <w:tcW w:w="2712" w:type="dxa"/>
          </w:tcPr>
          <w:p w:rsidR="00A86145" w:rsidRPr="003F7F9C" w:rsidP="00A86145">
            <w:pPr>
              <w:pStyle w:val="naisf"/>
              <w:spacing w:before="0" w:after="0"/>
              <w:ind w:firstLine="0"/>
              <w:jc w:val="center"/>
            </w:pPr>
            <w:r w:rsidRPr="003F7F9C">
              <w:t>33.17.00</w:t>
            </w:r>
          </w:p>
        </w:tc>
        <w:tc>
          <w:tcPr>
            <w:tcW w:w="1117" w:type="dxa"/>
          </w:tcPr>
          <w:p w:rsidR="00A86145" w:rsidRPr="003F7F9C" w:rsidP="00A86145">
            <w:pPr>
              <w:pStyle w:val="naisf"/>
              <w:spacing w:before="0" w:after="0"/>
              <w:ind w:firstLine="0"/>
              <w:jc w:val="center"/>
            </w:pPr>
            <w:r w:rsidRPr="003F7F9C">
              <w:t>0</w:t>
            </w:r>
          </w:p>
        </w:tc>
        <w:tc>
          <w:tcPr>
            <w:tcW w:w="1601" w:type="dxa"/>
          </w:tcPr>
          <w:p w:rsidR="00A86145" w:rsidRPr="003F7F9C" w:rsidP="00A86145">
            <w:pPr>
              <w:pStyle w:val="naisf"/>
              <w:spacing w:before="0" w:after="0"/>
              <w:ind w:firstLine="0"/>
              <w:jc w:val="center"/>
            </w:pPr>
            <w:r w:rsidRPr="003F7F9C">
              <w:t>0</w:t>
            </w:r>
          </w:p>
        </w:tc>
        <w:tc>
          <w:tcPr>
            <w:tcW w:w="1698" w:type="dxa"/>
            <w:vAlign w:val="center"/>
          </w:tcPr>
          <w:p w:rsidR="00A86145" w:rsidRPr="003F7F9C" w:rsidP="00A86145">
            <w:pPr>
              <w:pStyle w:val="naisf"/>
              <w:spacing w:before="0" w:after="0"/>
              <w:ind w:firstLine="0"/>
              <w:jc w:val="center"/>
            </w:pPr>
            <w:r w:rsidRPr="003F7F9C">
              <w:t>+</w:t>
            </w:r>
            <w:r>
              <w:t>37 035 215</w:t>
            </w:r>
          </w:p>
        </w:tc>
        <w:tc>
          <w:tcPr>
            <w:tcW w:w="1698" w:type="dxa"/>
            <w:vAlign w:val="center"/>
          </w:tcPr>
          <w:p w:rsidR="00A86145" w:rsidRPr="003F7F9C" w:rsidP="00A86145">
            <w:pPr>
              <w:pStyle w:val="naisf"/>
              <w:spacing w:before="0" w:after="0"/>
              <w:ind w:firstLine="0"/>
              <w:jc w:val="center"/>
            </w:pPr>
            <w:r w:rsidRPr="003F7F9C">
              <w:t>+</w:t>
            </w:r>
            <w:r>
              <w:t>37 035 215</w:t>
            </w:r>
          </w:p>
        </w:tc>
        <w:tc>
          <w:tcPr>
            <w:tcW w:w="1698" w:type="dxa"/>
            <w:vAlign w:val="center"/>
          </w:tcPr>
          <w:p w:rsidR="00A86145" w:rsidRPr="003F7F9C" w:rsidP="00A86145">
            <w:pPr>
              <w:pStyle w:val="naisf"/>
              <w:spacing w:before="0" w:after="0"/>
              <w:ind w:firstLine="0"/>
              <w:jc w:val="center"/>
            </w:pPr>
            <w:r w:rsidRPr="003F7F9C">
              <w:t>+</w:t>
            </w:r>
            <w:r>
              <w:t>37 035 215</w:t>
            </w:r>
          </w:p>
        </w:tc>
      </w:tr>
      <w:tr w:rsidTr="008B4C5F">
        <w:tblPrEx>
          <w:tblW w:w="10524" w:type="dxa"/>
          <w:jc w:val="center"/>
          <w:tblLook w:val="01E0"/>
        </w:tblPrEx>
        <w:trPr>
          <w:trHeight w:val="250"/>
          <w:jc w:val="center"/>
        </w:trPr>
        <w:tc>
          <w:tcPr>
            <w:tcW w:w="2712" w:type="dxa"/>
          </w:tcPr>
          <w:p w:rsidR="00A86145" w:rsidRPr="003F7F9C" w:rsidP="00A86145">
            <w:pPr>
              <w:pStyle w:val="naisf"/>
              <w:spacing w:before="0" w:after="0"/>
              <w:ind w:firstLine="0"/>
              <w:jc w:val="center"/>
            </w:pPr>
            <w:r w:rsidRPr="003F7F9C">
              <w:t>33.18.00</w:t>
            </w:r>
          </w:p>
        </w:tc>
        <w:tc>
          <w:tcPr>
            <w:tcW w:w="1117" w:type="dxa"/>
          </w:tcPr>
          <w:p w:rsidR="00A86145" w:rsidRPr="003F7F9C" w:rsidP="00A86145">
            <w:pPr>
              <w:pStyle w:val="naisf"/>
              <w:spacing w:before="0" w:after="0"/>
              <w:ind w:firstLine="0"/>
              <w:jc w:val="center"/>
            </w:pPr>
            <w:r w:rsidRPr="003F7F9C">
              <w:t>0</w:t>
            </w:r>
          </w:p>
        </w:tc>
        <w:tc>
          <w:tcPr>
            <w:tcW w:w="1601" w:type="dxa"/>
          </w:tcPr>
          <w:p w:rsidR="00A86145" w:rsidRPr="003F7F9C" w:rsidP="00A86145">
            <w:pPr>
              <w:pStyle w:val="naisf"/>
              <w:spacing w:before="0" w:after="0"/>
              <w:ind w:firstLine="0"/>
              <w:jc w:val="center"/>
            </w:pPr>
            <w:r w:rsidRPr="003F7F9C">
              <w:t>0</w:t>
            </w:r>
          </w:p>
        </w:tc>
        <w:tc>
          <w:tcPr>
            <w:tcW w:w="1698" w:type="dxa"/>
            <w:vAlign w:val="center"/>
          </w:tcPr>
          <w:p w:rsidR="00A86145" w:rsidRPr="003F7F9C" w:rsidP="00A86145">
            <w:pPr>
              <w:pStyle w:val="naisf"/>
              <w:spacing w:before="0" w:after="0"/>
              <w:ind w:firstLine="0"/>
              <w:jc w:val="center"/>
            </w:pPr>
            <w:r w:rsidRPr="003F7F9C">
              <w:t>+</w:t>
            </w:r>
            <w:r>
              <w:t>19 616 500</w:t>
            </w:r>
          </w:p>
        </w:tc>
        <w:tc>
          <w:tcPr>
            <w:tcW w:w="1698" w:type="dxa"/>
            <w:vAlign w:val="center"/>
          </w:tcPr>
          <w:p w:rsidR="00A86145" w:rsidRPr="003F7F9C" w:rsidP="00A86145">
            <w:pPr>
              <w:pStyle w:val="naisf"/>
              <w:spacing w:before="0" w:after="0"/>
              <w:ind w:firstLine="0"/>
              <w:jc w:val="center"/>
            </w:pPr>
            <w:r w:rsidRPr="003F7F9C">
              <w:t>+</w:t>
            </w:r>
            <w:r>
              <w:t>19 616 500</w:t>
            </w:r>
          </w:p>
        </w:tc>
        <w:tc>
          <w:tcPr>
            <w:tcW w:w="1698" w:type="dxa"/>
            <w:vAlign w:val="center"/>
          </w:tcPr>
          <w:p w:rsidR="00A86145" w:rsidRPr="003F7F9C" w:rsidP="00A86145">
            <w:pPr>
              <w:pStyle w:val="naisf"/>
              <w:spacing w:before="0" w:after="0"/>
              <w:ind w:firstLine="0"/>
              <w:jc w:val="center"/>
            </w:pPr>
            <w:r w:rsidRPr="003F7F9C">
              <w:t>+</w:t>
            </w:r>
            <w:r>
              <w:t>19 616 500</w:t>
            </w:r>
          </w:p>
        </w:tc>
      </w:tr>
      <w:tr w:rsidTr="008B4C5F">
        <w:tblPrEx>
          <w:tblW w:w="10524" w:type="dxa"/>
          <w:jc w:val="center"/>
          <w:tblLook w:val="01E0"/>
        </w:tblPrEx>
        <w:trPr>
          <w:trHeight w:val="274"/>
          <w:jc w:val="center"/>
        </w:trPr>
        <w:tc>
          <w:tcPr>
            <w:tcW w:w="2712" w:type="dxa"/>
          </w:tcPr>
          <w:p w:rsidR="00A86145" w:rsidRPr="003F7F9C" w:rsidP="00A86145">
            <w:pPr>
              <w:pStyle w:val="naisf"/>
              <w:spacing w:before="0" w:after="0"/>
              <w:ind w:firstLine="0"/>
              <w:jc w:val="center"/>
            </w:pPr>
            <w:r w:rsidRPr="003F7F9C">
              <w:t>45.01.00</w:t>
            </w:r>
          </w:p>
        </w:tc>
        <w:tc>
          <w:tcPr>
            <w:tcW w:w="1117" w:type="dxa"/>
          </w:tcPr>
          <w:p w:rsidR="00A86145" w:rsidRPr="003F7F9C" w:rsidP="00A86145">
            <w:pPr>
              <w:pStyle w:val="naisf"/>
              <w:spacing w:before="0" w:after="0"/>
              <w:ind w:firstLine="0"/>
              <w:jc w:val="center"/>
            </w:pPr>
            <w:r w:rsidRPr="003F7F9C">
              <w:t>0</w:t>
            </w:r>
          </w:p>
        </w:tc>
        <w:tc>
          <w:tcPr>
            <w:tcW w:w="1601" w:type="dxa"/>
          </w:tcPr>
          <w:p w:rsidR="00A86145" w:rsidRPr="003F7F9C" w:rsidP="00A86145">
            <w:pPr>
              <w:pStyle w:val="naisf"/>
              <w:spacing w:before="0" w:after="0"/>
              <w:ind w:firstLine="0"/>
              <w:jc w:val="center"/>
            </w:pPr>
            <w:r w:rsidRPr="003F7F9C">
              <w:t>0</w:t>
            </w:r>
          </w:p>
        </w:tc>
        <w:tc>
          <w:tcPr>
            <w:tcW w:w="1698" w:type="dxa"/>
            <w:vAlign w:val="center"/>
          </w:tcPr>
          <w:p w:rsidR="00A86145" w:rsidRPr="003F7F9C" w:rsidP="00A86145">
            <w:pPr>
              <w:pStyle w:val="naisf"/>
              <w:spacing w:before="0" w:after="0"/>
              <w:ind w:firstLine="0"/>
              <w:jc w:val="center"/>
            </w:pPr>
            <w:r w:rsidRPr="003F7F9C">
              <w:t>+</w:t>
            </w:r>
            <w:r>
              <w:t>47 753</w:t>
            </w:r>
          </w:p>
        </w:tc>
        <w:tc>
          <w:tcPr>
            <w:tcW w:w="1698" w:type="dxa"/>
            <w:vAlign w:val="center"/>
          </w:tcPr>
          <w:p w:rsidR="00A86145" w:rsidRPr="003F7F9C" w:rsidP="00A86145">
            <w:pPr>
              <w:pStyle w:val="naisf"/>
              <w:spacing w:before="0" w:after="0"/>
              <w:ind w:firstLine="0"/>
              <w:jc w:val="center"/>
            </w:pPr>
            <w:r w:rsidRPr="003F7F9C">
              <w:t>+</w:t>
            </w:r>
            <w:r>
              <w:t>47 753</w:t>
            </w:r>
          </w:p>
        </w:tc>
        <w:tc>
          <w:tcPr>
            <w:tcW w:w="1698" w:type="dxa"/>
            <w:vAlign w:val="center"/>
          </w:tcPr>
          <w:p w:rsidR="00A86145" w:rsidRPr="003F7F9C" w:rsidP="00A86145">
            <w:pPr>
              <w:pStyle w:val="naisf"/>
              <w:spacing w:before="0" w:after="0"/>
              <w:ind w:firstLine="0"/>
              <w:jc w:val="center"/>
            </w:pPr>
            <w:r w:rsidRPr="003F7F9C">
              <w:t>+</w:t>
            </w:r>
            <w:r>
              <w:t>47 753</w:t>
            </w:r>
          </w:p>
        </w:tc>
      </w:tr>
      <w:tr w:rsidTr="008B4C5F">
        <w:tblPrEx>
          <w:tblW w:w="10524" w:type="dxa"/>
          <w:jc w:val="center"/>
          <w:tblLook w:val="01E0"/>
        </w:tblPrEx>
        <w:trPr>
          <w:jc w:val="center"/>
        </w:trPr>
        <w:tc>
          <w:tcPr>
            <w:tcW w:w="2712" w:type="dxa"/>
          </w:tcPr>
          <w:p w:rsidR="00AF1B1B" w:rsidRPr="003F7F9C" w:rsidP="00AF1B1B">
            <w:r w:rsidRPr="003F7F9C">
              <w:t>2.2. valsts speciālais budžets</w:t>
            </w:r>
          </w:p>
        </w:tc>
        <w:tc>
          <w:tcPr>
            <w:tcW w:w="1117" w:type="dxa"/>
            <w:vAlign w:val="center"/>
          </w:tcPr>
          <w:p w:rsidR="00AF1B1B" w:rsidRPr="003F7F9C" w:rsidP="00AF1B1B">
            <w:pPr>
              <w:pStyle w:val="naisf"/>
              <w:spacing w:before="0" w:after="0"/>
              <w:ind w:firstLine="0"/>
              <w:jc w:val="center"/>
            </w:pPr>
            <w:r>
              <w:t>0</w:t>
            </w:r>
          </w:p>
        </w:tc>
        <w:tc>
          <w:tcPr>
            <w:tcW w:w="1601" w:type="dxa"/>
            <w:vAlign w:val="center"/>
          </w:tcPr>
          <w:p w:rsidR="00AF1B1B" w:rsidRPr="003F7F9C" w:rsidP="00AF1B1B">
            <w:pPr>
              <w:pStyle w:val="naisf"/>
              <w:spacing w:before="0" w:after="0"/>
              <w:ind w:firstLine="0"/>
              <w:jc w:val="center"/>
            </w:pPr>
            <w:r w:rsidRPr="003F7F9C">
              <w:t>0</w:t>
            </w:r>
          </w:p>
        </w:tc>
        <w:tc>
          <w:tcPr>
            <w:tcW w:w="1698" w:type="dxa"/>
            <w:vAlign w:val="center"/>
          </w:tcPr>
          <w:p w:rsidR="00AF1B1B" w:rsidRPr="003F7F9C" w:rsidP="00AF1B1B">
            <w:pPr>
              <w:pStyle w:val="naisf"/>
              <w:spacing w:before="0" w:after="0"/>
              <w:ind w:firstLine="0"/>
              <w:jc w:val="center"/>
            </w:pPr>
            <w:r w:rsidRPr="003F7F9C">
              <w:t>0</w:t>
            </w:r>
          </w:p>
        </w:tc>
        <w:tc>
          <w:tcPr>
            <w:tcW w:w="1698" w:type="dxa"/>
            <w:vAlign w:val="center"/>
          </w:tcPr>
          <w:p w:rsidR="00AF1B1B" w:rsidRPr="003F7F9C" w:rsidP="00AF1B1B">
            <w:pPr>
              <w:pStyle w:val="naisf"/>
              <w:spacing w:before="0" w:after="0"/>
              <w:ind w:firstLine="0"/>
              <w:jc w:val="center"/>
            </w:pPr>
            <w:r w:rsidRPr="003F7F9C">
              <w:t>0</w:t>
            </w:r>
          </w:p>
        </w:tc>
        <w:tc>
          <w:tcPr>
            <w:tcW w:w="1698" w:type="dxa"/>
            <w:vAlign w:val="center"/>
          </w:tcPr>
          <w:p w:rsidR="00AF1B1B" w:rsidRPr="003F7F9C" w:rsidP="00AF1B1B">
            <w:pPr>
              <w:pStyle w:val="naisf"/>
              <w:spacing w:before="0" w:after="0"/>
              <w:ind w:firstLine="0"/>
              <w:jc w:val="center"/>
            </w:pPr>
            <w:r w:rsidRPr="003F7F9C">
              <w:t>0</w:t>
            </w:r>
          </w:p>
        </w:tc>
      </w:tr>
      <w:tr w:rsidTr="008B4C5F">
        <w:tblPrEx>
          <w:tblW w:w="10524" w:type="dxa"/>
          <w:jc w:val="center"/>
          <w:tblLook w:val="01E0"/>
        </w:tblPrEx>
        <w:trPr>
          <w:jc w:val="center"/>
        </w:trPr>
        <w:tc>
          <w:tcPr>
            <w:tcW w:w="2712" w:type="dxa"/>
          </w:tcPr>
          <w:p w:rsidR="002E091D" w:rsidRPr="003F7F9C" w:rsidP="002E091D">
            <w:r w:rsidRPr="003F7F9C">
              <w:t xml:space="preserve">2.3. pašvaldību budžets </w:t>
            </w:r>
          </w:p>
        </w:tc>
        <w:tc>
          <w:tcPr>
            <w:tcW w:w="1117" w:type="dxa"/>
            <w:vAlign w:val="center"/>
          </w:tcPr>
          <w:p w:rsidR="002E091D" w:rsidRPr="003F7F9C" w:rsidP="002E091D">
            <w:pPr>
              <w:pStyle w:val="naisf"/>
              <w:spacing w:before="0" w:after="0"/>
              <w:ind w:firstLine="0"/>
              <w:jc w:val="center"/>
            </w:pPr>
            <w:r w:rsidRPr="003F7F9C">
              <w:t>0</w:t>
            </w:r>
          </w:p>
        </w:tc>
        <w:tc>
          <w:tcPr>
            <w:tcW w:w="1601" w:type="dxa"/>
            <w:vAlign w:val="center"/>
          </w:tcPr>
          <w:p w:rsidR="002E091D" w:rsidRPr="003F7F9C" w:rsidP="002E091D">
            <w:pPr>
              <w:pStyle w:val="naisf"/>
              <w:spacing w:before="0" w:after="0"/>
              <w:ind w:firstLine="0"/>
              <w:jc w:val="center"/>
            </w:pPr>
            <w:r w:rsidRPr="003F7F9C">
              <w:t>0</w:t>
            </w:r>
          </w:p>
        </w:tc>
        <w:tc>
          <w:tcPr>
            <w:tcW w:w="1698" w:type="dxa"/>
            <w:vAlign w:val="center"/>
          </w:tcPr>
          <w:p w:rsidR="002E091D" w:rsidRPr="003F7F9C" w:rsidP="002E091D">
            <w:pPr>
              <w:pStyle w:val="naisf"/>
              <w:spacing w:before="0" w:after="0"/>
              <w:ind w:firstLine="0"/>
              <w:jc w:val="center"/>
            </w:pPr>
            <w:r w:rsidRPr="003F7F9C">
              <w:t>0</w:t>
            </w:r>
          </w:p>
        </w:tc>
        <w:tc>
          <w:tcPr>
            <w:tcW w:w="1698" w:type="dxa"/>
            <w:vAlign w:val="center"/>
          </w:tcPr>
          <w:p w:rsidR="002E091D" w:rsidRPr="003F7F9C" w:rsidP="002E091D">
            <w:pPr>
              <w:pStyle w:val="naisf"/>
              <w:spacing w:before="0" w:after="0"/>
              <w:ind w:firstLine="0"/>
              <w:jc w:val="center"/>
            </w:pPr>
            <w:r w:rsidRPr="003F7F9C">
              <w:t>0</w:t>
            </w:r>
          </w:p>
        </w:tc>
        <w:tc>
          <w:tcPr>
            <w:tcW w:w="1698" w:type="dxa"/>
            <w:vAlign w:val="center"/>
          </w:tcPr>
          <w:p w:rsidR="002E091D" w:rsidRPr="003F7F9C" w:rsidP="002E091D">
            <w:pPr>
              <w:pStyle w:val="naisf"/>
              <w:spacing w:before="0" w:after="0"/>
              <w:ind w:firstLine="0"/>
              <w:jc w:val="center"/>
            </w:pPr>
            <w:r w:rsidRPr="003F7F9C">
              <w:t>0</w:t>
            </w:r>
          </w:p>
        </w:tc>
      </w:tr>
      <w:tr w:rsidTr="008B4C5F">
        <w:tblPrEx>
          <w:tblW w:w="10524" w:type="dxa"/>
          <w:jc w:val="center"/>
          <w:tblLook w:val="01E0"/>
        </w:tblPrEx>
        <w:trPr>
          <w:jc w:val="center"/>
        </w:trPr>
        <w:tc>
          <w:tcPr>
            <w:tcW w:w="2712" w:type="dxa"/>
          </w:tcPr>
          <w:p w:rsidR="001756DA" w:rsidRPr="003F7F9C" w:rsidP="001756DA">
            <w:r w:rsidRPr="003F7F9C">
              <w:t>3. Finansiālā ietekme:</w:t>
            </w:r>
          </w:p>
        </w:tc>
        <w:tc>
          <w:tcPr>
            <w:tcW w:w="1117" w:type="dxa"/>
            <w:shd w:val="clear" w:color="auto" w:fill="auto"/>
            <w:vAlign w:val="center"/>
          </w:tcPr>
          <w:p w:rsidR="001756DA" w:rsidRPr="003F7F9C" w:rsidP="001756DA">
            <w:pPr>
              <w:pStyle w:val="naisf"/>
              <w:spacing w:before="0" w:after="0"/>
              <w:ind w:firstLine="0"/>
              <w:jc w:val="center"/>
              <w:rPr>
                <w:b/>
              </w:rPr>
            </w:pPr>
            <w:r w:rsidRPr="003F7F9C">
              <w:rPr>
                <w:b/>
              </w:rPr>
              <w:t>0</w:t>
            </w:r>
          </w:p>
        </w:tc>
        <w:tc>
          <w:tcPr>
            <w:tcW w:w="1601" w:type="dxa"/>
            <w:vAlign w:val="center"/>
          </w:tcPr>
          <w:p w:rsidR="001756DA" w:rsidRPr="003F7F9C" w:rsidP="001756DA">
            <w:pPr>
              <w:pStyle w:val="naisf"/>
              <w:spacing w:before="0" w:after="0"/>
              <w:ind w:firstLine="0"/>
              <w:jc w:val="center"/>
              <w:rPr>
                <w:b/>
              </w:rPr>
            </w:pPr>
            <w:r w:rsidRPr="003F7F9C">
              <w:rPr>
                <w:b/>
              </w:rPr>
              <w:t>0</w:t>
            </w:r>
          </w:p>
        </w:tc>
        <w:tc>
          <w:tcPr>
            <w:tcW w:w="1698" w:type="dxa"/>
            <w:vAlign w:val="center"/>
          </w:tcPr>
          <w:p w:rsidR="001756DA" w:rsidRPr="003F7F9C" w:rsidP="001756DA">
            <w:pPr>
              <w:pStyle w:val="naisf"/>
              <w:spacing w:before="0" w:after="0"/>
              <w:ind w:firstLine="0"/>
              <w:jc w:val="center"/>
              <w:rPr>
                <w:b/>
              </w:rPr>
            </w:pPr>
            <w:r>
              <w:rPr>
                <w:b/>
              </w:rPr>
              <w:t>-80 142 231</w:t>
            </w:r>
          </w:p>
        </w:tc>
        <w:tc>
          <w:tcPr>
            <w:tcW w:w="1698" w:type="dxa"/>
            <w:vAlign w:val="center"/>
          </w:tcPr>
          <w:p w:rsidR="001756DA" w:rsidRPr="003F7F9C" w:rsidP="001756DA">
            <w:pPr>
              <w:pStyle w:val="naisf"/>
              <w:spacing w:before="0" w:after="0"/>
              <w:ind w:firstLine="0"/>
              <w:jc w:val="center"/>
              <w:rPr>
                <w:b/>
              </w:rPr>
            </w:pPr>
            <w:r>
              <w:rPr>
                <w:b/>
              </w:rPr>
              <w:t>-80 142 231</w:t>
            </w:r>
          </w:p>
        </w:tc>
        <w:tc>
          <w:tcPr>
            <w:tcW w:w="1698" w:type="dxa"/>
            <w:vAlign w:val="center"/>
          </w:tcPr>
          <w:p w:rsidR="001756DA" w:rsidRPr="003F7F9C" w:rsidP="001756DA">
            <w:pPr>
              <w:pStyle w:val="naisf"/>
              <w:spacing w:before="0" w:after="0"/>
              <w:ind w:firstLine="0"/>
              <w:jc w:val="center"/>
              <w:rPr>
                <w:b/>
              </w:rPr>
            </w:pPr>
            <w:r>
              <w:rPr>
                <w:b/>
              </w:rPr>
              <w:t>-80 142 231</w:t>
            </w:r>
          </w:p>
        </w:tc>
      </w:tr>
      <w:tr w:rsidTr="008B4C5F">
        <w:tblPrEx>
          <w:tblW w:w="10524" w:type="dxa"/>
          <w:jc w:val="center"/>
          <w:tblLook w:val="01E0"/>
        </w:tblPrEx>
        <w:trPr>
          <w:jc w:val="center"/>
        </w:trPr>
        <w:tc>
          <w:tcPr>
            <w:tcW w:w="2712" w:type="dxa"/>
          </w:tcPr>
          <w:p w:rsidR="001756DA" w:rsidRPr="003F7F9C" w:rsidP="001756DA">
            <w:r w:rsidRPr="003F7F9C">
              <w:t>3.1. valsts pamatbudžets</w:t>
            </w:r>
          </w:p>
        </w:tc>
        <w:tc>
          <w:tcPr>
            <w:tcW w:w="1117" w:type="dxa"/>
            <w:shd w:val="clear" w:color="auto" w:fill="auto"/>
            <w:vAlign w:val="center"/>
          </w:tcPr>
          <w:p w:rsidR="001756DA" w:rsidRPr="003F7F9C" w:rsidP="001756DA">
            <w:pPr>
              <w:pStyle w:val="naisf"/>
              <w:spacing w:before="0" w:after="0"/>
              <w:ind w:firstLine="0"/>
              <w:jc w:val="center"/>
            </w:pPr>
            <w:r w:rsidRPr="003F7F9C">
              <w:t>0</w:t>
            </w:r>
          </w:p>
        </w:tc>
        <w:tc>
          <w:tcPr>
            <w:tcW w:w="1601" w:type="dxa"/>
            <w:vAlign w:val="center"/>
          </w:tcPr>
          <w:p w:rsidR="001756DA" w:rsidRPr="003F7F9C" w:rsidP="001756DA">
            <w:pPr>
              <w:pStyle w:val="naisf"/>
              <w:spacing w:before="0" w:after="0"/>
              <w:ind w:firstLine="0"/>
              <w:jc w:val="center"/>
            </w:pPr>
            <w:r w:rsidRPr="003F7F9C">
              <w:t>0</w:t>
            </w:r>
          </w:p>
        </w:tc>
        <w:tc>
          <w:tcPr>
            <w:tcW w:w="1698" w:type="dxa"/>
            <w:vAlign w:val="center"/>
          </w:tcPr>
          <w:p w:rsidR="001756DA" w:rsidRPr="003F7F9C" w:rsidP="001756DA">
            <w:pPr>
              <w:pStyle w:val="naisf"/>
              <w:spacing w:before="0" w:after="0"/>
              <w:ind w:firstLine="0"/>
              <w:jc w:val="center"/>
            </w:pPr>
            <w:r>
              <w:t>-80 142 231</w:t>
            </w:r>
          </w:p>
        </w:tc>
        <w:tc>
          <w:tcPr>
            <w:tcW w:w="1698" w:type="dxa"/>
            <w:vAlign w:val="center"/>
          </w:tcPr>
          <w:p w:rsidR="001756DA" w:rsidRPr="003F7F9C" w:rsidP="001756DA">
            <w:pPr>
              <w:pStyle w:val="naisf"/>
              <w:spacing w:before="0" w:after="0"/>
              <w:ind w:firstLine="0"/>
              <w:jc w:val="center"/>
            </w:pPr>
            <w:r>
              <w:t>-80 142 231</w:t>
            </w:r>
          </w:p>
        </w:tc>
        <w:tc>
          <w:tcPr>
            <w:tcW w:w="1698" w:type="dxa"/>
            <w:vAlign w:val="center"/>
          </w:tcPr>
          <w:p w:rsidR="001756DA" w:rsidRPr="003F7F9C" w:rsidP="001756DA">
            <w:pPr>
              <w:pStyle w:val="naisf"/>
              <w:spacing w:before="0" w:after="0"/>
              <w:ind w:firstLine="0"/>
              <w:jc w:val="center"/>
            </w:pPr>
            <w:r>
              <w:t>-80 142 231</w:t>
            </w:r>
          </w:p>
        </w:tc>
      </w:tr>
      <w:tr w:rsidTr="008B4C5F">
        <w:tblPrEx>
          <w:tblW w:w="10524" w:type="dxa"/>
          <w:jc w:val="center"/>
          <w:tblLook w:val="01E0"/>
        </w:tblPrEx>
        <w:trPr>
          <w:jc w:val="center"/>
        </w:trPr>
        <w:tc>
          <w:tcPr>
            <w:tcW w:w="2712" w:type="dxa"/>
          </w:tcPr>
          <w:p w:rsidR="001756DA" w:rsidRPr="003F7F9C" w:rsidP="001756DA">
            <w:r w:rsidRPr="003F7F9C">
              <w:t>3.2. speciālais budžets</w:t>
            </w:r>
          </w:p>
        </w:tc>
        <w:tc>
          <w:tcPr>
            <w:tcW w:w="1117" w:type="dxa"/>
            <w:shd w:val="clear" w:color="auto" w:fill="auto"/>
            <w:vAlign w:val="center"/>
          </w:tcPr>
          <w:p w:rsidR="001756DA" w:rsidRPr="003F7F9C" w:rsidP="001756DA">
            <w:pPr>
              <w:pStyle w:val="naisf"/>
              <w:spacing w:before="0" w:after="0"/>
              <w:ind w:firstLine="0"/>
              <w:jc w:val="center"/>
            </w:pPr>
            <w:r w:rsidRPr="003F7F9C">
              <w:t>0</w:t>
            </w:r>
          </w:p>
        </w:tc>
        <w:tc>
          <w:tcPr>
            <w:tcW w:w="1601" w:type="dxa"/>
            <w:vAlign w:val="center"/>
          </w:tcPr>
          <w:p w:rsidR="001756DA" w:rsidRPr="003F7F9C" w:rsidP="001756DA">
            <w:pPr>
              <w:pStyle w:val="naisf"/>
              <w:spacing w:before="0" w:after="0"/>
              <w:ind w:firstLine="0"/>
              <w:jc w:val="center"/>
            </w:pPr>
            <w:r w:rsidRPr="003F7F9C">
              <w:t>0</w:t>
            </w:r>
          </w:p>
        </w:tc>
        <w:tc>
          <w:tcPr>
            <w:tcW w:w="1698" w:type="dxa"/>
            <w:vAlign w:val="center"/>
          </w:tcPr>
          <w:p w:rsidR="001756DA" w:rsidRPr="003F7F9C" w:rsidP="001756DA">
            <w:pPr>
              <w:pStyle w:val="naisf"/>
              <w:spacing w:before="0" w:after="0"/>
              <w:ind w:firstLine="0"/>
              <w:jc w:val="center"/>
            </w:pPr>
            <w:r w:rsidRPr="003F7F9C">
              <w:t>0</w:t>
            </w:r>
          </w:p>
        </w:tc>
        <w:tc>
          <w:tcPr>
            <w:tcW w:w="1698" w:type="dxa"/>
            <w:vAlign w:val="center"/>
          </w:tcPr>
          <w:p w:rsidR="001756DA" w:rsidRPr="003F7F9C" w:rsidP="001756DA">
            <w:pPr>
              <w:pStyle w:val="naisf"/>
              <w:spacing w:before="0" w:after="0"/>
              <w:ind w:firstLine="0"/>
              <w:jc w:val="center"/>
            </w:pPr>
            <w:r w:rsidRPr="003F7F9C">
              <w:t>0</w:t>
            </w:r>
          </w:p>
        </w:tc>
        <w:tc>
          <w:tcPr>
            <w:tcW w:w="1698" w:type="dxa"/>
            <w:vAlign w:val="center"/>
          </w:tcPr>
          <w:p w:rsidR="001756DA" w:rsidRPr="003F7F9C" w:rsidP="001756DA">
            <w:pPr>
              <w:pStyle w:val="naisf"/>
              <w:spacing w:before="0" w:after="0"/>
              <w:ind w:firstLine="0"/>
              <w:jc w:val="center"/>
            </w:pPr>
            <w:r w:rsidRPr="003F7F9C">
              <w:t>0</w:t>
            </w:r>
          </w:p>
        </w:tc>
      </w:tr>
      <w:tr w:rsidTr="008B4C5F">
        <w:tblPrEx>
          <w:tblW w:w="10524" w:type="dxa"/>
          <w:jc w:val="center"/>
          <w:tblLook w:val="01E0"/>
        </w:tblPrEx>
        <w:trPr>
          <w:jc w:val="center"/>
        </w:trPr>
        <w:tc>
          <w:tcPr>
            <w:tcW w:w="2712" w:type="dxa"/>
          </w:tcPr>
          <w:p w:rsidR="001756DA" w:rsidRPr="003F7F9C" w:rsidP="001756DA">
            <w:r w:rsidRPr="003F7F9C">
              <w:t xml:space="preserve">3.3. pašvaldību budžets </w:t>
            </w:r>
          </w:p>
        </w:tc>
        <w:tc>
          <w:tcPr>
            <w:tcW w:w="1117" w:type="dxa"/>
            <w:shd w:val="clear" w:color="auto" w:fill="auto"/>
            <w:vAlign w:val="center"/>
          </w:tcPr>
          <w:p w:rsidR="001756DA" w:rsidRPr="003F7F9C" w:rsidP="001756DA">
            <w:pPr>
              <w:pStyle w:val="naisf"/>
              <w:spacing w:before="0" w:after="0"/>
              <w:ind w:firstLine="0"/>
              <w:jc w:val="center"/>
            </w:pPr>
            <w:r w:rsidRPr="003F7F9C">
              <w:t>0</w:t>
            </w:r>
          </w:p>
        </w:tc>
        <w:tc>
          <w:tcPr>
            <w:tcW w:w="1601" w:type="dxa"/>
            <w:vAlign w:val="center"/>
          </w:tcPr>
          <w:p w:rsidR="001756DA" w:rsidRPr="003F7F9C" w:rsidP="001756DA">
            <w:pPr>
              <w:pStyle w:val="naisf"/>
              <w:spacing w:before="0" w:after="0"/>
              <w:ind w:firstLine="0"/>
              <w:jc w:val="center"/>
            </w:pPr>
            <w:r w:rsidRPr="003F7F9C">
              <w:t>0</w:t>
            </w:r>
          </w:p>
        </w:tc>
        <w:tc>
          <w:tcPr>
            <w:tcW w:w="1698" w:type="dxa"/>
            <w:vAlign w:val="center"/>
          </w:tcPr>
          <w:p w:rsidR="001756DA" w:rsidRPr="003F7F9C" w:rsidP="001756DA">
            <w:pPr>
              <w:pStyle w:val="naisf"/>
              <w:spacing w:before="0" w:after="0"/>
              <w:ind w:firstLine="0"/>
              <w:jc w:val="center"/>
            </w:pPr>
            <w:r w:rsidRPr="003F7F9C">
              <w:t>0</w:t>
            </w:r>
          </w:p>
        </w:tc>
        <w:tc>
          <w:tcPr>
            <w:tcW w:w="1698" w:type="dxa"/>
            <w:vAlign w:val="center"/>
          </w:tcPr>
          <w:p w:rsidR="001756DA" w:rsidRPr="003F7F9C" w:rsidP="001756DA">
            <w:pPr>
              <w:pStyle w:val="naisf"/>
              <w:spacing w:before="0" w:after="0"/>
              <w:ind w:firstLine="0"/>
              <w:jc w:val="center"/>
            </w:pPr>
            <w:r w:rsidRPr="003F7F9C">
              <w:t>0</w:t>
            </w:r>
          </w:p>
        </w:tc>
        <w:tc>
          <w:tcPr>
            <w:tcW w:w="1698" w:type="dxa"/>
            <w:vAlign w:val="center"/>
          </w:tcPr>
          <w:p w:rsidR="001756DA" w:rsidRPr="003F7F9C" w:rsidP="001756DA">
            <w:pPr>
              <w:pStyle w:val="naisf"/>
              <w:spacing w:before="0" w:after="0"/>
              <w:ind w:firstLine="0"/>
              <w:jc w:val="center"/>
            </w:pPr>
            <w:r w:rsidRPr="003F7F9C">
              <w:t>0</w:t>
            </w:r>
          </w:p>
        </w:tc>
      </w:tr>
      <w:tr w:rsidTr="008B4C5F">
        <w:tblPrEx>
          <w:tblW w:w="10524" w:type="dxa"/>
          <w:jc w:val="center"/>
          <w:tblLook w:val="01E0"/>
        </w:tblPrEx>
        <w:trPr>
          <w:trHeight w:val="2400"/>
          <w:jc w:val="center"/>
        </w:trPr>
        <w:tc>
          <w:tcPr>
            <w:tcW w:w="2712" w:type="dxa"/>
          </w:tcPr>
          <w:p w:rsidR="001756DA" w:rsidRPr="003F7F9C" w:rsidP="001756DA">
            <w:r w:rsidRPr="003F7F9C">
              <w:t>4. Finanšu līdzekļi papildu izde</w:t>
            </w:r>
            <w:r w:rsidRPr="003F7F9C">
              <w:softHyphen/>
              <w:t>vumu finansēšanai (kompensējošu izdevumu samazinājumu norāda ar "+" zīmi)</w:t>
            </w:r>
          </w:p>
        </w:tc>
        <w:tc>
          <w:tcPr>
            <w:tcW w:w="1117" w:type="dxa"/>
            <w:vAlign w:val="center"/>
          </w:tcPr>
          <w:p w:rsidR="001756DA" w:rsidRPr="003F7F9C" w:rsidP="001756DA">
            <w:pPr>
              <w:pStyle w:val="naisf"/>
              <w:spacing w:before="0" w:after="0"/>
              <w:ind w:firstLine="0"/>
              <w:jc w:val="center"/>
              <w:rPr>
                <w:i/>
              </w:rPr>
            </w:pPr>
            <w:r w:rsidRPr="003F7F9C">
              <w:t>X</w:t>
            </w:r>
          </w:p>
        </w:tc>
        <w:tc>
          <w:tcPr>
            <w:tcW w:w="1601" w:type="dxa"/>
            <w:vAlign w:val="center"/>
          </w:tcPr>
          <w:p w:rsidR="001756DA" w:rsidRPr="003F7F9C" w:rsidP="001756DA">
            <w:pPr>
              <w:pStyle w:val="naisf"/>
              <w:spacing w:before="0" w:after="0"/>
              <w:ind w:firstLine="0"/>
              <w:jc w:val="center"/>
              <w:rPr>
                <w:i/>
              </w:rPr>
            </w:pPr>
            <w:r w:rsidRPr="003F7F9C">
              <w:t>0</w:t>
            </w:r>
          </w:p>
        </w:tc>
        <w:tc>
          <w:tcPr>
            <w:tcW w:w="1698" w:type="dxa"/>
            <w:vAlign w:val="center"/>
          </w:tcPr>
          <w:p w:rsidR="001756DA" w:rsidRPr="003F7F9C" w:rsidP="001756DA">
            <w:pPr>
              <w:pStyle w:val="naisf"/>
              <w:spacing w:before="0" w:after="0"/>
              <w:ind w:firstLine="0"/>
              <w:jc w:val="center"/>
            </w:pPr>
            <w:r>
              <w:rPr>
                <w:b/>
              </w:rPr>
              <w:t>74 001 220</w:t>
            </w:r>
          </w:p>
        </w:tc>
        <w:tc>
          <w:tcPr>
            <w:tcW w:w="1698" w:type="dxa"/>
            <w:vAlign w:val="center"/>
          </w:tcPr>
          <w:p w:rsidR="001756DA" w:rsidRPr="003F7F9C" w:rsidP="001756DA">
            <w:pPr>
              <w:pStyle w:val="naisf"/>
              <w:spacing w:before="0" w:after="0"/>
              <w:ind w:firstLine="0"/>
              <w:jc w:val="center"/>
            </w:pPr>
            <w:r>
              <w:rPr>
                <w:b/>
              </w:rPr>
              <w:t>74 001 220</w:t>
            </w:r>
          </w:p>
        </w:tc>
        <w:tc>
          <w:tcPr>
            <w:tcW w:w="1698" w:type="dxa"/>
            <w:vAlign w:val="center"/>
          </w:tcPr>
          <w:p w:rsidR="001756DA" w:rsidRPr="003F7F9C" w:rsidP="001756DA">
            <w:pPr>
              <w:pStyle w:val="naisf"/>
              <w:spacing w:before="0" w:after="0"/>
              <w:ind w:firstLine="0"/>
              <w:jc w:val="center"/>
            </w:pPr>
            <w:r>
              <w:rPr>
                <w:b/>
              </w:rPr>
              <w:t>74 001 220</w:t>
            </w:r>
          </w:p>
        </w:tc>
      </w:tr>
      <w:tr w:rsidTr="008B4C5F">
        <w:tblPrEx>
          <w:tblW w:w="10524" w:type="dxa"/>
          <w:jc w:val="center"/>
          <w:tblLook w:val="01E0"/>
        </w:tblPrEx>
        <w:trPr>
          <w:jc w:val="center"/>
        </w:trPr>
        <w:tc>
          <w:tcPr>
            <w:tcW w:w="2712" w:type="dxa"/>
          </w:tcPr>
          <w:p w:rsidR="001756DA" w:rsidRPr="003F7F9C" w:rsidP="001756DA">
            <w:r w:rsidRPr="003F7F9C">
              <w:t>5. Precizēta finansiālā ietekme:</w:t>
            </w:r>
          </w:p>
        </w:tc>
        <w:tc>
          <w:tcPr>
            <w:tcW w:w="1117" w:type="dxa"/>
            <w:vMerge w:val="restart"/>
            <w:vAlign w:val="center"/>
          </w:tcPr>
          <w:p w:rsidR="001756DA" w:rsidRPr="003F7F9C" w:rsidP="001756DA">
            <w:pPr>
              <w:pStyle w:val="naisf"/>
              <w:spacing w:before="0" w:after="0"/>
              <w:ind w:firstLine="0"/>
              <w:jc w:val="center"/>
              <w:rPr>
                <w:i/>
              </w:rPr>
            </w:pPr>
            <w:r w:rsidRPr="003F7F9C">
              <w:t>X</w:t>
            </w:r>
          </w:p>
        </w:tc>
        <w:tc>
          <w:tcPr>
            <w:tcW w:w="1601" w:type="dxa"/>
            <w:vAlign w:val="center"/>
          </w:tcPr>
          <w:p w:rsidR="001756DA" w:rsidRPr="003F7F9C" w:rsidP="001756DA">
            <w:pPr>
              <w:pStyle w:val="naisf"/>
              <w:spacing w:before="0" w:after="0"/>
              <w:ind w:firstLine="0"/>
              <w:jc w:val="center"/>
            </w:pPr>
            <w:r w:rsidRPr="003F7F9C">
              <w:t>0</w:t>
            </w:r>
          </w:p>
        </w:tc>
        <w:tc>
          <w:tcPr>
            <w:tcW w:w="1698" w:type="dxa"/>
            <w:vAlign w:val="center"/>
          </w:tcPr>
          <w:p w:rsidR="001756DA" w:rsidRPr="003F7F9C" w:rsidP="001756DA">
            <w:pPr>
              <w:pStyle w:val="naisf"/>
              <w:spacing w:before="0" w:after="0"/>
              <w:ind w:firstLine="0"/>
              <w:jc w:val="center"/>
              <w:rPr>
                <w:b/>
              </w:rPr>
            </w:pPr>
            <w:r>
              <w:rPr>
                <w:b/>
              </w:rPr>
              <w:t>-6 141 011</w:t>
            </w:r>
          </w:p>
        </w:tc>
        <w:tc>
          <w:tcPr>
            <w:tcW w:w="1698" w:type="dxa"/>
            <w:vAlign w:val="center"/>
          </w:tcPr>
          <w:p w:rsidR="001756DA" w:rsidRPr="003F7F9C" w:rsidP="001756DA">
            <w:pPr>
              <w:pStyle w:val="naisf"/>
              <w:spacing w:before="0" w:after="0"/>
              <w:ind w:firstLine="0"/>
              <w:jc w:val="center"/>
              <w:rPr>
                <w:b/>
              </w:rPr>
            </w:pPr>
            <w:r>
              <w:rPr>
                <w:b/>
              </w:rPr>
              <w:t>-6 141 011</w:t>
            </w:r>
          </w:p>
        </w:tc>
        <w:tc>
          <w:tcPr>
            <w:tcW w:w="1698" w:type="dxa"/>
            <w:vAlign w:val="center"/>
          </w:tcPr>
          <w:p w:rsidR="001756DA" w:rsidRPr="003F7F9C" w:rsidP="001756DA">
            <w:pPr>
              <w:pStyle w:val="naisf"/>
              <w:spacing w:before="0" w:after="0"/>
              <w:ind w:firstLine="0"/>
              <w:jc w:val="center"/>
              <w:rPr>
                <w:b/>
              </w:rPr>
            </w:pPr>
            <w:r>
              <w:rPr>
                <w:b/>
              </w:rPr>
              <w:t>-6 141 011</w:t>
            </w:r>
          </w:p>
        </w:tc>
      </w:tr>
      <w:tr w:rsidTr="008B4C5F">
        <w:tblPrEx>
          <w:tblW w:w="10524" w:type="dxa"/>
          <w:jc w:val="center"/>
          <w:tblLook w:val="01E0"/>
        </w:tblPrEx>
        <w:trPr>
          <w:jc w:val="center"/>
        </w:trPr>
        <w:tc>
          <w:tcPr>
            <w:tcW w:w="2712" w:type="dxa"/>
          </w:tcPr>
          <w:p w:rsidR="001756DA" w:rsidRPr="003F7F9C" w:rsidP="001756DA">
            <w:r w:rsidRPr="003F7F9C">
              <w:t>5.1. valsts pamatbudžets</w:t>
            </w:r>
          </w:p>
        </w:tc>
        <w:tc>
          <w:tcPr>
            <w:tcW w:w="1117" w:type="dxa"/>
            <w:vMerge/>
            <w:vAlign w:val="center"/>
          </w:tcPr>
          <w:p w:rsidR="001756DA" w:rsidRPr="003F7F9C" w:rsidP="001756DA">
            <w:pPr>
              <w:pStyle w:val="naisf"/>
              <w:spacing w:before="0" w:after="0"/>
              <w:ind w:firstLine="0"/>
              <w:jc w:val="center"/>
              <w:rPr>
                <w:i/>
              </w:rPr>
            </w:pPr>
          </w:p>
        </w:tc>
        <w:tc>
          <w:tcPr>
            <w:tcW w:w="1601" w:type="dxa"/>
            <w:vAlign w:val="center"/>
          </w:tcPr>
          <w:p w:rsidR="001756DA" w:rsidRPr="003F7F9C" w:rsidP="001756DA">
            <w:pPr>
              <w:pStyle w:val="naisf"/>
              <w:spacing w:before="0" w:after="0"/>
              <w:ind w:firstLine="0"/>
              <w:jc w:val="center"/>
            </w:pPr>
            <w:r w:rsidRPr="003F7F9C">
              <w:t>0</w:t>
            </w:r>
          </w:p>
        </w:tc>
        <w:tc>
          <w:tcPr>
            <w:tcW w:w="1698" w:type="dxa"/>
            <w:vAlign w:val="center"/>
          </w:tcPr>
          <w:p w:rsidR="001756DA" w:rsidRPr="003F7F9C" w:rsidP="001756DA">
            <w:pPr>
              <w:pStyle w:val="naisf"/>
              <w:spacing w:before="0" w:after="0"/>
              <w:ind w:firstLine="0"/>
              <w:jc w:val="center"/>
            </w:pPr>
            <w:r>
              <w:t>-6 141 011</w:t>
            </w:r>
          </w:p>
        </w:tc>
        <w:tc>
          <w:tcPr>
            <w:tcW w:w="1698" w:type="dxa"/>
            <w:vAlign w:val="center"/>
          </w:tcPr>
          <w:p w:rsidR="001756DA" w:rsidRPr="003F7F9C" w:rsidP="001756DA">
            <w:pPr>
              <w:pStyle w:val="naisf"/>
              <w:spacing w:before="0" w:after="0"/>
              <w:ind w:firstLine="0"/>
              <w:jc w:val="center"/>
            </w:pPr>
            <w:r>
              <w:t>-6 141 011</w:t>
            </w:r>
          </w:p>
        </w:tc>
        <w:tc>
          <w:tcPr>
            <w:tcW w:w="1698" w:type="dxa"/>
            <w:vAlign w:val="center"/>
          </w:tcPr>
          <w:p w:rsidR="001756DA" w:rsidRPr="003F7F9C" w:rsidP="001756DA">
            <w:pPr>
              <w:pStyle w:val="naisf"/>
              <w:spacing w:before="0" w:after="0"/>
              <w:ind w:firstLine="0"/>
              <w:jc w:val="center"/>
            </w:pPr>
            <w:r>
              <w:t>-6 141 011</w:t>
            </w:r>
          </w:p>
        </w:tc>
      </w:tr>
      <w:tr w:rsidTr="008B4C5F">
        <w:tblPrEx>
          <w:tblW w:w="10524" w:type="dxa"/>
          <w:jc w:val="center"/>
          <w:tblLook w:val="01E0"/>
        </w:tblPrEx>
        <w:trPr>
          <w:jc w:val="center"/>
        </w:trPr>
        <w:tc>
          <w:tcPr>
            <w:tcW w:w="2712" w:type="dxa"/>
            <w:tcBorders>
              <w:bottom w:val="single" w:sz="4" w:space="0" w:color="auto"/>
            </w:tcBorders>
          </w:tcPr>
          <w:p w:rsidR="001756DA" w:rsidRPr="003F7F9C" w:rsidP="001756DA">
            <w:r w:rsidRPr="003F7F9C">
              <w:t>5.2. speciālais budžets</w:t>
            </w:r>
          </w:p>
        </w:tc>
        <w:tc>
          <w:tcPr>
            <w:tcW w:w="1117" w:type="dxa"/>
            <w:vMerge/>
            <w:tcBorders>
              <w:bottom w:val="single" w:sz="4" w:space="0" w:color="auto"/>
            </w:tcBorders>
            <w:vAlign w:val="center"/>
          </w:tcPr>
          <w:p w:rsidR="001756DA" w:rsidRPr="003F7F9C" w:rsidP="001756DA">
            <w:pPr>
              <w:pStyle w:val="naisf"/>
              <w:spacing w:before="0" w:after="0"/>
              <w:ind w:firstLine="0"/>
              <w:jc w:val="center"/>
              <w:rPr>
                <w:i/>
              </w:rPr>
            </w:pPr>
          </w:p>
        </w:tc>
        <w:tc>
          <w:tcPr>
            <w:tcW w:w="1601" w:type="dxa"/>
            <w:tcBorders>
              <w:bottom w:val="single" w:sz="4" w:space="0" w:color="auto"/>
            </w:tcBorders>
            <w:vAlign w:val="center"/>
          </w:tcPr>
          <w:p w:rsidR="001756DA" w:rsidRPr="003F7F9C" w:rsidP="001756DA">
            <w:pPr>
              <w:pStyle w:val="naisf"/>
              <w:spacing w:before="0" w:after="0"/>
              <w:ind w:firstLine="0"/>
              <w:jc w:val="center"/>
            </w:pPr>
            <w:r w:rsidRPr="003F7F9C">
              <w:t>0</w:t>
            </w:r>
          </w:p>
        </w:tc>
        <w:tc>
          <w:tcPr>
            <w:tcW w:w="1698" w:type="dxa"/>
            <w:tcBorders>
              <w:bottom w:val="single" w:sz="4" w:space="0" w:color="auto"/>
            </w:tcBorders>
            <w:vAlign w:val="center"/>
          </w:tcPr>
          <w:p w:rsidR="001756DA" w:rsidRPr="003F7F9C" w:rsidP="001756DA">
            <w:pPr>
              <w:pStyle w:val="naisf"/>
              <w:spacing w:before="0" w:after="0"/>
              <w:ind w:firstLine="0"/>
              <w:jc w:val="center"/>
            </w:pPr>
            <w:r w:rsidRPr="003F7F9C">
              <w:t>0</w:t>
            </w:r>
          </w:p>
        </w:tc>
        <w:tc>
          <w:tcPr>
            <w:tcW w:w="1698" w:type="dxa"/>
            <w:tcBorders>
              <w:bottom w:val="single" w:sz="4" w:space="0" w:color="auto"/>
            </w:tcBorders>
            <w:vAlign w:val="center"/>
          </w:tcPr>
          <w:p w:rsidR="001756DA" w:rsidRPr="003F7F9C" w:rsidP="001756DA">
            <w:pPr>
              <w:pStyle w:val="naisf"/>
              <w:spacing w:before="0" w:after="0"/>
              <w:ind w:firstLine="0"/>
              <w:jc w:val="center"/>
            </w:pPr>
            <w:r w:rsidRPr="003F7F9C">
              <w:t>0</w:t>
            </w:r>
          </w:p>
        </w:tc>
        <w:tc>
          <w:tcPr>
            <w:tcW w:w="1698" w:type="dxa"/>
            <w:tcBorders>
              <w:bottom w:val="single" w:sz="4" w:space="0" w:color="auto"/>
            </w:tcBorders>
            <w:vAlign w:val="center"/>
          </w:tcPr>
          <w:p w:rsidR="001756DA" w:rsidRPr="003F7F9C" w:rsidP="001756DA">
            <w:pPr>
              <w:pStyle w:val="naisf"/>
              <w:spacing w:before="0" w:after="0"/>
              <w:ind w:firstLine="0"/>
              <w:jc w:val="center"/>
            </w:pPr>
            <w:r w:rsidRPr="003F7F9C">
              <w:t>0</w:t>
            </w:r>
          </w:p>
        </w:tc>
      </w:tr>
      <w:tr w:rsidTr="008B4C5F">
        <w:tblPrEx>
          <w:tblW w:w="10524" w:type="dxa"/>
          <w:jc w:val="center"/>
          <w:tblLook w:val="01E0"/>
        </w:tblPrEx>
        <w:trPr>
          <w:trHeight w:val="770"/>
          <w:jc w:val="center"/>
        </w:trPr>
        <w:tc>
          <w:tcPr>
            <w:tcW w:w="2712" w:type="dxa"/>
            <w:tcBorders>
              <w:top w:val="single" w:sz="4" w:space="0" w:color="auto"/>
              <w:left w:val="single" w:sz="4" w:space="0" w:color="auto"/>
              <w:bottom w:val="single" w:sz="4" w:space="0" w:color="auto"/>
              <w:right w:val="single" w:sz="4" w:space="0" w:color="auto"/>
            </w:tcBorders>
          </w:tcPr>
          <w:p w:rsidR="002E091D" w:rsidRPr="003F7F9C" w:rsidP="002E091D">
            <w:r w:rsidRPr="003F7F9C">
              <w:t xml:space="preserve">5.3. pašvaldību budžets </w:t>
            </w:r>
          </w:p>
        </w:tc>
        <w:tc>
          <w:tcPr>
            <w:tcW w:w="1117" w:type="dxa"/>
            <w:vMerge/>
            <w:tcBorders>
              <w:top w:val="single" w:sz="4" w:space="0" w:color="auto"/>
              <w:left w:val="single" w:sz="4" w:space="0" w:color="auto"/>
              <w:bottom w:val="single" w:sz="4" w:space="0" w:color="auto"/>
              <w:right w:val="single" w:sz="4" w:space="0" w:color="auto"/>
            </w:tcBorders>
            <w:vAlign w:val="center"/>
          </w:tcPr>
          <w:p w:rsidR="002E091D" w:rsidRPr="003F7F9C" w:rsidP="002E091D">
            <w:pPr>
              <w:pStyle w:val="naisf"/>
              <w:spacing w:before="0" w:after="0"/>
              <w:ind w:firstLine="0"/>
              <w:jc w:val="center"/>
              <w:rPr>
                <w:i/>
              </w:rPr>
            </w:pPr>
          </w:p>
        </w:tc>
        <w:tc>
          <w:tcPr>
            <w:tcW w:w="1601" w:type="dxa"/>
            <w:tcBorders>
              <w:top w:val="single" w:sz="4" w:space="0" w:color="auto"/>
              <w:left w:val="single" w:sz="4" w:space="0" w:color="auto"/>
              <w:bottom w:val="single" w:sz="4" w:space="0" w:color="auto"/>
              <w:right w:val="single" w:sz="4" w:space="0" w:color="auto"/>
            </w:tcBorders>
            <w:vAlign w:val="center"/>
          </w:tcPr>
          <w:p w:rsidR="002E091D" w:rsidRPr="003F7F9C" w:rsidP="002E091D">
            <w:pPr>
              <w:pStyle w:val="naisf"/>
              <w:spacing w:before="0" w:after="0"/>
              <w:ind w:firstLine="0"/>
              <w:jc w:val="center"/>
            </w:pPr>
            <w:r w:rsidRPr="003F7F9C">
              <w:t>0</w:t>
            </w:r>
          </w:p>
        </w:tc>
        <w:tc>
          <w:tcPr>
            <w:tcW w:w="1698" w:type="dxa"/>
            <w:tcBorders>
              <w:top w:val="single" w:sz="4" w:space="0" w:color="auto"/>
              <w:left w:val="single" w:sz="4" w:space="0" w:color="auto"/>
              <w:bottom w:val="single" w:sz="4" w:space="0" w:color="auto"/>
              <w:right w:val="single" w:sz="4" w:space="0" w:color="auto"/>
            </w:tcBorders>
            <w:vAlign w:val="center"/>
          </w:tcPr>
          <w:p w:rsidR="002E091D" w:rsidRPr="003F7F9C" w:rsidP="002E091D">
            <w:pPr>
              <w:pStyle w:val="naisf"/>
              <w:spacing w:before="0" w:after="0"/>
              <w:ind w:firstLine="0"/>
              <w:jc w:val="center"/>
            </w:pPr>
            <w:r w:rsidRPr="003F7F9C">
              <w:t>0</w:t>
            </w:r>
          </w:p>
        </w:tc>
        <w:tc>
          <w:tcPr>
            <w:tcW w:w="1698" w:type="dxa"/>
            <w:tcBorders>
              <w:top w:val="single" w:sz="4" w:space="0" w:color="auto"/>
              <w:left w:val="single" w:sz="4" w:space="0" w:color="auto"/>
              <w:bottom w:val="single" w:sz="4" w:space="0" w:color="auto"/>
              <w:right w:val="single" w:sz="4" w:space="0" w:color="auto"/>
            </w:tcBorders>
            <w:vAlign w:val="center"/>
          </w:tcPr>
          <w:p w:rsidR="002E091D" w:rsidRPr="003F7F9C" w:rsidP="002E091D">
            <w:pPr>
              <w:pStyle w:val="naisf"/>
              <w:spacing w:before="0" w:after="0"/>
              <w:ind w:firstLine="0"/>
              <w:jc w:val="center"/>
            </w:pPr>
            <w:r w:rsidRPr="003F7F9C">
              <w:t>0</w:t>
            </w:r>
          </w:p>
        </w:tc>
        <w:tc>
          <w:tcPr>
            <w:tcW w:w="1698" w:type="dxa"/>
            <w:tcBorders>
              <w:top w:val="single" w:sz="4" w:space="0" w:color="auto"/>
              <w:left w:val="single" w:sz="4" w:space="0" w:color="auto"/>
              <w:bottom w:val="single" w:sz="4" w:space="0" w:color="auto"/>
              <w:right w:val="single" w:sz="4" w:space="0" w:color="auto"/>
            </w:tcBorders>
            <w:vAlign w:val="center"/>
          </w:tcPr>
          <w:p w:rsidR="002E091D" w:rsidRPr="003F7F9C" w:rsidP="002E091D">
            <w:pPr>
              <w:pStyle w:val="naisf"/>
              <w:spacing w:before="0" w:after="0"/>
              <w:ind w:firstLine="0"/>
              <w:jc w:val="center"/>
            </w:pPr>
            <w:r w:rsidRPr="003F7F9C">
              <w:t>0</w:t>
            </w:r>
          </w:p>
        </w:tc>
      </w:tr>
      <w:tr w:rsidTr="008B4C5F">
        <w:tblPrEx>
          <w:tblW w:w="10524" w:type="dxa"/>
          <w:jc w:val="center"/>
          <w:tblLook w:val="01E0"/>
        </w:tblPrEx>
        <w:trPr>
          <w:trHeight w:val="3270"/>
          <w:jc w:val="center"/>
        </w:trPr>
        <w:tc>
          <w:tcPr>
            <w:tcW w:w="2712" w:type="dxa"/>
            <w:tcBorders>
              <w:top w:val="single" w:sz="4" w:space="0" w:color="auto"/>
              <w:left w:val="single" w:sz="4" w:space="0" w:color="auto"/>
              <w:bottom w:val="single" w:sz="4" w:space="0" w:color="auto"/>
              <w:right w:val="single" w:sz="4" w:space="0" w:color="auto"/>
            </w:tcBorders>
          </w:tcPr>
          <w:p w:rsidR="002E091D" w:rsidRPr="00E40B8E" w:rsidP="002E091D">
            <w:r w:rsidRPr="00E40B8E">
              <w:t>6. Detalizēts ieņēmumu un izdevu</w:t>
            </w:r>
            <w:r w:rsidRPr="00E40B8E">
              <w:softHyphen/>
              <w:t>mu aprēķins (ja nepieciešams, detalizētu ieņēmumu un izdevumu aprēķinu var pievienot anotācijas pielikumā):</w:t>
            </w:r>
          </w:p>
        </w:tc>
        <w:tc>
          <w:tcPr>
            <w:tcW w:w="7812" w:type="dxa"/>
            <w:gridSpan w:val="5"/>
            <w:vMerge w:val="restart"/>
            <w:tcBorders>
              <w:top w:val="single" w:sz="4" w:space="0" w:color="auto"/>
              <w:left w:val="single" w:sz="4" w:space="0" w:color="auto"/>
              <w:bottom w:val="single" w:sz="4" w:space="0" w:color="auto"/>
              <w:right w:val="single" w:sz="4" w:space="0" w:color="auto"/>
            </w:tcBorders>
            <w:vAlign w:val="center"/>
          </w:tcPr>
          <w:p w:rsidR="002E091D" w:rsidRPr="00E40B8E" w:rsidP="002E091D">
            <w:pPr>
              <w:widowControl w:val="0"/>
              <w:ind w:firstLine="298"/>
              <w:jc w:val="both"/>
              <w:rPr>
                <w:noProof/>
                <w:u w:val="single"/>
              </w:rPr>
            </w:pPr>
            <w:r w:rsidRPr="00E40B8E">
              <w:rPr>
                <w:noProof/>
                <w:u w:val="single"/>
              </w:rPr>
              <w:t>2017.gads atbilstoši likumam „Par valsts budžetu 2017.gadam” un ņemot vērā Finanšu ministrijas 06.01.2017. rīkojumu Nr.5, 24.02.2017. rīkojumu Nr.79, 27.03.2017. rīkojumu Nr.129, 11.04.2017. rīkojumu Nr.160, 14.07.2017. rīkojumu Nr.301, 11.09.2017. rīkojumu Nr.379, 13.10.2017. rīkojumu Nr.435 un 13.10.2017. rīkojumu Nr.436:</w:t>
            </w:r>
          </w:p>
          <w:p w:rsidR="002505E1" w:rsidRPr="00E40B8E" w:rsidP="002E091D">
            <w:pPr>
              <w:widowControl w:val="0"/>
              <w:ind w:firstLine="298"/>
              <w:jc w:val="both"/>
              <w:rPr>
                <w:noProof/>
                <w:u w:val="single"/>
              </w:rPr>
            </w:pPr>
          </w:p>
          <w:p w:rsidR="002505E1" w:rsidRPr="00E40B8E" w:rsidP="002505E1">
            <w:pPr>
              <w:widowControl w:val="0"/>
              <w:jc w:val="both"/>
              <w:rPr>
                <w:noProof/>
                <w:u w:val="single"/>
              </w:rPr>
            </w:pPr>
            <w:r w:rsidRPr="00E40B8E">
              <w:rPr>
                <w:noProof/>
                <w:u w:val="single"/>
              </w:rPr>
              <w:t>Veselības ministrijas budžeta programmas 02.00.00 “Medicīnas izglītība”:</w:t>
            </w:r>
          </w:p>
          <w:p w:rsidR="002505E1" w:rsidRPr="00E40B8E" w:rsidP="002505E1">
            <w:pPr>
              <w:widowControl w:val="0"/>
              <w:ind w:firstLine="209"/>
              <w:jc w:val="both"/>
              <w:rPr>
                <w:shd w:val="clear" w:color="auto" w:fill="FFFFFF"/>
                <w:lang w:bidi="lv-LV"/>
              </w:rPr>
            </w:pPr>
            <w:r w:rsidRPr="00E40B8E">
              <w:rPr>
                <w:shd w:val="clear" w:color="auto" w:fill="FFFFFF"/>
                <w:lang w:bidi="lv-LV"/>
              </w:rPr>
              <w:t>apakšprogrammā 02.04.00 „</w:t>
            </w:r>
            <w:r w:rsidRPr="00E40B8E">
              <w:t xml:space="preserve"> </w:t>
            </w:r>
            <w:r w:rsidRPr="00E40B8E">
              <w:rPr>
                <w:shd w:val="clear" w:color="auto" w:fill="FFFFFF"/>
                <w:lang w:bidi="lv-LV"/>
              </w:rPr>
              <w:t>Rezidentu apmācība”:</w:t>
            </w:r>
          </w:p>
          <w:p w:rsidR="002505E1" w:rsidRPr="00E40B8E" w:rsidP="002505E1">
            <w:pPr>
              <w:rPr>
                <w:noProof/>
              </w:rPr>
            </w:pPr>
            <w:r w:rsidRPr="00E40B8E">
              <w:rPr>
                <w:noProof/>
              </w:rPr>
              <w:t xml:space="preserve">Resursi izdevumu segšanai </w:t>
            </w:r>
            <w:r w:rsidRPr="00E40B8E">
              <w:rPr>
                <w:shd w:val="clear" w:color="auto" w:fill="FFFFFF"/>
                <w:lang w:bidi="lv-LV"/>
              </w:rPr>
              <w:t xml:space="preserve">9 740 963 </w:t>
            </w:r>
            <w:r w:rsidRPr="00E40B8E" w:rsidR="00B9441A">
              <w:rPr>
                <w:i/>
                <w:noProof/>
              </w:rPr>
              <w:t>euro</w:t>
            </w:r>
          </w:p>
          <w:p w:rsidR="002505E1" w:rsidRPr="00E40B8E" w:rsidP="002505E1">
            <w:pPr>
              <w:tabs>
                <w:tab w:val="right" w:pos="259"/>
              </w:tabs>
              <w:ind w:firstLine="298"/>
              <w:rPr>
                <w:noProof/>
              </w:rPr>
            </w:pPr>
            <w:r w:rsidRPr="00E40B8E">
              <w:rPr>
                <w:noProof/>
              </w:rPr>
              <w:t xml:space="preserve">Valsts budžeta transferti </w:t>
            </w:r>
            <w:r w:rsidRPr="00E40B8E">
              <w:rPr>
                <w:shd w:val="clear" w:color="auto" w:fill="FFFFFF"/>
                <w:lang w:bidi="lv-LV"/>
              </w:rPr>
              <w:t xml:space="preserve">2 416 </w:t>
            </w:r>
            <w:r w:rsidRPr="00E40B8E" w:rsidR="00B9441A">
              <w:rPr>
                <w:i/>
                <w:noProof/>
              </w:rPr>
              <w:t>euro</w:t>
            </w:r>
          </w:p>
          <w:p w:rsidR="002505E1" w:rsidRPr="00E40B8E" w:rsidP="002505E1">
            <w:pPr>
              <w:ind w:firstLine="259"/>
              <w:rPr>
                <w:noProof/>
              </w:rPr>
            </w:pPr>
            <w:r w:rsidRPr="00E40B8E">
              <w:rPr>
                <w:noProof/>
              </w:rPr>
              <w:t xml:space="preserve">Dotācija no vispārējiem ieņēmumiem </w:t>
            </w:r>
            <w:r w:rsidRPr="00E40B8E">
              <w:rPr>
                <w:shd w:val="clear" w:color="auto" w:fill="FFFFFF"/>
                <w:lang w:bidi="lv-LV"/>
              </w:rPr>
              <w:t xml:space="preserve">9 738 547 </w:t>
            </w:r>
            <w:r w:rsidRPr="00E40B8E" w:rsidR="00B9441A">
              <w:rPr>
                <w:i/>
                <w:noProof/>
              </w:rPr>
              <w:t>euro</w:t>
            </w:r>
            <w:r w:rsidRPr="00E40B8E">
              <w:rPr>
                <w:noProof/>
              </w:rPr>
              <w:t xml:space="preserve"> </w:t>
            </w:r>
          </w:p>
          <w:p w:rsidR="002505E1" w:rsidRPr="00E40B8E" w:rsidP="002505E1">
            <w:pPr>
              <w:rPr>
                <w:noProof/>
              </w:rPr>
            </w:pPr>
            <w:r w:rsidRPr="00E40B8E">
              <w:rPr>
                <w:noProof/>
              </w:rPr>
              <w:t xml:space="preserve">Izdevumi </w:t>
            </w:r>
            <w:r w:rsidRPr="00E40B8E">
              <w:rPr>
                <w:shd w:val="clear" w:color="auto" w:fill="FFFFFF"/>
                <w:lang w:bidi="lv-LV"/>
              </w:rPr>
              <w:t xml:space="preserve">9 740 963  </w:t>
            </w:r>
            <w:r w:rsidRPr="00E40B8E" w:rsidR="00B9441A">
              <w:rPr>
                <w:i/>
                <w:noProof/>
              </w:rPr>
              <w:t>euro</w:t>
            </w:r>
            <w:r w:rsidRPr="00E40B8E">
              <w:rPr>
                <w:noProof/>
              </w:rPr>
              <w:t>, tai skaitā:</w:t>
            </w:r>
          </w:p>
          <w:p w:rsidR="002505E1" w:rsidRPr="00E40B8E" w:rsidP="002505E1">
            <w:pPr>
              <w:ind w:firstLine="363"/>
              <w:rPr>
                <w:i/>
                <w:noProof/>
              </w:rPr>
            </w:pPr>
            <w:r w:rsidRPr="00E40B8E">
              <w:rPr>
                <w:noProof/>
              </w:rPr>
              <w:t xml:space="preserve">Atlīdzība 231 406 </w:t>
            </w:r>
            <w:r w:rsidRPr="00E40B8E" w:rsidR="00B9441A">
              <w:rPr>
                <w:i/>
                <w:noProof/>
              </w:rPr>
              <w:t>euro</w:t>
            </w:r>
          </w:p>
          <w:p w:rsidR="002505E1" w:rsidRPr="00E40B8E" w:rsidP="002505E1">
            <w:pPr>
              <w:ind w:firstLine="363"/>
              <w:rPr>
                <w:noProof/>
              </w:rPr>
            </w:pPr>
            <w:r w:rsidRPr="00E40B8E">
              <w:rPr>
                <w:noProof/>
              </w:rPr>
              <w:t xml:space="preserve">Preces un pakalpojumi 28 536 </w:t>
            </w:r>
            <w:r w:rsidRPr="00E40B8E" w:rsidR="00B9441A">
              <w:rPr>
                <w:i/>
                <w:noProof/>
              </w:rPr>
              <w:t>euro</w:t>
            </w:r>
          </w:p>
          <w:p w:rsidR="002505E1" w:rsidRPr="00E40B8E" w:rsidP="002505E1">
            <w:pPr>
              <w:ind w:left="411"/>
              <w:rPr>
                <w:i/>
                <w:noProof/>
              </w:rPr>
            </w:pPr>
            <w:r w:rsidRPr="00E40B8E">
              <w:rPr>
                <w:noProof/>
              </w:rPr>
              <w:t xml:space="preserve">Valsts budžeta transferti valsts budžeta daļēji finansētām atvasinātām publiskām personām un budžeta nefinansētām iestādēm noteiktam mērķim </w:t>
            </w:r>
            <w:r w:rsidRPr="00E40B8E">
              <w:rPr>
                <w:shd w:val="clear" w:color="auto" w:fill="FFFFFF"/>
                <w:lang w:bidi="lv-LV"/>
              </w:rPr>
              <w:t xml:space="preserve">9 481 021 </w:t>
            </w:r>
            <w:r w:rsidRPr="00E40B8E" w:rsidR="00B9441A">
              <w:rPr>
                <w:i/>
                <w:noProof/>
              </w:rPr>
              <w:t>euro</w:t>
            </w:r>
          </w:p>
          <w:p w:rsidR="002505E1" w:rsidRPr="00E40B8E" w:rsidP="002505E1">
            <w:pPr>
              <w:rPr>
                <w:noProof/>
              </w:rPr>
            </w:pPr>
          </w:p>
          <w:p w:rsidR="002E091D" w:rsidRPr="00E40B8E" w:rsidP="002E091D">
            <w:pPr>
              <w:widowControl w:val="0"/>
              <w:jc w:val="both"/>
              <w:rPr>
                <w:noProof/>
                <w:u w:val="single"/>
              </w:rPr>
            </w:pPr>
            <w:r w:rsidRPr="00E40B8E">
              <w:rPr>
                <w:noProof/>
                <w:u w:val="single"/>
              </w:rPr>
              <w:t>Veselības ministrijas (NVD) budžeta programmas 33.00.00:</w:t>
            </w:r>
          </w:p>
          <w:p w:rsidR="002E091D" w:rsidRPr="00E40B8E" w:rsidP="002E091D">
            <w:pPr>
              <w:widowControl w:val="0"/>
              <w:ind w:firstLine="209"/>
              <w:jc w:val="both"/>
              <w:rPr>
                <w:shd w:val="clear" w:color="auto" w:fill="FFFFFF"/>
                <w:lang w:bidi="lv-LV"/>
              </w:rPr>
            </w:pPr>
            <w:r w:rsidRPr="00E40B8E">
              <w:rPr>
                <w:shd w:val="clear" w:color="auto" w:fill="FFFFFF"/>
                <w:lang w:bidi="lv-LV"/>
              </w:rPr>
              <w:t>apakšprogrammā 33.14.00 „Primārās ambulatorās veselības aprūpes nodrošināšana”:</w:t>
            </w:r>
          </w:p>
          <w:p w:rsidR="002E091D" w:rsidRPr="00E40B8E" w:rsidP="002E091D">
            <w:pPr>
              <w:rPr>
                <w:noProof/>
              </w:rPr>
            </w:pPr>
            <w:r w:rsidRPr="00E40B8E">
              <w:rPr>
                <w:noProof/>
              </w:rPr>
              <w:t xml:space="preserve">Resursi izdevumu segšanai </w:t>
            </w:r>
            <w:r w:rsidRPr="00E40B8E">
              <w:rPr>
                <w:shd w:val="clear" w:color="auto" w:fill="FFFFFF"/>
                <w:lang w:bidi="lv-LV"/>
              </w:rPr>
              <w:t xml:space="preserve">87 486 883 </w:t>
            </w:r>
            <w:r w:rsidRPr="00E40B8E" w:rsidR="00B9441A">
              <w:rPr>
                <w:i/>
                <w:noProof/>
              </w:rPr>
              <w:t>euro</w:t>
            </w:r>
          </w:p>
          <w:p w:rsidR="002E091D" w:rsidRPr="00E40B8E" w:rsidP="002E091D">
            <w:pPr>
              <w:tabs>
                <w:tab w:val="right" w:pos="259"/>
              </w:tabs>
              <w:ind w:firstLine="298"/>
              <w:rPr>
                <w:noProof/>
              </w:rPr>
            </w:pPr>
            <w:r w:rsidRPr="00E40B8E">
              <w:rPr>
                <w:noProof/>
              </w:rPr>
              <w:t xml:space="preserve">Ieņēmumi no maksas pakalpojumiem </w:t>
            </w:r>
            <w:r w:rsidRPr="00E40B8E">
              <w:rPr>
                <w:shd w:val="clear" w:color="auto" w:fill="FFFFFF"/>
                <w:lang w:bidi="lv-LV"/>
              </w:rPr>
              <w:t xml:space="preserve">21 914 </w:t>
            </w:r>
            <w:r w:rsidRPr="00E40B8E" w:rsidR="00B9441A">
              <w:rPr>
                <w:i/>
                <w:noProof/>
              </w:rPr>
              <w:t>euro</w:t>
            </w:r>
          </w:p>
          <w:p w:rsidR="002E091D" w:rsidRPr="00E40B8E" w:rsidP="002E091D">
            <w:pPr>
              <w:ind w:firstLine="259"/>
              <w:rPr>
                <w:noProof/>
              </w:rPr>
            </w:pPr>
            <w:r w:rsidRPr="00E40B8E">
              <w:rPr>
                <w:noProof/>
              </w:rPr>
              <w:t xml:space="preserve">Dotācija no vispārējiem ieņēmumiem </w:t>
            </w:r>
            <w:r w:rsidRPr="00E40B8E">
              <w:rPr>
                <w:shd w:val="clear" w:color="auto" w:fill="FFFFFF"/>
                <w:lang w:bidi="lv-LV"/>
              </w:rPr>
              <w:t xml:space="preserve">87 464 969 </w:t>
            </w:r>
            <w:r w:rsidRPr="00E40B8E" w:rsidR="00B9441A">
              <w:rPr>
                <w:i/>
                <w:noProof/>
              </w:rPr>
              <w:t>euro</w:t>
            </w:r>
            <w:r w:rsidRPr="00E40B8E">
              <w:rPr>
                <w:noProof/>
              </w:rPr>
              <w:t xml:space="preserve"> </w:t>
            </w:r>
          </w:p>
          <w:p w:rsidR="002E091D" w:rsidRPr="00E40B8E" w:rsidP="002E091D">
            <w:pPr>
              <w:rPr>
                <w:noProof/>
              </w:rPr>
            </w:pPr>
            <w:r w:rsidRPr="00E40B8E">
              <w:rPr>
                <w:noProof/>
              </w:rPr>
              <w:t xml:space="preserve">Izdevumi </w:t>
            </w:r>
            <w:r w:rsidRPr="00E40B8E">
              <w:rPr>
                <w:shd w:val="clear" w:color="auto" w:fill="FFFFFF"/>
                <w:lang w:bidi="lv-LV"/>
              </w:rPr>
              <w:t xml:space="preserve">87 486 883  </w:t>
            </w:r>
            <w:r w:rsidRPr="00E40B8E" w:rsidR="00B9441A">
              <w:rPr>
                <w:i/>
                <w:noProof/>
              </w:rPr>
              <w:t>euro</w:t>
            </w:r>
            <w:r w:rsidRPr="00E40B8E">
              <w:rPr>
                <w:noProof/>
              </w:rPr>
              <w:t>, tai skaitā:</w:t>
            </w:r>
          </w:p>
          <w:p w:rsidR="002E091D" w:rsidRPr="00E40B8E" w:rsidP="002E091D">
            <w:pPr>
              <w:ind w:firstLine="259"/>
              <w:rPr>
                <w:noProof/>
              </w:rPr>
            </w:pPr>
            <w:r w:rsidRPr="00E40B8E">
              <w:rPr>
                <w:noProof/>
              </w:rPr>
              <w:t xml:space="preserve">Subsīdijas un dotācijas </w:t>
            </w:r>
            <w:r w:rsidRPr="00E40B8E">
              <w:rPr>
                <w:shd w:val="clear" w:color="auto" w:fill="FFFFFF"/>
                <w:lang w:bidi="lv-LV"/>
              </w:rPr>
              <w:t xml:space="preserve">86 320 314 </w:t>
            </w:r>
            <w:r w:rsidRPr="00E40B8E" w:rsidR="00B9441A">
              <w:rPr>
                <w:i/>
                <w:noProof/>
              </w:rPr>
              <w:t>euro</w:t>
            </w:r>
          </w:p>
          <w:p w:rsidR="002E091D" w:rsidP="002E091D">
            <w:pPr>
              <w:ind w:firstLine="259"/>
              <w:rPr>
                <w:i/>
                <w:noProof/>
              </w:rPr>
            </w:pPr>
            <w:r w:rsidRPr="00E40B8E">
              <w:rPr>
                <w:noProof/>
              </w:rPr>
              <w:t xml:space="preserve">Uzturēšanas izdevumu transferti </w:t>
            </w:r>
            <w:r w:rsidRPr="00E40B8E">
              <w:rPr>
                <w:shd w:val="clear" w:color="auto" w:fill="FFFFFF"/>
                <w:lang w:bidi="lv-LV"/>
              </w:rPr>
              <w:t xml:space="preserve">1 166 569 </w:t>
            </w:r>
            <w:r w:rsidRPr="00E40B8E" w:rsidR="00B9441A">
              <w:rPr>
                <w:i/>
                <w:noProof/>
              </w:rPr>
              <w:t>euro</w:t>
            </w:r>
          </w:p>
          <w:p w:rsidR="007F54FA" w:rsidP="002E091D">
            <w:pPr>
              <w:ind w:firstLine="259"/>
              <w:rPr>
                <w:i/>
                <w:noProof/>
              </w:rPr>
            </w:pPr>
          </w:p>
          <w:p w:rsidR="007F54FA" w:rsidRPr="00E40B8E" w:rsidP="007F54FA">
            <w:pPr>
              <w:widowControl w:val="0"/>
              <w:ind w:firstLine="209"/>
              <w:jc w:val="both"/>
              <w:rPr>
                <w:shd w:val="clear" w:color="auto" w:fill="FFFFFF"/>
                <w:lang w:bidi="lv-LV"/>
              </w:rPr>
            </w:pPr>
            <w:r w:rsidRPr="00E40B8E">
              <w:rPr>
                <w:shd w:val="clear" w:color="auto" w:fill="FFFFFF"/>
                <w:lang w:bidi="lv-LV"/>
              </w:rPr>
              <w:t>apakšprogrammā 33.15.00 „Laboratorisko izmeklējumu nodrošināšana ambulatorajā aprūpē”:</w:t>
            </w:r>
          </w:p>
          <w:p w:rsidR="007F54FA" w:rsidRPr="00E40B8E" w:rsidP="007F54FA">
            <w:pPr>
              <w:rPr>
                <w:noProof/>
              </w:rPr>
            </w:pPr>
            <w:r w:rsidRPr="00E40B8E">
              <w:rPr>
                <w:noProof/>
              </w:rPr>
              <w:t xml:space="preserve">Resursi izdevumu segšanai </w:t>
            </w:r>
            <w:r w:rsidRPr="00E40B8E">
              <w:rPr>
                <w:shd w:val="clear" w:color="auto" w:fill="FFFFFF"/>
                <w:lang w:bidi="lv-LV"/>
              </w:rPr>
              <w:t xml:space="preserve">25 160 356 </w:t>
            </w:r>
            <w:r w:rsidRPr="00E40B8E">
              <w:rPr>
                <w:i/>
                <w:noProof/>
              </w:rPr>
              <w:t>euro</w:t>
            </w:r>
          </w:p>
          <w:p w:rsidR="007F54FA" w:rsidRPr="00E40B8E" w:rsidP="007F54FA">
            <w:pPr>
              <w:tabs>
                <w:tab w:val="right" w:pos="259"/>
              </w:tabs>
              <w:ind w:firstLine="298"/>
              <w:rPr>
                <w:noProof/>
              </w:rPr>
            </w:pPr>
            <w:r w:rsidRPr="00E40B8E">
              <w:rPr>
                <w:noProof/>
              </w:rPr>
              <w:t xml:space="preserve">Ieņēmumi no maksas pakalpojumiem </w:t>
            </w:r>
            <w:r w:rsidRPr="00E40B8E">
              <w:rPr>
                <w:shd w:val="clear" w:color="auto" w:fill="FFFFFF"/>
                <w:lang w:bidi="lv-LV"/>
              </w:rPr>
              <w:t xml:space="preserve">1 620 </w:t>
            </w:r>
            <w:r w:rsidRPr="00E40B8E">
              <w:rPr>
                <w:i/>
                <w:noProof/>
              </w:rPr>
              <w:t>euro</w:t>
            </w:r>
          </w:p>
          <w:p w:rsidR="007F54FA" w:rsidRPr="00E40B8E" w:rsidP="007F54FA">
            <w:pPr>
              <w:ind w:firstLine="259"/>
              <w:rPr>
                <w:noProof/>
              </w:rPr>
            </w:pPr>
            <w:r w:rsidRPr="00E40B8E">
              <w:rPr>
                <w:noProof/>
              </w:rPr>
              <w:t xml:space="preserve">Dotācija no vispārējiem ieņēmumiem </w:t>
            </w:r>
            <w:r w:rsidRPr="00E40B8E">
              <w:rPr>
                <w:shd w:val="clear" w:color="auto" w:fill="FFFFFF"/>
                <w:lang w:bidi="lv-LV"/>
              </w:rPr>
              <w:t xml:space="preserve">25 158 736 </w:t>
            </w:r>
            <w:r w:rsidRPr="00E40B8E">
              <w:rPr>
                <w:i/>
                <w:noProof/>
              </w:rPr>
              <w:t>euro</w:t>
            </w:r>
            <w:r w:rsidRPr="00E40B8E">
              <w:rPr>
                <w:noProof/>
              </w:rPr>
              <w:t xml:space="preserve"> </w:t>
            </w:r>
          </w:p>
          <w:p w:rsidR="007F54FA" w:rsidRPr="00E40B8E" w:rsidP="007F54FA">
            <w:pPr>
              <w:rPr>
                <w:noProof/>
              </w:rPr>
            </w:pPr>
            <w:r w:rsidRPr="00E40B8E">
              <w:rPr>
                <w:noProof/>
              </w:rPr>
              <w:t xml:space="preserve">Izdevumi </w:t>
            </w:r>
            <w:r w:rsidRPr="00E40B8E">
              <w:rPr>
                <w:shd w:val="clear" w:color="auto" w:fill="FFFFFF"/>
                <w:lang w:bidi="lv-LV"/>
              </w:rPr>
              <w:t xml:space="preserve">25 160 356  </w:t>
            </w:r>
            <w:r w:rsidRPr="00E40B8E">
              <w:rPr>
                <w:i/>
                <w:noProof/>
              </w:rPr>
              <w:t>euro</w:t>
            </w:r>
            <w:r w:rsidRPr="00E40B8E">
              <w:rPr>
                <w:noProof/>
              </w:rPr>
              <w:t>, tai skaitā:</w:t>
            </w:r>
          </w:p>
          <w:p w:rsidR="007F54FA" w:rsidRPr="00E40B8E" w:rsidP="007F54FA">
            <w:pPr>
              <w:ind w:firstLine="259"/>
              <w:rPr>
                <w:noProof/>
              </w:rPr>
            </w:pPr>
            <w:r w:rsidRPr="00E40B8E">
              <w:rPr>
                <w:noProof/>
              </w:rPr>
              <w:t xml:space="preserve">Subsīdijas un dotācijas </w:t>
            </w:r>
            <w:r w:rsidRPr="00E40B8E">
              <w:rPr>
                <w:shd w:val="clear" w:color="auto" w:fill="FFFFFF"/>
                <w:lang w:bidi="lv-LV"/>
              </w:rPr>
              <w:t xml:space="preserve">25 147 461 </w:t>
            </w:r>
            <w:r w:rsidRPr="00E40B8E">
              <w:rPr>
                <w:i/>
                <w:noProof/>
              </w:rPr>
              <w:t>euro</w:t>
            </w:r>
          </w:p>
          <w:p w:rsidR="007F54FA" w:rsidRPr="00E40B8E" w:rsidP="007F54FA">
            <w:pPr>
              <w:ind w:firstLine="259"/>
              <w:rPr>
                <w:i/>
                <w:noProof/>
              </w:rPr>
            </w:pPr>
            <w:r w:rsidRPr="00E40B8E">
              <w:rPr>
                <w:noProof/>
              </w:rPr>
              <w:t xml:space="preserve">Uzturēšanas izdevumu transferti </w:t>
            </w:r>
            <w:r w:rsidRPr="00E40B8E">
              <w:rPr>
                <w:shd w:val="clear" w:color="auto" w:fill="FFFFFF"/>
                <w:lang w:bidi="lv-LV"/>
              </w:rPr>
              <w:t xml:space="preserve">12 895 </w:t>
            </w:r>
            <w:r w:rsidRPr="00E40B8E">
              <w:rPr>
                <w:i/>
                <w:noProof/>
              </w:rPr>
              <w:t>euro</w:t>
            </w:r>
          </w:p>
          <w:p w:rsidR="002E091D" w:rsidRPr="00E40B8E" w:rsidP="00661137">
            <w:pPr>
              <w:rPr>
                <w:noProof/>
              </w:rPr>
            </w:pPr>
          </w:p>
          <w:p w:rsidR="002E091D" w:rsidRPr="00E40B8E" w:rsidP="002E091D">
            <w:pPr>
              <w:widowControl w:val="0"/>
              <w:ind w:firstLine="209"/>
              <w:jc w:val="both"/>
              <w:rPr>
                <w:shd w:val="clear" w:color="auto" w:fill="FFFFFF"/>
                <w:lang w:bidi="lv-LV"/>
              </w:rPr>
            </w:pPr>
            <w:r w:rsidRPr="00E40B8E">
              <w:rPr>
                <w:shd w:val="clear" w:color="auto" w:fill="FFFFFF"/>
                <w:lang w:bidi="lv-LV"/>
              </w:rPr>
              <w:t>apakšprogrammā 33.16.00 „Pārējo ambulatoro veselības aprūpes pakalpojumu nodrošināšana”:</w:t>
            </w:r>
          </w:p>
          <w:p w:rsidR="002E091D" w:rsidRPr="00E40B8E" w:rsidP="002E091D">
            <w:pPr>
              <w:rPr>
                <w:noProof/>
              </w:rPr>
            </w:pPr>
            <w:r w:rsidRPr="00E40B8E">
              <w:rPr>
                <w:noProof/>
              </w:rPr>
              <w:t xml:space="preserve">Resursi izdevumu segšanai </w:t>
            </w:r>
            <w:r w:rsidRPr="00E40B8E">
              <w:rPr>
                <w:shd w:val="clear" w:color="auto" w:fill="FFFFFF"/>
                <w:lang w:bidi="lv-LV"/>
              </w:rPr>
              <w:t xml:space="preserve">176 565 747 </w:t>
            </w:r>
            <w:r w:rsidRPr="00E40B8E" w:rsidR="00B9441A">
              <w:rPr>
                <w:i/>
                <w:noProof/>
              </w:rPr>
              <w:t>euro</w:t>
            </w:r>
          </w:p>
          <w:p w:rsidR="002E091D" w:rsidRPr="00E40B8E" w:rsidP="002E091D">
            <w:pPr>
              <w:tabs>
                <w:tab w:val="right" w:pos="259"/>
              </w:tabs>
              <w:ind w:firstLine="298"/>
              <w:rPr>
                <w:noProof/>
              </w:rPr>
            </w:pPr>
            <w:r w:rsidRPr="00E40B8E">
              <w:rPr>
                <w:noProof/>
              </w:rPr>
              <w:t xml:space="preserve">Ieņēmumi no maksas pakalpojumiem </w:t>
            </w:r>
            <w:r w:rsidRPr="00E40B8E">
              <w:rPr>
                <w:shd w:val="clear" w:color="auto" w:fill="FFFFFF"/>
                <w:lang w:bidi="lv-LV"/>
              </w:rPr>
              <w:t xml:space="preserve">25 052 </w:t>
            </w:r>
            <w:r w:rsidRPr="00E40B8E" w:rsidR="00B9441A">
              <w:rPr>
                <w:i/>
                <w:noProof/>
              </w:rPr>
              <w:t>euro</w:t>
            </w:r>
          </w:p>
          <w:p w:rsidR="002E091D" w:rsidRPr="00E40B8E" w:rsidP="002E091D">
            <w:pPr>
              <w:ind w:firstLine="259"/>
              <w:rPr>
                <w:noProof/>
              </w:rPr>
            </w:pPr>
            <w:r w:rsidRPr="00E40B8E">
              <w:rPr>
                <w:noProof/>
              </w:rPr>
              <w:t xml:space="preserve">Dotācija no vispārējiem ieņēmumiem </w:t>
            </w:r>
            <w:r w:rsidRPr="00E40B8E">
              <w:rPr>
                <w:shd w:val="clear" w:color="auto" w:fill="FFFFFF"/>
                <w:lang w:bidi="lv-LV"/>
              </w:rPr>
              <w:t xml:space="preserve">176 540 695 </w:t>
            </w:r>
            <w:r w:rsidRPr="00E40B8E" w:rsidR="00B9441A">
              <w:rPr>
                <w:i/>
                <w:noProof/>
              </w:rPr>
              <w:t>euro</w:t>
            </w:r>
            <w:r w:rsidRPr="00E40B8E">
              <w:rPr>
                <w:noProof/>
              </w:rPr>
              <w:t xml:space="preserve"> </w:t>
            </w:r>
          </w:p>
          <w:p w:rsidR="002E091D" w:rsidRPr="00E40B8E" w:rsidP="002E091D">
            <w:pPr>
              <w:rPr>
                <w:noProof/>
              </w:rPr>
            </w:pPr>
            <w:r w:rsidRPr="00E40B8E">
              <w:rPr>
                <w:noProof/>
              </w:rPr>
              <w:t xml:space="preserve">Izdevumi </w:t>
            </w:r>
            <w:r w:rsidRPr="00E40B8E">
              <w:rPr>
                <w:shd w:val="clear" w:color="auto" w:fill="FFFFFF"/>
                <w:lang w:bidi="lv-LV"/>
              </w:rPr>
              <w:t xml:space="preserve">176 565 747  </w:t>
            </w:r>
            <w:r w:rsidRPr="00E40B8E" w:rsidR="00B9441A">
              <w:rPr>
                <w:i/>
                <w:noProof/>
              </w:rPr>
              <w:t>euro</w:t>
            </w:r>
            <w:r w:rsidRPr="00E40B8E">
              <w:rPr>
                <w:noProof/>
              </w:rPr>
              <w:t>, tai skaitā:</w:t>
            </w:r>
          </w:p>
          <w:p w:rsidR="002E091D" w:rsidRPr="00E40B8E" w:rsidP="002E091D">
            <w:pPr>
              <w:ind w:firstLine="259"/>
              <w:rPr>
                <w:noProof/>
              </w:rPr>
            </w:pPr>
            <w:r w:rsidRPr="00E40B8E">
              <w:rPr>
                <w:noProof/>
              </w:rPr>
              <w:t xml:space="preserve">Subsīdijas un dotācijas </w:t>
            </w:r>
            <w:r w:rsidRPr="00E40B8E">
              <w:rPr>
                <w:shd w:val="clear" w:color="auto" w:fill="FFFFFF"/>
                <w:lang w:bidi="lv-LV"/>
              </w:rPr>
              <w:t xml:space="preserve">175 951 471 </w:t>
            </w:r>
            <w:r w:rsidRPr="00E40B8E" w:rsidR="00B9441A">
              <w:rPr>
                <w:i/>
                <w:noProof/>
              </w:rPr>
              <w:t>euro</w:t>
            </w:r>
          </w:p>
          <w:p w:rsidR="002E091D" w:rsidRPr="00E40B8E" w:rsidP="002E091D">
            <w:pPr>
              <w:ind w:firstLine="259"/>
              <w:rPr>
                <w:i/>
                <w:noProof/>
              </w:rPr>
            </w:pPr>
            <w:r w:rsidRPr="00E40B8E">
              <w:rPr>
                <w:noProof/>
              </w:rPr>
              <w:t xml:space="preserve">Uzturēšanas izdevumu transferti </w:t>
            </w:r>
            <w:r w:rsidRPr="00E40B8E">
              <w:rPr>
                <w:shd w:val="clear" w:color="auto" w:fill="FFFFFF"/>
                <w:lang w:bidi="lv-LV"/>
              </w:rPr>
              <w:t xml:space="preserve">614 276 </w:t>
            </w:r>
            <w:r w:rsidRPr="00E40B8E" w:rsidR="00B9441A">
              <w:rPr>
                <w:i/>
                <w:noProof/>
              </w:rPr>
              <w:t>euro</w:t>
            </w:r>
          </w:p>
          <w:p w:rsidR="002E091D" w:rsidRPr="00E40B8E" w:rsidP="002E091D">
            <w:pPr>
              <w:rPr>
                <w:noProof/>
              </w:rPr>
            </w:pPr>
          </w:p>
          <w:p w:rsidR="002E091D" w:rsidRPr="00E40B8E" w:rsidP="002E091D">
            <w:pPr>
              <w:widowControl w:val="0"/>
              <w:ind w:firstLine="209"/>
              <w:jc w:val="both"/>
              <w:rPr>
                <w:shd w:val="clear" w:color="auto" w:fill="FFFFFF"/>
                <w:lang w:bidi="lv-LV"/>
              </w:rPr>
            </w:pPr>
            <w:r w:rsidRPr="00990C60">
              <w:rPr>
                <w:shd w:val="clear" w:color="auto" w:fill="FFFFFF"/>
                <w:lang w:bidi="lv-LV"/>
              </w:rPr>
              <w:t>apakšprogrammā 33.17.00 „Neatliekamās medicīniskās palīdzības nodrošināšana stacionārās ārstniecības iestādēs”:</w:t>
            </w:r>
          </w:p>
          <w:p w:rsidR="002E091D" w:rsidRPr="00E40B8E" w:rsidP="002E091D">
            <w:pPr>
              <w:rPr>
                <w:i/>
                <w:noProof/>
              </w:rPr>
            </w:pPr>
            <w:r w:rsidRPr="00E40B8E">
              <w:rPr>
                <w:noProof/>
              </w:rPr>
              <w:t xml:space="preserve">Resursi izdevumu segšanai </w:t>
            </w:r>
            <w:r w:rsidRPr="00E40B8E">
              <w:rPr>
                <w:shd w:val="clear" w:color="auto" w:fill="FFFFFF"/>
                <w:lang w:bidi="lv-LV"/>
              </w:rPr>
              <w:t xml:space="preserve">181 550 420 </w:t>
            </w:r>
            <w:r w:rsidRPr="00E40B8E" w:rsidR="00B9441A">
              <w:rPr>
                <w:i/>
                <w:noProof/>
              </w:rPr>
              <w:t>euro</w:t>
            </w:r>
          </w:p>
          <w:p w:rsidR="002E091D" w:rsidRPr="00E40B8E" w:rsidP="002E091D">
            <w:pPr>
              <w:tabs>
                <w:tab w:val="right" w:pos="259"/>
              </w:tabs>
              <w:ind w:firstLine="298"/>
              <w:rPr>
                <w:noProof/>
              </w:rPr>
            </w:pPr>
            <w:r w:rsidRPr="00E40B8E">
              <w:rPr>
                <w:noProof/>
              </w:rPr>
              <w:t xml:space="preserve">Ieņēmumi no maksas pakalpojumiem </w:t>
            </w:r>
            <w:r w:rsidRPr="00E40B8E">
              <w:rPr>
                <w:shd w:val="clear" w:color="auto" w:fill="FFFFFF"/>
                <w:lang w:bidi="lv-LV"/>
              </w:rPr>
              <w:t xml:space="preserve">1 038 488 </w:t>
            </w:r>
            <w:r w:rsidRPr="00E40B8E" w:rsidR="00B9441A">
              <w:rPr>
                <w:i/>
                <w:noProof/>
              </w:rPr>
              <w:t>euro</w:t>
            </w:r>
          </w:p>
          <w:p w:rsidR="002E091D" w:rsidRPr="00E40B8E" w:rsidP="002E091D">
            <w:pPr>
              <w:ind w:firstLine="259"/>
              <w:rPr>
                <w:noProof/>
              </w:rPr>
            </w:pPr>
            <w:r w:rsidRPr="00E40B8E">
              <w:rPr>
                <w:noProof/>
              </w:rPr>
              <w:t xml:space="preserve">Dotācija no vispārējiem ieņēmumiem </w:t>
            </w:r>
            <w:r w:rsidRPr="00E40B8E">
              <w:rPr>
                <w:shd w:val="clear" w:color="auto" w:fill="FFFFFF"/>
                <w:lang w:bidi="lv-LV"/>
              </w:rPr>
              <w:t xml:space="preserve"> 180 511 932 </w:t>
            </w:r>
            <w:r w:rsidRPr="00E40B8E" w:rsidR="00B9441A">
              <w:rPr>
                <w:i/>
                <w:noProof/>
              </w:rPr>
              <w:t>euro</w:t>
            </w:r>
            <w:r w:rsidRPr="00E40B8E">
              <w:rPr>
                <w:noProof/>
              </w:rPr>
              <w:t xml:space="preserve"> </w:t>
            </w:r>
          </w:p>
          <w:p w:rsidR="002E091D" w:rsidRPr="00E40B8E" w:rsidP="002E091D">
            <w:pPr>
              <w:rPr>
                <w:noProof/>
              </w:rPr>
            </w:pPr>
            <w:r w:rsidRPr="00E40B8E">
              <w:rPr>
                <w:noProof/>
              </w:rPr>
              <w:t xml:space="preserve">Izdevumi </w:t>
            </w:r>
            <w:r w:rsidR="00FC4BF6">
              <w:rPr>
                <w:shd w:val="clear" w:color="auto" w:fill="FFFFFF"/>
                <w:lang w:bidi="lv-LV"/>
              </w:rPr>
              <w:t>165 150 420</w:t>
            </w:r>
            <w:r w:rsidRPr="00E40B8E">
              <w:rPr>
                <w:shd w:val="clear" w:color="auto" w:fill="FFFFFF"/>
                <w:lang w:bidi="lv-LV"/>
              </w:rPr>
              <w:t xml:space="preserve"> </w:t>
            </w:r>
            <w:r w:rsidRPr="00E40B8E" w:rsidR="00B9441A">
              <w:rPr>
                <w:i/>
                <w:noProof/>
              </w:rPr>
              <w:t>euro</w:t>
            </w:r>
            <w:r w:rsidRPr="00E40B8E">
              <w:rPr>
                <w:noProof/>
              </w:rPr>
              <w:t>, tai skaitā:</w:t>
            </w:r>
          </w:p>
          <w:p w:rsidR="002E091D" w:rsidRPr="00E40B8E" w:rsidP="002E091D">
            <w:pPr>
              <w:ind w:firstLine="259"/>
              <w:rPr>
                <w:i/>
                <w:noProof/>
              </w:rPr>
            </w:pPr>
            <w:r w:rsidRPr="00E40B8E">
              <w:rPr>
                <w:noProof/>
              </w:rPr>
              <w:t xml:space="preserve">Subsīdijas un dotācijas </w:t>
            </w:r>
            <w:r w:rsidRPr="00E40B8E">
              <w:rPr>
                <w:shd w:val="clear" w:color="auto" w:fill="FFFFFF"/>
                <w:lang w:bidi="lv-LV"/>
              </w:rPr>
              <w:t xml:space="preserve">165 150 420 </w:t>
            </w:r>
            <w:r w:rsidRPr="00E40B8E" w:rsidR="00B9441A">
              <w:rPr>
                <w:i/>
                <w:noProof/>
              </w:rPr>
              <w:t>euro</w:t>
            </w:r>
          </w:p>
          <w:p w:rsidR="002E091D" w:rsidRPr="00E40B8E" w:rsidP="002E091D">
            <w:pPr>
              <w:rPr>
                <w:noProof/>
              </w:rPr>
            </w:pPr>
            <w:r w:rsidRPr="00E40B8E">
              <w:rPr>
                <w:noProof/>
              </w:rPr>
              <w:t>Finansiālā bilance 16 400 000</w:t>
            </w:r>
          </w:p>
          <w:p w:rsidR="002E091D" w:rsidRPr="00E40B8E" w:rsidP="002E091D">
            <w:pPr>
              <w:ind w:firstLine="298"/>
              <w:rPr>
                <w:noProof/>
              </w:rPr>
            </w:pPr>
            <w:r w:rsidRPr="00E40B8E">
              <w:rPr>
                <w:noProof/>
              </w:rPr>
              <w:t>Akcijas un cita līdzdalība pašu kapitālā -16 400 000</w:t>
            </w:r>
          </w:p>
          <w:p w:rsidR="002E091D" w:rsidRPr="00E40B8E" w:rsidP="002E091D">
            <w:pPr>
              <w:rPr>
                <w:noProof/>
              </w:rPr>
            </w:pPr>
          </w:p>
          <w:p w:rsidR="002E091D" w:rsidRPr="00E40B8E" w:rsidP="002E091D">
            <w:pPr>
              <w:widowControl w:val="0"/>
              <w:ind w:firstLine="209"/>
              <w:jc w:val="both"/>
              <w:rPr>
                <w:shd w:val="clear" w:color="auto" w:fill="FFFFFF"/>
                <w:lang w:bidi="lv-LV"/>
              </w:rPr>
            </w:pPr>
            <w:r w:rsidRPr="00E40B8E">
              <w:rPr>
                <w:shd w:val="clear" w:color="auto" w:fill="FFFFFF"/>
                <w:lang w:bidi="lv-LV"/>
              </w:rPr>
              <w:t>apakšprogrammā 33.18.00 „Plānveida stacionāro veselības aprūpes pakalpojumu nodrošināšana”:</w:t>
            </w:r>
          </w:p>
          <w:p w:rsidR="002E091D" w:rsidRPr="00E40B8E" w:rsidP="002E091D">
            <w:pPr>
              <w:rPr>
                <w:noProof/>
              </w:rPr>
            </w:pPr>
            <w:r w:rsidRPr="00E40B8E">
              <w:rPr>
                <w:noProof/>
              </w:rPr>
              <w:t xml:space="preserve">Resursi izdevumu segšanai </w:t>
            </w:r>
            <w:r w:rsidRPr="00E40B8E">
              <w:rPr>
                <w:shd w:val="clear" w:color="auto" w:fill="FFFFFF"/>
                <w:lang w:bidi="lv-LV"/>
              </w:rPr>
              <w:t xml:space="preserve">101 047 939 </w:t>
            </w:r>
            <w:r w:rsidRPr="00E40B8E" w:rsidR="00B9441A">
              <w:rPr>
                <w:i/>
                <w:noProof/>
              </w:rPr>
              <w:t>euro</w:t>
            </w:r>
          </w:p>
          <w:p w:rsidR="002E091D" w:rsidRPr="00E40B8E" w:rsidP="002E091D">
            <w:pPr>
              <w:ind w:firstLine="259"/>
              <w:rPr>
                <w:noProof/>
              </w:rPr>
            </w:pPr>
            <w:r w:rsidRPr="00E40B8E">
              <w:rPr>
                <w:noProof/>
              </w:rPr>
              <w:t xml:space="preserve">dotācija no vispārējiem ieņēmumiem </w:t>
            </w:r>
            <w:r w:rsidRPr="00E40B8E">
              <w:rPr>
                <w:shd w:val="clear" w:color="auto" w:fill="FFFFFF"/>
                <w:lang w:bidi="lv-LV"/>
              </w:rPr>
              <w:t xml:space="preserve"> 101 047 939 </w:t>
            </w:r>
            <w:r w:rsidRPr="00E40B8E" w:rsidR="00B9441A">
              <w:rPr>
                <w:i/>
                <w:noProof/>
              </w:rPr>
              <w:t>euro</w:t>
            </w:r>
            <w:r w:rsidRPr="00E40B8E">
              <w:rPr>
                <w:noProof/>
              </w:rPr>
              <w:t xml:space="preserve"> </w:t>
            </w:r>
          </w:p>
          <w:p w:rsidR="002E091D" w:rsidRPr="00E40B8E" w:rsidP="002E091D">
            <w:pPr>
              <w:rPr>
                <w:noProof/>
              </w:rPr>
            </w:pPr>
            <w:r w:rsidRPr="00E40B8E">
              <w:rPr>
                <w:noProof/>
              </w:rPr>
              <w:t xml:space="preserve">Izdevumi </w:t>
            </w:r>
            <w:r w:rsidRPr="00E40B8E">
              <w:rPr>
                <w:shd w:val="clear" w:color="auto" w:fill="FFFFFF"/>
                <w:lang w:bidi="lv-LV"/>
              </w:rPr>
              <w:t xml:space="preserve">101 047 939 </w:t>
            </w:r>
            <w:r w:rsidRPr="00E40B8E" w:rsidR="00B9441A">
              <w:rPr>
                <w:i/>
                <w:noProof/>
              </w:rPr>
              <w:t>euro</w:t>
            </w:r>
            <w:r w:rsidRPr="00E40B8E">
              <w:rPr>
                <w:noProof/>
              </w:rPr>
              <w:t>, tai skaitā:</w:t>
            </w:r>
          </w:p>
          <w:p w:rsidR="002E091D" w:rsidRPr="00E40B8E" w:rsidP="002E091D">
            <w:pPr>
              <w:ind w:firstLine="259"/>
              <w:rPr>
                <w:i/>
                <w:noProof/>
              </w:rPr>
            </w:pPr>
            <w:r w:rsidRPr="00E40B8E">
              <w:rPr>
                <w:noProof/>
              </w:rPr>
              <w:t xml:space="preserve">Subsīdijas un dotācijas </w:t>
            </w:r>
            <w:r w:rsidRPr="00E40B8E">
              <w:rPr>
                <w:shd w:val="clear" w:color="auto" w:fill="FFFFFF"/>
                <w:lang w:bidi="lv-LV"/>
              </w:rPr>
              <w:t xml:space="preserve">101 047 939 </w:t>
            </w:r>
            <w:r w:rsidRPr="00E40B8E" w:rsidR="00B9441A">
              <w:rPr>
                <w:i/>
                <w:noProof/>
              </w:rPr>
              <w:t>euro</w:t>
            </w:r>
          </w:p>
          <w:p w:rsidR="002E091D" w:rsidRPr="00E40B8E" w:rsidP="002E091D">
            <w:pPr>
              <w:ind w:firstLine="259"/>
              <w:rPr>
                <w:i/>
                <w:noProof/>
              </w:rPr>
            </w:pPr>
          </w:p>
          <w:p w:rsidR="002E091D" w:rsidRPr="00E40B8E" w:rsidP="002E091D">
            <w:pPr>
              <w:ind w:left="298"/>
              <w:rPr>
                <w:noProof/>
              </w:rPr>
            </w:pPr>
          </w:p>
          <w:p w:rsidR="002E091D" w:rsidRPr="00E40B8E" w:rsidP="002E091D">
            <w:pPr>
              <w:jc w:val="both"/>
              <w:rPr>
                <w:noProof/>
                <w:u w:val="single"/>
              </w:rPr>
            </w:pPr>
            <w:r w:rsidRPr="00E40B8E">
              <w:rPr>
                <w:noProof/>
                <w:u w:val="single"/>
              </w:rPr>
              <w:t>Veselības ministrijas (NVD) budžeta programmas 45.00.00 “Veselības aprūpes finansējuma administrēšana” apakšprogrammā 45.01.00 “Veselības aprūpes finansējuma administrēšana un ekonomiskā novērtēšana”:</w:t>
            </w:r>
          </w:p>
          <w:p w:rsidR="002E091D" w:rsidRPr="00E40B8E" w:rsidP="002E091D">
            <w:pPr>
              <w:rPr>
                <w:i/>
                <w:noProof/>
              </w:rPr>
            </w:pPr>
            <w:r w:rsidRPr="00E40B8E">
              <w:rPr>
                <w:noProof/>
              </w:rPr>
              <w:t xml:space="preserve">Resursi izdevumu segšanai </w:t>
            </w:r>
            <w:r w:rsidRPr="00E40B8E">
              <w:rPr>
                <w:shd w:val="clear" w:color="auto" w:fill="FFFFFF"/>
                <w:lang w:bidi="lv-LV"/>
              </w:rPr>
              <w:t xml:space="preserve">6 187 879 </w:t>
            </w:r>
            <w:r w:rsidRPr="00E40B8E" w:rsidR="00B9441A">
              <w:rPr>
                <w:i/>
                <w:noProof/>
              </w:rPr>
              <w:t>euro</w:t>
            </w:r>
          </w:p>
          <w:p w:rsidR="002E091D" w:rsidRPr="00E40B8E" w:rsidP="002E091D">
            <w:pPr>
              <w:tabs>
                <w:tab w:val="right" w:pos="259"/>
              </w:tabs>
              <w:ind w:firstLine="298"/>
              <w:rPr>
                <w:noProof/>
              </w:rPr>
            </w:pPr>
            <w:r w:rsidRPr="00E40B8E">
              <w:rPr>
                <w:noProof/>
              </w:rPr>
              <w:t xml:space="preserve">Ieņēmumi no maksas pakalpojumiem </w:t>
            </w:r>
            <w:r w:rsidRPr="00E40B8E">
              <w:rPr>
                <w:shd w:val="clear" w:color="auto" w:fill="FFFFFF"/>
                <w:lang w:bidi="lv-LV"/>
              </w:rPr>
              <w:t xml:space="preserve">1 519 729 </w:t>
            </w:r>
            <w:r w:rsidRPr="00E40B8E" w:rsidR="00B9441A">
              <w:rPr>
                <w:i/>
                <w:noProof/>
              </w:rPr>
              <w:t>euro</w:t>
            </w:r>
          </w:p>
          <w:p w:rsidR="002E091D" w:rsidRPr="00E40B8E" w:rsidP="002E091D">
            <w:pPr>
              <w:ind w:firstLine="259"/>
              <w:rPr>
                <w:noProof/>
              </w:rPr>
            </w:pPr>
            <w:r w:rsidRPr="00E40B8E">
              <w:rPr>
                <w:noProof/>
              </w:rPr>
              <w:t xml:space="preserve">Dotācija no vispārējiem ieņēmumiem </w:t>
            </w:r>
            <w:r w:rsidRPr="00E40B8E">
              <w:rPr>
                <w:shd w:val="clear" w:color="auto" w:fill="FFFFFF"/>
                <w:lang w:bidi="lv-LV"/>
              </w:rPr>
              <w:t xml:space="preserve"> 4 668 150 </w:t>
            </w:r>
            <w:r w:rsidRPr="00E40B8E" w:rsidR="00B9441A">
              <w:rPr>
                <w:i/>
                <w:noProof/>
              </w:rPr>
              <w:t>euro</w:t>
            </w:r>
            <w:r w:rsidRPr="00E40B8E">
              <w:rPr>
                <w:noProof/>
              </w:rPr>
              <w:t xml:space="preserve"> </w:t>
            </w:r>
          </w:p>
          <w:p w:rsidR="002E091D" w:rsidRPr="00E40B8E" w:rsidP="002E091D">
            <w:pPr>
              <w:rPr>
                <w:noProof/>
              </w:rPr>
            </w:pPr>
            <w:r w:rsidRPr="00E40B8E">
              <w:rPr>
                <w:noProof/>
              </w:rPr>
              <w:t xml:space="preserve">Izdevumi </w:t>
            </w:r>
            <w:r w:rsidRPr="00E40B8E">
              <w:rPr>
                <w:shd w:val="clear" w:color="auto" w:fill="FFFFFF"/>
                <w:lang w:bidi="lv-LV"/>
              </w:rPr>
              <w:t xml:space="preserve">6 765 805 </w:t>
            </w:r>
            <w:r w:rsidRPr="00E40B8E" w:rsidR="00B9441A">
              <w:rPr>
                <w:i/>
                <w:noProof/>
              </w:rPr>
              <w:t>euro</w:t>
            </w:r>
            <w:r w:rsidRPr="00E40B8E">
              <w:rPr>
                <w:noProof/>
              </w:rPr>
              <w:t>, tai skaitā:</w:t>
            </w:r>
          </w:p>
          <w:p w:rsidR="002E091D" w:rsidRPr="00E40B8E" w:rsidP="002E091D">
            <w:pPr>
              <w:ind w:firstLine="363"/>
              <w:rPr>
                <w:i/>
                <w:noProof/>
              </w:rPr>
            </w:pPr>
            <w:r w:rsidRPr="00E40B8E">
              <w:rPr>
                <w:noProof/>
              </w:rPr>
              <w:t xml:space="preserve">Atlīdzība 3 226 709 </w:t>
            </w:r>
            <w:r w:rsidRPr="00E40B8E" w:rsidR="00B9441A">
              <w:rPr>
                <w:i/>
                <w:noProof/>
              </w:rPr>
              <w:t>euro</w:t>
            </w:r>
          </w:p>
          <w:p w:rsidR="002E091D" w:rsidRPr="00E40B8E" w:rsidP="002E091D">
            <w:pPr>
              <w:ind w:firstLine="363"/>
              <w:rPr>
                <w:noProof/>
              </w:rPr>
            </w:pPr>
            <w:r w:rsidRPr="00E40B8E">
              <w:rPr>
                <w:noProof/>
              </w:rPr>
              <w:t xml:space="preserve">Preces un pakalpojumi 2 919 299 </w:t>
            </w:r>
            <w:r w:rsidRPr="00E40B8E" w:rsidR="00B9441A">
              <w:rPr>
                <w:i/>
                <w:noProof/>
              </w:rPr>
              <w:t>euro</w:t>
            </w:r>
          </w:p>
          <w:p w:rsidR="002E091D" w:rsidRPr="00E40B8E" w:rsidP="002E091D">
            <w:pPr>
              <w:ind w:firstLine="259"/>
              <w:rPr>
                <w:i/>
                <w:noProof/>
              </w:rPr>
            </w:pPr>
            <w:r w:rsidRPr="00E40B8E">
              <w:rPr>
                <w:noProof/>
              </w:rPr>
              <w:t xml:space="preserve">Subsīdijas un dotācijas </w:t>
            </w:r>
            <w:r w:rsidRPr="00E40B8E">
              <w:rPr>
                <w:shd w:val="clear" w:color="auto" w:fill="FFFFFF"/>
                <w:lang w:bidi="lv-LV"/>
              </w:rPr>
              <w:t xml:space="preserve">197 226 </w:t>
            </w:r>
            <w:r w:rsidRPr="00E40B8E" w:rsidR="00B9441A">
              <w:rPr>
                <w:i/>
                <w:noProof/>
              </w:rPr>
              <w:t>euro</w:t>
            </w:r>
          </w:p>
          <w:p w:rsidR="002E091D" w:rsidRPr="00E40B8E" w:rsidP="002E091D">
            <w:pPr>
              <w:ind w:firstLine="259"/>
              <w:rPr>
                <w:i/>
                <w:noProof/>
              </w:rPr>
            </w:pPr>
            <w:r w:rsidRPr="00E40B8E">
              <w:rPr>
                <w:noProof/>
              </w:rPr>
              <w:t>Kapitālie izdevumi 422 571</w:t>
            </w:r>
            <w:r w:rsidRPr="00E40B8E">
              <w:rPr>
                <w:i/>
                <w:noProof/>
              </w:rPr>
              <w:t xml:space="preserve"> </w:t>
            </w:r>
            <w:r w:rsidRPr="00E40B8E" w:rsidR="00B9441A">
              <w:rPr>
                <w:i/>
                <w:noProof/>
              </w:rPr>
              <w:t>euro</w:t>
            </w:r>
          </w:p>
          <w:p w:rsidR="002E091D" w:rsidRPr="00E40B8E" w:rsidP="002E091D">
            <w:pPr>
              <w:rPr>
                <w:noProof/>
              </w:rPr>
            </w:pPr>
            <w:r w:rsidRPr="00E40B8E">
              <w:rPr>
                <w:noProof/>
              </w:rPr>
              <w:t>Finansiālā bilance -577 926</w:t>
            </w:r>
          </w:p>
          <w:p w:rsidR="002E091D" w:rsidRPr="00E40B8E" w:rsidP="002E091D">
            <w:pPr>
              <w:ind w:left="298"/>
              <w:rPr>
                <w:noProof/>
              </w:rPr>
            </w:pPr>
            <w:r w:rsidRPr="00E40B8E">
              <w:rPr>
                <w:noProof/>
              </w:rPr>
              <w:t>Maksas pakalpojumu un citu pašu ieņēmumu naudas līdzekļu atlikumu izmaiņas palielinājums (-) vai samazinājums (+) 577 926</w:t>
            </w:r>
          </w:p>
          <w:p w:rsidR="002E091D" w:rsidRPr="00E40B8E" w:rsidP="002E091D">
            <w:pPr>
              <w:jc w:val="both"/>
              <w:rPr>
                <w:noProof/>
                <w:u w:val="single"/>
              </w:rPr>
            </w:pPr>
          </w:p>
          <w:p w:rsidR="002505E1" w:rsidRPr="00E40B8E" w:rsidP="002E091D">
            <w:pPr>
              <w:ind w:firstLine="298"/>
              <w:jc w:val="both"/>
              <w:rPr>
                <w:noProof/>
                <w:u w:val="single"/>
              </w:rPr>
            </w:pPr>
            <w:r w:rsidRPr="00E40B8E">
              <w:rPr>
                <w:noProof/>
                <w:u w:val="single"/>
              </w:rPr>
              <w:t xml:space="preserve">2018.gads atbilstoši </w:t>
            </w:r>
            <w:r w:rsidR="006B1036">
              <w:rPr>
                <w:noProof/>
                <w:u w:val="single"/>
              </w:rPr>
              <w:t>Likumam</w:t>
            </w:r>
            <w:r w:rsidRPr="00E40B8E">
              <w:rPr>
                <w:noProof/>
                <w:u w:val="single"/>
              </w:rPr>
              <w:t xml:space="preserve"> „Par valsts budžetu 2018.gadam”</w:t>
            </w:r>
            <w:r w:rsidR="006B1036">
              <w:rPr>
                <w:noProof/>
                <w:u w:val="single"/>
              </w:rPr>
              <w:t xml:space="preserve"> (izsludināts 2017.gada 6.decembrī)</w:t>
            </w:r>
            <w:r w:rsidRPr="00E40B8E">
              <w:rPr>
                <w:noProof/>
                <w:u w:val="single"/>
              </w:rPr>
              <w:t xml:space="preserve">: </w:t>
            </w:r>
          </w:p>
          <w:p w:rsidR="002505E1" w:rsidRPr="00E40B8E" w:rsidP="002E091D">
            <w:pPr>
              <w:ind w:firstLine="298"/>
              <w:jc w:val="both"/>
              <w:rPr>
                <w:noProof/>
                <w:u w:val="single"/>
              </w:rPr>
            </w:pPr>
          </w:p>
          <w:p w:rsidR="002505E1" w:rsidRPr="00E40B8E" w:rsidP="002505E1">
            <w:pPr>
              <w:widowControl w:val="0"/>
              <w:jc w:val="both"/>
              <w:rPr>
                <w:noProof/>
                <w:u w:val="single"/>
              </w:rPr>
            </w:pPr>
            <w:r w:rsidRPr="00E40B8E">
              <w:rPr>
                <w:noProof/>
                <w:u w:val="single"/>
              </w:rPr>
              <w:t>Veselības ministrijas budžeta programmas 02.00.00 “Medicīnas izglītība”:</w:t>
            </w:r>
          </w:p>
          <w:p w:rsidR="002505E1" w:rsidRPr="00E40B8E" w:rsidP="002505E1">
            <w:pPr>
              <w:widowControl w:val="0"/>
              <w:ind w:firstLine="209"/>
              <w:jc w:val="both"/>
              <w:rPr>
                <w:shd w:val="clear" w:color="auto" w:fill="FFFFFF"/>
                <w:lang w:bidi="lv-LV"/>
              </w:rPr>
            </w:pPr>
            <w:r w:rsidRPr="00E40B8E">
              <w:rPr>
                <w:shd w:val="clear" w:color="auto" w:fill="FFFFFF"/>
                <w:lang w:bidi="lv-LV"/>
              </w:rPr>
              <w:t>apakšprogrammā 02.04.00 „</w:t>
            </w:r>
            <w:r w:rsidRPr="00E40B8E">
              <w:t xml:space="preserve"> </w:t>
            </w:r>
            <w:r w:rsidRPr="00E40B8E">
              <w:rPr>
                <w:shd w:val="clear" w:color="auto" w:fill="FFFFFF"/>
                <w:lang w:bidi="lv-LV"/>
              </w:rPr>
              <w:t>Rezidentu apmācība”:</w:t>
            </w:r>
          </w:p>
          <w:p w:rsidR="002505E1" w:rsidRPr="00E40B8E" w:rsidP="002505E1">
            <w:pPr>
              <w:rPr>
                <w:noProof/>
              </w:rPr>
            </w:pPr>
            <w:r w:rsidRPr="00E40B8E">
              <w:rPr>
                <w:noProof/>
              </w:rPr>
              <w:t xml:space="preserve">Resursi izdevumu segšanai </w:t>
            </w:r>
            <w:r w:rsidRPr="00E40B8E">
              <w:rPr>
                <w:shd w:val="clear" w:color="auto" w:fill="FFFFFF"/>
                <w:lang w:bidi="lv-LV"/>
              </w:rPr>
              <w:t>9</w:t>
            </w:r>
            <w:r w:rsidRPr="00E40B8E" w:rsidR="00754FA5">
              <w:rPr>
                <w:shd w:val="clear" w:color="auto" w:fill="FFFFFF"/>
                <w:lang w:bidi="lv-LV"/>
              </w:rPr>
              <w:t> 739 469</w:t>
            </w:r>
            <w:r w:rsidRPr="00E40B8E">
              <w:rPr>
                <w:shd w:val="clear" w:color="auto" w:fill="FFFFFF"/>
                <w:lang w:bidi="lv-LV"/>
              </w:rPr>
              <w:t xml:space="preserve"> </w:t>
            </w:r>
            <w:r w:rsidRPr="00E40B8E" w:rsidR="00B9441A">
              <w:rPr>
                <w:i/>
                <w:noProof/>
              </w:rPr>
              <w:t>euro</w:t>
            </w:r>
          </w:p>
          <w:p w:rsidR="002505E1" w:rsidRPr="00E40B8E" w:rsidP="002505E1">
            <w:pPr>
              <w:ind w:firstLine="259"/>
              <w:rPr>
                <w:noProof/>
              </w:rPr>
            </w:pPr>
            <w:r w:rsidRPr="00E40B8E">
              <w:rPr>
                <w:noProof/>
              </w:rPr>
              <w:t xml:space="preserve">Dotācija no vispārējiem ieņēmumiem </w:t>
            </w:r>
            <w:r w:rsidRPr="00E40B8E">
              <w:rPr>
                <w:shd w:val="clear" w:color="auto" w:fill="FFFFFF"/>
                <w:lang w:bidi="lv-LV"/>
              </w:rPr>
              <w:t>9</w:t>
            </w:r>
            <w:r w:rsidRPr="00E40B8E" w:rsidR="00754FA5">
              <w:rPr>
                <w:shd w:val="clear" w:color="auto" w:fill="FFFFFF"/>
                <w:lang w:bidi="lv-LV"/>
              </w:rPr>
              <w:t> 739 469</w:t>
            </w:r>
            <w:r w:rsidRPr="00E40B8E">
              <w:rPr>
                <w:shd w:val="clear" w:color="auto" w:fill="FFFFFF"/>
                <w:lang w:bidi="lv-LV"/>
              </w:rPr>
              <w:t xml:space="preserve"> </w:t>
            </w:r>
            <w:r w:rsidRPr="00E40B8E" w:rsidR="00B9441A">
              <w:rPr>
                <w:i/>
                <w:noProof/>
              </w:rPr>
              <w:t>euro</w:t>
            </w:r>
            <w:r w:rsidRPr="00E40B8E">
              <w:rPr>
                <w:noProof/>
              </w:rPr>
              <w:t xml:space="preserve"> </w:t>
            </w:r>
          </w:p>
          <w:p w:rsidR="002505E1" w:rsidRPr="00E40B8E" w:rsidP="002505E1">
            <w:pPr>
              <w:rPr>
                <w:noProof/>
              </w:rPr>
            </w:pPr>
            <w:r w:rsidRPr="00E40B8E">
              <w:rPr>
                <w:noProof/>
              </w:rPr>
              <w:t xml:space="preserve">Izdevumi </w:t>
            </w:r>
            <w:r w:rsidRPr="00E40B8E" w:rsidR="00754FA5">
              <w:rPr>
                <w:shd w:val="clear" w:color="auto" w:fill="FFFFFF"/>
                <w:lang w:bidi="lv-LV"/>
              </w:rPr>
              <w:t>9 739 469</w:t>
            </w:r>
            <w:r w:rsidRPr="00E40B8E">
              <w:rPr>
                <w:shd w:val="clear" w:color="auto" w:fill="FFFFFF"/>
                <w:lang w:bidi="lv-LV"/>
              </w:rPr>
              <w:t xml:space="preserve">  </w:t>
            </w:r>
            <w:r w:rsidRPr="00E40B8E" w:rsidR="00B9441A">
              <w:rPr>
                <w:i/>
                <w:noProof/>
              </w:rPr>
              <w:t>euro</w:t>
            </w:r>
            <w:r w:rsidRPr="00E40B8E">
              <w:rPr>
                <w:noProof/>
              </w:rPr>
              <w:t>, tai skaitā:</w:t>
            </w:r>
          </w:p>
          <w:p w:rsidR="002505E1" w:rsidRPr="00E40B8E" w:rsidP="002505E1">
            <w:pPr>
              <w:ind w:firstLine="363"/>
              <w:rPr>
                <w:i/>
                <w:noProof/>
              </w:rPr>
            </w:pPr>
            <w:r w:rsidRPr="00E40B8E">
              <w:rPr>
                <w:noProof/>
              </w:rPr>
              <w:t xml:space="preserve">Atlīdzība </w:t>
            </w:r>
            <w:r w:rsidRPr="00E40B8E" w:rsidR="00754FA5">
              <w:rPr>
                <w:noProof/>
              </w:rPr>
              <w:t>230 005</w:t>
            </w:r>
            <w:r w:rsidRPr="00E40B8E">
              <w:rPr>
                <w:noProof/>
              </w:rPr>
              <w:t xml:space="preserve"> </w:t>
            </w:r>
            <w:r w:rsidRPr="00E40B8E" w:rsidR="00B9441A">
              <w:rPr>
                <w:i/>
                <w:noProof/>
              </w:rPr>
              <w:t>euro</w:t>
            </w:r>
          </w:p>
          <w:p w:rsidR="002505E1" w:rsidRPr="00E40B8E" w:rsidP="002505E1">
            <w:pPr>
              <w:ind w:firstLine="363"/>
              <w:rPr>
                <w:noProof/>
              </w:rPr>
            </w:pPr>
            <w:r w:rsidRPr="00E40B8E">
              <w:rPr>
                <w:noProof/>
              </w:rPr>
              <w:t xml:space="preserve">Preces un pakalpojumi </w:t>
            </w:r>
            <w:r w:rsidRPr="00E40B8E" w:rsidR="00754FA5">
              <w:rPr>
                <w:noProof/>
              </w:rPr>
              <w:t>28 443</w:t>
            </w:r>
            <w:r w:rsidRPr="00E40B8E">
              <w:rPr>
                <w:noProof/>
              </w:rPr>
              <w:t xml:space="preserve"> </w:t>
            </w:r>
            <w:r w:rsidRPr="00E40B8E" w:rsidR="00B9441A">
              <w:rPr>
                <w:i/>
                <w:noProof/>
              </w:rPr>
              <w:t>euro</w:t>
            </w:r>
          </w:p>
          <w:p w:rsidR="002505E1" w:rsidRPr="00E40B8E" w:rsidP="002505E1">
            <w:pPr>
              <w:ind w:left="411"/>
              <w:rPr>
                <w:i/>
                <w:noProof/>
              </w:rPr>
            </w:pPr>
            <w:r w:rsidRPr="00E40B8E">
              <w:rPr>
                <w:noProof/>
              </w:rPr>
              <w:t xml:space="preserve">Valsts budžeta transferti valsts budžeta daļēji finansētām atvasinātām publiskām personām un budžeta nefinansētām iestādēm noteiktam mērķim </w:t>
            </w:r>
            <w:r w:rsidRPr="00E40B8E" w:rsidR="00754FA5">
              <w:rPr>
                <w:shd w:val="clear" w:color="auto" w:fill="FFFFFF"/>
                <w:lang w:bidi="lv-LV"/>
              </w:rPr>
              <w:t>9 481 021</w:t>
            </w:r>
            <w:r w:rsidRPr="00E40B8E">
              <w:rPr>
                <w:shd w:val="clear" w:color="auto" w:fill="FFFFFF"/>
                <w:lang w:bidi="lv-LV"/>
              </w:rPr>
              <w:t xml:space="preserve"> </w:t>
            </w:r>
            <w:r w:rsidRPr="00E40B8E" w:rsidR="00B9441A">
              <w:rPr>
                <w:i/>
                <w:noProof/>
              </w:rPr>
              <w:t>euro</w:t>
            </w:r>
          </w:p>
          <w:p w:rsidR="002505E1" w:rsidRPr="00E40B8E" w:rsidP="002505E1">
            <w:pPr>
              <w:jc w:val="both"/>
              <w:rPr>
                <w:noProof/>
                <w:u w:val="single"/>
              </w:rPr>
            </w:pPr>
          </w:p>
          <w:p w:rsidR="002E091D" w:rsidRPr="00E40B8E" w:rsidP="002E091D">
            <w:pPr>
              <w:ind w:firstLine="298"/>
              <w:jc w:val="both"/>
              <w:rPr>
                <w:noProof/>
                <w:u w:val="single"/>
              </w:rPr>
            </w:pPr>
            <w:r w:rsidRPr="00E40B8E">
              <w:rPr>
                <w:noProof/>
                <w:u w:val="single"/>
              </w:rPr>
              <w:t>Veselības ministrijas (NVD) budžeta programmas 33.00.00 „Veselības aprūpes nodrošināšana”:</w:t>
            </w:r>
            <w:r w:rsidRPr="00E40B8E">
              <w:rPr>
                <w:i/>
              </w:rPr>
              <w:t xml:space="preserve"> </w:t>
            </w:r>
          </w:p>
          <w:p w:rsidR="002E091D" w:rsidRPr="00E40B8E" w:rsidP="002E091D">
            <w:pPr>
              <w:widowControl w:val="0"/>
              <w:ind w:firstLine="269"/>
              <w:jc w:val="both"/>
              <w:rPr>
                <w:shd w:val="clear" w:color="auto" w:fill="FFFFFF"/>
                <w:lang w:bidi="lv-LV"/>
              </w:rPr>
            </w:pPr>
            <w:r w:rsidRPr="00E40B8E">
              <w:rPr>
                <w:shd w:val="clear" w:color="auto" w:fill="FFFFFF"/>
                <w:lang w:bidi="lv-LV"/>
              </w:rPr>
              <w:t>apakšprogrammā 33.14.00 „Primārās ambulatorās veselības aprūpes nodrošināšana”:</w:t>
            </w:r>
          </w:p>
          <w:p w:rsidR="002E091D" w:rsidRPr="00E40B8E" w:rsidP="002E091D">
            <w:pPr>
              <w:rPr>
                <w:noProof/>
              </w:rPr>
            </w:pPr>
            <w:r w:rsidRPr="00E40B8E">
              <w:rPr>
                <w:noProof/>
              </w:rPr>
              <w:t xml:space="preserve">Resursi izdevumu segšanai </w:t>
            </w:r>
            <w:r w:rsidRPr="00E40B8E">
              <w:rPr>
                <w:shd w:val="clear" w:color="auto" w:fill="FFFFFF"/>
                <w:lang w:bidi="lv-LV"/>
              </w:rPr>
              <w:t xml:space="preserve">87 939 179 </w:t>
            </w:r>
            <w:r w:rsidRPr="00E40B8E" w:rsidR="00B9441A">
              <w:rPr>
                <w:i/>
                <w:noProof/>
              </w:rPr>
              <w:t>euro</w:t>
            </w:r>
          </w:p>
          <w:p w:rsidR="002E091D" w:rsidRPr="00E40B8E" w:rsidP="002E091D">
            <w:pPr>
              <w:tabs>
                <w:tab w:val="right" w:pos="259"/>
              </w:tabs>
              <w:ind w:firstLine="298"/>
              <w:rPr>
                <w:noProof/>
              </w:rPr>
            </w:pPr>
            <w:r w:rsidRPr="00E40B8E">
              <w:rPr>
                <w:noProof/>
              </w:rPr>
              <w:t xml:space="preserve">Ieņēmumi no maksas pakalpojumiem </w:t>
            </w:r>
            <w:r w:rsidRPr="00E40B8E">
              <w:rPr>
                <w:shd w:val="clear" w:color="auto" w:fill="FFFFFF"/>
                <w:lang w:bidi="lv-LV"/>
              </w:rPr>
              <w:t xml:space="preserve">13 304 </w:t>
            </w:r>
            <w:r w:rsidRPr="00E40B8E" w:rsidR="00B9441A">
              <w:rPr>
                <w:i/>
                <w:noProof/>
              </w:rPr>
              <w:t>euro</w:t>
            </w:r>
          </w:p>
          <w:p w:rsidR="002E091D" w:rsidRPr="00E40B8E" w:rsidP="002E091D">
            <w:pPr>
              <w:ind w:firstLine="259"/>
              <w:rPr>
                <w:noProof/>
              </w:rPr>
            </w:pPr>
            <w:r w:rsidRPr="00E40B8E">
              <w:rPr>
                <w:noProof/>
              </w:rPr>
              <w:t xml:space="preserve">Dotācija no vispārējiem ieņēmumiem </w:t>
            </w:r>
            <w:r w:rsidRPr="00E40B8E">
              <w:rPr>
                <w:shd w:val="clear" w:color="auto" w:fill="FFFFFF"/>
                <w:lang w:bidi="lv-LV"/>
              </w:rPr>
              <w:t xml:space="preserve">87 925 875 </w:t>
            </w:r>
            <w:r w:rsidRPr="00E40B8E" w:rsidR="00B9441A">
              <w:rPr>
                <w:i/>
                <w:noProof/>
              </w:rPr>
              <w:t>euro</w:t>
            </w:r>
            <w:r w:rsidRPr="00E40B8E">
              <w:rPr>
                <w:noProof/>
              </w:rPr>
              <w:t xml:space="preserve"> </w:t>
            </w:r>
          </w:p>
          <w:p w:rsidR="002E091D" w:rsidRPr="00E40B8E" w:rsidP="002E091D">
            <w:pPr>
              <w:rPr>
                <w:noProof/>
              </w:rPr>
            </w:pPr>
            <w:r w:rsidRPr="00E40B8E">
              <w:rPr>
                <w:noProof/>
              </w:rPr>
              <w:t xml:space="preserve">Izdevumi </w:t>
            </w:r>
            <w:r w:rsidRPr="00E40B8E">
              <w:rPr>
                <w:shd w:val="clear" w:color="auto" w:fill="FFFFFF"/>
                <w:lang w:bidi="lv-LV"/>
              </w:rPr>
              <w:t xml:space="preserve">87 939 179  </w:t>
            </w:r>
            <w:r w:rsidRPr="00E40B8E" w:rsidR="00B9441A">
              <w:rPr>
                <w:i/>
                <w:noProof/>
              </w:rPr>
              <w:t>euro</w:t>
            </w:r>
            <w:r w:rsidRPr="00E40B8E">
              <w:rPr>
                <w:noProof/>
              </w:rPr>
              <w:t>, tai skaitā:</w:t>
            </w:r>
          </w:p>
          <w:p w:rsidR="002E091D" w:rsidRPr="00E40B8E" w:rsidP="002E091D">
            <w:pPr>
              <w:ind w:firstLine="259"/>
              <w:rPr>
                <w:noProof/>
              </w:rPr>
            </w:pPr>
            <w:r w:rsidRPr="00E40B8E">
              <w:rPr>
                <w:noProof/>
              </w:rPr>
              <w:t xml:space="preserve">Subsīdijas un dotācijas </w:t>
            </w:r>
            <w:r w:rsidRPr="00E40B8E">
              <w:rPr>
                <w:shd w:val="clear" w:color="auto" w:fill="FFFFFF"/>
                <w:lang w:bidi="lv-LV"/>
              </w:rPr>
              <w:t xml:space="preserve">86 892 705 </w:t>
            </w:r>
            <w:r w:rsidRPr="00E40B8E" w:rsidR="00B9441A">
              <w:rPr>
                <w:i/>
                <w:noProof/>
              </w:rPr>
              <w:t>euro</w:t>
            </w:r>
          </w:p>
          <w:p w:rsidR="002E091D" w:rsidRPr="00E40B8E" w:rsidP="002E091D">
            <w:pPr>
              <w:ind w:firstLine="259"/>
              <w:rPr>
                <w:i/>
                <w:noProof/>
              </w:rPr>
            </w:pPr>
            <w:r w:rsidRPr="00E40B8E">
              <w:rPr>
                <w:noProof/>
              </w:rPr>
              <w:t xml:space="preserve">Uzturēšanas izdevumu transferti </w:t>
            </w:r>
            <w:r w:rsidRPr="00E40B8E">
              <w:rPr>
                <w:shd w:val="clear" w:color="auto" w:fill="FFFFFF"/>
                <w:lang w:bidi="lv-LV"/>
              </w:rPr>
              <w:t xml:space="preserve">1 046 474 </w:t>
            </w:r>
            <w:r w:rsidRPr="00E40B8E" w:rsidR="00B9441A">
              <w:rPr>
                <w:i/>
                <w:noProof/>
              </w:rPr>
              <w:t>euro</w:t>
            </w:r>
          </w:p>
          <w:p w:rsidR="002E091D" w:rsidRPr="00E40B8E" w:rsidP="002E091D">
            <w:pPr>
              <w:rPr>
                <w:noProof/>
              </w:rPr>
            </w:pPr>
          </w:p>
          <w:p w:rsidR="002E091D" w:rsidRPr="00E40B8E" w:rsidP="002E091D">
            <w:pPr>
              <w:widowControl w:val="0"/>
              <w:ind w:firstLine="209"/>
              <w:jc w:val="both"/>
              <w:rPr>
                <w:shd w:val="clear" w:color="auto" w:fill="FFFFFF"/>
                <w:lang w:bidi="lv-LV"/>
              </w:rPr>
            </w:pPr>
            <w:r w:rsidRPr="00E40B8E">
              <w:rPr>
                <w:shd w:val="clear" w:color="auto" w:fill="FFFFFF"/>
                <w:lang w:bidi="lv-LV"/>
              </w:rPr>
              <w:t>apakšprogrammā 33.15.00 „Laboratorisko izmeklējumu nodrošināšana ambulatorajā aprūpē”:</w:t>
            </w:r>
          </w:p>
          <w:p w:rsidR="002E091D" w:rsidRPr="00E40B8E" w:rsidP="002E091D">
            <w:pPr>
              <w:rPr>
                <w:noProof/>
              </w:rPr>
            </w:pPr>
            <w:r w:rsidRPr="00E40B8E">
              <w:rPr>
                <w:noProof/>
              </w:rPr>
              <w:t xml:space="preserve">Resursi izdevumu segšanai </w:t>
            </w:r>
            <w:r w:rsidRPr="00E40B8E">
              <w:rPr>
                <w:shd w:val="clear" w:color="auto" w:fill="FFFFFF"/>
                <w:lang w:bidi="lv-LV"/>
              </w:rPr>
              <w:t xml:space="preserve">25 616 868 </w:t>
            </w:r>
            <w:r w:rsidRPr="00E40B8E" w:rsidR="00B9441A">
              <w:rPr>
                <w:i/>
                <w:noProof/>
              </w:rPr>
              <w:t>euro</w:t>
            </w:r>
          </w:p>
          <w:p w:rsidR="002E091D" w:rsidRPr="00E40B8E" w:rsidP="002E091D">
            <w:pPr>
              <w:tabs>
                <w:tab w:val="right" w:pos="259"/>
              </w:tabs>
              <w:ind w:firstLine="298"/>
              <w:rPr>
                <w:noProof/>
              </w:rPr>
            </w:pPr>
            <w:r w:rsidRPr="00E40B8E">
              <w:rPr>
                <w:noProof/>
              </w:rPr>
              <w:t xml:space="preserve">Ieņēmumi no maksas pakalpojumiem </w:t>
            </w:r>
            <w:r w:rsidRPr="00E40B8E">
              <w:rPr>
                <w:shd w:val="clear" w:color="auto" w:fill="FFFFFF"/>
                <w:lang w:bidi="lv-LV"/>
              </w:rPr>
              <w:t xml:space="preserve">1 620 </w:t>
            </w:r>
            <w:r w:rsidRPr="00E40B8E" w:rsidR="00B9441A">
              <w:rPr>
                <w:i/>
                <w:noProof/>
              </w:rPr>
              <w:t>euro</w:t>
            </w:r>
          </w:p>
          <w:p w:rsidR="002E091D" w:rsidRPr="00E40B8E" w:rsidP="002E091D">
            <w:pPr>
              <w:ind w:firstLine="259"/>
              <w:rPr>
                <w:noProof/>
              </w:rPr>
            </w:pPr>
            <w:r w:rsidRPr="00E40B8E">
              <w:rPr>
                <w:noProof/>
              </w:rPr>
              <w:t xml:space="preserve">Dotācija no vispārējiem ieņēmumiem </w:t>
            </w:r>
            <w:r w:rsidRPr="00E40B8E">
              <w:rPr>
                <w:shd w:val="clear" w:color="auto" w:fill="FFFFFF"/>
                <w:lang w:bidi="lv-LV"/>
              </w:rPr>
              <w:t xml:space="preserve">25 615 248 </w:t>
            </w:r>
            <w:r w:rsidRPr="00E40B8E" w:rsidR="00B9441A">
              <w:rPr>
                <w:i/>
                <w:noProof/>
              </w:rPr>
              <w:t>euro</w:t>
            </w:r>
            <w:r w:rsidRPr="00E40B8E">
              <w:rPr>
                <w:noProof/>
              </w:rPr>
              <w:t xml:space="preserve"> </w:t>
            </w:r>
          </w:p>
          <w:p w:rsidR="002E091D" w:rsidRPr="00E40B8E" w:rsidP="002E091D">
            <w:pPr>
              <w:rPr>
                <w:noProof/>
              </w:rPr>
            </w:pPr>
            <w:r w:rsidRPr="00E40B8E">
              <w:rPr>
                <w:noProof/>
              </w:rPr>
              <w:t xml:space="preserve">Izdevumi </w:t>
            </w:r>
            <w:r w:rsidRPr="00E40B8E">
              <w:rPr>
                <w:shd w:val="clear" w:color="auto" w:fill="FFFFFF"/>
                <w:lang w:bidi="lv-LV"/>
              </w:rPr>
              <w:t xml:space="preserve">25 616 868  </w:t>
            </w:r>
            <w:r w:rsidRPr="00E40B8E" w:rsidR="00B9441A">
              <w:rPr>
                <w:i/>
                <w:noProof/>
              </w:rPr>
              <w:t>euro</w:t>
            </w:r>
            <w:r w:rsidRPr="00E40B8E">
              <w:rPr>
                <w:noProof/>
              </w:rPr>
              <w:t>, tai skaitā:</w:t>
            </w:r>
          </w:p>
          <w:p w:rsidR="002E091D" w:rsidRPr="00E40B8E" w:rsidP="002E091D">
            <w:pPr>
              <w:ind w:firstLine="259"/>
              <w:rPr>
                <w:noProof/>
              </w:rPr>
            </w:pPr>
            <w:r w:rsidRPr="00E40B8E">
              <w:rPr>
                <w:noProof/>
              </w:rPr>
              <w:t xml:space="preserve">Subsīdijas un dotācijas </w:t>
            </w:r>
            <w:r w:rsidRPr="00E40B8E">
              <w:rPr>
                <w:shd w:val="clear" w:color="auto" w:fill="FFFFFF"/>
                <w:lang w:bidi="lv-LV"/>
              </w:rPr>
              <w:t xml:space="preserve">25 603 267 </w:t>
            </w:r>
            <w:r w:rsidRPr="00E40B8E" w:rsidR="00B9441A">
              <w:rPr>
                <w:i/>
                <w:noProof/>
              </w:rPr>
              <w:t>euro</w:t>
            </w:r>
          </w:p>
          <w:p w:rsidR="002E091D" w:rsidRPr="00E40B8E" w:rsidP="002E091D">
            <w:pPr>
              <w:ind w:firstLine="259"/>
              <w:rPr>
                <w:i/>
                <w:noProof/>
              </w:rPr>
            </w:pPr>
            <w:r w:rsidRPr="00E40B8E">
              <w:rPr>
                <w:noProof/>
              </w:rPr>
              <w:t xml:space="preserve">Uzturēšanas izdevumu transferti </w:t>
            </w:r>
            <w:r w:rsidRPr="00E40B8E">
              <w:rPr>
                <w:shd w:val="clear" w:color="auto" w:fill="FFFFFF"/>
                <w:lang w:bidi="lv-LV"/>
              </w:rPr>
              <w:t xml:space="preserve">13 601 </w:t>
            </w:r>
            <w:r w:rsidRPr="00E40B8E" w:rsidR="00B9441A">
              <w:rPr>
                <w:i/>
                <w:noProof/>
              </w:rPr>
              <w:t>euro</w:t>
            </w:r>
          </w:p>
          <w:p w:rsidR="002E091D" w:rsidRPr="00E40B8E" w:rsidP="002E091D">
            <w:pPr>
              <w:ind w:firstLine="259"/>
              <w:rPr>
                <w:noProof/>
              </w:rPr>
            </w:pPr>
          </w:p>
          <w:p w:rsidR="002E091D" w:rsidRPr="00E40B8E" w:rsidP="002E091D">
            <w:pPr>
              <w:widowControl w:val="0"/>
              <w:ind w:firstLine="209"/>
              <w:jc w:val="both"/>
              <w:rPr>
                <w:shd w:val="clear" w:color="auto" w:fill="FFFFFF"/>
                <w:lang w:bidi="lv-LV"/>
              </w:rPr>
            </w:pPr>
            <w:r w:rsidRPr="00E40B8E">
              <w:rPr>
                <w:shd w:val="clear" w:color="auto" w:fill="FFFFFF"/>
                <w:lang w:bidi="lv-LV"/>
              </w:rPr>
              <w:t>apakšprogrammā 33.16.00 „Pārējo ambulatoro veselības aprūpes pakalpojumu nodrošināšana”:</w:t>
            </w:r>
          </w:p>
          <w:p w:rsidR="002E091D" w:rsidRPr="00E40B8E" w:rsidP="002E091D">
            <w:pPr>
              <w:rPr>
                <w:noProof/>
              </w:rPr>
            </w:pPr>
            <w:r w:rsidRPr="00E40B8E">
              <w:rPr>
                <w:noProof/>
              </w:rPr>
              <w:t xml:space="preserve">Resursi izdevumu segšanai </w:t>
            </w:r>
            <w:r w:rsidRPr="00E40B8E">
              <w:rPr>
                <w:shd w:val="clear" w:color="auto" w:fill="FFFFFF"/>
                <w:lang w:bidi="lv-LV"/>
              </w:rPr>
              <w:t xml:space="preserve">157 907 996 </w:t>
            </w:r>
            <w:r w:rsidRPr="00E40B8E" w:rsidR="00B9441A">
              <w:rPr>
                <w:i/>
                <w:noProof/>
              </w:rPr>
              <w:t>euro</w:t>
            </w:r>
          </w:p>
          <w:p w:rsidR="002E091D" w:rsidRPr="00E40B8E" w:rsidP="002E091D">
            <w:pPr>
              <w:tabs>
                <w:tab w:val="right" w:pos="259"/>
              </w:tabs>
              <w:ind w:firstLine="298"/>
              <w:rPr>
                <w:noProof/>
              </w:rPr>
            </w:pPr>
            <w:r w:rsidRPr="00E40B8E">
              <w:rPr>
                <w:noProof/>
              </w:rPr>
              <w:t xml:space="preserve">Ieņēmumi no maksas pakalpojumiem </w:t>
            </w:r>
            <w:r w:rsidRPr="00E40B8E">
              <w:rPr>
                <w:shd w:val="clear" w:color="auto" w:fill="FFFFFF"/>
                <w:lang w:bidi="lv-LV"/>
              </w:rPr>
              <w:t xml:space="preserve">25 052 </w:t>
            </w:r>
            <w:r w:rsidRPr="00E40B8E" w:rsidR="00B9441A">
              <w:rPr>
                <w:i/>
                <w:noProof/>
              </w:rPr>
              <w:t>euro</w:t>
            </w:r>
          </w:p>
          <w:p w:rsidR="002E091D" w:rsidRPr="00E40B8E" w:rsidP="002E091D">
            <w:pPr>
              <w:ind w:firstLine="259"/>
              <w:rPr>
                <w:noProof/>
              </w:rPr>
            </w:pPr>
            <w:r w:rsidRPr="00E40B8E">
              <w:rPr>
                <w:noProof/>
              </w:rPr>
              <w:t xml:space="preserve">Dotācija no vispārējiem ieņēmumiem </w:t>
            </w:r>
            <w:r w:rsidRPr="00E40B8E">
              <w:rPr>
                <w:shd w:val="clear" w:color="auto" w:fill="FFFFFF"/>
                <w:lang w:bidi="lv-LV"/>
              </w:rPr>
              <w:t xml:space="preserve">157 882 944 </w:t>
            </w:r>
            <w:r w:rsidRPr="00E40B8E" w:rsidR="00B9441A">
              <w:rPr>
                <w:i/>
                <w:noProof/>
              </w:rPr>
              <w:t>euro</w:t>
            </w:r>
            <w:r w:rsidRPr="00E40B8E">
              <w:rPr>
                <w:noProof/>
              </w:rPr>
              <w:t xml:space="preserve"> </w:t>
            </w:r>
          </w:p>
          <w:p w:rsidR="002E091D" w:rsidRPr="00E40B8E" w:rsidP="002E091D">
            <w:pPr>
              <w:rPr>
                <w:noProof/>
              </w:rPr>
            </w:pPr>
            <w:r w:rsidRPr="00E40B8E">
              <w:rPr>
                <w:noProof/>
              </w:rPr>
              <w:t xml:space="preserve">Izdevumi </w:t>
            </w:r>
            <w:r w:rsidRPr="00E40B8E">
              <w:rPr>
                <w:shd w:val="clear" w:color="auto" w:fill="FFFFFF"/>
                <w:lang w:bidi="lv-LV"/>
              </w:rPr>
              <w:t xml:space="preserve">157 907 996  </w:t>
            </w:r>
            <w:r w:rsidRPr="00E40B8E" w:rsidR="00B9441A">
              <w:rPr>
                <w:i/>
                <w:noProof/>
              </w:rPr>
              <w:t>euro</w:t>
            </w:r>
            <w:r w:rsidRPr="00E40B8E">
              <w:rPr>
                <w:noProof/>
              </w:rPr>
              <w:t>, tai skaitā:</w:t>
            </w:r>
          </w:p>
          <w:p w:rsidR="002E091D" w:rsidRPr="00E40B8E" w:rsidP="002E091D">
            <w:pPr>
              <w:ind w:firstLine="259"/>
              <w:rPr>
                <w:noProof/>
              </w:rPr>
            </w:pPr>
            <w:r w:rsidRPr="00E40B8E">
              <w:rPr>
                <w:noProof/>
              </w:rPr>
              <w:t xml:space="preserve">Subsīdijas un dotācijas </w:t>
            </w:r>
            <w:r w:rsidRPr="00E40B8E">
              <w:rPr>
                <w:shd w:val="clear" w:color="auto" w:fill="FFFFFF"/>
                <w:lang w:bidi="lv-LV"/>
              </w:rPr>
              <w:t xml:space="preserve">157 281 626 </w:t>
            </w:r>
            <w:r w:rsidRPr="00E40B8E" w:rsidR="00B9441A">
              <w:rPr>
                <w:i/>
                <w:noProof/>
              </w:rPr>
              <w:t>euro</w:t>
            </w:r>
          </w:p>
          <w:p w:rsidR="002E091D" w:rsidRPr="00E40B8E" w:rsidP="002E091D">
            <w:pPr>
              <w:ind w:firstLine="259"/>
              <w:rPr>
                <w:i/>
                <w:noProof/>
              </w:rPr>
            </w:pPr>
            <w:r w:rsidRPr="00E40B8E">
              <w:rPr>
                <w:noProof/>
              </w:rPr>
              <w:t xml:space="preserve">Uzturēšanas izdevumu transferti </w:t>
            </w:r>
            <w:r w:rsidRPr="00E40B8E">
              <w:rPr>
                <w:shd w:val="clear" w:color="auto" w:fill="FFFFFF"/>
                <w:lang w:bidi="lv-LV"/>
              </w:rPr>
              <w:t xml:space="preserve">626 370 </w:t>
            </w:r>
            <w:r w:rsidRPr="00E40B8E" w:rsidR="00B9441A">
              <w:rPr>
                <w:i/>
                <w:noProof/>
              </w:rPr>
              <w:t>euro</w:t>
            </w:r>
          </w:p>
          <w:p w:rsidR="002E091D" w:rsidRPr="00E40B8E" w:rsidP="002E091D">
            <w:pPr>
              <w:ind w:firstLine="259"/>
              <w:rPr>
                <w:i/>
                <w:noProof/>
              </w:rPr>
            </w:pPr>
          </w:p>
          <w:p w:rsidR="002E091D" w:rsidRPr="00E40B8E" w:rsidP="002E091D">
            <w:pPr>
              <w:widowControl w:val="0"/>
              <w:ind w:firstLine="209"/>
              <w:jc w:val="both"/>
              <w:rPr>
                <w:shd w:val="clear" w:color="auto" w:fill="FFFFFF"/>
                <w:lang w:bidi="lv-LV"/>
              </w:rPr>
            </w:pPr>
            <w:r w:rsidRPr="00E40B8E">
              <w:rPr>
                <w:shd w:val="clear" w:color="auto" w:fill="FFFFFF"/>
                <w:lang w:bidi="lv-LV"/>
              </w:rPr>
              <w:t>apakšprogrammā 33.17.00 „Neatliekamās medicīniskās palīdzības nodrošināšana stacionārās ārstniecības iestādēs”:</w:t>
            </w:r>
          </w:p>
          <w:p w:rsidR="002E091D" w:rsidRPr="00E40B8E" w:rsidP="002E091D">
            <w:pPr>
              <w:rPr>
                <w:i/>
                <w:noProof/>
              </w:rPr>
            </w:pPr>
            <w:r w:rsidRPr="00E40B8E">
              <w:rPr>
                <w:noProof/>
              </w:rPr>
              <w:t xml:space="preserve">Resursi izdevumu segšanai </w:t>
            </w:r>
            <w:r w:rsidRPr="00E40B8E">
              <w:rPr>
                <w:shd w:val="clear" w:color="auto" w:fill="FFFFFF"/>
                <w:lang w:bidi="lv-LV"/>
              </w:rPr>
              <w:t xml:space="preserve">177 550 427 </w:t>
            </w:r>
            <w:r w:rsidRPr="00E40B8E" w:rsidR="00B9441A">
              <w:rPr>
                <w:i/>
                <w:noProof/>
              </w:rPr>
              <w:t>euro</w:t>
            </w:r>
          </w:p>
          <w:p w:rsidR="002E091D" w:rsidRPr="00E40B8E" w:rsidP="002E091D">
            <w:pPr>
              <w:tabs>
                <w:tab w:val="right" w:pos="259"/>
              </w:tabs>
              <w:ind w:firstLine="298"/>
              <w:rPr>
                <w:noProof/>
              </w:rPr>
            </w:pPr>
            <w:r w:rsidRPr="00E40B8E">
              <w:rPr>
                <w:noProof/>
              </w:rPr>
              <w:t xml:space="preserve">Ieņēmumi no maksas pakalpojumiem </w:t>
            </w:r>
            <w:r w:rsidRPr="00E40B8E">
              <w:rPr>
                <w:shd w:val="clear" w:color="auto" w:fill="FFFFFF"/>
                <w:lang w:bidi="lv-LV"/>
              </w:rPr>
              <w:t xml:space="preserve">1 047 098 </w:t>
            </w:r>
            <w:r w:rsidRPr="00E40B8E" w:rsidR="00B9441A">
              <w:rPr>
                <w:i/>
                <w:noProof/>
              </w:rPr>
              <w:t>euro</w:t>
            </w:r>
          </w:p>
          <w:p w:rsidR="002E091D" w:rsidRPr="00E40B8E" w:rsidP="002E091D">
            <w:pPr>
              <w:ind w:firstLine="259"/>
              <w:rPr>
                <w:noProof/>
              </w:rPr>
            </w:pPr>
            <w:r w:rsidRPr="00E40B8E">
              <w:rPr>
                <w:noProof/>
              </w:rPr>
              <w:t xml:space="preserve">Dotācija no vispārējiem ieņēmumiem </w:t>
            </w:r>
            <w:r w:rsidRPr="00E40B8E">
              <w:rPr>
                <w:shd w:val="clear" w:color="auto" w:fill="FFFFFF"/>
                <w:lang w:bidi="lv-LV"/>
              </w:rPr>
              <w:t xml:space="preserve"> 176 503 329 </w:t>
            </w:r>
            <w:r w:rsidRPr="00E40B8E" w:rsidR="00B9441A">
              <w:rPr>
                <w:i/>
                <w:noProof/>
              </w:rPr>
              <w:t>euro</w:t>
            </w:r>
            <w:r w:rsidRPr="00E40B8E">
              <w:rPr>
                <w:noProof/>
              </w:rPr>
              <w:t xml:space="preserve"> </w:t>
            </w:r>
          </w:p>
          <w:p w:rsidR="002E091D" w:rsidRPr="00E40B8E" w:rsidP="002E091D">
            <w:pPr>
              <w:rPr>
                <w:noProof/>
              </w:rPr>
            </w:pPr>
            <w:r w:rsidRPr="00E40B8E">
              <w:rPr>
                <w:noProof/>
              </w:rPr>
              <w:t xml:space="preserve">Izdevumi </w:t>
            </w:r>
            <w:r w:rsidRPr="00E40B8E">
              <w:rPr>
                <w:shd w:val="clear" w:color="auto" w:fill="FFFFFF"/>
                <w:lang w:bidi="lv-LV"/>
              </w:rPr>
              <w:t xml:space="preserve">177 550 427 </w:t>
            </w:r>
            <w:r w:rsidRPr="00E40B8E" w:rsidR="00B9441A">
              <w:rPr>
                <w:i/>
                <w:noProof/>
              </w:rPr>
              <w:t>euro</w:t>
            </w:r>
            <w:r w:rsidRPr="00E40B8E">
              <w:rPr>
                <w:noProof/>
              </w:rPr>
              <w:t>, tai skaitā:</w:t>
            </w:r>
          </w:p>
          <w:p w:rsidR="002E091D" w:rsidRPr="00E40B8E" w:rsidP="002E091D">
            <w:pPr>
              <w:ind w:firstLine="259"/>
              <w:rPr>
                <w:i/>
                <w:noProof/>
              </w:rPr>
            </w:pPr>
            <w:r w:rsidRPr="00E40B8E">
              <w:rPr>
                <w:noProof/>
              </w:rPr>
              <w:t xml:space="preserve">Subsīdijas un dotācijas </w:t>
            </w:r>
            <w:r w:rsidRPr="00E40B8E">
              <w:rPr>
                <w:shd w:val="clear" w:color="auto" w:fill="FFFFFF"/>
                <w:lang w:bidi="lv-LV"/>
              </w:rPr>
              <w:t xml:space="preserve">177 550 427 </w:t>
            </w:r>
            <w:r w:rsidRPr="00E40B8E" w:rsidR="00B9441A">
              <w:rPr>
                <w:i/>
                <w:noProof/>
              </w:rPr>
              <w:t>euro</w:t>
            </w:r>
          </w:p>
          <w:p w:rsidR="002E091D" w:rsidRPr="00E40B8E" w:rsidP="002E091D">
            <w:pPr>
              <w:rPr>
                <w:noProof/>
              </w:rPr>
            </w:pPr>
          </w:p>
          <w:p w:rsidR="002E091D" w:rsidRPr="00E40B8E" w:rsidP="002E091D">
            <w:pPr>
              <w:widowControl w:val="0"/>
              <w:ind w:firstLine="209"/>
              <w:jc w:val="both"/>
              <w:rPr>
                <w:shd w:val="clear" w:color="auto" w:fill="FFFFFF"/>
                <w:lang w:bidi="lv-LV"/>
              </w:rPr>
            </w:pPr>
            <w:r w:rsidRPr="00E40B8E">
              <w:rPr>
                <w:shd w:val="clear" w:color="auto" w:fill="FFFFFF"/>
                <w:lang w:bidi="lv-LV"/>
              </w:rPr>
              <w:t>apakšprogrammā 33.18.00 „Plānveida stacionāro veselības aprūpes pakalpojumu nodrošināšana”:</w:t>
            </w:r>
          </w:p>
          <w:p w:rsidR="002E091D" w:rsidRPr="00E40B8E" w:rsidP="002E091D">
            <w:pPr>
              <w:rPr>
                <w:noProof/>
              </w:rPr>
            </w:pPr>
            <w:r w:rsidRPr="00E40B8E">
              <w:rPr>
                <w:noProof/>
              </w:rPr>
              <w:t xml:space="preserve">Resursi izdevumu segšanai </w:t>
            </w:r>
            <w:r w:rsidRPr="00E40B8E">
              <w:rPr>
                <w:shd w:val="clear" w:color="auto" w:fill="FFFFFF"/>
                <w:lang w:bidi="lv-LV"/>
              </w:rPr>
              <w:t xml:space="preserve">102 109 665 </w:t>
            </w:r>
            <w:r w:rsidRPr="00E40B8E" w:rsidR="00B9441A">
              <w:rPr>
                <w:i/>
                <w:noProof/>
              </w:rPr>
              <w:t>euro</w:t>
            </w:r>
          </w:p>
          <w:p w:rsidR="002E091D" w:rsidRPr="00E40B8E" w:rsidP="002E091D">
            <w:pPr>
              <w:ind w:firstLine="259"/>
              <w:rPr>
                <w:noProof/>
              </w:rPr>
            </w:pPr>
            <w:r w:rsidRPr="00E40B8E">
              <w:rPr>
                <w:noProof/>
              </w:rPr>
              <w:t xml:space="preserve">dotācija no vispārējiem ieņēmumiem </w:t>
            </w:r>
            <w:r w:rsidRPr="00E40B8E">
              <w:rPr>
                <w:shd w:val="clear" w:color="auto" w:fill="FFFFFF"/>
                <w:lang w:bidi="lv-LV"/>
              </w:rPr>
              <w:t xml:space="preserve"> 102 109 665 </w:t>
            </w:r>
            <w:r w:rsidRPr="00E40B8E" w:rsidR="00B9441A">
              <w:rPr>
                <w:i/>
                <w:noProof/>
              </w:rPr>
              <w:t>euro</w:t>
            </w:r>
            <w:r w:rsidRPr="00E40B8E">
              <w:rPr>
                <w:noProof/>
              </w:rPr>
              <w:t xml:space="preserve"> </w:t>
            </w:r>
          </w:p>
          <w:p w:rsidR="002E091D" w:rsidRPr="00E40B8E" w:rsidP="002E091D">
            <w:pPr>
              <w:rPr>
                <w:noProof/>
              </w:rPr>
            </w:pPr>
            <w:r w:rsidRPr="00E40B8E">
              <w:rPr>
                <w:noProof/>
              </w:rPr>
              <w:t xml:space="preserve">Izdevumi </w:t>
            </w:r>
            <w:r w:rsidRPr="00E40B8E">
              <w:rPr>
                <w:shd w:val="clear" w:color="auto" w:fill="FFFFFF"/>
                <w:lang w:bidi="lv-LV"/>
              </w:rPr>
              <w:t xml:space="preserve">102 109 665 </w:t>
            </w:r>
            <w:r w:rsidRPr="00E40B8E" w:rsidR="00B9441A">
              <w:rPr>
                <w:i/>
                <w:noProof/>
              </w:rPr>
              <w:t>euro</w:t>
            </w:r>
            <w:r w:rsidRPr="00E40B8E">
              <w:rPr>
                <w:noProof/>
              </w:rPr>
              <w:t>, tai skaitā:</w:t>
            </w:r>
          </w:p>
          <w:p w:rsidR="002E091D" w:rsidRPr="00E40B8E" w:rsidP="002E091D">
            <w:pPr>
              <w:ind w:firstLine="259"/>
              <w:rPr>
                <w:i/>
                <w:noProof/>
              </w:rPr>
            </w:pPr>
            <w:r w:rsidRPr="00E40B8E">
              <w:rPr>
                <w:noProof/>
              </w:rPr>
              <w:t xml:space="preserve">Subsīdijas un dotācijas </w:t>
            </w:r>
            <w:r w:rsidRPr="00E40B8E">
              <w:rPr>
                <w:shd w:val="clear" w:color="auto" w:fill="FFFFFF"/>
                <w:lang w:bidi="lv-LV"/>
              </w:rPr>
              <w:t xml:space="preserve">102 109 665 </w:t>
            </w:r>
            <w:r w:rsidRPr="00E40B8E" w:rsidR="00B9441A">
              <w:rPr>
                <w:i/>
                <w:noProof/>
              </w:rPr>
              <w:t>euro</w:t>
            </w:r>
          </w:p>
          <w:p w:rsidR="002E091D" w:rsidRPr="00E40B8E" w:rsidP="002E091D">
            <w:pPr>
              <w:ind w:firstLine="259"/>
              <w:rPr>
                <w:i/>
                <w:noProof/>
              </w:rPr>
            </w:pPr>
          </w:p>
          <w:p w:rsidR="002E091D" w:rsidRPr="00E40B8E" w:rsidP="002E091D">
            <w:pPr>
              <w:widowControl w:val="0"/>
              <w:ind w:firstLine="209"/>
              <w:jc w:val="both"/>
              <w:rPr>
                <w:shd w:val="clear" w:color="auto" w:fill="FFFFFF"/>
                <w:lang w:bidi="lv-LV"/>
              </w:rPr>
            </w:pPr>
            <w:r w:rsidRPr="00990C60">
              <w:rPr>
                <w:shd w:val="clear" w:color="auto" w:fill="FFFFFF"/>
                <w:lang w:bidi="lv-LV"/>
              </w:rPr>
              <w:t>apakšprogrammā 33.19.00 „Starptautiskie norēķini par sniegtajiem veselības aprūpes pakalpojumiem”:</w:t>
            </w:r>
          </w:p>
          <w:p w:rsidR="002E091D" w:rsidRPr="00E40B8E" w:rsidP="002E091D">
            <w:pPr>
              <w:rPr>
                <w:i/>
                <w:noProof/>
              </w:rPr>
            </w:pPr>
            <w:r w:rsidRPr="00E40B8E">
              <w:rPr>
                <w:noProof/>
              </w:rPr>
              <w:t xml:space="preserve">Resursi izdevumu segšanai </w:t>
            </w:r>
            <w:r w:rsidRPr="00E40B8E">
              <w:rPr>
                <w:shd w:val="clear" w:color="auto" w:fill="FFFFFF"/>
                <w:lang w:bidi="lv-LV"/>
              </w:rPr>
              <w:t xml:space="preserve">3 721 455 </w:t>
            </w:r>
            <w:r w:rsidRPr="00E40B8E" w:rsidR="00B9441A">
              <w:rPr>
                <w:i/>
                <w:noProof/>
              </w:rPr>
              <w:t>euro</w:t>
            </w:r>
          </w:p>
          <w:p w:rsidR="002E091D" w:rsidRPr="00E40B8E" w:rsidP="002E091D">
            <w:pPr>
              <w:tabs>
                <w:tab w:val="right" w:pos="259"/>
              </w:tabs>
              <w:ind w:firstLine="298"/>
              <w:rPr>
                <w:noProof/>
              </w:rPr>
            </w:pPr>
            <w:r w:rsidRPr="00E40B8E">
              <w:rPr>
                <w:noProof/>
              </w:rPr>
              <w:t xml:space="preserve">Ieņēmumi no maksas pakalpojumiem </w:t>
            </w:r>
            <w:r w:rsidRPr="00E40B8E">
              <w:rPr>
                <w:shd w:val="clear" w:color="auto" w:fill="FFFFFF"/>
                <w:lang w:bidi="lv-LV"/>
              </w:rPr>
              <w:t xml:space="preserve">2 808 197 </w:t>
            </w:r>
            <w:r w:rsidRPr="00E40B8E" w:rsidR="00B9441A">
              <w:rPr>
                <w:i/>
                <w:noProof/>
              </w:rPr>
              <w:t>euro</w:t>
            </w:r>
          </w:p>
          <w:p w:rsidR="002E091D" w:rsidRPr="00E40B8E" w:rsidP="002E091D">
            <w:pPr>
              <w:ind w:firstLine="259"/>
              <w:rPr>
                <w:noProof/>
              </w:rPr>
            </w:pPr>
            <w:r w:rsidRPr="00E40B8E">
              <w:rPr>
                <w:noProof/>
              </w:rPr>
              <w:t xml:space="preserve">Dotācija no vispārējiem ieņēmumiem </w:t>
            </w:r>
            <w:r w:rsidRPr="00E40B8E">
              <w:rPr>
                <w:shd w:val="clear" w:color="auto" w:fill="FFFFFF"/>
                <w:lang w:bidi="lv-LV"/>
              </w:rPr>
              <w:t xml:space="preserve"> 913 258 </w:t>
            </w:r>
            <w:r w:rsidRPr="00E40B8E" w:rsidR="00B9441A">
              <w:rPr>
                <w:i/>
                <w:noProof/>
              </w:rPr>
              <w:t>euro</w:t>
            </w:r>
            <w:r w:rsidRPr="00E40B8E">
              <w:rPr>
                <w:noProof/>
              </w:rPr>
              <w:t xml:space="preserve"> </w:t>
            </w:r>
          </w:p>
          <w:p w:rsidR="002E091D" w:rsidRPr="00E40B8E" w:rsidP="002E091D">
            <w:pPr>
              <w:rPr>
                <w:noProof/>
              </w:rPr>
            </w:pPr>
            <w:r w:rsidRPr="00E40B8E">
              <w:rPr>
                <w:noProof/>
              </w:rPr>
              <w:t xml:space="preserve">Izdevumi </w:t>
            </w:r>
            <w:r w:rsidRPr="00E40B8E">
              <w:rPr>
                <w:shd w:val="clear" w:color="auto" w:fill="FFFFFF"/>
                <w:lang w:bidi="lv-LV"/>
              </w:rPr>
              <w:t>3</w:t>
            </w:r>
            <w:r w:rsidR="00FC4BF6">
              <w:rPr>
                <w:shd w:val="clear" w:color="auto" w:fill="FFFFFF"/>
                <w:lang w:bidi="lv-LV"/>
              </w:rPr>
              <w:t> </w:t>
            </w:r>
            <w:r w:rsidRPr="00E40B8E">
              <w:rPr>
                <w:shd w:val="clear" w:color="auto" w:fill="FFFFFF"/>
                <w:lang w:bidi="lv-LV"/>
              </w:rPr>
              <w:t>72</w:t>
            </w:r>
            <w:r w:rsidR="00FC4BF6">
              <w:rPr>
                <w:shd w:val="clear" w:color="auto" w:fill="FFFFFF"/>
                <w:lang w:bidi="lv-LV"/>
              </w:rPr>
              <w:t>1 455</w:t>
            </w:r>
            <w:r w:rsidRPr="00E40B8E">
              <w:rPr>
                <w:shd w:val="clear" w:color="auto" w:fill="FFFFFF"/>
                <w:lang w:bidi="lv-LV"/>
              </w:rPr>
              <w:t xml:space="preserve"> </w:t>
            </w:r>
            <w:r w:rsidRPr="00E40B8E" w:rsidR="00B9441A">
              <w:rPr>
                <w:i/>
                <w:noProof/>
              </w:rPr>
              <w:t>euro</w:t>
            </w:r>
            <w:r w:rsidRPr="00E40B8E">
              <w:rPr>
                <w:noProof/>
              </w:rPr>
              <w:t>, tai skaitā:</w:t>
            </w:r>
          </w:p>
          <w:p w:rsidR="002E091D" w:rsidRPr="00E40B8E" w:rsidP="002E091D">
            <w:pPr>
              <w:ind w:firstLine="259"/>
              <w:rPr>
                <w:i/>
                <w:noProof/>
              </w:rPr>
            </w:pPr>
            <w:r w:rsidRPr="00E40B8E">
              <w:rPr>
                <w:noProof/>
              </w:rPr>
              <w:t xml:space="preserve">Subsīdijas un dotācijas </w:t>
            </w:r>
            <w:r w:rsidRPr="00E40B8E">
              <w:rPr>
                <w:shd w:val="clear" w:color="auto" w:fill="FFFFFF"/>
                <w:lang w:bidi="lv-LV"/>
              </w:rPr>
              <w:t xml:space="preserve">3 721 455 </w:t>
            </w:r>
            <w:r w:rsidRPr="00E40B8E" w:rsidR="00B9441A">
              <w:rPr>
                <w:i/>
                <w:noProof/>
              </w:rPr>
              <w:t>euro</w:t>
            </w:r>
          </w:p>
          <w:p w:rsidR="002E091D" w:rsidRPr="00E40B8E" w:rsidP="002E091D">
            <w:pPr>
              <w:rPr>
                <w:i/>
                <w:noProof/>
              </w:rPr>
            </w:pPr>
          </w:p>
          <w:p w:rsidR="002E091D" w:rsidRPr="00E40B8E" w:rsidP="002E091D">
            <w:pPr>
              <w:jc w:val="both"/>
              <w:rPr>
                <w:noProof/>
                <w:u w:val="single"/>
              </w:rPr>
            </w:pPr>
            <w:r w:rsidRPr="00E40B8E">
              <w:rPr>
                <w:noProof/>
                <w:u w:val="single"/>
              </w:rPr>
              <w:t>Veselības ministrijas (NVD) budžeta programmas 45.00.00 “Veselības aprūpes finansējuma administrēšana” apakšprogrammā 45.01.00 “Veselības aprūpes finansējuma administrēšana un ekonomiskā novērtēšana”:</w:t>
            </w:r>
          </w:p>
          <w:p w:rsidR="002E091D" w:rsidRPr="00E40B8E" w:rsidP="002E091D">
            <w:pPr>
              <w:rPr>
                <w:i/>
                <w:noProof/>
              </w:rPr>
            </w:pPr>
            <w:r w:rsidRPr="00E40B8E">
              <w:rPr>
                <w:noProof/>
              </w:rPr>
              <w:t xml:space="preserve">Resursi izdevumu segšanai </w:t>
            </w:r>
            <w:r w:rsidRPr="00E40B8E">
              <w:rPr>
                <w:shd w:val="clear" w:color="auto" w:fill="FFFFFF"/>
                <w:lang w:bidi="lv-LV"/>
              </w:rPr>
              <w:t xml:space="preserve">6 204 096 </w:t>
            </w:r>
            <w:r w:rsidRPr="00E40B8E" w:rsidR="00B9441A">
              <w:rPr>
                <w:i/>
                <w:noProof/>
              </w:rPr>
              <w:t>euro</w:t>
            </w:r>
          </w:p>
          <w:p w:rsidR="002E091D" w:rsidRPr="00E40B8E" w:rsidP="002E091D">
            <w:pPr>
              <w:tabs>
                <w:tab w:val="right" w:pos="259"/>
              </w:tabs>
              <w:ind w:firstLine="298"/>
              <w:rPr>
                <w:noProof/>
              </w:rPr>
            </w:pPr>
            <w:r w:rsidRPr="00E40B8E">
              <w:rPr>
                <w:noProof/>
              </w:rPr>
              <w:t xml:space="preserve">Ieņēmumi no maksas pakalpojumiem </w:t>
            </w:r>
            <w:r w:rsidRPr="00E40B8E">
              <w:rPr>
                <w:shd w:val="clear" w:color="auto" w:fill="FFFFFF"/>
                <w:lang w:bidi="lv-LV"/>
              </w:rPr>
              <w:t xml:space="preserve">1 519 729 </w:t>
            </w:r>
            <w:r w:rsidRPr="00E40B8E" w:rsidR="00B9441A">
              <w:rPr>
                <w:i/>
                <w:noProof/>
              </w:rPr>
              <w:t>euro</w:t>
            </w:r>
          </w:p>
          <w:p w:rsidR="002E091D" w:rsidRPr="00E40B8E" w:rsidP="002E091D">
            <w:pPr>
              <w:ind w:firstLine="259"/>
              <w:rPr>
                <w:noProof/>
              </w:rPr>
            </w:pPr>
            <w:r w:rsidRPr="00E40B8E">
              <w:rPr>
                <w:noProof/>
              </w:rPr>
              <w:t xml:space="preserve">Dotācija no vispārējiem ieņēmumiem </w:t>
            </w:r>
            <w:r w:rsidRPr="00E40B8E">
              <w:rPr>
                <w:shd w:val="clear" w:color="auto" w:fill="FFFFFF"/>
                <w:lang w:bidi="lv-LV"/>
              </w:rPr>
              <w:t xml:space="preserve"> 4 684 367 </w:t>
            </w:r>
            <w:r w:rsidRPr="00E40B8E" w:rsidR="00B9441A">
              <w:rPr>
                <w:i/>
                <w:noProof/>
              </w:rPr>
              <w:t>euro</w:t>
            </w:r>
            <w:r w:rsidRPr="00E40B8E">
              <w:rPr>
                <w:noProof/>
              </w:rPr>
              <w:t xml:space="preserve"> </w:t>
            </w:r>
          </w:p>
          <w:p w:rsidR="002E091D" w:rsidRPr="00E40B8E" w:rsidP="002E091D">
            <w:pPr>
              <w:rPr>
                <w:noProof/>
              </w:rPr>
            </w:pPr>
            <w:r w:rsidRPr="00E40B8E">
              <w:rPr>
                <w:noProof/>
              </w:rPr>
              <w:t xml:space="preserve">Izdevumi </w:t>
            </w:r>
            <w:r w:rsidRPr="00E40B8E">
              <w:rPr>
                <w:shd w:val="clear" w:color="auto" w:fill="FFFFFF"/>
                <w:lang w:bidi="lv-LV"/>
              </w:rPr>
              <w:t xml:space="preserve">6 204 096 </w:t>
            </w:r>
            <w:r w:rsidRPr="00E40B8E" w:rsidR="00B9441A">
              <w:rPr>
                <w:i/>
                <w:noProof/>
              </w:rPr>
              <w:t>euro</w:t>
            </w:r>
            <w:r w:rsidRPr="00E40B8E">
              <w:rPr>
                <w:noProof/>
              </w:rPr>
              <w:t>, tai skaitā:</w:t>
            </w:r>
          </w:p>
          <w:p w:rsidR="002E091D" w:rsidRPr="00E40B8E" w:rsidP="002E091D">
            <w:pPr>
              <w:ind w:firstLine="363"/>
              <w:rPr>
                <w:i/>
                <w:noProof/>
              </w:rPr>
            </w:pPr>
            <w:r w:rsidRPr="00E40B8E">
              <w:rPr>
                <w:noProof/>
              </w:rPr>
              <w:t xml:space="preserve">Atlīdzība 3 247 862 </w:t>
            </w:r>
            <w:r w:rsidRPr="00E40B8E" w:rsidR="00B9441A">
              <w:rPr>
                <w:i/>
                <w:noProof/>
              </w:rPr>
              <w:t>euro</w:t>
            </w:r>
          </w:p>
          <w:p w:rsidR="002E091D" w:rsidRPr="00E40B8E" w:rsidP="002E091D">
            <w:pPr>
              <w:ind w:firstLine="363"/>
              <w:rPr>
                <w:noProof/>
              </w:rPr>
            </w:pPr>
            <w:r w:rsidRPr="00E40B8E">
              <w:rPr>
                <w:noProof/>
              </w:rPr>
              <w:t xml:space="preserve">Preces un pakalpojumi 2 644 602 </w:t>
            </w:r>
            <w:r w:rsidRPr="00E40B8E" w:rsidR="00B9441A">
              <w:rPr>
                <w:i/>
                <w:noProof/>
              </w:rPr>
              <w:t>euro</w:t>
            </w:r>
          </w:p>
          <w:p w:rsidR="002E091D" w:rsidRPr="00E40B8E" w:rsidP="002E091D">
            <w:pPr>
              <w:ind w:firstLine="259"/>
              <w:rPr>
                <w:i/>
                <w:noProof/>
              </w:rPr>
            </w:pPr>
            <w:r w:rsidRPr="00E40B8E">
              <w:rPr>
                <w:noProof/>
              </w:rPr>
              <w:t xml:space="preserve">Subsīdijas un dotācijas </w:t>
            </w:r>
            <w:r w:rsidRPr="00E40B8E">
              <w:rPr>
                <w:shd w:val="clear" w:color="auto" w:fill="FFFFFF"/>
                <w:lang w:bidi="lv-LV"/>
              </w:rPr>
              <w:t xml:space="preserve">201 161 </w:t>
            </w:r>
            <w:r w:rsidRPr="00E40B8E" w:rsidR="00B9441A">
              <w:rPr>
                <w:i/>
                <w:noProof/>
              </w:rPr>
              <w:t>euro</w:t>
            </w:r>
          </w:p>
          <w:p w:rsidR="002E091D" w:rsidRPr="00E40B8E" w:rsidP="002E091D">
            <w:pPr>
              <w:ind w:firstLine="259"/>
              <w:rPr>
                <w:i/>
                <w:noProof/>
              </w:rPr>
            </w:pPr>
            <w:r w:rsidRPr="00E40B8E">
              <w:rPr>
                <w:noProof/>
              </w:rPr>
              <w:t>Kapitālie izdevumi 110 471</w:t>
            </w:r>
            <w:r w:rsidRPr="00E40B8E">
              <w:rPr>
                <w:i/>
                <w:noProof/>
              </w:rPr>
              <w:t xml:space="preserve"> </w:t>
            </w:r>
            <w:r w:rsidRPr="00E40B8E" w:rsidR="00B9441A">
              <w:rPr>
                <w:i/>
                <w:noProof/>
              </w:rPr>
              <w:t>euro</w:t>
            </w:r>
          </w:p>
          <w:p w:rsidR="001C1C87" w:rsidP="0080529B">
            <w:pPr>
              <w:jc w:val="both"/>
              <w:rPr>
                <w:shd w:val="clear" w:color="auto" w:fill="FFFFFF"/>
              </w:rPr>
            </w:pPr>
          </w:p>
          <w:p w:rsidR="001C1C87" w:rsidRPr="0080529B" w:rsidP="001C1C87">
            <w:pPr>
              <w:pStyle w:val="NormalWeb"/>
              <w:spacing w:before="0" w:beforeAutospacing="0" w:after="0" w:afterAutospacing="0"/>
              <w:ind w:firstLine="725"/>
              <w:jc w:val="both"/>
            </w:pPr>
            <w:r w:rsidRPr="0080529B">
              <w:t xml:space="preserve">Lai palielinātu </w:t>
            </w:r>
            <w:r w:rsidRPr="0080529B">
              <w:rPr>
                <w:b/>
              </w:rPr>
              <w:t>ārstniecības personu</w:t>
            </w:r>
            <w:r w:rsidRPr="0080529B">
              <w:t xml:space="preserve"> zemāko mēnešalgas likmi par slodzi 6.-1. ārstniecības personas amata kvalifikācijas kategorijai atbilstoši Noteikumu Nr.595 2.pielikumam, </w:t>
            </w:r>
            <w:r w:rsidRPr="0080529B">
              <w:rPr>
                <w:b/>
              </w:rPr>
              <w:t xml:space="preserve">ņemts vērā pieejamais finansējums 90 142 231 </w:t>
            </w:r>
            <w:r w:rsidRPr="0080529B">
              <w:rPr>
                <w:b/>
                <w:i/>
              </w:rPr>
              <w:t>euro</w:t>
            </w:r>
            <w:r w:rsidRPr="0080529B">
              <w:rPr>
                <w:b/>
                <w:i/>
              </w:rPr>
              <w:t xml:space="preserve"> </w:t>
            </w:r>
            <w:r w:rsidRPr="0080529B">
              <w:rPr>
                <w:b/>
              </w:rPr>
              <w:t xml:space="preserve">apmērā </w:t>
            </w:r>
            <w:r w:rsidRPr="0080529B">
              <w:t>t.sk.:</w:t>
            </w:r>
          </w:p>
          <w:p w:rsidR="001C1C87" w:rsidRPr="0080529B" w:rsidP="001C1C87">
            <w:pPr>
              <w:pStyle w:val="tabteksts"/>
              <w:numPr>
                <w:ilvl w:val="0"/>
                <w:numId w:val="44"/>
              </w:numPr>
              <w:tabs>
                <w:tab w:val="left" w:pos="806"/>
              </w:tabs>
              <w:ind w:left="97" w:firstLine="567"/>
              <w:jc w:val="both"/>
              <w:rPr>
                <w:sz w:val="24"/>
                <w:szCs w:val="24"/>
              </w:rPr>
            </w:pPr>
            <w:r w:rsidRPr="0080529B">
              <w:rPr>
                <w:sz w:val="24"/>
                <w:szCs w:val="24"/>
              </w:rPr>
              <w:t xml:space="preserve">Veselības ministrijai piešķirtais finansējums </w:t>
            </w:r>
            <w:r w:rsidRPr="0080529B">
              <w:rPr>
                <w:sz w:val="24"/>
                <w:szCs w:val="24"/>
                <w:u w:val="single"/>
              </w:rPr>
              <w:t xml:space="preserve">10 milj. </w:t>
            </w:r>
            <w:r w:rsidRPr="0080529B">
              <w:rPr>
                <w:i/>
                <w:sz w:val="24"/>
                <w:szCs w:val="24"/>
                <w:u w:val="single"/>
              </w:rPr>
              <w:t>euro</w:t>
            </w:r>
            <w:r w:rsidRPr="0080529B">
              <w:rPr>
                <w:sz w:val="24"/>
                <w:szCs w:val="24"/>
              </w:rPr>
              <w:t xml:space="preserve"> apmērā (Ministru kabineta 16.11.2015 sēdes  protokols Nr.59, 23.§ 10.punkts) valsts un pašvaldību ārstniecības iestādēs nodarbināto ārstniecības personu un pārējo valsts un pašvaldību ārstniecības iestādēs nodarbināto darba samaksas paaugstināšanai  integrēšana tarifos;</w:t>
            </w:r>
          </w:p>
          <w:p w:rsidR="001C1C87" w:rsidRPr="00425B47" w:rsidP="001C1C87">
            <w:pPr>
              <w:pStyle w:val="tabteksts"/>
              <w:numPr>
                <w:ilvl w:val="0"/>
                <w:numId w:val="44"/>
              </w:numPr>
              <w:tabs>
                <w:tab w:val="left" w:pos="806"/>
              </w:tabs>
              <w:ind w:left="97" w:firstLine="567"/>
              <w:jc w:val="both"/>
              <w:rPr>
                <w:sz w:val="24"/>
                <w:szCs w:val="24"/>
              </w:rPr>
            </w:pPr>
            <w:r w:rsidRPr="0080529B">
              <w:rPr>
                <w:sz w:val="24"/>
                <w:szCs w:val="24"/>
              </w:rPr>
              <w:t xml:space="preserve"> Atbilstoši likumam “Par valsts budžetu 2018.gadam” </w:t>
            </w:r>
            <w:r w:rsidR="005710A3">
              <w:rPr>
                <w:sz w:val="24"/>
                <w:szCs w:val="24"/>
              </w:rPr>
              <w:t>un “</w:t>
            </w:r>
            <w:r w:rsidRPr="005710A3" w:rsidR="005710A3">
              <w:rPr>
                <w:sz w:val="24"/>
                <w:szCs w:val="24"/>
              </w:rPr>
              <w:t>Par vidēja termiņa budžeta ietvaru 2018., 2019. un 2020. gadam</w:t>
            </w:r>
            <w:r w:rsidR="005710A3">
              <w:rPr>
                <w:sz w:val="24"/>
                <w:szCs w:val="24"/>
              </w:rPr>
              <w:t xml:space="preserve">” (izsludināti </w:t>
            </w:r>
            <w:r w:rsidRPr="0080529B">
              <w:rPr>
                <w:sz w:val="24"/>
                <w:szCs w:val="24"/>
              </w:rPr>
              <w:t xml:space="preserve">2017.gada 6.decembrī) piešķirtais finansējums </w:t>
            </w:r>
            <w:r w:rsidRPr="0080529B">
              <w:rPr>
                <w:sz w:val="24"/>
                <w:szCs w:val="24"/>
                <w:u w:val="single"/>
              </w:rPr>
              <w:t>3 210</w:t>
            </w:r>
            <w:r w:rsidRPr="0080529B" w:rsidR="00783124">
              <w:rPr>
                <w:sz w:val="24"/>
                <w:szCs w:val="24"/>
                <w:u w:val="single"/>
              </w:rPr>
              <w:t> </w:t>
            </w:r>
            <w:r w:rsidRPr="0080529B">
              <w:rPr>
                <w:sz w:val="24"/>
                <w:szCs w:val="24"/>
                <w:u w:val="single"/>
              </w:rPr>
              <w:t>921</w:t>
            </w:r>
            <w:r w:rsidRPr="0080529B" w:rsidR="00783124">
              <w:rPr>
                <w:sz w:val="24"/>
                <w:szCs w:val="24"/>
                <w:u w:val="single"/>
              </w:rPr>
              <w:t> </w:t>
            </w:r>
            <w:r w:rsidRPr="0080529B">
              <w:rPr>
                <w:i/>
                <w:sz w:val="24"/>
                <w:szCs w:val="24"/>
                <w:u w:val="single"/>
              </w:rPr>
              <w:t>euro</w:t>
            </w:r>
            <w:r w:rsidRPr="0080529B">
              <w:rPr>
                <w:sz w:val="24"/>
                <w:szCs w:val="24"/>
              </w:rPr>
              <w:t xml:space="preserve"> apmērā minimālās </w:t>
            </w:r>
            <w:r w:rsidRPr="0080529B">
              <w:rPr>
                <w:sz w:val="24"/>
                <w:szCs w:val="24"/>
                <w:shd w:val="clear" w:color="auto" w:fill="FFFFFF"/>
              </w:rPr>
              <w:t>mēneša</w:t>
            </w:r>
            <w:r w:rsidRPr="0080529B">
              <w:rPr>
                <w:sz w:val="24"/>
                <w:szCs w:val="24"/>
              </w:rPr>
              <w:t xml:space="preserve"> algas palielināšanai  līdz 430 </w:t>
            </w:r>
            <w:r w:rsidRPr="0080529B">
              <w:rPr>
                <w:i/>
                <w:sz w:val="24"/>
                <w:szCs w:val="24"/>
              </w:rPr>
              <w:t>euro</w:t>
            </w:r>
            <w:r w:rsidRPr="0080529B">
              <w:rPr>
                <w:sz w:val="24"/>
                <w:szCs w:val="24"/>
              </w:rPr>
              <w:t xml:space="preserve"> ārstniecības personām - finansējums valsts apmaksāto veselības aprūpes pakalpojumu sniegšanai (Ministru kabineta 22.</w:t>
            </w:r>
            <w:r w:rsidRPr="00425B47">
              <w:rPr>
                <w:sz w:val="24"/>
                <w:szCs w:val="24"/>
              </w:rPr>
              <w:t>08.2017 sēdes  protokols Nr.40, 43.§ 10.punkts);</w:t>
            </w:r>
          </w:p>
          <w:p w:rsidR="00425B47" w:rsidP="00425B47">
            <w:pPr>
              <w:pStyle w:val="tabteksts"/>
              <w:numPr>
                <w:ilvl w:val="0"/>
                <w:numId w:val="44"/>
              </w:numPr>
              <w:tabs>
                <w:tab w:val="left" w:pos="806"/>
              </w:tabs>
              <w:ind w:left="97" w:firstLine="567"/>
              <w:jc w:val="both"/>
              <w:rPr>
                <w:sz w:val="24"/>
                <w:szCs w:val="24"/>
              </w:rPr>
            </w:pPr>
            <w:r w:rsidRPr="00425B47">
              <w:rPr>
                <w:sz w:val="24"/>
                <w:szCs w:val="24"/>
              </w:rPr>
              <w:t xml:space="preserve">Atbilstoši likumam “Par valsts budžetu 2018.gadam” </w:t>
            </w:r>
            <w:r w:rsidRPr="00425B47" w:rsidR="004F5B80">
              <w:rPr>
                <w:sz w:val="24"/>
                <w:szCs w:val="24"/>
              </w:rPr>
              <w:t>un “Par vidēja termiņa budžeta ietvaru 2018., 2019. un 2020. gadam” (izsludināti 2017.gada 6.decembrī)</w:t>
            </w:r>
            <w:r w:rsidRPr="00425B47">
              <w:rPr>
                <w:sz w:val="24"/>
                <w:szCs w:val="24"/>
              </w:rPr>
              <w:t xml:space="preserve"> piešķirtais finansējums </w:t>
            </w:r>
            <w:r w:rsidRPr="00425B47">
              <w:rPr>
                <w:sz w:val="24"/>
                <w:szCs w:val="24"/>
                <w:u w:val="single"/>
              </w:rPr>
              <w:t>2 930</w:t>
            </w:r>
            <w:r w:rsidRPr="00425B47" w:rsidR="00783124">
              <w:rPr>
                <w:sz w:val="24"/>
                <w:szCs w:val="24"/>
                <w:u w:val="single"/>
              </w:rPr>
              <w:t> </w:t>
            </w:r>
            <w:r w:rsidRPr="00425B47">
              <w:rPr>
                <w:sz w:val="24"/>
                <w:szCs w:val="24"/>
                <w:u w:val="single"/>
              </w:rPr>
              <w:t>090</w:t>
            </w:r>
            <w:r w:rsidRPr="00425B47" w:rsidR="00783124">
              <w:rPr>
                <w:sz w:val="24"/>
                <w:szCs w:val="24"/>
                <w:u w:val="single"/>
              </w:rPr>
              <w:t> </w:t>
            </w:r>
            <w:r w:rsidRPr="00425B47" w:rsidR="00783124">
              <w:rPr>
                <w:i/>
                <w:sz w:val="24"/>
                <w:szCs w:val="24"/>
                <w:u w:val="single"/>
              </w:rPr>
              <w:t>euro</w:t>
            </w:r>
            <w:r w:rsidRPr="00425B47" w:rsidR="00783124">
              <w:rPr>
                <w:sz w:val="24"/>
                <w:szCs w:val="24"/>
              </w:rPr>
              <w:t xml:space="preserve"> apmērā </w:t>
            </w:r>
            <w:r w:rsidRPr="00425B47">
              <w:rPr>
                <w:sz w:val="24"/>
                <w:szCs w:val="24"/>
              </w:rPr>
              <w:t>pagarinātā normālā darba laika pakāpeniskai atcelšanai ārstniecības personām - integrēšanai tarifos (Ministru kabineta 20.06.2017 sēdes protokols Nr.31, 28.§ 2.punktas);</w:t>
            </w:r>
          </w:p>
          <w:p w:rsidR="00C13809" w:rsidRPr="00425B47" w:rsidP="00425B47">
            <w:pPr>
              <w:pStyle w:val="tabteksts"/>
              <w:numPr>
                <w:ilvl w:val="0"/>
                <w:numId w:val="44"/>
              </w:numPr>
              <w:tabs>
                <w:tab w:val="left" w:pos="806"/>
              </w:tabs>
              <w:ind w:left="97" w:firstLine="567"/>
              <w:jc w:val="both"/>
              <w:rPr>
                <w:sz w:val="24"/>
                <w:szCs w:val="24"/>
              </w:rPr>
            </w:pPr>
            <w:r w:rsidRPr="000116DE">
              <w:rPr>
                <w:sz w:val="24"/>
                <w:szCs w:val="24"/>
              </w:rPr>
              <w:t xml:space="preserve">Finansējums 74 001 220 </w:t>
            </w:r>
            <w:r w:rsidRPr="000116DE">
              <w:rPr>
                <w:i/>
                <w:sz w:val="24"/>
                <w:szCs w:val="24"/>
              </w:rPr>
              <w:t>euro</w:t>
            </w:r>
            <w:r w:rsidRPr="000116DE">
              <w:rPr>
                <w:i/>
                <w:sz w:val="24"/>
                <w:szCs w:val="24"/>
              </w:rPr>
              <w:t xml:space="preserve"> </w:t>
            </w:r>
            <w:r w:rsidRPr="000116DE">
              <w:rPr>
                <w:sz w:val="24"/>
                <w:szCs w:val="24"/>
              </w:rPr>
              <w:t>apmērā atbilstoši Ministru kabineta</w:t>
            </w:r>
            <w:r w:rsidRPr="000116DE" w:rsidR="00372E4E">
              <w:rPr>
                <w:sz w:val="24"/>
                <w:szCs w:val="24"/>
              </w:rPr>
              <w:t xml:space="preserve"> 05.12.2017. </w:t>
            </w:r>
            <w:r w:rsidRPr="000116DE">
              <w:rPr>
                <w:sz w:val="24"/>
                <w:szCs w:val="24"/>
              </w:rPr>
              <w:t>rīkojumam Nr.719 tiks pārdalīts no 74.resora</w:t>
            </w:r>
            <w:r w:rsidRPr="000116DE" w:rsidR="007F54FA">
              <w:rPr>
                <w:sz w:val="24"/>
                <w:szCs w:val="24"/>
              </w:rPr>
              <w:t xml:space="preserve"> </w:t>
            </w:r>
            <w:r w:rsidRPr="000116DE" w:rsidR="00425B47">
              <w:rPr>
                <w:sz w:val="24"/>
                <w:szCs w:val="24"/>
              </w:rPr>
              <w:t>“</w:t>
            </w:r>
            <w:r w:rsidRPr="000116DE" w:rsidR="007F54FA">
              <w:rPr>
                <w:sz w:val="24"/>
                <w:szCs w:val="24"/>
              </w:rPr>
              <w:t>Gadskārtējā</w:t>
            </w:r>
            <w:r w:rsidRPr="00425B47" w:rsidR="007F54FA">
              <w:rPr>
                <w:sz w:val="24"/>
                <w:szCs w:val="24"/>
              </w:rPr>
              <w:t xml:space="preserve"> valsts budžeta izpildes procesā pārdalāmais finansējums” budžeta programmas </w:t>
            </w:r>
            <w:r w:rsidRPr="00425B47" w:rsidR="007F54FA">
              <w:rPr>
                <w:sz w:val="24"/>
                <w:szCs w:val="24"/>
              </w:rPr>
              <w:t>08.00.00 “Veselības aprūpes sistēmas reformas ieviešanas finansējums”</w:t>
            </w:r>
            <w:r w:rsidR="000116DE">
              <w:rPr>
                <w:sz w:val="24"/>
                <w:szCs w:val="24"/>
              </w:rPr>
              <w:t xml:space="preserve"> uz</w:t>
            </w:r>
            <w:r w:rsidRPr="00425B47">
              <w:rPr>
                <w:sz w:val="24"/>
                <w:szCs w:val="24"/>
                <w:u w:val="single"/>
              </w:rPr>
              <w:t xml:space="preserve"> </w:t>
            </w:r>
            <w:r w:rsidRPr="000116DE">
              <w:rPr>
                <w:sz w:val="24"/>
                <w:szCs w:val="24"/>
              </w:rPr>
              <w:t>Veselības ministrija</w:t>
            </w:r>
            <w:r w:rsidRPr="000116DE" w:rsidR="007F54FA">
              <w:rPr>
                <w:sz w:val="24"/>
                <w:szCs w:val="24"/>
              </w:rPr>
              <w:t>s budžet</w:t>
            </w:r>
            <w:r w:rsidR="000116DE">
              <w:rPr>
                <w:sz w:val="24"/>
                <w:szCs w:val="24"/>
              </w:rPr>
              <w:t>u</w:t>
            </w:r>
            <w:r w:rsidRPr="000116DE" w:rsidR="007F54FA">
              <w:rPr>
                <w:sz w:val="24"/>
                <w:szCs w:val="24"/>
              </w:rPr>
              <w:t xml:space="preserve"> atlīdzības palielinājumam</w:t>
            </w:r>
            <w:r w:rsidRPr="000116DE">
              <w:rPr>
                <w:sz w:val="24"/>
                <w:szCs w:val="24"/>
              </w:rPr>
              <w:t>, ja Saeimas</w:t>
            </w:r>
            <w:r w:rsidRPr="00425B47">
              <w:rPr>
                <w:sz w:val="24"/>
                <w:szCs w:val="24"/>
              </w:rPr>
              <w:t xml:space="preserve"> Budžeta un finanšu (nodokļu) komisija </w:t>
            </w:r>
            <w:r w:rsidRPr="00425B47">
              <w:rPr>
                <w:noProof/>
                <w:sz w:val="24"/>
                <w:szCs w:val="24"/>
              </w:rPr>
              <w:t>piecu dienu laikā no attiecīgas informācijas saņemšanas būs izskatījusi un nebūs iebildusi pret apropriācijas pārdali.</w:t>
            </w:r>
          </w:p>
          <w:p w:rsidR="000B74C1" w:rsidRPr="00425B47" w:rsidP="0039676D">
            <w:pPr>
              <w:ind w:firstLine="664"/>
              <w:jc w:val="both"/>
              <w:rPr>
                <w:i/>
                <w:shd w:val="clear" w:color="auto" w:fill="FFFFFF"/>
              </w:rPr>
            </w:pPr>
            <w:r>
              <w:rPr>
                <w:shd w:val="clear" w:color="auto" w:fill="FFFFFF"/>
              </w:rPr>
              <w:t xml:space="preserve">Papildu nepieciešamais finansējums 6 141 011 </w:t>
            </w:r>
            <w:r w:rsidRPr="00843A93">
              <w:rPr>
                <w:i/>
                <w:shd w:val="clear" w:color="auto" w:fill="FFFFFF"/>
              </w:rPr>
              <w:t>euro</w:t>
            </w:r>
            <w:r w:rsidRPr="00843A93">
              <w:rPr>
                <w:shd w:val="clear" w:color="auto" w:fill="FFFFFF"/>
              </w:rPr>
              <w:t xml:space="preserve"> apmērā</w:t>
            </w:r>
            <w:r>
              <w:rPr>
                <w:i/>
                <w:shd w:val="clear" w:color="auto" w:fill="FFFFFF"/>
              </w:rPr>
              <w:t xml:space="preserve"> </w:t>
            </w:r>
            <w:r w:rsidRPr="00425B47">
              <w:rPr>
                <w:shd w:val="clear" w:color="auto" w:fill="FFFFFF"/>
              </w:rPr>
              <w:t>ir</w:t>
            </w:r>
            <w:r>
              <w:rPr>
                <w:shd w:val="clear" w:color="auto" w:fill="FFFFFF"/>
              </w:rPr>
              <w:t xml:space="preserve"> paredzēts š.g. 6.decembrī izsludinātajā likumā “Par valsts budžetu 2018.gadam” </w:t>
            </w:r>
            <w:r>
              <w:t>un likumā “</w:t>
            </w:r>
            <w:r w:rsidRPr="005710A3">
              <w:t>Par vidēja termiņa budžeta ietvaru 2018., 2019. un 2020. gadam</w:t>
            </w:r>
            <w:r>
              <w:t>”.</w:t>
            </w:r>
          </w:p>
          <w:p w:rsidR="00684021" w:rsidRPr="00E40B8E" w:rsidP="00E408C5">
            <w:pPr>
              <w:ind w:firstLine="694"/>
              <w:jc w:val="both"/>
              <w:rPr>
                <w:b/>
              </w:rPr>
            </w:pPr>
            <w:r w:rsidRPr="00E40B8E">
              <w:rPr>
                <w:b/>
              </w:rPr>
              <w:t xml:space="preserve">Darba samaksas izmaiņām </w:t>
            </w:r>
            <w:r w:rsidRPr="00E40B8E" w:rsidR="00670006">
              <w:rPr>
                <w:b/>
              </w:rPr>
              <w:t xml:space="preserve">ārstniecības personām </w:t>
            </w:r>
            <w:r w:rsidRPr="00E40B8E" w:rsidR="00E408C5">
              <w:rPr>
                <w:b/>
              </w:rPr>
              <w:t xml:space="preserve">atbilstoši MK noteikumu projektam </w:t>
            </w:r>
            <w:r w:rsidRPr="00E40B8E">
              <w:rPr>
                <w:b/>
              </w:rPr>
              <w:t xml:space="preserve">nepieciešams finansējums 90 142 231 </w:t>
            </w:r>
            <w:r w:rsidRPr="00E40B8E" w:rsidR="00B9441A">
              <w:rPr>
                <w:b/>
                <w:i/>
              </w:rPr>
              <w:t>euro</w:t>
            </w:r>
            <w:r w:rsidRPr="00E40B8E">
              <w:rPr>
                <w:b/>
              </w:rPr>
              <w:t xml:space="preserve"> apmērā tai skaitā:</w:t>
            </w:r>
          </w:p>
          <w:p w:rsidR="00552A48" w:rsidP="00552A48">
            <w:pPr>
              <w:numPr>
                <w:ilvl w:val="0"/>
                <w:numId w:val="40"/>
              </w:numPr>
              <w:jc w:val="both"/>
            </w:pPr>
            <w:r w:rsidRPr="00E40B8E">
              <w:t xml:space="preserve">Rezidentiem 2 207 398 </w:t>
            </w:r>
            <w:r w:rsidRPr="00E40B8E" w:rsidR="00B9441A">
              <w:rPr>
                <w:i/>
              </w:rPr>
              <w:t>euro</w:t>
            </w:r>
            <w:r w:rsidRPr="00E40B8E">
              <w:t xml:space="preserve"> apmērā (</w:t>
            </w:r>
            <w:r w:rsidRPr="00E40B8E" w:rsidR="00E408C5">
              <w:t xml:space="preserve">atbilstoši MK noteikumu projektam rezidentiem plānota ārstniecības personas amata kvalifikācijas kategorija Nr.2 ar zemāko mēnešalgas likmi 792 </w:t>
            </w:r>
            <w:r w:rsidRPr="00E40B8E" w:rsidR="00B9441A">
              <w:rPr>
                <w:i/>
              </w:rPr>
              <w:t>euro</w:t>
            </w:r>
            <w:r w:rsidRPr="00E40B8E" w:rsidR="00E408C5">
              <w:t xml:space="preserve"> un Ministru kabineta 2011.gada 30.augustā  noteikumi Nr.685 “Rezidentu sadales un rezidentūras finansēšanas noteikumi” paredz, ka r</w:t>
            </w:r>
            <w:r w:rsidRPr="00E40B8E">
              <w:t>ezidenta mēnešalga reģionālajā daudzprofilu slimnīcā vai ģimenes (vispārējās prakses) ārsta prak</w:t>
            </w:r>
            <w:r w:rsidRPr="00E40B8E" w:rsidR="00E408C5">
              <w:t>sē ārpus Rīgas ir vismaz par 30</w:t>
            </w:r>
            <w:r w:rsidRPr="00E40B8E">
              <w:t>% lielāka nekā zemākā mēnešalga, kas noteikta normatīvajos aktos par zemāko mēnešalgu un speciālo piemaksu ārstniecības personām;</w:t>
            </w:r>
          </w:p>
          <w:p w:rsidR="00684021" w:rsidRPr="00AE671F" w:rsidP="00552A48">
            <w:pPr>
              <w:numPr>
                <w:ilvl w:val="0"/>
                <w:numId w:val="40"/>
              </w:numPr>
              <w:jc w:val="both"/>
            </w:pPr>
            <w:r w:rsidRPr="0080529B">
              <w:t>Ārstniecības personām, kas sniedz valsts apmaksātos veselības aprūpes pakalpojumus (plānotais vidējais slodžu skaits 201</w:t>
            </w:r>
            <w:r w:rsidRPr="0080529B" w:rsidR="00EA39F4">
              <w:t>8.gadam – 22 337)</w:t>
            </w:r>
            <w:r w:rsidRPr="0080529B" w:rsidR="00F40FBB">
              <w:t xml:space="preserve"> 87 934 833 </w:t>
            </w:r>
            <w:r w:rsidRPr="0080529B" w:rsidR="00F40FBB">
              <w:rPr>
                <w:i/>
              </w:rPr>
              <w:t>euro</w:t>
            </w:r>
            <w:r w:rsidRPr="0080529B" w:rsidR="00F40FBB">
              <w:rPr>
                <w:i/>
              </w:rPr>
              <w:t xml:space="preserve"> </w:t>
            </w:r>
            <w:r w:rsidRPr="0080529B" w:rsidR="00F40FBB">
              <w:t>apmērā</w:t>
            </w:r>
            <w:r w:rsidRPr="0080529B" w:rsidR="00EA39F4">
              <w:t xml:space="preserve">, </w:t>
            </w:r>
            <w:r w:rsidRPr="0080529B">
              <w:t>lai nodrošinātu zemākās mēnešalgas likmes p</w:t>
            </w:r>
            <w:r w:rsidRPr="0080529B" w:rsidR="00670006">
              <w:t>aaugstināšanu (skatīt pielikumu</w:t>
            </w:r>
            <w:r w:rsidRPr="00AE671F">
              <w:t>).</w:t>
            </w:r>
            <w:r w:rsidRPr="00AE671F" w:rsidR="00BA2F90">
              <w:t xml:space="preserve"> Aprēķini iekļauti Ministru kabineta 2017.gada 5.decembra rīkojuma Nr.719 </w:t>
            </w:r>
            <w:r w:rsidR="00F40FBB">
              <w:t>“</w:t>
            </w:r>
            <w:r w:rsidRPr="00AE671F" w:rsidR="00552A48">
              <w:rPr>
                <w:bCs/>
              </w:rPr>
              <w:t>Par apropriāc</w:t>
            </w:r>
            <w:r w:rsidR="00F40FBB">
              <w:rPr>
                <w:bCs/>
              </w:rPr>
              <w:t>ijas pārdali no budžeta resora “</w:t>
            </w:r>
            <w:r w:rsidRPr="00AE671F" w:rsidR="00552A48">
              <w:rPr>
                <w:bCs/>
              </w:rPr>
              <w:t>74. Gadskārtējā valsts budžeta izpildes procesā pārdalāmais fi</w:t>
            </w:r>
            <w:r w:rsidR="00F40FBB">
              <w:rPr>
                <w:bCs/>
              </w:rPr>
              <w:t>nansējums" 08.00.00 programmas “</w:t>
            </w:r>
            <w:r w:rsidRPr="00AE671F" w:rsidR="00552A48">
              <w:rPr>
                <w:bCs/>
              </w:rPr>
              <w:t xml:space="preserve">Veselības aprūpes sistēmas </w:t>
            </w:r>
            <w:r w:rsidR="00F40FBB">
              <w:rPr>
                <w:bCs/>
              </w:rPr>
              <w:t>reformas ieviešanas finansējums”</w:t>
            </w:r>
            <w:r w:rsidRPr="00AE671F" w:rsidR="00552A48">
              <w:rPr>
                <w:bCs/>
              </w:rPr>
              <w:t xml:space="preserve"> </w:t>
            </w:r>
            <w:bookmarkStart w:id="5" w:name="_Hlk497814818"/>
            <w:r w:rsidR="00F40FBB">
              <w:rPr>
                <w:bCs/>
              </w:rPr>
              <w:t>uz budžeta resoru “</w:t>
            </w:r>
            <w:r w:rsidRPr="00AE671F" w:rsidR="00552A48">
              <w:rPr>
                <w:bCs/>
              </w:rPr>
              <w:t>29. Veselības ministrija</w:t>
            </w:r>
            <w:bookmarkEnd w:id="5"/>
            <w:r w:rsidR="00F40FBB">
              <w:rPr>
                <w:bCs/>
              </w:rPr>
              <w:t>””</w:t>
            </w:r>
            <w:r w:rsidRPr="00AE671F" w:rsidR="00552A48">
              <w:t xml:space="preserve"> </w:t>
            </w:r>
            <w:r w:rsidRPr="00AE671F" w:rsidR="00BA2F90">
              <w:t>(</w:t>
            </w:r>
            <w:r w:rsidRPr="00AE671F" w:rsidR="00BA2F90">
              <w:rPr>
                <w:rFonts w:eastAsia="Calibri"/>
                <w:noProof/>
              </w:rPr>
              <w:t>protokols Nr.60 30</w:t>
            </w:r>
            <w:r w:rsidRPr="00AE671F" w:rsidR="00552A48">
              <w:rPr>
                <w:rFonts w:eastAsia="Calibri"/>
                <w:noProof/>
              </w:rPr>
              <w:t>.</w:t>
            </w:r>
            <w:r w:rsidRPr="00AE671F" w:rsidR="00BA2F90">
              <w:t>§) anotācijas pielikumā.</w:t>
            </w:r>
          </w:p>
          <w:p w:rsidR="00670006" w:rsidRPr="00E40B8E" w:rsidP="00684021">
            <w:pPr>
              <w:jc w:val="both"/>
            </w:pPr>
          </w:p>
          <w:p w:rsidR="00670006" w:rsidRPr="00E40B8E" w:rsidP="00E408C5">
            <w:pPr>
              <w:ind w:firstLine="694"/>
              <w:jc w:val="both"/>
            </w:pPr>
            <w:r w:rsidRPr="00E40B8E">
              <w:rPr>
                <w:b/>
                <w:u w:val="single"/>
              </w:rPr>
              <w:t xml:space="preserve">Kopā darba samaksas izmaiņām nepieciešams finansējums </w:t>
            </w:r>
            <w:r w:rsidR="00E977E1">
              <w:rPr>
                <w:b/>
                <w:u w:val="single"/>
              </w:rPr>
              <w:t>96 531 </w:t>
            </w:r>
            <w:r w:rsidRPr="00E40B8E" w:rsidR="00E408C5">
              <w:rPr>
                <w:b/>
                <w:u w:val="single"/>
              </w:rPr>
              <w:t>630</w:t>
            </w:r>
            <w:r w:rsidRPr="00E40B8E">
              <w:rPr>
                <w:b/>
                <w:u w:val="single"/>
              </w:rPr>
              <w:t xml:space="preserve"> </w:t>
            </w:r>
            <w:r w:rsidRPr="00E40B8E" w:rsidR="00B9441A">
              <w:rPr>
                <w:b/>
                <w:i/>
                <w:u w:val="single"/>
              </w:rPr>
              <w:t>euro</w:t>
            </w:r>
            <w:r w:rsidRPr="00E40B8E">
              <w:t xml:space="preserve"> apmērā t.sk.:</w:t>
            </w:r>
          </w:p>
          <w:p w:rsidR="00670006" w:rsidRPr="00E40B8E" w:rsidP="00670006">
            <w:pPr>
              <w:numPr>
                <w:ilvl w:val="0"/>
                <w:numId w:val="40"/>
              </w:numPr>
              <w:jc w:val="both"/>
            </w:pPr>
            <w:r w:rsidRPr="00E40B8E">
              <w:t xml:space="preserve">90 142 231 </w:t>
            </w:r>
            <w:r w:rsidRPr="00E40B8E">
              <w:rPr>
                <w:i/>
              </w:rPr>
              <w:t>euro</w:t>
            </w:r>
            <w:r w:rsidRPr="00E40B8E">
              <w:t xml:space="preserve"> </w:t>
            </w:r>
            <w:r w:rsidRPr="00E40B8E" w:rsidR="002E091D">
              <w:t>ārstniecības personām, kas sniedz valsts apmaksātos veselības aprūpes pakalpojumus (plānotais vidējais slodžu skaits 2018.gadam – 22 337)</w:t>
            </w:r>
            <w:r w:rsidRPr="00E40B8E">
              <w:t xml:space="preserve"> un rezidentiem (623 esošie rezidenti vidēji gadā plus 40 rezidenti, kuri tiks uzņemti no 2018.gada 1.oktobra);</w:t>
            </w:r>
          </w:p>
          <w:p w:rsidR="002E091D" w:rsidRPr="00E40B8E" w:rsidP="00670006">
            <w:pPr>
              <w:numPr>
                <w:ilvl w:val="0"/>
                <w:numId w:val="40"/>
              </w:numPr>
              <w:jc w:val="both"/>
            </w:pPr>
            <w:r w:rsidRPr="00E40B8E">
              <w:t xml:space="preserve"> </w:t>
            </w:r>
            <w:r w:rsidRPr="00E40B8E" w:rsidR="00A266B4">
              <w:t>6 389 399</w:t>
            </w:r>
            <w:r w:rsidRPr="00E40B8E">
              <w:t xml:space="preserve"> </w:t>
            </w:r>
            <w:r w:rsidRPr="00E40B8E" w:rsidR="00B9441A">
              <w:rPr>
                <w:i/>
              </w:rPr>
              <w:t>euro</w:t>
            </w:r>
            <w:r w:rsidRPr="00E40B8E">
              <w:rPr>
                <w:i/>
              </w:rPr>
              <w:t xml:space="preserve"> </w:t>
            </w:r>
            <w:r w:rsidRPr="00E40B8E">
              <w:t>pārējam personālam, kas nepieciešams valsts apmaksāto veselības aprūpes pakalpojumu sniegšanas nodrošināšanai un nav ārstniecības personas (plānotais vidējais slodžu skaits</w:t>
            </w:r>
            <w:r w:rsidRPr="00E40B8E" w:rsidR="00E408C5">
              <w:t xml:space="preserve"> 2017.gadam – 8 582)</w:t>
            </w:r>
            <w:r w:rsidRPr="00E40B8E">
              <w:t>.</w:t>
            </w:r>
          </w:p>
        </w:tc>
      </w:tr>
      <w:tr w:rsidTr="008B4C5F">
        <w:tblPrEx>
          <w:tblW w:w="10524" w:type="dxa"/>
          <w:jc w:val="center"/>
          <w:tblLook w:val="01E0"/>
        </w:tblPrEx>
        <w:trPr>
          <w:jc w:val="center"/>
        </w:trPr>
        <w:tc>
          <w:tcPr>
            <w:tcW w:w="2712" w:type="dxa"/>
            <w:tcBorders>
              <w:top w:val="single" w:sz="4" w:space="0" w:color="auto"/>
              <w:left w:val="single" w:sz="4" w:space="0" w:color="auto"/>
              <w:bottom w:val="single" w:sz="4" w:space="0" w:color="auto"/>
              <w:right w:val="single" w:sz="4" w:space="0" w:color="auto"/>
            </w:tcBorders>
          </w:tcPr>
          <w:p w:rsidR="002E091D" w:rsidRPr="00E40B8E" w:rsidP="002E091D">
            <w:r w:rsidRPr="00E40B8E">
              <w:t>6.1. detalizēts ieņēmumu aprēķins</w:t>
            </w:r>
          </w:p>
        </w:tc>
        <w:tc>
          <w:tcPr>
            <w:tcW w:w="7812" w:type="dxa"/>
            <w:gridSpan w:val="5"/>
            <w:vMerge/>
            <w:tcBorders>
              <w:top w:val="single" w:sz="4" w:space="0" w:color="auto"/>
              <w:left w:val="single" w:sz="4" w:space="0" w:color="auto"/>
              <w:bottom w:val="single" w:sz="4" w:space="0" w:color="auto"/>
              <w:right w:val="single" w:sz="4" w:space="0" w:color="auto"/>
            </w:tcBorders>
          </w:tcPr>
          <w:p w:rsidR="002E091D" w:rsidRPr="00E40B8E" w:rsidP="002E091D">
            <w:pPr>
              <w:pStyle w:val="naisf"/>
              <w:spacing w:before="0" w:after="0"/>
              <w:ind w:firstLine="0"/>
              <w:rPr>
                <w:b/>
                <w:i/>
              </w:rPr>
            </w:pPr>
          </w:p>
        </w:tc>
      </w:tr>
      <w:tr w:rsidTr="008B4C5F">
        <w:tblPrEx>
          <w:tblW w:w="10524" w:type="dxa"/>
          <w:jc w:val="center"/>
          <w:tblLook w:val="01E0"/>
        </w:tblPrEx>
        <w:trPr>
          <w:jc w:val="center"/>
        </w:trPr>
        <w:tc>
          <w:tcPr>
            <w:tcW w:w="2712" w:type="dxa"/>
            <w:tcBorders>
              <w:top w:val="single" w:sz="4" w:space="0" w:color="auto"/>
              <w:left w:val="single" w:sz="4" w:space="0" w:color="auto"/>
              <w:bottom w:val="single" w:sz="4" w:space="0" w:color="auto"/>
              <w:right w:val="single" w:sz="4" w:space="0" w:color="auto"/>
            </w:tcBorders>
          </w:tcPr>
          <w:p w:rsidR="002E091D" w:rsidRPr="00E40B8E" w:rsidP="002E091D">
            <w:r w:rsidRPr="00E40B8E">
              <w:t>6.2. detalizēts izdevumu aprēķins</w:t>
            </w:r>
          </w:p>
        </w:tc>
        <w:tc>
          <w:tcPr>
            <w:tcW w:w="7812" w:type="dxa"/>
            <w:gridSpan w:val="5"/>
            <w:vMerge/>
            <w:tcBorders>
              <w:top w:val="single" w:sz="4" w:space="0" w:color="auto"/>
              <w:left w:val="single" w:sz="4" w:space="0" w:color="auto"/>
              <w:bottom w:val="single" w:sz="4" w:space="0" w:color="auto"/>
              <w:right w:val="single" w:sz="4" w:space="0" w:color="auto"/>
            </w:tcBorders>
          </w:tcPr>
          <w:p w:rsidR="002E091D" w:rsidRPr="00E40B8E" w:rsidP="002E091D">
            <w:pPr>
              <w:pStyle w:val="naisf"/>
              <w:spacing w:before="0" w:after="0"/>
              <w:ind w:firstLine="0"/>
              <w:rPr>
                <w:b/>
                <w:i/>
              </w:rPr>
            </w:pPr>
          </w:p>
        </w:tc>
      </w:tr>
      <w:tr w:rsidTr="008B4C5F">
        <w:tblPrEx>
          <w:tblW w:w="10524" w:type="dxa"/>
          <w:jc w:val="center"/>
          <w:tblLook w:val="01E0"/>
        </w:tblPrEx>
        <w:trPr>
          <w:jc w:val="center"/>
        </w:trPr>
        <w:tc>
          <w:tcPr>
            <w:tcW w:w="2712" w:type="dxa"/>
            <w:tcBorders>
              <w:top w:val="single" w:sz="4" w:space="0" w:color="auto"/>
              <w:left w:val="single" w:sz="4" w:space="0" w:color="auto"/>
              <w:bottom w:val="single" w:sz="4" w:space="0" w:color="auto"/>
              <w:right w:val="single" w:sz="4" w:space="0" w:color="auto"/>
            </w:tcBorders>
          </w:tcPr>
          <w:p w:rsidR="002E091D" w:rsidRPr="00E40B8E" w:rsidP="002E091D">
            <w:pPr>
              <w:tabs>
                <w:tab w:val="left" w:pos="5940"/>
              </w:tabs>
            </w:pPr>
            <w:r w:rsidRPr="00E40B8E">
              <w:t>7. Cita informācija</w:t>
            </w:r>
          </w:p>
        </w:tc>
        <w:tc>
          <w:tcPr>
            <w:tcW w:w="7812" w:type="dxa"/>
            <w:gridSpan w:val="5"/>
            <w:tcBorders>
              <w:top w:val="single" w:sz="4" w:space="0" w:color="auto"/>
              <w:left w:val="single" w:sz="4" w:space="0" w:color="auto"/>
              <w:bottom w:val="single" w:sz="4" w:space="0" w:color="auto"/>
              <w:right w:val="single" w:sz="4" w:space="0" w:color="auto"/>
            </w:tcBorders>
          </w:tcPr>
          <w:p w:rsidR="002E091D" w:rsidRPr="00E977E1" w:rsidP="00E977E1">
            <w:pPr>
              <w:pStyle w:val="xmsonormal"/>
              <w:shd w:val="clear" w:color="auto" w:fill="FFFFFF"/>
              <w:spacing w:before="0" w:beforeAutospacing="0" w:after="0" w:afterAutospacing="0"/>
              <w:ind w:firstLine="720"/>
              <w:jc w:val="both"/>
              <w:rPr>
                <w:rFonts w:cs="Angsana New"/>
                <w:color w:val="000000"/>
              </w:rPr>
            </w:pPr>
            <w:r w:rsidRPr="00AE671F">
              <w:rPr>
                <w:rFonts w:eastAsia="Calibri"/>
                <w:noProof/>
              </w:rPr>
              <w:t>Pamatojoties uz Ministru kabineta 2017.gada 5.decembra r</w:t>
            </w:r>
            <w:r w:rsidRPr="00AE671F" w:rsidR="00BA2F90">
              <w:rPr>
                <w:rFonts w:eastAsia="Calibri"/>
                <w:noProof/>
              </w:rPr>
              <w:t>ī</w:t>
            </w:r>
            <w:r w:rsidRPr="00AE671F">
              <w:rPr>
                <w:rFonts w:eastAsia="Calibri"/>
                <w:noProof/>
              </w:rPr>
              <w:t>kojumu Nr.719</w:t>
            </w:r>
            <w:r w:rsidRPr="00AE671F" w:rsidR="00813F6A">
              <w:rPr>
                <w:rFonts w:eastAsia="Calibri"/>
                <w:noProof/>
              </w:rPr>
              <w:t xml:space="preserve"> (protokols Nr.60 30. </w:t>
            </w:r>
            <w:r w:rsidRPr="00AE671F" w:rsidR="00813F6A">
              <w:t>§</w:t>
            </w:r>
            <w:r w:rsidRPr="00AE671F" w:rsidR="00813F6A">
              <w:rPr>
                <w:rFonts w:eastAsia="Calibri"/>
                <w:noProof/>
              </w:rPr>
              <w:t>)</w:t>
            </w:r>
            <w:r w:rsidRPr="00AE671F">
              <w:rPr>
                <w:rFonts w:eastAsia="Calibri"/>
                <w:noProof/>
              </w:rPr>
              <w:t xml:space="preserve"> tiks sagaidīt</w:t>
            </w:r>
            <w:r w:rsidRPr="00AE671F" w:rsidR="00552A48">
              <w:rPr>
                <w:rFonts w:eastAsia="Calibri"/>
                <w:noProof/>
              </w:rPr>
              <w:t>s</w:t>
            </w:r>
            <w:r w:rsidRPr="00AE671F">
              <w:rPr>
                <w:rFonts w:eastAsia="Calibri"/>
                <w:noProof/>
              </w:rPr>
              <w:t xml:space="preserve"> </w:t>
            </w:r>
            <w:r w:rsidRPr="00AE671F" w:rsidR="00FD4C72">
              <w:rPr>
                <w:noProof/>
              </w:rPr>
              <w:t>Saeimas Budžet</w:t>
            </w:r>
            <w:r w:rsidRPr="00AE671F" w:rsidR="00BA2F90">
              <w:rPr>
                <w:noProof/>
              </w:rPr>
              <w:t xml:space="preserve">a </w:t>
            </w:r>
            <w:r w:rsidRPr="00AE671F">
              <w:rPr>
                <w:noProof/>
              </w:rPr>
              <w:t>un finanšu (nodokļu) komisijas viedoklis, ka tai nav iebildumu par apr</w:t>
            </w:r>
            <w:r w:rsidRPr="00AE671F" w:rsidR="00BA2F90">
              <w:rPr>
                <w:noProof/>
              </w:rPr>
              <w:t>o</w:t>
            </w:r>
            <w:r w:rsidRPr="00AE671F">
              <w:rPr>
                <w:noProof/>
              </w:rPr>
              <w:t>priācijas pārdali, tālāk virzot</w:t>
            </w:r>
            <w:r w:rsidRPr="00AE671F" w:rsidR="00607C8C">
              <w:rPr>
                <w:noProof/>
              </w:rPr>
              <w:t xml:space="preserve"> </w:t>
            </w:r>
            <w:r w:rsidRPr="00AE671F" w:rsidR="00BA2F90">
              <w:rPr>
                <w:noProof/>
              </w:rPr>
              <w:t xml:space="preserve">ar </w:t>
            </w:r>
            <w:r w:rsidRPr="00AE671F" w:rsidR="00CF16DD">
              <w:rPr>
                <w:noProof/>
              </w:rPr>
              <w:t>Finanšu ministriju un Tieslietu ministriju saskaņoto</w:t>
            </w:r>
            <w:r w:rsidRPr="00AE671F" w:rsidR="00FD4C72">
              <w:rPr>
                <w:noProof/>
              </w:rPr>
              <w:t xml:space="preserve"> </w:t>
            </w:r>
            <w:r w:rsidRPr="00AE671F" w:rsidR="0039676D">
              <w:rPr>
                <w:rFonts w:eastAsia="Calibri"/>
                <w:noProof/>
              </w:rPr>
              <w:t>M</w:t>
            </w:r>
            <w:r w:rsidRPr="00AE671F" w:rsidR="000E1EB6">
              <w:rPr>
                <w:rFonts w:eastAsia="Calibri"/>
                <w:noProof/>
              </w:rPr>
              <w:t xml:space="preserve">inistru </w:t>
            </w:r>
            <w:r w:rsidRPr="00AE671F" w:rsidR="004C25E1">
              <w:rPr>
                <w:rFonts w:eastAsia="Calibri"/>
                <w:noProof/>
              </w:rPr>
              <w:t>k</w:t>
            </w:r>
            <w:r w:rsidRPr="00AE671F" w:rsidR="000E1EB6">
              <w:rPr>
                <w:rFonts w:eastAsia="Calibri"/>
                <w:noProof/>
              </w:rPr>
              <w:t>abineta</w:t>
            </w:r>
            <w:r w:rsidRPr="00AE671F" w:rsidR="00FD4C72">
              <w:rPr>
                <w:rFonts w:eastAsia="Calibri"/>
                <w:noProof/>
              </w:rPr>
              <w:t xml:space="preserve"> noteikumu projekt</w:t>
            </w:r>
            <w:r w:rsidRPr="00AE671F" w:rsidR="00BA2F90">
              <w:rPr>
                <w:rFonts w:eastAsia="Calibri"/>
                <w:noProof/>
              </w:rPr>
              <w:t>u</w:t>
            </w:r>
            <w:r w:rsidRPr="00AE671F" w:rsidR="00CB70D1">
              <w:rPr>
                <w:rFonts w:eastAsia="Calibri"/>
                <w:noProof/>
              </w:rPr>
              <w:t xml:space="preserve"> apstiprināšanai </w:t>
            </w:r>
            <w:r w:rsidRPr="00AE671F" w:rsidR="00FD4C72">
              <w:rPr>
                <w:rFonts w:eastAsia="Calibri"/>
                <w:noProof/>
              </w:rPr>
              <w:t>Minis</w:t>
            </w:r>
            <w:r w:rsidRPr="00AE671F" w:rsidR="0039676D">
              <w:rPr>
                <w:rFonts w:eastAsia="Calibri"/>
                <w:noProof/>
              </w:rPr>
              <w:t>tru kabinet</w:t>
            </w:r>
            <w:r w:rsidRPr="00AE671F" w:rsidR="00CB70D1">
              <w:rPr>
                <w:rFonts w:eastAsia="Calibri"/>
                <w:noProof/>
              </w:rPr>
              <w:t>ā</w:t>
            </w:r>
            <w:r w:rsidRPr="00AE671F" w:rsidR="000E1EB6">
              <w:rPr>
                <w:rFonts w:eastAsia="Calibri"/>
                <w:noProof/>
              </w:rPr>
              <w:t>.</w:t>
            </w:r>
            <w:r w:rsidRPr="00E977E1" w:rsidR="000E1EB6">
              <w:rPr>
                <w:rFonts w:eastAsia="Calibri"/>
                <w:noProof/>
              </w:rPr>
              <w:t xml:space="preserve"> </w:t>
            </w:r>
          </w:p>
        </w:tc>
      </w:tr>
    </w:tbl>
    <w:p w:rsidR="00156D27" w:rsidRPr="00E40B8E" w:rsidP="004411F3">
      <w:pPr>
        <w:tabs>
          <w:tab w:val="left" w:pos="5940"/>
        </w:tabs>
        <w:jc w:val="both"/>
      </w:pPr>
    </w:p>
    <w:tbl>
      <w:tblPr>
        <w:tblW w:w="10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6"/>
        <w:gridCol w:w="3594"/>
        <w:gridCol w:w="6421"/>
      </w:tblGrid>
      <w:tr w:rsidTr="00E977E1">
        <w:tblPrEx>
          <w:tblW w:w="10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413"/>
          <w:jc w:val="center"/>
        </w:trPr>
        <w:tc>
          <w:tcPr>
            <w:tcW w:w="10391" w:type="dxa"/>
            <w:gridSpan w:val="3"/>
          </w:tcPr>
          <w:p w:rsidR="007235E0" w:rsidRPr="00E40B8E" w:rsidP="007235E0">
            <w:pPr>
              <w:pStyle w:val="naisnod"/>
              <w:spacing w:before="0" w:after="0"/>
            </w:pPr>
            <w:r w:rsidRPr="00E40B8E">
              <w:t>IV. Tiesību akta projekta ietekme uz spēkā esošo tiesību normu sistēmu</w:t>
            </w:r>
          </w:p>
        </w:tc>
      </w:tr>
      <w:tr w:rsidTr="008B4C5F">
        <w:tblPrEx>
          <w:tblW w:w="10391" w:type="dxa"/>
          <w:jc w:val="center"/>
          <w:tblLayout w:type="fixed"/>
          <w:tblLook w:val="01E0"/>
        </w:tblPrEx>
        <w:trPr>
          <w:jc w:val="center"/>
        </w:trPr>
        <w:tc>
          <w:tcPr>
            <w:tcW w:w="376" w:type="dxa"/>
          </w:tcPr>
          <w:p w:rsidR="007235E0" w:rsidRPr="00E40B8E" w:rsidP="007235E0">
            <w:pPr>
              <w:pStyle w:val="naiskr"/>
              <w:tabs>
                <w:tab w:val="left" w:pos="2628"/>
              </w:tabs>
              <w:spacing w:before="0" w:after="0"/>
              <w:ind w:left="-48"/>
              <w:jc w:val="both"/>
              <w:rPr>
                <w:iCs/>
              </w:rPr>
            </w:pPr>
            <w:r w:rsidRPr="00E40B8E">
              <w:rPr>
                <w:iCs/>
              </w:rPr>
              <w:t>1.</w:t>
            </w:r>
          </w:p>
        </w:tc>
        <w:tc>
          <w:tcPr>
            <w:tcW w:w="3594" w:type="dxa"/>
          </w:tcPr>
          <w:p w:rsidR="007235E0" w:rsidRPr="00E40B8E" w:rsidP="007235E0">
            <w:pPr>
              <w:pStyle w:val="naiskr"/>
              <w:tabs>
                <w:tab w:val="left" w:pos="2628"/>
              </w:tabs>
              <w:spacing w:before="0" w:after="0"/>
              <w:jc w:val="both"/>
              <w:rPr>
                <w:iCs/>
              </w:rPr>
            </w:pPr>
            <w:r w:rsidRPr="00E40B8E">
              <w:t>Nepieciešamie saistītie tiesību aktu projekti</w:t>
            </w:r>
          </w:p>
        </w:tc>
        <w:tc>
          <w:tcPr>
            <w:tcW w:w="6421" w:type="dxa"/>
          </w:tcPr>
          <w:p w:rsidR="007235E0" w:rsidRPr="00DA0AEA" w:rsidP="00990C60">
            <w:pPr>
              <w:ind w:firstLine="709"/>
              <w:jc w:val="both"/>
              <w:rPr>
                <w:highlight w:val="yellow"/>
              </w:rPr>
            </w:pPr>
            <w:r w:rsidRPr="00E977E1">
              <w:t>Lai realizētu ārstniecības personu minimālās mēnešalgas izmaiņas</w:t>
            </w:r>
            <w:r w:rsidRPr="00E977E1" w:rsidR="00B8095A">
              <w:t>, v</w:t>
            </w:r>
            <w:r w:rsidRPr="00E977E1" w:rsidR="001565C5">
              <w:t xml:space="preserve">ienlaicīgi tiek izstrādāti grozījumi Ministru kabineta 2013.gada 17.decembra noteikumos Nr.1529 </w:t>
            </w:r>
            <w:r w:rsidRPr="00E977E1" w:rsidR="001565C5">
              <w:rPr>
                <w:noProof/>
              </w:rPr>
              <w:t>„</w:t>
            </w:r>
            <w:r w:rsidRPr="00E977E1" w:rsidR="001565C5">
              <w:t>Veselības aprūpes organizēšanas un finansēšanas kārtība”</w:t>
            </w:r>
            <w:r w:rsidRPr="00E977E1" w:rsidR="00B8095A">
              <w:t>, nosakot izmaiņas arī veselības aprūpes pakalpojumu tarifos</w:t>
            </w:r>
            <w:r w:rsidRPr="00E977E1" w:rsidR="0039676D">
              <w:t xml:space="preserve"> un </w:t>
            </w:r>
            <w:r w:rsidRPr="00E977E1" w:rsidR="0039676D">
              <w:rPr>
                <w:rFonts w:eastAsia="Calibri"/>
                <w:noProof/>
              </w:rPr>
              <w:t xml:space="preserve">Ministru kabineta rīkojuma projekts par apropriācijas pārdali no </w:t>
            </w:r>
            <w:r w:rsidRPr="00E977E1" w:rsidR="00FD4C72">
              <w:rPr>
                <w:shd w:val="clear" w:color="auto" w:fill="FFFFFF"/>
              </w:rPr>
              <w:t xml:space="preserve">budžeta resora </w:t>
            </w:r>
            <w:r w:rsidRPr="00E977E1" w:rsidR="00FD4C72">
              <w:rPr>
                <w:shd w:val="clear" w:color="auto" w:fill="FFFFFF"/>
              </w:rPr>
              <w:t>“74.</w:t>
            </w:r>
            <w:r w:rsidRPr="00E977E1" w:rsidR="0039676D">
              <w:rPr>
                <w:shd w:val="clear" w:color="auto" w:fill="FFFFFF"/>
              </w:rPr>
              <w:t>Gadskārtējā valsts budžeta izpildes procesā pārdalāmais finansējums” 08.00.00 programmas “Veselības aprūpes sistēmas reformas ieviešanas finansējums”</w:t>
            </w:r>
            <w:r w:rsidRPr="00E977E1" w:rsidR="00B8095A">
              <w:rPr>
                <w:shd w:val="clear" w:color="auto" w:fill="FFFFFF"/>
              </w:rPr>
              <w:t>, lai realizētu noteikumos paredzēto ārstniecības personu minimālās mēnešalgas palielinājumu un turpinātu sekm</w:t>
            </w:r>
            <w:r w:rsidRPr="00E977E1" w:rsidR="005F2991">
              <w:rPr>
                <w:shd w:val="clear" w:color="auto" w:fill="FFFFFF"/>
              </w:rPr>
              <w:t>ēt reformu</w:t>
            </w:r>
            <w:r w:rsidRPr="00E977E1" w:rsidR="00B8095A">
              <w:rPr>
                <w:shd w:val="clear" w:color="auto" w:fill="FFFFFF"/>
              </w:rPr>
              <w:t xml:space="preserve"> ietvaros pakalpojumu pieejamības un kvalitātes uzlabošanos</w:t>
            </w:r>
            <w:r w:rsidRPr="00E977E1" w:rsidR="0039676D">
              <w:rPr>
                <w:shd w:val="clear" w:color="auto" w:fill="FFFFFF"/>
              </w:rPr>
              <w:t>.</w:t>
            </w:r>
          </w:p>
        </w:tc>
      </w:tr>
      <w:tr w:rsidTr="008B4C5F">
        <w:tblPrEx>
          <w:tblW w:w="10391" w:type="dxa"/>
          <w:jc w:val="center"/>
          <w:tblLayout w:type="fixed"/>
          <w:tblLook w:val="01E0"/>
        </w:tblPrEx>
        <w:trPr>
          <w:jc w:val="center"/>
        </w:trPr>
        <w:tc>
          <w:tcPr>
            <w:tcW w:w="376" w:type="dxa"/>
          </w:tcPr>
          <w:p w:rsidR="007235E0" w:rsidRPr="003F7F9C" w:rsidP="007235E0">
            <w:pPr>
              <w:pStyle w:val="naiskr"/>
              <w:tabs>
                <w:tab w:val="left" w:pos="2628"/>
              </w:tabs>
              <w:spacing w:before="0" w:after="0"/>
              <w:ind w:left="-33"/>
              <w:jc w:val="both"/>
              <w:rPr>
                <w:iCs/>
              </w:rPr>
            </w:pPr>
            <w:r w:rsidRPr="003F7F9C">
              <w:rPr>
                <w:iCs/>
              </w:rPr>
              <w:t>2.</w:t>
            </w:r>
          </w:p>
        </w:tc>
        <w:tc>
          <w:tcPr>
            <w:tcW w:w="3594" w:type="dxa"/>
          </w:tcPr>
          <w:p w:rsidR="007235E0" w:rsidRPr="00DA0AEA" w:rsidP="007235E0">
            <w:pPr>
              <w:pStyle w:val="naiskr"/>
              <w:tabs>
                <w:tab w:val="left" w:pos="2628"/>
              </w:tabs>
              <w:spacing w:before="0" w:after="0"/>
              <w:jc w:val="both"/>
            </w:pPr>
            <w:r w:rsidRPr="00DA0AEA">
              <w:t>Atbildīgā institūcija</w:t>
            </w:r>
          </w:p>
        </w:tc>
        <w:tc>
          <w:tcPr>
            <w:tcW w:w="6421" w:type="dxa"/>
          </w:tcPr>
          <w:p w:rsidR="007235E0" w:rsidRPr="00DA0AEA" w:rsidP="007235E0">
            <w:pPr>
              <w:pStyle w:val="naiskr"/>
              <w:tabs>
                <w:tab w:val="left" w:pos="2628"/>
              </w:tabs>
              <w:spacing w:before="0" w:after="0"/>
              <w:jc w:val="both"/>
            </w:pPr>
            <w:r w:rsidRPr="00DA0AEA">
              <w:t>Veselības ministrija</w:t>
            </w:r>
          </w:p>
        </w:tc>
      </w:tr>
      <w:tr w:rsidTr="008B4C5F">
        <w:tblPrEx>
          <w:tblW w:w="10391" w:type="dxa"/>
          <w:jc w:val="center"/>
          <w:tblLayout w:type="fixed"/>
          <w:tblLook w:val="01E0"/>
        </w:tblPrEx>
        <w:trPr>
          <w:jc w:val="center"/>
        </w:trPr>
        <w:tc>
          <w:tcPr>
            <w:tcW w:w="376" w:type="dxa"/>
          </w:tcPr>
          <w:p w:rsidR="007235E0" w:rsidRPr="003F7F9C" w:rsidP="007235E0">
            <w:pPr>
              <w:pStyle w:val="naiskr"/>
              <w:tabs>
                <w:tab w:val="left" w:pos="2628"/>
              </w:tabs>
              <w:spacing w:before="0" w:after="0"/>
              <w:ind w:left="-33"/>
              <w:jc w:val="both"/>
              <w:rPr>
                <w:iCs/>
              </w:rPr>
            </w:pPr>
            <w:r w:rsidRPr="003F7F9C">
              <w:rPr>
                <w:iCs/>
              </w:rPr>
              <w:t>3.</w:t>
            </w:r>
          </w:p>
        </w:tc>
        <w:tc>
          <w:tcPr>
            <w:tcW w:w="3594" w:type="dxa"/>
          </w:tcPr>
          <w:p w:rsidR="007235E0" w:rsidRPr="003F7F9C" w:rsidP="007235E0">
            <w:pPr>
              <w:pStyle w:val="naiskr"/>
              <w:tabs>
                <w:tab w:val="left" w:pos="2628"/>
              </w:tabs>
              <w:spacing w:before="0" w:after="0"/>
              <w:jc w:val="both"/>
              <w:rPr>
                <w:iCs/>
              </w:rPr>
            </w:pPr>
            <w:r w:rsidRPr="003F7F9C">
              <w:t>Cita informācija</w:t>
            </w:r>
          </w:p>
        </w:tc>
        <w:tc>
          <w:tcPr>
            <w:tcW w:w="6421" w:type="dxa"/>
          </w:tcPr>
          <w:p w:rsidR="007235E0" w:rsidRPr="003F7F9C" w:rsidP="007235E0">
            <w:pPr>
              <w:pStyle w:val="naiskr"/>
              <w:tabs>
                <w:tab w:val="left" w:pos="2628"/>
              </w:tabs>
              <w:spacing w:before="0" w:after="0"/>
              <w:jc w:val="both"/>
              <w:rPr>
                <w:iCs/>
              </w:rPr>
            </w:pPr>
            <w:r w:rsidRPr="003F7F9C">
              <w:t>Nav</w:t>
            </w:r>
          </w:p>
        </w:tc>
      </w:tr>
    </w:tbl>
    <w:p w:rsidR="00840BFD" w:rsidRPr="003F7F9C" w:rsidP="00324BF3">
      <w:pPr>
        <w:pStyle w:val="naisf"/>
        <w:tabs>
          <w:tab w:val="left" w:pos="5760"/>
        </w:tabs>
        <w:spacing w:before="0" w:after="0"/>
        <w:ind w:firstLine="0"/>
        <w:rPr>
          <w:i/>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3644"/>
        <w:gridCol w:w="6320"/>
      </w:tblGrid>
      <w:tr w:rsidTr="00867783">
        <w:tblPrEx>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10356" w:type="dxa"/>
            <w:gridSpan w:val="3"/>
          </w:tcPr>
          <w:p w:rsidR="00011956" w:rsidRPr="003F7F9C" w:rsidP="00011956">
            <w:pPr>
              <w:pStyle w:val="naisnod"/>
              <w:spacing w:before="0" w:after="0"/>
            </w:pPr>
            <w:r w:rsidRPr="003F7F9C">
              <w:t>VI. Sabiedrības līdzdalība un komunikācijas aktivitātes</w:t>
            </w:r>
          </w:p>
        </w:tc>
      </w:tr>
      <w:tr w:rsidTr="00867783">
        <w:tblPrEx>
          <w:tblW w:w="10356" w:type="dxa"/>
          <w:jc w:val="center"/>
          <w:tblLayout w:type="fixed"/>
          <w:tblLook w:val="01E0"/>
        </w:tblPrEx>
        <w:trPr>
          <w:jc w:val="center"/>
        </w:trPr>
        <w:tc>
          <w:tcPr>
            <w:tcW w:w="392" w:type="dxa"/>
          </w:tcPr>
          <w:p w:rsidR="00011956" w:rsidRPr="003F7F9C" w:rsidP="00011956">
            <w:pPr>
              <w:pStyle w:val="naiskr"/>
              <w:tabs>
                <w:tab w:val="left" w:pos="2628"/>
              </w:tabs>
              <w:spacing w:before="0" w:after="0"/>
              <w:ind w:left="-48"/>
              <w:jc w:val="both"/>
              <w:rPr>
                <w:iCs/>
              </w:rPr>
            </w:pPr>
            <w:r w:rsidRPr="003F7F9C">
              <w:rPr>
                <w:iCs/>
              </w:rPr>
              <w:t>1.</w:t>
            </w:r>
          </w:p>
        </w:tc>
        <w:tc>
          <w:tcPr>
            <w:tcW w:w="3644" w:type="dxa"/>
          </w:tcPr>
          <w:p w:rsidR="00011956" w:rsidRPr="003F7F9C" w:rsidP="00011956">
            <w:pPr>
              <w:pStyle w:val="naiskr"/>
              <w:tabs>
                <w:tab w:val="left" w:pos="2628"/>
              </w:tabs>
              <w:spacing w:before="0" w:after="0"/>
              <w:rPr>
                <w:iCs/>
              </w:rPr>
            </w:pPr>
            <w:r w:rsidRPr="003F7F9C">
              <w:t>Plānotās sabiedrības līdzdalības un komunikācijas aktivitātes saistībā ar projektu</w:t>
            </w:r>
          </w:p>
        </w:tc>
        <w:tc>
          <w:tcPr>
            <w:tcW w:w="6320" w:type="dxa"/>
          </w:tcPr>
          <w:p w:rsidR="00091B43" w:rsidRPr="00DA0AEA" w:rsidP="00990C60">
            <w:pPr>
              <w:ind w:firstLine="709"/>
              <w:jc w:val="both"/>
              <w:rPr>
                <w:highlight w:val="yellow"/>
              </w:rPr>
            </w:pPr>
            <w:r w:rsidRPr="00DA0AEA">
              <w:t xml:space="preserve">Veselības ministrijas ir izveidojusi darba grupu par ārstniecības personu darba samaksas modeļa pārskatīšanu, kuras locekļi ir no Latvijas Veselības un sociālās aprūpes darbinieku arodbiedrības, </w:t>
            </w:r>
            <w:r w:rsidRPr="00DA0AEA">
              <w:rPr>
                <w:rFonts w:eastAsia="Calibri"/>
              </w:rPr>
              <w:t>Latvijas Ārstniecības un aprūpes darbinieku arodbiedrības, Latvijas Māsu asociācijas,</w:t>
            </w:r>
            <w:r w:rsidRPr="00DA0AEA">
              <w:t xml:space="preserve"> Latvijas Jauno ārstu asociācijas, Latvijas Medicīnas studentu asociācijas, Latvijas Studentu apvienības,  Latvijas ārstniecības un aprūpes darbinieku arodbiedrības, kā arī pārstāvji no slimnīcām, lai kopumā izvērtētu veselības nozares sistēmā strādājošo atalgojumu un jau piešķirtā papildus finansējuma  sadalījumu.</w:t>
            </w:r>
          </w:p>
        </w:tc>
      </w:tr>
      <w:tr w:rsidTr="00867783">
        <w:tblPrEx>
          <w:tblW w:w="10356" w:type="dxa"/>
          <w:jc w:val="center"/>
          <w:tblLayout w:type="fixed"/>
          <w:tblLook w:val="01E0"/>
        </w:tblPrEx>
        <w:trPr>
          <w:jc w:val="center"/>
        </w:trPr>
        <w:tc>
          <w:tcPr>
            <w:tcW w:w="392" w:type="dxa"/>
          </w:tcPr>
          <w:p w:rsidR="00011956" w:rsidRPr="003F7F9C" w:rsidP="00011956">
            <w:pPr>
              <w:pStyle w:val="naiskr"/>
              <w:tabs>
                <w:tab w:val="left" w:pos="2628"/>
              </w:tabs>
              <w:spacing w:before="0" w:after="0"/>
              <w:ind w:left="-33"/>
              <w:jc w:val="both"/>
              <w:rPr>
                <w:iCs/>
              </w:rPr>
            </w:pPr>
            <w:r w:rsidRPr="003F7F9C">
              <w:rPr>
                <w:iCs/>
              </w:rPr>
              <w:t>2.</w:t>
            </w:r>
          </w:p>
        </w:tc>
        <w:tc>
          <w:tcPr>
            <w:tcW w:w="3644" w:type="dxa"/>
          </w:tcPr>
          <w:p w:rsidR="00011956" w:rsidRPr="003F7F9C" w:rsidP="00011956">
            <w:pPr>
              <w:pStyle w:val="naiskr"/>
              <w:tabs>
                <w:tab w:val="left" w:pos="2628"/>
              </w:tabs>
              <w:spacing w:before="0" w:after="0"/>
              <w:jc w:val="both"/>
            </w:pPr>
            <w:r w:rsidRPr="003F7F9C">
              <w:t>Sabiedrības līdzdalība projekta izstrādē</w:t>
            </w:r>
          </w:p>
        </w:tc>
        <w:tc>
          <w:tcPr>
            <w:tcW w:w="6320" w:type="dxa"/>
          </w:tcPr>
          <w:p w:rsidR="00011956" w:rsidRPr="00E977E1" w:rsidP="00E23227">
            <w:pPr>
              <w:pStyle w:val="naiskr"/>
              <w:tabs>
                <w:tab w:val="left" w:pos="2628"/>
              </w:tabs>
              <w:spacing w:before="0" w:after="0"/>
              <w:ind w:firstLine="720"/>
              <w:jc w:val="both"/>
            </w:pPr>
            <w:r w:rsidRPr="00E977E1">
              <w:t xml:space="preserve">Tika izveidota darba grupa, kuru pārstāvēja locekļi no Latvijas Veselības un sociālās aprūpes darbinieku arodbiedrības, </w:t>
            </w:r>
            <w:r w:rsidRPr="00E977E1">
              <w:rPr>
                <w:rFonts w:eastAsia="Calibri"/>
              </w:rPr>
              <w:t>Latvijas Ārstniecības un aprūpes darbinieku arodbiedrības, Latvijas Māsu asociācijas,</w:t>
            </w:r>
            <w:r w:rsidRPr="00E977E1">
              <w:t xml:space="preserve"> Latvijas Jauno ārstu asociācijas, Latvijas Medicīnas studentu asociācijas, Latvijas Studentu apvienības,  Latvijas ārstniecības un aprūpes darbinieku arodbiedrības, kā arī pārstāvji no slimnīcām.</w:t>
            </w:r>
          </w:p>
        </w:tc>
      </w:tr>
      <w:tr w:rsidTr="00867783">
        <w:tblPrEx>
          <w:tblW w:w="10356" w:type="dxa"/>
          <w:jc w:val="center"/>
          <w:tblLayout w:type="fixed"/>
          <w:tblLook w:val="01E0"/>
        </w:tblPrEx>
        <w:trPr>
          <w:jc w:val="center"/>
        </w:trPr>
        <w:tc>
          <w:tcPr>
            <w:tcW w:w="392" w:type="dxa"/>
          </w:tcPr>
          <w:p w:rsidR="00011956" w:rsidRPr="003F7F9C" w:rsidP="00011956">
            <w:pPr>
              <w:pStyle w:val="naiskr"/>
              <w:tabs>
                <w:tab w:val="left" w:pos="2628"/>
              </w:tabs>
              <w:spacing w:before="0" w:after="0"/>
              <w:ind w:left="-33"/>
              <w:jc w:val="both"/>
              <w:rPr>
                <w:iCs/>
              </w:rPr>
            </w:pPr>
            <w:r w:rsidRPr="003F7F9C">
              <w:rPr>
                <w:iCs/>
              </w:rPr>
              <w:t>3.</w:t>
            </w:r>
          </w:p>
        </w:tc>
        <w:tc>
          <w:tcPr>
            <w:tcW w:w="3644" w:type="dxa"/>
          </w:tcPr>
          <w:p w:rsidR="00011956" w:rsidRPr="003F7F9C" w:rsidP="00011956">
            <w:pPr>
              <w:pStyle w:val="naiskr"/>
              <w:tabs>
                <w:tab w:val="left" w:pos="2628"/>
              </w:tabs>
              <w:spacing w:before="0" w:after="0"/>
              <w:jc w:val="both"/>
              <w:rPr>
                <w:iCs/>
              </w:rPr>
            </w:pPr>
            <w:r w:rsidRPr="003F7F9C">
              <w:t>Sabiedrības līdzdalības rezultāti</w:t>
            </w:r>
          </w:p>
        </w:tc>
        <w:tc>
          <w:tcPr>
            <w:tcW w:w="6320" w:type="dxa"/>
          </w:tcPr>
          <w:p w:rsidR="00026835" w:rsidRPr="00E40B8E" w:rsidP="00990C60">
            <w:pPr>
              <w:pStyle w:val="naiskr"/>
              <w:tabs>
                <w:tab w:val="left" w:pos="2628"/>
              </w:tabs>
              <w:spacing w:before="0" w:after="0"/>
              <w:ind w:firstLine="709"/>
              <w:jc w:val="both"/>
              <w:rPr>
                <w:iCs/>
              </w:rPr>
            </w:pPr>
            <w:r w:rsidRPr="00E40B8E">
              <w:t xml:space="preserve">Veselības ministrijas izveidotās darba grupas par ārstniecības personu darba samaksas modeļa pārskatīšanu locekļi tai skaitā no Latvijas Veselības un sociālās aprūpes darbinieku arodbiedrības, </w:t>
            </w:r>
            <w:r w:rsidRPr="00E40B8E">
              <w:rPr>
                <w:rFonts w:eastAsia="Calibri"/>
              </w:rPr>
              <w:t>Latvijas Ārstniecības un aprūpes darbinieku arodbiedrības, Latvijas Māsu asociācijas,</w:t>
            </w:r>
            <w:r w:rsidRPr="00E40B8E">
              <w:t xml:space="preserve"> Latvijas Jauno ārstu asociācijas, Latvijas Medicīnas studentu asociācijas, Latvijas Studentu apvienības,  Latvijas ārstniecības un aprūpes darbinieku arodbiedrības, kā arī pārstāvji no slimnīcām ir atbalstījuši Veselības ministrijas izstrādāto MK noteikumu projektu, lai varētu tikt nodrošināts ārstniecības personu darba samaksas pieaugums. </w:t>
            </w:r>
          </w:p>
        </w:tc>
      </w:tr>
      <w:tr w:rsidTr="00867783">
        <w:tblPrEx>
          <w:tblW w:w="10356" w:type="dxa"/>
          <w:jc w:val="center"/>
          <w:tblLayout w:type="fixed"/>
          <w:tblLook w:val="01E0"/>
        </w:tblPrEx>
        <w:trPr>
          <w:jc w:val="center"/>
        </w:trPr>
        <w:tc>
          <w:tcPr>
            <w:tcW w:w="392" w:type="dxa"/>
          </w:tcPr>
          <w:p w:rsidR="00011956" w:rsidRPr="003F7F9C" w:rsidP="00011956">
            <w:pPr>
              <w:pStyle w:val="naiskr"/>
              <w:tabs>
                <w:tab w:val="left" w:pos="2628"/>
              </w:tabs>
              <w:spacing w:before="0" w:after="0"/>
              <w:ind w:left="-33"/>
              <w:jc w:val="both"/>
              <w:rPr>
                <w:iCs/>
              </w:rPr>
            </w:pPr>
            <w:r w:rsidRPr="003F7F9C">
              <w:rPr>
                <w:iCs/>
              </w:rPr>
              <w:t>4.</w:t>
            </w:r>
          </w:p>
        </w:tc>
        <w:tc>
          <w:tcPr>
            <w:tcW w:w="3644" w:type="dxa"/>
          </w:tcPr>
          <w:p w:rsidR="00011956" w:rsidRPr="003F7F9C" w:rsidP="00011956">
            <w:pPr>
              <w:pStyle w:val="naiskr"/>
              <w:tabs>
                <w:tab w:val="left" w:pos="2628"/>
              </w:tabs>
              <w:spacing w:before="0" w:after="0"/>
              <w:jc w:val="both"/>
            </w:pPr>
            <w:r w:rsidRPr="003F7F9C">
              <w:t>Cita informācija</w:t>
            </w:r>
          </w:p>
        </w:tc>
        <w:tc>
          <w:tcPr>
            <w:tcW w:w="6320" w:type="dxa"/>
          </w:tcPr>
          <w:p w:rsidR="00011956" w:rsidRPr="003F7F9C" w:rsidP="00011956">
            <w:pPr>
              <w:pStyle w:val="naiskr"/>
              <w:tabs>
                <w:tab w:val="left" w:pos="2628"/>
              </w:tabs>
              <w:spacing w:before="0" w:after="0"/>
              <w:jc w:val="both"/>
            </w:pPr>
            <w:r w:rsidRPr="003F7F9C">
              <w:t>Nav</w:t>
            </w:r>
          </w:p>
        </w:tc>
      </w:tr>
    </w:tbl>
    <w:p w:rsidR="003F2368" w:rsidP="004411F3">
      <w:pPr>
        <w:tabs>
          <w:tab w:val="left" w:pos="5940"/>
        </w:tabs>
        <w:jc w:val="both"/>
      </w:pPr>
    </w:p>
    <w:p w:rsidR="00E977E1" w:rsidRPr="003F7F9C" w:rsidP="004411F3">
      <w:pPr>
        <w:tabs>
          <w:tab w:val="left" w:pos="5940"/>
        </w:tabs>
        <w:jc w:val="both"/>
      </w:pPr>
    </w:p>
    <w:tbl>
      <w:tblPr>
        <w:tblpPr w:leftFromText="180" w:rightFromText="180" w:vertAnchor="text" w:horzAnchor="margin" w:tblpXSpec="center" w:tblpY="14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1"/>
        <w:gridCol w:w="3261"/>
        <w:gridCol w:w="6383"/>
      </w:tblGrid>
      <w:tr w:rsidTr="007235E0">
        <w:tblPrEx>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10065" w:type="dxa"/>
            <w:gridSpan w:val="3"/>
            <w:vAlign w:val="center"/>
          </w:tcPr>
          <w:p w:rsidR="00D82E3E" w:rsidRPr="003F7F9C" w:rsidP="00D82E3E">
            <w:pPr>
              <w:pStyle w:val="naisnod"/>
              <w:spacing w:before="0" w:after="0"/>
            </w:pPr>
            <w:r w:rsidRPr="003F7F9C">
              <w:rPr>
                <w:bCs w:val="0"/>
              </w:rPr>
              <w:t>VII. Tiesību akta projekta izpildes nodrošināšana un tās ietekme uz institūcijām</w:t>
            </w:r>
          </w:p>
        </w:tc>
      </w:tr>
      <w:tr w:rsidTr="00867783">
        <w:tblPrEx>
          <w:tblW w:w="10065" w:type="dxa"/>
          <w:tblCellMar>
            <w:left w:w="0" w:type="dxa"/>
            <w:right w:w="0" w:type="dxa"/>
          </w:tblCellMar>
          <w:tblLook w:val="0000"/>
        </w:tblPrEx>
        <w:trPr>
          <w:trHeight w:val="630"/>
        </w:trPr>
        <w:tc>
          <w:tcPr>
            <w:tcW w:w="421" w:type="dxa"/>
          </w:tcPr>
          <w:p w:rsidR="00D82E3E" w:rsidRPr="003F7F9C" w:rsidP="00D82E3E">
            <w:pPr>
              <w:pStyle w:val="naiskr"/>
              <w:spacing w:before="0" w:after="0"/>
            </w:pPr>
            <w:r w:rsidRPr="003F7F9C">
              <w:t>1.</w:t>
            </w:r>
          </w:p>
        </w:tc>
        <w:tc>
          <w:tcPr>
            <w:tcW w:w="3261" w:type="dxa"/>
          </w:tcPr>
          <w:p w:rsidR="00D82E3E" w:rsidRPr="003F7F9C" w:rsidP="0041701E">
            <w:pPr>
              <w:pStyle w:val="naiskr"/>
              <w:spacing w:before="0" w:after="0"/>
              <w:ind w:hanging="10"/>
            </w:pPr>
            <w:r w:rsidRPr="003F7F9C">
              <w:t>Projekta izpildē iesaistītās institūcijas</w:t>
            </w:r>
          </w:p>
        </w:tc>
        <w:tc>
          <w:tcPr>
            <w:tcW w:w="6383" w:type="dxa"/>
          </w:tcPr>
          <w:p w:rsidR="00D82E3E" w:rsidRPr="003F7F9C" w:rsidP="003B5CD5">
            <w:pPr>
              <w:pStyle w:val="naiskr"/>
              <w:tabs>
                <w:tab w:val="left" w:pos="390"/>
              </w:tabs>
              <w:spacing w:before="0" w:after="0"/>
              <w:jc w:val="both"/>
            </w:pPr>
            <w:r>
              <w:t xml:space="preserve">Nacionālais veselības dienests </w:t>
            </w:r>
          </w:p>
        </w:tc>
      </w:tr>
      <w:tr w:rsidTr="00867783">
        <w:tblPrEx>
          <w:tblW w:w="10065" w:type="dxa"/>
          <w:tblCellMar>
            <w:left w:w="0" w:type="dxa"/>
            <w:right w:w="0" w:type="dxa"/>
          </w:tblCellMar>
          <w:tblLook w:val="0000"/>
        </w:tblPrEx>
        <w:trPr>
          <w:trHeight w:val="630"/>
        </w:trPr>
        <w:tc>
          <w:tcPr>
            <w:tcW w:w="421" w:type="dxa"/>
          </w:tcPr>
          <w:p w:rsidR="0041701E" w:rsidRPr="003F7F9C" w:rsidP="00D82E3E">
            <w:pPr>
              <w:pStyle w:val="naiskr"/>
              <w:spacing w:before="0" w:after="0"/>
            </w:pPr>
            <w:r w:rsidRPr="003F7F9C">
              <w:t>2.</w:t>
            </w:r>
          </w:p>
        </w:tc>
        <w:tc>
          <w:tcPr>
            <w:tcW w:w="3261" w:type="dxa"/>
          </w:tcPr>
          <w:p w:rsidR="0041701E" w:rsidRPr="003F7F9C" w:rsidP="0041701E">
            <w:r w:rsidRPr="003F7F9C">
              <w:t xml:space="preserve">Projekta izpildes ietekme uz pārvaldes funkcijām un institucionālo struktūru </w:t>
            </w:r>
          </w:p>
          <w:p w:rsidR="0041701E" w:rsidRPr="003F7F9C" w:rsidP="008B4C5F"/>
          <w:p w:rsidR="0041701E" w:rsidRPr="003F7F9C" w:rsidP="0041701E">
            <w:r w:rsidRPr="003F7F9C">
              <w:t xml:space="preserve">Jaunu institūciju izveide, esošu institūciju likvidācija vai </w:t>
            </w:r>
            <w:r w:rsidRPr="003F7F9C">
              <w:t>reorganizācija, to ietekme uz institūcijas cilvēkresursiem</w:t>
            </w:r>
          </w:p>
        </w:tc>
        <w:tc>
          <w:tcPr>
            <w:tcW w:w="6383" w:type="dxa"/>
          </w:tcPr>
          <w:p w:rsidR="006F62A2" w:rsidRPr="003F7F9C" w:rsidP="007847AD">
            <w:pPr>
              <w:pStyle w:val="naiskr"/>
              <w:tabs>
                <w:tab w:val="left" w:pos="390"/>
              </w:tabs>
              <w:spacing w:before="0" w:after="0"/>
              <w:jc w:val="both"/>
            </w:pPr>
            <w:r w:rsidRPr="00E977E1">
              <w:t>Projekts šo jomu neskar.</w:t>
            </w:r>
          </w:p>
        </w:tc>
      </w:tr>
      <w:tr w:rsidTr="00DF18C1">
        <w:tblPrEx>
          <w:tblW w:w="10065" w:type="dxa"/>
          <w:tblCellMar>
            <w:left w:w="0" w:type="dxa"/>
            <w:right w:w="0" w:type="dxa"/>
          </w:tblCellMar>
          <w:tblLook w:val="0000"/>
        </w:tblPrEx>
        <w:trPr>
          <w:trHeight w:val="485"/>
        </w:trPr>
        <w:tc>
          <w:tcPr>
            <w:tcW w:w="421" w:type="dxa"/>
          </w:tcPr>
          <w:p w:rsidR="0041701E" w:rsidRPr="003F7F9C" w:rsidP="00D82E3E">
            <w:pPr>
              <w:pStyle w:val="naiskr"/>
              <w:spacing w:before="0" w:after="0"/>
            </w:pPr>
            <w:r w:rsidRPr="003F7F9C">
              <w:t>3.</w:t>
            </w:r>
          </w:p>
        </w:tc>
        <w:tc>
          <w:tcPr>
            <w:tcW w:w="3261" w:type="dxa"/>
          </w:tcPr>
          <w:p w:rsidR="0041701E" w:rsidRPr="003F7F9C" w:rsidP="0041701E">
            <w:pPr>
              <w:pStyle w:val="naiskr"/>
              <w:spacing w:before="0" w:after="0"/>
              <w:ind w:hanging="10"/>
            </w:pPr>
            <w:r w:rsidRPr="003F7F9C">
              <w:t>Cita informācija</w:t>
            </w:r>
          </w:p>
        </w:tc>
        <w:tc>
          <w:tcPr>
            <w:tcW w:w="6383" w:type="dxa"/>
          </w:tcPr>
          <w:p w:rsidR="0041701E" w:rsidRPr="003F7F9C" w:rsidP="0041701E">
            <w:pPr>
              <w:pStyle w:val="naiskr"/>
              <w:tabs>
                <w:tab w:val="left" w:pos="390"/>
              </w:tabs>
              <w:spacing w:before="0" w:after="0"/>
              <w:ind w:firstLine="142"/>
              <w:jc w:val="both"/>
            </w:pPr>
            <w:r w:rsidRPr="003F7F9C">
              <w:t>Nav</w:t>
            </w:r>
          </w:p>
        </w:tc>
      </w:tr>
    </w:tbl>
    <w:p w:rsidR="00840BFD" w:rsidRPr="003F7F9C" w:rsidP="006C2EFA">
      <w:pPr>
        <w:pStyle w:val="naisf"/>
        <w:tabs>
          <w:tab w:val="left" w:pos="7380"/>
        </w:tabs>
        <w:spacing w:before="0" w:after="0"/>
        <w:ind w:firstLine="0"/>
      </w:pPr>
    </w:p>
    <w:p w:rsidR="00807C5A" w:rsidRPr="006C2EFA" w:rsidP="006C2EFA">
      <w:pPr>
        <w:pStyle w:val="naisf"/>
        <w:tabs>
          <w:tab w:val="left" w:pos="7380"/>
        </w:tabs>
        <w:spacing w:before="0" w:after="0"/>
        <w:ind w:firstLine="0"/>
        <w:rPr>
          <w:sz w:val="28"/>
          <w:szCs w:val="28"/>
        </w:rPr>
      </w:pPr>
      <w:r w:rsidRPr="003F7F9C">
        <w:tab/>
      </w:r>
    </w:p>
    <w:p w:rsidR="00B3770E" w:rsidRPr="00102404" w:rsidP="00C4776E">
      <w:pPr>
        <w:autoSpaceDE w:val="0"/>
        <w:autoSpaceDN w:val="0"/>
        <w:adjustRightInd w:val="0"/>
        <w:rPr>
          <w:sz w:val="28"/>
          <w:szCs w:val="28"/>
        </w:rPr>
      </w:pPr>
      <w:r w:rsidRPr="005F3F61">
        <w:rPr>
          <w:bCs/>
          <w:color w:val="000000"/>
          <w:sz w:val="28"/>
          <w:szCs w:val="28"/>
        </w:rPr>
        <w:t>Veselības ministr</w:t>
      </w:r>
      <w:r w:rsidR="00C34DDA">
        <w:rPr>
          <w:bCs/>
          <w:color w:val="000000"/>
          <w:sz w:val="28"/>
          <w:szCs w:val="28"/>
        </w:rPr>
        <w:t>e</w:t>
      </w:r>
      <w:r w:rsidRPr="005F3F61">
        <w:rPr>
          <w:bCs/>
          <w:color w:val="000000"/>
          <w:sz w:val="28"/>
          <w:szCs w:val="28"/>
        </w:rPr>
        <w:tab/>
      </w:r>
      <w:r w:rsidRPr="005F3F61">
        <w:rPr>
          <w:bCs/>
          <w:color w:val="000000"/>
          <w:sz w:val="28"/>
          <w:szCs w:val="28"/>
        </w:rPr>
        <w:tab/>
      </w:r>
      <w:r>
        <w:rPr>
          <w:bCs/>
          <w:color w:val="000000"/>
          <w:sz w:val="28"/>
          <w:szCs w:val="28"/>
        </w:rPr>
        <w:t xml:space="preserve">      </w:t>
      </w:r>
      <w:r w:rsidR="00503ADC">
        <w:rPr>
          <w:bCs/>
          <w:color w:val="000000"/>
          <w:sz w:val="28"/>
          <w:szCs w:val="28"/>
        </w:rPr>
        <w:t xml:space="preserve"> </w:t>
      </w:r>
      <w:r>
        <w:rPr>
          <w:bCs/>
          <w:color w:val="000000"/>
          <w:sz w:val="28"/>
          <w:szCs w:val="28"/>
        </w:rPr>
        <w:t xml:space="preserve">                                         </w:t>
      </w:r>
      <w:r w:rsidR="00F6613F">
        <w:rPr>
          <w:sz w:val="28"/>
          <w:szCs w:val="28"/>
        </w:rPr>
        <w:t xml:space="preserve"> </w:t>
      </w:r>
      <w:r w:rsidR="00D1545A">
        <w:rPr>
          <w:sz w:val="28"/>
          <w:szCs w:val="28"/>
        </w:rPr>
        <w:t xml:space="preserve">                    </w:t>
      </w:r>
      <w:r w:rsidR="00C34DDA">
        <w:rPr>
          <w:sz w:val="28"/>
          <w:szCs w:val="28"/>
        </w:rPr>
        <w:t>A</w:t>
      </w:r>
      <w:r w:rsidR="00597F17">
        <w:rPr>
          <w:sz w:val="28"/>
          <w:szCs w:val="28"/>
        </w:rPr>
        <w:t xml:space="preserve">nda </w:t>
      </w:r>
      <w:r w:rsidR="00C34DDA">
        <w:rPr>
          <w:sz w:val="28"/>
          <w:szCs w:val="28"/>
        </w:rPr>
        <w:t>Čakša</w:t>
      </w:r>
    </w:p>
    <w:p w:rsidR="00BF25B7" w:rsidP="001062C4">
      <w:pPr>
        <w:pStyle w:val="NormalWeb"/>
        <w:spacing w:before="0" w:beforeAutospacing="0" w:after="0" w:afterAutospacing="0"/>
        <w:rPr>
          <w:sz w:val="22"/>
          <w:szCs w:val="22"/>
        </w:rPr>
      </w:pPr>
    </w:p>
    <w:p w:rsidR="00875F5A" w:rsidP="001062C4">
      <w:pPr>
        <w:pStyle w:val="NormalWeb"/>
        <w:spacing w:before="0" w:beforeAutospacing="0" w:after="0" w:afterAutospacing="0"/>
        <w:rPr>
          <w:sz w:val="22"/>
          <w:szCs w:val="22"/>
        </w:rPr>
      </w:pPr>
    </w:p>
    <w:p w:rsidR="00840BFD" w:rsidRPr="00026835" w:rsidP="00026835">
      <w:pPr>
        <w:tabs>
          <w:tab w:val="right" w:pos="9072"/>
        </w:tabs>
        <w:ind w:right="-766"/>
        <w:rPr>
          <w:rFonts w:eastAsia="Calibri"/>
          <w:sz w:val="28"/>
          <w:szCs w:val="28"/>
          <w:lang w:eastAsia="en-US"/>
        </w:rPr>
      </w:pPr>
      <w:r w:rsidRPr="00406149">
        <w:rPr>
          <w:rFonts w:eastAsia="Calibri"/>
          <w:sz w:val="28"/>
          <w:szCs w:val="28"/>
          <w:lang w:eastAsia="en-US"/>
        </w:rPr>
        <w:t>Vīza: Valsts sekretār</w:t>
      </w:r>
      <w:r w:rsidR="00DF18C1">
        <w:rPr>
          <w:rFonts w:eastAsia="Calibri"/>
          <w:sz w:val="28"/>
          <w:szCs w:val="28"/>
          <w:lang w:eastAsia="en-US"/>
        </w:rPr>
        <w:t>s</w:t>
      </w:r>
      <w:r w:rsidRPr="00406149">
        <w:rPr>
          <w:rFonts w:eastAsia="Calibri"/>
          <w:sz w:val="28"/>
          <w:szCs w:val="28"/>
          <w:lang w:eastAsia="en-US"/>
        </w:rPr>
        <w:t xml:space="preserve">             </w:t>
      </w:r>
      <w:r w:rsidR="00D1545A">
        <w:rPr>
          <w:rFonts w:eastAsia="Calibri"/>
          <w:sz w:val="28"/>
          <w:szCs w:val="28"/>
          <w:lang w:eastAsia="en-US"/>
        </w:rPr>
        <w:t xml:space="preserve">                          </w:t>
      </w:r>
      <w:r w:rsidR="00DF18C1">
        <w:rPr>
          <w:rFonts w:eastAsia="Calibri"/>
          <w:sz w:val="28"/>
          <w:szCs w:val="28"/>
          <w:lang w:eastAsia="en-US"/>
        </w:rPr>
        <w:t xml:space="preserve">        </w:t>
      </w:r>
      <w:r w:rsidR="00D1545A">
        <w:rPr>
          <w:rFonts w:eastAsia="Calibri"/>
          <w:sz w:val="28"/>
          <w:szCs w:val="28"/>
          <w:lang w:eastAsia="en-US"/>
        </w:rPr>
        <w:t xml:space="preserve"> </w:t>
      </w:r>
      <w:r w:rsidR="00DF18C1">
        <w:rPr>
          <w:rFonts w:eastAsia="Calibri"/>
          <w:sz w:val="28"/>
          <w:szCs w:val="28"/>
          <w:lang w:eastAsia="en-US"/>
        </w:rPr>
        <w:t xml:space="preserve">                        </w:t>
      </w:r>
      <w:r w:rsidR="00DF18C1">
        <w:rPr>
          <w:rFonts w:eastAsia="Calibri"/>
          <w:color w:val="000000"/>
          <w:sz w:val="28"/>
          <w:szCs w:val="28"/>
          <w:lang w:eastAsia="en-US"/>
        </w:rPr>
        <w:t>Aivars Lapiņš</w:t>
      </w:r>
    </w:p>
    <w:p w:rsidR="00840BFD" w:rsidP="001062C4">
      <w:pPr>
        <w:pStyle w:val="NormalWeb"/>
        <w:spacing w:before="0" w:beforeAutospacing="0" w:after="0" w:afterAutospacing="0"/>
        <w:rPr>
          <w:sz w:val="22"/>
          <w:szCs w:val="22"/>
        </w:rPr>
      </w:pPr>
    </w:p>
    <w:p w:rsidR="00840BFD" w:rsidP="001062C4">
      <w:pPr>
        <w:pStyle w:val="NormalWeb"/>
        <w:spacing w:before="0" w:beforeAutospacing="0" w:after="0" w:afterAutospacing="0"/>
        <w:rPr>
          <w:sz w:val="22"/>
          <w:szCs w:val="22"/>
        </w:rPr>
      </w:pPr>
    </w:p>
    <w:p w:rsidR="00E40B8E" w:rsidP="001062C4">
      <w:pPr>
        <w:pStyle w:val="NormalWeb"/>
        <w:spacing w:before="0" w:beforeAutospacing="0" w:after="0" w:afterAutospacing="0"/>
        <w:rPr>
          <w:sz w:val="22"/>
          <w:szCs w:val="22"/>
        </w:rPr>
      </w:pPr>
    </w:p>
    <w:p w:rsidR="00E40B8E" w:rsidP="001062C4">
      <w:pPr>
        <w:pStyle w:val="NormalWeb"/>
        <w:spacing w:before="0" w:beforeAutospacing="0" w:after="0" w:afterAutospacing="0"/>
        <w:rPr>
          <w:sz w:val="22"/>
          <w:szCs w:val="22"/>
        </w:rPr>
      </w:pPr>
    </w:p>
    <w:p w:rsidR="00F6613F" w:rsidP="001062C4">
      <w:pPr>
        <w:pStyle w:val="NormalWeb"/>
        <w:spacing w:before="0" w:beforeAutospacing="0" w:after="0" w:afterAutospacing="0"/>
        <w:rPr>
          <w:sz w:val="22"/>
          <w:szCs w:val="22"/>
        </w:rPr>
      </w:pPr>
    </w:p>
    <w:p w:rsidR="00856B11" w:rsidP="00CB2B21">
      <w:pPr>
        <w:pStyle w:val="NormalWeb"/>
        <w:spacing w:before="0" w:beforeAutospacing="0" w:after="0" w:afterAutospacing="0"/>
      </w:pPr>
      <w:r w:rsidRPr="00597F17">
        <w:t>S.Kasparenko</w:t>
      </w:r>
      <w:r>
        <w:t xml:space="preserve">, </w:t>
      </w:r>
      <w:r w:rsidRPr="00597F17" w:rsidR="001062C4">
        <w:t>67876</w:t>
      </w:r>
      <w:r w:rsidRPr="00597F17">
        <w:t>147</w:t>
      </w:r>
    </w:p>
    <w:p w:rsidR="0015060C" w:rsidP="00CB2B21">
      <w:pPr>
        <w:pStyle w:val="NormalWeb"/>
        <w:spacing w:before="0" w:beforeAutospacing="0" w:after="0" w:afterAutospacing="0"/>
      </w:pPr>
      <w:r>
        <w:fldChar w:fldCharType="begin"/>
      </w:r>
      <w:r>
        <w:instrText xml:space="preserve"> HYPERLINK "mailto:Sandra.Kasparenko@vm.gov.lv" </w:instrText>
      </w:r>
      <w:r>
        <w:fldChar w:fldCharType="separate"/>
      </w:r>
      <w:r w:rsidRPr="00597F17" w:rsidR="00C34DDA">
        <w:rPr>
          <w:rStyle w:val="Hyperlink"/>
          <w:color w:val="auto"/>
          <w:u w:val="none"/>
        </w:rPr>
        <w:t>Sandra.Kasparenko@vm.gov.lv</w:t>
      </w:r>
      <w:r>
        <w:fldChar w:fldCharType="end"/>
      </w:r>
    </w:p>
    <w:p w:rsidR="00856B11" w:rsidP="00CB2B21">
      <w:pPr>
        <w:pStyle w:val="NormalWeb"/>
        <w:spacing w:before="0" w:beforeAutospacing="0" w:after="0" w:afterAutospacing="0"/>
      </w:pPr>
      <w:r>
        <w:t>L.Zandberga</w:t>
      </w:r>
      <w:r>
        <w:t>, 67876041</w:t>
      </w:r>
    </w:p>
    <w:p w:rsidR="00856B11" w:rsidRPr="00597F17" w:rsidP="00CB2B21">
      <w:pPr>
        <w:pStyle w:val="NormalWeb"/>
        <w:spacing w:before="0" w:beforeAutospacing="0" w:after="0" w:afterAutospacing="0"/>
      </w:pPr>
      <w:r>
        <w:t>Lasma.Zandberga@vm.gov.lv</w:t>
      </w:r>
    </w:p>
    <w:sectPr w:rsidSect="00597F17">
      <w:headerReference w:type="even" r:id="rId5"/>
      <w:headerReference w:type="default" r:id="rId6"/>
      <w:footerReference w:type="default" r:id="rId7"/>
      <w:footerReference w:type="first" r:id="rId8"/>
      <w:pgSz w:w="11906" w:h="16838" w:code="9"/>
      <w:pgMar w:top="993" w:right="1134" w:bottom="1134" w:left="1701" w:header="709" w:footer="39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ngsana New">
    <w:panose1 w:val="02020603050405020304"/>
    <w:charset w:val="DE"/>
    <w:family w:val="roman"/>
    <w:pitch w:val="variable"/>
    <w:sig w:usb0="01000001" w:usb1="00000000" w:usb2="00000000" w:usb3="00000000" w:csb0="0001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56DA" w:rsidRPr="00597F17" w:rsidP="00B260DE">
    <w:pPr>
      <w:autoSpaceDE w:val="0"/>
      <w:autoSpaceDN w:val="0"/>
      <w:adjustRightInd w:val="0"/>
      <w:ind w:right="-568"/>
      <w:jc w:val="both"/>
      <w:rPr>
        <w:bCs/>
        <w:sz w:val="20"/>
        <w:szCs w:val="20"/>
      </w:rPr>
    </w:pPr>
    <w:r w:rsidRPr="00597F17">
      <w:rPr>
        <w:sz w:val="20"/>
        <w:szCs w:val="20"/>
      </w:rPr>
      <w:fldChar w:fldCharType="begin"/>
    </w:r>
    <w:r w:rsidRPr="00597F17">
      <w:rPr>
        <w:sz w:val="20"/>
        <w:szCs w:val="20"/>
      </w:rPr>
      <w:instrText xml:space="preserve"> FILENAME   \* MERGEFORMAT </w:instrText>
    </w:r>
    <w:r w:rsidRPr="00597F17">
      <w:rPr>
        <w:sz w:val="20"/>
        <w:szCs w:val="20"/>
      </w:rPr>
      <w:fldChar w:fldCharType="separate"/>
    </w:r>
    <w:r w:rsidRPr="00597F17">
      <w:rPr>
        <w:sz w:val="20"/>
        <w:szCs w:val="20"/>
      </w:rPr>
      <w:fldChar w:fldCharType="end"/>
    </w:r>
  </w:p>
  <w:p w:rsidR="001756DA" w:rsidRPr="007F4975" w:rsidP="007F49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56DA" w:rsidRPr="00597F17" w:rsidP="00624868">
    <w:pPr>
      <w:autoSpaceDE w:val="0"/>
      <w:autoSpaceDN w:val="0"/>
      <w:adjustRightInd w:val="0"/>
      <w:ind w:right="-568"/>
      <w:jc w:val="both"/>
      <w:rPr>
        <w:bCs/>
        <w:sz w:val="20"/>
        <w:szCs w:val="20"/>
      </w:rPr>
    </w:pPr>
    <w:r w:rsidRPr="00597F17">
      <w:rPr>
        <w:sz w:val="20"/>
        <w:szCs w:val="20"/>
      </w:rPr>
      <w:fldChar w:fldCharType="begin"/>
    </w:r>
    <w:r w:rsidRPr="00597F17">
      <w:rPr>
        <w:sz w:val="20"/>
        <w:szCs w:val="20"/>
      </w:rPr>
      <w:instrText xml:space="preserve"> FILENAME   \* MERGEFORMAT </w:instrText>
    </w:r>
    <w:r w:rsidRPr="00597F17">
      <w:rPr>
        <w:sz w:val="20"/>
        <w:szCs w:val="20"/>
      </w:rPr>
      <w:fldChar w:fldCharType="separate"/>
    </w:r>
    <w:r w:rsidRPr="00597F17">
      <w:rPr>
        <w:sz w:val="20"/>
        <w:szCs w:val="20"/>
      </w:rPr>
      <w:fldChar w:fldCharType="end"/>
    </w:r>
  </w:p>
  <w:p w:rsidR="001756DA"/>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56D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756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56D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12</w:t>
    </w:r>
    <w:r>
      <w:rPr>
        <w:rStyle w:val="PageNumber"/>
      </w:rPr>
      <w:fldChar w:fldCharType="end"/>
    </w:r>
  </w:p>
  <w:p w:rsidR="00175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2FD43AF"/>
    <w:multiLevelType w:val="hybridMultilevel"/>
    <w:tmpl w:val="A8F07C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034F0BDA"/>
    <w:multiLevelType w:val="hybridMultilevel"/>
    <w:tmpl w:val="5F000396"/>
    <w:lvl w:ilvl="0">
      <w:start w:val="1"/>
      <w:numFmt w:val="decimal"/>
      <w:lvlText w:val="%1."/>
      <w:lvlJc w:val="left"/>
      <w:pPr>
        <w:ind w:left="2912" w:hanging="360"/>
      </w:pPr>
      <w:rPr>
        <w:rFonts w:ascii="Times New Roman" w:hAnsi="Times New Roman" w:cs="Times New Roman" w:hint="default"/>
        <w:b w:val="0"/>
        <w:i w:val="0"/>
        <w:color w:val="auto"/>
        <w:sz w:val="24"/>
        <w:szCs w:val="24"/>
      </w:rPr>
    </w:lvl>
    <w:lvl w:ilvl="1">
      <w:start w:val="1"/>
      <w:numFmt w:val="decimal"/>
      <w:lvlText w:val="%2)"/>
      <w:lvlJc w:val="left"/>
      <w:pPr>
        <w:ind w:left="1494" w:hanging="360"/>
      </w:pPr>
      <w:rPr>
        <w:rFonts w:ascii="Times New Roman" w:eastAsia="Times New Roman" w:hAnsi="Times New Roman" w:cs="Times New Roman"/>
        <w:color w:val="auto"/>
      </w:r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15:restartNumberingAfterBreak="1">
    <w:nsid w:val="03A215D3"/>
    <w:multiLevelType w:val="hybridMultilevel"/>
    <w:tmpl w:val="EA5AFFCA"/>
    <w:lvl w:ilvl="0">
      <w:start w:val="1"/>
      <w:numFmt w:val="decimal"/>
      <w:lvlText w:val="%1."/>
      <w:lvlJc w:val="left"/>
      <w:pPr>
        <w:ind w:left="644" w:hanging="360"/>
      </w:pPr>
      <w:rPr>
        <w:rFonts w:ascii="Times New Roman" w:eastAsia="Times New Roman" w:hAnsi="Times New Roman" w:cs="Times New Roman"/>
        <w:color w:val="auto"/>
      </w:rPr>
    </w:lvl>
    <w:lvl w:ilvl="1" w:tentative="1">
      <w:start w:val="1"/>
      <w:numFmt w:val="bullet"/>
      <w:lvlText w:val="o"/>
      <w:lvlJc w:val="left"/>
      <w:pPr>
        <w:ind w:left="1364" w:hanging="360"/>
      </w:pPr>
      <w:rPr>
        <w:rFonts w:ascii="Courier New" w:hAnsi="Courier New" w:cs="Courier New" w:hint="default"/>
      </w:rPr>
    </w:lvl>
    <w:lvl w:ilvl="2" w:tentative="1">
      <w:start w:val="1"/>
      <w:numFmt w:val="bullet"/>
      <w:lvlText w:val=""/>
      <w:lvlJc w:val="left"/>
      <w:pPr>
        <w:ind w:left="2084" w:hanging="360"/>
      </w:pPr>
      <w:rPr>
        <w:rFonts w:ascii="Wingdings" w:hAnsi="Wingdings" w:hint="default"/>
      </w:rPr>
    </w:lvl>
    <w:lvl w:ilvl="3" w:tentative="1">
      <w:start w:val="1"/>
      <w:numFmt w:val="bullet"/>
      <w:lvlText w:val=""/>
      <w:lvlJc w:val="left"/>
      <w:pPr>
        <w:ind w:left="2804" w:hanging="360"/>
      </w:pPr>
      <w:rPr>
        <w:rFonts w:ascii="Symbol" w:hAnsi="Symbol" w:hint="default"/>
      </w:rPr>
    </w:lvl>
    <w:lvl w:ilvl="4" w:tentative="1">
      <w:start w:val="1"/>
      <w:numFmt w:val="bullet"/>
      <w:lvlText w:val="o"/>
      <w:lvlJc w:val="left"/>
      <w:pPr>
        <w:ind w:left="3524" w:hanging="360"/>
      </w:pPr>
      <w:rPr>
        <w:rFonts w:ascii="Courier New" w:hAnsi="Courier New" w:cs="Courier New" w:hint="default"/>
      </w:rPr>
    </w:lvl>
    <w:lvl w:ilvl="5" w:tentative="1">
      <w:start w:val="1"/>
      <w:numFmt w:val="bullet"/>
      <w:lvlText w:val=""/>
      <w:lvlJc w:val="left"/>
      <w:pPr>
        <w:ind w:left="4244" w:hanging="360"/>
      </w:pPr>
      <w:rPr>
        <w:rFonts w:ascii="Wingdings" w:hAnsi="Wingdings" w:hint="default"/>
      </w:rPr>
    </w:lvl>
    <w:lvl w:ilvl="6" w:tentative="1">
      <w:start w:val="1"/>
      <w:numFmt w:val="bullet"/>
      <w:lvlText w:val=""/>
      <w:lvlJc w:val="left"/>
      <w:pPr>
        <w:ind w:left="4964" w:hanging="360"/>
      </w:pPr>
      <w:rPr>
        <w:rFonts w:ascii="Symbol" w:hAnsi="Symbol" w:hint="default"/>
      </w:rPr>
    </w:lvl>
    <w:lvl w:ilvl="7" w:tentative="1">
      <w:start w:val="1"/>
      <w:numFmt w:val="bullet"/>
      <w:lvlText w:val="o"/>
      <w:lvlJc w:val="left"/>
      <w:pPr>
        <w:ind w:left="5684" w:hanging="360"/>
      </w:pPr>
      <w:rPr>
        <w:rFonts w:ascii="Courier New" w:hAnsi="Courier New" w:cs="Courier New" w:hint="default"/>
      </w:rPr>
    </w:lvl>
    <w:lvl w:ilvl="8" w:tentative="1">
      <w:start w:val="1"/>
      <w:numFmt w:val="bullet"/>
      <w:lvlText w:val=""/>
      <w:lvlJc w:val="left"/>
      <w:pPr>
        <w:ind w:left="6404" w:hanging="360"/>
      </w:pPr>
      <w:rPr>
        <w:rFonts w:ascii="Wingdings" w:hAnsi="Wingdings" w:hint="default"/>
      </w:rPr>
    </w:lvl>
  </w:abstractNum>
  <w:abstractNum w:abstractNumId="3" w15:restartNumberingAfterBreak="1">
    <w:nsid w:val="07FC123E"/>
    <w:multiLevelType w:val="hybridMultilevel"/>
    <w:tmpl w:val="F4B2051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1">
    <w:nsid w:val="0A6159C0"/>
    <w:multiLevelType w:val="multilevel"/>
    <w:tmpl w:val="F9BA10CA"/>
    <w:lvl w:ilvl="0">
      <w:start w:val="1"/>
      <w:numFmt w:val="decimal"/>
      <w:lvlText w:val="%1."/>
      <w:lvlJc w:val="left"/>
      <w:pPr>
        <w:ind w:left="360" w:hanging="360"/>
      </w:pPr>
      <w:rPr>
        <w:b w:val="0"/>
      </w:rPr>
    </w:lvl>
    <w:lvl w:ilvl="1">
      <w:start w:val="1"/>
      <w:numFmt w:val="decimal"/>
      <w:lvlText w:val="%2."/>
      <w:lvlJc w:val="left"/>
      <w:pPr>
        <w:ind w:left="792" w:hanging="432"/>
      </w:pPr>
      <w:rPr>
        <w:color w:val="auto"/>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0BD50C8E"/>
    <w:multiLevelType w:val="hybridMultilevel"/>
    <w:tmpl w:val="BD6ED6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0D925874"/>
    <w:multiLevelType w:val="hybridMultilevel"/>
    <w:tmpl w:val="027EE7CC"/>
    <w:lvl w:ilvl="0">
      <w:start w:val="158"/>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1">
    <w:nsid w:val="11076747"/>
    <w:multiLevelType w:val="hybridMultilevel"/>
    <w:tmpl w:val="74AC7162"/>
    <w:lvl w:ilvl="0">
      <w:start w:val="1"/>
      <w:numFmt w:val="decimal"/>
      <w:lvlText w:val="%1."/>
      <w:lvlJc w:val="left"/>
      <w:pPr>
        <w:ind w:left="527" w:hanging="360"/>
      </w:pPr>
      <w:rPr>
        <w:rFonts w:hint="default"/>
      </w:rPr>
    </w:lvl>
    <w:lvl w:ilvl="1" w:tentative="1">
      <w:start w:val="1"/>
      <w:numFmt w:val="lowerLetter"/>
      <w:lvlText w:val="%2."/>
      <w:lvlJc w:val="left"/>
      <w:pPr>
        <w:ind w:left="1247" w:hanging="360"/>
      </w:pPr>
    </w:lvl>
    <w:lvl w:ilvl="2" w:tentative="1">
      <w:start w:val="1"/>
      <w:numFmt w:val="lowerRoman"/>
      <w:lvlText w:val="%3."/>
      <w:lvlJc w:val="right"/>
      <w:pPr>
        <w:ind w:left="1967" w:hanging="180"/>
      </w:pPr>
    </w:lvl>
    <w:lvl w:ilvl="3" w:tentative="1">
      <w:start w:val="1"/>
      <w:numFmt w:val="decimal"/>
      <w:lvlText w:val="%4."/>
      <w:lvlJc w:val="left"/>
      <w:pPr>
        <w:ind w:left="2687" w:hanging="360"/>
      </w:pPr>
    </w:lvl>
    <w:lvl w:ilvl="4" w:tentative="1">
      <w:start w:val="1"/>
      <w:numFmt w:val="lowerLetter"/>
      <w:lvlText w:val="%5."/>
      <w:lvlJc w:val="left"/>
      <w:pPr>
        <w:ind w:left="3407" w:hanging="360"/>
      </w:pPr>
    </w:lvl>
    <w:lvl w:ilvl="5" w:tentative="1">
      <w:start w:val="1"/>
      <w:numFmt w:val="lowerRoman"/>
      <w:lvlText w:val="%6."/>
      <w:lvlJc w:val="right"/>
      <w:pPr>
        <w:ind w:left="4127" w:hanging="180"/>
      </w:pPr>
    </w:lvl>
    <w:lvl w:ilvl="6" w:tentative="1">
      <w:start w:val="1"/>
      <w:numFmt w:val="decimal"/>
      <w:lvlText w:val="%7."/>
      <w:lvlJc w:val="left"/>
      <w:pPr>
        <w:ind w:left="4847" w:hanging="360"/>
      </w:pPr>
    </w:lvl>
    <w:lvl w:ilvl="7" w:tentative="1">
      <w:start w:val="1"/>
      <w:numFmt w:val="lowerLetter"/>
      <w:lvlText w:val="%8."/>
      <w:lvlJc w:val="left"/>
      <w:pPr>
        <w:ind w:left="5567" w:hanging="360"/>
      </w:pPr>
    </w:lvl>
    <w:lvl w:ilvl="8" w:tentative="1">
      <w:start w:val="1"/>
      <w:numFmt w:val="lowerRoman"/>
      <w:lvlText w:val="%9."/>
      <w:lvlJc w:val="right"/>
      <w:pPr>
        <w:ind w:left="6287" w:hanging="180"/>
      </w:pPr>
    </w:lvl>
  </w:abstractNum>
  <w:abstractNum w:abstractNumId="8" w15:restartNumberingAfterBreak="1">
    <w:nsid w:val="114117EA"/>
    <w:multiLevelType w:val="hybridMultilevel"/>
    <w:tmpl w:val="5F7ECF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1">
    <w:nsid w:val="172C345B"/>
    <w:multiLevelType w:val="hybridMultilevel"/>
    <w:tmpl w:val="090EB5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174B3BB9"/>
    <w:multiLevelType w:val="hybridMultilevel"/>
    <w:tmpl w:val="C3763F42"/>
    <w:lvl w:ilvl="0">
      <w:start w:val="1"/>
      <w:numFmt w:val="decimal"/>
      <w:lvlText w:val="%1."/>
      <w:lvlJc w:val="left"/>
      <w:pPr>
        <w:ind w:left="644" w:hanging="360"/>
      </w:pPr>
      <w:rPr>
        <w:rFonts w:hint="default"/>
        <w:sz w:val="28"/>
        <w:szCs w:val="28"/>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1" w15:restartNumberingAfterBreak="1">
    <w:nsid w:val="17722982"/>
    <w:multiLevelType w:val="hybridMultilevel"/>
    <w:tmpl w:val="A934D0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191C0C4F"/>
    <w:multiLevelType w:val="hybridMultilevel"/>
    <w:tmpl w:val="A6D837A8"/>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1">
    <w:nsid w:val="1AA14344"/>
    <w:multiLevelType w:val="multilevel"/>
    <w:tmpl w:val="7A94FD70"/>
    <w:lvl w:ilvl="0">
      <w:start w:val="1"/>
      <w:numFmt w:val="decimal"/>
      <w:lvlText w:val="%1."/>
      <w:lvlJc w:val="left"/>
      <w:pPr>
        <w:ind w:left="525" w:hanging="525"/>
      </w:pPr>
      <w:rPr>
        <w:rFonts w:eastAsia="Calibri" w:hint="default"/>
        <w:color w:val="000000"/>
      </w:rPr>
    </w:lvl>
    <w:lvl w:ilvl="1">
      <w:start w:val="1"/>
      <w:numFmt w:val="decimal"/>
      <w:lvlText w:val="%1.%2."/>
      <w:lvlJc w:val="left"/>
      <w:pPr>
        <w:ind w:left="525" w:hanging="525"/>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14" w15:restartNumberingAfterBreak="1">
    <w:nsid w:val="1B9B34B7"/>
    <w:multiLevelType w:val="hybridMultilevel"/>
    <w:tmpl w:val="49188F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1">
    <w:nsid w:val="1BD856F5"/>
    <w:multiLevelType w:val="hybridMultilevel"/>
    <w:tmpl w:val="371C999A"/>
    <w:lvl w:ilvl="0">
      <w:start w:val="2018"/>
      <w:numFmt w:val="bullet"/>
      <w:lvlText w:val="-"/>
      <w:lvlJc w:val="left"/>
      <w:pPr>
        <w:ind w:left="502" w:hanging="360"/>
      </w:pPr>
      <w:rPr>
        <w:rFonts w:ascii="Times New Roman" w:eastAsia="Times New Roman" w:hAnsi="Times New Roman" w:cs="Times New Roman" w:hint="default"/>
      </w:rPr>
    </w:lvl>
    <w:lvl w:ilvl="1" w:tentative="1">
      <w:start w:val="1"/>
      <w:numFmt w:val="bullet"/>
      <w:lvlText w:val="o"/>
      <w:lvlJc w:val="left"/>
      <w:pPr>
        <w:ind w:left="1222" w:hanging="360"/>
      </w:pPr>
      <w:rPr>
        <w:rFonts w:ascii="Courier New" w:hAnsi="Courier New" w:cs="Courier New" w:hint="default"/>
      </w:rPr>
    </w:lvl>
    <w:lvl w:ilvl="2" w:tentative="1">
      <w:start w:val="1"/>
      <w:numFmt w:val="bullet"/>
      <w:lvlText w:val=""/>
      <w:lvlJc w:val="left"/>
      <w:pPr>
        <w:ind w:left="1942" w:hanging="360"/>
      </w:pPr>
      <w:rPr>
        <w:rFonts w:ascii="Wingdings" w:hAnsi="Wingdings" w:hint="default"/>
      </w:rPr>
    </w:lvl>
    <w:lvl w:ilvl="3" w:tentative="1">
      <w:start w:val="1"/>
      <w:numFmt w:val="bullet"/>
      <w:lvlText w:val=""/>
      <w:lvlJc w:val="left"/>
      <w:pPr>
        <w:ind w:left="2662" w:hanging="360"/>
      </w:pPr>
      <w:rPr>
        <w:rFonts w:ascii="Symbol" w:hAnsi="Symbol" w:hint="default"/>
      </w:rPr>
    </w:lvl>
    <w:lvl w:ilvl="4" w:tentative="1">
      <w:start w:val="1"/>
      <w:numFmt w:val="bullet"/>
      <w:lvlText w:val="o"/>
      <w:lvlJc w:val="left"/>
      <w:pPr>
        <w:ind w:left="3382" w:hanging="360"/>
      </w:pPr>
      <w:rPr>
        <w:rFonts w:ascii="Courier New" w:hAnsi="Courier New" w:cs="Courier New" w:hint="default"/>
      </w:rPr>
    </w:lvl>
    <w:lvl w:ilvl="5" w:tentative="1">
      <w:start w:val="1"/>
      <w:numFmt w:val="bullet"/>
      <w:lvlText w:val=""/>
      <w:lvlJc w:val="left"/>
      <w:pPr>
        <w:ind w:left="4102" w:hanging="360"/>
      </w:pPr>
      <w:rPr>
        <w:rFonts w:ascii="Wingdings" w:hAnsi="Wingdings" w:hint="default"/>
      </w:rPr>
    </w:lvl>
    <w:lvl w:ilvl="6" w:tentative="1">
      <w:start w:val="1"/>
      <w:numFmt w:val="bullet"/>
      <w:lvlText w:val=""/>
      <w:lvlJc w:val="left"/>
      <w:pPr>
        <w:ind w:left="4822" w:hanging="360"/>
      </w:pPr>
      <w:rPr>
        <w:rFonts w:ascii="Symbol" w:hAnsi="Symbol" w:hint="default"/>
      </w:rPr>
    </w:lvl>
    <w:lvl w:ilvl="7" w:tentative="1">
      <w:start w:val="1"/>
      <w:numFmt w:val="bullet"/>
      <w:lvlText w:val="o"/>
      <w:lvlJc w:val="left"/>
      <w:pPr>
        <w:ind w:left="5542" w:hanging="360"/>
      </w:pPr>
      <w:rPr>
        <w:rFonts w:ascii="Courier New" w:hAnsi="Courier New" w:cs="Courier New" w:hint="default"/>
      </w:rPr>
    </w:lvl>
    <w:lvl w:ilvl="8" w:tentative="1">
      <w:start w:val="1"/>
      <w:numFmt w:val="bullet"/>
      <w:lvlText w:val=""/>
      <w:lvlJc w:val="left"/>
      <w:pPr>
        <w:ind w:left="6262" w:hanging="360"/>
      </w:pPr>
      <w:rPr>
        <w:rFonts w:ascii="Wingdings" w:hAnsi="Wingdings" w:hint="default"/>
      </w:rPr>
    </w:lvl>
  </w:abstractNum>
  <w:abstractNum w:abstractNumId="16" w15:restartNumberingAfterBreak="1">
    <w:nsid w:val="1F4F440C"/>
    <w:multiLevelType w:val="hybridMultilevel"/>
    <w:tmpl w:val="91CCED8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1">
    <w:nsid w:val="22137CEF"/>
    <w:multiLevelType w:val="hybridMultilevel"/>
    <w:tmpl w:val="19264FA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15:restartNumberingAfterBreak="1">
    <w:nsid w:val="2B13416B"/>
    <w:multiLevelType w:val="hybridMultilevel"/>
    <w:tmpl w:val="C69CE2DE"/>
    <w:lvl w:ilvl="0">
      <w:start w:val="1"/>
      <w:numFmt w:val="bullet"/>
      <w:lvlText w:val=""/>
      <w:lvlJc w:val="left"/>
      <w:pPr>
        <w:ind w:left="1384" w:hanging="360"/>
      </w:pPr>
      <w:rPr>
        <w:rFonts w:ascii="Wingdings" w:hAnsi="Wingdings" w:hint="default"/>
      </w:rPr>
    </w:lvl>
    <w:lvl w:ilvl="1" w:tentative="1">
      <w:start w:val="1"/>
      <w:numFmt w:val="bullet"/>
      <w:lvlText w:val="o"/>
      <w:lvlJc w:val="left"/>
      <w:pPr>
        <w:ind w:left="2104" w:hanging="360"/>
      </w:pPr>
      <w:rPr>
        <w:rFonts w:ascii="Courier New" w:hAnsi="Courier New" w:cs="Courier New" w:hint="default"/>
      </w:rPr>
    </w:lvl>
    <w:lvl w:ilvl="2" w:tentative="1">
      <w:start w:val="1"/>
      <w:numFmt w:val="bullet"/>
      <w:lvlText w:val=""/>
      <w:lvlJc w:val="left"/>
      <w:pPr>
        <w:ind w:left="2824" w:hanging="360"/>
      </w:pPr>
      <w:rPr>
        <w:rFonts w:ascii="Wingdings" w:hAnsi="Wingdings" w:hint="default"/>
      </w:rPr>
    </w:lvl>
    <w:lvl w:ilvl="3" w:tentative="1">
      <w:start w:val="1"/>
      <w:numFmt w:val="bullet"/>
      <w:lvlText w:val=""/>
      <w:lvlJc w:val="left"/>
      <w:pPr>
        <w:ind w:left="3544" w:hanging="360"/>
      </w:pPr>
      <w:rPr>
        <w:rFonts w:ascii="Symbol" w:hAnsi="Symbol" w:hint="default"/>
      </w:rPr>
    </w:lvl>
    <w:lvl w:ilvl="4" w:tentative="1">
      <w:start w:val="1"/>
      <w:numFmt w:val="bullet"/>
      <w:lvlText w:val="o"/>
      <w:lvlJc w:val="left"/>
      <w:pPr>
        <w:ind w:left="4264" w:hanging="360"/>
      </w:pPr>
      <w:rPr>
        <w:rFonts w:ascii="Courier New" w:hAnsi="Courier New" w:cs="Courier New" w:hint="default"/>
      </w:rPr>
    </w:lvl>
    <w:lvl w:ilvl="5" w:tentative="1">
      <w:start w:val="1"/>
      <w:numFmt w:val="bullet"/>
      <w:lvlText w:val=""/>
      <w:lvlJc w:val="left"/>
      <w:pPr>
        <w:ind w:left="4984" w:hanging="360"/>
      </w:pPr>
      <w:rPr>
        <w:rFonts w:ascii="Wingdings" w:hAnsi="Wingdings" w:hint="default"/>
      </w:rPr>
    </w:lvl>
    <w:lvl w:ilvl="6" w:tentative="1">
      <w:start w:val="1"/>
      <w:numFmt w:val="bullet"/>
      <w:lvlText w:val=""/>
      <w:lvlJc w:val="left"/>
      <w:pPr>
        <w:ind w:left="5704" w:hanging="360"/>
      </w:pPr>
      <w:rPr>
        <w:rFonts w:ascii="Symbol" w:hAnsi="Symbol" w:hint="default"/>
      </w:rPr>
    </w:lvl>
    <w:lvl w:ilvl="7" w:tentative="1">
      <w:start w:val="1"/>
      <w:numFmt w:val="bullet"/>
      <w:lvlText w:val="o"/>
      <w:lvlJc w:val="left"/>
      <w:pPr>
        <w:ind w:left="6424" w:hanging="360"/>
      </w:pPr>
      <w:rPr>
        <w:rFonts w:ascii="Courier New" w:hAnsi="Courier New" w:cs="Courier New" w:hint="default"/>
      </w:rPr>
    </w:lvl>
    <w:lvl w:ilvl="8" w:tentative="1">
      <w:start w:val="1"/>
      <w:numFmt w:val="bullet"/>
      <w:lvlText w:val=""/>
      <w:lvlJc w:val="left"/>
      <w:pPr>
        <w:ind w:left="7144" w:hanging="360"/>
      </w:pPr>
      <w:rPr>
        <w:rFonts w:ascii="Wingdings" w:hAnsi="Wingdings" w:hint="default"/>
      </w:rPr>
    </w:lvl>
  </w:abstractNum>
  <w:abstractNum w:abstractNumId="19" w15:restartNumberingAfterBreak="1">
    <w:nsid w:val="2BB85E2E"/>
    <w:multiLevelType w:val="hybridMultilevel"/>
    <w:tmpl w:val="801AFA46"/>
    <w:lvl w:ilvl="0">
      <w:start w:val="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15:restartNumberingAfterBreak="1">
    <w:nsid w:val="3BF8571F"/>
    <w:multiLevelType w:val="hybridMultilevel"/>
    <w:tmpl w:val="1632EE84"/>
    <w:lvl w:ilvl="0">
      <w:start w:val="1"/>
      <w:numFmt w:val="decimal"/>
      <w:lvlText w:val="%1."/>
      <w:lvlJc w:val="left"/>
      <w:pPr>
        <w:ind w:left="484" w:hanging="360"/>
      </w:pPr>
      <w:rPr>
        <w:rFonts w:hint="default"/>
      </w:rPr>
    </w:lvl>
    <w:lvl w:ilvl="1" w:tentative="1">
      <w:start w:val="1"/>
      <w:numFmt w:val="lowerLetter"/>
      <w:lvlText w:val="%2."/>
      <w:lvlJc w:val="left"/>
      <w:pPr>
        <w:ind w:left="1204" w:hanging="360"/>
      </w:pPr>
    </w:lvl>
    <w:lvl w:ilvl="2" w:tentative="1">
      <w:start w:val="1"/>
      <w:numFmt w:val="lowerRoman"/>
      <w:lvlText w:val="%3."/>
      <w:lvlJc w:val="right"/>
      <w:pPr>
        <w:ind w:left="1924" w:hanging="180"/>
      </w:pPr>
    </w:lvl>
    <w:lvl w:ilvl="3" w:tentative="1">
      <w:start w:val="1"/>
      <w:numFmt w:val="decimal"/>
      <w:lvlText w:val="%4."/>
      <w:lvlJc w:val="left"/>
      <w:pPr>
        <w:ind w:left="2644" w:hanging="360"/>
      </w:pPr>
    </w:lvl>
    <w:lvl w:ilvl="4" w:tentative="1">
      <w:start w:val="1"/>
      <w:numFmt w:val="lowerLetter"/>
      <w:lvlText w:val="%5."/>
      <w:lvlJc w:val="left"/>
      <w:pPr>
        <w:ind w:left="3364" w:hanging="360"/>
      </w:pPr>
    </w:lvl>
    <w:lvl w:ilvl="5" w:tentative="1">
      <w:start w:val="1"/>
      <w:numFmt w:val="lowerRoman"/>
      <w:lvlText w:val="%6."/>
      <w:lvlJc w:val="right"/>
      <w:pPr>
        <w:ind w:left="4084" w:hanging="180"/>
      </w:pPr>
    </w:lvl>
    <w:lvl w:ilvl="6" w:tentative="1">
      <w:start w:val="1"/>
      <w:numFmt w:val="decimal"/>
      <w:lvlText w:val="%7."/>
      <w:lvlJc w:val="left"/>
      <w:pPr>
        <w:ind w:left="4804" w:hanging="360"/>
      </w:pPr>
    </w:lvl>
    <w:lvl w:ilvl="7" w:tentative="1">
      <w:start w:val="1"/>
      <w:numFmt w:val="lowerLetter"/>
      <w:lvlText w:val="%8."/>
      <w:lvlJc w:val="left"/>
      <w:pPr>
        <w:ind w:left="5524" w:hanging="360"/>
      </w:pPr>
    </w:lvl>
    <w:lvl w:ilvl="8" w:tentative="1">
      <w:start w:val="1"/>
      <w:numFmt w:val="lowerRoman"/>
      <w:lvlText w:val="%9."/>
      <w:lvlJc w:val="right"/>
      <w:pPr>
        <w:ind w:left="6244" w:hanging="180"/>
      </w:pPr>
    </w:lvl>
  </w:abstractNum>
  <w:abstractNum w:abstractNumId="22" w15:restartNumberingAfterBreak="1">
    <w:nsid w:val="423A6BC9"/>
    <w:multiLevelType w:val="hybridMultilevel"/>
    <w:tmpl w:val="76D2BF08"/>
    <w:lvl w:ilvl="0">
      <w:start w:val="1"/>
      <w:numFmt w:val="decimal"/>
      <w:lvlText w:val="%1."/>
      <w:lvlJc w:val="left"/>
      <w:pPr>
        <w:ind w:left="342" w:hanging="360"/>
      </w:pPr>
      <w:rPr>
        <w:rFonts w:hint="default"/>
      </w:rPr>
    </w:lvl>
    <w:lvl w:ilvl="1" w:tentative="1">
      <w:start w:val="1"/>
      <w:numFmt w:val="lowerLetter"/>
      <w:lvlText w:val="%2."/>
      <w:lvlJc w:val="left"/>
      <w:pPr>
        <w:ind w:left="1062" w:hanging="360"/>
      </w:pPr>
    </w:lvl>
    <w:lvl w:ilvl="2" w:tentative="1">
      <w:start w:val="1"/>
      <w:numFmt w:val="lowerRoman"/>
      <w:lvlText w:val="%3."/>
      <w:lvlJc w:val="right"/>
      <w:pPr>
        <w:ind w:left="1782" w:hanging="180"/>
      </w:pPr>
    </w:lvl>
    <w:lvl w:ilvl="3" w:tentative="1">
      <w:start w:val="1"/>
      <w:numFmt w:val="decimal"/>
      <w:lvlText w:val="%4."/>
      <w:lvlJc w:val="left"/>
      <w:pPr>
        <w:ind w:left="2502" w:hanging="360"/>
      </w:pPr>
    </w:lvl>
    <w:lvl w:ilvl="4" w:tentative="1">
      <w:start w:val="1"/>
      <w:numFmt w:val="lowerLetter"/>
      <w:lvlText w:val="%5."/>
      <w:lvlJc w:val="left"/>
      <w:pPr>
        <w:ind w:left="3222" w:hanging="360"/>
      </w:pPr>
    </w:lvl>
    <w:lvl w:ilvl="5" w:tentative="1">
      <w:start w:val="1"/>
      <w:numFmt w:val="lowerRoman"/>
      <w:lvlText w:val="%6."/>
      <w:lvlJc w:val="right"/>
      <w:pPr>
        <w:ind w:left="3942" w:hanging="180"/>
      </w:pPr>
    </w:lvl>
    <w:lvl w:ilvl="6" w:tentative="1">
      <w:start w:val="1"/>
      <w:numFmt w:val="decimal"/>
      <w:lvlText w:val="%7."/>
      <w:lvlJc w:val="left"/>
      <w:pPr>
        <w:ind w:left="4662" w:hanging="360"/>
      </w:pPr>
    </w:lvl>
    <w:lvl w:ilvl="7" w:tentative="1">
      <w:start w:val="1"/>
      <w:numFmt w:val="lowerLetter"/>
      <w:lvlText w:val="%8."/>
      <w:lvlJc w:val="left"/>
      <w:pPr>
        <w:ind w:left="5382" w:hanging="360"/>
      </w:pPr>
    </w:lvl>
    <w:lvl w:ilvl="8" w:tentative="1">
      <w:start w:val="1"/>
      <w:numFmt w:val="lowerRoman"/>
      <w:lvlText w:val="%9."/>
      <w:lvlJc w:val="right"/>
      <w:pPr>
        <w:ind w:left="6102" w:hanging="180"/>
      </w:pPr>
    </w:lvl>
  </w:abstractNum>
  <w:abstractNum w:abstractNumId="23" w15:restartNumberingAfterBreak="1">
    <w:nsid w:val="48744A95"/>
    <w:multiLevelType w:val="hybridMultilevel"/>
    <w:tmpl w:val="FA345D46"/>
    <w:lvl w:ilvl="0">
      <w:start w:val="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1">
    <w:nsid w:val="48D72F2E"/>
    <w:multiLevelType w:val="hybridMultilevel"/>
    <w:tmpl w:val="7B04B3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1">
    <w:nsid w:val="4A124FFD"/>
    <w:multiLevelType w:val="hybridMultilevel"/>
    <w:tmpl w:val="6B5625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1">
    <w:nsid w:val="4A747C21"/>
    <w:multiLevelType w:val="multilevel"/>
    <w:tmpl w:val="C6C0414E"/>
    <w:lvl w:ilvl="0">
      <w:start w:val="1"/>
      <w:numFmt w:val="decimal"/>
      <w:lvlText w:val="%1."/>
      <w:lvlJc w:val="left"/>
      <w:pPr>
        <w:ind w:left="795" w:hanging="360"/>
      </w:p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27" w15:restartNumberingAfterBreak="1">
    <w:nsid w:val="4B985001"/>
    <w:multiLevelType w:val="hybridMultilevel"/>
    <w:tmpl w:val="EE80425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15:restartNumberingAfterBreak="1">
    <w:nsid w:val="4BF1125E"/>
    <w:multiLevelType w:val="hybridMultilevel"/>
    <w:tmpl w:val="A924791C"/>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9" w15:restartNumberingAfterBreak="1">
    <w:nsid w:val="4C22063D"/>
    <w:multiLevelType w:val="multilevel"/>
    <w:tmpl w:val="7440462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15:restartNumberingAfterBreak="1">
    <w:nsid w:val="4D38239F"/>
    <w:multiLevelType w:val="hybridMultilevel"/>
    <w:tmpl w:val="B38807F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15:restartNumberingAfterBreak="1">
    <w:nsid w:val="4D74272D"/>
    <w:multiLevelType w:val="hybridMultilevel"/>
    <w:tmpl w:val="8A5A3732"/>
    <w:lvl w:ilvl="0">
      <w:start w:val="1"/>
      <w:numFmt w:val="bullet"/>
      <w:lvlText w:val=""/>
      <w:lvlJc w:val="left"/>
      <w:pPr>
        <w:ind w:left="1211" w:hanging="360"/>
      </w:pPr>
      <w:rPr>
        <w:rFonts w:ascii="Symbol" w:hAnsi="Symbol" w:hint="default"/>
      </w:rPr>
    </w:lvl>
    <w:lvl w:ilvl="1" w:tentative="1">
      <w:start w:val="1"/>
      <w:numFmt w:val="bullet"/>
      <w:lvlText w:val="o"/>
      <w:lvlJc w:val="left"/>
      <w:pPr>
        <w:ind w:left="1931" w:hanging="360"/>
      </w:pPr>
      <w:rPr>
        <w:rFonts w:ascii="Courier New" w:hAnsi="Courier New" w:cs="Courier New" w:hint="default"/>
      </w:rPr>
    </w:lvl>
    <w:lvl w:ilvl="2" w:tentative="1">
      <w:start w:val="1"/>
      <w:numFmt w:val="bullet"/>
      <w:lvlText w:val=""/>
      <w:lvlJc w:val="left"/>
      <w:pPr>
        <w:ind w:left="2651" w:hanging="360"/>
      </w:pPr>
      <w:rPr>
        <w:rFonts w:ascii="Wingdings" w:hAnsi="Wingdings" w:hint="default"/>
      </w:rPr>
    </w:lvl>
    <w:lvl w:ilvl="3" w:tentative="1">
      <w:start w:val="1"/>
      <w:numFmt w:val="bullet"/>
      <w:lvlText w:val=""/>
      <w:lvlJc w:val="left"/>
      <w:pPr>
        <w:ind w:left="3371" w:hanging="360"/>
      </w:pPr>
      <w:rPr>
        <w:rFonts w:ascii="Symbol" w:hAnsi="Symbol" w:hint="default"/>
      </w:rPr>
    </w:lvl>
    <w:lvl w:ilvl="4" w:tentative="1">
      <w:start w:val="1"/>
      <w:numFmt w:val="bullet"/>
      <w:lvlText w:val="o"/>
      <w:lvlJc w:val="left"/>
      <w:pPr>
        <w:ind w:left="4091" w:hanging="360"/>
      </w:pPr>
      <w:rPr>
        <w:rFonts w:ascii="Courier New" w:hAnsi="Courier New" w:cs="Courier New" w:hint="default"/>
      </w:rPr>
    </w:lvl>
    <w:lvl w:ilvl="5" w:tentative="1">
      <w:start w:val="1"/>
      <w:numFmt w:val="bullet"/>
      <w:lvlText w:val=""/>
      <w:lvlJc w:val="left"/>
      <w:pPr>
        <w:ind w:left="4811" w:hanging="360"/>
      </w:pPr>
      <w:rPr>
        <w:rFonts w:ascii="Wingdings" w:hAnsi="Wingdings" w:hint="default"/>
      </w:rPr>
    </w:lvl>
    <w:lvl w:ilvl="6" w:tentative="1">
      <w:start w:val="1"/>
      <w:numFmt w:val="bullet"/>
      <w:lvlText w:val=""/>
      <w:lvlJc w:val="left"/>
      <w:pPr>
        <w:ind w:left="5531" w:hanging="360"/>
      </w:pPr>
      <w:rPr>
        <w:rFonts w:ascii="Symbol" w:hAnsi="Symbol" w:hint="default"/>
      </w:rPr>
    </w:lvl>
    <w:lvl w:ilvl="7" w:tentative="1">
      <w:start w:val="1"/>
      <w:numFmt w:val="bullet"/>
      <w:lvlText w:val="o"/>
      <w:lvlJc w:val="left"/>
      <w:pPr>
        <w:ind w:left="6251" w:hanging="360"/>
      </w:pPr>
      <w:rPr>
        <w:rFonts w:ascii="Courier New" w:hAnsi="Courier New" w:cs="Courier New" w:hint="default"/>
      </w:rPr>
    </w:lvl>
    <w:lvl w:ilvl="8" w:tentative="1">
      <w:start w:val="1"/>
      <w:numFmt w:val="bullet"/>
      <w:lvlText w:val=""/>
      <w:lvlJc w:val="left"/>
      <w:pPr>
        <w:ind w:left="6971" w:hanging="360"/>
      </w:pPr>
      <w:rPr>
        <w:rFonts w:ascii="Wingdings" w:hAnsi="Wingdings" w:hint="default"/>
      </w:rPr>
    </w:lvl>
  </w:abstractNum>
  <w:abstractNum w:abstractNumId="32" w15:restartNumberingAfterBreak="1">
    <w:nsid w:val="537F79F3"/>
    <w:multiLevelType w:val="hybridMultilevel"/>
    <w:tmpl w:val="7AE6671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15:restartNumberingAfterBreak="1">
    <w:nsid w:val="53FB0049"/>
    <w:multiLevelType w:val="hybridMultilevel"/>
    <w:tmpl w:val="4B5EBA8E"/>
    <w:lvl w:ilvl="0">
      <w:start w:val="1"/>
      <w:numFmt w:val="decimal"/>
      <w:lvlText w:val="%1."/>
      <w:lvlJc w:val="left"/>
      <w:pPr>
        <w:ind w:left="628" w:hanging="360"/>
      </w:pPr>
      <w:rPr>
        <w:rFonts w:hint="default"/>
      </w:rPr>
    </w:lvl>
    <w:lvl w:ilvl="1" w:tentative="1">
      <w:start w:val="1"/>
      <w:numFmt w:val="lowerLetter"/>
      <w:lvlText w:val="%2."/>
      <w:lvlJc w:val="left"/>
      <w:pPr>
        <w:ind w:left="1348" w:hanging="360"/>
      </w:pPr>
    </w:lvl>
    <w:lvl w:ilvl="2" w:tentative="1">
      <w:start w:val="1"/>
      <w:numFmt w:val="lowerRoman"/>
      <w:lvlText w:val="%3."/>
      <w:lvlJc w:val="right"/>
      <w:pPr>
        <w:ind w:left="2068" w:hanging="180"/>
      </w:pPr>
    </w:lvl>
    <w:lvl w:ilvl="3" w:tentative="1">
      <w:start w:val="1"/>
      <w:numFmt w:val="decimal"/>
      <w:lvlText w:val="%4."/>
      <w:lvlJc w:val="left"/>
      <w:pPr>
        <w:ind w:left="2788" w:hanging="360"/>
      </w:pPr>
    </w:lvl>
    <w:lvl w:ilvl="4" w:tentative="1">
      <w:start w:val="1"/>
      <w:numFmt w:val="lowerLetter"/>
      <w:lvlText w:val="%5."/>
      <w:lvlJc w:val="left"/>
      <w:pPr>
        <w:ind w:left="3508" w:hanging="360"/>
      </w:pPr>
    </w:lvl>
    <w:lvl w:ilvl="5" w:tentative="1">
      <w:start w:val="1"/>
      <w:numFmt w:val="lowerRoman"/>
      <w:lvlText w:val="%6."/>
      <w:lvlJc w:val="right"/>
      <w:pPr>
        <w:ind w:left="4228" w:hanging="180"/>
      </w:pPr>
    </w:lvl>
    <w:lvl w:ilvl="6" w:tentative="1">
      <w:start w:val="1"/>
      <w:numFmt w:val="decimal"/>
      <w:lvlText w:val="%7."/>
      <w:lvlJc w:val="left"/>
      <w:pPr>
        <w:ind w:left="4948" w:hanging="360"/>
      </w:pPr>
    </w:lvl>
    <w:lvl w:ilvl="7" w:tentative="1">
      <w:start w:val="1"/>
      <w:numFmt w:val="lowerLetter"/>
      <w:lvlText w:val="%8."/>
      <w:lvlJc w:val="left"/>
      <w:pPr>
        <w:ind w:left="5668" w:hanging="360"/>
      </w:pPr>
    </w:lvl>
    <w:lvl w:ilvl="8" w:tentative="1">
      <w:start w:val="1"/>
      <w:numFmt w:val="lowerRoman"/>
      <w:lvlText w:val="%9."/>
      <w:lvlJc w:val="right"/>
      <w:pPr>
        <w:ind w:left="6388" w:hanging="180"/>
      </w:pPr>
    </w:lvl>
  </w:abstractNum>
  <w:abstractNum w:abstractNumId="34" w15:restartNumberingAfterBreak="1">
    <w:nsid w:val="546D2BC9"/>
    <w:multiLevelType w:val="hybridMultilevel"/>
    <w:tmpl w:val="D75C78A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1">
    <w:nsid w:val="57E414D2"/>
    <w:multiLevelType w:val="hybridMultilevel"/>
    <w:tmpl w:val="4E34B9AC"/>
    <w:lvl w:ilvl="0">
      <w:start w:val="1"/>
      <w:numFmt w:val="decimal"/>
      <w:lvlText w:val="%1."/>
      <w:lvlJc w:val="left"/>
      <w:pPr>
        <w:ind w:left="1080" w:hanging="360"/>
      </w:pPr>
      <w:rPr>
        <w:rFonts w:eastAsia="Calibri"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 w15:restartNumberingAfterBreak="1">
    <w:nsid w:val="581C7582"/>
    <w:multiLevelType w:val="hybridMultilevel"/>
    <w:tmpl w:val="7ABE272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1">
    <w:nsid w:val="5EC61899"/>
    <w:multiLevelType w:val="hybridMultilevel"/>
    <w:tmpl w:val="C4628448"/>
    <w:lvl w:ilvl="0">
      <w:start w:val="1"/>
      <w:numFmt w:val="bullet"/>
      <w:lvlText w:val=""/>
      <w:lvlJc w:val="left"/>
      <w:pPr>
        <w:tabs>
          <w:tab w:val="num" w:pos="786"/>
        </w:tabs>
        <w:ind w:left="786" w:hanging="360"/>
      </w:pPr>
      <w:rPr>
        <w:rFonts w:ascii="Wingdings" w:hAnsi="Wingdings" w:hint="default"/>
      </w:rPr>
    </w:lvl>
    <w:lvl w:ilvl="1" w:tentative="1">
      <w:start w:val="1"/>
      <w:numFmt w:val="bullet"/>
      <w:lvlText w:val="o"/>
      <w:lvlJc w:val="left"/>
      <w:pPr>
        <w:tabs>
          <w:tab w:val="num" w:pos="1506"/>
        </w:tabs>
        <w:ind w:left="1506" w:hanging="360"/>
      </w:pPr>
      <w:rPr>
        <w:rFonts w:ascii="Courier New" w:hAnsi="Courier New" w:cs="Courier New" w:hint="default"/>
      </w:rPr>
    </w:lvl>
    <w:lvl w:ilvl="2" w:tentative="1">
      <w:start w:val="1"/>
      <w:numFmt w:val="bullet"/>
      <w:lvlText w:val=""/>
      <w:lvlJc w:val="left"/>
      <w:pPr>
        <w:tabs>
          <w:tab w:val="num" w:pos="2226"/>
        </w:tabs>
        <w:ind w:left="2226" w:hanging="360"/>
      </w:pPr>
      <w:rPr>
        <w:rFonts w:ascii="Wingdings" w:hAnsi="Wingdings" w:hint="default"/>
      </w:rPr>
    </w:lvl>
    <w:lvl w:ilvl="3" w:tentative="1">
      <w:start w:val="1"/>
      <w:numFmt w:val="bullet"/>
      <w:lvlText w:val=""/>
      <w:lvlJc w:val="left"/>
      <w:pPr>
        <w:tabs>
          <w:tab w:val="num" w:pos="2946"/>
        </w:tabs>
        <w:ind w:left="2946" w:hanging="360"/>
      </w:pPr>
      <w:rPr>
        <w:rFonts w:ascii="Symbol" w:hAnsi="Symbol" w:hint="default"/>
      </w:rPr>
    </w:lvl>
    <w:lvl w:ilvl="4" w:tentative="1">
      <w:start w:val="1"/>
      <w:numFmt w:val="bullet"/>
      <w:lvlText w:val="o"/>
      <w:lvlJc w:val="left"/>
      <w:pPr>
        <w:tabs>
          <w:tab w:val="num" w:pos="3666"/>
        </w:tabs>
        <w:ind w:left="3666" w:hanging="360"/>
      </w:pPr>
      <w:rPr>
        <w:rFonts w:ascii="Courier New" w:hAnsi="Courier New" w:cs="Courier New" w:hint="default"/>
      </w:rPr>
    </w:lvl>
    <w:lvl w:ilvl="5" w:tentative="1">
      <w:start w:val="1"/>
      <w:numFmt w:val="bullet"/>
      <w:lvlText w:val=""/>
      <w:lvlJc w:val="left"/>
      <w:pPr>
        <w:tabs>
          <w:tab w:val="num" w:pos="4386"/>
        </w:tabs>
        <w:ind w:left="4386" w:hanging="360"/>
      </w:pPr>
      <w:rPr>
        <w:rFonts w:ascii="Wingdings" w:hAnsi="Wingdings" w:hint="default"/>
      </w:rPr>
    </w:lvl>
    <w:lvl w:ilvl="6" w:tentative="1">
      <w:start w:val="1"/>
      <w:numFmt w:val="bullet"/>
      <w:lvlText w:val=""/>
      <w:lvlJc w:val="left"/>
      <w:pPr>
        <w:tabs>
          <w:tab w:val="num" w:pos="5106"/>
        </w:tabs>
        <w:ind w:left="5106" w:hanging="360"/>
      </w:pPr>
      <w:rPr>
        <w:rFonts w:ascii="Symbol" w:hAnsi="Symbol" w:hint="default"/>
      </w:rPr>
    </w:lvl>
    <w:lvl w:ilvl="7" w:tentative="1">
      <w:start w:val="1"/>
      <w:numFmt w:val="bullet"/>
      <w:lvlText w:val="o"/>
      <w:lvlJc w:val="left"/>
      <w:pPr>
        <w:tabs>
          <w:tab w:val="num" w:pos="5826"/>
        </w:tabs>
        <w:ind w:left="5826" w:hanging="360"/>
      </w:pPr>
      <w:rPr>
        <w:rFonts w:ascii="Courier New" w:hAnsi="Courier New" w:cs="Courier New" w:hint="default"/>
      </w:rPr>
    </w:lvl>
    <w:lvl w:ilvl="8" w:tentative="1">
      <w:start w:val="1"/>
      <w:numFmt w:val="bullet"/>
      <w:lvlText w:val=""/>
      <w:lvlJc w:val="left"/>
      <w:pPr>
        <w:tabs>
          <w:tab w:val="num" w:pos="6546"/>
        </w:tabs>
        <w:ind w:left="6546" w:hanging="360"/>
      </w:pPr>
      <w:rPr>
        <w:rFonts w:ascii="Wingdings" w:hAnsi="Wingdings" w:hint="default"/>
      </w:rPr>
    </w:lvl>
  </w:abstractNum>
  <w:abstractNum w:abstractNumId="38" w15:restartNumberingAfterBreak="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1">
    <w:nsid w:val="61EB4865"/>
    <w:multiLevelType w:val="hybridMultilevel"/>
    <w:tmpl w:val="9D765F06"/>
    <w:lvl w:ilvl="0">
      <w:start w:val="7"/>
      <w:numFmt w:val="bullet"/>
      <w:lvlText w:val="-"/>
      <w:lvlJc w:val="left"/>
      <w:pPr>
        <w:ind w:left="502" w:hanging="360"/>
      </w:pPr>
      <w:rPr>
        <w:rFonts w:ascii="Calibri" w:eastAsia="Calibri" w:hAnsi="Calibri" w:cs="Times New Roman" w:hint="default"/>
      </w:rPr>
    </w:lvl>
    <w:lvl w:ilvl="1" w:tentative="1">
      <w:start w:val="1"/>
      <w:numFmt w:val="bullet"/>
      <w:lvlText w:val="o"/>
      <w:lvlJc w:val="left"/>
      <w:pPr>
        <w:ind w:left="1222" w:hanging="360"/>
      </w:pPr>
      <w:rPr>
        <w:rFonts w:ascii="Courier New" w:hAnsi="Courier New" w:cs="Courier New" w:hint="default"/>
      </w:rPr>
    </w:lvl>
    <w:lvl w:ilvl="2" w:tentative="1">
      <w:start w:val="1"/>
      <w:numFmt w:val="bullet"/>
      <w:lvlText w:val=""/>
      <w:lvlJc w:val="left"/>
      <w:pPr>
        <w:ind w:left="1942" w:hanging="360"/>
      </w:pPr>
      <w:rPr>
        <w:rFonts w:ascii="Wingdings" w:hAnsi="Wingdings" w:hint="default"/>
      </w:rPr>
    </w:lvl>
    <w:lvl w:ilvl="3" w:tentative="1">
      <w:start w:val="1"/>
      <w:numFmt w:val="bullet"/>
      <w:lvlText w:val=""/>
      <w:lvlJc w:val="left"/>
      <w:pPr>
        <w:ind w:left="2662" w:hanging="360"/>
      </w:pPr>
      <w:rPr>
        <w:rFonts w:ascii="Symbol" w:hAnsi="Symbol" w:hint="default"/>
      </w:rPr>
    </w:lvl>
    <w:lvl w:ilvl="4" w:tentative="1">
      <w:start w:val="1"/>
      <w:numFmt w:val="bullet"/>
      <w:lvlText w:val="o"/>
      <w:lvlJc w:val="left"/>
      <w:pPr>
        <w:ind w:left="3382" w:hanging="360"/>
      </w:pPr>
      <w:rPr>
        <w:rFonts w:ascii="Courier New" w:hAnsi="Courier New" w:cs="Courier New" w:hint="default"/>
      </w:rPr>
    </w:lvl>
    <w:lvl w:ilvl="5" w:tentative="1">
      <w:start w:val="1"/>
      <w:numFmt w:val="bullet"/>
      <w:lvlText w:val=""/>
      <w:lvlJc w:val="left"/>
      <w:pPr>
        <w:ind w:left="4102" w:hanging="360"/>
      </w:pPr>
      <w:rPr>
        <w:rFonts w:ascii="Wingdings" w:hAnsi="Wingdings" w:hint="default"/>
      </w:rPr>
    </w:lvl>
    <w:lvl w:ilvl="6" w:tentative="1">
      <w:start w:val="1"/>
      <w:numFmt w:val="bullet"/>
      <w:lvlText w:val=""/>
      <w:lvlJc w:val="left"/>
      <w:pPr>
        <w:ind w:left="4822" w:hanging="360"/>
      </w:pPr>
      <w:rPr>
        <w:rFonts w:ascii="Symbol" w:hAnsi="Symbol" w:hint="default"/>
      </w:rPr>
    </w:lvl>
    <w:lvl w:ilvl="7" w:tentative="1">
      <w:start w:val="1"/>
      <w:numFmt w:val="bullet"/>
      <w:lvlText w:val="o"/>
      <w:lvlJc w:val="left"/>
      <w:pPr>
        <w:ind w:left="5542" w:hanging="360"/>
      </w:pPr>
      <w:rPr>
        <w:rFonts w:ascii="Courier New" w:hAnsi="Courier New" w:cs="Courier New" w:hint="default"/>
      </w:rPr>
    </w:lvl>
    <w:lvl w:ilvl="8" w:tentative="1">
      <w:start w:val="1"/>
      <w:numFmt w:val="bullet"/>
      <w:lvlText w:val=""/>
      <w:lvlJc w:val="left"/>
      <w:pPr>
        <w:ind w:left="6262" w:hanging="360"/>
      </w:pPr>
      <w:rPr>
        <w:rFonts w:ascii="Wingdings" w:hAnsi="Wingdings" w:hint="default"/>
      </w:rPr>
    </w:lvl>
  </w:abstractNum>
  <w:abstractNum w:abstractNumId="40" w15:restartNumberingAfterBreak="1">
    <w:nsid w:val="632A1A20"/>
    <w:multiLevelType w:val="hybridMultilevel"/>
    <w:tmpl w:val="CF5202E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1">
    <w:nsid w:val="6428112F"/>
    <w:multiLevelType w:val="hybridMultilevel"/>
    <w:tmpl w:val="2FAC275A"/>
    <w:lvl w:ilvl="0">
      <w:start w:val="1"/>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15:restartNumberingAfterBreak="1">
    <w:nsid w:val="69203195"/>
    <w:multiLevelType w:val="hybridMultilevel"/>
    <w:tmpl w:val="BE3C7A94"/>
    <w:lvl w:ilvl="0">
      <w:start w:val="10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15:restartNumberingAfterBreak="1">
    <w:nsid w:val="6A3710B3"/>
    <w:multiLevelType w:val="multilevel"/>
    <w:tmpl w:val="A7B077A4"/>
    <w:lvl w:ilvl="0">
      <w:start w:val="1"/>
      <w:numFmt w:val="decimal"/>
      <w:pStyle w:val="Virsraksti1"/>
      <w:isLgl/>
      <w:suff w:val="space"/>
      <w:lvlText w:val="%1."/>
      <w:lvlJc w:val="left"/>
      <w:pPr>
        <w:ind w:left="1561" w:hanging="1561"/>
      </w:pPr>
      <w:rPr>
        <w:rFonts w:ascii="Times New Roman" w:hAnsi="Times New Roman" w:hint="default"/>
        <w:b/>
        <w:i w:val="0"/>
        <w:caps w:val="0"/>
        <w:strike w:val="0"/>
        <w:dstrike w:val="0"/>
        <w:vanish w:val="0"/>
        <w:color w:val="000000"/>
        <w:sz w:val="32"/>
        <w:vertAlign w:val="baseline"/>
        <w14:shadow w14:blurRad="0" w14:dist="0" w14:dir="0" w14:sx="0" w14:sy="0" w14:kx="0" w14:ky="0" w14:algn="none">
          <w14:srgbClr w14:val="000000"/>
        </w14:shadow>
        <w14:textOutline w14:cap="rnd">
          <w14:noFill/>
          <w14:bevel/>
        </w14:textOutline>
      </w:rPr>
    </w:lvl>
    <w:lvl w:ilvl="1">
      <w:start w:val="2"/>
      <w:numFmt w:val="decimal"/>
      <w:lvlRestart w:val="0"/>
      <w:pStyle w:val="Virsraksti2"/>
      <w:isLgl/>
      <w:suff w:val="space"/>
      <w:lvlText w:val="%1.%2."/>
      <w:lvlJc w:val="left"/>
      <w:pPr>
        <w:ind w:left="284" w:firstLine="284"/>
      </w:pPr>
      <w:rPr>
        <w:rFonts w:ascii="Times New Roman Bold" w:hAnsi="Times New Roman Bold" w:hint="default"/>
        <w:b/>
        <w:i w:val="0"/>
        <w:sz w:val="28"/>
      </w:rPr>
    </w:lvl>
    <w:lvl w:ilvl="2">
      <w:start w:val="1"/>
      <w:numFmt w:val="decimal"/>
      <w:lvlRestart w:val="0"/>
      <w:pStyle w:val="Virsraksti3"/>
      <w:isLgl/>
      <w:suff w:val="space"/>
      <w:lvlText w:val="%1.%2.%3."/>
      <w:lvlJc w:val="left"/>
      <w:pPr>
        <w:ind w:left="142" w:firstLine="284"/>
      </w:pPr>
      <w:rPr>
        <w:rFonts w:ascii="Times New Roman Bold" w:hAnsi="Times New Roman Bold" w:hint="default"/>
        <w:b/>
        <w:i w:val="0"/>
        <w:spacing w:val="0"/>
        <w:w w:val="100"/>
        <w:position w:val="0"/>
        <w:sz w:val="24"/>
      </w:rPr>
    </w:lvl>
    <w:lvl w:ilvl="3">
      <w:start w:val="41"/>
      <w:numFmt w:val="none"/>
      <w:lvlRestart w:val="0"/>
      <w:pStyle w:val="Statuti"/>
      <w:isLgl/>
      <w:suff w:val="space"/>
      <w:lvlJc w:val="left"/>
      <w:pPr>
        <w:ind w:left="0" w:firstLine="284"/>
      </w:pPr>
      <w:rPr>
        <w:rFonts w:ascii="Arial Narrow" w:hAnsi="Arial Narrow" w:hint="default"/>
        <w:b/>
        <w:i w:val="0"/>
        <w:sz w:val="28"/>
      </w:rPr>
    </w:lvl>
    <w:lvl w:ilvl="4">
      <w:start w:val="4"/>
      <w:numFmt w:val="decimal"/>
      <w:pStyle w:val="Virsraksti4"/>
      <w:isLgl/>
      <w:suff w:val="space"/>
      <w:lvlText w:val="%1.%2.%3.%5"/>
      <w:lvlJc w:val="left"/>
      <w:pPr>
        <w:ind w:left="1843" w:firstLine="284"/>
      </w:pPr>
      <w:rPr>
        <w:rFonts w:ascii="Times New Roman" w:hAnsi="Times New Roman" w:hint="default"/>
        <w:sz w:val="24"/>
      </w:rPr>
    </w:lvl>
    <w:lvl w:ilvl="5">
      <w:start w:val="1"/>
      <w:numFmt w:val="none"/>
      <w:suff w:val="space"/>
      <w:lvlJc w:val="left"/>
      <w:pPr>
        <w:ind w:left="0" w:firstLine="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44" w15:restartNumberingAfterBreak="1">
    <w:nsid w:val="6B62558C"/>
    <w:multiLevelType w:val="hybridMultilevel"/>
    <w:tmpl w:val="D590876C"/>
    <w:lvl w:ilvl="0">
      <w:start w:val="1"/>
      <w:numFmt w:val="decimal"/>
      <w:lvlText w:val="%1."/>
      <w:lvlJc w:val="left"/>
      <w:pPr>
        <w:ind w:left="839" w:hanging="555"/>
      </w:pPr>
      <w:rPr>
        <w:rFonts w:hint="default"/>
        <w:color w:val="auto"/>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45" w15:restartNumberingAfterBreak="1">
    <w:nsid w:val="78DD7A03"/>
    <w:multiLevelType w:val="hybridMultilevel"/>
    <w:tmpl w:val="7BF8695E"/>
    <w:lvl w:ilvl="0">
      <w:start w:val="7"/>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15:restartNumberingAfterBreak="1">
    <w:nsid w:val="7D50291A"/>
    <w:multiLevelType w:val="hybridMultilevel"/>
    <w:tmpl w:val="7174CB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1">
    <w:nsid w:val="7E25169F"/>
    <w:multiLevelType w:val="hybridMultilevel"/>
    <w:tmpl w:val="DC9CE2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0"/>
  </w:num>
  <w:num w:numId="2">
    <w:abstractNumId w:val="38"/>
  </w:num>
  <w:num w:numId="3">
    <w:abstractNumId w:val="16"/>
  </w:num>
  <w:num w:numId="4">
    <w:abstractNumId w:val="12"/>
  </w:num>
  <w:num w:numId="5">
    <w:abstractNumId w:val="3"/>
  </w:num>
  <w:num w:numId="6">
    <w:abstractNumId w:val="34"/>
  </w:num>
  <w:num w:numId="7">
    <w:abstractNumId w:val="40"/>
  </w:num>
  <w:num w:numId="8">
    <w:abstractNumId w:val="23"/>
  </w:num>
  <w:num w:numId="9">
    <w:abstractNumId w:val="14"/>
  </w:num>
  <w:num w:numId="10">
    <w:abstractNumId w:val="24"/>
  </w:num>
  <w:num w:numId="11">
    <w:abstractNumId w:val="25"/>
  </w:num>
  <w:num w:numId="12">
    <w:abstractNumId w:val="36"/>
  </w:num>
  <w:num w:numId="13">
    <w:abstractNumId w:val="37"/>
  </w:num>
  <w:num w:numId="14">
    <w:abstractNumId w:val="30"/>
  </w:num>
  <w:num w:numId="15">
    <w:abstractNumId w:val="33"/>
  </w:num>
  <w:num w:numId="16">
    <w:abstractNumId w:val="2"/>
  </w:num>
  <w:num w:numId="17">
    <w:abstractNumId w:val="43"/>
  </w:num>
  <w:num w:numId="18">
    <w:abstractNumId w:val="6"/>
  </w:num>
  <w:num w:numId="19">
    <w:abstractNumId w:val="5"/>
  </w:num>
  <w:num w:numId="20">
    <w:abstractNumId w:val="41"/>
  </w:num>
  <w:num w:numId="21">
    <w:abstractNumId w:val="22"/>
  </w:num>
  <w:num w:numId="22">
    <w:abstractNumId w:val="9"/>
  </w:num>
  <w:num w:numId="23">
    <w:abstractNumId w:val="46"/>
  </w:num>
  <w:num w:numId="24">
    <w:abstractNumId w:val="21"/>
  </w:num>
  <w:num w:numId="25">
    <w:abstractNumId w:val="7"/>
  </w:num>
  <w:num w:numId="26">
    <w:abstractNumId w:val="47"/>
  </w:num>
  <w:num w:numId="27">
    <w:abstractNumId w:val="35"/>
  </w:num>
  <w:num w:numId="28">
    <w:abstractNumId w:val="27"/>
  </w:num>
  <w:num w:numId="29">
    <w:abstractNumId w:val="8"/>
  </w:num>
  <w:num w:numId="30">
    <w:abstractNumId w:val="11"/>
  </w:num>
  <w:num w:numId="31">
    <w:abstractNumId w:val="4"/>
  </w:num>
  <w:num w:numId="32">
    <w:abstractNumId w:val="44"/>
  </w:num>
  <w:num w:numId="33">
    <w:abstractNumId w:val="10"/>
  </w:num>
  <w:num w:numId="34">
    <w:abstractNumId w:val="13"/>
  </w:num>
  <w:num w:numId="35">
    <w:abstractNumId w:val="17"/>
  </w:num>
  <w:num w:numId="36">
    <w:abstractNumId w:val="39"/>
  </w:num>
  <w:num w:numId="37">
    <w:abstractNumId w:val="42"/>
  </w:num>
  <w:num w:numId="38">
    <w:abstractNumId w:val="19"/>
  </w:num>
  <w:num w:numId="39">
    <w:abstractNumId w:val="0"/>
  </w:num>
  <w:num w:numId="40">
    <w:abstractNumId w:val="15"/>
  </w:num>
  <w:num w:numId="41">
    <w:abstractNumId w:val="1"/>
  </w:num>
  <w:num w:numId="42">
    <w:abstractNumId w:val="26"/>
  </w:num>
  <w:num w:numId="43">
    <w:abstractNumId w:val="28"/>
  </w:num>
  <w:num w:numId="44">
    <w:abstractNumId w:val="31"/>
  </w:num>
  <w:num w:numId="45">
    <w:abstractNumId w:val="45"/>
  </w:num>
  <w:num w:numId="46">
    <w:abstractNumId w:val="29"/>
  </w:num>
  <w:num w:numId="47">
    <w:abstractNumId w:val="18"/>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082E"/>
    <w:rsid w:val="000035A6"/>
    <w:rsid w:val="00003D7F"/>
    <w:rsid w:val="00005DDF"/>
    <w:rsid w:val="00006255"/>
    <w:rsid w:val="000116DE"/>
    <w:rsid w:val="00011914"/>
    <w:rsid w:val="00011956"/>
    <w:rsid w:val="00011D24"/>
    <w:rsid w:val="00012A57"/>
    <w:rsid w:val="00013FF4"/>
    <w:rsid w:val="000157C7"/>
    <w:rsid w:val="00015EC8"/>
    <w:rsid w:val="000208CA"/>
    <w:rsid w:val="00020FE1"/>
    <w:rsid w:val="00021C35"/>
    <w:rsid w:val="00022E13"/>
    <w:rsid w:val="000244EF"/>
    <w:rsid w:val="000264D5"/>
    <w:rsid w:val="00026835"/>
    <w:rsid w:val="00030800"/>
    <w:rsid w:val="00030FC0"/>
    <w:rsid w:val="000311A6"/>
    <w:rsid w:val="00031CEF"/>
    <w:rsid w:val="00031FA2"/>
    <w:rsid w:val="00032388"/>
    <w:rsid w:val="00034CF0"/>
    <w:rsid w:val="00035CE2"/>
    <w:rsid w:val="0004032A"/>
    <w:rsid w:val="0004127D"/>
    <w:rsid w:val="00041DB8"/>
    <w:rsid w:val="000429A1"/>
    <w:rsid w:val="00043B21"/>
    <w:rsid w:val="00043FC8"/>
    <w:rsid w:val="00046577"/>
    <w:rsid w:val="00046666"/>
    <w:rsid w:val="00046E7C"/>
    <w:rsid w:val="00050254"/>
    <w:rsid w:val="00050430"/>
    <w:rsid w:val="00052400"/>
    <w:rsid w:val="00052E94"/>
    <w:rsid w:val="000545DD"/>
    <w:rsid w:val="0005553B"/>
    <w:rsid w:val="000604D2"/>
    <w:rsid w:val="00060B7A"/>
    <w:rsid w:val="0006162D"/>
    <w:rsid w:val="00061E9F"/>
    <w:rsid w:val="00061ECB"/>
    <w:rsid w:val="0006447F"/>
    <w:rsid w:val="00064698"/>
    <w:rsid w:val="00064903"/>
    <w:rsid w:val="00065067"/>
    <w:rsid w:val="0006730F"/>
    <w:rsid w:val="0007137E"/>
    <w:rsid w:val="00071905"/>
    <w:rsid w:val="00071DD0"/>
    <w:rsid w:val="00071F47"/>
    <w:rsid w:val="000765A8"/>
    <w:rsid w:val="000804E7"/>
    <w:rsid w:val="00083B87"/>
    <w:rsid w:val="00086D3C"/>
    <w:rsid w:val="00087541"/>
    <w:rsid w:val="0009005E"/>
    <w:rsid w:val="000901B8"/>
    <w:rsid w:val="00091B43"/>
    <w:rsid w:val="000926BE"/>
    <w:rsid w:val="00092FA1"/>
    <w:rsid w:val="0009394C"/>
    <w:rsid w:val="000941C5"/>
    <w:rsid w:val="00094CE7"/>
    <w:rsid w:val="00096DEC"/>
    <w:rsid w:val="00097A8F"/>
    <w:rsid w:val="000A1072"/>
    <w:rsid w:val="000A15AB"/>
    <w:rsid w:val="000A17AD"/>
    <w:rsid w:val="000A2BEE"/>
    <w:rsid w:val="000A380C"/>
    <w:rsid w:val="000A381B"/>
    <w:rsid w:val="000A4FB0"/>
    <w:rsid w:val="000A5827"/>
    <w:rsid w:val="000A631B"/>
    <w:rsid w:val="000A6451"/>
    <w:rsid w:val="000A77C0"/>
    <w:rsid w:val="000A783C"/>
    <w:rsid w:val="000B064E"/>
    <w:rsid w:val="000B2AA5"/>
    <w:rsid w:val="000B2DB7"/>
    <w:rsid w:val="000B36A8"/>
    <w:rsid w:val="000B6454"/>
    <w:rsid w:val="000B69CF"/>
    <w:rsid w:val="000B7381"/>
    <w:rsid w:val="000B74C1"/>
    <w:rsid w:val="000B76BF"/>
    <w:rsid w:val="000C0C20"/>
    <w:rsid w:val="000C32E0"/>
    <w:rsid w:val="000C3C27"/>
    <w:rsid w:val="000C3D76"/>
    <w:rsid w:val="000C5244"/>
    <w:rsid w:val="000C62AE"/>
    <w:rsid w:val="000C66DE"/>
    <w:rsid w:val="000C68CC"/>
    <w:rsid w:val="000C6C14"/>
    <w:rsid w:val="000C790C"/>
    <w:rsid w:val="000D03EE"/>
    <w:rsid w:val="000D6619"/>
    <w:rsid w:val="000D7E36"/>
    <w:rsid w:val="000E0238"/>
    <w:rsid w:val="000E193B"/>
    <w:rsid w:val="000E1E16"/>
    <w:rsid w:val="000E1EB6"/>
    <w:rsid w:val="000E535E"/>
    <w:rsid w:val="000E5C38"/>
    <w:rsid w:val="000E5EEC"/>
    <w:rsid w:val="000E62C2"/>
    <w:rsid w:val="000E65B0"/>
    <w:rsid w:val="000E760B"/>
    <w:rsid w:val="000F059D"/>
    <w:rsid w:val="000F061D"/>
    <w:rsid w:val="000F092F"/>
    <w:rsid w:val="000F2A5D"/>
    <w:rsid w:val="000F3478"/>
    <w:rsid w:val="000F4794"/>
    <w:rsid w:val="000F6B39"/>
    <w:rsid w:val="000F6DBA"/>
    <w:rsid w:val="00100D94"/>
    <w:rsid w:val="00101EFC"/>
    <w:rsid w:val="00102404"/>
    <w:rsid w:val="001029F7"/>
    <w:rsid w:val="001039B1"/>
    <w:rsid w:val="00103FFB"/>
    <w:rsid w:val="001044D0"/>
    <w:rsid w:val="0010456F"/>
    <w:rsid w:val="001056EF"/>
    <w:rsid w:val="001062C4"/>
    <w:rsid w:val="001066C7"/>
    <w:rsid w:val="00111BD0"/>
    <w:rsid w:val="00112602"/>
    <w:rsid w:val="00113127"/>
    <w:rsid w:val="00114266"/>
    <w:rsid w:val="00114BE4"/>
    <w:rsid w:val="001160A6"/>
    <w:rsid w:val="00116722"/>
    <w:rsid w:val="00120DC1"/>
    <w:rsid w:val="00121522"/>
    <w:rsid w:val="00124F12"/>
    <w:rsid w:val="00125103"/>
    <w:rsid w:val="00127062"/>
    <w:rsid w:val="00131A56"/>
    <w:rsid w:val="00133D52"/>
    <w:rsid w:val="00135C8A"/>
    <w:rsid w:val="0013627D"/>
    <w:rsid w:val="00137FB2"/>
    <w:rsid w:val="0014055F"/>
    <w:rsid w:val="00144311"/>
    <w:rsid w:val="00144C83"/>
    <w:rsid w:val="00144E3A"/>
    <w:rsid w:val="00145688"/>
    <w:rsid w:val="00145BA7"/>
    <w:rsid w:val="00147364"/>
    <w:rsid w:val="0015060C"/>
    <w:rsid w:val="00150B6B"/>
    <w:rsid w:val="0015299A"/>
    <w:rsid w:val="001537A4"/>
    <w:rsid w:val="00153888"/>
    <w:rsid w:val="00153CF8"/>
    <w:rsid w:val="001558FB"/>
    <w:rsid w:val="001565C5"/>
    <w:rsid w:val="00156D27"/>
    <w:rsid w:val="00156D77"/>
    <w:rsid w:val="0015729F"/>
    <w:rsid w:val="00157CC4"/>
    <w:rsid w:val="0016018A"/>
    <w:rsid w:val="00161F0E"/>
    <w:rsid w:val="001627E6"/>
    <w:rsid w:val="00163862"/>
    <w:rsid w:val="00164354"/>
    <w:rsid w:val="00165D49"/>
    <w:rsid w:val="00166D2F"/>
    <w:rsid w:val="00170A9D"/>
    <w:rsid w:val="00170E2A"/>
    <w:rsid w:val="001721BA"/>
    <w:rsid w:val="0017268F"/>
    <w:rsid w:val="00173954"/>
    <w:rsid w:val="001756DA"/>
    <w:rsid w:val="00177394"/>
    <w:rsid w:val="0018056D"/>
    <w:rsid w:val="00180991"/>
    <w:rsid w:val="00182990"/>
    <w:rsid w:val="00182C18"/>
    <w:rsid w:val="00183CC2"/>
    <w:rsid w:val="00185D7F"/>
    <w:rsid w:val="0018726E"/>
    <w:rsid w:val="0019009E"/>
    <w:rsid w:val="001900E4"/>
    <w:rsid w:val="00190F88"/>
    <w:rsid w:val="0019161F"/>
    <w:rsid w:val="00191B21"/>
    <w:rsid w:val="00191EE0"/>
    <w:rsid w:val="00194790"/>
    <w:rsid w:val="00195EF1"/>
    <w:rsid w:val="00197E06"/>
    <w:rsid w:val="001A14D4"/>
    <w:rsid w:val="001A21A8"/>
    <w:rsid w:val="001A33E1"/>
    <w:rsid w:val="001A35F2"/>
    <w:rsid w:val="001A4006"/>
    <w:rsid w:val="001A4066"/>
    <w:rsid w:val="001A48BD"/>
    <w:rsid w:val="001A5762"/>
    <w:rsid w:val="001A6AE4"/>
    <w:rsid w:val="001A6DC4"/>
    <w:rsid w:val="001B01FD"/>
    <w:rsid w:val="001B14D1"/>
    <w:rsid w:val="001B26F7"/>
    <w:rsid w:val="001B2720"/>
    <w:rsid w:val="001B4A71"/>
    <w:rsid w:val="001B646C"/>
    <w:rsid w:val="001C0207"/>
    <w:rsid w:val="001C1C87"/>
    <w:rsid w:val="001C29DE"/>
    <w:rsid w:val="001C4530"/>
    <w:rsid w:val="001C77AC"/>
    <w:rsid w:val="001D5B54"/>
    <w:rsid w:val="001D5FF5"/>
    <w:rsid w:val="001D60E8"/>
    <w:rsid w:val="001D7206"/>
    <w:rsid w:val="001E1DBF"/>
    <w:rsid w:val="001E22F3"/>
    <w:rsid w:val="001E318A"/>
    <w:rsid w:val="001E4639"/>
    <w:rsid w:val="001E4857"/>
    <w:rsid w:val="001E4A62"/>
    <w:rsid w:val="001E4A7D"/>
    <w:rsid w:val="001E4C07"/>
    <w:rsid w:val="001E4EB2"/>
    <w:rsid w:val="001E53DD"/>
    <w:rsid w:val="001E6353"/>
    <w:rsid w:val="001E6F46"/>
    <w:rsid w:val="001F1149"/>
    <w:rsid w:val="001F2333"/>
    <w:rsid w:val="001F4209"/>
    <w:rsid w:val="001F43A8"/>
    <w:rsid w:val="001F488E"/>
    <w:rsid w:val="001F5CD6"/>
    <w:rsid w:val="001F6290"/>
    <w:rsid w:val="001F70F2"/>
    <w:rsid w:val="001F77FD"/>
    <w:rsid w:val="00202E73"/>
    <w:rsid w:val="00203871"/>
    <w:rsid w:val="0020389E"/>
    <w:rsid w:val="00204A43"/>
    <w:rsid w:val="00206529"/>
    <w:rsid w:val="00210A0A"/>
    <w:rsid w:val="0021176C"/>
    <w:rsid w:val="0021263D"/>
    <w:rsid w:val="00213316"/>
    <w:rsid w:val="00213F0C"/>
    <w:rsid w:val="00214094"/>
    <w:rsid w:val="0021576A"/>
    <w:rsid w:val="0021592D"/>
    <w:rsid w:val="00215B07"/>
    <w:rsid w:val="00215F6D"/>
    <w:rsid w:val="0021754C"/>
    <w:rsid w:val="00220460"/>
    <w:rsid w:val="002204F5"/>
    <w:rsid w:val="00222521"/>
    <w:rsid w:val="00222BA2"/>
    <w:rsid w:val="00222D76"/>
    <w:rsid w:val="00223B65"/>
    <w:rsid w:val="00223EB1"/>
    <w:rsid w:val="00224B65"/>
    <w:rsid w:val="00226BDB"/>
    <w:rsid w:val="00227F7B"/>
    <w:rsid w:val="002312F5"/>
    <w:rsid w:val="00231344"/>
    <w:rsid w:val="0023396B"/>
    <w:rsid w:val="0023436E"/>
    <w:rsid w:val="002347C0"/>
    <w:rsid w:val="0023550F"/>
    <w:rsid w:val="00235F60"/>
    <w:rsid w:val="00236C89"/>
    <w:rsid w:val="00237829"/>
    <w:rsid w:val="00241A6C"/>
    <w:rsid w:val="00241BF4"/>
    <w:rsid w:val="00241F8A"/>
    <w:rsid w:val="00242D2B"/>
    <w:rsid w:val="00243069"/>
    <w:rsid w:val="002451BB"/>
    <w:rsid w:val="00245503"/>
    <w:rsid w:val="00247D60"/>
    <w:rsid w:val="002504E9"/>
    <w:rsid w:val="002505E1"/>
    <w:rsid w:val="00251545"/>
    <w:rsid w:val="00251674"/>
    <w:rsid w:val="002518FC"/>
    <w:rsid w:val="0025377D"/>
    <w:rsid w:val="00254113"/>
    <w:rsid w:val="00256CD3"/>
    <w:rsid w:val="002610A2"/>
    <w:rsid w:val="00262C1E"/>
    <w:rsid w:val="00262E2B"/>
    <w:rsid w:val="00265832"/>
    <w:rsid w:val="00267442"/>
    <w:rsid w:val="00270429"/>
    <w:rsid w:val="00271D14"/>
    <w:rsid w:val="00271D99"/>
    <w:rsid w:val="002723E9"/>
    <w:rsid w:val="00273979"/>
    <w:rsid w:val="0027455D"/>
    <w:rsid w:val="00275140"/>
    <w:rsid w:val="00277929"/>
    <w:rsid w:val="00277AD4"/>
    <w:rsid w:val="00277EC6"/>
    <w:rsid w:val="002825FA"/>
    <w:rsid w:val="0028289A"/>
    <w:rsid w:val="00282EAC"/>
    <w:rsid w:val="00283B82"/>
    <w:rsid w:val="0028432D"/>
    <w:rsid w:val="002846E9"/>
    <w:rsid w:val="00284C34"/>
    <w:rsid w:val="00286884"/>
    <w:rsid w:val="0029066C"/>
    <w:rsid w:val="002907BA"/>
    <w:rsid w:val="00292C46"/>
    <w:rsid w:val="002A16D4"/>
    <w:rsid w:val="002A4FD3"/>
    <w:rsid w:val="002B50DB"/>
    <w:rsid w:val="002B682C"/>
    <w:rsid w:val="002B6A72"/>
    <w:rsid w:val="002B6EC1"/>
    <w:rsid w:val="002C0180"/>
    <w:rsid w:val="002C0674"/>
    <w:rsid w:val="002C12AB"/>
    <w:rsid w:val="002C2123"/>
    <w:rsid w:val="002C229B"/>
    <w:rsid w:val="002C37A0"/>
    <w:rsid w:val="002C7CAC"/>
    <w:rsid w:val="002D15B6"/>
    <w:rsid w:val="002D233D"/>
    <w:rsid w:val="002D3306"/>
    <w:rsid w:val="002D4194"/>
    <w:rsid w:val="002D48AA"/>
    <w:rsid w:val="002D5BAB"/>
    <w:rsid w:val="002D7BAA"/>
    <w:rsid w:val="002D7F54"/>
    <w:rsid w:val="002D7FB2"/>
    <w:rsid w:val="002E091D"/>
    <w:rsid w:val="002E0EB1"/>
    <w:rsid w:val="002E2B27"/>
    <w:rsid w:val="002E2FA1"/>
    <w:rsid w:val="002E3731"/>
    <w:rsid w:val="002E3A53"/>
    <w:rsid w:val="002E3FF4"/>
    <w:rsid w:val="002E430B"/>
    <w:rsid w:val="002E64E5"/>
    <w:rsid w:val="002F0E05"/>
    <w:rsid w:val="002F1359"/>
    <w:rsid w:val="002F14C8"/>
    <w:rsid w:val="002F16E0"/>
    <w:rsid w:val="002F3228"/>
    <w:rsid w:val="002F47DA"/>
    <w:rsid w:val="002F78C8"/>
    <w:rsid w:val="0030029A"/>
    <w:rsid w:val="00301CF3"/>
    <w:rsid w:val="00301F7C"/>
    <w:rsid w:val="003022A2"/>
    <w:rsid w:val="00302DD5"/>
    <w:rsid w:val="003055E7"/>
    <w:rsid w:val="003059E9"/>
    <w:rsid w:val="003063C1"/>
    <w:rsid w:val="00306852"/>
    <w:rsid w:val="00313C4B"/>
    <w:rsid w:val="003160DF"/>
    <w:rsid w:val="00316735"/>
    <w:rsid w:val="00316D16"/>
    <w:rsid w:val="003206F7"/>
    <w:rsid w:val="00324BF3"/>
    <w:rsid w:val="00325E72"/>
    <w:rsid w:val="003261B7"/>
    <w:rsid w:val="0032696B"/>
    <w:rsid w:val="0032715C"/>
    <w:rsid w:val="00327CDC"/>
    <w:rsid w:val="00332EC6"/>
    <w:rsid w:val="00337CA5"/>
    <w:rsid w:val="00340F01"/>
    <w:rsid w:val="0034210D"/>
    <w:rsid w:val="00346785"/>
    <w:rsid w:val="0034747D"/>
    <w:rsid w:val="003521A5"/>
    <w:rsid w:val="003521A6"/>
    <w:rsid w:val="003543B0"/>
    <w:rsid w:val="003570B1"/>
    <w:rsid w:val="00357BF2"/>
    <w:rsid w:val="00362478"/>
    <w:rsid w:val="00362D93"/>
    <w:rsid w:val="00362F0B"/>
    <w:rsid w:val="00363258"/>
    <w:rsid w:val="00365D0C"/>
    <w:rsid w:val="00367C3B"/>
    <w:rsid w:val="00367D98"/>
    <w:rsid w:val="00370CCA"/>
    <w:rsid w:val="00372E4E"/>
    <w:rsid w:val="00373977"/>
    <w:rsid w:val="00375B25"/>
    <w:rsid w:val="00375CE7"/>
    <w:rsid w:val="00375EAC"/>
    <w:rsid w:val="00376B40"/>
    <w:rsid w:val="0038132C"/>
    <w:rsid w:val="00381528"/>
    <w:rsid w:val="00383B2E"/>
    <w:rsid w:val="00384F43"/>
    <w:rsid w:val="003853AC"/>
    <w:rsid w:val="00387886"/>
    <w:rsid w:val="00387959"/>
    <w:rsid w:val="00391C58"/>
    <w:rsid w:val="00392F31"/>
    <w:rsid w:val="00393A0E"/>
    <w:rsid w:val="00396542"/>
    <w:rsid w:val="0039676D"/>
    <w:rsid w:val="0039685B"/>
    <w:rsid w:val="0039718D"/>
    <w:rsid w:val="003A08EA"/>
    <w:rsid w:val="003A1D69"/>
    <w:rsid w:val="003A234E"/>
    <w:rsid w:val="003A31A6"/>
    <w:rsid w:val="003A55C5"/>
    <w:rsid w:val="003A7F0C"/>
    <w:rsid w:val="003A7F79"/>
    <w:rsid w:val="003B103A"/>
    <w:rsid w:val="003B131A"/>
    <w:rsid w:val="003B195B"/>
    <w:rsid w:val="003B250F"/>
    <w:rsid w:val="003B5CD5"/>
    <w:rsid w:val="003B6404"/>
    <w:rsid w:val="003B66F7"/>
    <w:rsid w:val="003B696C"/>
    <w:rsid w:val="003B6D22"/>
    <w:rsid w:val="003B74DC"/>
    <w:rsid w:val="003C0EB4"/>
    <w:rsid w:val="003C22DD"/>
    <w:rsid w:val="003C3A65"/>
    <w:rsid w:val="003C449B"/>
    <w:rsid w:val="003C6D9A"/>
    <w:rsid w:val="003C7145"/>
    <w:rsid w:val="003C7F07"/>
    <w:rsid w:val="003D07F4"/>
    <w:rsid w:val="003D21FF"/>
    <w:rsid w:val="003D3158"/>
    <w:rsid w:val="003D320C"/>
    <w:rsid w:val="003D3FA3"/>
    <w:rsid w:val="003E071F"/>
    <w:rsid w:val="003E1ABD"/>
    <w:rsid w:val="003E1B4D"/>
    <w:rsid w:val="003E3BDE"/>
    <w:rsid w:val="003E4925"/>
    <w:rsid w:val="003E6026"/>
    <w:rsid w:val="003E747A"/>
    <w:rsid w:val="003F0112"/>
    <w:rsid w:val="003F0181"/>
    <w:rsid w:val="003F0626"/>
    <w:rsid w:val="003F071A"/>
    <w:rsid w:val="003F160B"/>
    <w:rsid w:val="003F2368"/>
    <w:rsid w:val="003F2A25"/>
    <w:rsid w:val="003F3B53"/>
    <w:rsid w:val="003F65DE"/>
    <w:rsid w:val="003F7F9C"/>
    <w:rsid w:val="00400032"/>
    <w:rsid w:val="00400B5B"/>
    <w:rsid w:val="00400F15"/>
    <w:rsid w:val="00400FC5"/>
    <w:rsid w:val="004020DF"/>
    <w:rsid w:val="00402BBA"/>
    <w:rsid w:val="00403DC0"/>
    <w:rsid w:val="00404C43"/>
    <w:rsid w:val="00405A00"/>
    <w:rsid w:val="00406149"/>
    <w:rsid w:val="00406891"/>
    <w:rsid w:val="004076DB"/>
    <w:rsid w:val="004108F7"/>
    <w:rsid w:val="00410C30"/>
    <w:rsid w:val="004114A0"/>
    <w:rsid w:val="00412686"/>
    <w:rsid w:val="00412862"/>
    <w:rsid w:val="004129AE"/>
    <w:rsid w:val="00413E08"/>
    <w:rsid w:val="00413E2D"/>
    <w:rsid w:val="00414291"/>
    <w:rsid w:val="0041701E"/>
    <w:rsid w:val="00420870"/>
    <w:rsid w:val="00421F37"/>
    <w:rsid w:val="00425B47"/>
    <w:rsid w:val="00425E33"/>
    <w:rsid w:val="0043184E"/>
    <w:rsid w:val="00432D0C"/>
    <w:rsid w:val="004340E5"/>
    <w:rsid w:val="0043722F"/>
    <w:rsid w:val="0043791B"/>
    <w:rsid w:val="004403AF"/>
    <w:rsid w:val="00440AED"/>
    <w:rsid w:val="0044116A"/>
    <w:rsid w:val="004411F3"/>
    <w:rsid w:val="00441483"/>
    <w:rsid w:val="00441BCB"/>
    <w:rsid w:val="00442AC9"/>
    <w:rsid w:val="004460FB"/>
    <w:rsid w:val="00450E9E"/>
    <w:rsid w:val="0045176A"/>
    <w:rsid w:val="00452BA5"/>
    <w:rsid w:val="00455179"/>
    <w:rsid w:val="0045563C"/>
    <w:rsid w:val="00456163"/>
    <w:rsid w:val="00456332"/>
    <w:rsid w:val="004607A6"/>
    <w:rsid w:val="00461826"/>
    <w:rsid w:val="004620BF"/>
    <w:rsid w:val="00462220"/>
    <w:rsid w:val="00462432"/>
    <w:rsid w:val="00464399"/>
    <w:rsid w:val="004675A7"/>
    <w:rsid w:val="00470013"/>
    <w:rsid w:val="00470309"/>
    <w:rsid w:val="0047175E"/>
    <w:rsid w:val="00471F21"/>
    <w:rsid w:val="00473C70"/>
    <w:rsid w:val="00475488"/>
    <w:rsid w:val="004764F8"/>
    <w:rsid w:val="004800F9"/>
    <w:rsid w:val="004822B8"/>
    <w:rsid w:val="004840B2"/>
    <w:rsid w:val="004847E2"/>
    <w:rsid w:val="00485F52"/>
    <w:rsid w:val="004875F5"/>
    <w:rsid w:val="0049040F"/>
    <w:rsid w:val="0049134A"/>
    <w:rsid w:val="00495C0D"/>
    <w:rsid w:val="004961BA"/>
    <w:rsid w:val="00496A89"/>
    <w:rsid w:val="004A01C7"/>
    <w:rsid w:val="004A05EF"/>
    <w:rsid w:val="004A077C"/>
    <w:rsid w:val="004A181C"/>
    <w:rsid w:val="004A53FF"/>
    <w:rsid w:val="004A58CB"/>
    <w:rsid w:val="004A6178"/>
    <w:rsid w:val="004A7436"/>
    <w:rsid w:val="004B105C"/>
    <w:rsid w:val="004B13B9"/>
    <w:rsid w:val="004B1795"/>
    <w:rsid w:val="004B336D"/>
    <w:rsid w:val="004B3B63"/>
    <w:rsid w:val="004B56DD"/>
    <w:rsid w:val="004B5906"/>
    <w:rsid w:val="004B751A"/>
    <w:rsid w:val="004C020F"/>
    <w:rsid w:val="004C1AFD"/>
    <w:rsid w:val="004C25E1"/>
    <w:rsid w:val="004C29C2"/>
    <w:rsid w:val="004C322F"/>
    <w:rsid w:val="004C37AF"/>
    <w:rsid w:val="004C3A20"/>
    <w:rsid w:val="004C4A8F"/>
    <w:rsid w:val="004C558B"/>
    <w:rsid w:val="004C5DB4"/>
    <w:rsid w:val="004C6032"/>
    <w:rsid w:val="004D0B68"/>
    <w:rsid w:val="004D1791"/>
    <w:rsid w:val="004D212F"/>
    <w:rsid w:val="004D2555"/>
    <w:rsid w:val="004D2AC9"/>
    <w:rsid w:val="004D43E8"/>
    <w:rsid w:val="004D6D4E"/>
    <w:rsid w:val="004D7289"/>
    <w:rsid w:val="004E0BC4"/>
    <w:rsid w:val="004E2B73"/>
    <w:rsid w:val="004E52E8"/>
    <w:rsid w:val="004E5A00"/>
    <w:rsid w:val="004E6B25"/>
    <w:rsid w:val="004F1F88"/>
    <w:rsid w:val="004F26D9"/>
    <w:rsid w:val="004F41B2"/>
    <w:rsid w:val="004F443F"/>
    <w:rsid w:val="004F5B80"/>
    <w:rsid w:val="004F5F1B"/>
    <w:rsid w:val="004F67DF"/>
    <w:rsid w:val="004F727F"/>
    <w:rsid w:val="00502374"/>
    <w:rsid w:val="00503ADC"/>
    <w:rsid w:val="00503F42"/>
    <w:rsid w:val="005060A1"/>
    <w:rsid w:val="00514B97"/>
    <w:rsid w:val="00514E83"/>
    <w:rsid w:val="00514FCE"/>
    <w:rsid w:val="0051565F"/>
    <w:rsid w:val="00515BFE"/>
    <w:rsid w:val="00516072"/>
    <w:rsid w:val="00517060"/>
    <w:rsid w:val="005217D8"/>
    <w:rsid w:val="005266E0"/>
    <w:rsid w:val="005267C9"/>
    <w:rsid w:val="005300C6"/>
    <w:rsid w:val="005322B4"/>
    <w:rsid w:val="005332EC"/>
    <w:rsid w:val="00534418"/>
    <w:rsid w:val="0053464D"/>
    <w:rsid w:val="005353AB"/>
    <w:rsid w:val="00541992"/>
    <w:rsid w:val="005464AA"/>
    <w:rsid w:val="00546AC3"/>
    <w:rsid w:val="0054775A"/>
    <w:rsid w:val="005527E6"/>
    <w:rsid w:val="00552A48"/>
    <w:rsid w:val="005540CF"/>
    <w:rsid w:val="00555101"/>
    <w:rsid w:val="005560BC"/>
    <w:rsid w:val="005573BE"/>
    <w:rsid w:val="00557B4A"/>
    <w:rsid w:val="00560ED8"/>
    <w:rsid w:val="0056164F"/>
    <w:rsid w:val="00565694"/>
    <w:rsid w:val="00567DFE"/>
    <w:rsid w:val="00570C33"/>
    <w:rsid w:val="00570E65"/>
    <w:rsid w:val="00571028"/>
    <w:rsid w:val="005710A3"/>
    <w:rsid w:val="00572700"/>
    <w:rsid w:val="00572731"/>
    <w:rsid w:val="00572D22"/>
    <w:rsid w:val="005748CC"/>
    <w:rsid w:val="0057520A"/>
    <w:rsid w:val="005758AA"/>
    <w:rsid w:val="00577C6A"/>
    <w:rsid w:val="00580468"/>
    <w:rsid w:val="00582231"/>
    <w:rsid w:val="00582A10"/>
    <w:rsid w:val="00583AAB"/>
    <w:rsid w:val="00584517"/>
    <w:rsid w:val="00584C46"/>
    <w:rsid w:val="00585377"/>
    <w:rsid w:val="0058603B"/>
    <w:rsid w:val="005907D8"/>
    <w:rsid w:val="00592406"/>
    <w:rsid w:val="0059402A"/>
    <w:rsid w:val="0059431B"/>
    <w:rsid w:val="00594A26"/>
    <w:rsid w:val="00597994"/>
    <w:rsid w:val="00597DF7"/>
    <w:rsid w:val="00597F17"/>
    <w:rsid w:val="005A39CC"/>
    <w:rsid w:val="005A3C46"/>
    <w:rsid w:val="005A4462"/>
    <w:rsid w:val="005A54AE"/>
    <w:rsid w:val="005A66A5"/>
    <w:rsid w:val="005B0983"/>
    <w:rsid w:val="005B0AD5"/>
    <w:rsid w:val="005B4730"/>
    <w:rsid w:val="005B481A"/>
    <w:rsid w:val="005C09EE"/>
    <w:rsid w:val="005C0CB3"/>
    <w:rsid w:val="005C3181"/>
    <w:rsid w:val="005C4723"/>
    <w:rsid w:val="005C70FA"/>
    <w:rsid w:val="005D00CD"/>
    <w:rsid w:val="005D37D0"/>
    <w:rsid w:val="005D6EC2"/>
    <w:rsid w:val="005D7180"/>
    <w:rsid w:val="005D7A07"/>
    <w:rsid w:val="005E05D7"/>
    <w:rsid w:val="005E20BD"/>
    <w:rsid w:val="005E41E7"/>
    <w:rsid w:val="005E4215"/>
    <w:rsid w:val="005E44FA"/>
    <w:rsid w:val="005E450F"/>
    <w:rsid w:val="005E4AB9"/>
    <w:rsid w:val="005F2628"/>
    <w:rsid w:val="005F2991"/>
    <w:rsid w:val="005F3F61"/>
    <w:rsid w:val="005F4173"/>
    <w:rsid w:val="005F4175"/>
    <w:rsid w:val="005F43C4"/>
    <w:rsid w:val="005F496A"/>
    <w:rsid w:val="005F79F9"/>
    <w:rsid w:val="005F7AD0"/>
    <w:rsid w:val="00601EF2"/>
    <w:rsid w:val="00602933"/>
    <w:rsid w:val="00602EBF"/>
    <w:rsid w:val="00607C8C"/>
    <w:rsid w:val="00612E22"/>
    <w:rsid w:val="00613614"/>
    <w:rsid w:val="00613710"/>
    <w:rsid w:val="00616D20"/>
    <w:rsid w:val="00617FC8"/>
    <w:rsid w:val="0062298A"/>
    <w:rsid w:val="00624868"/>
    <w:rsid w:val="00626514"/>
    <w:rsid w:val="00626589"/>
    <w:rsid w:val="00626E62"/>
    <w:rsid w:val="00630864"/>
    <w:rsid w:val="0063280D"/>
    <w:rsid w:val="006332A6"/>
    <w:rsid w:val="006339A0"/>
    <w:rsid w:val="00634D07"/>
    <w:rsid w:val="0063634A"/>
    <w:rsid w:val="00637C79"/>
    <w:rsid w:val="006413A8"/>
    <w:rsid w:val="006416C0"/>
    <w:rsid w:val="00641CAC"/>
    <w:rsid w:val="00641FAD"/>
    <w:rsid w:val="00642148"/>
    <w:rsid w:val="00642577"/>
    <w:rsid w:val="00642E56"/>
    <w:rsid w:val="00643BBD"/>
    <w:rsid w:val="00643CC3"/>
    <w:rsid w:val="00643F1D"/>
    <w:rsid w:val="00644E6E"/>
    <w:rsid w:val="00647339"/>
    <w:rsid w:val="00651E00"/>
    <w:rsid w:val="00660B03"/>
    <w:rsid w:val="00661137"/>
    <w:rsid w:val="00661A10"/>
    <w:rsid w:val="00663BD4"/>
    <w:rsid w:val="00663DDB"/>
    <w:rsid w:val="00664F19"/>
    <w:rsid w:val="00665845"/>
    <w:rsid w:val="00670006"/>
    <w:rsid w:val="00670164"/>
    <w:rsid w:val="00671816"/>
    <w:rsid w:val="00672C10"/>
    <w:rsid w:val="00672CC6"/>
    <w:rsid w:val="00673FFA"/>
    <w:rsid w:val="00674572"/>
    <w:rsid w:val="00676709"/>
    <w:rsid w:val="00684021"/>
    <w:rsid w:val="00685C7E"/>
    <w:rsid w:val="0068630B"/>
    <w:rsid w:val="00687763"/>
    <w:rsid w:val="00687DD9"/>
    <w:rsid w:val="00692416"/>
    <w:rsid w:val="006927C0"/>
    <w:rsid w:val="006929AC"/>
    <w:rsid w:val="00692B0D"/>
    <w:rsid w:val="00692F35"/>
    <w:rsid w:val="00693CEE"/>
    <w:rsid w:val="00693E0E"/>
    <w:rsid w:val="00694763"/>
    <w:rsid w:val="006A1AE3"/>
    <w:rsid w:val="006A29B7"/>
    <w:rsid w:val="006A2D2D"/>
    <w:rsid w:val="006A38FD"/>
    <w:rsid w:val="006A4AA0"/>
    <w:rsid w:val="006A5578"/>
    <w:rsid w:val="006A6EAA"/>
    <w:rsid w:val="006B1036"/>
    <w:rsid w:val="006B21D4"/>
    <w:rsid w:val="006B3470"/>
    <w:rsid w:val="006B67B8"/>
    <w:rsid w:val="006C1451"/>
    <w:rsid w:val="006C22D4"/>
    <w:rsid w:val="006C2ABD"/>
    <w:rsid w:val="006C2EFA"/>
    <w:rsid w:val="006C2F3D"/>
    <w:rsid w:val="006C30E1"/>
    <w:rsid w:val="006C3D1F"/>
    <w:rsid w:val="006C418A"/>
    <w:rsid w:val="006C4607"/>
    <w:rsid w:val="006C4A9A"/>
    <w:rsid w:val="006C55B0"/>
    <w:rsid w:val="006D1C88"/>
    <w:rsid w:val="006D28CF"/>
    <w:rsid w:val="006D368E"/>
    <w:rsid w:val="006D3705"/>
    <w:rsid w:val="006D48F1"/>
    <w:rsid w:val="006D785C"/>
    <w:rsid w:val="006D78B0"/>
    <w:rsid w:val="006E044E"/>
    <w:rsid w:val="006E18F1"/>
    <w:rsid w:val="006E1A03"/>
    <w:rsid w:val="006E21C6"/>
    <w:rsid w:val="006E28F7"/>
    <w:rsid w:val="006E2FDF"/>
    <w:rsid w:val="006E5288"/>
    <w:rsid w:val="006E626B"/>
    <w:rsid w:val="006F08A2"/>
    <w:rsid w:val="006F45BE"/>
    <w:rsid w:val="006F61DA"/>
    <w:rsid w:val="006F62A2"/>
    <w:rsid w:val="006F66D9"/>
    <w:rsid w:val="006F758C"/>
    <w:rsid w:val="006F7989"/>
    <w:rsid w:val="007004FC"/>
    <w:rsid w:val="007019A1"/>
    <w:rsid w:val="007019C3"/>
    <w:rsid w:val="00706548"/>
    <w:rsid w:val="00706670"/>
    <w:rsid w:val="00707155"/>
    <w:rsid w:val="00710F56"/>
    <w:rsid w:val="00711F59"/>
    <w:rsid w:val="00712083"/>
    <w:rsid w:val="00712216"/>
    <w:rsid w:val="0071341E"/>
    <w:rsid w:val="00716EBD"/>
    <w:rsid w:val="00720B2E"/>
    <w:rsid w:val="00722DF4"/>
    <w:rsid w:val="007235E0"/>
    <w:rsid w:val="00723791"/>
    <w:rsid w:val="0072417C"/>
    <w:rsid w:val="00731717"/>
    <w:rsid w:val="00734450"/>
    <w:rsid w:val="00740BC1"/>
    <w:rsid w:val="00741ABB"/>
    <w:rsid w:val="0074392E"/>
    <w:rsid w:val="00743E5D"/>
    <w:rsid w:val="007444A8"/>
    <w:rsid w:val="00745F67"/>
    <w:rsid w:val="00747AE6"/>
    <w:rsid w:val="0075039E"/>
    <w:rsid w:val="007526D3"/>
    <w:rsid w:val="007526DE"/>
    <w:rsid w:val="00752D9D"/>
    <w:rsid w:val="00754784"/>
    <w:rsid w:val="00754FA5"/>
    <w:rsid w:val="007570B0"/>
    <w:rsid w:val="00757C6E"/>
    <w:rsid w:val="007616AC"/>
    <w:rsid w:val="0076170C"/>
    <w:rsid w:val="00762BDA"/>
    <w:rsid w:val="00764520"/>
    <w:rsid w:val="007672F7"/>
    <w:rsid w:val="0076757D"/>
    <w:rsid w:val="00774FD2"/>
    <w:rsid w:val="00775605"/>
    <w:rsid w:val="007770F4"/>
    <w:rsid w:val="00777ABC"/>
    <w:rsid w:val="00777E77"/>
    <w:rsid w:val="007805DC"/>
    <w:rsid w:val="007805FD"/>
    <w:rsid w:val="00780B38"/>
    <w:rsid w:val="00780D84"/>
    <w:rsid w:val="00781D69"/>
    <w:rsid w:val="00782C97"/>
    <w:rsid w:val="00783124"/>
    <w:rsid w:val="00784422"/>
    <w:rsid w:val="007846C3"/>
    <w:rsid w:val="007847AD"/>
    <w:rsid w:val="00785078"/>
    <w:rsid w:val="00785198"/>
    <w:rsid w:val="007903FD"/>
    <w:rsid w:val="00792967"/>
    <w:rsid w:val="007931BF"/>
    <w:rsid w:val="00794A05"/>
    <w:rsid w:val="00795C5D"/>
    <w:rsid w:val="00796D3D"/>
    <w:rsid w:val="00797C1E"/>
    <w:rsid w:val="007A3223"/>
    <w:rsid w:val="007A5080"/>
    <w:rsid w:val="007A5452"/>
    <w:rsid w:val="007A7FD0"/>
    <w:rsid w:val="007B084D"/>
    <w:rsid w:val="007B3B54"/>
    <w:rsid w:val="007B3FA0"/>
    <w:rsid w:val="007B43BB"/>
    <w:rsid w:val="007B5343"/>
    <w:rsid w:val="007B6DC8"/>
    <w:rsid w:val="007C098F"/>
    <w:rsid w:val="007C0F2C"/>
    <w:rsid w:val="007C1B69"/>
    <w:rsid w:val="007C2BCC"/>
    <w:rsid w:val="007C333B"/>
    <w:rsid w:val="007C3E1A"/>
    <w:rsid w:val="007C4EF0"/>
    <w:rsid w:val="007C5993"/>
    <w:rsid w:val="007D099D"/>
    <w:rsid w:val="007D0D98"/>
    <w:rsid w:val="007D3E91"/>
    <w:rsid w:val="007D46C6"/>
    <w:rsid w:val="007D7208"/>
    <w:rsid w:val="007D7C47"/>
    <w:rsid w:val="007E177B"/>
    <w:rsid w:val="007E1925"/>
    <w:rsid w:val="007E2664"/>
    <w:rsid w:val="007E28B0"/>
    <w:rsid w:val="007E2D90"/>
    <w:rsid w:val="007E3ABF"/>
    <w:rsid w:val="007E3BFA"/>
    <w:rsid w:val="007E3FC1"/>
    <w:rsid w:val="007E5843"/>
    <w:rsid w:val="007E5BFA"/>
    <w:rsid w:val="007E6689"/>
    <w:rsid w:val="007E731C"/>
    <w:rsid w:val="007F0A03"/>
    <w:rsid w:val="007F25A8"/>
    <w:rsid w:val="007F4975"/>
    <w:rsid w:val="007F54FA"/>
    <w:rsid w:val="007F56A4"/>
    <w:rsid w:val="007F6513"/>
    <w:rsid w:val="007F6E6D"/>
    <w:rsid w:val="007F7437"/>
    <w:rsid w:val="00800251"/>
    <w:rsid w:val="0080035E"/>
    <w:rsid w:val="00800523"/>
    <w:rsid w:val="0080529B"/>
    <w:rsid w:val="00805C06"/>
    <w:rsid w:val="00807C5A"/>
    <w:rsid w:val="00810040"/>
    <w:rsid w:val="00810AEA"/>
    <w:rsid w:val="008112C5"/>
    <w:rsid w:val="00812056"/>
    <w:rsid w:val="00812E29"/>
    <w:rsid w:val="00813F6A"/>
    <w:rsid w:val="00815C77"/>
    <w:rsid w:val="008164D8"/>
    <w:rsid w:val="0082023A"/>
    <w:rsid w:val="00820254"/>
    <w:rsid w:val="00820A83"/>
    <w:rsid w:val="00821388"/>
    <w:rsid w:val="00821989"/>
    <w:rsid w:val="00821A7A"/>
    <w:rsid w:val="008253F8"/>
    <w:rsid w:val="00826081"/>
    <w:rsid w:val="00826F2D"/>
    <w:rsid w:val="00827409"/>
    <w:rsid w:val="00827E29"/>
    <w:rsid w:val="00830392"/>
    <w:rsid w:val="008325E4"/>
    <w:rsid w:val="00832A2B"/>
    <w:rsid w:val="00832A33"/>
    <w:rsid w:val="00834880"/>
    <w:rsid w:val="008354CF"/>
    <w:rsid w:val="00835D6B"/>
    <w:rsid w:val="00835FE8"/>
    <w:rsid w:val="008366A3"/>
    <w:rsid w:val="008406DF"/>
    <w:rsid w:val="00840BFD"/>
    <w:rsid w:val="00843A93"/>
    <w:rsid w:val="00843C5D"/>
    <w:rsid w:val="00845811"/>
    <w:rsid w:val="00846994"/>
    <w:rsid w:val="00847521"/>
    <w:rsid w:val="00850451"/>
    <w:rsid w:val="00850A33"/>
    <w:rsid w:val="00851343"/>
    <w:rsid w:val="00852042"/>
    <w:rsid w:val="008534C9"/>
    <w:rsid w:val="008539AA"/>
    <w:rsid w:val="0085599D"/>
    <w:rsid w:val="00856B11"/>
    <w:rsid w:val="00857944"/>
    <w:rsid w:val="00864C96"/>
    <w:rsid w:val="00867783"/>
    <w:rsid w:val="00874E31"/>
    <w:rsid w:val="0087510C"/>
    <w:rsid w:val="00875F5A"/>
    <w:rsid w:val="00882A69"/>
    <w:rsid w:val="008831D7"/>
    <w:rsid w:val="008848A1"/>
    <w:rsid w:val="00885155"/>
    <w:rsid w:val="0089147D"/>
    <w:rsid w:val="00894516"/>
    <w:rsid w:val="00896238"/>
    <w:rsid w:val="008967E3"/>
    <w:rsid w:val="008968D2"/>
    <w:rsid w:val="0089738E"/>
    <w:rsid w:val="008A419E"/>
    <w:rsid w:val="008A5A80"/>
    <w:rsid w:val="008A6FA7"/>
    <w:rsid w:val="008B0077"/>
    <w:rsid w:val="008B0B75"/>
    <w:rsid w:val="008B2B19"/>
    <w:rsid w:val="008B4057"/>
    <w:rsid w:val="008B4C5F"/>
    <w:rsid w:val="008B5F4E"/>
    <w:rsid w:val="008B5FDB"/>
    <w:rsid w:val="008B7279"/>
    <w:rsid w:val="008B76F0"/>
    <w:rsid w:val="008C0CE4"/>
    <w:rsid w:val="008C12A8"/>
    <w:rsid w:val="008C1ACF"/>
    <w:rsid w:val="008C2652"/>
    <w:rsid w:val="008C50F4"/>
    <w:rsid w:val="008C5649"/>
    <w:rsid w:val="008C735B"/>
    <w:rsid w:val="008D01E9"/>
    <w:rsid w:val="008D07A0"/>
    <w:rsid w:val="008D219E"/>
    <w:rsid w:val="008D25B7"/>
    <w:rsid w:val="008D280F"/>
    <w:rsid w:val="008D396D"/>
    <w:rsid w:val="008E0297"/>
    <w:rsid w:val="008E2487"/>
    <w:rsid w:val="008E2C20"/>
    <w:rsid w:val="008E43F9"/>
    <w:rsid w:val="008E44A2"/>
    <w:rsid w:val="008E4FE3"/>
    <w:rsid w:val="008E697D"/>
    <w:rsid w:val="008E6A76"/>
    <w:rsid w:val="008F0666"/>
    <w:rsid w:val="008F6D1C"/>
    <w:rsid w:val="009000D2"/>
    <w:rsid w:val="00900E8B"/>
    <w:rsid w:val="00903263"/>
    <w:rsid w:val="0090517C"/>
    <w:rsid w:val="00905C52"/>
    <w:rsid w:val="00906A21"/>
    <w:rsid w:val="00906C46"/>
    <w:rsid w:val="009079C3"/>
    <w:rsid w:val="00910462"/>
    <w:rsid w:val="009109F6"/>
    <w:rsid w:val="00911FE8"/>
    <w:rsid w:val="0091312C"/>
    <w:rsid w:val="00913DDE"/>
    <w:rsid w:val="009146A2"/>
    <w:rsid w:val="00914767"/>
    <w:rsid w:val="00915AB1"/>
    <w:rsid w:val="00917532"/>
    <w:rsid w:val="00917E41"/>
    <w:rsid w:val="0092013B"/>
    <w:rsid w:val="00920151"/>
    <w:rsid w:val="00920796"/>
    <w:rsid w:val="0092187A"/>
    <w:rsid w:val="0092217C"/>
    <w:rsid w:val="0092220A"/>
    <w:rsid w:val="009235BA"/>
    <w:rsid w:val="00924023"/>
    <w:rsid w:val="00924CE2"/>
    <w:rsid w:val="00925B9F"/>
    <w:rsid w:val="00927459"/>
    <w:rsid w:val="00930CB1"/>
    <w:rsid w:val="00931AED"/>
    <w:rsid w:val="00934A40"/>
    <w:rsid w:val="0093661A"/>
    <w:rsid w:val="00941DB8"/>
    <w:rsid w:val="00944A67"/>
    <w:rsid w:val="00944CC6"/>
    <w:rsid w:val="009450F1"/>
    <w:rsid w:val="0094533A"/>
    <w:rsid w:val="00946BE3"/>
    <w:rsid w:val="009476A3"/>
    <w:rsid w:val="00952FA4"/>
    <w:rsid w:val="0095334F"/>
    <w:rsid w:val="009602E2"/>
    <w:rsid w:val="009606F2"/>
    <w:rsid w:val="00961703"/>
    <w:rsid w:val="0096272B"/>
    <w:rsid w:val="00965897"/>
    <w:rsid w:val="0096630A"/>
    <w:rsid w:val="009669F1"/>
    <w:rsid w:val="0096765C"/>
    <w:rsid w:val="009710F2"/>
    <w:rsid w:val="00971882"/>
    <w:rsid w:val="009722AA"/>
    <w:rsid w:val="009727E4"/>
    <w:rsid w:val="009734C6"/>
    <w:rsid w:val="00973D31"/>
    <w:rsid w:val="00975873"/>
    <w:rsid w:val="00975D4D"/>
    <w:rsid w:val="00975DDC"/>
    <w:rsid w:val="00976DFB"/>
    <w:rsid w:val="00976F6C"/>
    <w:rsid w:val="0098052F"/>
    <w:rsid w:val="00980EDD"/>
    <w:rsid w:val="00982908"/>
    <w:rsid w:val="00984A4D"/>
    <w:rsid w:val="00984F92"/>
    <w:rsid w:val="00986E16"/>
    <w:rsid w:val="00990C60"/>
    <w:rsid w:val="00991329"/>
    <w:rsid w:val="00992F3F"/>
    <w:rsid w:val="009934C5"/>
    <w:rsid w:val="009944A9"/>
    <w:rsid w:val="00994C0F"/>
    <w:rsid w:val="009A0D89"/>
    <w:rsid w:val="009A2E58"/>
    <w:rsid w:val="009A3050"/>
    <w:rsid w:val="009A7508"/>
    <w:rsid w:val="009A774D"/>
    <w:rsid w:val="009B006B"/>
    <w:rsid w:val="009B160F"/>
    <w:rsid w:val="009B1F1D"/>
    <w:rsid w:val="009B22D7"/>
    <w:rsid w:val="009B4BB1"/>
    <w:rsid w:val="009B5CEE"/>
    <w:rsid w:val="009B72ED"/>
    <w:rsid w:val="009C5939"/>
    <w:rsid w:val="009C5949"/>
    <w:rsid w:val="009C6317"/>
    <w:rsid w:val="009C6B39"/>
    <w:rsid w:val="009C6DEB"/>
    <w:rsid w:val="009C6FA3"/>
    <w:rsid w:val="009D0017"/>
    <w:rsid w:val="009D3A1A"/>
    <w:rsid w:val="009D3B6E"/>
    <w:rsid w:val="009D3EAF"/>
    <w:rsid w:val="009D6504"/>
    <w:rsid w:val="009D6FAC"/>
    <w:rsid w:val="009E12D7"/>
    <w:rsid w:val="009E2CB0"/>
    <w:rsid w:val="009E356D"/>
    <w:rsid w:val="009E4AE6"/>
    <w:rsid w:val="009E5705"/>
    <w:rsid w:val="009E5C50"/>
    <w:rsid w:val="009E5E87"/>
    <w:rsid w:val="009E661A"/>
    <w:rsid w:val="009E770F"/>
    <w:rsid w:val="009F1E97"/>
    <w:rsid w:val="009F3834"/>
    <w:rsid w:val="009F4B96"/>
    <w:rsid w:val="009F5B90"/>
    <w:rsid w:val="009F7000"/>
    <w:rsid w:val="009F7AEC"/>
    <w:rsid w:val="009F7BC9"/>
    <w:rsid w:val="00A00AA4"/>
    <w:rsid w:val="00A0214E"/>
    <w:rsid w:val="00A0372A"/>
    <w:rsid w:val="00A03E7D"/>
    <w:rsid w:val="00A03FD4"/>
    <w:rsid w:val="00A06781"/>
    <w:rsid w:val="00A074C3"/>
    <w:rsid w:val="00A106E0"/>
    <w:rsid w:val="00A1509C"/>
    <w:rsid w:val="00A168DC"/>
    <w:rsid w:val="00A1722E"/>
    <w:rsid w:val="00A202BF"/>
    <w:rsid w:val="00A20419"/>
    <w:rsid w:val="00A23B33"/>
    <w:rsid w:val="00A23E46"/>
    <w:rsid w:val="00A24341"/>
    <w:rsid w:val="00A243E9"/>
    <w:rsid w:val="00A249B9"/>
    <w:rsid w:val="00A25C0A"/>
    <w:rsid w:val="00A25CA2"/>
    <w:rsid w:val="00A266B4"/>
    <w:rsid w:val="00A26F18"/>
    <w:rsid w:val="00A30E8C"/>
    <w:rsid w:val="00A31F0F"/>
    <w:rsid w:val="00A32893"/>
    <w:rsid w:val="00A34260"/>
    <w:rsid w:val="00A35B35"/>
    <w:rsid w:val="00A3663B"/>
    <w:rsid w:val="00A36AEF"/>
    <w:rsid w:val="00A40CD9"/>
    <w:rsid w:val="00A4169E"/>
    <w:rsid w:val="00A43A18"/>
    <w:rsid w:val="00A44736"/>
    <w:rsid w:val="00A44A50"/>
    <w:rsid w:val="00A50BB2"/>
    <w:rsid w:val="00A52C09"/>
    <w:rsid w:val="00A54FE1"/>
    <w:rsid w:val="00A55329"/>
    <w:rsid w:val="00A56775"/>
    <w:rsid w:val="00A60E6D"/>
    <w:rsid w:val="00A62AF5"/>
    <w:rsid w:val="00A631E0"/>
    <w:rsid w:val="00A6485B"/>
    <w:rsid w:val="00A70CFD"/>
    <w:rsid w:val="00A721FB"/>
    <w:rsid w:val="00A72524"/>
    <w:rsid w:val="00A72A0B"/>
    <w:rsid w:val="00A77063"/>
    <w:rsid w:val="00A7793D"/>
    <w:rsid w:val="00A8031F"/>
    <w:rsid w:val="00A81E42"/>
    <w:rsid w:val="00A8488E"/>
    <w:rsid w:val="00A84C8B"/>
    <w:rsid w:val="00A84D3C"/>
    <w:rsid w:val="00A86145"/>
    <w:rsid w:val="00A864FE"/>
    <w:rsid w:val="00A86B7C"/>
    <w:rsid w:val="00A86F41"/>
    <w:rsid w:val="00A8769D"/>
    <w:rsid w:val="00A87D04"/>
    <w:rsid w:val="00A93861"/>
    <w:rsid w:val="00A950C5"/>
    <w:rsid w:val="00A96CDE"/>
    <w:rsid w:val="00A96D80"/>
    <w:rsid w:val="00A97413"/>
    <w:rsid w:val="00AA15C1"/>
    <w:rsid w:val="00AA1D25"/>
    <w:rsid w:val="00AA1E37"/>
    <w:rsid w:val="00AA5EEF"/>
    <w:rsid w:val="00AA650E"/>
    <w:rsid w:val="00AB1B5E"/>
    <w:rsid w:val="00AB2732"/>
    <w:rsid w:val="00AB2B1A"/>
    <w:rsid w:val="00AB397F"/>
    <w:rsid w:val="00AB5832"/>
    <w:rsid w:val="00AC39DC"/>
    <w:rsid w:val="00AC4A55"/>
    <w:rsid w:val="00AC51F2"/>
    <w:rsid w:val="00AC5ABD"/>
    <w:rsid w:val="00AD18CC"/>
    <w:rsid w:val="00AD26C6"/>
    <w:rsid w:val="00AD3269"/>
    <w:rsid w:val="00AD3D98"/>
    <w:rsid w:val="00AD3FEF"/>
    <w:rsid w:val="00AD508C"/>
    <w:rsid w:val="00AD50DF"/>
    <w:rsid w:val="00AD766E"/>
    <w:rsid w:val="00AD7C32"/>
    <w:rsid w:val="00AE5066"/>
    <w:rsid w:val="00AE5E24"/>
    <w:rsid w:val="00AE604B"/>
    <w:rsid w:val="00AE61B7"/>
    <w:rsid w:val="00AE671F"/>
    <w:rsid w:val="00AE6CBA"/>
    <w:rsid w:val="00AE6CF5"/>
    <w:rsid w:val="00AE6FEF"/>
    <w:rsid w:val="00AE79AD"/>
    <w:rsid w:val="00AF0C79"/>
    <w:rsid w:val="00AF1330"/>
    <w:rsid w:val="00AF1B1B"/>
    <w:rsid w:val="00AF35E4"/>
    <w:rsid w:val="00AF4DF6"/>
    <w:rsid w:val="00AF52F2"/>
    <w:rsid w:val="00AF5496"/>
    <w:rsid w:val="00AF554B"/>
    <w:rsid w:val="00AF58E9"/>
    <w:rsid w:val="00AF5CDE"/>
    <w:rsid w:val="00B00059"/>
    <w:rsid w:val="00B00063"/>
    <w:rsid w:val="00B00C94"/>
    <w:rsid w:val="00B02A19"/>
    <w:rsid w:val="00B05E0E"/>
    <w:rsid w:val="00B06A97"/>
    <w:rsid w:val="00B11A57"/>
    <w:rsid w:val="00B12B45"/>
    <w:rsid w:val="00B13844"/>
    <w:rsid w:val="00B13F9B"/>
    <w:rsid w:val="00B172CA"/>
    <w:rsid w:val="00B20160"/>
    <w:rsid w:val="00B20A86"/>
    <w:rsid w:val="00B211C3"/>
    <w:rsid w:val="00B234C3"/>
    <w:rsid w:val="00B23FBA"/>
    <w:rsid w:val="00B24206"/>
    <w:rsid w:val="00B25597"/>
    <w:rsid w:val="00B260DE"/>
    <w:rsid w:val="00B26284"/>
    <w:rsid w:val="00B26433"/>
    <w:rsid w:val="00B267B9"/>
    <w:rsid w:val="00B27091"/>
    <w:rsid w:val="00B311EF"/>
    <w:rsid w:val="00B32F76"/>
    <w:rsid w:val="00B33E09"/>
    <w:rsid w:val="00B34114"/>
    <w:rsid w:val="00B3704D"/>
    <w:rsid w:val="00B374B2"/>
    <w:rsid w:val="00B3770E"/>
    <w:rsid w:val="00B42E11"/>
    <w:rsid w:val="00B43EE5"/>
    <w:rsid w:val="00B45530"/>
    <w:rsid w:val="00B47F45"/>
    <w:rsid w:val="00B50708"/>
    <w:rsid w:val="00B50C68"/>
    <w:rsid w:val="00B51293"/>
    <w:rsid w:val="00B52B1E"/>
    <w:rsid w:val="00B52CF4"/>
    <w:rsid w:val="00B55481"/>
    <w:rsid w:val="00B55540"/>
    <w:rsid w:val="00B56C32"/>
    <w:rsid w:val="00B57ACF"/>
    <w:rsid w:val="00B6148E"/>
    <w:rsid w:val="00B614F7"/>
    <w:rsid w:val="00B61FA7"/>
    <w:rsid w:val="00B622F7"/>
    <w:rsid w:val="00B63AC8"/>
    <w:rsid w:val="00B64BB1"/>
    <w:rsid w:val="00B6633B"/>
    <w:rsid w:val="00B7171E"/>
    <w:rsid w:val="00B72A8A"/>
    <w:rsid w:val="00B73166"/>
    <w:rsid w:val="00B74489"/>
    <w:rsid w:val="00B75F07"/>
    <w:rsid w:val="00B77FCD"/>
    <w:rsid w:val="00B8095A"/>
    <w:rsid w:val="00B82977"/>
    <w:rsid w:val="00B83896"/>
    <w:rsid w:val="00B839AC"/>
    <w:rsid w:val="00B83F73"/>
    <w:rsid w:val="00B8426C"/>
    <w:rsid w:val="00B84865"/>
    <w:rsid w:val="00B86B37"/>
    <w:rsid w:val="00B86D05"/>
    <w:rsid w:val="00B872CC"/>
    <w:rsid w:val="00B90203"/>
    <w:rsid w:val="00B91B8D"/>
    <w:rsid w:val="00B9236B"/>
    <w:rsid w:val="00B9285F"/>
    <w:rsid w:val="00B92A34"/>
    <w:rsid w:val="00B9441A"/>
    <w:rsid w:val="00B94E90"/>
    <w:rsid w:val="00BA0065"/>
    <w:rsid w:val="00BA2F90"/>
    <w:rsid w:val="00BA3622"/>
    <w:rsid w:val="00BA372E"/>
    <w:rsid w:val="00BA5637"/>
    <w:rsid w:val="00BA5C6A"/>
    <w:rsid w:val="00BA7CB1"/>
    <w:rsid w:val="00BA7EF8"/>
    <w:rsid w:val="00BB0964"/>
    <w:rsid w:val="00BB0A82"/>
    <w:rsid w:val="00BB20E0"/>
    <w:rsid w:val="00BB2276"/>
    <w:rsid w:val="00BB4D17"/>
    <w:rsid w:val="00BB6611"/>
    <w:rsid w:val="00BB7C94"/>
    <w:rsid w:val="00BC0A9D"/>
    <w:rsid w:val="00BC4BA9"/>
    <w:rsid w:val="00BC50D4"/>
    <w:rsid w:val="00BD0646"/>
    <w:rsid w:val="00BD1CCC"/>
    <w:rsid w:val="00BD2A57"/>
    <w:rsid w:val="00BD5571"/>
    <w:rsid w:val="00BD61B2"/>
    <w:rsid w:val="00BE083D"/>
    <w:rsid w:val="00BE2DCE"/>
    <w:rsid w:val="00BE3086"/>
    <w:rsid w:val="00BE3B8D"/>
    <w:rsid w:val="00BE5E9A"/>
    <w:rsid w:val="00BF03F1"/>
    <w:rsid w:val="00BF059E"/>
    <w:rsid w:val="00BF07E2"/>
    <w:rsid w:val="00BF1942"/>
    <w:rsid w:val="00BF25B7"/>
    <w:rsid w:val="00BF40ED"/>
    <w:rsid w:val="00BF446F"/>
    <w:rsid w:val="00BF4F33"/>
    <w:rsid w:val="00BF5BC2"/>
    <w:rsid w:val="00BF5E00"/>
    <w:rsid w:val="00BF6F5A"/>
    <w:rsid w:val="00BF7178"/>
    <w:rsid w:val="00BF7366"/>
    <w:rsid w:val="00C02E76"/>
    <w:rsid w:val="00C03C24"/>
    <w:rsid w:val="00C050FD"/>
    <w:rsid w:val="00C06F31"/>
    <w:rsid w:val="00C07063"/>
    <w:rsid w:val="00C07D15"/>
    <w:rsid w:val="00C1133D"/>
    <w:rsid w:val="00C13809"/>
    <w:rsid w:val="00C15800"/>
    <w:rsid w:val="00C15BEB"/>
    <w:rsid w:val="00C16210"/>
    <w:rsid w:val="00C238DD"/>
    <w:rsid w:val="00C24270"/>
    <w:rsid w:val="00C27A08"/>
    <w:rsid w:val="00C27C34"/>
    <w:rsid w:val="00C30648"/>
    <w:rsid w:val="00C311BB"/>
    <w:rsid w:val="00C31312"/>
    <w:rsid w:val="00C31E36"/>
    <w:rsid w:val="00C326C6"/>
    <w:rsid w:val="00C32876"/>
    <w:rsid w:val="00C329FC"/>
    <w:rsid w:val="00C3474E"/>
    <w:rsid w:val="00C34DDA"/>
    <w:rsid w:val="00C35295"/>
    <w:rsid w:val="00C35408"/>
    <w:rsid w:val="00C36464"/>
    <w:rsid w:val="00C36A64"/>
    <w:rsid w:val="00C36ADD"/>
    <w:rsid w:val="00C36E74"/>
    <w:rsid w:val="00C37AFC"/>
    <w:rsid w:val="00C40595"/>
    <w:rsid w:val="00C40F60"/>
    <w:rsid w:val="00C41621"/>
    <w:rsid w:val="00C42997"/>
    <w:rsid w:val="00C449FA"/>
    <w:rsid w:val="00C4776E"/>
    <w:rsid w:val="00C50808"/>
    <w:rsid w:val="00C50A42"/>
    <w:rsid w:val="00C52D47"/>
    <w:rsid w:val="00C5370B"/>
    <w:rsid w:val="00C5384F"/>
    <w:rsid w:val="00C5405A"/>
    <w:rsid w:val="00C5501B"/>
    <w:rsid w:val="00C56964"/>
    <w:rsid w:val="00C56F9B"/>
    <w:rsid w:val="00C64D3C"/>
    <w:rsid w:val="00C656D5"/>
    <w:rsid w:val="00C67103"/>
    <w:rsid w:val="00C673B2"/>
    <w:rsid w:val="00C70B65"/>
    <w:rsid w:val="00C70EFE"/>
    <w:rsid w:val="00C71BB9"/>
    <w:rsid w:val="00C7334E"/>
    <w:rsid w:val="00C7342E"/>
    <w:rsid w:val="00C76599"/>
    <w:rsid w:val="00C82BB6"/>
    <w:rsid w:val="00C83412"/>
    <w:rsid w:val="00C840BE"/>
    <w:rsid w:val="00C85980"/>
    <w:rsid w:val="00C91FD0"/>
    <w:rsid w:val="00C93383"/>
    <w:rsid w:val="00C94311"/>
    <w:rsid w:val="00C94C28"/>
    <w:rsid w:val="00C95278"/>
    <w:rsid w:val="00C974B1"/>
    <w:rsid w:val="00CA1B89"/>
    <w:rsid w:val="00CA1D41"/>
    <w:rsid w:val="00CA2A49"/>
    <w:rsid w:val="00CA5BEC"/>
    <w:rsid w:val="00CA7071"/>
    <w:rsid w:val="00CA7289"/>
    <w:rsid w:val="00CB0247"/>
    <w:rsid w:val="00CB2037"/>
    <w:rsid w:val="00CB2B21"/>
    <w:rsid w:val="00CB3440"/>
    <w:rsid w:val="00CB70D1"/>
    <w:rsid w:val="00CC0DC2"/>
    <w:rsid w:val="00CC1692"/>
    <w:rsid w:val="00CC3949"/>
    <w:rsid w:val="00CC3A7E"/>
    <w:rsid w:val="00CC3AEB"/>
    <w:rsid w:val="00CC526E"/>
    <w:rsid w:val="00CC5848"/>
    <w:rsid w:val="00CC595F"/>
    <w:rsid w:val="00CC61A0"/>
    <w:rsid w:val="00CD138B"/>
    <w:rsid w:val="00CD2D24"/>
    <w:rsid w:val="00CD3399"/>
    <w:rsid w:val="00CD33A6"/>
    <w:rsid w:val="00CD3E31"/>
    <w:rsid w:val="00CD5827"/>
    <w:rsid w:val="00CD5B3D"/>
    <w:rsid w:val="00CD7314"/>
    <w:rsid w:val="00CD74A3"/>
    <w:rsid w:val="00CE0527"/>
    <w:rsid w:val="00CE3119"/>
    <w:rsid w:val="00CE374F"/>
    <w:rsid w:val="00CE5B23"/>
    <w:rsid w:val="00CE63FF"/>
    <w:rsid w:val="00CF0349"/>
    <w:rsid w:val="00CF0C44"/>
    <w:rsid w:val="00CF16DD"/>
    <w:rsid w:val="00CF3F9A"/>
    <w:rsid w:val="00CF5856"/>
    <w:rsid w:val="00CF6554"/>
    <w:rsid w:val="00CF70AD"/>
    <w:rsid w:val="00CF7729"/>
    <w:rsid w:val="00D00059"/>
    <w:rsid w:val="00D00FED"/>
    <w:rsid w:val="00D014F5"/>
    <w:rsid w:val="00D01570"/>
    <w:rsid w:val="00D02FDA"/>
    <w:rsid w:val="00D03765"/>
    <w:rsid w:val="00D03D39"/>
    <w:rsid w:val="00D0609D"/>
    <w:rsid w:val="00D07F40"/>
    <w:rsid w:val="00D107FA"/>
    <w:rsid w:val="00D11A87"/>
    <w:rsid w:val="00D12275"/>
    <w:rsid w:val="00D12766"/>
    <w:rsid w:val="00D12770"/>
    <w:rsid w:val="00D1545A"/>
    <w:rsid w:val="00D17402"/>
    <w:rsid w:val="00D17638"/>
    <w:rsid w:val="00D20747"/>
    <w:rsid w:val="00D20FF4"/>
    <w:rsid w:val="00D21359"/>
    <w:rsid w:val="00D225B5"/>
    <w:rsid w:val="00D22F39"/>
    <w:rsid w:val="00D24D2C"/>
    <w:rsid w:val="00D27E02"/>
    <w:rsid w:val="00D30244"/>
    <w:rsid w:val="00D31617"/>
    <w:rsid w:val="00D33920"/>
    <w:rsid w:val="00D35143"/>
    <w:rsid w:val="00D35881"/>
    <w:rsid w:val="00D35CB2"/>
    <w:rsid w:val="00D400E9"/>
    <w:rsid w:val="00D437AC"/>
    <w:rsid w:val="00D4409B"/>
    <w:rsid w:val="00D459D4"/>
    <w:rsid w:val="00D509A2"/>
    <w:rsid w:val="00D50E7E"/>
    <w:rsid w:val="00D602DA"/>
    <w:rsid w:val="00D606F7"/>
    <w:rsid w:val="00D6170E"/>
    <w:rsid w:val="00D633D8"/>
    <w:rsid w:val="00D635B6"/>
    <w:rsid w:val="00D65A91"/>
    <w:rsid w:val="00D66B19"/>
    <w:rsid w:val="00D67F2F"/>
    <w:rsid w:val="00D700F8"/>
    <w:rsid w:val="00D70C98"/>
    <w:rsid w:val="00D71B16"/>
    <w:rsid w:val="00D71DF2"/>
    <w:rsid w:val="00D754E7"/>
    <w:rsid w:val="00D76283"/>
    <w:rsid w:val="00D76972"/>
    <w:rsid w:val="00D77783"/>
    <w:rsid w:val="00D81E79"/>
    <w:rsid w:val="00D82E3E"/>
    <w:rsid w:val="00D8340A"/>
    <w:rsid w:val="00D84F01"/>
    <w:rsid w:val="00D84F75"/>
    <w:rsid w:val="00D8634A"/>
    <w:rsid w:val="00D87434"/>
    <w:rsid w:val="00D901F2"/>
    <w:rsid w:val="00D90C2D"/>
    <w:rsid w:val="00D910FD"/>
    <w:rsid w:val="00D93C61"/>
    <w:rsid w:val="00D95573"/>
    <w:rsid w:val="00D96B6F"/>
    <w:rsid w:val="00D97D58"/>
    <w:rsid w:val="00DA0685"/>
    <w:rsid w:val="00DA0AEA"/>
    <w:rsid w:val="00DA0BEF"/>
    <w:rsid w:val="00DA23AA"/>
    <w:rsid w:val="00DA346A"/>
    <w:rsid w:val="00DA3749"/>
    <w:rsid w:val="00DA3D67"/>
    <w:rsid w:val="00DA50E3"/>
    <w:rsid w:val="00DA59AC"/>
    <w:rsid w:val="00DA7DA5"/>
    <w:rsid w:val="00DB073B"/>
    <w:rsid w:val="00DB0D90"/>
    <w:rsid w:val="00DB2B98"/>
    <w:rsid w:val="00DB2E42"/>
    <w:rsid w:val="00DB2EC0"/>
    <w:rsid w:val="00DB3BFB"/>
    <w:rsid w:val="00DB66FE"/>
    <w:rsid w:val="00DB78F0"/>
    <w:rsid w:val="00DB7C38"/>
    <w:rsid w:val="00DC0780"/>
    <w:rsid w:val="00DC0CEA"/>
    <w:rsid w:val="00DC2E43"/>
    <w:rsid w:val="00DC3A38"/>
    <w:rsid w:val="00DC4CFF"/>
    <w:rsid w:val="00DC4D3C"/>
    <w:rsid w:val="00DC5362"/>
    <w:rsid w:val="00DD095C"/>
    <w:rsid w:val="00DD1020"/>
    <w:rsid w:val="00DD1125"/>
    <w:rsid w:val="00DD1330"/>
    <w:rsid w:val="00DD2967"/>
    <w:rsid w:val="00DD3E79"/>
    <w:rsid w:val="00DD5621"/>
    <w:rsid w:val="00DD7EA3"/>
    <w:rsid w:val="00DD7EF3"/>
    <w:rsid w:val="00DE0B83"/>
    <w:rsid w:val="00DE1A81"/>
    <w:rsid w:val="00DE1C13"/>
    <w:rsid w:val="00DE23E9"/>
    <w:rsid w:val="00DE2E9C"/>
    <w:rsid w:val="00DE3D20"/>
    <w:rsid w:val="00DE4E10"/>
    <w:rsid w:val="00DF18C1"/>
    <w:rsid w:val="00DF3519"/>
    <w:rsid w:val="00DF6510"/>
    <w:rsid w:val="00DF69A4"/>
    <w:rsid w:val="00DF70FB"/>
    <w:rsid w:val="00DF7889"/>
    <w:rsid w:val="00E02ABF"/>
    <w:rsid w:val="00E10272"/>
    <w:rsid w:val="00E11AAB"/>
    <w:rsid w:val="00E124B2"/>
    <w:rsid w:val="00E12CB1"/>
    <w:rsid w:val="00E12F55"/>
    <w:rsid w:val="00E14995"/>
    <w:rsid w:val="00E162DD"/>
    <w:rsid w:val="00E16AB2"/>
    <w:rsid w:val="00E1712F"/>
    <w:rsid w:val="00E179CD"/>
    <w:rsid w:val="00E20007"/>
    <w:rsid w:val="00E225E6"/>
    <w:rsid w:val="00E23227"/>
    <w:rsid w:val="00E237B1"/>
    <w:rsid w:val="00E23E8D"/>
    <w:rsid w:val="00E26CD3"/>
    <w:rsid w:val="00E27696"/>
    <w:rsid w:val="00E30009"/>
    <w:rsid w:val="00E32408"/>
    <w:rsid w:val="00E336D8"/>
    <w:rsid w:val="00E35CA7"/>
    <w:rsid w:val="00E37935"/>
    <w:rsid w:val="00E37F98"/>
    <w:rsid w:val="00E37FCC"/>
    <w:rsid w:val="00E408C5"/>
    <w:rsid w:val="00E40B14"/>
    <w:rsid w:val="00E40B8E"/>
    <w:rsid w:val="00E42C2E"/>
    <w:rsid w:val="00E44CB7"/>
    <w:rsid w:val="00E459B7"/>
    <w:rsid w:val="00E46559"/>
    <w:rsid w:val="00E50EBC"/>
    <w:rsid w:val="00E52D07"/>
    <w:rsid w:val="00E57EAF"/>
    <w:rsid w:val="00E6023B"/>
    <w:rsid w:val="00E61434"/>
    <w:rsid w:val="00E622AB"/>
    <w:rsid w:val="00E62FC4"/>
    <w:rsid w:val="00E64D8B"/>
    <w:rsid w:val="00E65462"/>
    <w:rsid w:val="00E65BD1"/>
    <w:rsid w:val="00E6670C"/>
    <w:rsid w:val="00E749C7"/>
    <w:rsid w:val="00E75156"/>
    <w:rsid w:val="00E77525"/>
    <w:rsid w:val="00E776E8"/>
    <w:rsid w:val="00E833B4"/>
    <w:rsid w:val="00E85198"/>
    <w:rsid w:val="00E854CD"/>
    <w:rsid w:val="00E86400"/>
    <w:rsid w:val="00E87541"/>
    <w:rsid w:val="00E87558"/>
    <w:rsid w:val="00E9262A"/>
    <w:rsid w:val="00E9299A"/>
    <w:rsid w:val="00E92C1F"/>
    <w:rsid w:val="00E9328B"/>
    <w:rsid w:val="00E9448E"/>
    <w:rsid w:val="00E94FC9"/>
    <w:rsid w:val="00E95D4B"/>
    <w:rsid w:val="00E977E1"/>
    <w:rsid w:val="00E97B95"/>
    <w:rsid w:val="00EA03D8"/>
    <w:rsid w:val="00EA1FEA"/>
    <w:rsid w:val="00EA2A08"/>
    <w:rsid w:val="00EA39F4"/>
    <w:rsid w:val="00EB15C2"/>
    <w:rsid w:val="00EB199F"/>
    <w:rsid w:val="00EB32F1"/>
    <w:rsid w:val="00EB3476"/>
    <w:rsid w:val="00EB4A06"/>
    <w:rsid w:val="00EB4BE3"/>
    <w:rsid w:val="00EB5408"/>
    <w:rsid w:val="00EB5E71"/>
    <w:rsid w:val="00EB76FE"/>
    <w:rsid w:val="00EC23F7"/>
    <w:rsid w:val="00EC4BD8"/>
    <w:rsid w:val="00EC522D"/>
    <w:rsid w:val="00EC543B"/>
    <w:rsid w:val="00EC63EB"/>
    <w:rsid w:val="00EC66C7"/>
    <w:rsid w:val="00EC681C"/>
    <w:rsid w:val="00EC7CD9"/>
    <w:rsid w:val="00ED05C4"/>
    <w:rsid w:val="00ED074C"/>
    <w:rsid w:val="00ED0E1D"/>
    <w:rsid w:val="00ED163A"/>
    <w:rsid w:val="00ED1D5E"/>
    <w:rsid w:val="00ED3D65"/>
    <w:rsid w:val="00ED412F"/>
    <w:rsid w:val="00ED6432"/>
    <w:rsid w:val="00EE49E6"/>
    <w:rsid w:val="00EE5234"/>
    <w:rsid w:val="00EE6263"/>
    <w:rsid w:val="00EE73ED"/>
    <w:rsid w:val="00EF03B2"/>
    <w:rsid w:val="00EF11E2"/>
    <w:rsid w:val="00EF2BE3"/>
    <w:rsid w:val="00EF36B2"/>
    <w:rsid w:val="00EF6530"/>
    <w:rsid w:val="00EF6785"/>
    <w:rsid w:val="00EF6EBE"/>
    <w:rsid w:val="00F0061F"/>
    <w:rsid w:val="00F00746"/>
    <w:rsid w:val="00F00D51"/>
    <w:rsid w:val="00F00E43"/>
    <w:rsid w:val="00F024F5"/>
    <w:rsid w:val="00F02958"/>
    <w:rsid w:val="00F03CB7"/>
    <w:rsid w:val="00F05306"/>
    <w:rsid w:val="00F06D7F"/>
    <w:rsid w:val="00F11126"/>
    <w:rsid w:val="00F1246B"/>
    <w:rsid w:val="00F138E9"/>
    <w:rsid w:val="00F16F61"/>
    <w:rsid w:val="00F201EC"/>
    <w:rsid w:val="00F208A9"/>
    <w:rsid w:val="00F229AE"/>
    <w:rsid w:val="00F234CA"/>
    <w:rsid w:val="00F23EB2"/>
    <w:rsid w:val="00F30A15"/>
    <w:rsid w:val="00F30F3A"/>
    <w:rsid w:val="00F3149F"/>
    <w:rsid w:val="00F32307"/>
    <w:rsid w:val="00F335DB"/>
    <w:rsid w:val="00F336CF"/>
    <w:rsid w:val="00F364DB"/>
    <w:rsid w:val="00F36E56"/>
    <w:rsid w:val="00F37CE4"/>
    <w:rsid w:val="00F40FBB"/>
    <w:rsid w:val="00F41D75"/>
    <w:rsid w:val="00F42719"/>
    <w:rsid w:val="00F434F5"/>
    <w:rsid w:val="00F45264"/>
    <w:rsid w:val="00F46414"/>
    <w:rsid w:val="00F46959"/>
    <w:rsid w:val="00F4740B"/>
    <w:rsid w:val="00F50418"/>
    <w:rsid w:val="00F5095B"/>
    <w:rsid w:val="00F510B4"/>
    <w:rsid w:val="00F5139D"/>
    <w:rsid w:val="00F514E9"/>
    <w:rsid w:val="00F52A11"/>
    <w:rsid w:val="00F54E2C"/>
    <w:rsid w:val="00F555FC"/>
    <w:rsid w:val="00F63DAC"/>
    <w:rsid w:val="00F64F61"/>
    <w:rsid w:val="00F6613F"/>
    <w:rsid w:val="00F66D5A"/>
    <w:rsid w:val="00F717EB"/>
    <w:rsid w:val="00F7454F"/>
    <w:rsid w:val="00F74C74"/>
    <w:rsid w:val="00F77988"/>
    <w:rsid w:val="00F77F48"/>
    <w:rsid w:val="00F801F5"/>
    <w:rsid w:val="00F80235"/>
    <w:rsid w:val="00F803A9"/>
    <w:rsid w:val="00F815AF"/>
    <w:rsid w:val="00F82010"/>
    <w:rsid w:val="00F82F55"/>
    <w:rsid w:val="00F84683"/>
    <w:rsid w:val="00F8573F"/>
    <w:rsid w:val="00F869B0"/>
    <w:rsid w:val="00F91D6E"/>
    <w:rsid w:val="00F921A3"/>
    <w:rsid w:val="00F931B1"/>
    <w:rsid w:val="00F93D4D"/>
    <w:rsid w:val="00F95A92"/>
    <w:rsid w:val="00FA1696"/>
    <w:rsid w:val="00FA2817"/>
    <w:rsid w:val="00FA5F90"/>
    <w:rsid w:val="00FA7067"/>
    <w:rsid w:val="00FB1224"/>
    <w:rsid w:val="00FB1BE1"/>
    <w:rsid w:val="00FB26B0"/>
    <w:rsid w:val="00FB30F1"/>
    <w:rsid w:val="00FB38F8"/>
    <w:rsid w:val="00FB4FC6"/>
    <w:rsid w:val="00FB53E7"/>
    <w:rsid w:val="00FB64E2"/>
    <w:rsid w:val="00FC0874"/>
    <w:rsid w:val="00FC1517"/>
    <w:rsid w:val="00FC18A3"/>
    <w:rsid w:val="00FC1999"/>
    <w:rsid w:val="00FC326A"/>
    <w:rsid w:val="00FC41EB"/>
    <w:rsid w:val="00FC4BF6"/>
    <w:rsid w:val="00FC52C6"/>
    <w:rsid w:val="00FC7FA9"/>
    <w:rsid w:val="00FD0D35"/>
    <w:rsid w:val="00FD0E86"/>
    <w:rsid w:val="00FD2187"/>
    <w:rsid w:val="00FD2A8A"/>
    <w:rsid w:val="00FD3886"/>
    <w:rsid w:val="00FD4C72"/>
    <w:rsid w:val="00FD5A20"/>
    <w:rsid w:val="00FD6B27"/>
    <w:rsid w:val="00FD6BAA"/>
    <w:rsid w:val="00FD6D2D"/>
    <w:rsid w:val="00FE0C93"/>
    <w:rsid w:val="00FE1DE5"/>
    <w:rsid w:val="00FE31B7"/>
    <w:rsid w:val="00FE4DBB"/>
    <w:rsid w:val="00FE5A02"/>
    <w:rsid w:val="00FE5B84"/>
    <w:rsid w:val="00FE68DD"/>
    <w:rsid w:val="00FE6B8C"/>
    <w:rsid w:val="00FE6C51"/>
    <w:rsid w:val="00FF1A52"/>
    <w:rsid w:val="00FF4595"/>
    <w:rsid w:val="00FF62AB"/>
    <w:rsid w:val="00FF6AEE"/>
    <w:rsid w:val="00FF7F70"/>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174E186-51E6-4664-BF36-0E38E43D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F76"/>
    <w:rPr>
      <w:sz w:val="24"/>
      <w:szCs w:val="24"/>
    </w:rPr>
  </w:style>
  <w:style w:type="paragraph" w:styleId="Heading3">
    <w:name w:val="heading 3"/>
    <w:basedOn w:val="Normal"/>
    <w:next w:val="Normal"/>
    <w:link w:val="Heading3Char"/>
    <w:uiPriority w:val="9"/>
    <w:semiHidden/>
    <w:unhideWhenUsed/>
    <w:qFormat/>
    <w:rsid w:val="00706548"/>
    <w:pPr>
      <w:pBdr>
        <w:top w:val="dotted" w:sz="4" w:space="1" w:color="622423"/>
        <w:bottom w:val="dotted" w:sz="4" w:space="1" w:color="622423"/>
      </w:pBdr>
      <w:spacing w:before="300" w:after="200" w:line="252" w:lineRule="auto"/>
      <w:jc w:val="center"/>
      <w:outlineLvl w:val="2"/>
    </w:pPr>
    <w:rPr>
      <w:rFonts w:ascii="Cambria" w:eastAsia="Calibri" w:hAnsi="Cambria"/>
      <w:caps/>
      <w:color w:val="62242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Char Rakstz. Rakstz. Rakstz.,Char1,Footnote,Footnote Char,Footnote Text Char1 Char,Footnote Text Char1 Char Char Char,Footnote Text Char1 Char Char Char Rakstz. Rakstz,Footnote Text Char2,Fußnote,Fußnote Char"/>
    <w:basedOn w:val="Normal"/>
    <w:link w:val="FootnoteTextChar"/>
    <w:uiPriority w:val="99"/>
    <w:rsid w:val="008C5649"/>
    <w:rPr>
      <w:sz w:val="20"/>
      <w:szCs w:val="20"/>
    </w:rPr>
  </w:style>
  <w:style w:type="character" w:styleId="FootnoteReference">
    <w:name w:val="footnote reference"/>
    <w:aliases w:val="Footnote Reference Number,Footnote symbol,SUPERS"/>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basedOn w:val="Normal"/>
    <w:link w:val="NormalWebChar"/>
    <w:uiPriority w:val="99"/>
    <w:rsid w:val="00C83412"/>
    <w:pPr>
      <w:spacing w:before="100" w:beforeAutospacing="1" w:after="100" w:afterAutospacing="1"/>
    </w:pPr>
  </w:style>
  <w:style w:type="paragraph" w:styleId="NoSpacing">
    <w:name w:val="No Spacing"/>
    <w:link w:val="NoSpacingChar"/>
    <w:uiPriority w:val="1"/>
    <w:qFormat/>
    <w:rsid w:val="00720B2E"/>
    <w:rPr>
      <w:rFonts w:ascii="Calibri" w:eastAsia="Calibri" w:hAnsi="Calibri"/>
      <w:sz w:val="22"/>
      <w:szCs w:val="22"/>
      <w:lang w:eastAsia="en-US"/>
    </w:rPr>
  </w:style>
  <w:style w:type="paragraph" w:customStyle="1" w:styleId="tv213">
    <w:name w:val="tv213"/>
    <w:basedOn w:val="Normal"/>
    <w:rsid w:val="00065067"/>
    <w:pPr>
      <w:spacing w:before="100" w:beforeAutospacing="1" w:after="100" w:afterAutospacing="1"/>
    </w:pPr>
  </w:style>
  <w:style w:type="paragraph" w:customStyle="1" w:styleId="labojumupamats">
    <w:name w:val="labojumu_pamats"/>
    <w:basedOn w:val="Normal"/>
    <w:rsid w:val="00065067"/>
    <w:pPr>
      <w:spacing w:before="100" w:beforeAutospacing="1" w:after="100" w:afterAutospacing="1"/>
    </w:pPr>
  </w:style>
  <w:style w:type="character" w:customStyle="1" w:styleId="spelle">
    <w:name w:val="spelle"/>
    <w:basedOn w:val="DefaultParagraphFont"/>
    <w:rsid w:val="003D3FA3"/>
  </w:style>
  <w:style w:type="character" w:customStyle="1" w:styleId="Heading3Char">
    <w:name w:val="Heading 3 Char"/>
    <w:link w:val="Heading3"/>
    <w:uiPriority w:val="9"/>
    <w:semiHidden/>
    <w:rsid w:val="00706548"/>
    <w:rPr>
      <w:rFonts w:ascii="Cambria" w:eastAsia="Calibri" w:hAnsi="Cambria" w:cs="Times New Roman"/>
      <w:caps/>
      <w:color w:val="622423"/>
      <w:sz w:val="24"/>
      <w:szCs w:val="24"/>
      <w:lang w:val="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470309"/>
    <w:pPr>
      <w:spacing w:after="200" w:line="276" w:lineRule="auto"/>
      <w:ind w:left="720"/>
      <w:contextualSpacing/>
    </w:pPr>
    <w:rPr>
      <w:rFonts w:ascii="Calibri" w:eastAsia="Calibri" w:hAnsi="Calibri"/>
      <w:sz w:val="22"/>
      <w:szCs w:val="22"/>
      <w:lang w:val="en-US" w:eastAsia="en-US"/>
    </w:rPr>
  </w:style>
  <w:style w:type="character" w:customStyle="1" w:styleId="NormalWebChar">
    <w:name w:val="Normal (Web) Char"/>
    <w:link w:val="NormalWeb"/>
    <w:rsid w:val="00470309"/>
    <w:rPr>
      <w:sz w:val="24"/>
      <w:szCs w:val="24"/>
      <w:lang w:val="lv-LV" w:eastAsia="lv-LV"/>
    </w:rPr>
  </w:style>
  <w:style w:type="character" w:customStyle="1" w:styleId="NoSpacingChar">
    <w:name w:val="No Spacing Char"/>
    <w:link w:val="NoSpacing"/>
    <w:uiPriority w:val="1"/>
    <w:rsid w:val="00BB4D17"/>
    <w:rPr>
      <w:rFonts w:ascii="Calibri" w:eastAsia="Calibri" w:hAnsi="Calibri"/>
      <w:sz w:val="22"/>
      <w:szCs w:val="22"/>
      <w:lang w:val="lv-LV" w:eastAsia="en-US" w:bidi="ar-SA"/>
    </w:rPr>
  </w:style>
  <w:style w:type="paragraph" w:customStyle="1" w:styleId="Statuti">
    <w:name w:val="Statuti"/>
    <w:basedOn w:val="Normal"/>
    <w:rsid w:val="00462432"/>
    <w:pPr>
      <w:numPr>
        <w:ilvl w:val="3"/>
        <w:numId w:val="17"/>
      </w:numPr>
      <w:spacing w:line="360" w:lineRule="auto"/>
      <w:jc w:val="both"/>
    </w:pPr>
    <w:rPr>
      <w:rFonts w:ascii="Arial Narrow" w:hAnsi="Arial Narrow"/>
      <w:szCs w:val="20"/>
    </w:rPr>
  </w:style>
  <w:style w:type="paragraph" w:customStyle="1" w:styleId="Virsraksti4">
    <w:name w:val="Virsraksti4"/>
    <w:basedOn w:val="Normal"/>
    <w:rsid w:val="00462432"/>
    <w:pPr>
      <w:numPr>
        <w:ilvl w:val="4"/>
        <w:numId w:val="17"/>
      </w:numPr>
      <w:spacing w:before="60" w:after="120"/>
    </w:pPr>
    <w:rPr>
      <w:szCs w:val="20"/>
    </w:rPr>
  </w:style>
  <w:style w:type="paragraph" w:customStyle="1" w:styleId="Virsraksti1">
    <w:name w:val="Virsraksti1"/>
    <w:basedOn w:val="Normal"/>
    <w:rsid w:val="00462432"/>
    <w:pPr>
      <w:numPr>
        <w:numId w:val="17"/>
      </w:numPr>
      <w:ind w:left="0" w:firstLine="0"/>
    </w:pPr>
    <w:rPr>
      <w:rFonts w:eastAsia="Calibri"/>
      <w:szCs w:val="22"/>
      <w:lang w:eastAsia="en-US"/>
    </w:rPr>
  </w:style>
  <w:style w:type="paragraph" w:customStyle="1" w:styleId="Virsraksti2">
    <w:name w:val="Virsraksti_2"/>
    <w:basedOn w:val="Normal"/>
    <w:rsid w:val="00462432"/>
    <w:pPr>
      <w:numPr>
        <w:ilvl w:val="1"/>
        <w:numId w:val="17"/>
      </w:numPr>
      <w:ind w:left="0" w:firstLine="0"/>
    </w:pPr>
    <w:rPr>
      <w:rFonts w:eastAsia="Calibri"/>
      <w:szCs w:val="22"/>
      <w:lang w:eastAsia="en-US"/>
    </w:rPr>
  </w:style>
  <w:style w:type="paragraph" w:customStyle="1" w:styleId="Virsraksti3">
    <w:name w:val="Virsraksti_3"/>
    <w:basedOn w:val="Normal"/>
    <w:rsid w:val="00462432"/>
    <w:pPr>
      <w:numPr>
        <w:ilvl w:val="2"/>
        <w:numId w:val="17"/>
      </w:numPr>
      <w:ind w:left="0" w:firstLine="0"/>
    </w:pPr>
    <w:rPr>
      <w:rFonts w:eastAsia="Calibri"/>
      <w:szCs w:val="22"/>
      <w:lang w:eastAsia="en-US"/>
    </w:rPr>
  </w:style>
  <w:style w:type="character" w:customStyle="1" w:styleId="FootnoteTextChar">
    <w:name w:val="Footnote Text Char"/>
    <w:aliases w:val="Char Char,Char Rakstz. Rakstz. Rakstz. Char,Char1 Char,Footnote Char Char,Footnote Char1,Footnote Text Char1 Char Char,Footnote Text Char1 Char Char Char Char,Footnote Text Char1 Char Char Char Rakstz. Rakstz Char,Fußnote Char1"/>
    <w:link w:val="FootnoteText"/>
    <w:rsid w:val="00462432"/>
    <w:rPr>
      <w:lang w:val="lv-LV" w:eastAsia="lv-LV"/>
    </w:rPr>
  </w:style>
  <w:style w:type="paragraph" w:styleId="Title">
    <w:name w:val="Title"/>
    <w:basedOn w:val="Normal"/>
    <w:link w:val="TitleChar"/>
    <w:qFormat/>
    <w:rsid w:val="00F42719"/>
    <w:pPr>
      <w:jc w:val="center"/>
    </w:pPr>
    <w:rPr>
      <w:szCs w:val="20"/>
      <w:lang w:eastAsia="en-US"/>
    </w:rPr>
  </w:style>
  <w:style w:type="character" w:customStyle="1" w:styleId="TitleChar">
    <w:name w:val="Title Char"/>
    <w:link w:val="Title"/>
    <w:rsid w:val="00F42719"/>
    <w:rPr>
      <w:sz w:val="24"/>
      <w:lang w:val="lv-LV"/>
    </w:rPr>
  </w:style>
  <w:style w:type="character" w:customStyle="1" w:styleId="FootnoteTextChar1">
    <w:name w:val="Footnote Text Char1"/>
    <w:aliases w:val="Char Char1,Char Rakstz. Rakstz. Rakstz. Char1,Char1 Char1,Footnote Char Char1,Footnote Char2,Footnote Text Char1 Char Char Char Char1,Footnote Text Char1 Char Char1,Footnote Text Char2 Char1,Fußnote Char Char1,Fußnote Char2"/>
    <w:uiPriority w:val="99"/>
    <w:semiHidden/>
    <w:locked/>
    <w:rsid w:val="00913DDE"/>
    <w:rPr>
      <w:rFonts w:ascii="Times New Roman" w:eastAsia="Times New Roman" w:hAnsi="Times New Roman"/>
      <w:sz w:val="20"/>
      <w:szCs w:val="20"/>
      <w:lang w:val="en-US" w:eastAsia="en-US"/>
    </w:rPr>
  </w:style>
  <w:style w:type="character" w:styleId="Strong">
    <w:name w:val="Strong"/>
    <w:uiPriority w:val="22"/>
    <w:qFormat/>
    <w:rsid w:val="00913DDE"/>
    <w:rPr>
      <w:b/>
      <w:bCs/>
    </w:rPr>
  </w:style>
  <w:style w:type="character" w:customStyle="1" w:styleId="tvhtml">
    <w:name w:val="tv_html"/>
    <w:basedOn w:val="DefaultParagraphFont"/>
    <w:rsid w:val="00CD5827"/>
  </w:style>
  <w:style w:type="paragraph" w:customStyle="1" w:styleId="b">
    <w:name w:val="b"/>
    <w:basedOn w:val="Normal"/>
    <w:rsid w:val="00097A8F"/>
    <w:pPr>
      <w:spacing w:before="75" w:after="75"/>
    </w:pPr>
    <w:rPr>
      <w:color w:val="306060"/>
    </w:rPr>
  </w:style>
  <w:style w:type="paragraph" w:customStyle="1" w:styleId="programmas">
    <w:name w:val="programmas"/>
    <w:basedOn w:val="Normal"/>
    <w:uiPriority w:val="99"/>
    <w:qFormat/>
    <w:rsid w:val="00E65462"/>
    <w:pPr>
      <w:widowControl w:val="0"/>
      <w:spacing w:before="240" w:after="120"/>
      <w:jc w:val="center"/>
    </w:pPr>
    <w:rPr>
      <w:b/>
      <w:szCs w:val="20"/>
      <w:lang w:val="en-US" w:eastAsia="en-US"/>
    </w:rPr>
  </w:style>
  <w:style w:type="paragraph" w:customStyle="1" w:styleId="funkcijas">
    <w:name w:val="funkcijas"/>
    <w:basedOn w:val="Normal"/>
    <w:qFormat/>
    <w:rsid w:val="00E65462"/>
    <w:pPr>
      <w:spacing w:after="120"/>
      <w:jc w:val="both"/>
    </w:pPr>
    <w:rPr>
      <w:bCs/>
      <w:szCs w:val="20"/>
      <w:u w:val="single"/>
      <w:lang w:eastAsia="en-US"/>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7570B0"/>
    <w:rPr>
      <w:rFonts w:ascii="Calibri" w:eastAsia="Calibri" w:hAnsi="Calibri"/>
      <w:sz w:val="22"/>
      <w:szCs w:val="22"/>
      <w:lang w:val="en-US" w:eastAsia="en-US"/>
    </w:rPr>
  </w:style>
  <w:style w:type="paragraph" w:customStyle="1" w:styleId="T">
    <w:name w:val="T"/>
    <w:basedOn w:val="Normal"/>
    <w:uiPriority w:val="99"/>
    <w:rsid w:val="00F717EB"/>
    <w:pPr>
      <w:keepNext/>
      <w:spacing w:after="120"/>
      <w:jc w:val="center"/>
    </w:pPr>
    <w:rPr>
      <w:b/>
      <w:i/>
      <w:szCs w:val="20"/>
      <w:lang w:eastAsia="en-US"/>
    </w:rPr>
  </w:style>
  <w:style w:type="paragraph" w:customStyle="1" w:styleId="tabteksts">
    <w:name w:val="tab_teksts"/>
    <w:basedOn w:val="Normal"/>
    <w:qFormat/>
    <w:rsid w:val="00F717EB"/>
    <w:rPr>
      <w:sz w:val="18"/>
      <w:szCs w:val="20"/>
      <w:lang w:eastAsia="en-US"/>
    </w:rPr>
  </w:style>
  <w:style w:type="paragraph" w:customStyle="1" w:styleId="xmsonormal">
    <w:name w:val="x_msonormal"/>
    <w:basedOn w:val="Normal"/>
    <w:rsid w:val="008B2B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48B8D-5846-422D-9BCF-4410C5B90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3901</Words>
  <Characters>26487</Characters>
  <Application>Microsoft Office Word</Application>
  <DocSecurity>0</DocSecurity>
  <Lines>220</Lines>
  <Paragraphs>60</Paragraphs>
  <ScaleCrop>false</ScaleCrop>
  <HeadingPairs>
    <vt:vector size="2" baseType="variant">
      <vt:variant>
        <vt:lpstr>Title</vt:lpstr>
      </vt:variant>
      <vt:variant>
        <vt:i4>1</vt:i4>
      </vt:variant>
    </vt:vector>
  </HeadingPairs>
  <TitlesOfParts>
    <vt:vector size="1" baseType="lpstr">
      <vt:lpstr>Ministru kabineta noteikumu „Grozījums Ministru kabineta 2010.gada 29.jūnija noteikumos Nr.595 „Noteikumi par zemāko mēnešalgu un speciālo piemaksu ārstniecības personām”” projekta sākotnējās ietekmes novērtējuma ziņojums (anotācija)</vt:lpstr>
    </vt:vector>
  </TitlesOfParts>
  <Company>Veselības ministrija</Company>
  <LinksUpToDate>false</LinksUpToDate>
  <CharactersWithSpaces>30328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„Grozījums Ministru kabineta 2010.gada 29.jūnija noteikumos Nr.595 „Noteikumi par zemāko mēnešalgu un speciālo piemaksu ārstniecības personām”” projekta sākotnējās ietekmes novērtējuma ziņojums (anotācija)</dc:title>
  <dc:subject>Anotācijas projekts</dc:subject>
  <dc:creator>Sandra Kasparenko</dc:creator>
  <dc:description>67876147, Sandra.Kasparenko@vm.gov.lv, Budžeta un investīciju departamenta Budžeta plānošanas nodaļas vadītāja Sandra Kasparenko</dc:description>
  <cp:lastModifiedBy>Lāsma Zandberga</cp:lastModifiedBy>
  <cp:revision>3</cp:revision>
  <cp:lastPrinted>2017-11-28T07:34:00Z</cp:lastPrinted>
  <dcterms:created xsi:type="dcterms:W3CDTF">2017-12-12T14:26:00Z</dcterms:created>
  <dcterms:modified xsi:type="dcterms:W3CDTF">2017-12-13T13:11:00Z</dcterms:modified>
</cp:coreProperties>
</file>