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E009A" w14:textId="191DBBA9" w:rsidR="00EC6306" w:rsidRPr="00847710" w:rsidRDefault="00035846" w:rsidP="004317A8">
      <w:pPr>
        <w:spacing w:after="0"/>
        <w:rPr>
          <w:rFonts w:ascii="Times New Roman" w:hAnsi="Times New Roman" w:cs="Times New Roman"/>
          <w:b/>
          <w:bCs/>
          <w:sz w:val="26"/>
          <w:szCs w:val="26"/>
        </w:rPr>
      </w:pPr>
      <w:r w:rsidRPr="00847710">
        <w:rPr>
          <w:rFonts w:ascii="Times New Roman" w:hAnsi="Times New Roman" w:cs="Times New Roman"/>
          <w:b/>
          <w:bCs/>
          <w:sz w:val="26"/>
          <w:szCs w:val="26"/>
        </w:rPr>
        <w:t xml:space="preserve">Informatīvais ziņojums </w:t>
      </w:r>
      <w:r w:rsidR="004B51FA" w:rsidRPr="00847710">
        <w:rPr>
          <w:rFonts w:ascii="Times New Roman" w:hAnsi="Times New Roman" w:cs="Times New Roman"/>
          <w:b/>
          <w:bCs/>
          <w:sz w:val="26"/>
          <w:szCs w:val="26"/>
        </w:rPr>
        <w:t xml:space="preserve">“Par </w:t>
      </w:r>
      <w:r w:rsidR="00ED2403" w:rsidRPr="00847710">
        <w:rPr>
          <w:rFonts w:ascii="Times New Roman" w:hAnsi="Times New Roman" w:cs="Times New Roman"/>
          <w:b/>
          <w:bCs/>
          <w:sz w:val="26"/>
          <w:szCs w:val="26"/>
        </w:rPr>
        <w:t>veselī</w:t>
      </w:r>
      <w:r w:rsidR="001542DA" w:rsidRPr="00847710">
        <w:rPr>
          <w:rFonts w:ascii="Times New Roman" w:hAnsi="Times New Roman" w:cs="Times New Roman"/>
          <w:b/>
          <w:bCs/>
          <w:sz w:val="26"/>
          <w:szCs w:val="26"/>
        </w:rPr>
        <w:t>bas reformas pasākumu īstenošanu</w:t>
      </w:r>
      <w:r w:rsidR="00ED2403" w:rsidRPr="00847710">
        <w:rPr>
          <w:rFonts w:ascii="Times New Roman" w:hAnsi="Times New Roman" w:cs="Times New Roman"/>
          <w:b/>
          <w:bCs/>
          <w:sz w:val="26"/>
          <w:szCs w:val="26"/>
        </w:rPr>
        <w:t xml:space="preserve"> 201</w:t>
      </w:r>
      <w:r w:rsidR="00D06235" w:rsidRPr="00847710">
        <w:rPr>
          <w:rFonts w:ascii="Times New Roman" w:hAnsi="Times New Roman" w:cs="Times New Roman"/>
          <w:b/>
          <w:bCs/>
          <w:sz w:val="26"/>
          <w:szCs w:val="26"/>
        </w:rPr>
        <w:t>8</w:t>
      </w:r>
      <w:r w:rsidR="00ED2403" w:rsidRPr="00847710">
        <w:rPr>
          <w:rFonts w:ascii="Times New Roman" w:hAnsi="Times New Roman" w:cs="Times New Roman"/>
          <w:b/>
          <w:bCs/>
          <w:sz w:val="26"/>
          <w:szCs w:val="26"/>
        </w:rPr>
        <w:t>.gadā</w:t>
      </w:r>
      <w:r w:rsidR="004B51FA" w:rsidRPr="00847710">
        <w:rPr>
          <w:rFonts w:ascii="Times New Roman" w:hAnsi="Times New Roman" w:cs="Times New Roman"/>
          <w:b/>
          <w:bCs/>
          <w:sz w:val="26"/>
          <w:szCs w:val="26"/>
        </w:rPr>
        <w:t>”</w:t>
      </w:r>
    </w:p>
    <w:p w14:paraId="0A9DB6D0" w14:textId="77777777" w:rsidR="003C2151" w:rsidRPr="00847710" w:rsidRDefault="003C2151" w:rsidP="00B45666">
      <w:pPr>
        <w:spacing w:after="80"/>
        <w:ind w:firstLine="720"/>
        <w:jc w:val="both"/>
        <w:rPr>
          <w:rFonts w:ascii="Times New Roman" w:hAnsi="Times New Roman" w:cs="Times New Roman"/>
          <w:sz w:val="24"/>
          <w:szCs w:val="24"/>
        </w:rPr>
      </w:pPr>
    </w:p>
    <w:p w14:paraId="6159AAE7" w14:textId="3B5FD944" w:rsidR="00545AA6" w:rsidRPr="00847710" w:rsidRDefault="00ED2403" w:rsidP="00B45666">
      <w:pPr>
        <w:spacing w:after="80"/>
        <w:ind w:firstLine="720"/>
        <w:jc w:val="both"/>
        <w:rPr>
          <w:rFonts w:ascii="Times New Roman" w:hAnsi="Times New Roman" w:cs="Times New Roman"/>
          <w:sz w:val="24"/>
          <w:szCs w:val="24"/>
        </w:rPr>
      </w:pPr>
      <w:r w:rsidRPr="00847710">
        <w:rPr>
          <w:rFonts w:ascii="Times New Roman" w:hAnsi="Times New Roman" w:cs="Times New Roman"/>
          <w:sz w:val="24"/>
          <w:szCs w:val="24"/>
        </w:rPr>
        <w:t>Informatīvais ziņojums</w:t>
      </w:r>
      <w:r w:rsidR="00245344" w:rsidRPr="00847710">
        <w:rPr>
          <w:rFonts w:ascii="Times New Roman" w:hAnsi="Times New Roman" w:cs="Times New Roman"/>
          <w:sz w:val="24"/>
          <w:szCs w:val="24"/>
        </w:rPr>
        <w:t xml:space="preserve"> (turpmāk </w:t>
      </w:r>
      <w:r w:rsidRPr="00847710">
        <w:rPr>
          <w:rFonts w:ascii="Times New Roman" w:hAnsi="Times New Roman" w:cs="Times New Roman"/>
          <w:sz w:val="24"/>
          <w:szCs w:val="24"/>
        </w:rPr>
        <w:t>–</w:t>
      </w:r>
      <w:r w:rsidR="00245344" w:rsidRPr="00847710">
        <w:rPr>
          <w:rFonts w:ascii="Times New Roman" w:hAnsi="Times New Roman" w:cs="Times New Roman"/>
          <w:sz w:val="24"/>
          <w:szCs w:val="24"/>
        </w:rPr>
        <w:t xml:space="preserve"> ziņojums) ir sagatavots atbilstoši </w:t>
      </w:r>
      <w:r w:rsidR="00F615C8" w:rsidRPr="00847710">
        <w:rPr>
          <w:rFonts w:ascii="Times New Roman" w:hAnsi="Times New Roman" w:cs="Times New Roman"/>
          <w:sz w:val="24"/>
          <w:szCs w:val="24"/>
        </w:rPr>
        <w:t xml:space="preserve">likuma “Par valsts budžetu </w:t>
      </w:r>
      <w:r w:rsidR="00324883" w:rsidRPr="00847710">
        <w:rPr>
          <w:rFonts w:ascii="Times New Roman" w:hAnsi="Times New Roman" w:cs="Times New Roman"/>
          <w:sz w:val="24"/>
          <w:szCs w:val="24"/>
        </w:rPr>
        <w:t>2018</w:t>
      </w:r>
      <w:r w:rsidR="00F615C8" w:rsidRPr="00847710">
        <w:rPr>
          <w:rFonts w:ascii="Times New Roman" w:hAnsi="Times New Roman" w:cs="Times New Roman"/>
          <w:sz w:val="24"/>
          <w:szCs w:val="24"/>
        </w:rPr>
        <w:t xml:space="preserve">. gadam” </w:t>
      </w:r>
      <w:r w:rsidR="00324883" w:rsidRPr="00847710">
        <w:rPr>
          <w:rFonts w:ascii="Times New Roman" w:hAnsi="Times New Roman" w:cs="Times New Roman"/>
          <w:sz w:val="24"/>
          <w:szCs w:val="24"/>
        </w:rPr>
        <w:t>54</w:t>
      </w:r>
      <w:r w:rsidR="00F615C8" w:rsidRPr="00847710">
        <w:rPr>
          <w:rFonts w:ascii="Times New Roman" w:hAnsi="Times New Roman" w:cs="Times New Roman"/>
          <w:sz w:val="24"/>
          <w:szCs w:val="24"/>
        </w:rPr>
        <w:t xml:space="preserve">.pantā noteiktajam, ka </w:t>
      </w:r>
      <w:r w:rsidR="00324883" w:rsidRPr="00847710">
        <w:rPr>
          <w:rFonts w:ascii="Times New Roman" w:hAnsi="Times New Roman" w:cs="Times New Roman"/>
          <w:sz w:val="24"/>
          <w:szCs w:val="24"/>
        </w:rPr>
        <w:t>veselības aprūpes finansēšanai budžeta resora “74. Gadskārtējā valsts budžeta izpildes procesā pārdalāmais finansējums” 08.00.00 programmā “Veselības aprūpes sistēmas reformas ieviešanas finansējums” rezervēto finansējumu 113 400 000 euro apmērā finanšu ministrs pārdala Veselības ministrijai pēc tam, kad Ministru kabinets ir apstiprinājis finansējumu veselības aprūpes sistēmas reformas pasākumu īstenošanai 2018. gadā.</w:t>
      </w:r>
    </w:p>
    <w:p w14:paraId="78355C25" w14:textId="4ADEE417" w:rsidR="00CD71A2" w:rsidRPr="00847710" w:rsidRDefault="00CD71A2" w:rsidP="00B45666">
      <w:pPr>
        <w:spacing w:after="80"/>
        <w:ind w:firstLine="709"/>
        <w:jc w:val="both"/>
        <w:rPr>
          <w:rFonts w:ascii="Times New Roman" w:eastAsia="Times New Roman" w:hAnsi="Times New Roman" w:cs="Times New Roman"/>
          <w:sz w:val="24"/>
          <w:szCs w:val="24"/>
          <w:lang w:eastAsia="lv-LV"/>
        </w:rPr>
      </w:pPr>
      <w:r w:rsidRPr="00847710">
        <w:rPr>
          <w:rFonts w:ascii="Times New Roman" w:hAnsi="Times New Roman" w:cs="Times New Roman"/>
          <w:sz w:val="24"/>
          <w:szCs w:val="24"/>
        </w:rPr>
        <w:t>Latvija savā 2016. gada stabilitātes programmā ir pie</w:t>
      </w:r>
      <w:r w:rsidR="00F01784" w:rsidRPr="00847710">
        <w:rPr>
          <w:rFonts w:ascii="Times New Roman" w:hAnsi="Times New Roman" w:cs="Times New Roman"/>
          <w:sz w:val="24"/>
          <w:szCs w:val="24"/>
        </w:rPr>
        <w:t>prasījusi īslaicīgu novirzi 0,5</w:t>
      </w:r>
      <w:r w:rsidRPr="00847710">
        <w:rPr>
          <w:rFonts w:ascii="Times New Roman" w:hAnsi="Times New Roman" w:cs="Times New Roman"/>
          <w:sz w:val="24"/>
          <w:szCs w:val="24"/>
        </w:rPr>
        <w:t xml:space="preserve">% apmērā no </w:t>
      </w:r>
      <w:r w:rsidR="00504EF9" w:rsidRPr="00847710">
        <w:rPr>
          <w:rFonts w:ascii="Times New Roman" w:hAnsi="Times New Roman" w:cs="Times New Roman"/>
          <w:sz w:val="24"/>
          <w:szCs w:val="24"/>
        </w:rPr>
        <w:t>iekšzemes kopprodukta</w:t>
      </w:r>
      <w:r w:rsidRPr="00847710">
        <w:rPr>
          <w:rFonts w:ascii="Times New Roman" w:hAnsi="Times New Roman" w:cs="Times New Roman"/>
          <w:sz w:val="24"/>
          <w:szCs w:val="24"/>
        </w:rPr>
        <w:t xml:space="preserve"> nepieciešamajām korekcijām vidēja termiņa budžeta mērķa sasniegšanai, lai </w:t>
      </w:r>
      <w:r w:rsidR="00FC5431" w:rsidRPr="00847710">
        <w:rPr>
          <w:rFonts w:ascii="Times New Roman" w:hAnsi="Times New Roman" w:cs="Times New Roman"/>
          <w:sz w:val="24"/>
          <w:szCs w:val="24"/>
        </w:rPr>
        <w:t xml:space="preserve">īstenotu </w:t>
      </w:r>
      <w:r w:rsidRPr="00847710">
        <w:rPr>
          <w:rFonts w:ascii="Times New Roman" w:hAnsi="Times New Roman" w:cs="Times New Roman"/>
          <w:sz w:val="24"/>
          <w:szCs w:val="24"/>
        </w:rPr>
        <w:t xml:space="preserve"> strukturālās reformas ar pozitīvu ietekmi uz publisko finanšu ilgtspēju ilgtermiņā, jo īpaši veselības aprūpes sektorā notiekošo reformu, kuras pamatā ir Sabiedrības veselības p</w:t>
      </w:r>
      <w:r w:rsidR="00AA157F" w:rsidRPr="00847710">
        <w:rPr>
          <w:rFonts w:ascii="Times New Roman" w:hAnsi="Times New Roman" w:cs="Times New Roman"/>
          <w:sz w:val="24"/>
          <w:szCs w:val="24"/>
        </w:rPr>
        <w:t>amatnostādnes 2014.–2020. gadam</w:t>
      </w:r>
      <w:r w:rsidR="004622DA" w:rsidRPr="00847710">
        <w:rPr>
          <w:rStyle w:val="FootnoteReference"/>
          <w:rFonts w:ascii="Times New Roman" w:hAnsi="Times New Roman" w:cs="Times New Roman"/>
          <w:sz w:val="24"/>
          <w:szCs w:val="24"/>
        </w:rPr>
        <w:footnoteReference w:id="2"/>
      </w:r>
      <w:r w:rsidR="00964465" w:rsidRPr="00847710">
        <w:rPr>
          <w:rFonts w:ascii="Times New Roman" w:hAnsi="Times New Roman" w:cs="Times New Roman"/>
          <w:sz w:val="24"/>
          <w:szCs w:val="24"/>
        </w:rPr>
        <w:t>.</w:t>
      </w:r>
      <w:r w:rsidRPr="00847710">
        <w:rPr>
          <w:rFonts w:ascii="Times New Roman" w:hAnsi="Times New Roman" w:cs="Times New Roman"/>
          <w:sz w:val="24"/>
          <w:szCs w:val="24"/>
        </w:rPr>
        <w:t xml:space="preserve"> </w:t>
      </w:r>
      <w:r w:rsidR="00A51A9F" w:rsidRPr="00847710">
        <w:rPr>
          <w:rFonts w:ascii="Times New Roman" w:hAnsi="Times New Roman" w:cs="Times New Roman"/>
          <w:sz w:val="24"/>
          <w:szCs w:val="24"/>
        </w:rPr>
        <w:t>E</w:t>
      </w:r>
      <w:r w:rsidR="00617D72" w:rsidRPr="00847710">
        <w:rPr>
          <w:rFonts w:ascii="Times New Roman" w:eastAsia="Times New Roman" w:hAnsi="Times New Roman" w:cs="Times New Roman"/>
          <w:sz w:val="24"/>
          <w:szCs w:val="24"/>
          <w:lang w:eastAsia="lv-LV"/>
        </w:rPr>
        <w:t>iropas Savienības Padome savās rekomendācijās Latvijai atkārtoti iesaka uzlabot veselības aprūpes sistēmas pieejamību, kvalitāti un izmaksu lietderību</w:t>
      </w:r>
      <w:r w:rsidR="00617D72" w:rsidRPr="00847710">
        <w:rPr>
          <w:rStyle w:val="FootnoteReference"/>
          <w:rFonts w:ascii="Times New Roman" w:eastAsia="Times New Roman" w:hAnsi="Times New Roman" w:cs="Times New Roman"/>
          <w:sz w:val="24"/>
          <w:szCs w:val="24"/>
          <w:lang w:eastAsia="lv-LV"/>
        </w:rPr>
        <w:footnoteReference w:id="3"/>
      </w:r>
      <w:r w:rsidR="00617D72" w:rsidRPr="00847710">
        <w:rPr>
          <w:rFonts w:ascii="Times New Roman" w:eastAsia="Times New Roman" w:hAnsi="Times New Roman" w:cs="Times New Roman"/>
          <w:sz w:val="24"/>
          <w:szCs w:val="24"/>
          <w:lang w:eastAsia="lv-LV"/>
        </w:rPr>
        <w:t>.</w:t>
      </w:r>
    </w:p>
    <w:p w14:paraId="3ACF9AD2" w14:textId="11B6B0CF" w:rsidR="007F392F" w:rsidRPr="00847710" w:rsidRDefault="00AD69DC" w:rsidP="00B45666">
      <w:pPr>
        <w:spacing w:after="80"/>
        <w:ind w:firstLine="709"/>
        <w:jc w:val="both"/>
        <w:rPr>
          <w:rFonts w:ascii="Times New Roman" w:hAnsi="Times New Roman" w:cs="Times New Roman"/>
          <w:color w:val="000000" w:themeColor="text1"/>
          <w:sz w:val="24"/>
          <w:szCs w:val="24"/>
          <w:lang w:eastAsia="lv-LV"/>
        </w:rPr>
      </w:pPr>
      <w:r w:rsidRPr="00847710">
        <w:rPr>
          <w:rFonts w:ascii="Times New Roman" w:eastAsia="Times New Roman" w:hAnsi="Times New Roman" w:cs="Times New Roman"/>
          <w:sz w:val="24"/>
          <w:szCs w:val="24"/>
          <w:lang w:eastAsia="lv-LV"/>
        </w:rPr>
        <w:t xml:space="preserve">Ministru kabineta ar  2014.gada 14.oktobra rīkojuma Nr. 589 apstiprinātajā vidēja termiņa </w:t>
      </w:r>
      <w:r w:rsidR="008146D4" w:rsidRPr="00847710">
        <w:rPr>
          <w:rFonts w:ascii="Times New Roman" w:eastAsia="Times New Roman" w:hAnsi="Times New Roman" w:cs="Times New Roman"/>
          <w:sz w:val="24"/>
          <w:szCs w:val="24"/>
          <w:lang w:eastAsia="lv-LV"/>
        </w:rPr>
        <w:t>attīstības</w:t>
      </w:r>
      <w:r w:rsidRPr="00847710">
        <w:rPr>
          <w:rFonts w:ascii="Times New Roman" w:eastAsia="Times New Roman" w:hAnsi="Times New Roman" w:cs="Times New Roman"/>
          <w:sz w:val="24"/>
          <w:szCs w:val="24"/>
          <w:lang w:eastAsia="lv-LV"/>
        </w:rPr>
        <w:t xml:space="preserve"> plānošanas dokumentā „Sabiedrības veselības pamatnostādnes 2014.-2020.gadam”</w:t>
      </w:r>
      <w:r w:rsidRPr="00847710">
        <w:rPr>
          <w:rStyle w:val="FootnoteReference"/>
          <w:rFonts w:ascii="Times New Roman" w:eastAsia="Times New Roman" w:hAnsi="Times New Roman" w:cs="Times New Roman"/>
          <w:color w:val="414142"/>
          <w:sz w:val="24"/>
          <w:szCs w:val="24"/>
          <w:lang w:eastAsia="lv-LV"/>
        </w:rPr>
        <w:footnoteReference w:id="4"/>
      </w:r>
      <w:r w:rsidRPr="00847710">
        <w:rPr>
          <w:rFonts w:ascii="Times New Roman" w:eastAsia="Times New Roman" w:hAnsi="Times New Roman" w:cs="Times New Roman"/>
          <w:sz w:val="24"/>
          <w:szCs w:val="24"/>
          <w:lang w:eastAsia="lv-LV"/>
        </w:rPr>
        <w:t xml:space="preserve"> </w:t>
      </w:r>
      <w:r w:rsidRPr="00847710">
        <w:rPr>
          <w:rFonts w:ascii="Times New Roman" w:hAnsi="Times New Roman" w:cs="Times New Roman"/>
          <w:sz w:val="24"/>
          <w:szCs w:val="24"/>
          <w:lang w:eastAsia="lv-LV"/>
        </w:rPr>
        <w:t>(turpmāk tekstā – SVP)</w:t>
      </w:r>
      <w:r w:rsidR="007F392F" w:rsidRPr="00847710">
        <w:rPr>
          <w:rFonts w:ascii="Times New Roman" w:hAnsi="Times New Roman" w:cs="Times New Roman"/>
          <w:sz w:val="24"/>
          <w:szCs w:val="24"/>
          <w:lang w:eastAsia="lv-LV"/>
        </w:rPr>
        <w:t xml:space="preserve">, kas izstrādātas atbilstoši </w:t>
      </w:r>
      <w:r w:rsidR="00767D76" w:rsidRPr="00847710">
        <w:rPr>
          <w:rFonts w:ascii="Times New Roman" w:hAnsi="Times New Roman" w:cs="Times New Roman"/>
          <w:sz w:val="24"/>
          <w:szCs w:val="24"/>
          <w:lang w:eastAsia="lv-LV"/>
        </w:rPr>
        <w:t>Latvijas Nacionālā attīstības plāna 2014.-2020.gadam</w:t>
      </w:r>
      <w:r w:rsidR="007F392F" w:rsidRPr="00847710">
        <w:rPr>
          <w:rFonts w:ascii="Times New Roman" w:hAnsi="Times New Roman" w:cs="Times New Roman"/>
          <w:sz w:val="24"/>
          <w:szCs w:val="24"/>
          <w:lang w:eastAsia="lv-LV"/>
        </w:rPr>
        <w:t xml:space="preserve"> rīcības virzienam </w:t>
      </w:r>
      <w:r w:rsidRPr="00847710">
        <w:rPr>
          <w:rFonts w:ascii="Times New Roman" w:hAnsi="Times New Roman" w:cs="Times New Roman"/>
          <w:sz w:val="24"/>
          <w:szCs w:val="24"/>
          <w:lang w:eastAsia="lv-LV"/>
        </w:rPr>
        <w:t xml:space="preserve">"Vesels un darbspējīgs cilvēks", </w:t>
      </w:r>
      <w:r w:rsidRPr="00847710">
        <w:rPr>
          <w:rFonts w:ascii="Times New Roman" w:eastAsia="Times New Roman" w:hAnsi="Times New Roman" w:cs="Times New Roman"/>
          <w:sz w:val="24"/>
          <w:szCs w:val="24"/>
          <w:lang w:eastAsia="lv-LV"/>
        </w:rPr>
        <w:t xml:space="preserve">ir iekļauti veselības nozarei sasniedzamie rādītāji un to sasniegšanai īstenojamās reformas. Kā </w:t>
      </w:r>
      <w:r w:rsidR="007F392F" w:rsidRPr="00847710">
        <w:rPr>
          <w:rFonts w:ascii="Times New Roman" w:hAnsi="Times New Roman" w:cs="Times New Roman"/>
          <w:sz w:val="24"/>
          <w:szCs w:val="24"/>
          <w:lang w:eastAsia="lv-LV"/>
        </w:rPr>
        <w:t xml:space="preserve">virsmērķis </w:t>
      </w:r>
      <w:r w:rsidRPr="00847710">
        <w:rPr>
          <w:rFonts w:ascii="Times New Roman" w:hAnsi="Times New Roman" w:cs="Times New Roman"/>
          <w:sz w:val="24"/>
          <w:szCs w:val="24"/>
          <w:lang w:eastAsia="lv-LV"/>
        </w:rPr>
        <w:t xml:space="preserve">SVP noteikts </w:t>
      </w:r>
      <w:r w:rsidR="007F392F" w:rsidRPr="00847710">
        <w:rPr>
          <w:rFonts w:ascii="Times New Roman" w:hAnsi="Times New Roman" w:cs="Times New Roman"/>
          <w:sz w:val="24"/>
          <w:szCs w:val="24"/>
          <w:lang w:eastAsia="lv-LV"/>
        </w:rPr>
        <w:t xml:space="preserve">palielināt Latvijas iedzīvotāju veselīgi nodzīvoto mūža gadu skaitu un novērst priekšlaicīgu nāvi, saglabājot, uzlabojot un atjaunojot iedzīvotāju veselību. Lai sasniegtu šo virsmērķi, līdz </w:t>
      </w:r>
      <w:r w:rsidR="007F392F" w:rsidRPr="00847710">
        <w:rPr>
          <w:rFonts w:ascii="Times New Roman" w:hAnsi="Times New Roman" w:cs="Times New Roman"/>
          <w:color w:val="000000" w:themeColor="text1"/>
          <w:sz w:val="24"/>
          <w:szCs w:val="24"/>
          <w:lang w:eastAsia="lv-LV"/>
        </w:rPr>
        <w:t xml:space="preserve">2020. gadam </w:t>
      </w:r>
      <w:r w:rsidR="004D142A" w:rsidRPr="00847710">
        <w:rPr>
          <w:rFonts w:ascii="Times New Roman" w:hAnsi="Times New Roman" w:cs="Times New Roman"/>
          <w:color w:val="000000" w:themeColor="text1"/>
          <w:sz w:val="24"/>
          <w:szCs w:val="24"/>
          <w:lang w:eastAsia="lv-LV"/>
        </w:rPr>
        <w:t>ir plānots</w:t>
      </w:r>
      <w:r w:rsidR="007F392F" w:rsidRPr="00847710">
        <w:rPr>
          <w:rFonts w:ascii="Times New Roman" w:hAnsi="Times New Roman" w:cs="Times New Roman"/>
          <w:color w:val="000000" w:themeColor="text1"/>
          <w:sz w:val="24"/>
          <w:szCs w:val="24"/>
          <w:lang w:eastAsia="lv-LV"/>
        </w:rPr>
        <w:t>:</w:t>
      </w:r>
    </w:p>
    <w:p w14:paraId="4973458D" w14:textId="50369938" w:rsidR="007F392F" w:rsidRPr="00847710" w:rsidRDefault="007F392F" w:rsidP="00F52C98">
      <w:pPr>
        <w:pStyle w:val="ListParagraph"/>
        <w:numPr>
          <w:ilvl w:val="0"/>
          <w:numId w:val="8"/>
        </w:numPr>
        <w:shd w:val="clear" w:color="auto" w:fill="FFFFFF" w:themeFill="background1"/>
        <w:tabs>
          <w:tab w:val="left" w:pos="1134"/>
        </w:tabs>
        <w:spacing w:after="0" w:line="240" w:lineRule="auto"/>
        <w:ind w:left="714" w:hanging="357"/>
        <w:jc w:val="both"/>
        <w:rPr>
          <w:rFonts w:ascii="Times New Roman" w:eastAsia="Times New Roman" w:hAnsi="Times New Roman"/>
          <w:color w:val="000000" w:themeColor="text1"/>
          <w:sz w:val="24"/>
          <w:szCs w:val="24"/>
          <w:lang w:val="lv-LV" w:eastAsia="lv-LV"/>
        </w:rPr>
      </w:pPr>
      <w:r w:rsidRPr="00847710">
        <w:rPr>
          <w:rFonts w:ascii="Times New Roman" w:eastAsia="Times New Roman" w:hAnsi="Times New Roman"/>
          <w:color w:val="000000" w:themeColor="text1"/>
          <w:sz w:val="24"/>
          <w:szCs w:val="24"/>
          <w:lang w:val="lv-LV" w:eastAsia="lv-LV"/>
        </w:rPr>
        <w:t>par trim gadiem palielināt veselīgi nodzīvoto mūža gadu skaitu (2020. gadā sasniegt 57 gadus vīriešiem un 60 gadus sievietēm)</w:t>
      </w:r>
      <w:r w:rsidR="00617636" w:rsidRPr="00847710">
        <w:rPr>
          <w:rStyle w:val="FootnoteReference"/>
          <w:rFonts w:ascii="Times New Roman" w:eastAsia="Times New Roman" w:hAnsi="Times New Roman"/>
          <w:color w:val="000000" w:themeColor="text1"/>
          <w:sz w:val="24"/>
          <w:szCs w:val="24"/>
          <w:lang w:val="lv-LV" w:eastAsia="lv-LV"/>
        </w:rPr>
        <w:footnoteReference w:id="5"/>
      </w:r>
      <w:r w:rsidRPr="00847710">
        <w:rPr>
          <w:rFonts w:ascii="Times New Roman" w:eastAsia="Times New Roman" w:hAnsi="Times New Roman"/>
          <w:color w:val="000000" w:themeColor="text1"/>
          <w:sz w:val="24"/>
          <w:szCs w:val="24"/>
          <w:lang w:val="lv-LV" w:eastAsia="lv-LV"/>
        </w:rPr>
        <w:t>;</w:t>
      </w:r>
    </w:p>
    <w:p w14:paraId="0E591264" w14:textId="77777777" w:rsidR="0099514E" w:rsidRPr="00847710" w:rsidRDefault="007F392F" w:rsidP="00F52C98">
      <w:pPr>
        <w:pStyle w:val="ListParagraph"/>
        <w:numPr>
          <w:ilvl w:val="0"/>
          <w:numId w:val="8"/>
        </w:numPr>
        <w:shd w:val="clear" w:color="auto" w:fill="FFFFFF" w:themeFill="background1"/>
        <w:tabs>
          <w:tab w:val="left" w:pos="1134"/>
        </w:tabs>
        <w:spacing w:after="80"/>
        <w:jc w:val="both"/>
        <w:rPr>
          <w:rFonts w:ascii="Times New Roman" w:eastAsia="Times New Roman" w:hAnsi="Times New Roman"/>
          <w:color w:val="000000" w:themeColor="text1"/>
          <w:sz w:val="24"/>
          <w:szCs w:val="24"/>
          <w:lang w:val="lv-LV" w:eastAsia="lv-LV"/>
        </w:rPr>
      </w:pPr>
      <w:r w:rsidRPr="00847710">
        <w:rPr>
          <w:rFonts w:ascii="Times New Roman" w:eastAsia="Times New Roman" w:hAnsi="Times New Roman"/>
          <w:color w:val="000000" w:themeColor="text1"/>
          <w:sz w:val="24"/>
          <w:szCs w:val="24"/>
          <w:lang w:val="lv-LV" w:eastAsia="lv-LV"/>
        </w:rPr>
        <w:t>par 11 % samazināt potenciāli zaudēto mūža gadu (līdz 64 gadu vecumam)</w:t>
      </w:r>
      <w:r w:rsidR="00A557BA" w:rsidRPr="00847710">
        <w:rPr>
          <w:rStyle w:val="FootnoteReference"/>
          <w:rFonts w:ascii="Times New Roman" w:eastAsia="Times New Roman" w:hAnsi="Times New Roman"/>
          <w:color w:val="000000" w:themeColor="text1"/>
          <w:sz w:val="24"/>
          <w:szCs w:val="24"/>
          <w:lang w:val="lv-LV" w:eastAsia="lv-LV"/>
        </w:rPr>
        <w:footnoteReference w:id="6"/>
      </w:r>
      <w:r w:rsidRPr="00847710">
        <w:rPr>
          <w:rFonts w:ascii="Times New Roman" w:eastAsia="Times New Roman" w:hAnsi="Times New Roman"/>
          <w:color w:val="000000" w:themeColor="text1"/>
          <w:sz w:val="24"/>
          <w:szCs w:val="24"/>
          <w:lang w:val="lv-LV" w:eastAsia="lv-LV"/>
        </w:rPr>
        <w:t xml:space="preserve"> rādītāju (2020. gadā sasniegt 5 300 uz 100 000 iedzīvotāju).</w:t>
      </w:r>
    </w:p>
    <w:p w14:paraId="5586FC1C" w14:textId="159ED8AE" w:rsidR="0099514E" w:rsidRPr="00847710" w:rsidRDefault="0099514E" w:rsidP="00EC4207">
      <w:pPr>
        <w:spacing w:after="80"/>
        <w:ind w:firstLine="720"/>
        <w:jc w:val="both"/>
        <w:rPr>
          <w:rFonts w:ascii="Times New Roman" w:hAnsi="Times New Roman" w:cs="Times New Roman"/>
          <w:sz w:val="24"/>
          <w:szCs w:val="24"/>
        </w:rPr>
      </w:pPr>
      <w:r w:rsidRPr="00847710">
        <w:rPr>
          <w:rFonts w:ascii="Times New Roman" w:hAnsi="Times New Roman" w:cs="Times New Roman"/>
          <w:sz w:val="24"/>
          <w:szCs w:val="24"/>
        </w:rPr>
        <w:lastRenderedPageBreak/>
        <w:t>2017. gada reformai paredzēto līdzekļu no Eiropas Komisijas pieļautās budžeta deficīta atkāpes 34,3 milj. euro apmērā pl</w:t>
      </w:r>
      <w:r w:rsidR="005E334C" w:rsidRPr="00847710">
        <w:rPr>
          <w:rFonts w:ascii="Times New Roman" w:hAnsi="Times New Roman" w:cs="Times New Roman"/>
          <w:sz w:val="24"/>
          <w:szCs w:val="24"/>
        </w:rPr>
        <w:t>ān</w:t>
      </w:r>
      <w:r w:rsidRPr="00847710">
        <w:rPr>
          <w:rFonts w:ascii="Times New Roman" w:hAnsi="Times New Roman" w:cs="Times New Roman"/>
          <w:sz w:val="24"/>
          <w:szCs w:val="24"/>
        </w:rPr>
        <w:t>otā izlietojuma ziņojumā tika uzsvērti tautsaimniecības zaudējumi ko valstij ik gadu rada iedzīvotāju priekšlaicīga mirstība. Ņemot vērā p</w:t>
      </w:r>
      <w:r w:rsidR="005E334C" w:rsidRPr="00847710">
        <w:rPr>
          <w:rFonts w:ascii="Times New Roman" w:hAnsi="Times New Roman" w:cs="Times New Roman"/>
          <w:sz w:val="24"/>
          <w:szCs w:val="24"/>
        </w:rPr>
        <w:t>i</w:t>
      </w:r>
      <w:r w:rsidRPr="00847710">
        <w:rPr>
          <w:rFonts w:ascii="Times New Roman" w:hAnsi="Times New Roman" w:cs="Times New Roman"/>
          <w:sz w:val="24"/>
          <w:szCs w:val="24"/>
        </w:rPr>
        <w:t>eejamo papildus finansējumu, kas 2018. gadā sastāda 0,4 % Eiropas Komisijas pieļautās budžeta budžeta deficīta atkāpes jeb 113,4 milj. euro, uzsāktās reformas nepieciešams turpināt un paplašināt ar jaunām iniciatīvām</w:t>
      </w:r>
      <w:r w:rsidR="004B55C3" w:rsidRPr="00847710">
        <w:rPr>
          <w:rFonts w:ascii="Times New Roman" w:hAnsi="Times New Roman" w:cs="Times New Roman"/>
          <w:sz w:val="24"/>
          <w:szCs w:val="24"/>
        </w:rPr>
        <w:t xml:space="preserve"> veselības aprūpes efektivitātes un  ilgtspējas uzlabošanā</w:t>
      </w:r>
      <w:r w:rsidRPr="00847710">
        <w:rPr>
          <w:rFonts w:ascii="Times New Roman" w:hAnsi="Times New Roman" w:cs="Times New Roman"/>
          <w:sz w:val="24"/>
          <w:szCs w:val="24"/>
        </w:rPr>
        <w:t>, kas pamatotas ziņojumā.</w:t>
      </w:r>
    </w:p>
    <w:p w14:paraId="3D178CCE" w14:textId="14E2DBB8" w:rsidR="003A2CC3" w:rsidRPr="00847710" w:rsidRDefault="003A2CC3" w:rsidP="00EC4207">
      <w:pPr>
        <w:spacing w:after="80"/>
        <w:ind w:firstLine="720"/>
        <w:jc w:val="both"/>
        <w:rPr>
          <w:rFonts w:ascii="Times New Roman" w:hAnsi="Times New Roman" w:cs="Times New Roman"/>
          <w:sz w:val="24"/>
          <w:szCs w:val="24"/>
        </w:rPr>
      </w:pPr>
    </w:p>
    <w:p w14:paraId="27D9F88E" w14:textId="521A8C95" w:rsidR="00BD53DE" w:rsidRPr="00BC2160" w:rsidRDefault="00E96106" w:rsidP="00BC2160">
      <w:pPr>
        <w:pStyle w:val="Heading1"/>
        <w:spacing w:before="0" w:after="200"/>
        <w:ind w:left="357"/>
        <w:jc w:val="center"/>
        <w:rPr>
          <w:rFonts w:ascii="Times New Roman" w:hAnsi="Times New Roman" w:cs="Times New Roman"/>
          <w:b/>
          <w:bCs/>
          <w:color w:val="auto"/>
          <w:sz w:val="28"/>
          <w:szCs w:val="28"/>
        </w:rPr>
      </w:pPr>
      <w:r w:rsidRPr="0012317D">
        <w:rPr>
          <w:rFonts w:ascii="Times New Roman" w:hAnsi="Times New Roman" w:cs="Times New Roman"/>
          <w:b/>
          <w:bCs/>
          <w:color w:val="auto"/>
          <w:sz w:val="28"/>
          <w:szCs w:val="28"/>
        </w:rPr>
        <w:t xml:space="preserve">Reformu </w:t>
      </w:r>
      <w:r w:rsidR="001E043E" w:rsidRPr="0012317D">
        <w:rPr>
          <w:rFonts w:ascii="Times New Roman" w:hAnsi="Times New Roman" w:cs="Times New Roman"/>
          <w:b/>
          <w:bCs/>
          <w:color w:val="auto"/>
          <w:sz w:val="28"/>
          <w:szCs w:val="28"/>
        </w:rPr>
        <w:t>virzieni</w:t>
      </w:r>
      <w:r w:rsidR="00E31C1D" w:rsidRPr="0012317D">
        <w:rPr>
          <w:rFonts w:ascii="Times New Roman" w:hAnsi="Times New Roman" w:cs="Times New Roman"/>
          <w:b/>
          <w:bCs/>
          <w:color w:val="auto"/>
          <w:sz w:val="28"/>
          <w:szCs w:val="28"/>
        </w:rPr>
        <w:t xml:space="preserve"> </w:t>
      </w:r>
      <w:r w:rsidR="00DA1CBD" w:rsidRPr="0012317D">
        <w:rPr>
          <w:rFonts w:ascii="Times New Roman" w:hAnsi="Times New Roman" w:cs="Times New Roman"/>
          <w:b/>
          <w:bCs/>
          <w:color w:val="auto"/>
          <w:sz w:val="28"/>
          <w:szCs w:val="28"/>
        </w:rPr>
        <w:t xml:space="preserve">veselības aprūpes pakalpojumu </w:t>
      </w:r>
      <w:r w:rsidR="00E31C1D" w:rsidRPr="0012317D">
        <w:rPr>
          <w:rFonts w:ascii="Times New Roman" w:hAnsi="Times New Roman" w:cs="Times New Roman"/>
          <w:b/>
          <w:bCs/>
          <w:color w:val="auto"/>
          <w:sz w:val="28"/>
          <w:szCs w:val="28"/>
        </w:rPr>
        <w:t xml:space="preserve">pieejamības </w:t>
      </w:r>
      <w:r w:rsidRPr="0012317D">
        <w:rPr>
          <w:rFonts w:ascii="Times New Roman" w:hAnsi="Times New Roman" w:cs="Times New Roman"/>
          <w:b/>
          <w:bCs/>
          <w:color w:val="auto"/>
          <w:sz w:val="28"/>
          <w:szCs w:val="28"/>
        </w:rPr>
        <w:t xml:space="preserve">un kvalitātes </w:t>
      </w:r>
      <w:r w:rsidR="00E31C1D" w:rsidRPr="0012317D">
        <w:rPr>
          <w:rFonts w:ascii="Times New Roman" w:hAnsi="Times New Roman" w:cs="Times New Roman"/>
          <w:b/>
          <w:bCs/>
          <w:color w:val="auto"/>
          <w:sz w:val="28"/>
          <w:szCs w:val="28"/>
        </w:rPr>
        <w:t>uzlabošanai</w:t>
      </w:r>
    </w:p>
    <w:p w14:paraId="2576216B" w14:textId="34B8651A" w:rsidR="00E520B7" w:rsidRPr="00BC2160" w:rsidRDefault="001E043E">
      <w:pPr>
        <w:shd w:val="clear" w:color="auto" w:fill="FFFFFF" w:themeFill="background1"/>
        <w:ind w:firstLine="720"/>
        <w:jc w:val="both"/>
        <w:rPr>
          <w:rFonts w:ascii="Times New Roman" w:eastAsia="Times New Roman" w:hAnsi="Times New Roman" w:cs="Times New Roman"/>
          <w:b/>
          <w:bCs/>
          <w:color w:val="000000" w:themeColor="text1"/>
          <w:sz w:val="24"/>
          <w:szCs w:val="24"/>
          <w:lang w:eastAsia="lv-LV"/>
        </w:rPr>
      </w:pPr>
      <w:r w:rsidRPr="00847710">
        <w:rPr>
          <w:rFonts w:ascii="Times New Roman" w:eastAsia="Times New Roman" w:hAnsi="Times New Roman" w:cs="Times New Roman"/>
          <w:color w:val="000000" w:themeColor="text1"/>
          <w:sz w:val="24"/>
          <w:szCs w:val="24"/>
          <w:lang w:eastAsia="lv-LV"/>
        </w:rPr>
        <w:t xml:space="preserve">Lai </w:t>
      </w:r>
      <w:r w:rsidR="00E96106" w:rsidRPr="00847710">
        <w:rPr>
          <w:rFonts w:ascii="Times New Roman" w:eastAsia="Times New Roman" w:hAnsi="Times New Roman" w:cs="Times New Roman"/>
          <w:color w:val="000000" w:themeColor="text1"/>
          <w:sz w:val="24"/>
          <w:szCs w:val="24"/>
          <w:lang w:eastAsia="lv-LV"/>
        </w:rPr>
        <w:t xml:space="preserve">turpinātu reformu un </w:t>
      </w:r>
      <w:r w:rsidRPr="00847710">
        <w:rPr>
          <w:rFonts w:ascii="Times New Roman" w:eastAsia="Times New Roman" w:hAnsi="Times New Roman" w:cs="Times New Roman"/>
          <w:color w:val="000000" w:themeColor="text1"/>
          <w:sz w:val="24"/>
          <w:szCs w:val="24"/>
          <w:lang w:eastAsia="lv-LV"/>
        </w:rPr>
        <w:t>realizētu S</w:t>
      </w:r>
      <w:r w:rsidR="00AD69DC" w:rsidRPr="00847710">
        <w:rPr>
          <w:rFonts w:ascii="Times New Roman" w:eastAsia="Times New Roman" w:hAnsi="Times New Roman" w:cs="Times New Roman"/>
          <w:color w:val="000000" w:themeColor="text1"/>
          <w:sz w:val="24"/>
          <w:szCs w:val="24"/>
          <w:lang w:eastAsia="lv-LV"/>
        </w:rPr>
        <w:t>VP</w:t>
      </w:r>
      <w:r w:rsidRPr="00847710">
        <w:rPr>
          <w:rFonts w:ascii="Times New Roman" w:eastAsia="Times New Roman" w:hAnsi="Times New Roman" w:cs="Times New Roman"/>
          <w:color w:val="000000" w:themeColor="text1"/>
          <w:sz w:val="24"/>
          <w:szCs w:val="24"/>
          <w:lang w:eastAsia="lv-LV"/>
        </w:rPr>
        <w:t xml:space="preserve"> izvirzītos virsmērķus </w:t>
      </w:r>
      <w:r w:rsidR="00E520B7" w:rsidRPr="00847710">
        <w:rPr>
          <w:rFonts w:ascii="Times New Roman" w:eastAsia="Times New Roman" w:hAnsi="Times New Roman" w:cs="Times New Roman"/>
          <w:color w:val="000000" w:themeColor="text1"/>
          <w:sz w:val="24"/>
          <w:szCs w:val="24"/>
          <w:lang w:eastAsia="lv-LV"/>
        </w:rPr>
        <w:t xml:space="preserve">kā rīcības virziens izvirzītā mērķa sasniegšanai minēts </w:t>
      </w:r>
      <w:r w:rsidR="00E520B7" w:rsidRPr="0012317D">
        <w:rPr>
          <w:rFonts w:ascii="Times New Roman" w:eastAsia="Times New Roman" w:hAnsi="Times New Roman" w:cs="Times New Roman"/>
          <w:b/>
          <w:bCs/>
          <w:color w:val="000000" w:themeColor="text1"/>
          <w:sz w:val="24"/>
          <w:szCs w:val="24"/>
          <w:lang w:eastAsia="lv-LV"/>
        </w:rPr>
        <w:t>„kvalitatīvas, drošas un ilgtspējīgas veselības aprūpes pakalpojumu sistēmas veidošana (t. sk. pacienta iemaksu samazināšana, rindu saīsināšana uz plānveida pakalpojumiem, darba samaksas paaugstināšana veselības aprūpes nozares darbiniekiem, zāļu pieejamīb</w:t>
      </w:r>
      <w:r w:rsidR="00E520B7" w:rsidRPr="00901A9F">
        <w:rPr>
          <w:rFonts w:ascii="Times New Roman" w:eastAsia="Times New Roman" w:hAnsi="Times New Roman" w:cs="Times New Roman"/>
          <w:b/>
          <w:bCs/>
          <w:color w:val="000000" w:themeColor="text1"/>
          <w:sz w:val="24"/>
          <w:szCs w:val="24"/>
          <w:lang w:eastAsia="lv-LV"/>
        </w:rPr>
        <w:t>a pacientiem), nodrošinot pakalpojumu vienlīdzīgu pieejamību visiem Latvijas iedzīvotājiem”</w:t>
      </w:r>
      <w:r w:rsidR="001715C8" w:rsidRPr="0012317D">
        <w:rPr>
          <w:rStyle w:val="FootnoteReference"/>
          <w:rFonts w:ascii="Times New Roman" w:eastAsia="Times New Roman" w:hAnsi="Times New Roman" w:cs="Times New Roman"/>
          <w:b/>
          <w:bCs/>
          <w:color w:val="000000" w:themeColor="text1"/>
          <w:sz w:val="24"/>
          <w:szCs w:val="24"/>
          <w:lang w:eastAsia="lv-LV"/>
        </w:rPr>
        <w:footnoteReference w:id="7"/>
      </w:r>
      <w:r w:rsidR="00EC6306" w:rsidRPr="0012317D">
        <w:rPr>
          <w:rFonts w:ascii="Times New Roman" w:eastAsia="Times New Roman" w:hAnsi="Times New Roman" w:cs="Times New Roman"/>
          <w:b/>
          <w:bCs/>
          <w:color w:val="000000" w:themeColor="text1"/>
          <w:sz w:val="24"/>
          <w:szCs w:val="24"/>
          <w:lang w:eastAsia="lv-LV"/>
        </w:rPr>
        <w:t>.</w:t>
      </w:r>
    </w:p>
    <w:p w14:paraId="030BBBC2" w14:textId="1E8CD81F" w:rsidR="00E37EEB" w:rsidRPr="00BC2160" w:rsidRDefault="009749EF">
      <w:pPr>
        <w:ind w:firstLine="709"/>
        <w:jc w:val="both"/>
        <w:rPr>
          <w:rFonts w:ascii="Times New Roman" w:hAnsi="Times New Roman" w:cs="Times New Roman"/>
          <w:b/>
          <w:bCs/>
          <w:color w:val="000000" w:themeColor="text1"/>
          <w:sz w:val="24"/>
          <w:szCs w:val="24"/>
        </w:rPr>
      </w:pPr>
      <w:r w:rsidRPr="00847710">
        <w:rPr>
          <w:rFonts w:ascii="Times New Roman" w:hAnsi="Times New Roman" w:cs="Times New Roman"/>
          <w:color w:val="000000" w:themeColor="text1"/>
          <w:sz w:val="24"/>
          <w:szCs w:val="24"/>
        </w:rPr>
        <w:t xml:space="preserve">Minēto problēmu </w:t>
      </w:r>
      <w:r w:rsidR="00E520B7" w:rsidRPr="00847710">
        <w:rPr>
          <w:rFonts w:ascii="Times New Roman" w:hAnsi="Times New Roman" w:cs="Times New Roman"/>
          <w:color w:val="000000" w:themeColor="text1"/>
          <w:sz w:val="24"/>
          <w:szCs w:val="24"/>
        </w:rPr>
        <w:t>risināšanai nepieciešams „</w:t>
      </w:r>
      <w:r w:rsidR="00E520B7" w:rsidRPr="0012317D">
        <w:rPr>
          <w:rFonts w:ascii="Times New Roman" w:hAnsi="Times New Roman" w:cs="Times New Roman"/>
          <w:b/>
          <w:bCs/>
          <w:color w:val="000000" w:themeColor="text1"/>
          <w:sz w:val="24"/>
          <w:szCs w:val="24"/>
        </w:rPr>
        <w:t xml:space="preserve">veicināt pacientu tiešo maksājumu īpatsvara samazināšanos, uzlabojot veselības aprūpes pakalpojumu pieejamību un mazinot gaidīšanas laikus”, </w:t>
      </w:r>
      <w:r w:rsidR="00E520B7" w:rsidRPr="00847710">
        <w:rPr>
          <w:rFonts w:ascii="Times New Roman" w:hAnsi="Times New Roman" w:cs="Times New Roman"/>
          <w:color w:val="000000" w:themeColor="text1"/>
          <w:sz w:val="24"/>
          <w:szCs w:val="24"/>
        </w:rPr>
        <w:t>kā arī „</w:t>
      </w:r>
      <w:r w:rsidR="00E520B7" w:rsidRPr="0012317D">
        <w:rPr>
          <w:rFonts w:ascii="Times New Roman" w:hAnsi="Times New Roman" w:cs="Times New Roman"/>
          <w:b/>
          <w:bCs/>
          <w:color w:val="000000" w:themeColor="text1"/>
          <w:sz w:val="24"/>
          <w:szCs w:val="24"/>
        </w:rPr>
        <w:t>uzlabot veselības aprūpes pakalpojumu pieejamību un kvalitāti visos veselības aprūpes līmeņos”</w:t>
      </w:r>
      <w:r w:rsidR="00DB73D6" w:rsidRPr="0012317D">
        <w:rPr>
          <w:rStyle w:val="FootnoteReference"/>
          <w:rFonts w:ascii="Times New Roman" w:hAnsi="Times New Roman" w:cs="Times New Roman"/>
          <w:b/>
          <w:bCs/>
          <w:color w:val="000000" w:themeColor="text1"/>
          <w:sz w:val="24"/>
          <w:szCs w:val="24"/>
        </w:rPr>
        <w:footnoteReference w:id="8"/>
      </w:r>
      <w:r w:rsidR="00E520B7" w:rsidRPr="0012317D">
        <w:rPr>
          <w:rFonts w:ascii="Times New Roman" w:hAnsi="Times New Roman" w:cs="Times New Roman"/>
          <w:b/>
          <w:bCs/>
          <w:color w:val="000000" w:themeColor="text1"/>
          <w:sz w:val="24"/>
          <w:szCs w:val="24"/>
        </w:rPr>
        <w:t>.</w:t>
      </w:r>
    </w:p>
    <w:p w14:paraId="5F070554" w14:textId="1681F3E4" w:rsidR="00201998" w:rsidRPr="00847710" w:rsidRDefault="00E31C1D" w:rsidP="00F52C98">
      <w:pPr>
        <w:shd w:val="clear" w:color="auto" w:fill="FFFFFF" w:themeFill="background1"/>
        <w:spacing w:after="80"/>
        <w:ind w:firstLine="709"/>
        <w:jc w:val="both"/>
        <w:rPr>
          <w:rFonts w:ascii="Times New Roman" w:eastAsia="Times New Roman" w:hAnsi="Times New Roman" w:cs="Times New Roman"/>
          <w:color w:val="000000" w:themeColor="text1"/>
          <w:sz w:val="24"/>
          <w:szCs w:val="24"/>
          <w:lang w:eastAsia="lv-LV"/>
        </w:rPr>
      </w:pPr>
      <w:r w:rsidRPr="00847710">
        <w:rPr>
          <w:rFonts w:ascii="Times New Roman" w:eastAsia="Times New Roman" w:hAnsi="Times New Roman" w:cs="Times New Roman"/>
          <w:sz w:val="24"/>
          <w:szCs w:val="24"/>
          <w:lang w:eastAsia="lv-LV"/>
        </w:rPr>
        <w:t xml:space="preserve">Atbilstoši </w:t>
      </w:r>
      <w:r w:rsidR="00426BC0" w:rsidRPr="00847710">
        <w:rPr>
          <w:rFonts w:ascii="Times New Roman" w:eastAsia="Times New Roman" w:hAnsi="Times New Roman" w:cs="Times New Roman"/>
          <w:sz w:val="24"/>
          <w:szCs w:val="24"/>
          <w:lang w:eastAsia="lv-LV"/>
        </w:rPr>
        <w:t xml:space="preserve">šiem minētajiem </w:t>
      </w:r>
      <w:r w:rsidRPr="00847710">
        <w:rPr>
          <w:rFonts w:ascii="Times New Roman" w:eastAsia="Times New Roman" w:hAnsi="Times New Roman" w:cs="Times New Roman"/>
          <w:color w:val="000000" w:themeColor="text1"/>
          <w:sz w:val="24"/>
          <w:szCs w:val="24"/>
          <w:lang w:eastAsia="lv-LV"/>
        </w:rPr>
        <w:t>S</w:t>
      </w:r>
      <w:r w:rsidR="00AD69DC" w:rsidRPr="00847710">
        <w:rPr>
          <w:rFonts w:ascii="Times New Roman" w:eastAsia="Times New Roman" w:hAnsi="Times New Roman" w:cs="Times New Roman"/>
          <w:color w:val="000000" w:themeColor="text1"/>
          <w:sz w:val="24"/>
          <w:szCs w:val="24"/>
          <w:lang w:eastAsia="lv-LV"/>
        </w:rPr>
        <w:t>VP</w:t>
      </w:r>
      <w:r w:rsidR="008E5730" w:rsidRPr="00847710">
        <w:rPr>
          <w:rFonts w:ascii="Times New Roman" w:eastAsia="Times New Roman" w:hAnsi="Times New Roman" w:cs="Times New Roman"/>
          <w:sz w:val="24"/>
          <w:szCs w:val="24"/>
          <w:lang w:eastAsia="lv-LV"/>
        </w:rPr>
        <w:t xml:space="preserve"> iezīmē</w:t>
      </w:r>
      <w:r w:rsidRPr="00847710">
        <w:rPr>
          <w:rFonts w:ascii="Times New Roman" w:eastAsia="Times New Roman" w:hAnsi="Times New Roman" w:cs="Times New Roman"/>
          <w:sz w:val="24"/>
          <w:szCs w:val="24"/>
          <w:lang w:eastAsia="lv-LV"/>
        </w:rPr>
        <w:t>tajiem</w:t>
      </w:r>
      <w:r w:rsidR="008E5730" w:rsidRPr="00847710">
        <w:rPr>
          <w:rFonts w:ascii="Times New Roman" w:eastAsia="Times New Roman" w:hAnsi="Times New Roman" w:cs="Times New Roman"/>
          <w:sz w:val="24"/>
          <w:szCs w:val="24"/>
          <w:lang w:eastAsia="lv-LV"/>
        </w:rPr>
        <w:t xml:space="preserve"> problēmu virzien</w:t>
      </w:r>
      <w:r w:rsidRPr="00847710">
        <w:rPr>
          <w:rFonts w:ascii="Times New Roman" w:eastAsia="Times New Roman" w:hAnsi="Times New Roman" w:cs="Times New Roman"/>
          <w:sz w:val="24"/>
          <w:szCs w:val="24"/>
          <w:lang w:eastAsia="lv-LV"/>
        </w:rPr>
        <w:t xml:space="preserve">iem </w:t>
      </w:r>
      <w:r w:rsidR="008E5730" w:rsidRPr="00847710">
        <w:rPr>
          <w:rFonts w:ascii="Times New Roman" w:eastAsia="Times New Roman" w:hAnsi="Times New Roman" w:cs="Times New Roman"/>
          <w:sz w:val="24"/>
          <w:szCs w:val="24"/>
          <w:lang w:eastAsia="lv-LV"/>
        </w:rPr>
        <w:t>veselības aprūpes nozarē</w:t>
      </w:r>
      <w:r w:rsidR="003E1FF2" w:rsidRPr="00847710">
        <w:rPr>
          <w:rFonts w:ascii="Times New Roman" w:eastAsia="Times New Roman" w:hAnsi="Times New Roman" w:cs="Times New Roman"/>
          <w:sz w:val="24"/>
          <w:szCs w:val="24"/>
          <w:lang w:eastAsia="lv-LV"/>
        </w:rPr>
        <w:t xml:space="preserve">, </w:t>
      </w:r>
      <w:r w:rsidRPr="00847710">
        <w:rPr>
          <w:rFonts w:ascii="Times New Roman" w:eastAsia="Times New Roman" w:hAnsi="Times New Roman" w:cs="Times New Roman"/>
          <w:sz w:val="24"/>
          <w:szCs w:val="24"/>
          <w:lang w:eastAsia="lv-LV"/>
        </w:rPr>
        <w:t>la</w:t>
      </w:r>
      <w:r w:rsidR="004C1683" w:rsidRPr="00847710">
        <w:rPr>
          <w:rFonts w:ascii="Times New Roman" w:eastAsia="Times New Roman" w:hAnsi="Times New Roman" w:cs="Times New Roman"/>
          <w:sz w:val="24"/>
          <w:szCs w:val="24"/>
          <w:lang w:eastAsia="lv-LV"/>
        </w:rPr>
        <w:t>i</w:t>
      </w:r>
      <w:r w:rsidR="003E1FF2" w:rsidRPr="00847710">
        <w:rPr>
          <w:rFonts w:ascii="Times New Roman" w:eastAsia="Times New Roman" w:hAnsi="Times New Roman" w:cs="Times New Roman"/>
          <w:sz w:val="24"/>
          <w:szCs w:val="24"/>
          <w:lang w:eastAsia="lv-LV"/>
        </w:rPr>
        <w:t xml:space="preserve"> nodrošinātu turpmāku veselības aprūpes pakalpojumu kvalitātes un pieejamības uzlabošanu iedzīvotājiem, un attiecīgi </w:t>
      </w:r>
      <w:r w:rsidR="003E1FF2" w:rsidRPr="00847710">
        <w:rPr>
          <w:rFonts w:ascii="Times New Roman" w:eastAsia="Times New Roman" w:hAnsi="Times New Roman" w:cs="Times New Roman"/>
          <w:color w:val="414142"/>
          <w:sz w:val="24"/>
          <w:szCs w:val="24"/>
          <w:lang w:eastAsia="lv-LV"/>
        </w:rPr>
        <w:t>palielinātu veselīgi nodzīvoto mūža gadu skaitu un samazinātu potenciāli zaudēto mūža gadu</w:t>
      </w:r>
      <w:r w:rsidR="00DB73D6" w:rsidRPr="00847710">
        <w:rPr>
          <w:rFonts w:ascii="Times New Roman" w:eastAsia="Times New Roman" w:hAnsi="Times New Roman" w:cs="Times New Roman"/>
          <w:color w:val="414142"/>
          <w:sz w:val="24"/>
          <w:szCs w:val="24"/>
          <w:lang w:eastAsia="lv-LV"/>
        </w:rPr>
        <w:t xml:space="preserve"> skaitu</w:t>
      </w:r>
      <w:r w:rsidR="003E1FF2" w:rsidRPr="00847710">
        <w:rPr>
          <w:rFonts w:ascii="Times New Roman" w:eastAsia="Times New Roman" w:hAnsi="Times New Roman" w:cs="Times New Roman"/>
          <w:color w:val="414142"/>
          <w:sz w:val="24"/>
          <w:szCs w:val="24"/>
          <w:lang w:eastAsia="lv-LV"/>
        </w:rPr>
        <w:t>, tādējādi veicinot visas tautsaimniecības attīstību,</w:t>
      </w:r>
      <w:r w:rsidR="004C1683" w:rsidRPr="00847710">
        <w:rPr>
          <w:rFonts w:ascii="Times New Roman" w:eastAsia="Times New Roman" w:hAnsi="Times New Roman" w:cs="Times New Roman"/>
          <w:sz w:val="24"/>
          <w:szCs w:val="24"/>
          <w:lang w:eastAsia="lv-LV"/>
        </w:rPr>
        <w:t xml:space="preserve"> </w:t>
      </w:r>
      <w:r w:rsidR="00201998" w:rsidRPr="00847710">
        <w:rPr>
          <w:rFonts w:ascii="Times New Roman" w:eastAsia="Times New Roman" w:hAnsi="Times New Roman" w:cs="Times New Roman"/>
          <w:color w:val="000000" w:themeColor="text1"/>
          <w:sz w:val="24"/>
          <w:szCs w:val="24"/>
          <w:lang w:eastAsia="lv-LV"/>
        </w:rPr>
        <w:t xml:space="preserve">Veselības ministrijai reformu veikšanai jau 2017.gadā papildus tika piešķirts finansējums 34 324 450 </w:t>
      </w:r>
      <w:r w:rsidR="00201998" w:rsidRPr="57326167">
        <w:rPr>
          <w:rFonts w:ascii="Times New Roman" w:eastAsia="Times New Roman" w:hAnsi="Times New Roman" w:cs="Times New Roman"/>
          <w:i/>
          <w:iCs/>
          <w:color w:val="000000" w:themeColor="text1"/>
          <w:sz w:val="24"/>
          <w:szCs w:val="24"/>
          <w:lang w:eastAsia="lv-LV"/>
        </w:rPr>
        <w:t>euro</w:t>
      </w:r>
      <w:r w:rsidR="00201998" w:rsidRPr="00847710">
        <w:rPr>
          <w:rFonts w:ascii="Times New Roman" w:eastAsia="Times New Roman" w:hAnsi="Times New Roman" w:cs="Times New Roman"/>
          <w:color w:val="000000" w:themeColor="text1"/>
          <w:sz w:val="24"/>
          <w:szCs w:val="24"/>
          <w:lang w:eastAsia="lv-LV"/>
        </w:rPr>
        <w:t xml:space="preserve"> apmērā. Pateicoties papildus finansējumam, sekmīgi tika uzsākts īstenot reformas rindu mazināšanai pie speciālistiem, uz diagnostiskajiem izmeklējumiem, dienas stacionārā un am</w:t>
      </w:r>
      <w:bookmarkStart w:id="1" w:name="_GoBack"/>
      <w:bookmarkEnd w:id="1"/>
      <w:r w:rsidR="00201998" w:rsidRPr="00847710">
        <w:rPr>
          <w:rFonts w:ascii="Times New Roman" w:eastAsia="Times New Roman" w:hAnsi="Times New Roman" w:cs="Times New Roman"/>
          <w:color w:val="000000" w:themeColor="text1"/>
          <w:sz w:val="24"/>
          <w:szCs w:val="24"/>
          <w:lang w:eastAsia="lv-LV"/>
        </w:rPr>
        <w:t xml:space="preserve">bulatorajā rehabilitācijā, </w:t>
      </w:r>
      <w:r w:rsidR="00201998" w:rsidRPr="00847710">
        <w:rPr>
          <w:rFonts w:ascii="Times New Roman" w:eastAsia="Times New Roman" w:hAnsi="Times New Roman" w:cs="Times New Roman"/>
          <w:color w:val="000000"/>
          <w:sz w:val="24"/>
          <w:szCs w:val="24"/>
          <w:lang w:eastAsia="lv-LV"/>
        </w:rPr>
        <w:t xml:space="preserve">onkoloģisko saslimšanu diagnostikas un ārstēšanas pieejamības uzlabošanai un valsts kompensējamo medikamentu nodrošinājumam hroniska C hepatīta (turpmāk – VHC) pacientiem F3-F4 </w:t>
      </w:r>
      <w:r w:rsidR="002D630D" w:rsidRPr="00847710">
        <w:rPr>
          <w:rFonts w:ascii="Times New Roman" w:eastAsia="Times New Roman" w:hAnsi="Times New Roman" w:cs="Times New Roman"/>
          <w:color w:val="000000"/>
          <w:sz w:val="24"/>
          <w:szCs w:val="24"/>
          <w:lang w:eastAsia="lv-LV"/>
        </w:rPr>
        <w:t xml:space="preserve">aknu bojājuma pakāpes </w:t>
      </w:r>
      <w:r w:rsidR="00201998" w:rsidRPr="00847710">
        <w:rPr>
          <w:rFonts w:ascii="Times New Roman" w:eastAsia="Times New Roman" w:hAnsi="Times New Roman" w:cs="Times New Roman"/>
          <w:color w:val="000000"/>
          <w:sz w:val="24"/>
          <w:szCs w:val="24"/>
          <w:lang w:eastAsia="lv-LV"/>
        </w:rPr>
        <w:t>stadijā</w:t>
      </w:r>
      <w:r w:rsidR="00201998" w:rsidRPr="00847710">
        <w:rPr>
          <w:rFonts w:ascii="Times New Roman" w:eastAsia="Times New Roman" w:hAnsi="Times New Roman" w:cs="Times New Roman"/>
          <w:color w:val="000000" w:themeColor="text1"/>
          <w:sz w:val="24"/>
          <w:szCs w:val="24"/>
          <w:lang w:eastAsia="lv-LV"/>
        </w:rPr>
        <w:t>. Uzsāktās reformas aprakstītas informatīvajos ziņojumos “Par veselības reformas pasākumu īstenošanu 2017.gadā” (20.12.2016 MK sēdes protokola Nr.69 86.§) un “Par veselības reformas pasākumu īstenošanas turpināšanu 2017.gadā” (14.02.2017 MK sēdes protokola Nr.7 45.§).</w:t>
      </w:r>
    </w:p>
    <w:p w14:paraId="080DDA83" w14:textId="00F4F80E" w:rsidR="00201998" w:rsidRPr="00847710" w:rsidRDefault="00201998" w:rsidP="00201998">
      <w:pPr>
        <w:ind w:firstLine="709"/>
        <w:jc w:val="both"/>
        <w:rPr>
          <w:rFonts w:ascii="Times New Roman" w:eastAsia="Times New Roman" w:hAnsi="Times New Roman" w:cs="Times New Roman"/>
          <w:color w:val="000000" w:themeColor="text1"/>
          <w:sz w:val="24"/>
          <w:szCs w:val="24"/>
          <w:lang w:eastAsia="lv-LV"/>
        </w:rPr>
      </w:pPr>
      <w:r w:rsidRPr="00847710">
        <w:rPr>
          <w:rFonts w:ascii="Times New Roman" w:eastAsia="Times New Roman" w:hAnsi="Times New Roman" w:cs="Times New Roman"/>
          <w:color w:val="000000" w:themeColor="text1"/>
          <w:sz w:val="24"/>
          <w:szCs w:val="24"/>
          <w:lang w:eastAsia="lv-LV"/>
        </w:rPr>
        <w:lastRenderedPageBreak/>
        <w:t xml:space="preserve">Atbilstoši informatīvajos ziņojumos “Par veselības reformas pasākumu īstenošanu 2017.gadā” un “Par veselības reformas pasākumu īstenošanas turpināšanu 2017.gadā” minētajam, lai uzsāktās reformas sasniegtu mērķi, tās nepieciešams turpināt arī turpmākajos periodos. Līdz ar </w:t>
      </w:r>
      <w:r w:rsidR="003D1B42" w:rsidRPr="00847710">
        <w:rPr>
          <w:rFonts w:ascii="Times New Roman" w:eastAsia="Times New Roman" w:hAnsi="Times New Roman" w:cs="Times New Roman"/>
          <w:color w:val="000000" w:themeColor="text1"/>
          <w:sz w:val="24"/>
          <w:szCs w:val="24"/>
          <w:lang w:eastAsia="lv-LV"/>
        </w:rPr>
        <w:t xml:space="preserve">to </w:t>
      </w:r>
      <w:r w:rsidRPr="00847710">
        <w:rPr>
          <w:rFonts w:ascii="Times New Roman" w:eastAsia="Times New Roman" w:hAnsi="Times New Roman" w:cs="Times New Roman"/>
          <w:color w:val="000000" w:themeColor="text1"/>
          <w:sz w:val="24"/>
          <w:szCs w:val="24"/>
          <w:lang w:eastAsia="lv-LV"/>
        </w:rPr>
        <w:t xml:space="preserve">uzsāktās intervences tiks turpinātas, savukārt to paplašināšanai un jaunu reformu uzsākšanai papildus 2017.gadā piešķirtajam finansējumam, 2018.gadā pieejams finansējums 79 075 550 </w:t>
      </w:r>
      <w:r w:rsidRPr="57326167">
        <w:rPr>
          <w:rFonts w:ascii="Times New Roman" w:eastAsia="Times New Roman" w:hAnsi="Times New Roman" w:cs="Times New Roman"/>
          <w:i/>
          <w:iCs/>
          <w:color w:val="000000" w:themeColor="text1"/>
          <w:sz w:val="24"/>
          <w:szCs w:val="24"/>
          <w:lang w:eastAsia="lv-LV"/>
        </w:rPr>
        <w:t>euro</w:t>
      </w:r>
      <w:r w:rsidRPr="00847710">
        <w:rPr>
          <w:rFonts w:ascii="Times New Roman" w:eastAsia="Times New Roman" w:hAnsi="Times New Roman" w:cs="Times New Roman"/>
          <w:color w:val="000000" w:themeColor="text1"/>
          <w:sz w:val="24"/>
          <w:szCs w:val="24"/>
          <w:lang w:eastAsia="lv-LV"/>
        </w:rPr>
        <w:t xml:space="preserve"> apmērā, kurus plānots izmantot </w:t>
      </w:r>
      <w:r w:rsidR="002D630D" w:rsidRPr="00847710">
        <w:rPr>
          <w:rFonts w:ascii="Times New Roman" w:eastAsia="Times New Roman" w:hAnsi="Times New Roman" w:cs="Times New Roman"/>
          <w:color w:val="000000" w:themeColor="text1"/>
          <w:sz w:val="24"/>
          <w:szCs w:val="24"/>
          <w:lang w:eastAsia="lv-LV"/>
        </w:rPr>
        <w:t xml:space="preserve">turpinot veselības aprūpes </w:t>
      </w:r>
      <w:r w:rsidRPr="00847710">
        <w:rPr>
          <w:rFonts w:ascii="Times New Roman" w:eastAsia="Times New Roman" w:hAnsi="Times New Roman" w:cs="Times New Roman"/>
          <w:color w:val="000000" w:themeColor="text1"/>
          <w:sz w:val="24"/>
          <w:szCs w:val="24"/>
          <w:lang w:eastAsia="lv-LV"/>
        </w:rPr>
        <w:t>reformu īstenošan</w:t>
      </w:r>
      <w:r w:rsidR="002D630D" w:rsidRPr="00847710">
        <w:rPr>
          <w:rFonts w:ascii="Times New Roman" w:eastAsia="Times New Roman" w:hAnsi="Times New Roman" w:cs="Times New Roman"/>
          <w:color w:val="000000" w:themeColor="text1"/>
          <w:sz w:val="24"/>
          <w:szCs w:val="24"/>
          <w:lang w:eastAsia="lv-LV"/>
        </w:rPr>
        <w:t>u</w:t>
      </w:r>
      <w:r w:rsidRPr="00847710">
        <w:rPr>
          <w:rFonts w:ascii="Times New Roman" w:eastAsia="Times New Roman" w:hAnsi="Times New Roman" w:cs="Times New Roman"/>
          <w:color w:val="000000" w:themeColor="text1"/>
          <w:sz w:val="24"/>
          <w:szCs w:val="24"/>
          <w:lang w:eastAsia="lv-LV"/>
        </w:rPr>
        <w:t>:</w:t>
      </w:r>
    </w:p>
    <w:p w14:paraId="2C9FA2EF" w14:textId="6271168E" w:rsidR="00BE1F7C" w:rsidRPr="00847710" w:rsidRDefault="009C769D" w:rsidP="00E22F86">
      <w:pPr>
        <w:pStyle w:val="ListParagraph"/>
        <w:numPr>
          <w:ilvl w:val="0"/>
          <w:numId w:val="4"/>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Veselības aprūpes pakalpojumu pieejamības uzlabošanai </w:t>
      </w:r>
      <w:r w:rsidR="002D630D" w:rsidRPr="00847710">
        <w:rPr>
          <w:rFonts w:ascii="Times New Roman" w:eastAsia="Times New Roman" w:hAnsi="Times New Roman"/>
          <w:sz w:val="24"/>
          <w:szCs w:val="24"/>
          <w:lang w:val="lv-LV" w:eastAsia="lv-LV"/>
        </w:rPr>
        <w:t xml:space="preserve"> un rindu mazināšanai </w:t>
      </w:r>
      <w:r w:rsidRPr="00847710">
        <w:rPr>
          <w:rFonts w:ascii="Times New Roman" w:eastAsia="Times New Roman" w:hAnsi="Times New Roman"/>
          <w:sz w:val="24"/>
          <w:szCs w:val="24"/>
          <w:lang w:val="lv-LV" w:eastAsia="lv-LV"/>
        </w:rPr>
        <w:t xml:space="preserve">(t.sk. turpinot </w:t>
      </w:r>
      <w:r w:rsidRPr="00847710">
        <w:rPr>
          <w:rFonts w:ascii="Times New Roman" w:eastAsia="Times New Roman" w:hAnsi="Times New Roman"/>
          <w:color w:val="000000"/>
          <w:sz w:val="24"/>
          <w:szCs w:val="24"/>
          <w:lang w:val="lv-LV" w:eastAsia="lv-LV"/>
        </w:rPr>
        <w:t>2017.gadā uzsākto rindu mazināšanu pie speciālistiem, uz diagnostiskajiem izmeklējumiem, dienas stacionārā</w:t>
      </w:r>
      <w:r w:rsidRPr="00847710">
        <w:rPr>
          <w:rFonts w:ascii="Times New Roman" w:eastAsia="Times New Roman" w:hAnsi="Times New Roman"/>
          <w:sz w:val="24"/>
          <w:szCs w:val="24"/>
          <w:lang w:val="lv-LV" w:eastAsia="lv-LV"/>
        </w:rPr>
        <w:t xml:space="preserve"> un ambulatorajā rehabilitācijā);</w:t>
      </w:r>
    </w:p>
    <w:p w14:paraId="1D5A3DB5" w14:textId="49EC5420" w:rsidR="009C769D" w:rsidRPr="00847710" w:rsidRDefault="009C769D" w:rsidP="00E22F86">
      <w:pPr>
        <w:pStyle w:val="ListParagraph"/>
        <w:numPr>
          <w:ilvl w:val="0"/>
          <w:numId w:val="4"/>
        </w:numPr>
        <w:jc w:val="both"/>
        <w:rPr>
          <w:rFonts w:ascii="Times New Roman" w:eastAsia="Times New Roman" w:hAnsi="Times New Roman"/>
          <w:sz w:val="24"/>
          <w:szCs w:val="24"/>
          <w:lang w:val="lv-LV" w:eastAsia="lv-LV"/>
        </w:rPr>
      </w:pPr>
      <w:r w:rsidRPr="00847710">
        <w:rPr>
          <w:rFonts w:ascii="Times New Roman" w:eastAsia="Times New Roman" w:hAnsi="Times New Roman"/>
          <w:color w:val="000000"/>
          <w:sz w:val="24"/>
          <w:szCs w:val="24"/>
          <w:lang w:val="lv-LV" w:eastAsia="lv-LV"/>
        </w:rPr>
        <w:t xml:space="preserve">Onkoloģisko saslimšanu diagnostikas un ārstēšanas pieejamības uzlabošanai (t.sk. </w:t>
      </w:r>
      <w:r w:rsidR="002D630D" w:rsidRPr="00847710">
        <w:rPr>
          <w:rFonts w:ascii="Times New Roman" w:eastAsia="Times New Roman" w:hAnsi="Times New Roman"/>
          <w:color w:val="000000"/>
          <w:sz w:val="24"/>
          <w:szCs w:val="24"/>
          <w:lang w:val="lv-LV" w:eastAsia="lv-LV"/>
        </w:rPr>
        <w:t xml:space="preserve">turpinot un paplašinot </w:t>
      </w:r>
      <w:r w:rsidRPr="00847710">
        <w:rPr>
          <w:rFonts w:ascii="Times New Roman" w:eastAsia="Times New Roman" w:hAnsi="Times New Roman"/>
          <w:color w:val="000000"/>
          <w:sz w:val="24"/>
          <w:szCs w:val="24"/>
          <w:lang w:val="lv-LV" w:eastAsia="lv-LV"/>
        </w:rPr>
        <w:t>2017.gadā uzsāktās aktivitātes);</w:t>
      </w:r>
    </w:p>
    <w:p w14:paraId="6DE4105F" w14:textId="7BCA4D64" w:rsidR="009C769D" w:rsidRPr="00847710" w:rsidRDefault="009C769D" w:rsidP="00E22F86">
      <w:pPr>
        <w:pStyle w:val="ListParagraph"/>
        <w:numPr>
          <w:ilvl w:val="0"/>
          <w:numId w:val="4"/>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Infekcijas slimību izplatības mazināšanai (t.sk. turpinot 2017.gadā uzsāktās r</w:t>
      </w:r>
      <w:r w:rsidRPr="00847710">
        <w:rPr>
          <w:rFonts w:ascii="Times New Roman" w:eastAsia="Times New Roman" w:hAnsi="Times New Roman"/>
          <w:color w:val="000000"/>
          <w:sz w:val="24"/>
          <w:szCs w:val="24"/>
          <w:lang w:val="lv-LV" w:eastAsia="lv-LV"/>
        </w:rPr>
        <w:t>eformas valsts kompensējamo medikamentu nodrošinājumam VHC pacientiem F3-F4 stadijā);</w:t>
      </w:r>
    </w:p>
    <w:p w14:paraId="1B07F648" w14:textId="50DCD726" w:rsidR="009C769D" w:rsidRPr="00847710" w:rsidRDefault="006062C8" w:rsidP="00E22F86">
      <w:pPr>
        <w:pStyle w:val="ListParagraph"/>
        <w:numPr>
          <w:ilvl w:val="0"/>
          <w:numId w:val="4"/>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Primārās veselības aprūpes sistēmas </w:t>
      </w:r>
      <w:r w:rsidR="00B71B67" w:rsidRPr="00847710">
        <w:rPr>
          <w:rFonts w:ascii="Times New Roman" w:eastAsia="Times New Roman" w:hAnsi="Times New Roman"/>
          <w:sz w:val="24"/>
          <w:szCs w:val="24"/>
          <w:lang w:val="lv-LV" w:eastAsia="lv-LV"/>
        </w:rPr>
        <w:t>kvalitātes un pieejamības uzlabošanai;</w:t>
      </w:r>
    </w:p>
    <w:p w14:paraId="3AD57875" w14:textId="2EDF20D5" w:rsidR="00EA7B04" w:rsidRPr="00847710" w:rsidRDefault="00B71B67" w:rsidP="00D9000B">
      <w:pPr>
        <w:pStyle w:val="ListParagraph"/>
        <w:numPr>
          <w:ilvl w:val="0"/>
          <w:numId w:val="4"/>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Kardiovaskulārās saslimstības mazināšanai un slimību ārstēšanas</w:t>
      </w:r>
      <w:r w:rsidR="00D9000B" w:rsidRPr="00847710">
        <w:rPr>
          <w:rFonts w:ascii="Times New Roman" w:eastAsia="Times New Roman" w:hAnsi="Times New Roman"/>
          <w:sz w:val="24"/>
          <w:szCs w:val="24"/>
          <w:lang w:val="lv-LV" w:eastAsia="lv-LV"/>
        </w:rPr>
        <w:t xml:space="preserve"> efektivitātes uzlabošanai.</w:t>
      </w:r>
    </w:p>
    <w:p w14:paraId="2C3FAB03" w14:textId="75896A34" w:rsidR="008A0E37" w:rsidRPr="00C002BE" w:rsidRDefault="008A0E37" w:rsidP="00BC2160">
      <w:pPr>
        <w:pStyle w:val="ListParagraph"/>
        <w:spacing w:after="0" w:line="240" w:lineRule="auto"/>
        <w:jc w:val="right"/>
        <w:rPr>
          <w:rFonts w:ascii="Times New Roman" w:eastAsia="Times New Roman" w:hAnsi="Times New Roman"/>
          <w:i/>
          <w:iCs/>
          <w:sz w:val="24"/>
          <w:szCs w:val="24"/>
          <w:lang w:val="lv-LV" w:eastAsia="lv-LV"/>
        </w:rPr>
      </w:pPr>
      <w:r w:rsidRPr="57326167">
        <w:rPr>
          <w:rFonts w:ascii="Times New Roman" w:eastAsia="Times New Roman" w:hAnsi="Times New Roman"/>
          <w:i/>
          <w:iCs/>
          <w:sz w:val="24"/>
          <w:szCs w:val="24"/>
          <w:lang w:val="lv-LV" w:eastAsia="lv-LV"/>
        </w:rPr>
        <w:t>1.tabula</w:t>
      </w:r>
    </w:p>
    <w:p w14:paraId="21904F75" w14:textId="7791476A" w:rsidR="008A0E37" w:rsidRPr="00C002BE" w:rsidRDefault="008A0E37" w:rsidP="00BC2160">
      <w:pPr>
        <w:pStyle w:val="ListParagraph"/>
        <w:spacing w:after="0" w:line="240" w:lineRule="auto"/>
        <w:ind w:left="0"/>
        <w:jc w:val="center"/>
        <w:rPr>
          <w:rFonts w:ascii="Times New Roman" w:eastAsia="Times New Roman" w:hAnsi="Times New Roman"/>
          <w:b/>
          <w:bCs/>
          <w:sz w:val="24"/>
          <w:szCs w:val="24"/>
          <w:lang w:val="lv-LV" w:eastAsia="lv-LV"/>
        </w:rPr>
      </w:pPr>
      <w:r w:rsidRPr="0012317D">
        <w:rPr>
          <w:rFonts w:ascii="Times New Roman" w:eastAsia="Times New Roman" w:hAnsi="Times New Roman"/>
          <w:b/>
          <w:bCs/>
          <w:sz w:val="24"/>
          <w:szCs w:val="24"/>
          <w:lang w:val="lv-LV" w:eastAsia="lv-LV"/>
        </w:rPr>
        <w:t>Veselības nozares reformu turpināšanai no Eiropas Komisijas pieļautā budžeta deficīta papildus piešķirtā finansējuma sadalījums 201</w:t>
      </w:r>
      <w:r w:rsidR="00D31C70" w:rsidRPr="0012317D">
        <w:rPr>
          <w:rFonts w:ascii="Times New Roman" w:eastAsia="Times New Roman" w:hAnsi="Times New Roman"/>
          <w:b/>
          <w:bCs/>
          <w:sz w:val="24"/>
          <w:szCs w:val="24"/>
          <w:lang w:val="lv-LV" w:eastAsia="lv-LV"/>
        </w:rPr>
        <w:t>8</w:t>
      </w:r>
      <w:r w:rsidRPr="0078437D">
        <w:rPr>
          <w:rFonts w:ascii="Times New Roman" w:eastAsia="Times New Roman" w:hAnsi="Times New Roman"/>
          <w:b/>
          <w:bCs/>
          <w:sz w:val="24"/>
          <w:szCs w:val="24"/>
          <w:lang w:val="lv-LV" w:eastAsia="lv-LV"/>
        </w:rPr>
        <w:t>.gadam</w:t>
      </w:r>
    </w:p>
    <w:p w14:paraId="38450C47" w14:textId="77777777" w:rsidR="008A0E37" w:rsidRPr="00847710" w:rsidRDefault="008A0E37" w:rsidP="00D1321B">
      <w:pPr>
        <w:pStyle w:val="ListParagraph"/>
        <w:spacing w:after="0" w:line="240" w:lineRule="auto"/>
        <w:ind w:left="0"/>
        <w:jc w:val="center"/>
        <w:rPr>
          <w:rFonts w:ascii="Times New Roman" w:eastAsia="Times New Roman" w:hAnsi="Times New Roman"/>
          <w:b/>
          <w:sz w:val="24"/>
          <w:szCs w:val="24"/>
          <w:lang w:val="lv-LV" w:eastAsia="lv-LV"/>
        </w:rPr>
      </w:pPr>
    </w:p>
    <w:tbl>
      <w:tblPr>
        <w:tblW w:w="6224" w:type="dxa"/>
        <w:jc w:val="center"/>
        <w:tblLook w:val="04A0" w:firstRow="1" w:lastRow="0" w:firstColumn="1" w:lastColumn="0" w:noHBand="0" w:noVBand="1"/>
      </w:tblPr>
      <w:tblGrid>
        <w:gridCol w:w="465"/>
        <w:gridCol w:w="3925"/>
        <w:gridCol w:w="1834"/>
      </w:tblGrid>
      <w:tr w:rsidR="00C205F3" w:rsidRPr="00847710" w14:paraId="514B57E4" w14:textId="5A310623"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4742788" w14:textId="77777777" w:rsidR="00C205F3" w:rsidRPr="00847710" w:rsidRDefault="00C205F3" w:rsidP="00D1321B">
            <w:pPr>
              <w:spacing w:after="0" w:line="240" w:lineRule="auto"/>
              <w:jc w:val="center"/>
              <w:rPr>
                <w:rFonts w:ascii="Times New Roman" w:eastAsia="Times New Roman" w:hAnsi="Times New Roman" w:cs="Times New Roman"/>
                <w:b/>
                <w:color w:val="000000"/>
                <w:sz w:val="24"/>
                <w:szCs w:val="24"/>
                <w:lang w:eastAsia="lv-LV"/>
              </w:rPr>
            </w:pPr>
          </w:p>
          <w:p w14:paraId="4C68F30E" w14:textId="28DEBFE3" w:rsidR="00C205F3" w:rsidRPr="00847710" w:rsidRDefault="00C205F3" w:rsidP="00D1321B">
            <w:pPr>
              <w:spacing w:after="0" w:line="240" w:lineRule="auto"/>
              <w:jc w:val="center"/>
              <w:rPr>
                <w:rFonts w:ascii="Times New Roman" w:eastAsia="Times New Roman" w:hAnsi="Times New Roman" w:cs="Times New Roman"/>
                <w:b/>
                <w:color w:val="000000"/>
                <w:sz w:val="24"/>
                <w:szCs w:val="24"/>
                <w:lang w:eastAsia="lv-LV"/>
              </w:rPr>
            </w:pPr>
          </w:p>
        </w:tc>
        <w:tc>
          <w:tcPr>
            <w:tcW w:w="392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BF4D24A" w14:textId="31956C4F" w:rsidR="00C205F3" w:rsidRPr="00C002BE" w:rsidRDefault="00C205F3" w:rsidP="00C002BE">
            <w:pPr>
              <w:spacing w:after="0" w:line="240" w:lineRule="auto"/>
              <w:jc w:val="center"/>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t>Plānotais pasākums</w:t>
            </w:r>
          </w:p>
        </w:tc>
        <w:tc>
          <w:tcPr>
            <w:tcW w:w="183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5D98B505" w14:textId="21C8EE28" w:rsidR="00C205F3" w:rsidRPr="00C002BE" w:rsidRDefault="00C205F3" w:rsidP="00C002BE">
            <w:pPr>
              <w:spacing w:after="0" w:line="240" w:lineRule="auto"/>
              <w:jc w:val="center"/>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t>Finansējums kopā</w:t>
            </w:r>
          </w:p>
          <w:p w14:paraId="25C553F8" w14:textId="77777777" w:rsidR="00C205F3" w:rsidRPr="00847710" w:rsidRDefault="00C205F3" w:rsidP="00D1321B">
            <w:pPr>
              <w:spacing w:after="0" w:line="240" w:lineRule="auto"/>
              <w:jc w:val="center"/>
              <w:rPr>
                <w:rFonts w:ascii="Times New Roman" w:eastAsia="Times New Roman" w:hAnsi="Times New Roman" w:cs="Times New Roman"/>
                <w:b/>
                <w:color w:val="000000"/>
                <w:sz w:val="24"/>
                <w:szCs w:val="24"/>
                <w:lang w:eastAsia="lv-LV"/>
              </w:rPr>
            </w:pPr>
          </w:p>
        </w:tc>
      </w:tr>
      <w:tr w:rsidR="00C205F3" w:rsidRPr="00847710" w14:paraId="12C859EF" w14:textId="1E33101C" w:rsidTr="00C002BE">
        <w:trPr>
          <w:trHeight w:val="315"/>
          <w:jc w:val="center"/>
        </w:trPr>
        <w:tc>
          <w:tcPr>
            <w:tcW w:w="465" w:type="dxa"/>
            <w:tcBorders>
              <w:top w:val="nil"/>
              <w:left w:val="single" w:sz="4" w:space="0" w:color="auto"/>
              <w:bottom w:val="single" w:sz="4" w:space="0" w:color="auto"/>
              <w:right w:val="single" w:sz="4" w:space="0" w:color="auto"/>
            </w:tcBorders>
            <w:shd w:val="clear" w:color="auto" w:fill="FBD4B4" w:themeFill="accent6" w:themeFillTint="66"/>
          </w:tcPr>
          <w:p w14:paraId="71BC23B6" w14:textId="77777777" w:rsidR="00C205F3" w:rsidRPr="00847710" w:rsidRDefault="00C205F3" w:rsidP="00D1321B">
            <w:pPr>
              <w:spacing w:after="0" w:line="240" w:lineRule="auto"/>
              <w:jc w:val="center"/>
              <w:rPr>
                <w:rFonts w:ascii="Times New Roman" w:eastAsia="Times New Roman" w:hAnsi="Times New Roman" w:cs="Times New Roman"/>
                <w:color w:val="000000"/>
                <w:sz w:val="20"/>
                <w:szCs w:val="20"/>
                <w:lang w:eastAsia="lv-LV"/>
              </w:rPr>
            </w:pPr>
          </w:p>
        </w:tc>
        <w:tc>
          <w:tcPr>
            <w:tcW w:w="3925"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5277B7CB" w14:textId="7141508D" w:rsidR="00C205F3" w:rsidRPr="00847710" w:rsidRDefault="00C205F3" w:rsidP="00D1321B">
            <w:pPr>
              <w:spacing w:after="0" w:line="240" w:lineRule="auto"/>
              <w:jc w:val="center"/>
              <w:rPr>
                <w:rFonts w:ascii="Times New Roman" w:eastAsia="Times New Roman" w:hAnsi="Times New Roman" w:cs="Times New Roman"/>
                <w:color w:val="000000"/>
                <w:sz w:val="20"/>
                <w:szCs w:val="20"/>
                <w:lang w:eastAsia="lv-LV"/>
              </w:rPr>
            </w:pPr>
          </w:p>
        </w:tc>
        <w:tc>
          <w:tcPr>
            <w:tcW w:w="1834" w:type="dxa"/>
            <w:tcBorders>
              <w:top w:val="nil"/>
              <w:left w:val="single" w:sz="4" w:space="0" w:color="auto"/>
              <w:bottom w:val="single" w:sz="4" w:space="0" w:color="auto"/>
              <w:right w:val="single" w:sz="4" w:space="0" w:color="auto"/>
            </w:tcBorders>
            <w:shd w:val="clear" w:color="auto" w:fill="FBD4B4" w:themeFill="accent6" w:themeFillTint="66"/>
          </w:tcPr>
          <w:p w14:paraId="27FDD2CC" w14:textId="53A5A22F" w:rsidR="00C205F3" w:rsidRPr="00C002BE" w:rsidRDefault="00C205F3" w:rsidP="57326167">
            <w:pPr>
              <w:spacing w:after="0" w:line="240" w:lineRule="auto"/>
              <w:jc w:val="center"/>
              <w:rPr>
                <w:rFonts w:ascii="Times New Roman" w:eastAsia="Times New Roman" w:hAnsi="Times New Roman" w:cs="Times New Roman"/>
                <w:i/>
                <w:iCs/>
                <w:color w:val="000000" w:themeColor="text1"/>
                <w:sz w:val="24"/>
                <w:szCs w:val="24"/>
                <w:lang w:eastAsia="lv-LV"/>
              </w:rPr>
            </w:pPr>
            <w:r w:rsidRPr="57326167">
              <w:rPr>
                <w:rFonts w:ascii="Times New Roman" w:eastAsia="Times New Roman" w:hAnsi="Times New Roman" w:cs="Times New Roman"/>
                <w:i/>
                <w:iCs/>
                <w:color w:val="000000"/>
                <w:sz w:val="24"/>
                <w:szCs w:val="24"/>
                <w:lang w:eastAsia="lv-LV"/>
              </w:rPr>
              <w:t>(euro)</w:t>
            </w:r>
          </w:p>
        </w:tc>
      </w:tr>
      <w:tr w:rsidR="00C205F3" w:rsidRPr="00847710" w14:paraId="11368231" w14:textId="4F8CA0AB" w:rsidTr="00C002BE">
        <w:trPr>
          <w:trHeight w:val="630"/>
          <w:jc w:val="center"/>
        </w:trPr>
        <w:tc>
          <w:tcPr>
            <w:tcW w:w="465" w:type="dxa"/>
            <w:tcBorders>
              <w:top w:val="nil"/>
              <w:left w:val="single" w:sz="4" w:space="0" w:color="auto"/>
              <w:bottom w:val="single" w:sz="4" w:space="0" w:color="auto"/>
              <w:right w:val="single" w:sz="4" w:space="0" w:color="auto"/>
            </w:tcBorders>
            <w:vAlign w:val="center"/>
          </w:tcPr>
          <w:p w14:paraId="4012228A" w14:textId="33026224" w:rsidR="00C205F3" w:rsidRPr="00847710" w:rsidRDefault="00C205F3" w:rsidP="00D1321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w:t>
            </w:r>
          </w:p>
        </w:tc>
        <w:tc>
          <w:tcPr>
            <w:tcW w:w="3925" w:type="dxa"/>
            <w:tcBorders>
              <w:top w:val="nil"/>
              <w:left w:val="single" w:sz="4" w:space="0" w:color="auto"/>
              <w:bottom w:val="single" w:sz="4" w:space="0" w:color="auto"/>
              <w:right w:val="single" w:sz="4" w:space="0" w:color="auto"/>
            </w:tcBorders>
            <w:shd w:val="clear" w:color="auto" w:fill="auto"/>
            <w:vAlign w:val="center"/>
            <w:hideMark/>
          </w:tcPr>
          <w:p w14:paraId="2B2ED33B" w14:textId="6BB6D1D0" w:rsidR="00C205F3" w:rsidRPr="00847710" w:rsidRDefault="00C205F3" w:rsidP="00D1321B">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sz w:val="24"/>
                <w:szCs w:val="24"/>
                <w:lang w:eastAsia="lv-LV"/>
              </w:rPr>
              <w:t>Veselības aprūpes pakalpojumu pieejamības uzlabošana</w:t>
            </w:r>
          </w:p>
        </w:tc>
        <w:tc>
          <w:tcPr>
            <w:tcW w:w="1834" w:type="dxa"/>
            <w:tcBorders>
              <w:top w:val="nil"/>
              <w:left w:val="single" w:sz="4" w:space="0" w:color="auto"/>
              <w:bottom w:val="single" w:sz="4" w:space="0" w:color="auto"/>
              <w:right w:val="single" w:sz="4" w:space="0" w:color="auto"/>
            </w:tcBorders>
            <w:vAlign w:val="center"/>
          </w:tcPr>
          <w:p w14:paraId="60FCA1AD" w14:textId="7A725BD3" w:rsidR="00C205F3" w:rsidRPr="00847710" w:rsidRDefault="00C205F3" w:rsidP="0015331A">
            <w:pPr>
              <w:spacing w:after="0" w:line="240" w:lineRule="auto"/>
              <w:ind w:firstLineChars="100" w:firstLine="240"/>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46 0</w:t>
            </w:r>
            <w:r w:rsidR="00106229" w:rsidRPr="00847710">
              <w:rPr>
                <w:rFonts w:ascii="Times New Roman" w:eastAsia="Times New Roman" w:hAnsi="Times New Roman" w:cs="Times New Roman"/>
                <w:color w:val="000000"/>
                <w:sz w:val="24"/>
                <w:szCs w:val="24"/>
                <w:lang w:eastAsia="lv-LV"/>
              </w:rPr>
              <w:t>73</w:t>
            </w:r>
            <w:r w:rsidRPr="00847710">
              <w:rPr>
                <w:rFonts w:ascii="Times New Roman" w:eastAsia="Times New Roman" w:hAnsi="Times New Roman" w:cs="Times New Roman"/>
                <w:color w:val="000000"/>
                <w:sz w:val="24"/>
                <w:szCs w:val="24"/>
                <w:lang w:eastAsia="lv-LV"/>
              </w:rPr>
              <w:t xml:space="preserve"> </w:t>
            </w:r>
            <w:r w:rsidR="00106229" w:rsidRPr="00847710">
              <w:rPr>
                <w:rFonts w:ascii="Times New Roman" w:eastAsia="Times New Roman" w:hAnsi="Times New Roman" w:cs="Times New Roman"/>
                <w:color w:val="000000"/>
                <w:sz w:val="24"/>
                <w:szCs w:val="24"/>
                <w:lang w:eastAsia="lv-LV"/>
              </w:rPr>
              <w:t>209</w:t>
            </w:r>
          </w:p>
        </w:tc>
      </w:tr>
      <w:tr w:rsidR="00C205F3" w:rsidRPr="00847710" w14:paraId="2364A818" w14:textId="56D356B8"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0047F90E" w14:textId="120467E7" w:rsidR="00C205F3" w:rsidRPr="00847710" w:rsidRDefault="00C205F3" w:rsidP="00D1321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92381" w14:textId="4D740D68" w:rsidR="00C205F3" w:rsidRPr="00847710" w:rsidRDefault="00C205F3" w:rsidP="00D1321B">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Onkoloģisko saslimšanu diagnostikas un ārstēšanas pieejamības uzlabošana</w:t>
            </w:r>
          </w:p>
        </w:tc>
        <w:tc>
          <w:tcPr>
            <w:tcW w:w="1834" w:type="dxa"/>
            <w:tcBorders>
              <w:top w:val="single" w:sz="4" w:space="0" w:color="auto"/>
              <w:left w:val="single" w:sz="4" w:space="0" w:color="auto"/>
              <w:bottom w:val="single" w:sz="4" w:space="0" w:color="auto"/>
              <w:right w:val="single" w:sz="4" w:space="0" w:color="auto"/>
            </w:tcBorders>
            <w:vAlign w:val="center"/>
          </w:tcPr>
          <w:p w14:paraId="04B2A7C4" w14:textId="654C8139" w:rsidR="00C205F3" w:rsidRPr="00847710" w:rsidRDefault="00682E32" w:rsidP="0015331A">
            <w:pPr>
              <w:spacing w:after="0" w:line="240" w:lineRule="auto"/>
              <w:ind w:firstLineChars="100" w:firstLine="240"/>
              <w:jc w:val="center"/>
              <w:rPr>
                <w:rFonts w:ascii="Times New Roman" w:eastAsia="Times New Roman" w:hAnsi="Times New Roman" w:cs="Times New Roman"/>
                <w:color w:val="000000" w:themeColor="text1"/>
                <w:sz w:val="24"/>
                <w:szCs w:val="24"/>
                <w:lang w:eastAsia="lv-LV"/>
              </w:rPr>
            </w:pPr>
            <w:r w:rsidRPr="00847710">
              <w:rPr>
                <w:rFonts w:ascii="Times New Roman" w:eastAsia="Times New Roman" w:hAnsi="Times New Roman" w:cs="Times New Roman"/>
                <w:color w:val="000000"/>
                <w:sz w:val="24"/>
                <w:szCs w:val="24"/>
                <w:lang w:eastAsia="lv-LV"/>
              </w:rPr>
              <w:t>29 </w:t>
            </w:r>
            <w:r w:rsidR="00C205F3" w:rsidRPr="00847710">
              <w:rPr>
                <w:rFonts w:ascii="Times New Roman" w:eastAsia="Times New Roman" w:hAnsi="Times New Roman" w:cs="Times New Roman"/>
                <w:color w:val="000000"/>
                <w:sz w:val="24"/>
                <w:szCs w:val="24"/>
                <w:lang w:eastAsia="lv-LV"/>
              </w:rPr>
              <w:t>89</w:t>
            </w:r>
            <w:r w:rsidR="00561944" w:rsidRPr="00847710">
              <w:rPr>
                <w:rFonts w:ascii="Times New Roman" w:eastAsia="Times New Roman" w:hAnsi="Times New Roman" w:cs="Times New Roman"/>
                <w:color w:val="000000"/>
                <w:sz w:val="24"/>
                <w:szCs w:val="24"/>
                <w:lang w:eastAsia="lv-LV"/>
              </w:rPr>
              <w:t>6</w:t>
            </w:r>
            <w:r w:rsidR="00C205F3" w:rsidRPr="00847710">
              <w:rPr>
                <w:rFonts w:ascii="Times New Roman" w:eastAsia="Times New Roman" w:hAnsi="Times New Roman" w:cs="Times New Roman"/>
                <w:color w:val="000000"/>
                <w:sz w:val="24"/>
                <w:szCs w:val="24"/>
                <w:lang w:eastAsia="lv-LV"/>
              </w:rPr>
              <w:t xml:space="preserve"> </w:t>
            </w:r>
            <w:r w:rsidR="00270FE1" w:rsidRPr="00847710">
              <w:rPr>
                <w:rFonts w:ascii="Times New Roman" w:eastAsia="Times New Roman" w:hAnsi="Times New Roman" w:cs="Times New Roman"/>
                <w:color w:val="000000"/>
                <w:sz w:val="24"/>
                <w:szCs w:val="24"/>
                <w:lang w:eastAsia="lv-LV"/>
              </w:rPr>
              <w:t>59</w:t>
            </w:r>
            <w:r w:rsidR="00270FE1">
              <w:rPr>
                <w:rFonts w:ascii="Times New Roman" w:eastAsia="Times New Roman" w:hAnsi="Times New Roman" w:cs="Times New Roman"/>
                <w:color w:val="000000"/>
                <w:sz w:val="24"/>
                <w:szCs w:val="24"/>
                <w:lang w:eastAsia="lv-LV"/>
              </w:rPr>
              <w:t>4</w:t>
            </w:r>
          </w:p>
        </w:tc>
      </w:tr>
      <w:tr w:rsidR="00C205F3" w:rsidRPr="00847710" w14:paraId="692EEB98"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138BDEC2" w14:textId="79F96B82" w:rsidR="00C205F3" w:rsidRPr="00847710" w:rsidRDefault="00C205F3" w:rsidP="00D1321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3.</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77ED77F0" w14:textId="6414A93A" w:rsidR="00C205F3" w:rsidRPr="00847710" w:rsidRDefault="00C205F3" w:rsidP="00D1321B">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sz w:val="24"/>
                <w:szCs w:val="24"/>
                <w:lang w:eastAsia="lv-LV"/>
              </w:rPr>
              <w:t>Infekcijas slimību izplatības mazināšana</w:t>
            </w:r>
          </w:p>
        </w:tc>
        <w:tc>
          <w:tcPr>
            <w:tcW w:w="1834" w:type="dxa"/>
            <w:tcBorders>
              <w:top w:val="single" w:sz="4" w:space="0" w:color="auto"/>
              <w:left w:val="single" w:sz="4" w:space="0" w:color="auto"/>
              <w:bottom w:val="single" w:sz="4" w:space="0" w:color="auto"/>
              <w:right w:val="single" w:sz="4" w:space="0" w:color="auto"/>
            </w:tcBorders>
            <w:vAlign w:val="center"/>
          </w:tcPr>
          <w:p w14:paraId="23FAD7A0" w14:textId="6263BA1C" w:rsidR="00C205F3" w:rsidRPr="00847710" w:rsidRDefault="00C205F3" w:rsidP="0015331A">
            <w:pPr>
              <w:spacing w:after="0" w:line="240" w:lineRule="auto"/>
              <w:ind w:firstLineChars="100" w:firstLine="240"/>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 xml:space="preserve">16 740 </w:t>
            </w:r>
            <w:r w:rsidR="00561944" w:rsidRPr="00847710">
              <w:rPr>
                <w:rFonts w:ascii="Times New Roman" w:eastAsia="Times New Roman" w:hAnsi="Times New Roman" w:cs="Times New Roman"/>
                <w:color w:val="000000"/>
                <w:sz w:val="24"/>
                <w:szCs w:val="24"/>
                <w:lang w:eastAsia="lv-LV"/>
              </w:rPr>
              <w:t>741</w:t>
            </w:r>
          </w:p>
        </w:tc>
      </w:tr>
      <w:tr w:rsidR="00C205F3" w:rsidRPr="00847710" w14:paraId="670D9FF3"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47245436" w14:textId="69EF500C" w:rsidR="00C205F3" w:rsidRPr="00847710" w:rsidRDefault="00C205F3" w:rsidP="00D1321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4.</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57BF7BE6" w14:textId="6DA91B9A" w:rsidR="00C205F3" w:rsidRPr="00847710" w:rsidRDefault="00C205F3" w:rsidP="00D1321B">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sz w:val="24"/>
                <w:szCs w:val="24"/>
                <w:lang w:eastAsia="lv-LV"/>
              </w:rPr>
              <w:t>Primārās veselības aprūpes sistēmas kvalitātes un pieejamības uzlabošana</w:t>
            </w:r>
          </w:p>
        </w:tc>
        <w:tc>
          <w:tcPr>
            <w:tcW w:w="1834" w:type="dxa"/>
            <w:tcBorders>
              <w:top w:val="single" w:sz="4" w:space="0" w:color="auto"/>
              <w:left w:val="single" w:sz="4" w:space="0" w:color="auto"/>
              <w:bottom w:val="single" w:sz="4" w:space="0" w:color="auto"/>
              <w:right w:val="single" w:sz="4" w:space="0" w:color="auto"/>
            </w:tcBorders>
            <w:vAlign w:val="center"/>
          </w:tcPr>
          <w:p w14:paraId="07BFE054" w14:textId="4A895A38" w:rsidR="00C205F3" w:rsidRPr="00847710" w:rsidRDefault="00C205F3" w:rsidP="0015331A">
            <w:pPr>
              <w:spacing w:after="0" w:line="240" w:lineRule="auto"/>
              <w:ind w:firstLineChars="100" w:firstLine="240"/>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9 6</w:t>
            </w:r>
            <w:r w:rsidR="00106229" w:rsidRPr="00847710">
              <w:rPr>
                <w:rFonts w:ascii="Times New Roman" w:eastAsia="Times New Roman" w:hAnsi="Times New Roman" w:cs="Times New Roman"/>
                <w:color w:val="000000"/>
                <w:sz w:val="24"/>
                <w:szCs w:val="24"/>
                <w:lang w:eastAsia="lv-LV"/>
              </w:rPr>
              <w:t>64</w:t>
            </w:r>
            <w:r w:rsidRPr="00847710">
              <w:rPr>
                <w:rFonts w:ascii="Times New Roman" w:eastAsia="Times New Roman" w:hAnsi="Times New Roman" w:cs="Times New Roman"/>
                <w:color w:val="000000"/>
                <w:sz w:val="24"/>
                <w:szCs w:val="24"/>
                <w:lang w:eastAsia="lv-LV"/>
              </w:rPr>
              <w:t xml:space="preserve"> </w:t>
            </w:r>
            <w:r w:rsidR="00106229" w:rsidRPr="00847710">
              <w:rPr>
                <w:rFonts w:ascii="Times New Roman" w:eastAsia="Times New Roman" w:hAnsi="Times New Roman" w:cs="Times New Roman"/>
                <w:color w:val="000000"/>
                <w:sz w:val="24"/>
                <w:szCs w:val="24"/>
                <w:lang w:eastAsia="lv-LV"/>
              </w:rPr>
              <w:t>036</w:t>
            </w:r>
          </w:p>
        </w:tc>
      </w:tr>
      <w:tr w:rsidR="00C205F3" w:rsidRPr="00847710" w14:paraId="02E8A6EA"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2F6B02FC" w14:textId="5D662BD5" w:rsidR="00C205F3" w:rsidRPr="00847710" w:rsidRDefault="00C205F3" w:rsidP="00D1321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375E3E49" w14:textId="3F943D26" w:rsidR="00C205F3" w:rsidRPr="00847710" w:rsidRDefault="00C205F3" w:rsidP="00D1321B">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sz w:val="24"/>
                <w:szCs w:val="24"/>
                <w:lang w:eastAsia="lv-LV"/>
              </w:rPr>
              <w:t>Kardiovaskulārās saslimstības mazināšana un slimību ārstēšanas efektivitātes uzlabošana</w:t>
            </w:r>
          </w:p>
        </w:tc>
        <w:tc>
          <w:tcPr>
            <w:tcW w:w="1834" w:type="dxa"/>
            <w:tcBorders>
              <w:top w:val="single" w:sz="4" w:space="0" w:color="auto"/>
              <w:left w:val="single" w:sz="4" w:space="0" w:color="auto"/>
              <w:bottom w:val="single" w:sz="4" w:space="0" w:color="auto"/>
              <w:right w:val="single" w:sz="4" w:space="0" w:color="auto"/>
            </w:tcBorders>
            <w:vAlign w:val="center"/>
          </w:tcPr>
          <w:p w14:paraId="7906549B" w14:textId="22C42D47" w:rsidR="00C205F3" w:rsidRPr="00847710" w:rsidRDefault="00EA457E" w:rsidP="0015331A">
            <w:pPr>
              <w:spacing w:after="0" w:line="240" w:lineRule="auto"/>
              <w:ind w:firstLineChars="100" w:firstLine="240"/>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 xml:space="preserve">11 025 </w:t>
            </w:r>
            <w:r w:rsidR="00D452B9" w:rsidRPr="00847710">
              <w:rPr>
                <w:rFonts w:ascii="Times New Roman" w:eastAsia="Times New Roman" w:hAnsi="Times New Roman" w:cs="Times New Roman"/>
                <w:color w:val="000000"/>
                <w:sz w:val="24"/>
                <w:szCs w:val="24"/>
                <w:lang w:eastAsia="lv-LV"/>
              </w:rPr>
              <w:t>42</w:t>
            </w:r>
            <w:r w:rsidR="00D452B9">
              <w:rPr>
                <w:rFonts w:ascii="Times New Roman" w:eastAsia="Times New Roman" w:hAnsi="Times New Roman" w:cs="Times New Roman"/>
                <w:color w:val="000000"/>
                <w:sz w:val="24"/>
                <w:szCs w:val="24"/>
                <w:lang w:eastAsia="lv-LV"/>
              </w:rPr>
              <w:t>0</w:t>
            </w:r>
          </w:p>
        </w:tc>
      </w:tr>
      <w:tr w:rsidR="00C205F3" w:rsidRPr="00847710" w14:paraId="634C7947" w14:textId="64A0111C" w:rsidTr="00C002BE">
        <w:trPr>
          <w:trHeight w:val="315"/>
          <w:jc w:val="center"/>
        </w:trPr>
        <w:tc>
          <w:tcPr>
            <w:tcW w:w="465" w:type="dxa"/>
            <w:tcBorders>
              <w:top w:val="nil"/>
              <w:left w:val="single" w:sz="4" w:space="0" w:color="auto"/>
              <w:bottom w:val="single" w:sz="4" w:space="0" w:color="auto"/>
              <w:right w:val="single" w:sz="4" w:space="0" w:color="auto"/>
            </w:tcBorders>
            <w:shd w:val="clear" w:color="auto" w:fill="FABF8F" w:themeFill="accent6" w:themeFillTint="99"/>
          </w:tcPr>
          <w:p w14:paraId="33D3344C" w14:textId="77777777" w:rsidR="00C205F3" w:rsidRPr="00847710" w:rsidRDefault="00C205F3" w:rsidP="00D1321B">
            <w:pPr>
              <w:spacing w:after="0" w:line="240" w:lineRule="auto"/>
              <w:jc w:val="right"/>
              <w:rPr>
                <w:rFonts w:ascii="Times New Roman" w:eastAsia="Times New Roman" w:hAnsi="Times New Roman" w:cs="Times New Roman"/>
                <w:b/>
                <w:bCs/>
                <w:color w:val="000000"/>
                <w:sz w:val="24"/>
                <w:szCs w:val="24"/>
                <w:lang w:eastAsia="lv-LV"/>
              </w:rPr>
            </w:pPr>
          </w:p>
        </w:tc>
        <w:tc>
          <w:tcPr>
            <w:tcW w:w="3925"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62768C38" w14:textId="0D5292B7" w:rsidR="00C205F3" w:rsidRPr="00847710" w:rsidRDefault="00C205F3" w:rsidP="00D1321B">
            <w:pPr>
              <w:spacing w:after="0" w:line="240" w:lineRule="auto"/>
              <w:jc w:val="right"/>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 xml:space="preserve">Kopā: </w:t>
            </w:r>
          </w:p>
        </w:tc>
        <w:tc>
          <w:tcPr>
            <w:tcW w:w="1834" w:type="dxa"/>
            <w:tcBorders>
              <w:top w:val="nil"/>
              <w:left w:val="single" w:sz="4" w:space="0" w:color="auto"/>
              <w:bottom w:val="single" w:sz="4" w:space="0" w:color="auto"/>
              <w:right w:val="single" w:sz="4" w:space="0" w:color="auto"/>
            </w:tcBorders>
            <w:shd w:val="clear" w:color="auto" w:fill="FABF8F" w:themeFill="accent6" w:themeFillTint="99"/>
            <w:vAlign w:val="center"/>
          </w:tcPr>
          <w:p w14:paraId="6BBD412D" w14:textId="0192DC01" w:rsidR="00C205F3" w:rsidRPr="00847710" w:rsidRDefault="00C205F3" w:rsidP="00AB7C24">
            <w:pPr>
              <w:pStyle w:val="ListParagraph"/>
              <w:numPr>
                <w:ilvl w:val="0"/>
                <w:numId w:val="25"/>
              </w:numPr>
              <w:spacing w:after="0" w:line="240" w:lineRule="auto"/>
              <w:jc w:val="center"/>
              <w:rPr>
                <w:rFonts w:ascii="Times New Roman" w:eastAsia="Times New Roman" w:hAnsi="Times New Roman"/>
                <w:b/>
                <w:bCs/>
                <w:color w:val="000000"/>
                <w:sz w:val="24"/>
                <w:szCs w:val="24"/>
                <w:lang w:val="lv-LV" w:eastAsia="lv-LV"/>
              </w:rPr>
            </w:pPr>
            <w:r w:rsidRPr="00847710">
              <w:rPr>
                <w:rFonts w:ascii="Times New Roman" w:eastAsia="Times New Roman" w:hAnsi="Times New Roman"/>
                <w:b/>
                <w:bCs/>
                <w:color w:val="000000"/>
                <w:sz w:val="24"/>
                <w:szCs w:val="24"/>
                <w:lang w:val="lv-LV" w:eastAsia="lv-LV"/>
              </w:rPr>
              <w:t xml:space="preserve"> 400 000</w:t>
            </w:r>
          </w:p>
        </w:tc>
      </w:tr>
    </w:tbl>
    <w:p w14:paraId="4269F9FE" w14:textId="276EF237" w:rsidR="004B3E85" w:rsidRDefault="004B3E85" w:rsidP="000631DF">
      <w:pPr>
        <w:jc w:val="both"/>
        <w:rPr>
          <w:rFonts w:ascii="Times New Roman" w:hAnsi="Times New Roman" w:cs="Times New Roman"/>
          <w:sz w:val="24"/>
          <w:szCs w:val="24"/>
          <w:lang w:eastAsia="lv-LV"/>
        </w:rPr>
      </w:pPr>
    </w:p>
    <w:p w14:paraId="664EDFE0" w14:textId="4A38EFBB" w:rsidR="007823BB" w:rsidRPr="00847710" w:rsidRDefault="007823BB" w:rsidP="00BD17C7">
      <w:pPr>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Vērtējot reformu veikto pasākumu ietekmi uz konkrētiem veselības nozares rādītājiem, ziņojumā izmantotas Veselības ministrijas galveno speciālistu, profesionālo asociāciju, VSIA “Paula Stradiņa klīniskā universitātes slimnīca”, SIA “Rīgas austrumu klīniskā universitātes slimnīca” speciālistu prognozes. Citu speciālistu prognožu gadījumā ziņojumā iekļauta atsauce.</w:t>
      </w:r>
    </w:p>
    <w:p w14:paraId="1AF14DB9" w14:textId="563DEE72" w:rsidR="000A515E" w:rsidRPr="00C002BE" w:rsidRDefault="003406FC" w:rsidP="00C002BE">
      <w:pPr>
        <w:pStyle w:val="Heading2"/>
        <w:numPr>
          <w:ilvl w:val="0"/>
          <w:numId w:val="30"/>
        </w:numPr>
        <w:spacing w:before="0" w:after="200"/>
        <w:jc w:val="center"/>
        <w:rPr>
          <w:rFonts w:ascii="Times New Roman" w:hAnsi="Times New Roman" w:cs="Times New Roman"/>
          <w:b/>
          <w:bCs/>
          <w:color w:val="auto"/>
          <w:sz w:val="24"/>
          <w:szCs w:val="24"/>
        </w:rPr>
      </w:pPr>
      <w:r w:rsidRPr="0012317D">
        <w:rPr>
          <w:rFonts w:ascii="Times New Roman" w:hAnsi="Times New Roman" w:cs="Times New Roman"/>
          <w:b/>
          <w:bCs/>
          <w:color w:val="auto"/>
          <w:sz w:val="24"/>
          <w:szCs w:val="24"/>
        </w:rPr>
        <w:t>Veselības aprūpes pakalpojumu pieejamības uzlabošanas rezultāti 2017. gadā un jaunās iniciatīvas 2018. gadā</w:t>
      </w:r>
    </w:p>
    <w:p w14:paraId="2E445AD1" w14:textId="7327A9D2" w:rsidR="00CB4F41" w:rsidRPr="00C002BE" w:rsidRDefault="00CB4F41" w:rsidP="00C002BE">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1.1. Reformas rezultāti 2017. gadā</w:t>
      </w:r>
    </w:p>
    <w:p w14:paraId="234BF1BF" w14:textId="76DE157F" w:rsidR="003D1B42" w:rsidRPr="00847710" w:rsidRDefault="003D1B42" w:rsidP="00FA37E8">
      <w:pPr>
        <w:autoSpaceDE w:val="0"/>
        <w:autoSpaceDN w:val="0"/>
        <w:adjustRightInd w:val="0"/>
        <w:spacing w:after="120"/>
        <w:ind w:firstLine="720"/>
        <w:jc w:val="both"/>
        <w:rPr>
          <w:rFonts w:ascii="Times New Roman" w:hAnsi="Times New Roman" w:cs="Times New Roman"/>
          <w:sz w:val="24"/>
          <w:szCs w:val="24"/>
          <w:lang w:bidi="lo-LA"/>
        </w:rPr>
      </w:pPr>
      <w:r w:rsidRPr="00847710">
        <w:rPr>
          <w:rFonts w:ascii="Times New Roman" w:hAnsi="Times New Roman" w:cs="Times New Roman"/>
          <w:sz w:val="24"/>
          <w:szCs w:val="24"/>
          <w:lang w:bidi="lo-LA"/>
        </w:rPr>
        <w:t>2017.gadā tika uzsāktas reformas veselības aprūpes pakalpojumu pieejamības uzlabošanai, kas atbilstoši pasākumu izpildei uz 2017.gada 1.jūliju ir devušas tūlītēju rezultātu.</w:t>
      </w:r>
      <w:r w:rsidR="00FF4D3B" w:rsidRPr="00847710">
        <w:rPr>
          <w:rFonts w:ascii="Times New Roman" w:hAnsi="Times New Roman" w:cs="Times New Roman"/>
          <w:sz w:val="24"/>
          <w:szCs w:val="24"/>
          <w:lang w:bidi="lo-LA"/>
        </w:rPr>
        <w:t xml:space="preserve"> </w:t>
      </w:r>
      <w:r w:rsidR="00EC5913" w:rsidRPr="00847710">
        <w:rPr>
          <w:rFonts w:ascii="Times New Roman" w:hAnsi="Times New Roman" w:cs="Times New Roman"/>
          <w:sz w:val="24"/>
          <w:szCs w:val="24"/>
        </w:rPr>
        <w:t xml:space="preserve">Kopā ambulatoro pakalpojumu skaita pieaugums plānots 730 822 pacientiem, tādējādi nodrošinot pakalpojumu apjoma pieaugumu 13,9% apmērā, kas veido 25% rindas samazinājumu. </w:t>
      </w:r>
      <w:r w:rsidR="00FF4D3B" w:rsidRPr="00847710">
        <w:rPr>
          <w:rFonts w:ascii="Times New Roman" w:hAnsi="Times New Roman" w:cs="Times New Roman"/>
          <w:sz w:val="24"/>
          <w:szCs w:val="24"/>
          <w:lang w:bidi="lo-LA"/>
        </w:rPr>
        <w:t>A</w:t>
      </w:r>
      <w:r w:rsidRPr="00847710">
        <w:rPr>
          <w:rFonts w:ascii="Times New Roman" w:hAnsi="Times New Roman" w:cs="Times New Roman"/>
          <w:sz w:val="24"/>
          <w:szCs w:val="24"/>
          <w:lang w:bidi="lo-LA"/>
        </w:rPr>
        <w:t xml:space="preserve">r papildus </w:t>
      </w:r>
      <w:r w:rsidR="00FF4D3B" w:rsidRPr="00847710">
        <w:rPr>
          <w:rFonts w:ascii="Times New Roman" w:hAnsi="Times New Roman" w:cs="Times New Roman"/>
          <w:sz w:val="24"/>
          <w:szCs w:val="24"/>
          <w:lang w:bidi="lo-LA"/>
        </w:rPr>
        <w:t xml:space="preserve">2017.gadā </w:t>
      </w:r>
      <w:r w:rsidRPr="00847710">
        <w:rPr>
          <w:rFonts w:ascii="Times New Roman" w:hAnsi="Times New Roman" w:cs="Times New Roman"/>
          <w:sz w:val="24"/>
          <w:szCs w:val="24"/>
          <w:lang w:bidi="lo-LA"/>
        </w:rPr>
        <w:t>piešķirto finansējumu 16 599 307 euro apmērā, ti</w:t>
      </w:r>
      <w:r w:rsidR="00467BA5" w:rsidRPr="00847710">
        <w:rPr>
          <w:rFonts w:ascii="Times New Roman" w:hAnsi="Times New Roman" w:cs="Times New Roman"/>
          <w:sz w:val="24"/>
          <w:szCs w:val="24"/>
          <w:lang w:bidi="lo-LA"/>
        </w:rPr>
        <w:t>ek</w:t>
      </w:r>
      <w:r w:rsidRPr="00847710">
        <w:rPr>
          <w:rFonts w:ascii="Times New Roman" w:hAnsi="Times New Roman" w:cs="Times New Roman"/>
          <w:sz w:val="24"/>
          <w:szCs w:val="24"/>
          <w:lang w:bidi="lo-LA"/>
        </w:rPr>
        <w:t xml:space="preserve"> nodrošinātas:</w:t>
      </w:r>
    </w:p>
    <w:p w14:paraId="4A793244" w14:textId="1F0780D0" w:rsidR="003D1B42" w:rsidRPr="00847710" w:rsidRDefault="00791EB1" w:rsidP="00E22F86">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p</w:t>
      </w:r>
      <w:r w:rsidR="003D1B42" w:rsidRPr="00847710">
        <w:rPr>
          <w:rFonts w:ascii="Times New Roman" w:hAnsi="Times New Roman"/>
          <w:sz w:val="24"/>
          <w:szCs w:val="24"/>
          <w:lang w:val="lv-LV"/>
        </w:rPr>
        <w:t>apildus 27</w:t>
      </w:r>
      <w:r w:rsidR="00106926" w:rsidRPr="00847710">
        <w:rPr>
          <w:rFonts w:ascii="Times New Roman" w:hAnsi="Times New Roman"/>
          <w:sz w:val="24"/>
          <w:szCs w:val="24"/>
          <w:lang w:val="lv-LV"/>
        </w:rPr>
        <w:t>0 246 speciālistu konsultācijas;</w:t>
      </w:r>
    </w:p>
    <w:p w14:paraId="268A2675" w14:textId="39965DCE" w:rsidR="003D1B42" w:rsidRPr="00847710" w:rsidRDefault="00791EB1" w:rsidP="00E22F86">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p</w:t>
      </w:r>
      <w:r w:rsidR="003D1B42" w:rsidRPr="00847710">
        <w:rPr>
          <w:rFonts w:ascii="Times New Roman" w:hAnsi="Times New Roman"/>
          <w:sz w:val="24"/>
          <w:szCs w:val="24"/>
          <w:lang w:val="lv-LV"/>
        </w:rPr>
        <w:t>apildus 328 076 ambulatorie izmeklējumi</w:t>
      </w:r>
      <w:r w:rsidR="00106926" w:rsidRPr="00847710">
        <w:rPr>
          <w:rFonts w:ascii="Times New Roman" w:hAnsi="Times New Roman"/>
          <w:sz w:val="24"/>
          <w:szCs w:val="24"/>
          <w:lang w:val="lv-LV"/>
        </w:rPr>
        <w:t>;</w:t>
      </w:r>
      <w:r w:rsidR="003D1B42" w:rsidRPr="00847710">
        <w:rPr>
          <w:rFonts w:ascii="Times New Roman" w:hAnsi="Times New Roman"/>
          <w:sz w:val="24"/>
          <w:szCs w:val="24"/>
          <w:lang w:val="lv-LV"/>
        </w:rPr>
        <w:t xml:space="preserve"> </w:t>
      </w:r>
    </w:p>
    <w:p w14:paraId="1CF2227C" w14:textId="0037F552" w:rsidR="003D1B42" w:rsidRPr="00847710" w:rsidRDefault="00791EB1" w:rsidP="00E22F86">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p</w:t>
      </w:r>
      <w:r w:rsidR="003D1B42" w:rsidRPr="00847710">
        <w:rPr>
          <w:rFonts w:ascii="Times New Roman" w:hAnsi="Times New Roman"/>
          <w:sz w:val="24"/>
          <w:szCs w:val="24"/>
          <w:lang w:val="lv-LV"/>
        </w:rPr>
        <w:t>apildus 62 472 dienas stacionāra pakalpojumi</w:t>
      </w:r>
      <w:r w:rsidR="00106926" w:rsidRPr="00847710">
        <w:rPr>
          <w:rFonts w:ascii="Times New Roman" w:hAnsi="Times New Roman"/>
          <w:sz w:val="24"/>
          <w:szCs w:val="24"/>
          <w:lang w:val="lv-LV"/>
        </w:rPr>
        <w:t>;</w:t>
      </w:r>
    </w:p>
    <w:p w14:paraId="1021A992" w14:textId="1F8C794B" w:rsidR="003D1B42" w:rsidRPr="00847710" w:rsidRDefault="00791EB1" w:rsidP="00E22F86">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p</w:t>
      </w:r>
      <w:r w:rsidR="003D1B42" w:rsidRPr="00847710">
        <w:rPr>
          <w:rFonts w:ascii="Times New Roman" w:hAnsi="Times New Roman"/>
          <w:sz w:val="24"/>
          <w:szCs w:val="24"/>
          <w:lang w:val="lv-LV"/>
        </w:rPr>
        <w:t>apildus 70 028 ambulatorās reh</w:t>
      </w:r>
      <w:r w:rsidR="00106926" w:rsidRPr="00847710">
        <w:rPr>
          <w:rFonts w:ascii="Times New Roman" w:hAnsi="Times New Roman"/>
          <w:sz w:val="24"/>
          <w:szCs w:val="24"/>
          <w:lang w:val="lv-LV"/>
        </w:rPr>
        <w:t>abilitācijas pakalpojumi;</w:t>
      </w:r>
    </w:p>
    <w:p w14:paraId="0767604F" w14:textId="77777777" w:rsidR="00EC5913" w:rsidRPr="00847710" w:rsidRDefault="00EC5913" w:rsidP="003D1B42">
      <w:pPr>
        <w:autoSpaceDE w:val="0"/>
        <w:autoSpaceDN w:val="0"/>
        <w:adjustRightInd w:val="0"/>
        <w:ind w:firstLine="720"/>
        <w:jc w:val="both"/>
        <w:rPr>
          <w:rFonts w:ascii="Times New Roman" w:hAnsi="Times New Roman" w:cs="Times New Roman"/>
          <w:sz w:val="24"/>
          <w:szCs w:val="24"/>
          <w:lang w:bidi="lo-LA"/>
        </w:rPr>
      </w:pPr>
      <w:r w:rsidRPr="00847710">
        <w:rPr>
          <w:rFonts w:ascii="Times New Roman" w:hAnsi="Times New Roman" w:cs="Times New Roman"/>
          <w:sz w:val="24"/>
          <w:szCs w:val="24"/>
          <w:lang w:bidi="lo-LA"/>
        </w:rPr>
        <w:t>Atbilstoši 2017.gada 1.pusgada faktiskajai izpildei:</w:t>
      </w:r>
    </w:p>
    <w:p w14:paraId="247DAEE7" w14:textId="5319EA54" w:rsidR="00EC5913" w:rsidRPr="00847710" w:rsidRDefault="00EC5913" w:rsidP="00E22F86">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speciālistu konsultāciju pieaugums īstenots 54% apmērā no gada plānotā konsultāciju pieauguma apjoma, vidēji samazinot rindu garumu uz speciālistu pakalpojumiem par 24,26 %;</w:t>
      </w:r>
    </w:p>
    <w:p w14:paraId="7D97A17A" w14:textId="243F8A7C" w:rsidR="00283CAE" w:rsidRPr="00847710" w:rsidRDefault="00EC5913" w:rsidP="00E22F86">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ambulatoro izmeklējumu un terapijas pieaugums īstenots 57 % apmērā no gada plānotā izmeklējumu un terapijas pieauguma apjoma, vidēji samazinot rindu garumu uz speciālistu pakalpojumiem par 12,35 %;</w:t>
      </w:r>
    </w:p>
    <w:p w14:paraId="0EB6BB6F" w14:textId="34B07517" w:rsidR="00EC5913" w:rsidRPr="00847710" w:rsidRDefault="00EC5913" w:rsidP="00E22F86">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valsts apmaksāto pakalpojumu apjoms dienas stacionārā īstenots 55,4 % apmērā no gada plānotā dienas stacionāra pieauguma apjoma, vidēji samazinot rindu garumu uz dienas stacionāra pakalpojumiem par 39,43 %;</w:t>
      </w:r>
    </w:p>
    <w:p w14:paraId="1C9816C6" w14:textId="47BF70AB" w:rsidR="00EC5913" w:rsidRPr="00847710" w:rsidRDefault="00EC5913" w:rsidP="00E22F86">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ambulatorās rehabilitācijas  pieaugums īstenots 55,1 % apmērā no gada plānotā pieauguma apjoma rehabilitācijā, vidēji samazinot rindu garumu uz speciālistu pakalpojumiem par 6 %.</w:t>
      </w:r>
    </w:p>
    <w:tbl>
      <w:tblPr>
        <w:tblStyle w:val="TableGrid"/>
        <w:tblW w:w="0" w:type="auto"/>
        <w:tblLook w:val="04A0" w:firstRow="1" w:lastRow="0" w:firstColumn="1" w:lastColumn="0" w:noHBand="0" w:noVBand="1"/>
      </w:tblPr>
      <w:tblGrid>
        <w:gridCol w:w="9089"/>
      </w:tblGrid>
      <w:tr w:rsidR="00D03600" w:rsidRPr="00847710" w14:paraId="26F7A3B1" w14:textId="77777777" w:rsidTr="57326167">
        <w:tc>
          <w:tcPr>
            <w:tcW w:w="9089" w:type="dxa"/>
          </w:tcPr>
          <w:p w14:paraId="0E8F352C" w14:textId="69938EDD" w:rsidR="00D03600" w:rsidRPr="00847710" w:rsidRDefault="00D03600" w:rsidP="00EC4207">
            <w:pPr>
              <w:autoSpaceDE w:val="0"/>
              <w:autoSpaceDN w:val="0"/>
              <w:adjustRightInd w:val="0"/>
              <w:spacing w:after="120"/>
              <w:ind w:firstLine="720"/>
              <w:jc w:val="both"/>
              <w:rPr>
                <w:rFonts w:ascii="Times New Roman" w:hAnsi="Times New Roman"/>
                <w:sz w:val="24"/>
                <w:szCs w:val="24"/>
              </w:rPr>
            </w:pPr>
            <w:r w:rsidRPr="0012317D">
              <w:rPr>
                <w:rFonts w:ascii="Times New Roman" w:hAnsi="Times New Roman"/>
                <w:b/>
                <w:bCs/>
                <w:sz w:val="24"/>
                <w:szCs w:val="24"/>
              </w:rPr>
              <w:t xml:space="preserve">Līdz ar to secināms, ka uzsāktās reformas 2017.gada 1.pusgadā ir sasniegušas mērķi un, lai sekmīgi turpinātu uzsāktās intervences pakalpojumu pieejamības jomā un nodrošinātu, ka līdz 2019.gada beigām rindu apjoms ambulatorā aprūpē samazinās par 50%, nepieciešams papildus pakalpojumu apjoma pieaugums 2018. gadā. </w:t>
            </w:r>
          </w:p>
        </w:tc>
      </w:tr>
    </w:tbl>
    <w:p w14:paraId="1098CDCB" w14:textId="63AAA67F" w:rsidR="00E469B4" w:rsidRPr="00847710" w:rsidRDefault="00E469B4" w:rsidP="00EC4207">
      <w:pPr>
        <w:autoSpaceDE w:val="0"/>
        <w:autoSpaceDN w:val="0"/>
        <w:adjustRightInd w:val="0"/>
        <w:spacing w:after="120"/>
        <w:ind w:firstLine="720"/>
        <w:jc w:val="both"/>
        <w:rPr>
          <w:rFonts w:ascii="Times New Roman" w:hAnsi="Times New Roman" w:cs="Times New Roman"/>
          <w:sz w:val="24"/>
          <w:szCs w:val="24"/>
        </w:rPr>
      </w:pPr>
    </w:p>
    <w:p w14:paraId="2C248304" w14:textId="77777777" w:rsidR="006D3E55" w:rsidRPr="00847710" w:rsidRDefault="006D3E55">
      <w:pPr>
        <w:rPr>
          <w:rFonts w:ascii="Times New Roman" w:eastAsia="Calibri" w:hAnsi="Times New Roman" w:cs="Times New Roman"/>
          <w:i/>
          <w:sz w:val="24"/>
          <w:szCs w:val="24"/>
        </w:rPr>
      </w:pPr>
      <w:r w:rsidRPr="00847710">
        <w:rPr>
          <w:rFonts w:ascii="Times New Roman" w:hAnsi="Times New Roman"/>
          <w:i/>
          <w:sz w:val="24"/>
          <w:szCs w:val="24"/>
        </w:rPr>
        <w:br w:type="page"/>
      </w:r>
    </w:p>
    <w:p w14:paraId="79E925AE" w14:textId="0D590BC0" w:rsidR="00DD54E1" w:rsidRPr="00847710" w:rsidRDefault="0020102F" w:rsidP="00DD54E1">
      <w:pPr>
        <w:pStyle w:val="ListParagraph"/>
        <w:spacing w:after="0" w:line="240" w:lineRule="auto"/>
        <w:ind w:left="357"/>
        <w:jc w:val="right"/>
        <w:rPr>
          <w:rFonts w:ascii="Times New Roman" w:hAnsi="Times New Roman"/>
          <w:sz w:val="24"/>
          <w:szCs w:val="24"/>
          <w:lang w:val="lv-LV"/>
        </w:rPr>
      </w:pPr>
      <w:r w:rsidRPr="57326167">
        <w:rPr>
          <w:rFonts w:ascii="Times New Roman" w:hAnsi="Times New Roman"/>
          <w:i/>
          <w:iCs/>
          <w:sz w:val="24"/>
          <w:szCs w:val="24"/>
          <w:lang w:val="lv-LV"/>
        </w:rPr>
        <w:lastRenderedPageBreak/>
        <w:t>2</w:t>
      </w:r>
      <w:r w:rsidR="00DD54E1" w:rsidRPr="00847710">
        <w:rPr>
          <w:rFonts w:ascii="Times New Roman" w:hAnsi="Times New Roman"/>
          <w:sz w:val="24"/>
          <w:szCs w:val="24"/>
          <w:lang w:val="lv-LV"/>
        </w:rPr>
        <w:t>.</w:t>
      </w:r>
      <w:r w:rsidR="00DD54E1" w:rsidRPr="57326167">
        <w:rPr>
          <w:rFonts w:ascii="Times New Roman" w:hAnsi="Times New Roman"/>
          <w:i/>
          <w:iCs/>
          <w:sz w:val="24"/>
          <w:szCs w:val="24"/>
          <w:lang w:val="lv-LV"/>
        </w:rPr>
        <w:t>tabula</w:t>
      </w:r>
    </w:p>
    <w:p w14:paraId="4809366A" w14:textId="77777777" w:rsidR="008F3558" w:rsidRPr="00847710" w:rsidRDefault="008F3558" w:rsidP="008F3558">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Sekundārajā ambulatorajā veselības aprūpē plānotais pakalpojuma skaits</w:t>
      </w:r>
    </w:p>
    <w:p w14:paraId="3A2ED4DB" w14:textId="77777777" w:rsidR="00DD54E1" w:rsidRPr="00847710" w:rsidRDefault="00DD54E1" w:rsidP="00DD54E1">
      <w:pPr>
        <w:pStyle w:val="ListParagraph"/>
        <w:spacing w:after="0" w:line="240" w:lineRule="auto"/>
        <w:ind w:left="357"/>
        <w:jc w:val="center"/>
        <w:rPr>
          <w:rFonts w:ascii="Times New Roman" w:hAnsi="Times New Roman"/>
          <w:b/>
          <w:sz w:val="24"/>
          <w:szCs w:val="24"/>
          <w:lang w:val="lv-LV"/>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840"/>
        <w:gridCol w:w="999"/>
        <w:gridCol w:w="1513"/>
        <w:gridCol w:w="1735"/>
      </w:tblGrid>
      <w:tr w:rsidR="00DD54E1" w:rsidRPr="00847710" w14:paraId="39D8FBCC" w14:textId="77777777" w:rsidTr="00C002BE">
        <w:trPr>
          <w:cantSplit/>
          <w:trHeight w:val="1882"/>
          <w:jc w:val="center"/>
        </w:trPr>
        <w:tc>
          <w:tcPr>
            <w:tcW w:w="421" w:type="dxa"/>
            <w:shd w:val="clear" w:color="auto" w:fill="E36C0A" w:themeFill="accent6" w:themeFillShade="BF"/>
            <w:vAlign w:val="center"/>
            <w:hideMark/>
          </w:tcPr>
          <w:p w14:paraId="31A8B193" w14:textId="77777777" w:rsidR="00DD54E1" w:rsidRPr="00847710" w:rsidRDefault="00DD54E1" w:rsidP="00C01ED4">
            <w:pPr>
              <w:spacing w:after="0" w:line="240" w:lineRule="auto"/>
              <w:rPr>
                <w:rFonts w:ascii="Times New Roman" w:eastAsia="Times New Roman" w:hAnsi="Times New Roman" w:cs="Times New Roman"/>
                <w:b/>
                <w:bCs/>
                <w:sz w:val="20"/>
                <w:szCs w:val="20"/>
                <w:lang w:eastAsia="lv-LV"/>
              </w:rPr>
            </w:pPr>
          </w:p>
        </w:tc>
        <w:tc>
          <w:tcPr>
            <w:tcW w:w="2840" w:type="dxa"/>
            <w:shd w:val="clear" w:color="auto" w:fill="E36C0A" w:themeFill="accent6" w:themeFillShade="BF"/>
            <w:textDirection w:val="btLr"/>
            <w:vAlign w:val="center"/>
            <w:hideMark/>
          </w:tcPr>
          <w:p w14:paraId="2FB1185D" w14:textId="77777777" w:rsidR="00DD54E1" w:rsidRPr="00847710" w:rsidRDefault="00DD54E1" w:rsidP="00C01ED4">
            <w:pPr>
              <w:spacing w:after="0" w:line="240" w:lineRule="auto"/>
              <w:ind w:left="113" w:right="113"/>
              <w:jc w:val="center"/>
              <w:rPr>
                <w:rFonts w:ascii="Times New Roman" w:eastAsia="Times New Roman" w:hAnsi="Times New Roman" w:cs="Times New Roman"/>
                <w:b/>
                <w:bCs/>
                <w:sz w:val="20"/>
                <w:szCs w:val="20"/>
                <w:lang w:eastAsia="lv-LV"/>
              </w:rPr>
            </w:pPr>
          </w:p>
        </w:tc>
        <w:tc>
          <w:tcPr>
            <w:tcW w:w="999" w:type="dxa"/>
            <w:shd w:val="clear" w:color="auto" w:fill="E36C0A" w:themeFill="accent6" w:themeFillShade="BF"/>
            <w:textDirection w:val="btLr"/>
            <w:vAlign w:val="center"/>
            <w:hideMark/>
          </w:tcPr>
          <w:p w14:paraId="380077F6" w14:textId="76DA7241" w:rsidR="00DD54E1" w:rsidRPr="00847710" w:rsidRDefault="00DD54E1"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 pakalpojuma vidējās izmaksas</w:t>
            </w:r>
            <w:r w:rsidR="00453471" w:rsidRPr="00847710">
              <w:rPr>
                <w:rFonts w:ascii="Times New Roman" w:eastAsia="Times New Roman" w:hAnsi="Times New Roman" w:cs="Times New Roman"/>
                <w:b/>
                <w:bCs/>
                <w:sz w:val="20"/>
                <w:szCs w:val="20"/>
                <w:lang w:eastAsia="lv-LV"/>
              </w:rPr>
              <w:t xml:space="preserve"> *</w:t>
            </w:r>
            <w:r w:rsidRPr="00847710">
              <w:rPr>
                <w:rFonts w:ascii="Times New Roman" w:eastAsia="Times New Roman" w:hAnsi="Times New Roman" w:cs="Times New Roman"/>
                <w:b/>
                <w:bCs/>
                <w:sz w:val="20"/>
                <w:szCs w:val="20"/>
                <w:lang w:eastAsia="lv-LV"/>
              </w:rPr>
              <w:t xml:space="preserve"> </w:t>
            </w:r>
          </w:p>
        </w:tc>
        <w:tc>
          <w:tcPr>
            <w:tcW w:w="1513" w:type="dxa"/>
            <w:shd w:val="clear" w:color="auto" w:fill="E36C0A" w:themeFill="accent6" w:themeFillShade="BF"/>
            <w:textDirection w:val="btLr"/>
            <w:vAlign w:val="center"/>
          </w:tcPr>
          <w:p w14:paraId="0506D97C" w14:textId="77777777" w:rsidR="00DD54E1" w:rsidRPr="00847710" w:rsidRDefault="00DD54E1"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Papildus piešķiramais finansējums</w:t>
            </w:r>
          </w:p>
          <w:p w14:paraId="72D2179A" w14:textId="77777777" w:rsidR="00DD54E1" w:rsidRPr="00847710" w:rsidRDefault="00DD54E1" w:rsidP="00C01ED4">
            <w:pPr>
              <w:spacing w:after="0" w:line="240" w:lineRule="auto"/>
              <w:ind w:left="113" w:right="113"/>
              <w:jc w:val="center"/>
              <w:rPr>
                <w:rFonts w:ascii="Times New Roman" w:eastAsia="Times New Roman" w:hAnsi="Times New Roman" w:cs="Times New Roman"/>
                <w:b/>
                <w:bCs/>
                <w:sz w:val="20"/>
                <w:szCs w:val="20"/>
                <w:lang w:eastAsia="lv-LV"/>
              </w:rPr>
            </w:pPr>
          </w:p>
        </w:tc>
        <w:tc>
          <w:tcPr>
            <w:tcW w:w="1735" w:type="dxa"/>
            <w:shd w:val="clear" w:color="auto" w:fill="E36C0A" w:themeFill="accent6" w:themeFillShade="BF"/>
            <w:textDirection w:val="btLr"/>
            <w:vAlign w:val="center"/>
          </w:tcPr>
          <w:p w14:paraId="00E05993" w14:textId="77777777" w:rsidR="00DD54E1" w:rsidRPr="00847710" w:rsidRDefault="00DD54E1"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r>
      <w:tr w:rsidR="00FA3F3C" w:rsidRPr="00847710" w14:paraId="2DC4CB26" w14:textId="77777777" w:rsidTr="00C002BE">
        <w:trPr>
          <w:trHeight w:val="505"/>
          <w:jc w:val="center"/>
        </w:trPr>
        <w:tc>
          <w:tcPr>
            <w:tcW w:w="42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54409F12" w14:textId="77777777" w:rsidR="00DD54E1" w:rsidRPr="00847710" w:rsidRDefault="00DD54E1" w:rsidP="00C01ED4">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E23524D" w14:textId="77777777" w:rsidR="00DD54E1" w:rsidRPr="00847710" w:rsidRDefault="00DD54E1" w:rsidP="00C01ED4">
            <w:pPr>
              <w:spacing w:after="0" w:line="240" w:lineRule="auto"/>
              <w:jc w:val="center"/>
              <w:rPr>
                <w:rFonts w:ascii="Times New Roman" w:eastAsia="Times New Roman" w:hAnsi="Times New Roman" w:cs="Times New Roman"/>
                <w:color w:val="000000"/>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3C1928DE" w14:textId="77777777" w:rsidR="00DD54E1" w:rsidRPr="00C002BE" w:rsidRDefault="00DD54E1" w:rsidP="00C002BE">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51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C419EC5" w14:textId="77777777" w:rsidR="00DD54E1" w:rsidRPr="00C002BE" w:rsidRDefault="00DD54E1" w:rsidP="00C002BE">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2018</w:t>
            </w:r>
          </w:p>
          <w:p w14:paraId="6C74C866" w14:textId="77777777" w:rsidR="00DD54E1" w:rsidRPr="00C002BE" w:rsidRDefault="00DD54E1" w:rsidP="00C002BE">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7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38F347" w14:textId="77777777" w:rsidR="00DD54E1" w:rsidRPr="00847710" w:rsidRDefault="00DD54E1" w:rsidP="00C01ED4">
            <w:pPr>
              <w:spacing w:after="0" w:line="240" w:lineRule="auto"/>
              <w:jc w:val="center"/>
              <w:rPr>
                <w:rFonts w:ascii="Times New Roman" w:eastAsia="Times New Roman" w:hAnsi="Times New Roman" w:cs="Times New Roman"/>
                <w:b/>
                <w:sz w:val="20"/>
                <w:szCs w:val="20"/>
                <w:lang w:eastAsia="lv-LV"/>
              </w:rPr>
            </w:pPr>
          </w:p>
          <w:p w14:paraId="3ED9DF4F" w14:textId="77777777" w:rsidR="00DD54E1" w:rsidRPr="00C002BE" w:rsidRDefault="00DD54E1" w:rsidP="00C002BE">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2018</w:t>
            </w:r>
          </w:p>
          <w:p w14:paraId="47589E7C" w14:textId="77777777" w:rsidR="00DD54E1" w:rsidRPr="00847710" w:rsidRDefault="00DD54E1" w:rsidP="00C01ED4">
            <w:pPr>
              <w:spacing w:after="0" w:line="240" w:lineRule="auto"/>
              <w:jc w:val="center"/>
              <w:rPr>
                <w:rFonts w:ascii="Times New Roman" w:eastAsia="Times New Roman" w:hAnsi="Times New Roman" w:cs="Times New Roman"/>
                <w:b/>
                <w:sz w:val="20"/>
                <w:szCs w:val="20"/>
                <w:lang w:eastAsia="lv-LV"/>
              </w:rPr>
            </w:pPr>
          </w:p>
        </w:tc>
      </w:tr>
      <w:tr w:rsidR="003551A1" w:rsidRPr="00847710" w14:paraId="11BBBE48" w14:textId="77777777" w:rsidTr="00C002BE">
        <w:trPr>
          <w:trHeight w:val="27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22AF2" w14:textId="77777777" w:rsidR="003551A1" w:rsidRPr="00847710" w:rsidRDefault="003551A1"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268451" w14:textId="34F1E44E" w:rsidR="003551A1" w:rsidRPr="00847710" w:rsidRDefault="003551A1"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Speciālistu konsultācijas</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F01BF" w14:textId="725065BE" w:rsidR="003551A1" w:rsidRPr="00847710" w:rsidRDefault="00BF5880"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12,53</w:t>
            </w:r>
          </w:p>
        </w:tc>
        <w:tc>
          <w:tcPr>
            <w:tcW w:w="1513" w:type="dxa"/>
            <w:tcBorders>
              <w:top w:val="single" w:sz="4" w:space="0" w:color="auto"/>
              <w:left w:val="single" w:sz="4" w:space="0" w:color="auto"/>
              <w:bottom w:val="single" w:sz="4" w:space="0" w:color="auto"/>
              <w:right w:val="single" w:sz="4" w:space="0" w:color="auto"/>
            </w:tcBorders>
            <w:vAlign w:val="bottom"/>
          </w:tcPr>
          <w:p w14:paraId="27E2F2ED" w14:textId="0EF5E0DF" w:rsidR="003551A1" w:rsidRPr="00C002BE" w:rsidRDefault="003551A1" w:rsidP="00C002BE">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eastAsia="Times New Roman" w:hAnsi="Times New Roman" w:cs="Times New Roman"/>
                <w:sz w:val="20"/>
                <w:szCs w:val="20"/>
                <w:lang w:eastAsia="lv-LV"/>
              </w:rPr>
              <w:t>3 386 18</w:t>
            </w:r>
            <w:r w:rsidR="00BF5880" w:rsidRPr="00847710">
              <w:rPr>
                <w:rFonts w:ascii="Times New Roman" w:eastAsia="Times New Roman" w:hAnsi="Times New Roman" w:cs="Times New Roman"/>
                <w:sz w:val="20"/>
                <w:szCs w:val="20"/>
                <w:lang w:eastAsia="lv-LV"/>
              </w:rPr>
              <w:t>2</w:t>
            </w:r>
          </w:p>
        </w:tc>
        <w:tc>
          <w:tcPr>
            <w:tcW w:w="1735" w:type="dxa"/>
            <w:tcBorders>
              <w:top w:val="single" w:sz="4" w:space="0" w:color="auto"/>
              <w:left w:val="single" w:sz="4" w:space="0" w:color="auto"/>
              <w:bottom w:val="single" w:sz="4" w:space="0" w:color="auto"/>
              <w:right w:val="single" w:sz="4" w:space="0" w:color="auto"/>
            </w:tcBorders>
            <w:vAlign w:val="bottom"/>
          </w:tcPr>
          <w:p w14:paraId="488E2F5C" w14:textId="6A61F2A6" w:rsidR="003551A1" w:rsidRPr="00847710" w:rsidRDefault="003551A1"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270 246</w:t>
            </w:r>
          </w:p>
        </w:tc>
      </w:tr>
      <w:tr w:rsidR="003551A1" w:rsidRPr="00847710" w14:paraId="71B99550" w14:textId="77777777" w:rsidTr="00C002BE">
        <w:trPr>
          <w:trHeight w:val="411"/>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F8C2C" w14:textId="77777777" w:rsidR="003551A1" w:rsidRPr="00847710" w:rsidRDefault="003551A1"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160C8" w14:textId="0B06B075" w:rsidR="003551A1" w:rsidRPr="00847710" w:rsidRDefault="003551A1"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Ambulatorie izmeklējumi un terapija</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AA89C" w14:textId="73657E63" w:rsidR="003551A1" w:rsidRPr="00847710" w:rsidRDefault="003551A1"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22,9</w:t>
            </w:r>
            <w:r w:rsidR="00BF5880" w:rsidRPr="00847710">
              <w:rPr>
                <w:rFonts w:ascii="Times New Roman" w:eastAsia="Times New Roman" w:hAnsi="Times New Roman" w:cs="Times New Roman"/>
                <w:sz w:val="20"/>
                <w:szCs w:val="20"/>
                <w:lang w:eastAsia="lv-LV"/>
              </w:rPr>
              <w:t>9</w:t>
            </w:r>
          </w:p>
        </w:tc>
        <w:tc>
          <w:tcPr>
            <w:tcW w:w="1513" w:type="dxa"/>
            <w:tcBorders>
              <w:top w:val="single" w:sz="4" w:space="0" w:color="auto"/>
              <w:left w:val="single" w:sz="4" w:space="0" w:color="auto"/>
              <w:bottom w:val="single" w:sz="4" w:space="0" w:color="auto"/>
              <w:right w:val="single" w:sz="4" w:space="0" w:color="auto"/>
            </w:tcBorders>
            <w:vAlign w:val="bottom"/>
          </w:tcPr>
          <w:p w14:paraId="180314E2" w14:textId="032CA724" w:rsidR="003551A1" w:rsidRPr="00C002BE" w:rsidRDefault="003551A1" w:rsidP="00C002BE">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eastAsia="Times New Roman" w:hAnsi="Times New Roman" w:cs="Times New Roman"/>
                <w:sz w:val="20"/>
                <w:szCs w:val="20"/>
                <w:lang w:eastAsia="lv-LV"/>
              </w:rPr>
              <w:t>7 54</w:t>
            </w:r>
            <w:r w:rsidR="00BF5880" w:rsidRPr="00847710">
              <w:rPr>
                <w:rFonts w:ascii="Times New Roman" w:eastAsia="Times New Roman" w:hAnsi="Times New Roman" w:cs="Times New Roman"/>
                <w:sz w:val="20"/>
                <w:szCs w:val="20"/>
                <w:lang w:eastAsia="lv-LV"/>
              </w:rPr>
              <w:t>2</w:t>
            </w:r>
            <w:r w:rsidRPr="00847710">
              <w:rPr>
                <w:rFonts w:ascii="Times New Roman" w:eastAsia="Times New Roman" w:hAnsi="Times New Roman" w:cs="Times New Roman"/>
                <w:sz w:val="20"/>
                <w:szCs w:val="20"/>
                <w:lang w:eastAsia="lv-LV"/>
              </w:rPr>
              <w:t xml:space="preserve"> </w:t>
            </w:r>
            <w:r w:rsidR="00BF5880" w:rsidRPr="00847710">
              <w:rPr>
                <w:rFonts w:ascii="Times New Roman" w:eastAsia="Times New Roman" w:hAnsi="Times New Roman" w:cs="Times New Roman"/>
                <w:sz w:val="20"/>
                <w:szCs w:val="20"/>
                <w:lang w:eastAsia="lv-LV"/>
              </w:rPr>
              <w:t>467</w:t>
            </w:r>
          </w:p>
        </w:tc>
        <w:tc>
          <w:tcPr>
            <w:tcW w:w="1735" w:type="dxa"/>
            <w:tcBorders>
              <w:top w:val="single" w:sz="4" w:space="0" w:color="auto"/>
              <w:left w:val="single" w:sz="4" w:space="0" w:color="auto"/>
              <w:bottom w:val="single" w:sz="4" w:space="0" w:color="auto"/>
              <w:right w:val="single" w:sz="4" w:space="0" w:color="auto"/>
            </w:tcBorders>
            <w:vAlign w:val="bottom"/>
          </w:tcPr>
          <w:p w14:paraId="4944DC05" w14:textId="7F2760F3" w:rsidR="003551A1" w:rsidRPr="00847710" w:rsidRDefault="003551A1"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328 076</w:t>
            </w:r>
          </w:p>
        </w:tc>
      </w:tr>
      <w:tr w:rsidR="003551A1" w:rsidRPr="00847710" w14:paraId="59AF9D81" w14:textId="77777777" w:rsidTr="00C002BE">
        <w:trPr>
          <w:trHeight w:val="41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214AC" w14:textId="77777777" w:rsidR="003551A1" w:rsidRPr="00847710" w:rsidRDefault="003551A1"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3.</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FFF902" w14:textId="7073717B" w:rsidR="003551A1" w:rsidRPr="00847710" w:rsidRDefault="003551A1"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Dienas stacionārā sniegtie pakalpojumi</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07235" w14:textId="3DA5BAD5" w:rsidR="003551A1" w:rsidRPr="00847710" w:rsidRDefault="003551A1" w:rsidP="003551A1">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82,6</w:t>
            </w:r>
            <w:r w:rsidR="00BF5880" w:rsidRPr="00847710">
              <w:rPr>
                <w:rFonts w:ascii="Times New Roman" w:eastAsia="Times New Roman" w:hAnsi="Times New Roman" w:cs="Times New Roman"/>
                <w:sz w:val="20"/>
                <w:szCs w:val="20"/>
                <w:lang w:eastAsia="lv-LV"/>
              </w:rPr>
              <w:t>5</w:t>
            </w:r>
          </w:p>
        </w:tc>
        <w:tc>
          <w:tcPr>
            <w:tcW w:w="1513" w:type="dxa"/>
            <w:tcBorders>
              <w:top w:val="single" w:sz="4" w:space="0" w:color="auto"/>
              <w:left w:val="single" w:sz="4" w:space="0" w:color="auto"/>
              <w:bottom w:val="single" w:sz="4" w:space="0" w:color="auto"/>
              <w:right w:val="single" w:sz="4" w:space="0" w:color="auto"/>
            </w:tcBorders>
            <w:vAlign w:val="bottom"/>
          </w:tcPr>
          <w:p w14:paraId="3E2A22BC" w14:textId="15CDC487" w:rsidR="003551A1" w:rsidRPr="00C002BE" w:rsidRDefault="003551A1" w:rsidP="00C002BE">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eastAsia="Times New Roman" w:hAnsi="Times New Roman" w:cs="Times New Roman"/>
                <w:sz w:val="20"/>
                <w:szCs w:val="20"/>
                <w:lang w:eastAsia="lv-LV"/>
              </w:rPr>
              <w:t xml:space="preserve">5 163 </w:t>
            </w:r>
            <w:r w:rsidR="00BF5880" w:rsidRPr="00847710">
              <w:rPr>
                <w:rFonts w:ascii="Times New Roman" w:eastAsia="Times New Roman" w:hAnsi="Times New Roman" w:cs="Times New Roman"/>
                <w:sz w:val="20"/>
                <w:szCs w:val="20"/>
                <w:lang w:eastAsia="lv-LV"/>
              </w:rPr>
              <w:t>311</w:t>
            </w:r>
          </w:p>
        </w:tc>
        <w:tc>
          <w:tcPr>
            <w:tcW w:w="1735" w:type="dxa"/>
            <w:tcBorders>
              <w:top w:val="single" w:sz="4" w:space="0" w:color="auto"/>
              <w:left w:val="single" w:sz="4" w:space="0" w:color="auto"/>
              <w:bottom w:val="single" w:sz="4" w:space="0" w:color="auto"/>
              <w:right w:val="single" w:sz="4" w:space="0" w:color="auto"/>
            </w:tcBorders>
            <w:vAlign w:val="bottom"/>
          </w:tcPr>
          <w:p w14:paraId="71836B13" w14:textId="5A09FC23" w:rsidR="003551A1" w:rsidRPr="00847710" w:rsidRDefault="003551A1"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62 472</w:t>
            </w:r>
          </w:p>
        </w:tc>
      </w:tr>
      <w:tr w:rsidR="003551A1" w:rsidRPr="00847710" w14:paraId="1E18E5F1" w14:textId="77777777" w:rsidTr="00C002BE">
        <w:trPr>
          <w:trHeight w:val="271"/>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A4364" w14:textId="77777777" w:rsidR="003551A1" w:rsidRPr="00847710" w:rsidRDefault="003551A1"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4.</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831E3" w14:textId="7D32F46D" w:rsidR="003551A1" w:rsidRPr="00847710" w:rsidRDefault="003551A1"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Ambulatorā rehabilitācija</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EB425" w14:textId="4C710148" w:rsidR="003551A1" w:rsidRPr="00847710" w:rsidRDefault="003551A1" w:rsidP="003551A1">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7,26</w:t>
            </w:r>
          </w:p>
        </w:tc>
        <w:tc>
          <w:tcPr>
            <w:tcW w:w="1513" w:type="dxa"/>
            <w:tcBorders>
              <w:top w:val="single" w:sz="4" w:space="0" w:color="auto"/>
              <w:left w:val="single" w:sz="4" w:space="0" w:color="auto"/>
              <w:bottom w:val="single" w:sz="4" w:space="0" w:color="auto"/>
              <w:right w:val="single" w:sz="4" w:space="0" w:color="auto"/>
            </w:tcBorders>
            <w:vAlign w:val="bottom"/>
          </w:tcPr>
          <w:p w14:paraId="73B1D1D2" w14:textId="0465B0A6" w:rsidR="003551A1" w:rsidRPr="00812901" w:rsidRDefault="003551A1" w:rsidP="00C002BE">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eastAsia="Times New Roman" w:hAnsi="Times New Roman" w:cs="Times New Roman"/>
                <w:sz w:val="20"/>
                <w:szCs w:val="20"/>
                <w:lang w:eastAsia="lv-LV"/>
              </w:rPr>
              <w:t>508 4</w:t>
            </w:r>
            <w:r w:rsidR="00BF5880" w:rsidRPr="00847710">
              <w:rPr>
                <w:rFonts w:ascii="Times New Roman" w:eastAsia="Times New Roman" w:hAnsi="Times New Roman" w:cs="Times New Roman"/>
                <w:sz w:val="20"/>
                <w:szCs w:val="20"/>
                <w:lang w:eastAsia="lv-LV"/>
              </w:rPr>
              <w:t>03</w:t>
            </w:r>
          </w:p>
        </w:tc>
        <w:tc>
          <w:tcPr>
            <w:tcW w:w="1735" w:type="dxa"/>
            <w:tcBorders>
              <w:top w:val="single" w:sz="4" w:space="0" w:color="auto"/>
              <w:left w:val="single" w:sz="4" w:space="0" w:color="auto"/>
              <w:bottom w:val="single" w:sz="4" w:space="0" w:color="auto"/>
              <w:right w:val="single" w:sz="4" w:space="0" w:color="auto"/>
            </w:tcBorders>
            <w:vAlign w:val="bottom"/>
          </w:tcPr>
          <w:p w14:paraId="07CB5217" w14:textId="503682BE" w:rsidR="003551A1" w:rsidRPr="00847710" w:rsidRDefault="003551A1"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70 028</w:t>
            </w:r>
          </w:p>
        </w:tc>
      </w:tr>
      <w:tr w:rsidR="00FA3F3C" w:rsidRPr="00847710" w14:paraId="4F115E04" w14:textId="77777777" w:rsidTr="00C002BE">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48A347A8" w14:textId="77777777" w:rsidR="003551A1" w:rsidRPr="00847710" w:rsidRDefault="003551A1" w:rsidP="003551A1">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3B00C3B6" w14:textId="77777777" w:rsidR="003551A1" w:rsidRPr="00543703" w:rsidRDefault="003551A1">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999"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2760E221" w14:textId="77777777" w:rsidR="003551A1" w:rsidRPr="00847710" w:rsidRDefault="003551A1" w:rsidP="003551A1">
            <w:pPr>
              <w:spacing w:after="0" w:line="240" w:lineRule="auto"/>
              <w:jc w:val="center"/>
              <w:rPr>
                <w:rFonts w:ascii="Times New Roman" w:eastAsia="Times New Roman" w:hAnsi="Times New Roman" w:cs="Times New Roman"/>
                <w:b/>
                <w:sz w:val="20"/>
                <w:szCs w:val="20"/>
                <w:lang w:eastAsia="lv-LV"/>
              </w:rPr>
            </w:pPr>
          </w:p>
        </w:tc>
        <w:tc>
          <w:tcPr>
            <w:tcW w:w="1513" w:type="dxa"/>
            <w:tcBorders>
              <w:top w:val="single" w:sz="4" w:space="0" w:color="auto"/>
              <w:left w:val="single" w:sz="4" w:space="0" w:color="auto"/>
              <w:bottom w:val="single" w:sz="4" w:space="0" w:color="auto"/>
              <w:right w:val="single" w:sz="4" w:space="0" w:color="auto"/>
            </w:tcBorders>
            <w:shd w:val="clear" w:color="auto" w:fill="FCD5B4"/>
            <w:vAlign w:val="bottom"/>
          </w:tcPr>
          <w:p w14:paraId="4ACFCAA1" w14:textId="0E57DD78" w:rsidR="003551A1" w:rsidRPr="00C002BE" w:rsidRDefault="003551A1">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sz w:val="20"/>
                <w:szCs w:val="20"/>
                <w:lang w:eastAsia="lv-LV"/>
              </w:rPr>
              <w:t xml:space="preserve">16 </w:t>
            </w:r>
            <w:r w:rsidR="00BF5880" w:rsidRPr="0012317D">
              <w:rPr>
                <w:rFonts w:ascii="Times New Roman" w:eastAsia="Times New Roman" w:hAnsi="Times New Roman" w:cs="Times New Roman"/>
                <w:b/>
                <w:bCs/>
                <w:sz w:val="20"/>
                <w:szCs w:val="20"/>
                <w:lang w:eastAsia="lv-LV"/>
              </w:rPr>
              <w:t>600</w:t>
            </w:r>
            <w:r w:rsidRPr="0012317D">
              <w:rPr>
                <w:rFonts w:ascii="Times New Roman" w:eastAsia="Times New Roman" w:hAnsi="Times New Roman" w:cs="Times New Roman"/>
                <w:b/>
                <w:bCs/>
                <w:sz w:val="20"/>
                <w:szCs w:val="20"/>
                <w:lang w:eastAsia="lv-LV"/>
              </w:rPr>
              <w:t xml:space="preserve"> </w:t>
            </w:r>
            <w:r w:rsidR="00BF5880" w:rsidRPr="0078437D">
              <w:rPr>
                <w:rFonts w:ascii="Times New Roman" w:eastAsia="Times New Roman" w:hAnsi="Times New Roman" w:cs="Times New Roman"/>
                <w:b/>
                <w:bCs/>
                <w:sz w:val="20"/>
                <w:szCs w:val="20"/>
                <w:lang w:eastAsia="lv-LV"/>
              </w:rPr>
              <w:t>363</w:t>
            </w:r>
          </w:p>
        </w:tc>
        <w:tc>
          <w:tcPr>
            <w:tcW w:w="1735" w:type="dxa"/>
            <w:tcBorders>
              <w:top w:val="single" w:sz="4" w:space="0" w:color="auto"/>
              <w:left w:val="single" w:sz="4" w:space="0" w:color="auto"/>
              <w:bottom w:val="single" w:sz="4" w:space="0" w:color="auto"/>
              <w:right w:val="single" w:sz="4" w:space="0" w:color="auto"/>
            </w:tcBorders>
            <w:shd w:val="clear" w:color="auto" w:fill="FCD5B4"/>
            <w:vAlign w:val="bottom"/>
          </w:tcPr>
          <w:p w14:paraId="209D56A3" w14:textId="4BFF21F8" w:rsidR="003551A1" w:rsidRPr="00C002BE" w:rsidRDefault="003551A1">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730 822</w:t>
            </w:r>
          </w:p>
        </w:tc>
      </w:tr>
    </w:tbl>
    <w:p w14:paraId="24C24735" w14:textId="21951B96" w:rsidR="00DD54E1" w:rsidRPr="00847710" w:rsidRDefault="00453471" w:rsidP="00EC4207">
      <w:pPr>
        <w:autoSpaceDE w:val="0"/>
        <w:autoSpaceDN w:val="0"/>
        <w:adjustRightInd w:val="0"/>
        <w:spacing w:after="120"/>
        <w:ind w:firstLine="720"/>
        <w:jc w:val="both"/>
        <w:rPr>
          <w:rFonts w:ascii="Times New Roman" w:hAnsi="Times New Roman" w:cs="Times New Roman"/>
          <w:sz w:val="20"/>
          <w:szCs w:val="20"/>
        </w:rPr>
      </w:pPr>
      <w:r w:rsidRPr="00847710">
        <w:rPr>
          <w:rFonts w:ascii="Times New Roman" w:hAnsi="Times New Roman" w:cs="Times New Roman"/>
          <w:sz w:val="20"/>
          <w:szCs w:val="20"/>
        </w:rPr>
        <w:t xml:space="preserve">* pakalpojumu tarifs ar 2017.gada </w:t>
      </w:r>
      <w:r w:rsidR="0017367B" w:rsidRPr="00847710">
        <w:rPr>
          <w:rFonts w:ascii="Times New Roman" w:hAnsi="Times New Roman" w:cs="Times New Roman"/>
          <w:sz w:val="20"/>
          <w:szCs w:val="20"/>
        </w:rPr>
        <w:t>darba samaksu</w:t>
      </w:r>
      <w:r w:rsidR="006B12CC" w:rsidRPr="00847710">
        <w:rPr>
          <w:rFonts w:ascii="Times New Roman" w:hAnsi="Times New Roman" w:cs="Times New Roman"/>
          <w:sz w:val="20"/>
          <w:szCs w:val="20"/>
        </w:rPr>
        <w:t xml:space="preserve">. Darba samaksas pieaugums esošajiem pakalpojumiem nodrošināts no </w:t>
      </w:r>
      <w:r w:rsidR="006B12CC" w:rsidRPr="00847710">
        <w:rPr>
          <w:rFonts w:ascii="Times New Roman" w:eastAsia="Times New Roman" w:hAnsi="Times New Roman" w:cs="Times New Roman"/>
          <w:noProof/>
          <w:sz w:val="20"/>
          <w:szCs w:val="20"/>
          <w:lang w:bidi="gu-IN"/>
        </w:rPr>
        <w:t>papildus finansējuma piešķīruma nozarei sasitībā ar 1% palielinājumu sociālajām iemaksām</w:t>
      </w:r>
    </w:p>
    <w:p w14:paraId="11149EB6" w14:textId="27CD789C" w:rsidR="00EC5913" w:rsidRPr="00847710" w:rsidRDefault="003166FA" w:rsidP="00EC4207">
      <w:pPr>
        <w:autoSpaceDE w:val="0"/>
        <w:autoSpaceDN w:val="0"/>
        <w:adjustRightInd w:val="0"/>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2018.gadā papildus plānots uzsākt papildus pasākumus stacionāro pakalpojumu pieejamības uzlabošanā – endoprotezēšanas pakalpojumiem stacionārā, darbnespējas saīsināšanai un pasākumiem prognozējamās invaliditātes novēršanai ar mērķi novērst ilgstošu slimošanu p</w:t>
      </w:r>
      <w:r w:rsidR="00A82F65" w:rsidRPr="00847710">
        <w:rPr>
          <w:rFonts w:ascii="Times New Roman" w:hAnsi="Times New Roman" w:cs="Times New Roman"/>
          <w:sz w:val="24"/>
          <w:szCs w:val="24"/>
        </w:rPr>
        <w:t>er</w:t>
      </w:r>
      <w:r w:rsidRPr="00847710">
        <w:rPr>
          <w:rFonts w:ascii="Times New Roman" w:hAnsi="Times New Roman" w:cs="Times New Roman"/>
          <w:sz w:val="24"/>
          <w:szCs w:val="24"/>
        </w:rPr>
        <w:t xml:space="preserve">sonām darbspējīgā vecumā, aknu transplantācijām stacionārā, </w:t>
      </w:r>
      <w:r w:rsidR="005E3C7D" w:rsidRPr="00847710">
        <w:rPr>
          <w:rFonts w:ascii="Times New Roman" w:hAnsi="Times New Roman" w:cs="Times New Roman"/>
          <w:sz w:val="24"/>
          <w:szCs w:val="24"/>
        </w:rPr>
        <w:t xml:space="preserve">diabēta apmācības kabinetu izveidei un </w:t>
      </w:r>
      <w:r w:rsidRPr="00847710">
        <w:rPr>
          <w:rFonts w:ascii="Times New Roman" w:hAnsi="Times New Roman" w:cs="Times New Roman"/>
          <w:sz w:val="24"/>
          <w:szCs w:val="24"/>
        </w:rPr>
        <w:t>hronisko pacientu aprūpes reform</w:t>
      </w:r>
      <w:r w:rsidR="005E3C7D" w:rsidRPr="00847710">
        <w:rPr>
          <w:rFonts w:ascii="Times New Roman" w:hAnsi="Times New Roman" w:cs="Times New Roman"/>
          <w:sz w:val="24"/>
          <w:szCs w:val="24"/>
        </w:rPr>
        <w:t>a</w:t>
      </w:r>
      <w:r w:rsidR="005B46C3" w:rsidRPr="00847710">
        <w:rPr>
          <w:rFonts w:ascii="Times New Roman" w:hAnsi="Times New Roman" w:cs="Times New Roman"/>
          <w:sz w:val="24"/>
          <w:szCs w:val="24"/>
        </w:rPr>
        <w:t>i</w:t>
      </w:r>
      <w:r w:rsidR="005E3C7D" w:rsidRPr="00847710">
        <w:rPr>
          <w:rFonts w:ascii="Times New Roman" w:hAnsi="Times New Roman" w:cs="Times New Roman"/>
          <w:sz w:val="24"/>
          <w:szCs w:val="24"/>
        </w:rPr>
        <w:t>.</w:t>
      </w:r>
    </w:p>
    <w:p w14:paraId="256379DF" w14:textId="10B9B7B6" w:rsidR="00A82F65" w:rsidRPr="00847710" w:rsidRDefault="00D03600" w:rsidP="00A82F65">
      <w:pPr>
        <w:autoSpaceDE w:val="0"/>
        <w:autoSpaceDN w:val="0"/>
        <w:adjustRightInd w:val="0"/>
        <w:ind w:firstLine="720"/>
        <w:jc w:val="both"/>
        <w:rPr>
          <w:rFonts w:ascii="Times New Roman" w:hAnsi="Times New Roman" w:cs="Times New Roman"/>
          <w:sz w:val="24"/>
          <w:szCs w:val="24"/>
        </w:rPr>
      </w:pPr>
      <w:r w:rsidRPr="00847710">
        <w:rPr>
          <w:rFonts w:ascii="Times New Roman" w:hAnsi="Times New Roman" w:cs="Times New Roman"/>
          <w:sz w:val="24"/>
          <w:szCs w:val="24"/>
        </w:rPr>
        <w:t>Jāuzsver, ka sekundāro ambulatoro veselības aprūpes pakalpojumu faktiskais rindu garuma</w:t>
      </w:r>
      <w:r w:rsidR="00FE4DAC" w:rsidRPr="00847710">
        <w:rPr>
          <w:rFonts w:ascii="Times New Roman" w:hAnsi="Times New Roman" w:cs="Times New Roman"/>
          <w:sz w:val="24"/>
          <w:szCs w:val="24"/>
        </w:rPr>
        <w:t xml:space="preserve"> samazinājums notiek lēnāk, jo</w:t>
      </w:r>
      <w:r w:rsidRPr="00847710">
        <w:rPr>
          <w:rFonts w:ascii="Times New Roman" w:hAnsi="Times New Roman" w:cs="Times New Roman"/>
          <w:sz w:val="24"/>
          <w:szCs w:val="24"/>
        </w:rPr>
        <w:t xml:space="preserve"> novērojama pacientu uzvedības maiņa - daļas pacientu pārvirzīšanās no maksas pakalpojumiem uz valsts apmaksātu pakalpojumu sektoru </w:t>
      </w:r>
      <w:r w:rsidR="00A82F65" w:rsidRPr="00847710">
        <w:rPr>
          <w:rFonts w:ascii="Times New Roman" w:hAnsi="Times New Roman" w:cs="Times New Roman"/>
          <w:sz w:val="24"/>
          <w:szCs w:val="24"/>
        </w:rPr>
        <w:t>(</w:t>
      </w:r>
      <w:r w:rsidR="00FE4DAC" w:rsidRPr="00847710">
        <w:rPr>
          <w:rFonts w:ascii="Times New Roman" w:hAnsi="Times New Roman" w:cs="Times New Roman"/>
          <w:sz w:val="24"/>
          <w:szCs w:val="24"/>
        </w:rPr>
        <w:t xml:space="preserve">tā dēvēto </w:t>
      </w:r>
      <w:r w:rsidR="00A82F65" w:rsidRPr="00847710">
        <w:rPr>
          <w:rFonts w:ascii="Times New Roman" w:hAnsi="Times New Roman" w:cs="Times New Roman"/>
          <w:sz w:val="24"/>
          <w:szCs w:val="24"/>
        </w:rPr>
        <w:t xml:space="preserve">“out of pocket” maksājumu </w:t>
      </w:r>
      <w:r w:rsidRPr="00847710">
        <w:rPr>
          <w:rFonts w:ascii="Times New Roman" w:hAnsi="Times New Roman" w:cs="Times New Roman"/>
          <w:sz w:val="24"/>
          <w:szCs w:val="24"/>
        </w:rPr>
        <w:t xml:space="preserve">samazināšanās </w:t>
      </w:r>
      <w:r w:rsidR="00A82F65" w:rsidRPr="00847710">
        <w:rPr>
          <w:rFonts w:ascii="Times New Roman" w:hAnsi="Times New Roman" w:cs="Times New Roman"/>
          <w:sz w:val="24"/>
          <w:szCs w:val="24"/>
        </w:rPr>
        <w:t>ietekm</w:t>
      </w:r>
      <w:r w:rsidRPr="00847710">
        <w:rPr>
          <w:rFonts w:ascii="Times New Roman" w:hAnsi="Times New Roman" w:cs="Times New Roman"/>
          <w:sz w:val="24"/>
          <w:szCs w:val="24"/>
        </w:rPr>
        <w:t>e</w:t>
      </w:r>
      <w:r w:rsidR="00A82F65" w:rsidRPr="00847710">
        <w:rPr>
          <w:rFonts w:ascii="Times New Roman" w:hAnsi="Times New Roman" w:cs="Times New Roman"/>
          <w:sz w:val="24"/>
          <w:szCs w:val="24"/>
        </w:rPr>
        <w:t>)</w:t>
      </w:r>
      <w:r w:rsidR="00BB0FD7" w:rsidRPr="00847710">
        <w:rPr>
          <w:rFonts w:ascii="Times New Roman" w:hAnsi="Times New Roman" w:cs="Times New Roman"/>
          <w:sz w:val="24"/>
          <w:szCs w:val="24"/>
        </w:rPr>
        <w:t>, tādejādi palielinot pieprasījumu pēc valsts apmaksātas veselības aprūpes</w:t>
      </w:r>
      <w:r w:rsidR="00A82F65" w:rsidRPr="00847710">
        <w:rPr>
          <w:rFonts w:ascii="Times New Roman" w:hAnsi="Times New Roman" w:cs="Times New Roman"/>
          <w:sz w:val="24"/>
          <w:szCs w:val="24"/>
        </w:rPr>
        <w:t>. Pacientu uzvedības maiņas noteikšanai izmantotie rādītāji</w:t>
      </w:r>
      <w:r w:rsidRPr="00847710">
        <w:rPr>
          <w:rFonts w:ascii="Times New Roman" w:hAnsi="Times New Roman" w:cs="Times New Roman"/>
          <w:sz w:val="24"/>
          <w:szCs w:val="24"/>
        </w:rPr>
        <w:t>,</w:t>
      </w:r>
      <w:r w:rsidR="00A82F65" w:rsidRPr="00847710">
        <w:rPr>
          <w:rFonts w:ascii="Times New Roman" w:hAnsi="Times New Roman" w:cs="Times New Roman"/>
          <w:sz w:val="24"/>
          <w:szCs w:val="24"/>
        </w:rPr>
        <w:t xml:space="preserve"> </w:t>
      </w:r>
      <w:r w:rsidRPr="00847710">
        <w:rPr>
          <w:rFonts w:ascii="Times New Roman" w:hAnsi="Times New Roman" w:cs="Times New Roman"/>
          <w:sz w:val="24"/>
          <w:szCs w:val="24"/>
        </w:rPr>
        <w:t xml:space="preserve">balstoties uz Centrālās statistikas pārvaldes 2016.gada “Iedzīvotāju veselības apsekošanas rezultātiem”, </w:t>
      </w:r>
      <w:r w:rsidR="00A82F65" w:rsidRPr="00847710">
        <w:rPr>
          <w:rFonts w:ascii="Times New Roman" w:hAnsi="Times New Roman" w:cs="Times New Roman"/>
          <w:sz w:val="24"/>
          <w:szCs w:val="24"/>
        </w:rPr>
        <w:t xml:space="preserve">skatāmi </w:t>
      </w:r>
      <w:r w:rsidR="00CC2CA8" w:rsidRPr="00847710">
        <w:rPr>
          <w:rFonts w:ascii="Times New Roman" w:hAnsi="Times New Roman" w:cs="Times New Roman"/>
          <w:sz w:val="24"/>
          <w:szCs w:val="24"/>
        </w:rPr>
        <w:t>3</w:t>
      </w:r>
      <w:r w:rsidR="00A82F65" w:rsidRPr="00847710">
        <w:rPr>
          <w:rFonts w:ascii="Times New Roman" w:hAnsi="Times New Roman" w:cs="Times New Roman"/>
          <w:sz w:val="24"/>
          <w:szCs w:val="24"/>
        </w:rPr>
        <w:t xml:space="preserve">.tabulā. </w:t>
      </w:r>
    </w:p>
    <w:p w14:paraId="1DFCED4C" w14:textId="77777777" w:rsidR="000D42A5" w:rsidRPr="00847710" w:rsidRDefault="000D42A5" w:rsidP="00A82F65">
      <w:pPr>
        <w:ind w:firstLine="720"/>
        <w:jc w:val="right"/>
        <w:rPr>
          <w:rFonts w:ascii="Times New Roman" w:hAnsi="Times New Roman" w:cs="Times New Roman"/>
          <w:i/>
          <w:sz w:val="24"/>
          <w:szCs w:val="24"/>
        </w:rPr>
      </w:pPr>
    </w:p>
    <w:p w14:paraId="32D98E5D" w14:textId="77777777" w:rsidR="000D42A5" w:rsidRPr="00847710" w:rsidRDefault="000D42A5" w:rsidP="00A82F65">
      <w:pPr>
        <w:ind w:firstLine="720"/>
        <w:jc w:val="right"/>
        <w:rPr>
          <w:rFonts w:ascii="Times New Roman" w:hAnsi="Times New Roman" w:cs="Times New Roman"/>
          <w:i/>
          <w:sz w:val="24"/>
          <w:szCs w:val="24"/>
        </w:rPr>
      </w:pPr>
    </w:p>
    <w:p w14:paraId="5A744E98" w14:textId="77777777" w:rsidR="00FB010E" w:rsidRPr="00847710" w:rsidRDefault="00FB010E">
      <w:pPr>
        <w:rPr>
          <w:rFonts w:ascii="Times New Roman" w:hAnsi="Times New Roman" w:cs="Times New Roman"/>
          <w:i/>
          <w:sz w:val="24"/>
          <w:szCs w:val="24"/>
        </w:rPr>
      </w:pPr>
      <w:r w:rsidRPr="00847710">
        <w:rPr>
          <w:rFonts w:ascii="Times New Roman" w:hAnsi="Times New Roman" w:cs="Times New Roman"/>
          <w:i/>
          <w:sz w:val="24"/>
          <w:szCs w:val="24"/>
        </w:rPr>
        <w:br w:type="page"/>
      </w:r>
    </w:p>
    <w:p w14:paraId="74472864" w14:textId="353557C1" w:rsidR="00A82F65" w:rsidRPr="00C002BE" w:rsidRDefault="0020102F">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lastRenderedPageBreak/>
        <w:t>3</w:t>
      </w:r>
      <w:r w:rsidR="00A82F65" w:rsidRPr="57326167">
        <w:rPr>
          <w:rFonts w:ascii="Times New Roman" w:hAnsi="Times New Roman" w:cs="Times New Roman"/>
          <w:i/>
          <w:iCs/>
          <w:sz w:val="24"/>
          <w:szCs w:val="24"/>
        </w:rPr>
        <w:t xml:space="preserve">.tabula </w:t>
      </w:r>
    </w:p>
    <w:tbl>
      <w:tblPr>
        <w:tblW w:w="9399" w:type="dxa"/>
        <w:tblLook w:val="04A0" w:firstRow="1" w:lastRow="0" w:firstColumn="1" w:lastColumn="0" w:noHBand="0" w:noVBand="1"/>
      </w:tblPr>
      <w:tblGrid>
        <w:gridCol w:w="846"/>
        <w:gridCol w:w="7087"/>
        <w:gridCol w:w="1466"/>
      </w:tblGrid>
      <w:tr w:rsidR="00A82F65" w:rsidRPr="00847710" w14:paraId="34E3A497" w14:textId="77777777" w:rsidTr="00C002BE">
        <w:trPr>
          <w:trHeight w:val="300"/>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68E56FFF" w14:textId="30F88ECA" w:rsidR="00A82F65" w:rsidRPr="00847710" w:rsidRDefault="00A82F65" w:rsidP="004317A8">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1</w:t>
            </w:r>
            <w:r w:rsidR="004317A8" w:rsidRPr="00847710">
              <w:rPr>
                <w:rFonts w:ascii="Times New Roman" w:hAnsi="Times New Roman" w:cs="Times New Roman"/>
                <w:color w:val="000000"/>
                <w:sz w:val="24"/>
                <w:szCs w:val="24"/>
              </w:rPr>
              <w:t>.</w:t>
            </w:r>
          </w:p>
        </w:tc>
        <w:tc>
          <w:tcPr>
            <w:tcW w:w="7087" w:type="dxa"/>
            <w:tcBorders>
              <w:top w:val="single" w:sz="4" w:space="0" w:color="auto"/>
              <w:left w:val="nil"/>
              <w:bottom w:val="single" w:sz="4" w:space="0" w:color="auto"/>
              <w:right w:val="single" w:sz="4" w:space="0" w:color="auto"/>
            </w:tcBorders>
            <w:noWrap/>
            <w:vAlign w:val="bottom"/>
            <w:hideMark/>
          </w:tcPr>
          <w:p w14:paraId="45068A97" w14:textId="5A57572F" w:rsidR="00A82F65" w:rsidRPr="00847710" w:rsidRDefault="00A82F65" w:rsidP="00950AC7">
            <w:pPr>
              <w:rPr>
                <w:rFonts w:ascii="Times New Roman" w:hAnsi="Times New Roman" w:cs="Times New Roman"/>
                <w:color w:val="000000"/>
                <w:sz w:val="24"/>
                <w:szCs w:val="24"/>
              </w:rPr>
            </w:pPr>
            <w:r w:rsidRPr="00847710">
              <w:rPr>
                <w:rFonts w:ascii="Times New Roman" w:hAnsi="Times New Roman" w:cs="Times New Roman"/>
                <w:color w:val="000000"/>
                <w:sz w:val="24"/>
                <w:szCs w:val="24"/>
              </w:rPr>
              <w:t>Latvijas iedzīvotāju skaits 2017.gadā</w:t>
            </w:r>
          </w:p>
        </w:tc>
        <w:tc>
          <w:tcPr>
            <w:tcW w:w="1466" w:type="dxa"/>
            <w:tcBorders>
              <w:top w:val="single" w:sz="4" w:space="0" w:color="auto"/>
              <w:left w:val="nil"/>
              <w:bottom w:val="single" w:sz="4" w:space="0" w:color="auto"/>
              <w:right w:val="single" w:sz="4" w:space="0" w:color="auto"/>
            </w:tcBorders>
            <w:noWrap/>
            <w:vAlign w:val="bottom"/>
            <w:hideMark/>
          </w:tcPr>
          <w:p w14:paraId="26FF8D7C" w14:textId="77777777" w:rsidR="00A82F65" w:rsidRPr="00847710" w:rsidRDefault="00A82F65" w:rsidP="00950AC7">
            <w:pPr>
              <w:jc w:val="right"/>
              <w:rPr>
                <w:rFonts w:ascii="Times New Roman" w:hAnsi="Times New Roman" w:cs="Times New Roman"/>
                <w:color w:val="000000"/>
                <w:sz w:val="24"/>
                <w:szCs w:val="24"/>
              </w:rPr>
            </w:pPr>
            <w:r w:rsidRPr="00847710">
              <w:rPr>
                <w:rFonts w:ascii="Times New Roman" w:hAnsi="Times New Roman" w:cs="Times New Roman"/>
                <w:color w:val="000000"/>
                <w:sz w:val="24"/>
                <w:szCs w:val="24"/>
              </w:rPr>
              <w:t>1 949 267</w:t>
            </w:r>
          </w:p>
        </w:tc>
      </w:tr>
      <w:tr w:rsidR="00A82F65" w:rsidRPr="00847710" w14:paraId="78F7AFC8" w14:textId="77777777" w:rsidTr="00C002BE">
        <w:trPr>
          <w:trHeight w:val="387"/>
        </w:trPr>
        <w:tc>
          <w:tcPr>
            <w:tcW w:w="846" w:type="dxa"/>
            <w:tcBorders>
              <w:top w:val="nil"/>
              <w:left w:val="single" w:sz="4" w:space="0" w:color="auto"/>
              <w:bottom w:val="single" w:sz="4" w:space="0" w:color="auto"/>
              <w:right w:val="single" w:sz="4" w:space="0" w:color="auto"/>
            </w:tcBorders>
            <w:noWrap/>
            <w:vAlign w:val="bottom"/>
            <w:hideMark/>
          </w:tcPr>
          <w:p w14:paraId="1C2E06D4" w14:textId="0BF4AA7A" w:rsidR="00A82F65" w:rsidRPr="00847710" w:rsidRDefault="00A82F65" w:rsidP="004317A8">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2</w:t>
            </w:r>
            <w:r w:rsidR="004317A8" w:rsidRPr="00847710">
              <w:rPr>
                <w:rFonts w:ascii="Times New Roman" w:hAnsi="Times New Roman" w:cs="Times New Roman"/>
                <w:color w:val="000000"/>
                <w:sz w:val="24"/>
                <w:szCs w:val="24"/>
              </w:rPr>
              <w:t>.</w:t>
            </w:r>
          </w:p>
        </w:tc>
        <w:tc>
          <w:tcPr>
            <w:tcW w:w="7087" w:type="dxa"/>
            <w:tcBorders>
              <w:top w:val="nil"/>
              <w:left w:val="nil"/>
              <w:bottom w:val="single" w:sz="4" w:space="0" w:color="auto"/>
              <w:right w:val="single" w:sz="4" w:space="0" w:color="auto"/>
            </w:tcBorders>
            <w:vAlign w:val="bottom"/>
            <w:hideMark/>
          </w:tcPr>
          <w:p w14:paraId="2CC8C1EB" w14:textId="63B89784" w:rsidR="00A82F65" w:rsidRPr="00847710" w:rsidRDefault="00A82F65" w:rsidP="00950AC7">
            <w:pPr>
              <w:rPr>
                <w:rFonts w:ascii="Times New Roman" w:hAnsi="Times New Roman" w:cs="Times New Roman"/>
                <w:color w:val="000000"/>
                <w:sz w:val="24"/>
                <w:szCs w:val="24"/>
              </w:rPr>
            </w:pPr>
            <w:r w:rsidRPr="00847710">
              <w:rPr>
                <w:rFonts w:ascii="Times New Roman" w:hAnsi="Times New Roman" w:cs="Times New Roman"/>
                <w:color w:val="000000"/>
                <w:sz w:val="24"/>
                <w:szCs w:val="24"/>
              </w:rPr>
              <w:t>Iedzīvotāju skaits %, kuri rindu, attāluma vai finanšu dēļ nav saņēmuši veselības aprūpes pakalpojumus</w:t>
            </w:r>
          </w:p>
        </w:tc>
        <w:tc>
          <w:tcPr>
            <w:tcW w:w="1466" w:type="dxa"/>
            <w:tcBorders>
              <w:top w:val="nil"/>
              <w:left w:val="nil"/>
              <w:bottom w:val="single" w:sz="4" w:space="0" w:color="auto"/>
              <w:right w:val="single" w:sz="4" w:space="0" w:color="auto"/>
            </w:tcBorders>
            <w:noWrap/>
            <w:vAlign w:val="bottom"/>
            <w:hideMark/>
          </w:tcPr>
          <w:p w14:paraId="2CC4121D" w14:textId="77777777" w:rsidR="00A82F65" w:rsidRPr="00847710" w:rsidRDefault="00A82F65" w:rsidP="00950AC7">
            <w:pPr>
              <w:jc w:val="right"/>
              <w:rPr>
                <w:rFonts w:ascii="Times New Roman" w:hAnsi="Times New Roman" w:cs="Times New Roman"/>
                <w:color w:val="000000"/>
                <w:sz w:val="24"/>
                <w:szCs w:val="24"/>
              </w:rPr>
            </w:pPr>
            <w:r w:rsidRPr="00847710">
              <w:rPr>
                <w:rFonts w:ascii="Times New Roman" w:hAnsi="Times New Roman" w:cs="Times New Roman"/>
                <w:color w:val="000000"/>
                <w:sz w:val="24"/>
                <w:szCs w:val="24"/>
              </w:rPr>
              <w:t>13,8%</w:t>
            </w:r>
            <w:r w:rsidRPr="00847710">
              <w:rPr>
                <w:rStyle w:val="FootnoteReference"/>
                <w:rFonts w:ascii="Times New Roman" w:hAnsi="Times New Roman" w:cs="Times New Roman"/>
                <w:sz w:val="24"/>
                <w:szCs w:val="24"/>
              </w:rPr>
              <w:footnoteReference w:id="9"/>
            </w:r>
          </w:p>
        </w:tc>
      </w:tr>
      <w:tr w:rsidR="00A82F65" w:rsidRPr="00847710" w14:paraId="4E5F36DD" w14:textId="77777777" w:rsidTr="00C002BE">
        <w:trPr>
          <w:trHeight w:val="834"/>
        </w:trPr>
        <w:tc>
          <w:tcPr>
            <w:tcW w:w="846" w:type="dxa"/>
            <w:tcBorders>
              <w:top w:val="nil"/>
              <w:left w:val="single" w:sz="4" w:space="0" w:color="auto"/>
              <w:bottom w:val="single" w:sz="4" w:space="0" w:color="auto"/>
              <w:right w:val="single" w:sz="4" w:space="0" w:color="auto"/>
            </w:tcBorders>
            <w:noWrap/>
            <w:vAlign w:val="bottom"/>
            <w:hideMark/>
          </w:tcPr>
          <w:p w14:paraId="511F9646" w14:textId="0BF871A4" w:rsidR="00A82F65" w:rsidRPr="00847710" w:rsidRDefault="00A82F65" w:rsidP="004317A8">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3</w:t>
            </w:r>
            <w:r w:rsidR="004317A8" w:rsidRPr="00847710">
              <w:rPr>
                <w:rFonts w:ascii="Times New Roman" w:hAnsi="Times New Roman" w:cs="Times New Roman"/>
                <w:color w:val="000000"/>
                <w:sz w:val="24"/>
                <w:szCs w:val="24"/>
              </w:rPr>
              <w:t>.</w:t>
            </w:r>
          </w:p>
        </w:tc>
        <w:tc>
          <w:tcPr>
            <w:tcW w:w="7087" w:type="dxa"/>
            <w:tcBorders>
              <w:top w:val="nil"/>
              <w:left w:val="nil"/>
              <w:bottom w:val="single" w:sz="4" w:space="0" w:color="auto"/>
              <w:right w:val="single" w:sz="4" w:space="0" w:color="auto"/>
            </w:tcBorders>
            <w:vAlign w:val="bottom"/>
            <w:hideMark/>
          </w:tcPr>
          <w:p w14:paraId="43D4D6C4" w14:textId="3B997CF1" w:rsidR="00A82F65" w:rsidRPr="00847710" w:rsidRDefault="00A82F65" w:rsidP="00950AC7">
            <w:pPr>
              <w:rPr>
                <w:rFonts w:ascii="Times New Roman" w:hAnsi="Times New Roman" w:cs="Times New Roman"/>
                <w:color w:val="000000"/>
                <w:sz w:val="24"/>
                <w:szCs w:val="24"/>
              </w:rPr>
            </w:pPr>
            <w:r w:rsidRPr="00847710">
              <w:rPr>
                <w:rFonts w:ascii="Times New Roman" w:hAnsi="Times New Roman" w:cs="Times New Roman"/>
                <w:color w:val="000000"/>
                <w:sz w:val="24"/>
                <w:szCs w:val="24"/>
              </w:rPr>
              <w:t>Iedzīvotāju skaits, kuri rindu, attāluma vai finanšu dēļ nav saņēmuši sekundāros ambulatoros veselības aprūpes pakalpojumus</w:t>
            </w:r>
          </w:p>
        </w:tc>
        <w:tc>
          <w:tcPr>
            <w:tcW w:w="1466" w:type="dxa"/>
            <w:tcBorders>
              <w:top w:val="nil"/>
              <w:left w:val="nil"/>
              <w:bottom w:val="single" w:sz="4" w:space="0" w:color="auto"/>
              <w:right w:val="single" w:sz="4" w:space="0" w:color="auto"/>
            </w:tcBorders>
            <w:noWrap/>
            <w:vAlign w:val="bottom"/>
            <w:hideMark/>
          </w:tcPr>
          <w:p w14:paraId="57400727" w14:textId="77777777" w:rsidR="00A82F65" w:rsidRPr="00847710" w:rsidRDefault="00A82F65" w:rsidP="00950AC7">
            <w:pPr>
              <w:jc w:val="right"/>
              <w:rPr>
                <w:rFonts w:ascii="Times New Roman" w:hAnsi="Times New Roman" w:cs="Times New Roman"/>
                <w:color w:val="000000"/>
                <w:sz w:val="24"/>
                <w:szCs w:val="24"/>
              </w:rPr>
            </w:pPr>
            <w:r w:rsidRPr="00847710">
              <w:rPr>
                <w:rFonts w:ascii="Times New Roman" w:hAnsi="Times New Roman" w:cs="Times New Roman"/>
                <w:color w:val="000000"/>
                <w:sz w:val="24"/>
                <w:szCs w:val="24"/>
              </w:rPr>
              <w:t>268 999</w:t>
            </w:r>
          </w:p>
        </w:tc>
      </w:tr>
      <w:tr w:rsidR="00A82F65" w:rsidRPr="00847710" w14:paraId="1F5BEF13" w14:textId="77777777" w:rsidTr="00C002BE">
        <w:trPr>
          <w:trHeight w:val="421"/>
        </w:trPr>
        <w:tc>
          <w:tcPr>
            <w:tcW w:w="846" w:type="dxa"/>
            <w:tcBorders>
              <w:top w:val="nil"/>
              <w:left w:val="single" w:sz="4" w:space="0" w:color="auto"/>
              <w:bottom w:val="single" w:sz="4" w:space="0" w:color="auto"/>
              <w:right w:val="single" w:sz="4" w:space="0" w:color="auto"/>
            </w:tcBorders>
            <w:noWrap/>
            <w:vAlign w:val="bottom"/>
            <w:hideMark/>
          </w:tcPr>
          <w:p w14:paraId="35C89201" w14:textId="6FAFC2B2" w:rsidR="00A82F65" w:rsidRPr="00847710" w:rsidRDefault="00A82F65" w:rsidP="004317A8">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4</w:t>
            </w:r>
            <w:r w:rsidR="004317A8" w:rsidRPr="00847710">
              <w:rPr>
                <w:rFonts w:ascii="Times New Roman" w:hAnsi="Times New Roman" w:cs="Times New Roman"/>
                <w:color w:val="000000"/>
                <w:sz w:val="24"/>
                <w:szCs w:val="24"/>
              </w:rPr>
              <w:t>.</w:t>
            </w:r>
          </w:p>
        </w:tc>
        <w:tc>
          <w:tcPr>
            <w:tcW w:w="7087" w:type="dxa"/>
            <w:tcBorders>
              <w:top w:val="nil"/>
              <w:left w:val="nil"/>
              <w:bottom w:val="single" w:sz="4" w:space="0" w:color="auto"/>
              <w:right w:val="single" w:sz="4" w:space="0" w:color="auto"/>
            </w:tcBorders>
            <w:vAlign w:val="bottom"/>
            <w:hideMark/>
          </w:tcPr>
          <w:p w14:paraId="6A960268" w14:textId="0A5B092A" w:rsidR="00A82F65" w:rsidRPr="00847710" w:rsidRDefault="00A82F65" w:rsidP="00950AC7">
            <w:pPr>
              <w:rPr>
                <w:rFonts w:ascii="Times New Roman" w:hAnsi="Times New Roman" w:cs="Times New Roman"/>
                <w:color w:val="000000"/>
                <w:sz w:val="24"/>
                <w:szCs w:val="24"/>
              </w:rPr>
            </w:pPr>
            <w:r w:rsidRPr="00847710">
              <w:rPr>
                <w:rFonts w:ascii="Times New Roman" w:hAnsi="Times New Roman" w:cs="Times New Roman"/>
                <w:color w:val="000000"/>
                <w:sz w:val="24"/>
                <w:szCs w:val="24"/>
              </w:rPr>
              <w:t>Konsultāciju biežums pie speciālistiem divas vai vairāk reižu (četrās nedēļās)</w:t>
            </w:r>
          </w:p>
        </w:tc>
        <w:tc>
          <w:tcPr>
            <w:tcW w:w="1466" w:type="dxa"/>
            <w:tcBorders>
              <w:top w:val="nil"/>
              <w:left w:val="nil"/>
              <w:bottom w:val="single" w:sz="4" w:space="0" w:color="auto"/>
              <w:right w:val="single" w:sz="4" w:space="0" w:color="auto"/>
            </w:tcBorders>
            <w:noWrap/>
            <w:vAlign w:val="bottom"/>
            <w:hideMark/>
          </w:tcPr>
          <w:p w14:paraId="17E74C04" w14:textId="77777777" w:rsidR="00A82F65" w:rsidRPr="00847710" w:rsidRDefault="00A82F65" w:rsidP="00950AC7">
            <w:pPr>
              <w:jc w:val="right"/>
              <w:rPr>
                <w:rFonts w:ascii="Times New Roman" w:hAnsi="Times New Roman" w:cs="Times New Roman"/>
                <w:color w:val="000000"/>
                <w:sz w:val="24"/>
                <w:szCs w:val="24"/>
              </w:rPr>
            </w:pPr>
            <w:r w:rsidRPr="00847710">
              <w:rPr>
                <w:rFonts w:ascii="Times New Roman" w:hAnsi="Times New Roman" w:cs="Times New Roman"/>
                <w:color w:val="000000"/>
                <w:sz w:val="24"/>
                <w:szCs w:val="24"/>
              </w:rPr>
              <w:t xml:space="preserve">4,7% </w:t>
            </w:r>
            <w:r w:rsidRPr="00847710">
              <w:rPr>
                <w:rStyle w:val="FootnoteReference"/>
                <w:rFonts w:ascii="Times New Roman" w:hAnsi="Times New Roman" w:cs="Times New Roman"/>
                <w:sz w:val="24"/>
                <w:szCs w:val="24"/>
              </w:rPr>
              <w:footnoteReference w:id="10"/>
            </w:r>
          </w:p>
        </w:tc>
      </w:tr>
      <w:tr w:rsidR="00A82F65" w:rsidRPr="00847710" w14:paraId="395A3743" w14:textId="77777777" w:rsidTr="00C002BE">
        <w:trPr>
          <w:trHeight w:val="555"/>
        </w:trPr>
        <w:tc>
          <w:tcPr>
            <w:tcW w:w="846"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24EF7988" w14:textId="7CA9D64B" w:rsidR="00A82F65" w:rsidRPr="00847710" w:rsidRDefault="00A82F65" w:rsidP="004317A8">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5</w:t>
            </w:r>
            <w:r w:rsidR="004317A8" w:rsidRPr="00847710">
              <w:rPr>
                <w:rFonts w:ascii="Times New Roman" w:hAnsi="Times New Roman" w:cs="Times New Roman"/>
                <w:color w:val="000000"/>
                <w:sz w:val="24"/>
                <w:szCs w:val="24"/>
              </w:rPr>
              <w:t>.</w:t>
            </w:r>
          </w:p>
        </w:tc>
        <w:tc>
          <w:tcPr>
            <w:tcW w:w="7087" w:type="dxa"/>
            <w:tcBorders>
              <w:top w:val="nil"/>
              <w:left w:val="nil"/>
              <w:bottom w:val="single" w:sz="4" w:space="0" w:color="auto"/>
              <w:right w:val="single" w:sz="4" w:space="0" w:color="auto"/>
            </w:tcBorders>
            <w:shd w:val="clear" w:color="auto" w:fill="FDE9D9" w:themeFill="accent6" w:themeFillTint="33"/>
            <w:vAlign w:val="bottom"/>
            <w:hideMark/>
          </w:tcPr>
          <w:p w14:paraId="121610C7" w14:textId="617B3B0A" w:rsidR="00A82F65" w:rsidRPr="00847710" w:rsidRDefault="00A82F65" w:rsidP="00950AC7">
            <w:pPr>
              <w:rPr>
                <w:rFonts w:ascii="Times New Roman" w:hAnsi="Times New Roman" w:cs="Times New Roman"/>
                <w:color w:val="000000"/>
                <w:sz w:val="24"/>
                <w:szCs w:val="24"/>
              </w:rPr>
            </w:pPr>
            <w:r w:rsidRPr="00847710">
              <w:rPr>
                <w:rFonts w:ascii="Times New Roman" w:hAnsi="Times New Roman" w:cs="Times New Roman"/>
                <w:color w:val="000000"/>
                <w:sz w:val="24"/>
                <w:szCs w:val="24"/>
              </w:rPr>
              <w:t>Nesaņemto sekundāro ambulatoro veselības aprūpes pakalpojumu skaits (rindu, attāluma vai finanšu dēļ)</w:t>
            </w:r>
          </w:p>
        </w:tc>
        <w:tc>
          <w:tcPr>
            <w:tcW w:w="1466" w:type="dxa"/>
            <w:tcBorders>
              <w:top w:val="nil"/>
              <w:left w:val="nil"/>
              <w:bottom w:val="single" w:sz="4" w:space="0" w:color="auto"/>
              <w:right w:val="single" w:sz="4" w:space="0" w:color="auto"/>
            </w:tcBorders>
            <w:shd w:val="clear" w:color="auto" w:fill="FDE9D9" w:themeFill="accent6" w:themeFillTint="33"/>
            <w:noWrap/>
            <w:vAlign w:val="bottom"/>
            <w:hideMark/>
          </w:tcPr>
          <w:p w14:paraId="738E68DF" w14:textId="77777777" w:rsidR="00A82F65" w:rsidRPr="00847710" w:rsidRDefault="00A82F65" w:rsidP="00950AC7">
            <w:pPr>
              <w:jc w:val="right"/>
              <w:rPr>
                <w:rFonts w:ascii="Times New Roman" w:hAnsi="Times New Roman" w:cs="Times New Roman"/>
                <w:color w:val="000000"/>
                <w:sz w:val="24"/>
                <w:szCs w:val="24"/>
              </w:rPr>
            </w:pPr>
            <w:r w:rsidRPr="00847710">
              <w:rPr>
                <w:rFonts w:ascii="Times New Roman" w:hAnsi="Times New Roman" w:cs="Times New Roman"/>
                <w:color w:val="000000"/>
                <w:sz w:val="24"/>
                <w:szCs w:val="24"/>
              </w:rPr>
              <w:t>281 642</w:t>
            </w:r>
          </w:p>
        </w:tc>
      </w:tr>
    </w:tbl>
    <w:p w14:paraId="5506CFBE" w14:textId="77777777" w:rsidR="00A82F65" w:rsidRPr="00847710" w:rsidRDefault="00A82F65" w:rsidP="00A82F65">
      <w:pPr>
        <w:jc w:val="both"/>
        <w:rPr>
          <w:rFonts w:ascii="Times New Roman" w:hAnsi="Times New Roman" w:cs="Times New Roman"/>
          <w:sz w:val="24"/>
          <w:szCs w:val="24"/>
        </w:rPr>
      </w:pPr>
    </w:p>
    <w:p w14:paraId="7F83BED4" w14:textId="0EF0ACCF" w:rsidR="00A82F65" w:rsidRPr="00C002BE" w:rsidRDefault="00A82F65">
      <w:pPr>
        <w:autoSpaceDE w:val="0"/>
        <w:autoSpaceDN w:val="0"/>
        <w:adjustRightInd w:val="0"/>
        <w:ind w:firstLine="720"/>
        <w:jc w:val="both"/>
        <w:rPr>
          <w:rFonts w:ascii="Times New Roman" w:hAnsi="Times New Roman" w:cs="Times New Roman"/>
          <w:b/>
          <w:bCs/>
          <w:sz w:val="24"/>
          <w:szCs w:val="24"/>
        </w:rPr>
      </w:pPr>
      <w:r w:rsidRPr="0012317D">
        <w:rPr>
          <w:rFonts w:ascii="Times New Roman" w:hAnsi="Times New Roman" w:cs="Times New Roman"/>
          <w:b/>
          <w:bCs/>
          <w:sz w:val="24"/>
          <w:szCs w:val="24"/>
        </w:rPr>
        <w:t>Balstoties uz šobrīd esošajiem rindu garumiem sekundārajā ambulatorajā veselības aprūpē aprēķināta nesaņemto sekundāro ambulatoro veselības aprūpes pakalpojumu ietekme (ieplūšana valsts apmaksāto pakalpojumu segmentā), kas indikatīvi noteikta 16,16 % apmēr</w:t>
      </w:r>
      <w:r w:rsidR="009E7DCD" w:rsidRPr="0012317D">
        <w:rPr>
          <w:rFonts w:ascii="Times New Roman" w:hAnsi="Times New Roman" w:cs="Times New Roman"/>
          <w:b/>
          <w:bCs/>
          <w:sz w:val="24"/>
          <w:szCs w:val="24"/>
        </w:rPr>
        <w:t>ā.</w:t>
      </w:r>
    </w:p>
    <w:p w14:paraId="14FFC5B9" w14:textId="152384DE" w:rsidR="00A82F65" w:rsidRPr="00847710" w:rsidRDefault="00655664" w:rsidP="00315286">
      <w:pPr>
        <w:autoSpaceDE w:val="0"/>
        <w:autoSpaceDN w:val="0"/>
        <w:adjustRightInd w:val="0"/>
        <w:ind w:firstLine="720"/>
        <w:jc w:val="both"/>
        <w:rPr>
          <w:rFonts w:ascii="Times New Roman" w:hAnsi="Times New Roman" w:cs="Times New Roman"/>
          <w:sz w:val="24"/>
          <w:szCs w:val="24"/>
          <w:lang w:bidi="lo-LA"/>
        </w:rPr>
      </w:pPr>
      <w:r w:rsidRPr="00847710">
        <w:rPr>
          <w:rFonts w:ascii="Times New Roman" w:hAnsi="Times New Roman" w:cs="Times New Roman"/>
          <w:sz w:val="24"/>
          <w:szCs w:val="24"/>
          <w:lang w:bidi="lo-LA"/>
        </w:rPr>
        <w:t>Pie noteiktiem speciālistiem var doties bez nosūtījuma (tiešā pieejamība)</w:t>
      </w:r>
      <w:r w:rsidR="00315286" w:rsidRPr="00847710">
        <w:rPr>
          <w:rFonts w:ascii="Times New Roman" w:hAnsi="Times New Roman" w:cs="Times New Roman"/>
          <w:sz w:val="24"/>
          <w:szCs w:val="24"/>
          <w:lang w:bidi="lo-LA"/>
        </w:rPr>
        <w:t xml:space="preserve">. </w:t>
      </w:r>
      <w:r w:rsidR="00A82F65" w:rsidRPr="00847710">
        <w:rPr>
          <w:rFonts w:ascii="Times New Roman" w:hAnsi="Times New Roman" w:cs="Times New Roman"/>
          <w:sz w:val="24"/>
          <w:szCs w:val="24"/>
          <w:lang w:bidi="lo-LA"/>
        </w:rPr>
        <w:t xml:space="preserve">Uz 2017.gada 1.jūliju pacientu gaidīšanas </w:t>
      </w:r>
      <w:r w:rsidR="00A82F65" w:rsidRPr="0012317D">
        <w:rPr>
          <w:rFonts w:ascii="Times New Roman" w:hAnsi="Times New Roman" w:cs="Times New Roman"/>
          <w:b/>
          <w:bCs/>
          <w:sz w:val="24"/>
          <w:szCs w:val="24"/>
          <w:lang w:bidi="lo-LA"/>
        </w:rPr>
        <w:t>rindas uz speciālistu konsultācijām ir samazinājušās</w:t>
      </w:r>
      <w:r w:rsidR="00A82F65" w:rsidRPr="00847710">
        <w:rPr>
          <w:rFonts w:ascii="Times New Roman" w:hAnsi="Times New Roman" w:cs="Times New Roman"/>
          <w:sz w:val="24"/>
          <w:szCs w:val="24"/>
          <w:lang w:bidi="lo-LA"/>
        </w:rPr>
        <w:t xml:space="preserve"> vidēji līdz 76,10 dienām salīdzinājumā ar situāciju pirms reformu uzsākšanas, kad vidējais gaidīšanas laiks bija līdz 100,48 dienas. Nodrošinot turpmāku pakalpojumu pieaugumu 2018.gadā plānots rindu samazinājums līdz 40% no sākotnējā</w:t>
      </w:r>
      <w:r w:rsidR="00950AC7" w:rsidRPr="00847710">
        <w:rPr>
          <w:rFonts w:ascii="Times New Roman" w:hAnsi="Times New Roman" w:cs="Times New Roman"/>
          <w:sz w:val="24"/>
          <w:szCs w:val="24"/>
          <w:lang w:bidi="lo-LA"/>
        </w:rPr>
        <w:t xml:space="preserve"> rindu apjoma</w:t>
      </w:r>
      <w:r w:rsidR="00A82F65" w:rsidRPr="00847710">
        <w:rPr>
          <w:rFonts w:ascii="Times New Roman" w:hAnsi="Times New Roman" w:cs="Times New Roman"/>
          <w:sz w:val="24"/>
          <w:szCs w:val="24"/>
          <w:lang w:bidi="lo-LA"/>
        </w:rPr>
        <w:t>.</w:t>
      </w:r>
    </w:p>
    <w:p w14:paraId="0241F92F" w14:textId="1181EDBE" w:rsidR="00950AC7" w:rsidRPr="00847710" w:rsidRDefault="00950AC7" w:rsidP="006F5185">
      <w:pPr>
        <w:autoSpaceDE w:val="0"/>
        <w:autoSpaceDN w:val="0"/>
        <w:adjustRightInd w:val="0"/>
        <w:spacing w:after="120"/>
        <w:ind w:firstLine="709"/>
        <w:jc w:val="both"/>
        <w:rPr>
          <w:rFonts w:ascii="Times New Roman" w:hAnsi="Times New Roman" w:cs="Times New Roman"/>
          <w:color w:val="000000"/>
          <w:sz w:val="24"/>
          <w:szCs w:val="24"/>
        </w:rPr>
      </w:pPr>
      <w:r w:rsidRPr="00847710">
        <w:rPr>
          <w:rFonts w:ascii="Times New Roman" w:hAnsi="Times New Roman" w:cs="Times New Roman"/>
          <w:sz w:val="24"/>
          <w:szCs w:val="24"/>
          <w:lang w:bidi="lo-LA"/>
        </w:rPr>
        <w:t xml:space="preserve">Uz 2017.gada 1.jūliju pacientu gaidīšanas </w:t>
      </w:r>
      <w:r w:rsidRPr="0012317D">
        <w:rPr>
          <w:rFonts w:ascii="Times New Roman" w:hAnsi="Times New Roman" w:cs="Times New Roman"/>
          <w:b/>
          <w:bCs/>
          <w:sz w:val="24"/>
          <w:szCs w:val="24"/>
          <w:lang w:bidi="lo-LA"/>
        </w:rPr>
        <w:t>rindas uz dienas stacionārā sniegtajiem pakalpojumiem ir samazinājušās</w:t>
      </w:r>
      <w:r w:rsidRPr="00847710">
        <w:rPr>
          <w:rFonts w:ascii="Times New Roman" w:hAnsi="Times New Roman" w:cs="Times New Roman"/>
          <w:sz w:val="24"/>
          <w:szCs w:val="24"/>
          <w:lang w:bidi="lo-LA"/>
        </w:rPr>
        <w:t xml:space="preserve"> vidēji līdz 246,5 dienām salīdzinājumā ar situāciju pirms reformu uzsākšanas, kad vidējais </w:t>
      </w:r>
      <w:r w:rsidR="00105C1B" w:rsidRPr="00847710">
        <w:rPr>
          <w:rFonts w:ascii="Times New Roman" w:hAnsi="Times New Roman" w:cs="Times New Roman"/>
          <w:sz w:val="24"/>
          <w:szCs w:val="24"/>
          <w:lang w:bidi="lo-LA"/>
        </w:rPr>
        <w:t>gaidīšanas laiks bija līdz 407</w:t>
      </w:r>
      <w:r w:rsidRPr="00847710">
        <w:rPr>
          <w:rFonts w:ascii="Times New Roman" w:hAnsi="Times New Roman" w:cs="Times New Roman"/>
          <w:sz w:val="24"/>
          <w:szCs w:val="24"/>
          <w:lang w:bidi="lo-LA"/>
        </w:rPr>
        <w:t xml:space="preserve"> dienas. </w:t>
      </w:r>
      <w:r w:rsidR="00EE5C3E" w:rsidRPr="00847710">
        <w:rPr>
          <w:rFonts w:ascii="Times New Roman" w:hAnsi="Times New Roman" w:cs="Times New Roman"/>
          <w:sz w:val="24"/>
          <w:szCs w:val="24"/>
          <w:lang w:bidi="lo-LA"/>
        </w:rPr>
        <w:t xml:space="preserve">Sākotnēji sasniegts lielāks rindas samazinājums nekā plānots, tomēr turpmāk nav gaidāms tik straujš rindu samazinājums, t.sk. ņemot vērā </w:t>
      </w:r>
      <w:r w:rsidR="006D5EF0" w:rsidRPr="00847710">
        <w:rPr>
          <w:rFonts w:ascii="Times New Roman" w:hAnsi="Times New Roman" w:cs="Times New Roman"/>
          <w:sz w:val="24"/>
          <w:szCs w:val="24"/>
          <w:lang w:bidi="lo-LA"/>
        </w:rPr>
        <w:t xml:space="preserve">iepriekš skaidroto </w:t>
      </w:r>
      <w:r w:rsidR="00EE5C3E" w:rsidRPr="00847710">
        <w:rPr>
          <w:rFonts w:ascii="Times New Roman" w:hAnsi="Times New Roman" w:cs="Times New Roman"/>
          <w:sz w:val="24"/>
          <w:szCs w:val="24"/>
          <w:lang w:bidi="lo-LA"/>
        </w:rPr>
        <w:t xml:space="preserve">pacientu uzvedības maiņu. </w:t>
      </w:r>
      <w:r w:rsidRPr="00847710">
        <w:rPr>
          <w:rFonts w:ascii="Times New Roman" w:hAnsi="Times New Roman" w:cs="Times New Roman"/>
          <w:sz w:val="24"/>
          <w:szCs w:val="24"/>
          <w:lang w:bidi="lo-LA"/>
        </w:rPr>
        <w:t xml:space="preserve">Nodrošinot turpmāku pakalpojumu pieaugumu 2018.gadā plānots rindu samazinājums līdz </w:t>
      </w:r>
      <w:r w:rsidR="00780921" w:rsidRPr="00847710">
        <w:rPr>
          <w:rFonts w:ascii="Times New Roman" w:hAnsi="Times New Roman" w:cs="Times New Roman"/>
          <w:sz w:val="24"/>
          <w:szCs w:val="24"/>
          <w:lang w:bidi="lo-LA"/>
        </w:rPr>
        <w:t>4</w:t>
      </w:r>
      <w:r w:rsidRPr="00847710">
        <w:rPr>
          <w:rFonts w:ascii="Times New Roman" w:hAnsi="Times New Roman" w:cs="Times New Roman"/>
          <w:sz w:val="24"/>
          <w:szCs w:val="24"/>
          <w:lang w:bidi="lo-LA"/>
        </w:rPr>
        <w:t>0% no sākotnējā rindu apjoma.</w:t>
      </w:r>
    </w:p>
    <w:p w14:paraId="792E9F0C" w14:textId="385AFC83" w:rsidR="00780921" w:rsidRPr="00847710" w:rsidRDefault="00780921" w:rsidP="00230100">
      <w:pPr>
        <w:ind w:firstLine="709"/>
        <w:jc w:val="both"/>
        <w:rPr>
          <w:rFonts w:ascii="Times New Roman" w:hAnsi="Times New Roman" w:cs="Times New Roman"/>
          <w:sz w:val="24"/>
          <w:szCs w:val="24"/>
        </w:rPr>
      </w:pPr>
      <w:r w:rsidRPr="00847710">
        <w:rPr>
          <w:rFonts w:ascii="Times New Roman" w:hAnsi="Times New Roman" w:cs="Times New Roman"/>
          <w:sz w:val="24"/>
          <w:szCs w:val="24"/>
          <w:lang w:bidi="lo-LA"/>
        </w:rPr>
        <w:t xml:space="preserve">Uz 2017.gada 1.jūliju pacientu gaidīšanas </w:t>
      </w:r>
      <w:r w:rsidRPr="0012317D">
        <w:rPr>
          <w:rFonts w:ascii="Times New Roman" w:hAnsi="Times New Roman" w:cs="Times New Roman"/>
          <w:b/>
          <w:bCs/>
          <w:sz w:val="24"/>
          <w:szCs w:val="24"/>
          <w:lang w:bidi="lo-LA"/>
        </w:rPr>
        <w:t xml:space="preserve">rindas uz </w:t>
      </w:r>
      <w:r w:rsidR="004C593C" w:rsidRPr="0012317D">
        <w:rPr>
          <w:rFonts w:ascii="Times New Roman" w:hAnsi="Times New Roman" w:cs="Times New Roman"/>
          <w:b/>
          <w:bCs/>
          <w:sz w:val="24"/>
          <w:szCs w:val="24"/>
          <w:lang w:bidi="lo-LA"/>
        </w:rPr>
        <w:t>ambulatorās rehabilitācijas</w:t>
      </w:r>
      <w:r w:rsidRPr="0012317D">
        <w:rPr>
          <w:rFonts w:ascii="Times New Roman" w:hAnsi="Times New Roman" w:cs="Times New Roman"/>
          <w:b/>
          <w:bCs/>
          <w:sz w:val="24"/>
          <w:szCs w:val="24"/>
          <w:lang w:bidi="lo-LA"/>
        </w:rPr>
        <w:t xml:space="preserve"> pakalpojumiem ir</w:t>
      </w:r>
      <w:r w:rsidRPr="00901A9F">
        <w:rPr>
          <w:rFonts w:ascii="Times New Roman" w:hAnsi="Times New Roman" w:cs="Times New Roman"/>
          <w:b/>
          <w:bCs/>
          <w:sz w:val="24"/>
          <w:szCs w:val="24"/>
          <w:lang w:bidi="lo-LA"/>
        </w:rPr>
        <w:t xml:space="preserve"> samazinājušās</w:t>
      </w:r>
      <w:r w:rsidRPr="00847710">
        <w:rPr>
          <w:rFonts w:ascii="Times New Roman" w:hAnsi="Times New Roman" w:cs="Times New Roman"/>
          <w:sz w:val="24"/>
          <w:szCs w:val="24"/>
          <w:lang w:bidi="lo-LA"/>
        </w:rPr>
        <w:t xml:space="preserve"> vidēji līdz </w:t>
      </w:r>
      <w:r w:rsidR="00105C1B" w:rsidRPr="00847710">
        <w:rPr>
          <w:rFonts w:ascii="Times New Roman" w:hAnsi="Times New Roman" w:cs="Times New Roman"/>
          <w:sz w:val="24"/>
          <w:szCs w:val="24"/>
          <w:lang w:bidi="lo-LA"/>
        </w:rPr>
        <w:t>469</w:t>
      </w:r>
      <w:r w:rsidRPr="00847710">
        <w:rPr>
          <w:rFonts w:ascii="Times New Roman" w:hAnsi="Times New Roman" w:cs="Times New Roman"/>
          <w:sz w:val="24"/>
          <w:szCs w:val="24"/>
          <w:lang w:bidi="lo-LA"/>
        </w:rPr>
        <w:t xml:space="preserve"> dienām salīdzinājumā ar situāciju pirms reformu uzsākšanas, kad vidējais gaidīšanas laiks bija līdz </w:t>
      </w:r>
      <w:r w:rsidR="004C593C" w:rsidRPr="00847710">
        <w:rPr>
          <w:rFonts w:ascii="Times New Roman" w:hAnsi="Times New Roman" w:cs="Times New Roman"/>
          <w:sz w:val="24"/>
          <w:szCs w:val="24"/>
          <w:lang w:bidi="lo-LA"/>
        </w:rPr>
        <w:t>500,2</w:t>
      </w:r>
      <w:r w:rsidRPr="00847710">
        <w:rPr>
          <w:rFonts w:ascii="Times New Roman" w:hAnsi="Times New Roman" w:cs="Times New Roman"/>
          <w:sz w:val="24"/>
          <w:szCs w:val="24"/>
          <w:lang w:bidi="lo-LA"/>
        </w:rPr>
        <w:t xml:space="preserve"> dienas. </w:t>
      </w:r>
      <w:r w:rsidR="009E7DCD" w:rsidRPr="00847710">
        <w:rPr>
          <w:rFonts w:ascii="Times New Roman" w:hAnsi="Times New Roman" w:cs="Times New Roman"/>
          <w:sz w:val="24"/>
          <w:szCs w:val="24"/>
          <w:lang w:bidi="lo-LA"/>
        </w:rPr>
        <w:t>Ņemot vērā ievērojam</w:t>
      </w:r>
      <w:r w:rsidR="00B61FB2" w:rsidRPr="00847710">
        <w:rPr>
          <w:rFonts w:ascii="Times New Roman" w:hAnsi="Times New Roman" w:cs="Times New Roman"/>
          <w:sz w:val="24"/>
          <w:szCs w:val="24"/>
          <w:lang w:bidi="lo-LA"/>
        </w:rPr>
        <w:t>o</w:t>
      </w:r>
      <w:r w:rsidR="009E7DCD" w:rsidRPr="00847710">
        <w:rPr>
          <w:rFonts w:ascii="Times New Roman" w:hAnsi="Times New Roman" w:cs="Times New Roman"/>
          <w:sz w:val="24"/>
          <w:szCs w:val="24"/>
          <w:lang w:bidi="lo-LA"/>
        </w:rPr>
        <w:t xml:space="preserve"> rindu garumu uz rehabilitācijas pakalpojumiem, arī rindu samazinājums zem 40 % </w:t>
      </w:r>
      <w:r w:rsidR="006D5EF0" w:rsidRPr="00847710">
        <w:rPr>
          <w:rFonts w:ascii="Times New Roman" w:hAnsi="Times New Roman" w:cs="Times New Roman"/>
          <w:sz w:val="24"/>
          <w:szCs w:val="24"/>
          <w:lang w:bidi="lo-LA"/>
        </w:rPr>
        <w:t xml:space="preserve">ir būtisks  pieejamības uzlabojums </w:t>
      </w:r>
      <w:r w:rsidR="009E7DCD" w:rsidRPr="00847710">
        <w:rPr>
          <w:rFonts w:ascii="Times New Roman" w:hAnsi="Times New Roman" w:cs="Times New Roman"/>
          <w:sz w:val="24"/>
          <w:szCs w:val="24"/>
          <w:lang w:bidi="lo-LA"/>
        </w:rPr>
        <w:t xml:space="preserve">pacientiem. </w:t>
      </w:r>
      <w:r w:rsidR="00B61FB2" w:rsidRPr="00847710">
        <w:rPr>
          <w:rFonts w:ascii="Times New Roman" w:hAnsi="Times New Roman" w:cs="Times New Roman"/>
          <w:sz w:val="24"/>
          <w:szCs w:val="24"/>
          <w:lang w:bidi="lo-LA"/>
        </w:rPr>
        <w:t>6 % rindu samazinājums</w:t>
      </w:r>
      <w:r w:rsidR="009E7DCD" w:rsidRPr="00847710">
        <w:rPr>
          <w:rFonts w:ascii="Times New Roman" w:hAnsi="Times New Roman" w:cs="Times New Roman"/>
          <w:sz w:val="24"/>
          <w:szCs w:val="24"/>
          <w:lang w:bidi="lo-LA"/>
        </w:rPr>
        <w:t xml:space="preserve"> saīsinājis gaidīšanas rindu vairāk </w:t>
      </w:r>
      <w:r w:rsidR="009E7DCD" w:rsidRPr="00847710">
        <w:rPr>
          <w:rFonts w:ascii="Times New Roman" w:hAnsi="Times New Roman" w:cs="Times New Roman"/>
          <w:sz w:val="24"/>
          <w:szCs w:val="24"/>
          <w:lang w:bidi="lo-LA"/>
        </w:rPr>
        <w:lastRenderedPageBreak/>
        <w:t xml:space="preserve">kā par mēnesi, ietverot pacientu uzvedības maiņu. </w:t>
      </w:r>
      <w:r w:rsidR="00B61FB2" w:rsidRPr="00847710">
        <w:rPr>
          <w:rFonts w:ascii="Times New Roman" w:hAnsi="Times New Roman" w:cs="Times New Roman"/>
          <w:sz w:val="24"/>
          <w:szCs w:val="24"/>
          <w:lang w:bidi="lo-LA"/>
        </w:rPr>
        <w:t>Līdz ar minēto</w:t>
      </w:r>
      <w:r w:rsidR="009E7DCD" w:rsidRPr="00847710">
        <w:rPr>
          <w:rFonts w:ascii="Times New Roman" w:hAnsi="Times New Roman" w:cs="Times New Roman"/>
          <w:sz w:val="24"/>
          <w:szCs w:val="24"/>
          <w:lang w:bidi="lo-LA"/>
        </w:rPr>
        <w:t xml:space="preserve">, </w:t>
      </w:r>
      <w:r w:rsidR="006D5EF0" w:rsidRPr="00847710">
        <w:rPr>
          <w:rFonts w:ascii="Times New Roman" w:hAnsi="Times New Roman" w:cs="Times New Roman"/>
          <w:sz w:val="24"/>
          <w:szCs w:val="24"/>
          <w:lang w:bidi="lo-LA"/>
        </w:rPr>
        <w:t xml:space="preserve">ņemot vērā  </w:t>
      </w:r>
      <w:r w:rsidR="009E7DCD" w:rsidRPr="00847710">
        <w:rPr>
          <w:rFonts w:ascii="Times New Roman" w:hAnsi="Times New Roman" w:cs="Times New Roman"/>
          <w:sz w:val="24"/>
          <w:szCs w:val="24"/>
          <w:lang w:bidi="lo-LA"/>
        </w:rPr>
        <w:t>pacientu uzvedības maiņu</w:t>
      </w:r>
      <w:r w:rsidR="006D5EF0" w:rsidRPr="00847710">
        <w:rPr>
          <w:rFonts w:ascii="Times New Roman" w:hAnsi="Times New Roman" w:cs="Times New Roman"/>
          <w:sz w:val="24"/>
          <w:szCs w:val="24"/>
          <w:lang w:bidi="lo-LA"/>
        </w:rPr>
        <w:t>,</w:t>
      </w:r>
      <w:r w:rsidR="009E7DCD" w:rsidRPr="00847710">
        <w:rPr>
          <w:rFonts w:ascii="Times New Roman" w:hAnsi="Times New Roman" w:cs="Times New Roman"/>
          <w:sz w:val="24"/>
          <w:szCs w:val="24"/>
          <w:lang w:bidi="lo-LA"/>
        </w:rPr>
        <w:t xml:space="preserve"> turpmāk </w:t>
      </w:r>
      <w:r w:rsidR="005048E8" w:rsidRPr="00847710">
        <w:rPr>
          <w:rFonts w:ascii="Times New Roman" w:hAnsi="Times New Roman" w:cs="Times New Roman"/>
          <w:sz w:val="24"/>
          <w:szCs w:val="24"/>
          <w:lang w:bidi="lo-LA"/>
        </w:rPr>
        <w:t>sagaidāms mērens</w:t>
      </w:r>
      <w:r w:rsidR="009E7DCD" w:rsidRPr="00847710">
        <w:rPr>
          <w:rFonts w:ascii="Times New Roman" w:hAnsi="Times New Roman" w:cs="Times New Roman"/>
          <w:sz w:val="24"/>
          <w:szCs w:val="24"/>
          <w:lang w:bidi="lo-LA"/>
        </w:rPr>
        <w:t xml:space="preserve"> rindu samazinājumus, 2018.gadā plānojot rindu samazinājumu līdz 30 % no sākotnējā rindu garuma.</w:t>
      </w:r>
    </w:p>
    <w:p w14:paraId="608ADCE6" w14:textId="215ABFC9" w:rsidR="00D1321B" w:rsidRPr="00C002BE" w:rsidRDefault="0020102F">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4</w:t>
      </w:r>
      <w:r w:rsidR="00D1321B" w:rsidRPr="57326167">
        <w:rPr>
          <w:rFonts w:ascii="Times New Roman" w:hAnsi="Times New Roman" w:cs="Times New Roman"/>
          <w:i/>
          <w:iCs/>
          <w:sz w:val="24"/>
          <w:szCs w:val="24"/>
        </w:rPr>
        <w:t xml:space="preserve">.tabula </w:t>
      </w:r>
    </w:p>
    <w:p w14:paraId="2B32728F" w14:textId="6B80C8DF" w:rsidR="00950AC7" w:rsidRPr="00847710" w:rsidRDefault="007A12F1" w:rsidP="00230100">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Sekundārajā ambulatorajā veselības aprūpē plānotais pakalpojuma skaits</w:t>
      </w:r>
    </w:p>
    <w:tbl>
      <w:tblPr>
        <w:tblW w:w="111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437"/>
        <w:gridCol w:w="1134"/>
        <w:gridCol w:w="1559"/>
        <w:gridCol w:w="1559"/>
        <w:gridCol w:w="1285"/>
        <w:gridCol w:w="1272"/>
        <w:gridCol w:w="1272"/>
        <w:gridCol w:w="1272"/>
      </w:tblGrid>
      <w:tr w:rsidR="0078794A" w:rsidRPr="00847710" w14:paraId="21877C7C" w14:textId="77777777" w:rsidTr="00C002BE">
        <w:trPr>
          <w:cantSplit/>
          <w:trHeight w:val="1656"/>
        </w:trPr>
        <w:tc>
          <w:tcPr>
            <w:tcW w:w="401" w:type="dxa"/>
            <w:shd w:val="clear" w:color="auto" w:fill="E36C0A" w:themeFill="accent6" w:themeFillShade="BF"/>
            <w:vAlign w:val="center"/>
            <w:hideMark/>
          </w:tcPr>
          <w:p w14:paraId="3BA7A812" w14:textId="77777777" w:rsidR="000D2BF5" w:rsidRPr="00847710" w:rsidRDefault="000D2BF5" w:rsidP="00B622A9">
            <w:pPr>
              <w:spacing w:after="0" w:line="240" w:lineRule="auto"/>
              <w:jc w:val="center"/>
              <w:rPr>
                <w:rFonts w:ascii="Times New Roman" w:eastAsia="Times New Roman" w:hAnsi="Times New Roman" w:cs="Times New Roman"/>
                <w:b/>
                <w:bCs/>
                <w:sz w:val="20"/>
                <w:szCs w:val="20"/>
                <w:lang w:eastAsia="lv-LV"/>
              </w:rPr>
            </w:pPr>
          </w:p>
        </w:tc>
        <w:tc>
          <w:tcPr>
            <w:tcW w:w="1437" w:type="dxa"/>
            <w:shd w:val="clear" w:color="auto" w:fill="E36C0A" w:themeFill="accent6" w:themeFillShade="BF"/>
            <w:vAlign w:val="center"/>
            <w:hideMark/>
          </w:tcPr>
          <w:p w14:paraId="29E79282" w14:textId="77777777" w:rsidR="000D2BF5" w:rsidRPr="00847710" w:rsidRDefault="000D2BF5" w:rsidP="00B622A9">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A" w:themeFill="accent6" w:themeFillShade="BF"/>
            <w:textDirection w:val="btLr"/>
            <w:vAlign w:val="center"/>
            <w:hideMark/>
          </w:tcPr>
          <w:p w14:paraId="33EC4225" w14:textId="77777777" w:rsidR="000D2BF5" w:rsidRPr="00847710" w:rsidRDefault="000D2BF5" w:rsidP="00B622A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09B252C5" w14:textId="34FC786D" w:rsidR="000D2BF5" w:rsidRPr="00847710" w:rsidRDefault="00B90565" w:rsidP="00B622A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w:t>
            </w:r>
            <w:r w:rsidR="000D2BF5" w:rsidRPr="00847710">
              <w:rPr>
                <w:rFonts w:ascii="Times New Roman" w:eastAsia="Times New Roman" w:hAnsi="Times New Roman" w:cs="Times New Roman"/>
                <w:b/>
                <w:bCs/>
                <w:sz w:val="20"/>
                <w:szCs w:val="20"/>
                <w:lang w:eastAsia="lv-LV"/>
              </w:rPr>
              <w:t>zmaksas</w:t>
            </w:r>
            <w:r w:rsidRPr="00847710">
              <w:rPr>
                <w:rFonts w:ascii="Times New Roman" w:eastAsia="Times New Roman" w:hAnsi="Times New Roman" w:cs="Times New Roman"/>
                <w:b/>
                <w:bCs/>
                <w:sz w:val="20"/>
                <w:szCs w:val="20"/>
                <w:lang w:eastAsia="lv-LV"/>
              </w:rPr>
              <w:t>*</w:t>
            </w:r>
          </w:p>
          <w:p w14:paraId="191E146E" w14:textId="77777777" w:rsidR="000D2BF5" w:rsidRPr="00847710" w:rsidRDefault="000D2BF5" w:rsidP="00B622A9">
            <w:pPr>
              <w:spacing w:after="0" w:line="240" w:lineRule="auto"/>
              <w:ind w:left="113" w:right="113"/>
              <w:jc w:val="center"/>
              <w:rPr>
                <w:rFonts w:ascii="Times New Roman" w:eastAsia="Times New Roman" w:hAnsi="Times New Roman" w:cs="Times New Roman"/>
                <w:b/>
                <w:bCs/>
                <w:sz w:val="20"/>
                <w:szCs w:val="20"/>
                <w:lang w:eastAsia="lv-LV"/>
              </w:rPr>
            </w:pPr>
          </w:p>
        </w:tc>
        <w:tc>
          <w:tcPr>
            <w:tcW w:w="3118" w:type="dxa"/>
            <w:gridSpan w:val="2"/>
            <w:shd w:val="clear" w:color="auto" w:fill="E36C0A" w:themeFill="accent6" w:themeFillShade="BF"/>
            <w:textDirection w:val="btLr"/>
            <w:vAlign w:val="center"/>
            <w:hideMark/>
          </w:tcPr>
          <w:p w14:paraId="320270AA" w14:textId="77777777" w:rsidR="000D2BF5" w:rsidRPr="00847710" w:rsidRDefault="000D2BF5" w:rsidP="00B622A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A" w:themeFill="accent6" w:themeFillShade="BF"/>
            <w:textDirection w:val="btLr"/>
            <w:vAlign w:val="center"/>
            <w:hideMark/>
          </w:tcPr>
          <w:p w14:paraId="22A90626" w14:textId="77777777" w:rsidR="000D2BF5" w:rsidRPr="00847710" w:rsidRDefault="000D2BF5" w:rsidP="00B622A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A" w:themeFill="accent6" w:themeFillShade="BF"/>
            <w:textDirection w:val="btLr"/>
            <w:vAlign w:val="center"/>
          </w:tcPr>
          <w:p w14:paraId="495D91DB" w14:textId="77777777" w:rsidR="000D2BF5" w:rsidRPr="00847710" w:rsidRDefault="000D2BF5" w:rsidP="00B622A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A" w:themeFill="accent6" w:themeFillShade="BF"/>
            <w:textDirection w:val="btLr"/>
            <w:vAlign w:val="center"/>
            <w:hideMark/>
          </w:tcPr>
          <w:p w14:paraId="25B1654A" w14:textId="77777777" w:rsidR="000D2BF5" w:rsidRPr="00847710" w:rsidRDefault="000D2BF5" w:rsidP="00B622A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78794A" w:rsidRPr="00847710" w14:paraId="38742D21" w14:textId="77777777" w:rsidTr="00C002BE">
        <w:trPr>
          <w:trHeight w:val="640"/>
        </w:trPr>
        <w:tc>
          <w:tcPr>
            <w:tcW w:w="401" w:type="dxa"/>
            <w:shd w:val="clear" w:color="auto" w:fill="FABF8F" w:themeFill="accent6" w:themeFillTint="99"/>
            <w:vAlign w:val="center"/>
          </w:tcPr>
          <w:p w14:paraId="65BF6827" w14:textId="77777777" w:rsidR="000D2BF5" w:rsidRPr="00847710" w:rsidRDefault="000D2BF5" w:rsidP="00B622A9">
            <w:pPr>
              <w:spacing w:after="0" w:line="240" w:lineRule="auto"/>
              <w:jc w:val="center"/>
              <w:rPr>
                <w:rFonts w:ascii="Times New Roman" w:eastAsia="Times New Roman" w:hAnsi="Times New Roman" w:cs="Times New Roman"/>
                <w:b/>
                <w:bCs/>
                <w:sz w:val="20"/>
                <w:szCs w:val="20"/>
                <w:lang w:eastAsia="lv-LV"/>
              </w:rPr>
            </w:pPr>
          </w:p>
        </w:tc>
        <w:tc>
          <w:tcPr>
            <w:tcW w:w="1437" w:type="dxa"/>
            <w:shd w:val="clear" w:color="auto" w:fill="FABF8F" w:themeFill="accent6" w:themeFillTint="99"/>
            <w:vAlign w:val="center"/>
          </w:tcPr>
          <w:p w14:paraId="7B0B8877" w14:textId="77777777" w:rsidR="000D2BF5" w:rsidRPr="00847710" w:rsidRDefault="000D2BF5" w:rsidP="00B622A9">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047F3771" w14:textId="77777777" w:rsidR="000D2BF5" w:rsidRPr="00847710" w:rsidRDefault="000D2BF5" w:rsidP="00B622A9">
            <w:pPr>
              <w:spacing w:after="0" w:line="240" w:lineRule="auto"/>
              <w:jc w:val="center"/>
              <w:rPr>
                <w:rFonts w:ascii="Times New Roman" w:eastAsia="Times New Roman" w:hAnsi="Times New Roman" w:cs="Times New Roman"/>
                <w:i/>
                <w:iCs/>
                <w:sz w:val="20"/>
                <w:szCs w:val="20"/>
                <w:lang w:eastAsia="lv-LV"/>
              </w:rPr>
            </w:pPr>
          </w:p>
          <w:p w14:paraId="1F7EA76B" w14:textId="77777777" w:rsidR="000D2BF5" w:rsidRPr="00847710" w:rsidRDefault="000D2BF5" w:rsidP="00B622A9">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58E984A5" w14:textId="771544B8" w:rsidR="000D2BF5" w:rsidRPr="00847710" w:rsidRDefault="000D2BF5" w:rsidP="00B622A9">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14:paraId="11928071" w14:textId="77777777" w:rsidR="000D2BF5" w:rsidRPr="00847710" w:rsidRDefault="000D2BF5" w:rsidP="00B622A9">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3C562201" w14:textId="5A820D59" w:rsidR="000D2BF5" w:rsidRPr="00847710" w:rsidRDefault="000D2BF5" w:rsidP="00B622A9">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14:paraId="4F63479F" w14:textId="77777777" w:rsidR="000D2BF5" w:rsidRPr="00847710" w:rsidRDefault="000D2BF5" w:rsidP="00B622A9">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BF8F" w:themeFill="accent6" w:themeFillTint="99"/>
            <w:vAlign w:val="center"/>
          </w:tcPr>
          <w:p w14:paraId="2EBF6EA3" w14:textId="77777777" w:rsidR="000D2BF5" w:rsidRPr="00847710" w:rsidRDefault="000D2BF5" w:rsidP="00B622A9">
            <w:pPr>
              <w:spacing w:after="0" w:line="240" w:lineRule="auto"/>
              <w:jc w:val="center"/>
              <w:rPr>
                <w:rFonts w:ascii="Times New Roman" w:eastAsia="Times New Roman" w:hAnsi="Times New Roman" w:cs="Times New Roman"/>
                <w:bCs/>
                <w:i/>
                <w:iCs/>
                <w:sz w:val="20"/>
                <w:szCs w:val="20"/>
                <w:lang w:eastAsia="lv-LV"/>
              </w:rPr>
            </w:pPr>
          </w:p>
          <w:p w14:paraId="01042ED2" w14:textId="77777777" w:rsidR="000D2BF5" w:rsidRPr="00C002BE" w:rsidRDefault="000D2BF5" w:rsidP="00C002BE">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BF8F" w:themeFill="accent6" w:themeFillTint="99"/>
            <w:vAlign w:val="center"/>
          </w:tcPr>
          <w:p w14:paraId="1884EC55" w14:textId="02791E76" w:rsidR="000D2BF5" w:rsidRPr="00847710" w:rsidRDefault="000D2BF5" w:rsidP="00B622A9">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BF8F" w:themeFill="accent6" w:themeFillTint="99"/>
            <w:vAlign w:val="center"/>
          </w:tcPr>
          <w:p w14:paraId="3E6B3BA4" w14:textId="7AD0D7A6" w:rsidR="000D2BF5" w:rsidRPr="00847710" w:rsidRDefault="000D2BF5" w:rsidP="00B622A9">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BF8F" w:themeFill="accent6" w:themeFillTint="99"/>
            <w:vAlign w:val="center"/>
          </w:tcPr>
          <w:p w14:paraId="32DBE1DA" w14:textId="71A844B0" w:rsidR="000D2BF5" w:rsidRPr="00847710" w:rsidRDefault="000D2BF5" w:rsidP="00B622A9">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rsidR="00613881" w:rsidRPr="00847710" w14:paraId="38A96BB3" w14:textId="77777777" w:rsidTr="00C002BE">
        <w:trPr>
          <w:trHeight w:val="525"/>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42906" w14:textId="77777777" w:rsidR="00613881" w:rsidRPr="00847710" w:rsidRDefault="00613881" w:rsidP="0061388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6A372" w14:textId="77777777" w:rsidR="00613881" w:rsidRPr="00847710" w:rsidRDefault="00613881" w:rsidP="006138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Speciālistu konsultācijas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92535" w14:textId="483E3917" w:rsidR="00613881" w:rsidRPr="00847710" w:rsidRDefault="00C0594C"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xml:space="preserve">        18.77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51F18" w14:textId="718A076A" w:rsidR="00613881" w:rsidRPr="00847710" w:rsidRDefault="00613881"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31 491 142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6C871" w14:textId="6D2F2FBE" w:rsidR="00613881" w:rsidRPr="00847710" w:rsidRDefault="00613881"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45 487 218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46007" w14:textId="4456027B" w:rsidR="00613881" w:rsidRPr="00847710" w:rsidRDefault="00613881" w:rsidP="00613881">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2 039 642</w:t>
            </w:r>
          </w:p>
        </w:tc>
        <w:tc>
          <w:tcPr>
            <w:tcW w:w="1272" w:type="dxa"/>
            <w:tcBorders>
              <w:top w:val="single" w:sz="4" w:space="0" w:color="auto"/>
              <w:left w:val="single" w:sz="4" w:space="0" w:color="auto"/>
              <w:bottom w:val="single" w:sz="4" w:space="0" w:color="auto"/>
              <w:right w:val="single" w:sz="4" w:space="0" w:color="auto"/>
            </w:tcBorders>
            <w:vAlign w:val="bottom"/>
          </w:tcPr>
          <w:p w14:paraId="0344E99A" w14:textId="5FBE48B5" w:rsidR="00613881" w:rsidRPr="00C002BE" w:rsidRDefault="00613881" w:rsidP="00C002BE">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2 513 240</w:t>
            </w:r>
          </w:p>
        </w:tc>
        <w:tc>
          <w:tcPr>
            <w:tcW w:w="1272" w:type="dxa"/>
            <w:tcBorders>
              <w:top w:val="single" w:sz="4" w:space="0" w:color="auto"/>
              <w:left w:val="single" w:sz="4" w:space="0" w:color="auto"/>
              <w:bottom w:val="single" w:sz="4" w:space="0" w:color="auto"/>
              <w:right w:val="single" w:sz="4" w:space="0" w:color="auto"/>
            </w:tcBorders>
            <w:vAlign w:val="bottom"/>
          </w:tcPr>
          <w:p w14:paraId="05C27292" w14:textId="5737BBD9" w:rsidR="00613881" w:rsidRPr="00C002BE" w:rsidRDefault="00613881" w:rsidP="00C002BE">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2 423 400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1F24F" w14:textId="7D6CA208" w:rsidR="00613881" w:rsidRPr="00C002BE" w:rsidRDefault="00613881" w:rsidP="00C002BE">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2 532 065</w:t>
            </w:r>
          </w:p>
        </w:tc>
      </w:tr>
      <w:tr w:rsidR="00613881" w:rsidRPr="00847710" w14:paraId="1B2ED2BB" w14:textId="77777777" w:rsidTr="00C002BE">
        <w:trPr>
          <w:trHeight w:val="708"/>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586A8" w14:textId="77777777" w:rsidR="00613881" w:rsidRPr="00847710" w:rsidRDefault="00613881" w:rsidP="0061388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tcPr>
          <w:p w14:paraId="415BCE45" w14:textId="77777777" w:rsidR="00613881" w:rsidRPr="00847710" w:rsidRDefault="00613881" w:rsidP="006138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Ambulatorie</w:t>
            </w:r>
          </w:p>
          <w:p w14:paraId="7A0514D7" w14:textId="77777777" w:rsidR="00613881" w:rsidRPr="00847710" w:rsidRDefault="00613881" w:rsidP="006138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izmeklējumi un terapija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D6BE6" w14:textId="7F5F5CD7" w:rsidR="00613881" w:rsidRPr="00847710" w:rsidRDefault="00C0594C"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xml:space="preserve">        24.89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130B2" w14:textId="5933DBEE" w:rsidR="00613881" w:rsidRPr="00847710" w:rsidRDefault="00613881"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49 946 508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5E3D9" w14:textId="63E9D6DB" w:rsidR="00613881" w:rsidRPr="00847710" w:rsidRDefault="00613881"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53 456 203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2C4BD" w14:textId="1FF60773" w:rsidR="00613881" w:rsidRPr="00847710" w:rsidRDefault="00613881" w:rsidP="00613881">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5 156 113</w:t>
            </w:r>
          </w:p>
        </w:tc>
        <w:tc>
          <w:tcPr>
            <w:tcW w:w="1272" w:type="dxa"/>
            <w:tcBorders>
              <w:top w:val="single" w:sz="4" w:space="0" w:color="auto"/>
              <w:left w:val="single" w:sz="4" w:space="0" w:color="auto"/>
              <w:bottom w:val="single" w:sz="4" w:space="0" w:color="auto"/>
              <w:right w:val="single" w:sz="4" w:space="0" w:color="auto"/>
            </w:tcBorders>
            <w:vAlign w:val="bottom"/>
          </w:tcPr>
          <w:p w14:paraId="39125662" w14:textId="743B9523" w:rsidR="00613881" w:rsidRPr="00C002BE" w:rsidRDefault="00613881" w:rsidP="00C002BE">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2 172 775</w:t>
            </w:r>
          </w:p>
        </w:tc>
        <w:tc>
          <w:tcPr>
            <w:tcW w:w="1272" w:type="dxa"/>
            <w:tcBorders>
              <w:top w:val="single" w:sz="4" w:space="0" w:color="auto"/>
              <w:left w:val="single" w:sz="4" w:space="0" w:color="auto"/>
              <w:bottom w:val="single" w:sz="4" w:space="0" w:color="auto"/>
              <w:right w:val="single" w:sz="4" w:space="0" w:color="auto"/>
            </w:tcBorders>
            <w:vAlign w:val="bottom"/>
          </w:tcPr>
          <w:p w14:paraId="0F88D1A2" w14:textId="05D1616A" w:rsidR="00613881" w:rsidRPr="00C002BE" w:rsidRDefault="00613881" w:rsidP="00C002BE">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2 147 698</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EFA23" w14:textId="6DA322A0" w:rsidR="00613881" w:rsidRPr="00C002BE" w:rsidRDefault="00613881" w:rsidP="00C002BE">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2 354 854</w:t>
            </w:r>
          </w:p>
        </w:tc>
      </w:tr>
      <w:tr w:rsidR="00613881" w:rsidRPr="00847710" w14:paraId="6B1D660C" w14:textId="77777777" w:rsidTr="00C002BE">
        <w:trPr>
          <w:trHeight w:val="846"/>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70462" w14:textId="77777777" w:rsidR="00613881" w:rsidRPr="00847710" w:rsidRDefault="00613881"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tcPr>
          <w:p w14:paraId="1B500323" w14:textId="77777777" w:rsidR="00613881" w:rsidRPr="00847710" w:rsidRDefault="00613881" w:rsidP="006138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Dienas stacionārā sniegtie pakalpojumi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51FF7" w14:textId="55FA97D3" w:rsidR="00613881" w:rsidRPr="00847710" w:rsidRDefault="00C0594C"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xml:space="preserve">      110.36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84728" w14:textId="3B07CD49" w:rsidR="00613881" w:rsidRPr="00847710" w:rsidRDefault="00613881"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44 840 266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EB01B" w14:textId="5FE556C8" w:rsidR="00613881" w:rsidRPr="00847710" w:rsidRDefault="00613881"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58 144 380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6EF33" w14:textId="7E7CA023" w:rsidR="00613881" w:rsidRPr="00847710" w:rsidRDefault="00613881" w:rsidP="00613881">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3 872 422</w:t>
            </w:r>
          </w:p>
        </w:tc>
        <w:tc>
          <w:tcPr>
            <w:tcW w:w="1272" w:type="dxa"/>
            <w:tcBorders>
              <w:top w:val="single" w:sz="4" w:space="0" w:color="auto"/>
              <w:left w:val="single" w:sz="4" w:space="0" w:color="auto"/>
              <w:bottom w:val="single" w:sz="4" w:space="0" w:color="auto"/>
              <w:right w:val="single" w:sz="4" w:space="0" w:color="auto"/>
            </w:tcBorders>
            <w:vAlign w:val="bottom"/>
          </w:tcPr>
          <w:p w14:paraId="5D5346E0" w14:textId="45C800CF" w:rsidR="00613881" w:rsidRPr="00C002BE" w:rsidRDefault="00613881" w:rsidP="00C002BE">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542 548</w:t>
            </w:r>
          </w:p>
        </w:tc>
        <w:tc>
          <w:tcPr>
            <w:tcW w:w="1272" w:type="dxa"/>
            <w:tcBorders>
              <w:top w:val="single" w:sz="4" w:space="0" w:color="auto"/>
              <w:left w:val="single" w:sz="4" w:space="0" w:color="auto"/>
              <w:bottom w:val="single" w:sz="4" w:space="0" w:color="auto"/>
              <w:right w:val="single" w:sz="4" w:space="0" w:color="auto"/>
            </w:tcBorders>
            <w:vAlign w:val="bottom"/>
          </w:tcPr>
          <w:p w14:paraId="5ED2E6ED" w14:textId="3A308119" w:rsidR="00613881" w:rsidRPr="00C002BE" w:rsidRDefault="00613881" w:rsidP="00C002BE">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526 861</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1ECFC" w14:textId="0EDBFAAC" w:rsidR="00613881" w:rsidRPr="00C002BE" w:rsidRDefault="00613881" w:rsidP="00C002BE">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561 950</w:t>
            </w:r>
          </w:p>
        </w:tc>
      </w:tr>
      <w:tr w:rsidR="00613881" w:rsidRPr="00847710" w14:paraId="78909546" w14:textId="77777777" w:rsidTr="00C002BE">
        <w:trPr>
          <w:trHeight w:val="510"/>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0C6C7" w14:textId="77777777" w:rsidR="00613881" w:rsidRPr="00847710" w:rsidRDefault="00613881" w:rsidP="0061388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4.</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6BA35" w14:textId="77777777" w:rsidR="00613881" w:rsidRPr="00847710" w:rsidRDefault="00613881" w:rsidP="006138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Ambulatorā rehabilitācija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224AC" w14:textId="06A4F3B4" w:rsidR="00613881" w:rsidRPr="00847710" w:rsidRDefault="00613881"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xml:space="preserve">        12.9</w:t>
            </w:r>
            <w:r w:rsidR="00C0594C" w:rsidRPr="00847710">
              <w:rPr>
                <w:rFonts w:ascii="Times New Roman" w:hAnsi="Times New Roman" w:cs="Times New Roman"/>
                <w:sz w:val="20"/>
                <w:szCs w:val="20"/>
              </w:rPr>
              <w:t>2</w:t>
            </w:r>
            <w:r w:rsidRPr="00847710">
              <w:rPr>
                <w:rFonts w:ascii="Times New Roman" w:hAnsi="Times New Roman" w:cs="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5B4C6" w14:textId="16CBE692" w:rsidR="00613881" w:rsidRPr="00847710" w:rsidRDefault="00613881"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5 612 557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4E50C" w14:textId="32BE9AF1" w:rsidR="00613881" w:rsidRPr="00847710" w:rsidRDefault="00613881"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9 587 379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3E463" w14:textId="53169BE6" w:rsidR="00613881" w:rsidRPr="00847710" w:rsidRDefault="00613881" w:rsidP="00613881">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 xml:space="preserve">381 </w:t>
            </w:r>
            <w:r w:rsidR="00C0594C" w:rsidRPr="00847710">
              <w:rPr>
                <w:rFonts w:ascii="Times New Roman" w:hAnsi="Times New Roman" w:cs="Times New Roman"/>
                <w:sz w:val="20"/>
                <w:szCs w:val="20"/>
              </w:rPr>
              <w:t>476</w:t>
            </w:r>
          </w:p>
        </w:tc>
        <w:tc>
          <w:tcPr>
            <w:tcW w:w="1272" w:type="dxa"/>
            <w:tcBorders>
              <w:top w:val="single" w:sz="4" w:space="0" w:color="auto"/>
              <w:left w:val="single" w:sz="4" w:space="0" w:color="auto"/>
              <w:bottom w:val="single" w:sz="4" w:space="0" w:color="auto"/>
              <w:right w:val="single" w:sz="4" w:space="0" w:color="auto"/>
            </w:tcBorders>
            <w:vAlign w:val="bottom"/>
          </w:tcPr>
          <w:p w14:paraId="142D7A71" w14:textId="1BE0E2E9" w:rsidR="00613881" w:rsidRPr="00560715" w:rsidRDefault="00613881" w:rsidP="00C002BE">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772 944</w:t>
            </w:r>
          </w:p>
        </w:tc>
        <w:tc>
          <w:tcPr>
            <w:tcW w:w="1272" w:type="dxa"/>
            <w:tcBorders>
              <w:top w:val="single" w:sz="4" w:space="0" w:color="auto"/>
              <w:left w:val="single" w:sz="4" w:space="0" w:color="auto"/>
              <w:bottom w:val="single" w:sz="4" w:space="0" w:color="auto"/>
              <w:right w:val="single" w:sz="4" w:space="0" w:color="auto"/>
            </w:tcBorders>
            <w:vAlign w:val="bottom"/>
          </w:tcPr>
          <w:p w14:paraId="2FBEF7AD" w14:textId="2BAA70EA" w:rsidR="00613881" w:rsidRPr="00560715" w:rsidRDefault="00613881" w:rsidP="00C002BE">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742 287</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06B48" w14:textId="298FA0C3" w:rsidR="00613881" w:rsidRPr="00560715" w:rsidRDefault="00613881" w:rsidP="00C002BE">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771 813</w:t>
            </w:r>
          </w:p>
        </w:tc>
      </w:tr>
      <w:tr w:rsidR="0078794A" w:rsidRPr="00847710" w14:paraId="61D4FA18" w14:textId="77777777" w:rsidTr="00C002BE">
        <w:trPr>
          <w:trHeight w:val="300"/>
        </w:trPr>
        <w:tc>
          <w:tcPr>
            <w:tcW w:w="401" w:type="dxa"/>
            <w:shd w:val="clear" w:color="auto" w:fill="FBD4B4" w:themeFill="accent6" w:themeFillTint="66"/>
            <w:noWrap/>
            <w:vAlign w:val="bottom"/>
            <w:hideMark/>
          </w:tcPr>
          <w:p w14:paraId="5DBBA2C0" w14:textId="77777777" w:rsidR="00613881" w:rsidRPr="00847710" w:rsidRDefault="00613881" w:rsidP="00613881">
            <w:pPr>
              <w:spacing w:after="0" w:line="240" w:lineRule="auto"/>
              <w:jc w:val="right"/>
              <w:rPr>
                <w:rFonts w:ascii="Times New Roman" w:eastAsia="Times New Roman" w:hAnsi="Times New Roman" w:cs="Times New Roman"/>
                <w:sz w:val="20"/>
                <w:szCs w:val="20"/>
                <w:lang w:eastAsia="lv-LV"/>
              </w:rPr>
            </w:pPr>
          </w:p>
        </w:tc>
        <w:tc>
          <w:tcPr>
            <w:tcW w:w="1437" w:type="dxa"/>
            <w:shd w:val="clear" w:color="auto" w:fill="FBD4B4" w:themeFill="accent6" w:themeFillTint="66"/>
            <w:noWrap/>
            <w:vAlign w:val="bottom"/>
            <w:hideMark/>
          </w:tcPr>
          <w:p w14:paraId="025F9790" w14:textId="77777777" w:rsidR="00613881" w:rsidRPr="00847710" w:rsidRDefault="00613881" w:rsidP="006138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hideMark/>
          </w:tcPr>
          <w:p w14:paraId="284633CC" w14:textId="77777777" w:rsidR="00613881" w:rsidRPr="00847710" w:rsidRDefault="00613881" w:rsidP="00613881">
            <w:pPr>
              <w:spacing w:after="0" w:line="240" w:lineRule="auto"/>
              <w:jc w:val="center"/>
              <w:rPr>
                <w:rFonts w:ascii="Times New Roman" w:eastAsia="Times New Roman" w:hAnsi="Times New Roman" w:cs="Times New Roman"/>
                <w:sz w:val="20"/>
                <w:szCs w:val="20"/>
                <w:lang w:eastAsia="lv-LV"/>
              </w:rPr>
            </w:pPr>
          </w:p>
        </w:tc>
        <w:tc>
          <w:tcPr>
            <w:tcW w:w="1559" w:type="dxa"/>
            <w:shd w:val="clear" w:color="auto" w:fill="FBD4B4" w:themeFill="accent6" w:themeFillTint="66"/>
            <w:noWrap/>
            <w:vAlign w:val="bottom"/>
            <w:hideMark/>
          </w:tcPr>
          <w:p w14:paraId="283DF3B4" w14:textId="2303A190" w:rsidR="00613881" w:rsidRPr="00847710" w:rsidRDefault="00613881"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131 890 473</w:t>
            </w:r>
          </w:p>
        </w:tc>
        <w:tc>
          <w:tcPr>
            <w:tcW w:w="1559" w:type="dxa"/>
            <w:shd w:val="clear" w:color="auto" w:fill="FBD4B4" w:themeFill="accent6" w:themeFillTint="66"/>
            <w:noWrap/>
            <w:vAlign w:val="bottom"/>
            <w:hideMark/>
          </w:tcPr>
          <w:p w14:paraId="6BBAFBA8" w14:textId="0F951A13" w:rsidR="00613881" w:rsidRPr="00847710" w:rsidRDefault="00613881"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166 675 180</w:t>
            </w:r>
          </w:p>
        </w:tc>
        <w:tc>
          <w:tcPr>
            <w:tcW w:w="1285" w:type="dxa"/>
            <w:shd w:val="clear" w:color="auto" w:fill="FBD4B4" w:themeFill="accent6" w:themeFillTint="66"/>
            <w:noWrap/>
            <w:vAlign w:val="bottom"/>
            <w:hideMark/>
          </w:tcPr>
          <w:p w14:paraId="7F554FDE" w14:textId="00F10A97" w:rsidR="00613881" w:rsidRPr="00847710" w:rsidRDefault="00613881" w:rsidP="00613881">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 xml:space="preserve">11 449 </w:t>
            </w:r>
            <w:r w:rsidR="00C0594C" w:rsidRPr="00847710">
              <w:rPr>
                <w:rFonts w:ascii="Times New Roman" w:hAnsi="Times New Roman" w:cs="Times New Roman"/>
                <w:sz w:val="20"/>
                <w:szCs w:val="20"/>
              </w:rPr>
              <w:t>653</w:t>
            </w:r>
          </w:p>
        </w:tc>
        <w:tc>
          <w:tcPr>
            <w:tcW w:w="1272" w:type="dxa"/>
            <w:shd w:val="clear" w:color="auto" w:fill="FBD4B4" w:themeFill="accent6" w:themeFillTint="66"/>
            <w:vAlign w:val="bottom"/>
          </w:tcPr>
          <w:p w14:paraId="06E5F0F6" w14:textId="522ABC4C" w:rsidR="00613881" w:rsidRPr="00560715" w:rsidRDefault="00613881" w:rsidP="00560715">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6 001 507</w:t>
            </w:r>
          </w:p>
        </w:tc>
        <w:tc>
          <w:tcPr>
            <w:tcW w:w="1272" w:type="dxa"/>
            <w:shd w:val="clear" w:color="auto" w:fill="FBD4B4" w:themeFill="accent6" w:themeFillTint="66"/>
            <w:vAlign w:val="bottom"/>
          </w:tcPr>
          <w:p w14:paraId="3E59C3D7" w14:textId="26AEF010" w:rsidR="00613881" w:rsidRPr="00560715" w:rsidRDefault="00613881" w:rsidP="00560715">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5 840 246</w:t>
            </w:r>
          </w:p>
        </w:tc>
        <w:tc>
          <w:tcPr>
            <w:tcW w:w="1272" w:type="dxa"/>
            <w:shd w:val="clear" w:color="auto" w:fill="FBD4B4" w:themeFill="accent6" w:themeFillTint="66"/>
            <w:noWrap/>
            <w:vAlign w:val="bottom"/>
            <w:hideMark/>
          </w:tcPr>
          <w:p w14:paraId="14BAEAF8" w14:textId="08E52859" w:rsidR="00613881" w:rsidRPr="00560715" w:rsidRDefault="00613881" w:rsidP="00560715">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6 220 682</w:t>
            </w:r>
          </w:p>
        </w:tc>
      </w:tr>
    </w:tbl>
    <w:p w14:paraId="68095124" w14:textId="41C17985" w:rsidR="00A81563" w:rsidRPr="00847710" w:rsidRDefault="0032746B" w:rsidP="0032746B">
      <w:pPr>
        <w:ind w:hanging="709"/>
        <w:jc w:val="both"/>
        <w:rPr>
          <w:rFonts w:ascii="Times New Roman" w:hAnsi="Times New Roman" w:cs="Times New Roman"/>
          <w:sz w:val="20"/>
          <w:szCs w:val="20"/>
          <w:lang w:eastAsia="lv-LV"/>
        </w:rPr>
      </w:pPr>
      <w:r w:rsidRPr="00847710">
        <w:rPr>
          <w:rFonts w:ascii="Times New Roman" w:hAnsi="Times New Roman" w:cs="Times New Roman"/>
          <w:sz w:val="20"/>
          <w:szCs w:val="20"/>
          <w:lang w:eastAsia="lv-LV"/>
        </w:rPr>
        <w:t>*</w:t>
      </w:r>
      <w:r w:rsidR="00B90565" w:rsidRPr="00847710">
        <w:rPr>
          <w:rFonts w:ascii="Times New Roman" w:hAnsi="Times New Roman" w:cs="Times New Roman"/>
          <w:sz w:val="20"/>
          <w:szCs w:val="20"/>
          <w:lang w:eastAsia="lv-LV"/>
        </w:rPr>
        <w:t>t.sk. tarifa palielinājums saistībā ar darba samaksas pieaugumu</w:t>
      </w:r>
    </w:p>
    <w:p w14:paraId="6F9B52E1" w14:textId="321A2BF3" w:rsidR="00B622A9" w:rsidRPr="00847710" w:rsidRDefault="006D5EF0" w:rsidP="00B622A9">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Straujāku papildus pakalpojumu sniegšanu </w:t>
      </w:r>
      <w:r w:rsidR="00B622A9" w:rsidRPr="00847710">
        <w:rPr>
          <w:rFonts w:ascii="Times New Roman" w:hAnsi="Times New Roman" w:cs="Times New Roman"/>
          <w:sz w:val="24"/>
          <w:szCs w:val="24"/>
          <w:lang w:eastAsia="lv-LV"/>
        </w:rPr>
        <w:t xml:space="preserve">ierobežo </w:t>
      </w:r>
      <w:r w:rsidRPr="00847710">
        <w:rPr>
          <w:rFonts w:ascii="Times New Roman" w:hAnsi="Times New Roman" w:cs="Times New Roman"/>
          <w:sz w:val="24"/>
          <w:szCs w:val="24"/>
          <w:lang w:eastAsia="lv-LV"/>
        </w:rPr>
        <w:t xml:space="preserve">arī </w:t>
      </w:r>
      <w:r w:rsidR="00B622A9" w:rsidRPr="00847710">
        <w:rPr>
          <w:rFonts w:ascii="Times New Roman" w:hAnsi="Times New Roman" w:cs="Times New Roman"/>
          <w:sz w:val="24"/>
          <w:szCs w:val="24"/>
          <w:lang w:eastAsia="lv-LV"/>
        </w:rPr>
        <w:t xml:space="preserve">ārstniecības iestāžu spēja </w:t>
      </w:r>
      <w:r w:rsidRPr="00847710">
        <w:rPr>
          <w:rFonts w:ascii="Times New Roman" w:hAnsi="Times New Roman" w:cs="Times New Roman"/>
          <w:sz w:val="24"/>
          <w:szCs w:val="24"/>
          <w:lang w:eastAsia="lv-LV"/>
        </w:rPr>
        <w:t xml:space="preserve">(kapacitāte) </w:t>
      </w:r>
      <w:r w:rsidR="00B622A9" w:rsidRPr="00847710">
        <w:rPr>
          <w:rFonts w:ascii="Times New Roman" w:hAnsi="Times New Roman" w:cs="Times New Roman"/>
          <w:sz w:val="24"/>
          <w:szCs w:val="24"/>
          <w:lang w:eastAsia="lv-LV"/>
        </w:rPr>
        <w:t xml:space="preserve">sniegt nepieciešamos pakalpojumus valsts pasūtītajā apjomā. </w:t>
      </w:r>
      <w:r w:rsidR="00653333" w:rsidRPr="00847710">
        <w:rPr>
          <w:rFonts w:ascii="Times New Roman" w:hAnsi="Times New Roman" w:cs="Times New Roman"/>
          <w:sz w:val="24"/>
          <w:szCs w:val="24"/>
          <w:lang w:eastAsia="lv-LV"/>
        </w:rPr>
        <w:t>Tam pamatā ir atšķirība starp faktisko tirgus cenu pakalpojuma apmaksas tarifu</w:t>
      </w:r>
      <w:r w:rsidR="00B622A9" w:rsidRPr="00847710">
        <w:rPr>
          <w:rFonts w:ascii="Times New Roman" w:hAnsi="Times New Roman" w:cs="Times New Roman"/>
          <w:sz w:val="24"/>
          <w:szCs w:val="24"/>
          <w:lang w:eastAsia="lv-LV"/>
        </w:rPr>
        <w:t>, galvenokārt darba samaksas jomā</w:t>
      </w:r>
      <w:r w:rsidRPr="00847710">
        <w:rPr>
          <w:rFonts w:ascii="Times New Roman" w:hAnsi="Times New Roman" w:cs="Times New Roman"/>
          <w:sz w:val="24"/>
          <w:szCs w:val="24"/>
          <w:lang w:eastAsia="lv-LV"/>
        </w:rPr>
        <w:t xml:space="preserve">, kas pietiekami ātri neatļauj piesaistīt uz maksas pakalpojumu sektoru </w:t>
      </w:r>
      <w:r w:rsidR="00ED69A6" w:rsidRPr="00847710">
        <w:rPr>
          <w:rFonts w:ascii="Times New Roman" w:hAnsi="Times New Roman" w:cs="Times New Roman"/>
          <w:sz w:val="24"/>
          <w:szCs w:val="24"/>
          <w:lang w:eastAsia="lv-LV"/>
        </w:rPr>
        <w:t>pārgājušo</w:t>
      </w:r>
      <w:r w:rsidRPr="00847710">
        <w:rPr>
          <w:rFonts w:ascii="Times New Roman" w:hAnsi="Times New Roman" w:cs="Times New Roman"/>
          <w:sz w:val="24"/>
          <w:szCs w:val="24"/>
          <w:lang w:eastAsia="lv-LV"/>
        </w:rPr>
        <w:t xml:space="preserve"> darbaspēku</w:t>
      </w:r>
      <w:r w:rsidR="00B622A9" w:rsidRPr="00847710">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 xml:space="preserve">Lai apzinātu situāciju, Nacionālais veselības dienests (turpmāk – </w:t>
      </w:r>
      <w:r w:rsidR="00B622A9" w:rsidRPr="00847710">
        <w:rPr>
          <w:rFonts w:ascii="Times New Roman" w:hAnsi="Times New Roman" w:cs="Times New Roman"/>
          <w:sz w:val="24"/>
          <w:szCs w:val="24"/>
          <w:lang w:eastAsia="lv-LV"/>
        </w:rPr>
        <w:t>NVD</w:t>
      </w:r>
      <w:r w:rsidRPr="00847710">
        <w:rPr>
          <w:rFonts w:ascii="Times New Roman" w:hAnsi="Times New Roman" w:cs="Times New Roman"/>
          <w:sz w:val="24"/>
          <w:szCs w:val="24"/>
          <w:lang w:eastAsia="lv-LV"/>
        </w:rPr>
        <w:t>)</w:t>
      </w:r>
      <w:r w:rsidR="00B622A9" w:rsidRPr="00847710">
        <w:rPr>
          <w:rFonts w:ascii="Times New Roman" w:hAnsi="Times New Roman" w:cs="Times New Roman"/>
          <w:sz w:val="24"/>
          <w:szCs w:val="24"/>
          <w:lang w:eastAsia="lv-LV"/>
        </w:rPr>
        <w:t xml:space="preserve"> </w:t>
      </w:r>
      <w:r w:rsidR="0079658A" w:rsidRPr="00847710">
        <w:rPr>
          <w:rFonts w:ascii="Times New Roman" w:hAnsi="Times New Roman" w:cs="Times New Roman"/>
          <w:sz w:val="24"/>
          <w:szCs w:val="24"/>
          <w:lang w:eastAsia="lv-LV"/>
        </w:rPr>
        <w:t>2017</w:t>
      </w:r>
      <w:r w:rsidR="00B622A9" w:rsidRPr="00847710">
        <w:rPr>
          <w:rFonts w:ascii="Times New Roman" w:hAnsi="Times New Roman" w:cs="Times New Roman"/>
          <w:sz w:val="24"/>
          <w:szCs w:val="24"/>
          <w:lang w:eastAsia="lv-LV"/>
        </w:rPr>
        <w:t xml:space="preserve">.gada </w:t>
      </w:r>
      <w:r w:rsidR="0079658A" w:rsidRPr="00847710">
        <w:rPr>
          <w:rFonts w:ascii="Times New Roman" w:hAnsi="Times New Roman" w:cs="Times New Roman"/>
          <w:sz w:val="24"/>
          <w:szCs w:val="24"/>
          <w:lang w:eastAsia="lv-LV"/>
        </w:rPr>
        <w:t xml:space="preserve">novembrī  </w:t>
      </w:r>
      <w:r w:rsidR="00B622A9" w:rsidRPr="00847710">
        <w:rPr>
          <w:rFonts w:ascii="Times New Roman" w:hAnsi="Times New Roman" w:cs="Times New Roman"/>
          <w:sz w:val="24"/>
          <w:szCs w:val="24"/>
          <w:lang w:eastAsia="lv-LV"/>
        </w:rPr>
        <w:t xml:space="preserve">veicis pakalpojumu sniedzēju aptauju par iespējām turpmāk sniegt papildus </w:t>
      </w:r>
      <w:r w:rsidRPr="00847710">
        <w:rPr>
          <w:rFonts w:ascii="Times New Roman" w:hAnsi="Times New Roman" w:cs="Times New Roman"/>
          <w:sz w:val="24"/>
          <w:szCs w:val="24"/>
          <w:lang w:eastAsia="lv-LV"/>
        </w:rPr>
        <w:t xml:space="preserve">valsts apmaksātus </w:t>
      </w:r>
      <w:r w:rsidR="00B622A9" w:rsidRPr="00847710">
        <w:rPr>
          <w:rFonts w:ascii="Times New Roman" w:hAnsi="Times New Roman" w:cs="Times New Roman"/>
          <w:sz w:val="24"/>
          <w:szCs w:val="24"/>
          <w:lang w:eastAsia="lv-LV"/>
        </w:rPr>
        <w:t>ambulatoros veselības aprūpes pakalpojumus.</w:t>
      </w:r>
    </w:p>
    <w:p w14:paraId="65655F57" w14:textId="77777777" w:rsidR="00FB010E" w:rsidRPr="00847710" w:rsidRDefault="00FB010E">
      <w:pPr>
        <w:rPr>
          <w:rFonts w:ascii="Times New Roman" w:hAnsi="Times New Roman" w:cs="Times New Roman"/>
          <w:i/>
          <w:sz w:val="24"/>
          <w:szCs w:val="24"/>
        </w:rPr>
      </w:pPr>
      <w:r w:rsidRPr="00847710">
        <w:rPr>
          <w:rFonts w:ascii="Times New Roman" w:hAnsi="Times New Roman" w:cs="Times New Roman"/>
          <w:i/>
          <w:sz w:val="24"/>
          <w:szCs w:val="24"/>
        </w:rPr>
        <w:br w:type="page"/>
      </w:r>
    </w:p>
    <w:p w14:paraId="34C77474" w14:textId="4800E531" w:rsidR="00B622A9" w:rsidRPr="00560715" w:rsidRDefault="0020102F">
      <w:pPr>
        <w:jc w:val="right"/>
        <w:rPr>
          <w:rFonts w:ascii="Times New Roman" w:hAnsi="Times New Roman" w:cs="Times New Roman"/>
          <w:i/>
          <w:iCs/>
          <w:sz w:val="24"/>
          <w:szCs w:val="24"/>
        </w:rPr>
      </w:pPr>
      <w:r w:rsidRPr="57326167">
        <w:rPr>
          <w:rFonts w:ascii="Times New Roman" w:hAnsi="Times New Roman" w:cs="Times New Roman"/>
          <w:i/>
          <w:iCs/>
          <w:sz w:val="24"/>
          <w:szCs w:val="24"/>
        </w:rPr>
        <w:lastRenderedPageBreak/>
        <w:t>5</w:t>
      </w:r>
      <w:r w:rsidR="00B622A9" w:rsidRPr="57326167">
        <w:rPr>
          <w:rFonts w:ascii="Times New Roman" w:hAnsi="Times New Roman" w:cs="Times New Roman"/>
          <w:i/>
          <w:iCs/>
          <w:sz w:val="24"/>
          <w:szCs w:val="24"/>
        </w:rPr>
        <w:t xml:space="preserve">.tabula </w:t>
      </w:r>
    </w:p>
    <w:p w14:paraId="62CB6393" w14:textId="22B8E2C4" w:rsidR="00B622A9" w:rsidRPr="00847710" w:rsidRDefault="00B622A9" w:rsidP="00BE2F17">
      <w:pPr>
        <w:spacing w:after="120" w:line="240" w:lineRule="auto"/>
        <w:jc w:val="center"/>
        <w:rPr>
          <w:rFonts w:ascii="Times New Roman" w:hAnsi="Times New Roman" w:cs="Times New Roman"/>
          <w:sz w:val="24"/>
          <w:szCs w:val="24"/>
          <w:lang w:eastAsia="lv-LV"/>
        </w:rPr>
      </w:pPr>
      <w:r w:rsidRPr="0012317D">
        <w:rPr>
          <w:rFonts w:ascii="Times New Roman" w:hAnsi="Times New Roman" w:cs="Times New Roman"/>
          <w:b/>
          <w:bCs/>
          <w:sz w:val="24"/>
          <w:szCs w:val="24"/>
        </w:rPr>
        <w:t xml:space="preserve">Ārstniecības iestāžu iespējas sniegt papildus </w:t>
      </w:r>
      <w:r w:rsidR="006D5EF0" w:rsidRPr="0012317D">
        <w:rPr>
          <w:rFonts w:ascii="Times New Roman" w:hAnsi="Times New Roman" w:cs="Times New Roman"/>
          <w:b/>
          <w:bCs/>
          <w:sz w:val="24"/>
          <w:szCs w:val="24"/>
        </w:rPr>
        <w:t xml:space="preserve">valsts apmaksātus </w:t>
      </w:r>
      <w:r w:rsidRPr="0012317D">
        <w:rPr>
          <w:rFonts w:ascii="Times New Roman" w:hAnsi="Times New Roman" w:cs="Times New Roman"/>
          <w:b/>
          <w:bCs/>
          <w:sz w:val="24"/>
          <w:szCs w:val="24"/>
        </w:rPr>
        <w:t>veselības aprūpes pakalpojumus</w:t>
      </w:r>
    </w:p>
    <w:tbl>
      <w:tblPr>
        <w:tblW w:w="6091" w:type="dxa"/>
        <w:jc w:val="center"/>
        <w:tblLook w:val="04A0" w:firstRow="1" w:lastRow="0" w:firstColumn="1" w:lastColumn="0" w:noHBand="0" w:noVBand="1"/>
      </w:tblPr>
      <w:tblGrid>
        <w:gridCol w:w="864"/>
        <w:gridCol w:w="2959"/>
        <w:gridCol w:w="2268"/>
      </w:tblGrid>
      <w:tr w:rsidR="00B622A9" w:rsidRPr="00847710" w14:paraId="5F040953" w14:textId="77777777" w:rsidTr="00560715">
        <w:trPr>
          <w:trHeight w:val="276"/>
          <w:jc w:val="center"/>
        </w:trPr>
        <w:tc>
          <w:tcPr>
            <w:tcW w:w="864"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2FB7EBA6" w14:textId="77777777" w:rsidR="00B622A9" w:rsidRPr="00847710" w:rsidRDefault="00B622A9" w:rsidP="00B622A9">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Nr. p. k.</w:t>
            </w:r>
          </w:p>
        </w:tc>
        <w:tc>
          <w:tcPr>
            <w:tcW w:w="2959"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DD812B3" w14:textId="77777777" w:rsidR="00B622A9" w:rsidRPr="00847710" w:rsidRDefault="00B622A9" w:rsidP="00B622A9">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Pakalpojumu veids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25523D3D" w14:textId="77777777" w:rsidR="00B622A9" w:rsidRPr="00847710" w:rsidRDefault="00B622A9" w:rsidP="00B622A9">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Pakalpojumu skaits gadā</w:t>
            </w:r>
          </w:p>
        </w:tc>
      </w:tr>
      <w:tr w:rsidR="00B622A9" w:rsidRPr="00847710" w14:paraId="7D9BFF92" w14:textId="77777777" w:rsidTr="00B622A9">
        <w:trPr>
          <w:trHeight w:val="509"/>
          <w:jc w:val="center"/>
        </w:trPr>
        <w:tc>
          <w:tcPr>
            <w:tcW w:w="864" w:type="dxa"/>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8E6AFE3" w14:textId="77777777" w:rsidR="00B622A9" w:rsidRPr="00847710" w:rsidRDefault="00B622A9" w:rsidP="00B622A9">
            <w:pPr>
              <w:spacing w:after="0" w:line="240" w:lineRule="auto"/>
              <w:rPr>
                <w:rFonts w:ascii="Times New Roman" w:eastAsia="Times New Roman" w:hAnsi="Times New Roman" w:cs="Times New Roman"/>
                <w:bCs/>
                <w:color w:val="000000"/>
                <w:sz w:val="24"/>
                <w:szCs w:val="24"/>
                <w:lang w:eastAsia="lv-LV"/>
              </w:rPr>
            </w:pPr>
          </w:p>
        </w:tc>
        <w:tc>
          <w:tcPr>
            <w:tcW w:w="2959" w:type="dxa"/>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04F65F2D" w14:textId="77777777" w:rsidR="00B622A9" w:rsidRPr="00847710" w:rsidRDefault="00B622A9" w:rsidP="00B622A9">
            <w:pPr>
              <w:spacing w:after="0" w:line="240" w:lineRule="auto"/>
              <w:rPr>
                <w:rFonts w:ascii="Times New Roman" w:eastAsia="Times New Roman" w:hAnsi="Times New Roman" w:cs="Times New Roman"/>
                <w:bCs/>
                <w:color w:val="000000"/>
                <w:sz w:val="24"/>
                <w:szCs w:val="24"/>
                <w:lang w:eastAsia="lv-LV"/>
              </w:rPr>
            </w:pPr>
          </w:p>
        </w:tc>
        <w:tc>
          <w:tcPr>
            <w:tcW w:w="2268" w:type="dxa"/>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AADEE4D" w14:textId="77777777" w:rsidR="00B622A9" w:rsidRPr="00847710" w:rsidRDefault="00B622A9" w:rsidP="00B622A9">
            <w:pPr>
              <w:spacing w:after="0" w:line="240" w:lineRule="auto"/>
              <w:rPr>
                <w:rFonts w:ascii="Times New Roman" w:eastAsia="Times New Roman" w:hAnsi="Times New Roman" w:cs="Times New Roman"/>
                <w:bCs/>
                <w:color w:val="000000"/>
                <w:sz w:val="24"/>
                <w:szCs w:val="24"/>
                <w:lang w:eastAsia="lv-LV"/>
              </w:rPr>
            </w:pPr>
          </w:p>
        </w:tc>
      </w:tr>
      <w:tr w:rsidR="00612166" w:rsidRPr="00847710" w14:paraId="14E85392" w14:textId="77777777" w:rsidTr="00560715">
        <w:trPr>
          <w:trHeight w:val="315"/>
          <w:jc w:val="center"/>
        </w:trPr>
        <w:tc>
          <w:tcPr>
            <w:tcW w:w="864" w:type="dxa"/>
            <w:tcBorders>
              <w:top w:val="nil"/>
              <w:left w:val="single" w:sz="4" w:space="0" w:color="auto"/>
              <w:bottom w:val="single" w:sz="4" w:space="0" w:color="auto"/>
              <w:right w:val="single" w:sz="4" w:space="0" w:color="auto"/>
            </w:tcBorders>
            <w:shd w:val="clear" w:color="auto" w:fill="auto"/>
            <w:vAlign w:val="bottom"/>
            <w:hideMark/>
          </w:tcPr>
          <w:p w14:paraId="093A3AFD" w14:textId="77777777" w:rsidR="00612166" w:rsidRPr="00847710" w:rsidRDefault="00612166" w:rsidP="00612166">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w:t>
            </w:r>
          </w:p>
        </w:tc>
        <w:tc>
          <w:tcPr>
            <w:tcW w:w="2959" w:type="dxa"/>
            <w:tcBorders>
              <w:top w:val="nil"/>
              <w:left w:val="nil"/>
              <w:bottom w:val="single" w:sz="4" w:space="0" w:color="auto"/>
              <w:right w:val="single" w:sz="4" w:space="0" w:color="auto"/>
            </w:tcBorders>
            <w:shd w:val="clear" w:color="auto" w:fill="auto"/>
            <w:noWrap/>
            <w:vAlign w:val="bottom"/>
            <w:hideMark/>
          </w:tcPr>
          <w:p w14:paraId="19F5B5AF" w14:textId="77777777" w:rsidR="00612166" w:rsidRPr="00847710" w:rsidRDefault="00612166" w:rsidP="00612166">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Izmeklējumi</w:t>
            </w:r>
          </w:p>
        </w:tc>
        <w:tc>
          <w:tcPr>
            <w:tcW w:w="2268" w:type="dxa"/>
            <w:tcBorders>
              <w:top w:val="nil"/>
              <w:left w:val="nil"/>
              <w:bottom w:val="single" w:sz="4" w:space="0" w:color="auto"/>
              <w:right w:val="single" w:sz="4" w:space="0" w:color="auto"/>
            </w:tcBorders>
            <w:shd w:val="clear" w:color="auto" w:fill="auto"/>
            <w:noWrap/>
            <w:vAlign w:val="bottom"/>
            <w:hideMark/>
          </w:tcPr>
          <w:p w14:paraId="0247BB47" w14:textId="3A430BF1" w:rsidR="00612166" w:rsidRPr="00847710" w:rsidRDefault="00105C1B"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369 711</w:t>
            </w:r>
          </w:p>
        </w:tc>
      </w:tr>
      <w:tr w:rsidR="00612166" w:rsidRPr="00847710" w14:paraId="6051C092" w14:textId="77777777" w:rsidTr="00560715">
        <w:trPr>
          <w:trHeight w:val="315"/>
          <w:jc w:val="center"/>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FDACFC9" w14:textId="77777777" w:rsidR="00612166" w:rsidRPr="00847710" w:rsidRDefault="00612166" w:rsidP="00612166">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w:t>
            </w:r>
          </w:p>
        </w:tc>
        <w:tc>
          <w:tcPr>
            <w:tcW w:w="2959" w:type="dxa"/>
            <w:tcBorders>
              <w:top w:val="nil"/>
              <w:left w:val="nil"/>
              <w:bottom w:val="single" w:sz="4" w:space="0" w:color="auto"/>
              <w:right w:val="single" w:sz="4" w:space="0" w:color="auto"/>
            </w:tcBorders>
            <w:shd w:val="clear" w:color="auto" w:fill="auto"/>
            <w:noWrap/>
            <w:vAlign w:val="bottom"/>
            <w:hideMark/>
          </w:tcPr>
          <w:p w14:paraId="78622CA4" w14:textId="77777777" w:rsidR="00612166" w:rsidRPr="00847710" w:rsidRDefault="00612166" w:rsidP="00612166">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Rehabilitācijas pakalpojumi</w:t>
            </w:r>
          </w:p>
        </w:tc>
        <w:tc>
          <w:tcPr>
            <w:tcW w:w="2268" w:type="dxa"/>
            <w:tcBorders>
              <w:top w:val="nil"/>
              <w:left w:val="nil"/>
              <w:bottom w:val="single" w:sz="4" w:space="0" w:color="auto"/>
              <w:right w:val="single" w:sz="4" w:space="0" w:color="auto"/>
            </w:tcBorders>
            <w:shd w:val="clear" w:color="auto" w:fill="auto"/>
            <w:noWrap/>
            <w:vAlign w:val="bottom"/>
            <w:hideMark/>
          </w:tcPr>
          <w:p w14:paraId="6957973C" w14:textId="09825918" w:rsidR="00612166" w:rsidRPr="00847710" w:rsidRDefault="00105C1B"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218 573</w:t>
            </w:r>
          </w:p>
        </w:tc>
      </w:tr>
      <w:tr w:rsidR="00612166" w:rsidRPr="00847710" w14:paraId="60A33567" w14:textId="77777777" w:rsidTr="00560715">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5590D5" w14:textId="77777777" w:rsidR="00612166" w:rsidRPr="00847710" w:rsidRDefault="00612166" w:rsidP="00612166">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3</w:t>
            </w:r>
          </w:p>
        </w:tc>
        <w:tc>
          <w:tcPr>
            <w:tcW w:w="2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21584" w14:textId="77777777" w:rsidR="00612166" w:rsidRPr="00847710" w:rsidRDefault="00612166" w:rsidP="00612166">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Speciālistu konsultācijas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0567F" w14:textId="6B6FB09F" w:rsidR="00612166" w:rsidRPr="00847710" w:rsidRDefault="00105C1B"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405 614</w:t>
            </w:r>
          </w:p>
        </w:tc>
      </w:tr>
      <w:tr w:rsidR="00612166" w:rsidRPr="00847710" w14:paraId="7B527B33" w14:textId="77777777" w:rsidTr="00560715">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4A681" w14:textId="77777777" w:rsidR="00612166" w:rsidRPr="00847710" w:rsidRDefault="00612166" w:rsidP="00612166">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4</w:t>
            </w:r>
          </w:p>
        </w:tc>
        <w:tc>
          <w:tcPr>
            <w:tcW w:w="2959" w:type="dxa"/>
            <w:tcBorders>
              <w:top w:val="single" w:sz="4" w:space="0" w:color="auto"/>
              <w:left w:val="nil"/>
              <w:bottom w:val="single" w:sz="4" w:space="0" w:color="auto"/>
              <w:right w:val="single" w:sz="4" w:space="0" w:color="auto"/>
            </w:tcBorders>
            <w:shd w:val="clear" w:color="auto" w:fill="auto"/>
            <w:noWrap/>
            <w:vAlign w:val="bottom"/>
            <w:hideMark/>
          </w:tcPr>
          <w:p w14:paraId="14B486E5" w14:textId="77777777" w:rsidR="00612166" w:rsidRPr="00847710" w:rsidRDefault="00612166" w:rsidP="00612166">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Dienas stacionārs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CA7C58C" w14:textId="6CA329CA" w:rsidR="00612166" w:rsidRPr="00847710" w:rsidRDefault="00105C1B"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80 931</w:t>
            </w:r>
          </w:p>
        </w:tc>
      </w:tr>
      <w:tr w:rsidR="00612166" w:rsidRPr="00847710" w14:paraId="3094D82F" w14:textId="77777777" w:rsidTr="00560715">
        <w:trPr>
          <w:trHeight w:val="315"/>
          <w:jc w:val="center"/>
        </w:trPr>
        <w:tc>
          <w:tcPr>
            <w:tcW w:w="864"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14:paraId="264D50BC" w14:textId="77777777" w:rsidR="00612166" w:rsidRPr="00847710" w:rsidRDefault="00612166" w:rsidP="00612166">
            <w:pPr>
              <w:spacing w:after="0" w:line="240" w:lineRule="auto"/>
              <w:jc w:val="right"/>
              <w:rPr>
                <w:rFonts w:ascii="Times New Roman" w:eastAsia="Times New Roman" w:hAnsi="Times New Roman" w:cs="Times New Roman"/>
                <w:b/>
                <w:bCs/>
                <w:color w:val="000000"/>
                <w:sz w:val="24"/>
                <w:szCs w:val="24"/>
                <w:lang w:eastAsia="lv-LV"/>
              </w:rPr>
            </w:pPr>
          </w:p>
        </w:tc>
        <w:tc>
          <w:tcPr>
            <w:tcW w:w="2959" w:type="dxa"/>
            <w:tcBorders>
              <w:top w:val="nil"/>
              <w:left w:val="nil"/>
              <w:bottom w:val="single" w:sz="4" w:space="0" w:color="auto"/>
              <w:right w:val="single" w:sz="4" w:space="0" w:color="auto"/>
            </w:tcBorders>
            <w:shd w:val="clear" w:color="auto" w:fill="FBD4B4" w:themeFill="accent6" w:themeFillTint="66"/>
            <w:noWrap/>
            <w:vAlign w:val="bottom"/>
            <w:hideMark/>
          </w:tcPr>
          <w:p w14:paraId="7F1F03DA" w14:textId="77777777" w:rsidR="00612166" w:rsidRPr="00847710" w:rsidRDefault="00612166" w:rsidP="00612166">
            <w:pPr>
              <w:spacing w:after="0" w:line="240" w:lineRule="auto"/>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Kopā</w:t>
            </w:r>
          </w:p>
        </w:tc>
        <w:tc>
          <w:tcPr>
            <w:tcW w:w="2268" w:type="dxa"/>
            <w:tcBorders>
              <w:top w:val="nil"/>
              <w:left w:val="nil"/>
              <w:bottom w:val="single" w:sz="4" w:space="0" w:color="auto"/>
              <w:right w:val="single" w:sz="4" w:space="0" w:color="auto"/>
            </w:tcBorders>
            <w:shd w:val="clear" w:color="auto" w:fill="FBD4B4" w:themeFill="accent6" w:themeFillTint="66"/>
            <w:noWrap/>
            <w:vAlign w:val="bottom"/>
            <w:hideMark/>
          </w:tcPr>
          <w:p w14:paraId="63E3ADF1" w14:textId="5E9750B8" w:rsidR="00612166" w:rsidRPr="00847710" w:rsidRDefault="00105C1B" w:rsidP="00AB7C24">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hAnsi="Times New Roman" w:cs="Times New Roman"/>
                <w:b/>
                <w:bCs/>
                <w:color w:val="000000"/>
                <w:sz w:val="24"/>
                <w:szCs w:val="24"/>
              </w:rPr>
              <w:t>1 074 829</w:t>
            </w:r>
          </w:p>
        </w:tc>
      </w:tr>
    </w:tbl>
    <w:p w14:paraId="5936508D" w14:textId="446F0302" w:rsidR="00B622A9" w:rsidRPr="00560715" w:rsidRDefault="00105C1B" w:rsidP="00560715">
      <w:pPr>
        <w:spacing w:after="120"/>
        <w:jc w:val="both"/>
        <w:rPr>
          <w:rFonts w:ascii="Times New Roman" w:hAnsi="Times New Roman" w:cs="Times New Roman"/>
          <w:i/>
          <w:iCs/>
          <w:sz w:val="20"/>
          <w:szCs w:val="20"/>
        </w:rPr>
      </w:pPr>
      <w:r w:rsidRPr="57326167">
        <w:rPr>
          <w:rFonts w:ascii="Times New Roman" w:hAnsi="Times New Roman" w:cs="Times New Roman"/>
          <w:i/>
          <w:iCs/>
          <w:sz w:val="20"/>
          <w:szCs w:val="20"/>
        </w:rPr>
        <w:t>Avots: NVD, 2017</w:t>
      </w:r>
      <w:r w:rsidR="00B622A9" w:rsidRPr="57326167">
        <w:rPr>
          <w:rFonts w:ascii="Times New Roman" w:hAnsi="Times New Roman" w:cs="Times New Roman"/>
          <w:i/>
          <w:iCs/>
          <w:sz w:val="20"/>
          <w:szCs w:val="20"/>
        </w:rPr>
        <w:t xml:space="preserve">.gada </w:t>
      </w:r>
      <w:r w:rsidRPr="57326167">
        <w:rPr>
          <w:rFonts w:ascii="Times New Roman" w:hAnsi="Times New Roman" w:cs="Times New Roman"/>
          <w:i/>
          <w:iCs/>
          <w:sz w:val="20"/>
          <w:szCs w:val="20"/>
        </w:rPr>
        <w:t xml:space="preserve">novembra </w:t>
      </w:r>
      <w:r w:rsidR="006922CE" w:rsidRPr="57326167">
        <w:rPr>
          <w:rFonts w:ascii="Times New Roman" w:hAnsi="Times New Roman" w:cs="Times New Roman"/>
          <w:i/>
          <w:iCs/>
          <w:sz w:val="20"/>
          <w:szCs w:val="20"/>
        </w:rPr>
        <w:t>dati</w:t>
      </w:r>
    </w:p>
    <w:p w14:paraId="3F7CD7BE" w14:textId="0D8A6E27" w:rsidR="005B46C3" w:rsidRPr="00847710" w:rsidRDefault="005B46C3" w:rsidP="005B46C3">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Kā secināms, lai </w:t>
      </w:r>
      <w:r w:rsidR="00B622A9" w:rsidRPr="00847710">
        <w:rPr>
          <w:rFonts w:ascii="Times New Roman" w:hAnsi="Times New Roman" w:cs="Times New Roman"/>
          <w:sz w:val="24"/>
          <w:szCs w:val="24"/>
          <w:lang w:eastAsia="lv-LV"/>
        </w:rPr>
        <w:t xml:space="preserve">nodrošinātu </w:t>
      </w:r>
      <w:r w:rsidRPr="00847710">
        <w:rPr>
          <w:rFonts w:ascii="Times New Roman" w:hAnsi="Times New Roman" w:cs="Times New Roman"/>
          <w:sz w:val="24"/>
          <w:szCs w:val="24"/>
          <w:lang w:eastAsia="lv-LV"/>
        </w:rPr>
        <w:t>ārstniecības iestāžu iespējas sniegt vēl vairāk valsts apmaksātus pakalpojumus</w:t>
      </w:r>
      <w:r w:rsidR="00B622A9" w:rsidRPr="00847710">
        <w:rPr>
          <w:rFonts w:ascii="Times New Roman" w:hAnsi="Times New Roman" w:cs="Times New Roman"/>
          <w:sz w:val="24"/>
          <w:szCs w:val="24"/>
          <w:lang w:eastAsia="lv-LV"/>
        </w:rPr>
        <w:t>, nepieciešams pakāpeniski palielināt ārstniecības personu darba samaksu, tādējādi ārstniecības personām radot apstākļus izvēlēties sniegt valsts apmaksātus pakalpojumus</w:t>
      </w:r>
      <w:r w:rsidR="0085238C" w:rsidRPr="00847710">
        <w:rPr>
          <w:rFonts w:ascii="Times New Roman" w:hAnsi="Times New Roman" w:cs="Times New Roman"/>
          <w:sz w:val="24"/>
          <w:szCs w:val="24"/>
          <w:lang w:eastAsia="lv-LV"/>
        </w:rPr>
        <w:t>,</w:t>
      </w:r>
      <w:r w:rsidR="00B622A9" w:rsidRPr="00847710">
        <w:rPr>
          <w:rFonts w:ascii="Times New Roman" w:hAnsi="Times New Roman" w:cs="Times New Roman"/>
          <w:sz w:val="24"/>
          <w:szCs w:val="24"/>
          <w:lang w:eastAsia="lv-LV"/>
        </w:rPr>
        <w:t xml:space="preserve"> maksas pakalpojumu vietā. </w:t>
      </w:r>
    </w:p>
    <w:p w14:paraId="11886911" w14:textId="1C54EA12" w:rsidR="00FA37E8" w:rsidRPr="00847710" w:rsidRDefault="00B622A9" w:rsidP="000D42A5">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2018.gadā darba samaksas palielinājumam ārstniecības pakalpojumu tarifā plānots novirzīt 94 324 232 </w:t>
      </w:r>
      <w:r w:rsidRPr="57326167">
        <w:rPr>
          <w:rFonts w:ascii="Times New Roman" w:hAnsi="Times New Roman" w:cs="Times New Roman"/>
          <w:i/>
          <w:iCs/>
          <w:sz w:val="24"/>
          <w:szCs w:val="24"/>
          <w:lang w:eastAsia="lv-LV"/>
        </w:rPr>
        <w:t>euro</w:t>
      </w:r>
      <w:r w:rsidRPr="00847710">
        <w:rPr>
          <w:rFonts w:ascii="Times New Roman" w:hAnsi="Times New Roman" w:cs="Times New Roman"/>
          <w:sz w:val="24"/>
          <w:szCs w:val="24"/>
          <w:lang w:eastAsia="lv-LV"/>
        </w:rPr>
        <w:t>, kas ambulatorajā sektorā tarifā iekļauto darba samaksu ļaus palielināt</w:t>
      </w:r>
      <w:r w:rsidR="00BE6F25" w:rsidRPr="00847710">
        <w:rPr>
          <w:rFonts w:ascii="Times New Roman" w:hAnsi="Times New Roman" w:cs="Times New Roman"/>
          <w:sz w:val="24"/>
          <w:szCs w:val="24"/>
          <w:lang w:eastAsia="lv-LV"/>
        </w:rPr>
        <w:t>: ārstiem un funkcionāliem speciālistiem līdz 1125 euro, ārstniecības un pacientu aprūpes personām un funkcionālo speciālistu asistentiem līdz 675 euro, ārstniecības un pacientu aprūpes atbalsta personām līdz 450 euro</w:t>
      </w:r>
      <w:r w:rsidRPr="00847710">
        <w:rPr>
          <w:rFonts w:ascii="Times New Roman" w:hAnsi="Times New Roman" w:cs="Times New Roman"/>
          <w:sz w:val="24"/>
          <w:szCs w:val="24"/>
          <w:lang w:eastAsia="lv-LV"/>
        </w:rPr>
        <w:t xml:space="preserve">. Tādējādi prognozējams, ka </w:t>
      </w:r>
      <w:r w:rsidR="00A91F6B" w:rsidRPr="00847710">
        <w:rPr>
          <w:rFonts w:ascii="Times New Roman" w:hAnsi="Times New Roman" w:cs="Times New Roman"/>
          <w:sz w:val="24"/>
          <w:szCs w:val="24"/>
          <w:lang w:eastAsia="lv-LV"/>
        </w:rPr>
        <w:t xml:space="preserve">palielināsies ārstniecības iestāžu </w:t>
      </w:r>
      <w:r w:rsidR="005B46C3" w:rsidRPr="00847710">
        <w:rPr>
          <w:rFonts w:ascii="Times New Roman" w:hAnsi="Times New Roman" w:cs="Times New Roman"/>
          <w:sz w:val="24"/>
          <w:szCs w:val="24"/>
          <w:lang w:eastAsia="lv-LV"/>
        </w:rPr>
        <w:t xml:space="preserve">iespējas piesaistīt papildus personālu un sniegt vēl lielāku pakalpojumu apjomu. </w:t>
      </w:r>
      <w:r w:rsidR="00A91F6B" w:rsidRPr="00847710">
        <w:rPr>
          <w:rFonts w:ascii="Times New Roman" w:hAnsi="Times New Roman" w:cs="Times New Roman"/>
          <w:sz w:val="24"/>
          <w:szCs w:val="24"/>
          <w:lang w:eastAsia="lv-LV"/>
        </w:rPr>
        <w:t xml:space="preserve"> Tomēr ņemot vērā, ka darba samaksas pieaugums netiks nodrošināts sākotnēji plānotajā apjomā, turklāt </w:t>
      </w:r>
      <w:r w:rsidR="005B46C3" w:rsidRPr="00847710">
        <w:rPr>
          <w:rFonts w:ascii="Times New Roman" w:hAnsi="Times New Roman" w:cs="Times New Roman"/>
          <w:sz w:val="24"/>
          <w:szCs w:val="24"/>
          <w:lang w:eastAsia="lv-LV"/>
        </w:rPr>
        <w:t xml:space="preserve">papildus personāla piesaistei nepieciešams zināms </w:t>
      </w:r>
      <w:r w:rsidR="00B87639" w:rsidRPr="00847710">
        <w:rPr>
          <w:rFonts w:ascii="Times New Roman" w:hAnsi="Times New Roman" w:cs="Times New Roman"/>
          <w:sz w:val="24"/>
          <w:szCs w:val="24"/>
          <w:lang w:eastAsia="lv-LV"/>
        </w:rPr>
        <w:t>laiks</w:t>
      </w:r>
      <w:r w:rsidR="00A91F6B" w:rsidRPr="00847710">
        <w:rPr>
          <w:rFonts w:ascii="Times New Roman" w:hAnsi="Times New Roman" w:cs="Times New Roman"/>
          <w:sz w:val="24"/>
          <w:szCs w:val="24"/>
          <w:lang w:eastAsia="lv-LV"/>
        </w:rPr>
        <w:t xml:space="preserve">, veicot 2019.gada pakalpojumu pieauguma plānošanu, </w:t>
      </w:r>
      <w:r w:rsidR="0059241E" w:rsidRPr="00847710">
        <w:rPr>
          <w:rFonts w:ascii="Times New Roman" w:hAnsi="Times New Roman" w:cs="Times New Roman"/>
          <w:sz w:val="24"/>
          <w:szCs w:val="24"/>
          <w:lang w:eastAsia="lv-LV"/>
        </w:rPr>
        <w:t xml:space="preserve">ārstniecības iestāžu aptauja </w:t>
      </w:r>
      <w:r w:rsidR="00A91F6B" w:rsidRPr="00847710">
        <w:rPr>
          <w:rFonts w:ascii="Times New Roman" w:hAnsi="Times New Roman" w:cs="Times New Roman"/>
          <w:sz w:val="24"/>
          <w:szCs w:val="24"/>
          <w:lang w:eastAsia="lv-LV"/>
        </w:rPr>
        <w:t>tiks veikta</w:t>
      </w:r>
      <w:r w:rsidR="0059241E" w:rsidRPr="00847710">
        <w:rPr>
          <w:rFonts w:ascii="Times New Roman" w:hAnsi="Times New Roman" w:cs="Times New Roman"/>
          <w:sz w:val="24"/>
          <w:szCs w:val="24"/>
          <w:lang w:eastAsia="lv-LV"/>
        </w:rPr>
        <w:t xml:space="preserve"> atkārtoti</w:t>
      </w:r>
      <w:r w:rsidR="00BC431E" w:rsidRPr="00847710">
        <w:rPr>
          <w:rFonts w:ascii="Times New Roman" w:hAnsi="Times New Roman" w:cs="Times New Roman"/>
          <w:sz w:val="24"/>
          <w:szCs w:val="24"/>
          <w:lang w:eastAsia="lv-LV"/>
        </w:rPr>
        <w:t xml:space="preserve"> 2018.gada </w:t>
      </w:r>
      <w:r w:rsidR="00C7691B" w:rsidRPr="00847710">
        <w:rPr>
          <w:rFonts w:ascii="Times New Roman" w:hAnsi="Times New Roman" w:cs="Times New Roman"/>
          <w:sz w:val="24"/>
          <w:szCs w:val="24"/>
          <w:lang w:eastAsia="lv-LV"/>
        </w:rPr>
        <w:t xml:space="preserve">2. vai </w:t>
      </w:r>
      <w:r w:rsidR="00BC431E" w:rsidRPr="00847710">
        <w:rPr>
          <w:rFonts w:ascii="Times New Roman" w:hAnsi="Times New Roman" w:cs="Times New Roman"/>
          <w:sz w:val="24"/>
          <w:szCs w:val="24"/>
          <w:lang w:eastAsia="lv-LV"/>
        </w:rPr>
        <w:t>3.ceturksnī.</w:t>
      </w:r>
    </w:p>
    <w:p w14:paraId="294F9E6A" w14:textId="7B141221" w:rsidR="00D07823" w:rsidRPr="00560715" w:rsidRDefault="00CB4F41" w:rsidP="00560715">
      <w:pPr>
        <w:pStyle w:val="Heading2"/>
        <w:spacing w:before="100" w:beforeAutospacing="1"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1.2</w:t>
      </w:r>
      <w:r w:rsidR="005B46C3" w:rsidRPr="0012317D">
        <w:rPr>
          <w:rFonts w:ascii="Times New Roman" w:hAnsi="Times New Roman" w:cs="Times New Roman"/>
          <w:b/>
          <w:bCs/>
          <w:color w:val="auto"/>
          <w:sz w:val="24"/>
          <w:szCs w:val="24"/>
          <w:u w:val="single"/>
        </w:rPr>
        <w:t xml:space="preserve">. Jaunā </w:t>
      </w:r>
      <w:r w:rsidR="00B55D67" w:rsidRPr="0012317D">
        <w:rPr>
          <w:rFonts w:ascii="Times New Roman" w:hAnsi="Times New Roman" w:cs="Times New Roman"/>
          <w:b/>
          <w:bCs/>
          <w:color w:val="auto"/>
          <w:sz w:val="24"/>
          <w:szCs w:val="24"/>
          <w:u w:val="single"/>
        </w:rPr>
        <w:t xml:space="preserve">reformas </w:t>
      </w:r>
      <w:r w:rsidR="005B46C3" w:rsidRPr="0078437D">
        <w:rPr>
          <w:rFonts w:ascii="Times New Roman" w:hAnsi="Times New Roman" w:cs="Times New Roman"/>
          <w:b/>
          <w:bCs/>
          <w:color w:val="auto"/>
          <w:sz w:val="24"/>
          <w:szCs w:val="24"/>
          <w:u w:val="single"/>
        </w:rPr>
        <w:t>iniciatīva 2018. gadā - d</w:t>
      </w:r>
      <w:r w:rsidR="00D07823" w:rsidRPr="00901A9F">
        <w:rPr>
          <w:rFonts w:ascii="Times New Roman" w:hAnsi="Times New Roman" w:cs="Times New Roman"/>
          <w:b/>
          <w:bCs/>
          <w:color w:val="auto"/>
          <w:sz w:val="24"/>
          <w:szCs w:val="24"/>
          <w:u w:val="single"/>
        </w:rPr>
        <w:t>iabēta apmācības kabinetu izveide</w:t>
      </w:r>
    </w:p>
    <w:p w14:paraId="073349A7" w14:textId="003210CA" w:rsidR="00993086" w:rsidRPr="00847710" w:rsidRDefault="00993086" w:rsidP="00560715">
      <w:pPr>
        <w:spacing w:before="100" w:beforeAutospacing="1" w:after="120"/>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Viens no globālajiem mērķiem, ko uzstādījusi Pasaules </w:t>
      </w:r>
      <w:r w:rsidR="005B46C3" w:rsidRPr="00847710">
        <w:rPr>
          <w:rFonts w:ascii="Times New Roman" w:hAnsi="Times New Roman" w:cs="Times New Roman"/>
          <w:sz w:val="24"/>
          <w:szCs w:val="24"/>
          <w:lang w:eastAsia="lv-LV"/>
        </w:rPr>
        <w:t>V</w:t>
      </w:r>
      <w:r w:rsidRPr="00847710">
        <w:rPr>
          <w:rFonts w:ascii="Times New Roman" w:hAnsi="Times New Roman" w:cs="Times New Roman"/>
          <w:sz w:val="24"/>
          <w:szCs w:val="24"/>
          <w:lang w:eastAsia="lv-LV"/>
        </w:rPr>
        <w:t>eselības organizācija</w:t>
      </w:r>
      <w:r w:rsidR="00315286" w:rsidRPr="00847710">
        <w:rPr>
          <w:rFonts w:ascii="Times New Roman" w:hAnsi="Times New Roman" w:cs="Times New Roman"/>
          <w:sz w:val="24"/>
          <w:szCs w:val="24"/>
          <w:lang w:eastAsia="lv-LV"/>
        </w:rPr>
        <w:t xml:space="preserve"> (turpmāk - PVO)</w:t>
      </w:r>
      <w:r w:rsidRPr="00847710">
        <w:rPr>
          <w:rFonts w:ascii="Times New Roman" w:hAnsi="Times New Roman" w:cs="Times New Roman"/>
          <w:sz w:val="24"/>
          <w:szCs w:val="24"/>
          <w:lang w:eastAsia="lv-LV"/>
        </w:rPr>
        <w:t>, ir cukura diabēta izplatības pieauguma apturēšana līdz 2025.gadam, atgriežot to 2010.gada līmenī.</w:t>
      </w:r>
    </w:p>
    <w:p w14:paraId="0B476EBB" w14:textId="1A752BD4" w:rsidR="00993086" w:rsidRPr="00847710" w:rsidRDefault="00993086" w:rsidP="00993086">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Atbilstoši Slimību profila</w:t>
      </w:r>
      <w:r w:rsidR="00952214" w:rsidRPr="00847710">
        <w:rPr>
          <w:rFonts w:ascii="Times New Roman" w:hAnsi="Times New Roman" w:cs="Times New Roman"/>
          <w:sz w:val="24"/>
          <w:szCs w:val="24"/>
          <w:lang w:eastAsia="lv-LV"/>
        </w:rPr>
        <w:t>kses un kontroles centra datiem</w:t>
      </w:r>
      <w:r w:rsidR="00952214" w:rsidRPr="00847710">
        <w:rPr>
          <w:rStyle w:val="FootnoteReference"/>
          <w:rFonts w:ascii="Times New Roman" w:hAnsi="Times New Roman" w:cs="Times New Roman"/>
          <w:sz w:val="28"/>
          <w:szCs w:val="28"/>
        </w:rPr>
        <w:footnoteReference w:id="11"/>
      </w:r>
      <w:r w:rsidRPr="00847710">
        <w:rPr>
          <w:rFonts w:ascii="Times New Roman" w:hAnsi="Times New Roman" w:cs="Times New Roman"/>
          <w:sz w:val="24"/>
          <w:szCs w:val="24"/>
          <w:lang w:eastAsia="lv-LV"/>
        </w:rPr>
        <w:t xml:space="preserve"> Latvijā 2008.gadā bija reģistrēti 63 409 cukura diabēta pacienti (jeb 2804.1 uz 100 000 iedzīvotājiem), savukārt 2016.gadā 88 945 (jeb 4561 uz 100 000) iedzīvotājiem. </w:t>
      </w:r>
    </w:p>
    <w:p w14:paraId="61D2A6D8" w14:textId="3F852187" w:rsidR="007B70F9" w:rsidRPr="00847710" w:rsidRDefault="00993086" w:rsidP="00993086">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Cukuru diabēt</w:t>
      </w:r>
      <w:r w:rsidR="007B70F9" w:rsidRPr="00847710">
        <w:rPr>
          <w:rFonts w:ascii="Times New Roman" w:hAnsi="Times New Roman" w:cs="Times New Roman"/>
          <w:sz w:val="24"/>
          <w:szCs w:val="24"/>
          <w:lang w:eastAsia="lv-LV"/>
        </w:rPr>
        <w:t xml:space="preserve">s ir hroniska, šobrīd vēl neizārstējama saslimšana, tāpēc vissvarīgākais ir pacientu noturēt optimālā, kompensētā saslimšanas stāvoklī, kad pacients var dzīvot pilnvērtīgu </w:t>
      </w:r>
      <w:r w:rsidR="007B70F9" w:rsidRPr="00847710">
        <w:rPr>
          <w:rFonts w:ascii="Times New Roman" w:hAnsi="Times New Roman" w:cs="Times New Roman"/>
          <w:sz w:val="24"/>
          <w:szCs w:val="24"/>
          <w:lang w:eastAsia="lv-LV"/>
        </w:rPr>
        <w:lastRenderedPageBreak/>
        <w:t>dzīvi, saglabāt dzīves kvalitāti un slimība tālāk neprogresē, izraisot ļoti nopietnas vēlīnas komplikācijas un pat nāvi. Tieši cukura diabēt</w:t>
      </w:r>
      <w:r w:rsidR="00653333" w:rsidRPr="00847710">
        <w:rPr>
          <w:rFonts w:ascii="Times New Roman" w:hAnsi="Times New Roman" w:cs="Times New Roman"/>
          <w:sz w:val="24"/>
          <w:szCs w:val="24"/>
          <w:lang w:eastAsia="lv-LV"/>
        </w:rPr>
        <w:t>a</w:t>
      </w:r>
      <w:r w:rsidR="007B70F9" w:rsidRPr="00847710">
        <w:rPr>
          <w:rFonts w:ascii="Times New Roman" w:hAnsi="Times New Roman" w:cs="Times New Roman"/>
          <w:sz w:val="24"/>
          <w:szCs w:val="24"/>
          <w:lang w:eastAsia="lv-LV"/>
        </w:rPr>
        <w:t xml:space="preserve"> pacientu aprūpē, bez medikamentozās terapijas ļoti svarīga ir</w:t>
      </w:r>
      <w:r w:rsidRPr="00847710">
        <w:rPr>
          <w:rFonts w:ascii="Times New Roman" w:hAnsi="Times New Roman" w:cs="Times New Roman"/>
          <w:sz w:val="24"/>
          <w:szCs w:val="24"/>
          <w:lang w:eastAsia="lv-LV"/>
        </w:rPr>
        <w:t xml:space="preserve"> pacientu apmācība</w:t>
      </w:r>
      <w:r w:rsidR="003805B7" w:rsidRPr="00847710">
        <w:rPr>
          <w:rFonts w:ascii="Times New Roman" w:hAnsi="Times New Roman" w:cs="Times New Roman"/>
          <w:sz w:val="24"/>
          <w:szCs w:val="24"/>
          <w:lang w:eastAsia="lv-LV"/>
        </w:rPr>
        <w:t>, kas</w:t>
      </w:r>
      <w:r w:rsidRPr="00847710">
        <w:rPr>
          <w:rFonts w:ascii="Times New Roman" w:hAnsi="Times New Roman" w:cs="Times New Roman"/>
          <w:sz w:val="24"/>
          <w:szCs w:val="24"/>
          <w:lang w:eastAsia="lv-LV"/>
        </w:rPr>
        <w:t xml:space="preserve"> ir sistemātisks, mērķtiecīgs, aktīvs un nepārtraukts process, kurā pacients apgūst zināšanas un praktiskas iemaņas par cukura diabētu un tā </w:t>
      </w:r>
      <w:r w:rsidR="007B70F9" w:rsidRPr="00847710">
        <w:rPr>
          <w:rFonts w:ascii="Times New Roman" w:hAnsi="Times New Roman" w:cs="Times New Roman"/>
          <w:sz w:val="24"/>
          <w:szCs w:val="24"/>
          <w:lang w:eastAsia="lv-LV"/>
        </w:rPr>
        <w:t xml:space="preserve">kontroli. </w:t>
      </w:r>
    </w:p>
    <w:p w14:paraId="4E6FB447" w14:textId="2469DC39" w:rsidR="00993086" w:rsidRPr="00847710" w:rsidRDefault="007B70F9" w:rsidP="00993086">
      <w:pPr>
        <w:ind w:firstLine="709"/>
        <w:jc w:val="both"/>
        <w:rPr>
          <w:rFonts w:ascii="Times New Roman" w:hAnsi="Times New Roman" w:cs="Times New Roman"/>
          <w:sz w:val="24"/>
          <w:szCs w:val="24"/>
          <w:lang w:eastAsia="lv-LV"/>
        </w:rPr>
      </w:pPr>
      <w:r w:rsidRPr="0012317D">
        <w:rPr>
          <w:rFonts w:ascii="Times New Roman" w:hAnsi="Times New Roman" w:cs="Times New Roman"/>
          <w:b/>
          <w:bCs/>
          <w:sz w:val="24"/>
          <w:szCs w:val="24"/>
          <w:lang w:eastAsia="lv-LV"/>
        </w:rPr>
        <w:t>Ņemot vērā nepieciešamo multidisciplināro pieeju saslimšanas uzraudzībā kur kopā ar ģimenes ārstiem darbojas arī speciālisti - endokrinologi un speciāli apmācītas diabēta aprūpes māsas, reformas ietvaros būtu nepieciešams paralēli ģimenes ārstu sniegtajai aprūpei, apmaksāt  atsevišķu diabēta aprū</w:t>
      </w:r>
      <w:r w:rsidRPr="00901A9F">
        <w:rPr>
          <w:rFonts w:ascii="Times New Roman" w:hAnsi="Times New Roman" w:cs="Times New Roman"/>
          <w:b/>
          <w:bCs/>
          <w:sz w:val="24"/>
          <w:szCs w:val="24"/>
          <w:lang w:eastAsia="lv-LV"/>
        </w:rPr>
        <w:t>pes kabinetu sniegto diabēta pacientu apmācību un aprūpi</w:t>
      </w:r>
      <w:r w:rsidR="00B55D67" w:rsidRPr="0078794A">
        <w:rPr>
          <w:rFonts w:ascii="Times New Roman" w:hAnsi="Times New Roman" w:cs="Times New Roman"/>
          <w:b/>
          <w:bCs/>
          <w:sz w:val="24"/>
          <w:szCs w:val="24"/>
          <w:lang w:eastAsia="lv-LV"/>
        </w:rPr>
        <w:t>.</w:t>
      </w:r>
      <w:r w:rsidR="00B55D67" w:rsidRPr="00847710">
        <w:rPr>
          <w:rFonts w:ascii="Times New Roman" w:hAnsi="Times New Roman" w:cs="Times New Roman"/>
          <w:sz w:val="24"/>
          <w:szCs w:val="24"/>
          <w:lang w:eastAsia="lv-LV"/>
        </w:rPr>
        <w:t xml:space="preserve"> </w:t>
      </w:r>
    </w:p>
    <w:p w14:paraId="28307CE6" w14:textId="690A88F8" w:rsidR="00952214" w:rsidRPr="00847710" w:rsidRDefault="00B55D67" w:rsidP="00993086">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Jāatzīmē, ka k</w:t>
      </w:r>
      <w:r w:rsidR="00993086" w:rsidRPr="00847710">
        <w:rPr>
          <w:rFonts w:ascii="Times New Roman" w:hAnsi="Times New Roman" w:cs="Times New Roman"/>
          <w:sz w:val="24"/>
          <w:szCs w:val="24"/>
          <w:lang w:eastAsia="lv-LV"/>
        </w:rPr>
        <w:t xml:space="preserve">opš 2014.gada </w:t>
      </w:r>
      <w:r w:rsidR="007B70F9" w:rsidRPr="00847710">
        <w:rPr>
          <w:rFonts w:ascii="Times New Roman" w:hAnsi="Times New Roman" w:cs="Times New Roman"/>
          <w:sz w:val="24"/>
          <w:szCs w:val="24"/>
          <w:lang w:eastAsia="lv-LV"/>
        </w:rPr>
        <w:t xml:space="preserve">valsts </w:t>
      </w:r>
      <w:r w:rsidR="00993086" w:rsidRPr="00847710">
        <w:rPr>
          <w:rFonts w:ascii="Times New Roman" w:hAnsi="Times New Roman" w:cs="Times New Roman"/>
          <w:sz w:val="24"/>
          <w:szCs w:val="24"/>
          <w:lang w:eastAsia="lv-LV"/>
        </w:rPr>
        <w:t>apmaksā diabēta pacientu apmācības kabinet</w:t>
      </w:r>
      <w:r w:rsidR="007B70F9" w:rsidRPr="00847710">
        <w:rPr>
          <w:rFonts w:ascii="Times New Roman" w:hAnsi="Times New Roman" w:cs="Times New Roman"/>
          <w:sz w:val="24"/>
          <w:szCs w:val="24"/>
          <w:lang w:eastAsia="lv-LV"/>
        </w:rPr>
        <w:t>u</w:t>
      </w:r>
      <w:r w:rsidR="00993086" w:rsidRPr="00847710">
        <w:rPr>
          <w:rFonts w:ascii="Times New Roman" w:hAnsi="Times New Roman" w:cs="Times New Roman"/>
          <w:sz w:val="24"/>
          <w:szCs w:val="24"/>
          <w:lang w:eastAsia="lv-LV"/>
        </w:rPr>
        <w:t xml:space="preserve"> (VSIA „Bērnu klīniskā universitātes klīnika”)</w:t>
      </w:r>
      <w:r w:rsidR="00A81563" w:rsidRPr="00847710">
        <w:rPr>
          <w:rFonts w:ascii="Times New Roman" w:hAnsi="Times New Roman" w:cs="Times New Roman"/>
          <w:sz w:val="24"/>
          <w:szCs w:val="24"/>
          <w:lang w:eastAsia="lv-LV"/>
        </w:rPr>
        <w:t xml:space="preserve">, kas ir devis ievērojamus uzlabojums </w:t>
      </w:r>
      <w:r w:rsidRPr="00847710">
        <w:rPr>
          <w:rFonts w:ascii="Times New Roman" w:hAnsi="Times New Roman" w:cs="Times New Roman"/>
          <w:sz w:val="24"/>
          <w:szCs w:val="24"/>
          <w:lang w:eastAsia="lv-LV"/>
        </w:rPr>
        <w:t xml:space="preserve">tieši </w:t>
      </w:r>
      <w:r w:rsidR="007B70F9" w:rsidRPr="00847710">
        <w:rPr>
          <w:rFonts w:ascii="Times New Roman" w:hAnsi="Times New Roman" w:cs="Times New Roman"/>
          <w:sz w:val="24"/>
          <w:szCs w:val="24"/>
          <w:lang w:eastAsia="lv-LV"/>
        </w:rPr>
        <w:t xml:space="preserve">bērnu ar cukura </w:t>
      </w:r>
      <w:r w:rsidR="00A81563" w:rsidRPr="00847710">
        <w:rPr>
          <w:rFonts w:ascii="Times New Roman" w:hAnsi="Times New Roman" w:cs="Times New Roman"/>
          <w:sz w:val="24"/>
          <w:szCs w:val="24"/>
          <w:lang w:eastAsia="lv-LV"/>
        </w:rPr>
        <w:t>diabēt</w:t>
      </w:r>
      <w:r w:rsidR="007B70F9" w:rsidRPr="00847710">
        <w:rPr>
          <w:rFonts w:ascii="Times New Roman" w:hAnsi="Times New Roman" w:cs="Times New Roman"/>
          <w:sz w:val="24"/>
          <w:szCs w:val="24"/>
          <w:lang w:eastAsia="lv-LV"/>
        </w:rPr>
        <w:t xml:space="preserve">u </w:t>
      </w:r>
      <w:r w:rsidR="00A81563" w:rsidRPr="00847710">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 xml:space="preserve">saslimšanas kontrolē un </w:t>
      </w:r>
      <w:r w:rsidR="00A81563" w:rsidRPr="00847710">
        <w:rPr>
          <w:rFonts w:ascii="Times New Roman" w:hAnsi="Times New Roman" w:cs="Times New Roman"/>
          <w:sz w:val="24"/>
          <w:szCs w:val="24"/>
          <w:lang w:eastAsia="lv-LV"/>
        </w:rPr>
        <w:t>ārstēšanā</w:t>
      </w:r>
      <w:r w:rsidR="00993086" w:rsidRPr="00847710">
        <w:rPr>
          <w:rFonts w:ascii="Times New Roman" w:hAnsi="Times New Roman" w:cs="Times New Roman"/>
          <w:sz w:val="24"/>
          <w:szCs w:val="24"/>
          <w:lang w:eastAsia="lv-LV"/>
        </w:rPr>
        <w:t xml:space="preserve">. </w:t>
      </w:r>
    </w:p>
    <w:p w14:paraId="76B57B84" w14:textId="65057785" w:rsidR="00B55D67" w:rsidRPr="00847710" w:rsidRDefault="00952214" w:rsidP="00B55D67">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 BKUS diabēta pacientu kabinetā 2017.gada 9 mēnešos bērnu vai bērna piederīgo apmācība tika veikta 823 reizes (prognozētais apmeklējumu skaits 2017.gadā – 1 097). Katru gadu vidēji tiek reģistrēti 6 712 jauni diabēta pacienti, prognozējot kopējo diabētu pacientu skaitu 2018</w:t>
      </w:r>
      <w:r w:rsidR="00955D86" w:rsidRPr="00847710">
        <w:rPr>
          <w:rFonts w:ascii="Times New Roman" w:hAnsi="Times New Roman" w:cs="Times New Roman"/>
          <w:sz w:val="24"/>
          <w:szCs w:val="24"/>
          <w:lang w:eastAsia="lv-LV"/>
        </w:rPr>
        <w:t>.gadam</w:t>
      </w:r>
      <w:r w:rsidRPr="00847710">
        <w:rPr>
          <w:rFonts w:ascii="Times New Roman" w:hAnsi="Times New Roman" w:cs="Times New Roman"/>
          <w:sz w:val="24"/>
          <w:szCs w:val="24"/>
          <w:lang w:eastAsia="lv-LV"/>
        </w:rPr>
        <w:t>, kopējais diabētu pacientu skaits varētu būt 105 754 pacienti</w:t>
      </w:r>
      <w:r w:rsidR="00EC4207" w:rsidRPr="00847710">
        <w:rPr>
          <w:rFonts w:ascii="Times New Roman" w:hAnsi="Times New Roman" w:cs="Times New Roman"/>
          <w:sz w:val="24"/>
          <w:szCs w:val="24"/>
          <w:lang w:eastAsia="lv-LV"/>
        </w:rPr>
        <w:t>.</w:t>
      </w:r>
      <w:r w:rsidRPr="00847710">
        <w:rPr>
          <w:rFonts w:ascii="Times New Roman" w:hAnsi="Times New Roman" w:cs="Times New Roman"/>
          <w:sz w:val="20"/>
          <w:szCs w:val="20"/>
          <w:vertAlign w:val="superscript"/>
          <w:lang w:eastAsia="lv-LV"/>
        </w:rPr>
        <w:footnoteReference w:id="12"/>
      </w:r>
    </w:p>
    <w:p w14:paraId="09EA75B0" w14:textId="6721F7EB" w:rsidR="00952214" w:rsidRPr="00847710" w:rsidRDefault="00952214" w:rsidP="00952214">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Atbilstoši apstiprinātajai tehnoloģijai</w:t>
      </w:r>
      <w:r w:rsidR="007B70F9" w:rsidRPr="00847710">
        <w:rPr>
          <w:rFonts w:ascii="Times New Roman" w:hAnsi="Times New Roman" w:cs="Times New Roman"/>
          <w:sz w:val="24"/>
          <w:szCs w:val="24"/>
          <w:lang w:eastAsia="lv-LV"/>
        </w:rPr>
        <w:t xml:space="preserve"> </w:t>
      </w:r>
      <w:r w:rsidRPr="00847710">
        <w:rPr>
          <w:rFonts w:ascii="Times New Roman" w:hAnsi="Times New Roman" w:cs="Times New Roman"/>
          <w:lang w:eastAsia="lv-LV"/>
        </w:rPr>
        <w:footnoteReference w:id="13"/>
      </w:r>
      <w:r w:rsidRPr="00847710">
        <w:rPr>
          <w:rFonts w:ascii="Times New Roman" w:hAnsi="Times New Roman" w:cs="Times New Roman"/>
          <w:sz w:val="24"/>
          <w:szCs w:val="24"/>
          <w:lang w:eastAsia="lv-LV"/>
        </w:rPr>
        <w:t xml:space="preserve"> diabēta pacienta apmācības cikla ilgums ilgst 12 stundas. Lai izietu apmācības ciklu, katram pacientam nepieciešams apmeklēt diabēta kabinetu 4 reizes. Pirmreizējiem pacientu apmācībai tiek plānots 26 848 apmekl</w:t>
      </w:r>
      <w:r w:rsidR="00336553" w:rsidRPr="00847710">
        <w:rPr>
          <w:rFonts w:ascii="Times New Roman" w:hAnsi="Times New Roman" w:cs="Times New Roman"/>
          <w:sz w:val="24"/>
          <w:szCs w:val="24"/>
          <w:lang w:eastAsia="lv-LV"/>
        </w:rPr>
        <w:t>ējumi (</w:t>
      </w:r>
      <w:r w:rsidRPr="00847710">
        <w:rPr>
          <w:rFonts w:ascii="Times New Roman" w:hAnsi="Times New Roman" w:cs="Times New Roman"/>
          <w:sz w:val="24"/>
          <w:szCs w:val="24"/>
          <w:lang w:eastAsia="lv-LV"/>
        </w:rPr>
        <w:t xml:space="preserve">6 712 pirmreizējie pacienti </w:t>
      </w:r>
      <w:r w:rsidR="00B55D67" w:rsidRPr="00847710">
        <w:rPr>
          <w:rFonts w:ascii="Times New Roman" w:hAnsi="Times New Roman" w:cs="Times New Roman"/>
          <w:sz w:val="24"/>
          <w:szCs w:val="24"/>
          <w:lang w:eastAsia="lv-LV"/>
        </w:rPr>
        <w:t>x</w:t>
      </w:r>
      <w:r w:rsidRPr="00847710">
        <w:rPr>
          <w:rFonts w:ascii="Times New Roman" w:hAnsi="Times New Roman" w:cs="Times New Roman"/>
          <w:sz w:val="24"/>
          <w:szCs w:val="24"/>
          <w:lang w:eastAsia="lv-LV"/>
        </w:rPr>
        <w:t>4 apmeklējumi). Savukārt atkārtotai jeb mērķtiecīgai apmācībai (1 reizi 5 gados) plānots 84 603 apmeklējumi (105</w:t>
      </w:r>
      <w:r w:rsidR="00B55D67" w:rsidRPr="00847710">
        <w:rPr>
          <w:rFonts w:ascii="Times New Roman" w:hAnsi="Times New Roman" w:cs="Times New Roman"/>
          <w:sz w:val="24"/>
          <w:szCs w:val="24"/>
          <w:lang w:eastAsia="lv-LV"/>
        </w:rPr>
        <w:t> </w:t>
      </w:r>
      <w:r w:rsidRPr="00847710">
        <w:rPr>
          <w:rFonts w:ascii="Times New Roman" w:hAnsi="Times New Roman" w:cs="Times New Roman"/>
          <w:sz w:val="24"/>
          <w:szCs w:val="24"/>
          <w:lang w:eastAsia="lv-LV"/>
        </w:rPr>
        <w:t>754</w:t>
      </w:r>
      <w:r w:rsidR="00B55D67" w:rsidRPr="00847710">
        <w:rPr>
          <w:rFonts w:ascii="Times New Roman" w:hAnsi="Times New Roman" w:cs="Times New Roman"/>
          <w:sz w:val="24"/>
          <w:szCs w:val="24"/>
          <w:lang w:eastAsia="lv-LV"/>
        </w:rPr>
        <w:t>x4:5</w:t>
      </w:r>
      <w:r w:rsidRPr="00847710">
        <w:rPr>
          <w:rFonts w:ascii="Times New Roman" w:hAnsi="Times New Roman" w:cs="Times New Roman"/>
          <w:sz w:val="24"/>
          <w:szCs w:val="24"/>
          <w:lang w:eastAsia="lv-LV"/>
        </w:rPr>
        <w:t>). Papildus plānots, ka 5 500 apmeklējumi būtu nepieciešami individuālai apmācībai. Kopā nepieciešams diabētu apmācības kabinetos diabētu pacientu apmācībai plānot 116 951 apmeklējumus gadā. Pieņemot, ka vidējais apmeklējumu skaits dienā vienā kabinetā ir 1</w:t>
      </w:r>
      <w:r w:rsidR="00F96A1E" w:rsidRPr="00847710">
        <w:rPr>
          <w:rFonts w:ascii="Times New Roman" w:hAnsi="Times New Roman" w:cs="Times New Roman"/>
          <w:sz w:val="24"/>
          <w:szCs w:val="24"/>
          <w:lang w:eastAsia="lv-LV"/>
        </w:rPr>
        <w:t>2</w:t>
      </w:r>
      <w:r w:rsidRPr="00847710">
        <w:rPr>
          <w:rFonts w:ascii="Times New Roman" w:hAnsi="Times New Roman" w:cs="Times New Roman"/>
          <w:sz w:val="24"/>
          <w:szCs w:val="24"/>
          <w:lang w:eastAsia="lv-LV"/>
        </w:rPr>
        <w:t xml:space="preserve"> apmeklējumi, lai veiktu visu diabēta pacientu apmācību, valstī kopā būtu nepieciešami 3</w:t>
      </w:r>
      <w:r w:rsidR="00F96A1E" w:rsidRPr="00847710">
        <w:rPr>
          <w:rFonts w:ascii="Times New Roman" w:hAnsi="Times New Roman" w:cs="Times New Roman"/>
          <w:sz w:val="24"/>
          <w:szCs w:val="24"/>
          <w:lang w:eastAsia="lv-LV"/>
        </w:rPr>
        <w:t>8</w:t>
      </w:r>
      <w:r w:rsidRPr="00847710">
        <w:rPr>
          <w:rFonts w:ascii="Times New Roman" w:hAnsi="Times New Roman" w:cs="Times New Roman"/>
          <w:sz w:val="24"/>
          <w:szCs w:val="24"/>
          <w:lang w:eastAsia="lv-LV"/>
        </w:rPr>
        <w:t xml:space="preserve"> kabineti. </w:t>
      </w:r>
    </w:p>
    <w:p w14:paraId="2D52D0F0" w14:textId="3BBCA91F" w:rsidR="00952214" w:rsidRPr="00847710" w:rsidRDefault="00952214" w:rsidP="00952214">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2018.gadā papildus plānots apmaksāt 11 diabēta apmācības kabinetus (4 kabinetus universitātes slimnīcās un 7 reģionālās slimnīcās), kas sastāda 29 348 euro. Prognozētais apmeklējumu skaits šajos kabinetos – </w:t>
      </w:r>
      <w:r w:rsidR="00F96A1E" w:rsidRPr="00847710">
        <w:rPr>
          <w:rFonts w:ascii="Times New Roman" w:hAnsi="Times New Roman" w:cs="Times New Roman"/>
          <w:sz w:val="24"/>
          <w:szCs w:val="24"/>
          <w:lang w:eastAsia="lv-LV"/>
        </w:rPr>
        <w:t>33 264</w:t>
      </w:r>
      <w:r w:rsidRPr="00847710">
        <w:rPr>
          <w:rFonts w:ascii="Times New Roman" w:hAnsi="Times New Roman" w:cs="Times New Roman"/>
          <w:sz w:val="24"/>
          <w:szCs w:val="24"/>
          <w:lang w:eastAsia="lv-LV"/>
        </w:rPr>
        <w:t xml:space="preserve"> apmeklējumi.</w:t>
      </w:r>
    </w:p>
    <w:p w14:paraId="7ED703AE" w14:textId="77777777" w:rsidR="000D42A5" w:rsidRPr="00847710" w:rsidRDefault="000D42A5">
      <w:pPr>
        <w:rPr>
          <w:rFonts w:ascii="Times New Roman" w:hAnsi="Times New Roman" w:cs="Times New Roman"/>
          <w:i/>
          <w:sz w:val="24"/>
          <w:szCs w:val="24"/>
        </w:rPr>
      </w:pPr>
      <w:r w:rsidRPr="00847710">
        <w:rPr>
          <w:rFonts w:ascii="Times New Roman" w:hAnsi="Times New Roman" w:cs="Times New Roman"/>
          <w:i/>
          <w:sz w:val="24"/>
          <w:szCs w:val="24"/>
        </w:rPr>
        <w:br w:type="page"/>
      </w:r>
    </w:p>
    <w:p w14:paraId="56E3C9F4" w14:textId="02A49439" w:rsidR="001D49EE" w:rsidRPr="00560715" w:rsidRDefault="0020102F">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lastRenderedPageBreak/>
        <w:t>6</w:t>
      </w:r>
      <w:r w:rsidR="001D49EE" w:rsidRPr="57326167">
        <w:rPr>
          <w:rFonts w:ascii="Times New Roman" w:hAnsi="Times New Roman" w:cs="Times New Roman"/>
          <w:i/>
          <w:iCs/>
          <w:sz w:val="24"/>
          <w:szCs w:val="24"/>
        </w:rPr>
        <w:t xml:space="preserve">.tabula </w:t>
      </w:r>
    </w:p>
    <w:p w14:paraId="7BC776BF" w14:textId="160A0D8D" w:rsidR="001D49EE" w:rsidRPr="00847710" w:rsidRDefault="001D49EE" w:rsidP="001D49EE">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Dia</w:t>
      </w:r>
      <w:r w:rsidR="00952214" w:rsidRPr="0012317D">
        <w:rPr>
          <w:rFonts w:ascii="Times New Roman" w:hAnsi="Times New Roman" w:cs="Times New Roman"/>
          <w:b/>
          <w:bCs/>
          <w:sz w:val="24"/>
          <w:szCs w:val="24"/>
        </w:rPr>
        <w:t xml:space="preserve">bēta apmācības kabinetu izveidei </w:t>
      </w:r>
      <w:r w:rsidRPr="0012317D">
        <w:rPr>
          <w:rFonts w:ascii="Times New Roman" w:hAnsi="Times New Roman" w:cs="Times New Roman"/>
          <w:b/>
          <w:bCs/>
          <w:sz w:val="24"/>
          <w:szCs w:val="24"/>
        </w:rPr>
        <w:t>nepieciešamais finansējums</w:t>
      </w:r>
    </w:p>
    <w:tbl>
      <w:tblPr>
        <w:tblW w:w="11653" w:type="dxa"/>
        <w:tblInd w:w="-1423" w:type="dxa"/>
        <w:tblLook w:val="04A0" w:firstRow="1" w:lastRow="0" w:firstColumn="1" w:lastColumn="0" w:noHBand="0" w:noVBand="1"/>
      </w:tblPr>
      <w:tblGrid>
        <w:gridCol w:w="567"/>
        <w:gridCol w:w="2410"/>
        <w:gridCol w:w="1048"/>
        <w:gridCol w:w="1078"/>
        <w:gridCol w:w="1214"/>
        <w:gridCol w:w="1054"/>
        <w:gridCol w:w="1427"/>
        <w:gridCol w:w="1416"/>
        <w:gridCol w:w="1439"/>
      </w:tblGrid>
      <w:tr w:rsidR="0078794A" w:rsidRPr="00847710" w14:paraId="3454A9F3" w14:textId="77777777" w:rsidTr="00560715">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0E7BB62A" w14:textId="17E79F9C" w:rsidR="001D49EE" w:rsidRPr="00847710" w:rsidRDefault="001D49EE" w:rsidP="001D49EE">
            <w:pPr>
              <w:spacing w:after="0" w:line="240" w:lineRule="auto"/>
              <w:jc w:val="center"/>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N. p. k.</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3B0811B8" w14:textId="77777777" w:rsidR="001D49EE" w:rsidRPr="00847710" w:rsidRDefault="001D49EE" w:rsidP="001D49EE">
            <w:pPr>
              <w:spacing w:after="0" w:line="240" w:lineRule="auto"/>
              <w:jc w:val="center"/>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 </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F9C9CFB" w14:textId="7E9A4B97" w:rsidR="001D49EE" w:rsidRPr="00847710" w:rsidRDefault="001D49EE" w:rsidP="001D49EE">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Papildus kabinetu skaits</w:t>
            </w:r>
          </w:p>
        </w:tc>
        <w:tc>
          <w:tcPr>
            <w:tcW w:w="2292" w:type="dxa"/>
            <w:gridSpan w:val="2"/>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DEA9D76" w14:textId="6E6A5AD6"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Ārstniecības un pacientu aprūpes personas</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CA7BD03" w14:textId="78776C08"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Darba samaksa, </w:t>
            </w:r>
            <w:r w:rsidR="00B55D67" w:rsidRPr="57326167">
              <w:rPr>
                <w:rFonts w:ascii="Times New Roman" w:eastAsia="Times New Roman" w:hAnsi="Times New Roman" w:cs="Times New Roman"/>
                <w:i/>
                <w:iCs/>
                <w:sz w:val="20"/>
                <w:szCs w:val="20"/>
                <w:lang w:eastAsia="lv-LV"/>
              </w:rPr>
              <w:t>(euro)</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2A0B13C1" w14:textId="187856AF"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Valsts sociālās apdrošināšanas obligātās iemaksas, </w:t>
            </w:r>
            <w:r w:rsidR="00B55D67" w:rsidRPr="57326167">
              <w:rPr>
                <w:rFonts w:ascii="Times New Roman" w:eastAsia="Times New Roman" w:hAnsi="Times New Roman" w:cs="Times New Roman"/>
                <w:i/>
                <w:iCs/>
                <w:sz w:val="20"/>
                <w:szCs w:val="20"/>
                <w:lang w:eastAsia="lv-LV"/>
              </w:rPr>
              <w:t>(euro)</w:t>
            </w:r>
            <w:r w:rsidR="00B55D67" w:rsidRPr="00847710">
              <w:rPr>
                <w:rFonts w:ascii="Times New Roman" w:eastAsia="Times New Roman" w:hAnsi="Times New Roman" w:cs="Times New Roman"/>
                <w:sz w:val="20"/>
                <w:szCs w:val="20"/>
                <w:lang w:eastAsia="lv-LV"/>
              </w:rPr>
              <w:t xml:space="preserve">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060189AA" w14:textId="5BA24114"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Darbības nodrošināšanai nepieciešamie līdzekļi, </w:t>
            </w:r>
            <w:r w:rsidR="00B55D67" w:rsidRPr="00847710">
              <w:rPr>
                <w:rFonts w:ascii="Times New Roman" w:eastAsia="Times New Roman" w:hAnsi="Times New Roman" w:cs="Times New Roman"/>
                <w:sz w:val="20"/>
                <w:szCs w:val="20"/>
                <w:lang w:eastAsia="lv-LV"/>
              </w:rPr>
              <w:t>(</w:t>
            </w:r>
            <w:r w:rsidR="00B55D67" w:rsidRPr="57326167">
              <w:rPr>
                <w:rFonts w:ascii="Times New Roman" w:eastAsia="Times New Roman" w:hAnsi="Times New Roman" w:cs="Times New Roman"/>
                <w:i/>
                <w:iCs/>
                <w:sz w:val="20"/>
                <w:szCs w:val="20"/>
                <w:lang w:eastAsia="lv-LV"/>
              </w:rPr>
              <w:t>euro)</w:t>
            </w:r>
            <w:r w:rsidRPr="00847710">
              <w:rPr>
                <w:rFonts w:ascii="Times New Roman" w:eastAsia="Times New Roman" w:hAnsi="Times New Roman" w:cs="Times New Roman"/>
                <w:sz w:val="20"/>
                <w:szCs w:val="20"/>
                <w:lang w:eastAsia="lv-LV"/>
              </w:rPr>
              <w:t xml:space="preserve"> </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040AFB3B" w14:textId="7AA77D5F" w:rsidR="001D49EE" w:rsidRPr="00847710" w:rsidRDefault="001D49EE" w:rsidP="001D49EE">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 xml:space="preserve">Finansējuma gada apjoms, </w:t>
            </w:r>
            <w:r w:rsidR="00B55D67" w:rsidRPr="57326167">
              <w:rPr>
                <w:rFonts w:ascii="Times New Roman" w:eastAsia="Times New Roman" w:hAnsi="Times New Roman" w:cs="Times New Roman"/>
                <w:b/>
                <w:bCs/>
                <w:i/>
                <w:iCs/>
                <w:lang w:eastAsia="lv-LV"/>
              </w:rPr>
              <w:t>(euro</w:t>
            </w:r>
            <w:r w:rsidR="00B55D67" w:rsidRPr="00847710">
              <w:rPr>
                <w:rFonts w:ascii="Times New Roman" w:eastAsia="Times New Roman" w:hAnsi="Times New Roman" w:cs="Times New Roman"/>
                <w:b/>
                <w:bCs/>
                <w:lang w:eastAsia="lv-LV"/>
              </w:rPr>
              <w:t xml:space="preserve">) </w:t>
            </w:r>
          </w:p>
        </w:tc>
      </w:tr>
      <w:tr w:rsidR="001D49EE" w:rsidRPr="00847710" w14:paraId="725A536C" w14:textId="77777777" w:rsidTr="00560715">
        <w:trPr>
          <w:trHeight w:val="9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F08ACDD" w14:textId="77777777" w:rsidR="001D49EE" w:rsidRPr="00847710" w:rsidRDefault="001D49EE" w:rsidP="001D49EE">
            <w:pPr>
              <w:spacing w:after="0" w:line="240" w:lineRule="auto"/>
              <w:rPr>
                <w:rFonts w:ascii="Times New Roman" w:eastAsia="Times New Roman" w:hAnsi="Times New Roman" w:cs="Times New Roman"/>
                <w:sz w:val="24"/>
                <w:szCs w:val="24"/>
                <w:lang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ADC6F1A" w14:textId="77777777" w:rsidR="001D49EE" w:rsidRPr="00847710" w:rsidRDefault="001D49EE" w:rsidP="001D49EE">
            <w:pPr>
              <w:spacing w:after="0" w:line="240" w:lineRule="auto"/>
              <w:rPr>
                <w:rFonts w:ascii="Times New Roman" w:eastAsia="Times New Roman" w:hAnsi="Times New Roman" w:cs="Times New Roman"/>
                <w:sz w:val="24"/>
                <w:szCs w:val="24"/>
                <w:lang w:eastAsia="lv-LV"/>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59F29F5" w14:textId="77777777" w:rsidR="001D49EE" w:rsidRPr="00847710" w:rsidRDefault="001D49EE" w:rsidP="001D49EE">
            <w:pPr>
              <w:spacing w:after="0" w:line="240" w:lineRule="auto"/>
              <w:rPr>
                <w:rFonts w:ascii="Times New Roman" w:eastAsia="Times New Roman" w:hAnsi="Times New Roman" w:cs="Times New Roman"/>
                <w:b/>
                <w:bCs/>
                <w:lang w:eastAsia="lv-LV"/>
              </w:rPr>
            </w:pPr>
          </w:p>
        </w:tc>
        <w:tc>
          <w:tcPr>
            <w:tcW w:w="1078" w:type="dxa"/>
            <w:tcBorders>
              <w:top w:val="nil"/>
              <w:left w:val="nil"/>
              <w:bottom w:val="single" w:sz="4" w:space="0" w:color="auto"/>
              <w:right w:val="single" w:sz="4" w:space="0" w:color="auto"/>
            </w:tcBorders>
            <w:shd w:val="clear" w:color="auto" w:fill="E36C0A" w:themeFill="accent6" w:themeFillShade="BF"/>
            <w:vAlign w:val="center"/>
            <w:hideMark/>
          </w:tcPr>
          <w:p w14:paraId="6738E8EF" w14:textId="77777777" w:rsidR="001D49EE" w:rsidRPr="00847710" w:rsidRDefault="001D49EE" w:rsidP="001D49EE">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Personu skaits</w:t>
            </w:r>
          </w:p>
        </w:tc>
        <w:tc>
          <w:tcPr>
            <w:tcW w:w="1214" w:type="dxa"/>
            <w:tcBorders>
              <w:top w:val="nil"/>
              <w:left w:val="nil"/>
              <w:bottom w:val="single" w:sz="4" w:space="0" w:color="auto"/>
              <w:right w:val="single" w:sz="4" w:space="0" w:color="auto"/>
            </w:tcBorders>
            <w:shd w:val="clear" w:color="auto" w:fill="E36C0A" w:themeFill="accent6" w:themeFillShade="BF"/>
            <w:vAlign w:val="center"/>
            <w:hideMark/>
          </w:tcPr>
          <w:p w14:paraId="0D4D0DDE" w14:textId="77777777" w:rsidR="001D49EE" w:rsidRPr="00847710" w:rsidRDefault="001D49EE" w:rsidP="001D49EE">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 xml:space="preserve">Slodzes apjoms </w:t>
            </w: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6019A67C" w14:textId="77777777" w:rsidR="001D49EE" w:rsidRPr="00847710" w:rsidRDefault="001D49EE" w:rsidP="001D49EE">
            <w:pPr>
              <w:spacing w:after="0" w:line="240" w:lineRule="auto"/>
              <w:rPr>
                <w:rFonts w:ascii="Times New Roman" w:eastAsia="Times New Roman" w:hAnsi="Times New Roman" w:cs="Times New Roman"/>
                <w:sz w:val="20"/>
                <w:szCs w:val="20"/>
                <w:lang w:eastAsia="lv-LV"/>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5314BCA9" w14:textId="77777777" w:rsidR="001D49EE" w:rsidRPr="00847710" w:rsidRDefault="001D49EE" w:rsidP="001D49EE">
            <w:pPr>
              <w:spacing w:after="0" w:line="240" w:lineRule="auto"/>
              <w:rPr>
                <w:rFonts w:ascii="Times New Roman" w:eastAsia="Times New Roman" w:hAnsi="Times New Roman" w:cs="Times New Roman"/>
                <w:sz w:val="20"/>
                <w:szCs w:val="20"/>
                <w:lang w:eastAsia="lv-LV"/>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5D968286" w14:textId="77777777" w:rsidR="001D49EE" w:rsidRPr="00847710" w:rsidRDefault="001D49EE" w:rsidP="001D49EE">
            <w:pPr>
              <w:spacing w:after="0" w:line="240" w:lineRule="auto"/>
              <w:rPr>
                <w:rFonts w:ascii="Times New Roman" w:eastAsia="Times New Roman" w:hAnsi="Times New Roman" w:cs="Times New Roman"/>
                <w:sz w:val="20"/>
                <w:szCs w:val="20"/>
                <w:lang w:eastAsia="lv-LV"/>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721A346E" w14:textId="77777777" w:rsidR="001D49EE" w:rsidRPr="00847710" w:rsidRDefault="001D49EE" w:rsidP="001D49EE">
            <w:pPr>
              <w:spacing w:after="0" w:line="240" w:lineRule="auto"/>
              <w:rPr>
                <w:rFonts w:ascii="Times New Roman" w:eastAsia="Times New Roman" w:hAnsi="Times New Roman" w:cs="Times New Roman"/>
                <w:b/>
                <w:bCs/>
                <w:lang w:eastAsia="lv-LV"/>
              </w:rPr>
            </w:pPr>
          </w:p>
        </w:tc>
      </w:tr>
      <w:tr w:rsidR="0078794A" w:rsidRPr="00847710" w14:paraId="74125E68" w14:textId="77777777" w:rsidTr="00560715">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E3F52FE" w14:textId="77777777"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2410" w:type="dxa"/>
            <w:tcBorders>
              <w:top w:val="nil"/>
              <w:left w:val="nil"/>
              <w:bottom w:val="single" w:sz="4" w:space="0" w:color="auto"/>
              <w:right w:val="single" w:sz="4" w:space="0" w:color="auto"/>
            </w:tcBorders>
            <w:shd w:val="clear" w:color="auto" w:fill="auto"/>
            <w:vAlign w:val="bottom"/>
            <w:hideMark/>
          </w:tcPr>
          <w:p w14:paraId="2E5F9E62" w14:textId="77777777" w:rsidR="001D49EE" w:rsidRPr="00560715" w:rsidRDefault="001D49EE" w:rsidP="00560715">
            <w:pPr>
              <w:spacing w:after="0" w:line="240" w:lineRule="auto"/>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 xml:space="preserve">Universitātes slimnīcas </w:t>
            </w:r>
          </w:p>
        </w:tc>
        <w:tc>
          <w:tcPr>
            <w:tcW w:w="1048" w:type="dxa"/>
            <w:tcBorders>
              <w:top w:val="nil"/>
              <w:left w:val="nil"/>
              <w:bottom w:val="single" w:sz="4" w:space="0" w:color="auto"/>
              <w:right w:val="single" w:sz="4" w:space="0" w:color="auto"/>
            </w:tcBorders>
            <w:shd w:val="clear" w:color="auto" w:fill="FFFFFF" w:themeFill="background1"/>
            <w:vAlign w:val="center"/>
            <w:hideMark/>
          </w:tcPr>
          <w:p w14:paraId="254BF3B7" w14:textId="77777777" w:rsidR="001D49EE" w:rsidRPr="00847710" w:rsidRDefault="001D49EE" w:rsidP="001D49EE">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4</w:t>
            </w:r>
          </w:p>
        </w:tc>
        <w:tc>
          <w:tcPr>
            <w:tcW w:w="1078" w:type="dxa"/>
            <w:tcBorders>
              <w:top w:val="nil"/>
              <w:left w:val="nil"/>
              <w:bottom w:val="single" w:sz="4" w:space="0" w:color="auto"/>
              <w:right w:val="single" w:sz="4" w:space="0" w:color="auto"/>
            </w:tcBorders>
            <w:shd w:val="clear" w:color="auto" w:fill="FFFFFF" w:themeFill="background1"/>
            <w:vAlign w:val="center"/>
            <w:hideMark/>
          </w:tcPr>
          <w:p w14:paraId="45DA0C84" w14:textId="77777777"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4</w:t>
            </w:r>
          </w:p>
        </w:tc>
        <w:tc>
          <w:tcPr>
            <w:tcW w:w="1214" w:type="dxa"/>
            <w:tcBorders>
              <w:top w:val="nil"/>
              <w:left w:val="nil"/>
              <w:bottom w:val="single" w:sz="4" w:space="0" w:color="auto"/>
              <w:right w:val="single" w:sz="4" w:space="0" w:color="auto"/>
            </w:tcBorders>
            <w:shd w:val="clear" w:color="auto" w:fill="FFFFFF" w:themeFill="background1"/>
            <w:vAlign w:val="center"/>
            <w:hideMark/>
          </w:tcPr>
          <w:p w14:paraId="591EF4BA" w14:textId="77777777"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4.0</w:t>
            </w:r>
          </w:p>
        </w:tc>
        <w:tc>
          <w:tcPr>
            <w:tcW w:w="1054" w:type="dxa"/>
            <w:tcBorders>
              <w:top w:val="nil"/>
              <w:left w:val="nil"/>
              <w:bottom w:val="single" w:sz="4" w:space="0" w:color="auto"/>
              <w:right w:val="single" w:sz="4" w:space="0" w:color="auto"/>
            </w:tcBorders>
            <w:shd w:val="clear" w:color="auto" w:fill="FFFFFF" w:themeFill="background1"/>
            <w:vAlign w:val="center"/>
            <w:hideMark/>
          </w:tcPr>
          <w:p w14:paraId="139F5612" w14:textId="77777777"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32 400</w:t>
            </w:r>
          </w:p>
        </w:tc>
        <w:tc>
          <w:tcPr>
            <w:tcW w:w="1427" w:type="dxa"/>
            <w:tcBorders>
              <w:top w:val="nil"/>
              <w:left w:val="nil"/>
              <w:bottom w:val="single" w:sz="4" w:space="0" w:color="auto"/>
              <w:right w:val="single" w:sz="4" w:space="0" w:color="auto"/>
            </w:tcBorders>
            <w:shd w:val="clear" w:color="auto" w:fill="FFFFFF" w:themeFill="background1"/>
            <w:vAlign w:val="center"/>
            <w:hideMark/>
          </w:tcPr>
          <w:p w14:paraId="62B5A37D" w14:textId="77777777"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7 805</w:t>
            </w:r>
          </w:p>
        </w:tc>
        <w:tc>
          <w:tcPr>
            <w:tcW w:w="1416" w:type="dxa"/>
            <w:tcBorders>
              <w:top w:val="nil"/>
              <w:left w:val="nil"/>
              <w:bottom w:val="single" w:sz="4" w:space="0" w:color="auto"/>
              <w:right w:val="single" w:sz="4" w:space="0" w:color="auto"/>
            </w:tcBorders>
            <w:shd w:val="clear" w:color="auto" w:fill="auto"/>
            <w:noWrap/>
            <w:vAlign w:val="center"/>
            <w:hideMark/>
          </w:tcPr>
          <w:p w14:paraId="6D4DE007" w14:textId="77777777"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10672.00</w:t>
            </w:r>
          </w:p>
        </w:tc>
        <w:tc>
          <w:tcPr>
            <w:tcW w:w="1439" w:type="dxa"/>
            <w:tcBorders>
              <w:top w:val="nil"/>
              <w:left w:val="nil"/>
              <w:bottom w:val="single" w:sz="4" w:space="0" w:color="auto"/>
              <w:right w:val="single" w:sz="4" w:space="0" w:color="auto"/>
            </w:tcBorders>
            <w:shd w:val="clear" w:color="auto" w:fill="FFFFFF" w:themeFill="background1"/>
            <w:vAlign w:val="center"/>
            <w:hideMark/>
          </w:tcPr>
          <w:p w14:paraId="5F9862C7" w14:textId="77777777"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50 877</w:t>
            </w:r>
          </w:p>
        </w:tc>
      </w:tr>
      <w:tr w:rsidR="0078794A" w:rsidRPr="00847710" w14:paraId="79A6BDC8" w14:textId="77777777" w:rsidTr="00560715">
        <w:trPr>
          <w:trHeight w:val="300"/>
        </w:trPr>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BCAE1E" w14:textId="77777777"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2410" w:type="dxa"/>
            <w:tcBorders>
              <w:top w:val="nil"/>
              <w:left w:val="nil"/>
              <w:bottom w:val="single" w:sz="4" w:space="0" w:color="auto"/>
              <w:right w:val="single" w:sz="4" w:space="0" w:color="auto"/>
            </w:tcBorders>
            <w:shd w:val="clear" w:color="auto" w:fill="auto"/>
            <w:vAlign w:val="bottom"/>
            <w:hideMark/>
          </w:tcPr>
          <w:p w14:paraId="0470BC4C" w14:textId="77777777" w:rsidR="001D49EE" w:rsidRPr="00560715" w:rsidRDefault="001D49EE" w:rsidP="00560715">
            <w:pPr>
              <w:spacing w:after="0" w:line="240" w:lineRule="auto"/>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 xml:space="preserve">Reģionālās slimnīcas </w:t>
            </w:r>
          </w:p>
        </w:tc>
        <w:tc>
          <w:tcPr>
            <w:tcW w:w="1048" w:type="dxa"/>
            <w:tcBorders>
              <w:top w:val="nil"/>
              <w:left w:val="nil"/>
              <w:bottom w:val="single" w:sz="4" w:space="0" w:color="auto"/>
              <w:right w:val="single" w:sz="4" w:space="0" w:color="auto"/>
            </w:tcBorders>
            <w:shd w:val="clear" w:color="auto" w:fill="FFFFFF" w:themeFill="background1"/>
            <w:vAlign w:val="center"/>
            <w:hideMark/>
          </w:tcPr>
          <w:p w14:paraId="73F46BC6" w14:textId="77777777" w:rsidR="001D49EE" w:rsidRPr="00847710" w:rsidRDefault="001D49EE" w:rsidP="001D49EE">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7</w:t>
            </w:r>
          </w:p>
        </w:tc>
        <w:tc>
          <w:tcPr>
            <w:tcW w:w="1078" w:type="dxa"/>
            <w:tcBorders>
              <w:top w:val="nil"/>
              <w:left w:val="nil"/>
              <w:bottom w:val="single" w:sz="4" w:space="0" w:color="auto"/>
              <w:right w:val="single" w:sz="4" w:space="0" w:color="auto"/>
            </w:tcBorders>
            <w:shd w:val="clear" w:color="auto" w:fill="FFFFFF" w:themeFill="background1"/>
            <w:vAlign w:val="center"/>
            <w:hideMark/>
          </w:tcPr>
          <w:p w14:paraId="3918724C" w14:textId="77777777"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w:t>
            </w:r>
          </w:p>
        </w:tc>
        <w:tc>
          <w:tcPr>
            <w:tcW w:w="1214" w:type="dxa"/>
            <w:tcBorders>
              <w:top w:val="nil"/>
              <w:left w:val="nil"/>
              <w:bottom w:val="single" w:sz="4" w:space="0" w:color="auto"/>
              <w:right w:val="single" w:sz="4" w:space="0" w:color="auto"/>
            </w:tcBorders>
            <w:shd w:val="clear" w:color="auto" w:fill="FFFFFF" w:themeFill="background1"/>
            <w:vAlign w:val="center"/>
            <w:hideMark/>
          </w:tcPr>
          <w:p w14:paraId="79E58F3E" w14:textId="77777777"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7.0</w:t>
            </w:r>
          </w:p>
        </w:tc>
        <w:tc>
          <w:tcPr>
            <w:tcW w:w="1054" w:type="dxa"/>
            <w:tcBorders>
              <w:top w:val="nil"/>
              <w:left w:val="nil"/>
              <w:bottom w:val="single" w:sz="4" w:space="0" w:color="auto"/>
              <w:right w:val="single" w:sz="4" w:space="0" w:color="auto"/>
            </w:tcBorders>
            <w:shd w:val="clear" w:color="auto" w:fill="FFFFFF" w:themeFill="background1"/>
            <w:vAlign w:val="center"/>
            <w:hideMark/>
          </w:tcPr>
          <w:p w14:paraId="76B54238" w14:textId="77777777"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56 700</w:t>
            </w:r>
          </w:p>
        </w:tc>
        <w:tc>
          <w:tcPr>
            <w:tcW w:w="1427" w:type="dxa"/>
            <w:tcBorders>
              <w:top w:val="nil"/>
              <w:left w:val="nil"/>
              <w:bottom w:val="single" w:sz="4" w:space="0" w:color="auto"/>
              <w:right w:val="single" w:sz="4" w:space="0" w:color="auto"/>
            </w:tcBorders>
            <w:shd w:val="clear" w:color="auto" w:fill="FFFFFF" w:themeFill="background1"/>
            <w:vAlign w:val="center"/>
            <w:hideMark/>
          </w:tcPr>
          <w:p w14:paraId="22BA528F" w14:textId="77777777"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13 659</w:t>
            </w:r>
          </w:p>
        </w:tc>
        <w:tc>
          <w:tcPr>
            <w:tcW w:w="1416" w:type="dxa"/>
            <w:tcBorders>
              <w:top w:val="nil"/>
              <w:left w:val="nil"/>
              <w:bottom w:val="single" w:sz="4" w:space="0" w:color="auto"/>
              <w:right w:val="single" w:sz="4" w:space="0" w:color="auto"/>
            </w:tcBorders>
            <w:shd w:val="clear" w:color="auto" w:fill="auto"/>
            <w:noWrap/>
            <w:vAlign w:val="center"/>
            <w:hideMark/>
          </w:tcPr>
          <w:p w14:paraId="60FE074C" w14:textId="77777777"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18676.00</w:t>
            </w:r>
          </w:p>
        </w:tc>
        <w:tc>
          <w:tcPr>
            <w:tcW w:w="1439" w:type="dxa"/>
            <w:tcBorders>
              <w:top w:val="nil"/>
              <w:left w:val="nil"/>
              <w:bottom w:val="single" w:sz="4" w:space="0" w:color="auto"/>
              <w:right w:val="single" w:sz="4" w:space="0" w:color="auto"/>
            </w:tcBorders>
            <w:shd w:val="clear" w:color="auto" w:fill="FFFFFF" w:themeFill="background1"/>
            <w:vAlign w:val="center"/>
            <w:hideMark/>
          </w:tcPr>
          <w:p w14:paraId="0C6AD62A" w14:textId="77777777" w:rsidR="001D49EE" w:rsidRPr="00847710" w:rsidRDefault="001D49EE" w:rsidP="001D49EE">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89 035</w:t>
            </w:r>
          </w:p>
        </w:tc>
      </w:tr>
      <w:tr w:rsidR="0078794A" w:rsidRPr="00847710" w14:paraId="360E12F8" w14:textId="77777777" w:rsidTr="00560715">
        <w:trPr>
          <w:trHeight w:val="243"/>
        </w:trPr>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0CCB8829" w14:textId="77777777" w:rsidR="001D49EE" w:rsidRPr="00847710" w:rsidRDefault="001D49EE" w:rsidP="001D49EE">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c>
          <w:tcPr>
            <w:tcW w:w="24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773352F3" w14:textId="77777777" w:rsidR="001D49EE" w:rsidRPr="00847710" w:rsidRDefault="001D49EE" w:rsidP="001D49EE">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04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07022E1D" w14:textId="77777777" w:rsidR="001D49EE" w:rsidRPr="00847710" w:rsidRDefault="001D49EE" w:rsidP="00AB7C2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11</w:t>
            </w:r>
          </w:p>
        </w:tc>
        <w:tc>
          <w:tcPr>
            <w:tcW w:w="1078"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7BCF8CB2" w14:textId="77777777" w:rsidR="001D49EE" w:rsidRPr="00847710" w:rsidRDefault="001D49EE" w:rsidP="00AB7C2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11</w:t>
            </w:r>
          </w:p>
        </w:tc>
        <w:tc>
          <w:tcPr>
            <w:tcW w:w="1214"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645581E5" w14:textId="77777777" w:rsidR="001D49EE" w:rsidRPr="00847710" w:rsidRDefault="001D49EE" w:rsidP="00AB7C2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11</w:t>
            </w:r>
          </w:p>
        </w:tc>
        <w:tc>
          <w:tcPr>
            <w:tcW w:w="1054"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3F652A7F" w14:textId="77777777" w:rsidR="001D49EE" w:rsidRPr="00847710" w:rsidRDefault="001D49EE" w:rsidP="00AB7C2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89 100</w:t>
            </w:r>
          </w:p>
        </w:tc>
        <w:tc>
          <w:tcPr>
            <w:tcW w:w="1427"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271C3117" w14:textId="77777777" w:rsidR="001D49EE" w:rsidRPr="00847710" w:rsidRDefault="001D49EE" w:rsidP="00AB7C2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21 464</w:t>
            </w:r>
          </w:p>
        </w:tc>
        <w:tc>
          <w:tcPr>
            <w:tcW w:w="141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7F9408DB" w14:textId="77777777" w:rsidR="001D49EE" w:rsidRPr="00847710" w:rsidRDefault="001D49EE" w:rsidP="00AB7C2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29 348</w:t>
            </w:r>
          </w:p>
        </w:tc>
        <w:tc>
          <w:tcPr>
            <w:tcW w:w="1439"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6D24C107" w14:textId="77777777" w:rsidR="001D49EE" w:rsidRPr="00847710" w:rsidRDefault="001D49EE" w:rsidP="00AB7C2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139 912</w:t>
            </w:r>
          </w:p>
        </w:tc>
      </w:tr>
    </w:tbl>
    <w:p w14:paraId="003845CB" w14:textId="77777777" w:rsidR="003A24BA" w:rsidRPr="00847710" w:rsidRDefault="003A24BA" w:rsidP="003A24BA">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89"/>
      </w:tblGrid>
      <w:tr w:rsidR="003A24BA" w:rsidRPr="00847710" w14:paraId="10C3E00B" w14:textId="77777777" w:rsidTr="57326167">
        <w:tc>
          <w:tcPr>
            <w:tcW w:w="9089" w:type="dxa"/>
          </w:tcPr>
          <w:p w14:paraId="09DA24D6" w14:textId="4C8FC00D" w:rsidR="003A24BA" w:rsidRPr="00847710" w:rsidRDefault="002173DB" w:rsidP="00A37A10">
            <w:pPr>
              <w:autoSpaceDE w:val="0"/>
              <w:autoSpaceDN w:val="0"/>
              <w:adjustRightInd w:val="0"/>
              <w:spacing w:after="120"/>
              <w:ind w:firstLine="720"/>
              <w:jc w:val="both"/>
              <w:rPr>
                <w:rFonts w:ascii="Times New Roman" w:hAnsi="Times New Roman"/>
                <w:sz w:val="24"/>
                <w:szCs w:val="24"/>
              </w:rPr>
            </w:pPr>
            <w:r w:rsidRPr="0012317D">
              <w:rPr>
                <w:rFonts w:ascii="Times New Roman" w:hAnsi="Times New Roman"/>
                <w:b/>
                <w:bCs/>
                <w:sz w:val="24"/>
                <w:szCs w:val="24"/>
                <w:lang w:eastAsia="lv-LV"/>
              </w:rPr>
              <w:t>Reformas rezultāts: Cukura diabēta pacientu apmācības nozīmes pētījumi</w:t>
            </w:r>
            <w:r w:rsidR="00393EFC" w:rsidRPr="0012317D">
              <w:rPr>
                <w:rStyle w:val="FootnoteReference"/>
                <w:rFonts w:ascii="Times New Roman" w:hAnsi="Times New Roman"/>
                <w:b/>
                <w:bCs/>
                <w:sz w:val="24"/>
                <w:szCs w:val="24"/>
                <w:lang w:eastAsia="lv-LV"/>
              </w:rPr>
              <w:footnoteReference w:id="14"/>
            </w:r>
            <w:r w:rsidR="00393EFC" w:rsidRPr="0012317D">
              <w:rPr>
                <w:rFonts w:ascii="Times New Roman" w:hAnsi="Times New Roman"/>
                <w:b/>
                <w:bCs/>
                <w:sz w:val="24"/>
                <w:szCs w:val="24"/>
                <w:lang w:eastAsia="lv-LV"/>
              </w:rPr>
              <w:t>,</w:t>
            </w:r>
            <w:r w:rsidR="00393EFC" w:rsidRPr="0012317D">
              <w:rPr>
                <w:rStyle w:val="FootnoteReference"/>
                <w:rFonts w:ascii="Times New Roman" w:hAnsi="Times New Roman"/>
                <w:b/>
                <w:bCs/>
                <w:sz w:val="24"/>
                <w:szCs w:val="24"/>
                <w:lang w:eastAsia="lv-LV"/>
              </w:rPr>
              <w:footnoteReference w:id="15"/>
            </w:r>
            <w:r w:rsidRPr="0012317D">
              <w:rPr>
                <w:rFonts w:ascii="Times New Roman" w:hAnsi="Times New Roman"/>
                <w:b/>
                <w:bCs/>
                <w:sz w:val="24"/>
                <w:szCs w:val="24"/>
                <w:lang w:eastAsia="lv-LV"/>
              </w:rPr>
              <w:t xml:space="preserve"> liecina, ka pēc cukura diabēta apmācības realizācijas tiek panākta pacientu veselības stāvokļa uzlabošanās, samazinājās stacionēšanas biežums, tiek racionālāk lietoti medikamenti. Palielinoties pacientu motivācijai līdzdarboti</w:t>
            </w:r>
            <w:r w:rsidRPr="0078437D">
              <w:rPr>
                <w:rFonts w:ascii="Times New Roman" w:hAnsi="Times New Roman"/>
                <w:b/>
                <w:bCs/>
                <w:sz w:val="24"/>
                <w:szCs w:val="24"/>
                <w:lang w:eastAsia="lv-LV"/>
              </w:rPr>
              <w:t>es, ar izpratni lietot nepieciešamos medikamentus un attīstot prasmi novērst akūtus veselības sarežģījumus, samazinās akūtās un vēlīnās komplikācijas, invaliditātes iestāšanās riski un efektīvāk tiek izlietots veselības aprūpes finansējums, pacientiem sagl</w:t>
            </w:r>
            <w:r w:rsidRPr="00901A9F">
              <w:rPr>
                <w:rFonts w:ascii="Times New Roman" w:hAnsi="Times New Roman"/>
                <w:b/>
                <w:bCs/>
                <w:sz w:val="24"/>
                <w:szCs w:val="24"/>
                <w:lang w:eastAsia="lv-LV"/>
              </w:rPr>
              <w:t>abājot dzīves kvalitāti.</w:t>
            </w:r>
          </w:p>
        </w:tc>
      </w:tr>
    </w:tbl>
    <w:p w14:paraId="4576ADA0" w14:textId="77777777" w:rsidR="003A24BA" w:rsidRPr="00847710" w:rsidRDefault="003A24BA" w:rsidP="003A24BA">
      <w:pPr>
        <w:autoSpaceDE w:val="0"/>
        <w:autoSpaceDN w:val="0"/>
        <w:adjustRightInd w:val="0"/>
        <w:spacing w:after="120"/>
        <w:ind w:firstLine="720"/>
        <w:jc w:val="both"/>
        <w:rPr>
          <w:rFonts w:ascii="Times New Roman" w:hAnsi="Times New Roman" w:cs="Times New Roman"/>
          <w:sz w:val="24"/>
          <w:szCs w:val="24"/>
        </w:rPr>
      </w:pPr>
    </w:p>
    <w:p w14:paraId="47ECE8E8" w14:textId="3355568B" w:rsidR="00E37BCC" w:rsidRPr="00560715" w:rsidRDefault="00CB4F41" w:rsidP="00560715">
      <w:pPr>
        <w:pStyle w:val="Heading2"/>
        <w:spacing w:before="0"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w:t>
      </w:r>
      <w:r w:rsidR="00B55D67" w:rsidRPr="0012317D">
        <w:rPr>
          <w:rFonts w:ascii="Times New Roman" w:hAnsi="Times New Roman" w:cs="Times New Roman"/>
          <w:b/>
          <w:bCs/>
          <w:color w:val="auto"/>
          <w:sz w:val="24"/>
          <w:szCs w:val="24"/>
          <w:u w:val="single"/>
        </w:rPr>
        <w:t>.3. Jaunā reforma</w:t>
      </w:r>
      <w:r w:rsidR="00D77295" w:rsidRPr="0012317D">
        <w:rPr>
          <w:rFonts w:ascii="Times New Roman" w:hAnsi="Times New Roman" w:cs="Times New Roman"/>
          <w:b/>
          <w:bCs/>
          <w:color w:val="auto"/>
          <w:sz w:val="24"/>
          <w:szCs w:val="24"/>
          <w:u w:val="single"/>
        </w:rPr>
        <w:t>s</w:t>
      </w:r>
      <w:r w:rsidR="00B55D67" w:rsidRPr="0012317D">
        <w:rPr>
          <w:rFonts w:ascii="Times New Roman" w:hAnsi="Times New Roman" w:cs="Times New Roman"/>
          <w:b/>
          <w:bCs/>
          <w:color w:val="auto"/>
          <w:sz w:val="24"/>
          <w:szCs w:val="24"/>
          <w:u w:val="single"/>
        </w:rPr>
        <w:t xml:space="preserve"> iniciatīva - </w:t>
      </w:r>
      <w:r w:rsidR="004D1EBA" w:rsidRPr="0012317D">
        <w:rPr>
          <w:rFonts w:ascii="Times New Roman" w:hAnsi="Times New Roman" w:cs="Times New Roman"/>
          <w:b/>
          <w:bCs/>
          <w:color w:val="auto"/>
          <w:sz w:val="24"/>
          <w:szCs w:val="24"/>
          <w:u w:val="single"/>
        </w:rPr>
        <w:t>e</w:t>
      </w:r>
      <w:r w:rsidR="00E37BCC" w:rsidRPr="0078437D">
        <w:rPr>
          <w:rFonts w:ascii="Times New Roman" w:hAnsi="Times New Roman" w:cs="Times New Roman"/>
          <w:b/>
          <w:bCs/>
          <w:color w:val="auto"/>
          <w:sz w:val="24"/>
          <w:szCs w:val="24"/>
          <w:u w:val="single"/>
        </w:rPr>
        <w:t xml:space="preserve">ndoprotezēšanas </w:t>
      </w:r>
      <w:r w:rsidR="00D77295" w:rsidRPr="00901A9F">
        <w:rPr>
          <w:rFonts w:ascii="Times New Roman" w:hAnsi="Times New Roman" w:cs="Times New Roman"/>
          <w:b/>
          <w:bCs/>
          <w:color w:val="auto"/>
          <w:sz w:val="24"/>
          <w:szCs w:val="24"/>
          <w:u w:val="single"/>
        </w:rPr>
        <w:t xml:space="preserve">operācijas </w:t>
      </w:r>
      <w:r w:rsidR="00E37BCC" w:rsidRPr="00901A9F">
        <w:rPr>
          <w:rFonts w:ascii="Times New Roman" w:hAnsi="Times New Roman" w:cs="Times New Roman"/>
          <w:b/>
          <w:bCs/>
          <w:color w:val="auto"/>
          <w:sz w:val="24"/>
          <w:szCs w:val="24"/>
          <w:u w:val="single"/>
        </w:rPr>
        <w:t>stacionārā</w:t>
      </w:r>
    </w:p>
    <w:p w14:paraId="535E333C" w14:textId="3C9B72B7" w:rsidR="00E37BCC" w:rsidRPr="00847710" w:rsidRDefault="00E37BCC" w:rsidP="00354D42">
      <w:pPr>
        <w:shd w:val="clear" w:color="auto" w:fill="FFFFFF" w:themeFill="background1"/>
        <w:spacing w:after="120"/>
        <w:ind w:firstLine="720"/>
        <w:jc w:val="both"/>
        <w:textAlignment w:val="baseline"/>
        <w:rPr>
          <w:rFonts w:ascii="Times New Roman" w:hAnsi="Times New Roman" w:cs="Times New Roman"/>
          <w:sz w:val="24"/>
          <w:szCs w:val="24"/>
        </w:rPr>
      </w:pPr>
      <w:r w:rsidRPr="00847710">
        <w:rPr>
          <w:rFonts w:ascii="Times New Roman" w:eastAsia="Times New Roman" w:hAnsi="Times New Roman" w:cs="Times New Roman"/>
          <w:sz w:val="24"/>
          <w:szCs w:val="24"/>
          <w:bdr w:val="none" w:sz="0" w:space="0" w:color="auto" w:frame="1"/>
          <w:lang w:eastAsia="lv-LV" w:bidi="lo-LA"/>
        </w:rPr>
        <w:t>Valsts apmaksātu lielo locītavu endoprotezēšanas</w:t>
      </w:r>
      <w:r w:rsidR="00B55D67" w:rsidRPr="00847710">
        <w:rPr>
          <w:rFonts w:ascii="Times New Roman" w:eastAsia="Times New Roman" w:hAnsi="Times New Roman" w:cs="Times New Roman"/>
          <w:sz w:val="24"/>
          <w:szCs w:val="24"/>
          <w:bdr w:val="none" w:sz="0" w:space="0" w:color="auto" w:frame="1"/>
          <w:lang w:eastAsia="lv-LV" w:bidi="lo-LA"/>
        </w:rPr>
        <w:t xml:space="preserve"> (bojātās locītavas nomaiņa ar mākslīgu protēzi)</w:t>
      </w:r>
      <w:r w:rsidRPr="00847710">
        <w:rPr>
          <w:rFonts w:ascii="Times New Roman" w:eastAsia="Times New Roman" w:hAnsi="Times New Roman" w:cs="Times New Roman"/>
          <w:sz w:val="24"/>
          <w:szCs w:val="24"/>
          <w:bdr w:val="none" w:sz="0" w:space="0" w:color="auto" w:frame="1"/>
          <w:lang w:eastAsia="lv-LV" w:bidi="lo-LA"/>
        </w:rPr>
        <w:t xml:space="preserve"> operācij</w:t>
      </w:r>
      <w:r w:rsidR="00AD006D" w:rsidRPr="00847710">
        <w:rPr>
          <w:rFonts w:ascii="Times New Roman" w:eastAsia="Times New Roman" w:hAnsi="Times New Roman" w:cs="Times New Roman"/>
          <w:sz w:val="24"/>
          <w:szCs w:val="24"/>
          <w:bdr w:val="none" w:sz="0" w:space="0" w:color="auto" w:frame="1"/>
          <w:lang w:eastAsia="lv-LV" w:bidi="lo-LA"/>
        </w:rPr>
        <w:t>as</w:t>
      </w:r>
      <w:r w:rsidRPr="00847710">
        <w:rPr>
          <w:rFonts w:ascii="Times New Roman" w:hAnsi="Times New Roman" w:cs="Times New Roman"/>
          <w:sz w:val="24"/>
          <w:szCs w:val="24"/>
        </w:rPr>
        <w:t xml:space="preserve"> veic 10 slimnīcās visā valstī.</w:t>
      </w:r>
    </w:p>
    <w:p w14:paraId="5FE05618" w14:textId="0028EB26" w:rsidR="00E37BCC" w:rsidRPr="00847710" w:rsidRDefault="00E37BCC" w:rsidP="00354D42">
      <w:pPr>
        <w:shd w:val="clear" w:color="auto" w:fill="FFFFFF" w:themeFill="background1"/>
        <w:spacing w:after="120"/>
        <w:ind w:firstLine="720"/>
        <w:jc w:val="both"/>
        <w:textAlignment w:val="baseline"/>
        <w:rPr>
          <w:rFonts w:ascii="Times New Roman" w:hAnsi="Times New Roman" w:cs="Times New Roman"/>
          <w:sz w:val="24"/>
          <w:szCs w:val="24"/>
        </w:rPr>
      </w:pPr>
      <w:r w:rsidRPr="00847710">
        <w:rPr>
          <w:rFonts w:ascii="Times New Roman" w:hAnsi="Times New Roman" w:cs="Times New Roman"/>
          <w:sz w:val="24"/>
          <w:szCs w:val="24"/>
        </w:rPr>
        <w:t>201</w:t>
      </w:r>
      <w:r w:rsidR="003201C9" w:rsidRPr="00847710">
        <w:rPr>
          <w:rFonts w:ascii="Times New Roman" w:hAnsi="Times New Roman" w:cs="Times New Roman"/>
          <w:sz w:val="24"/>
          <w:szCs w:val="24"/>
        </w:rPr>
        <w:t>7</w:t>
      </w:r>
      <w:r w:rsidRPr="00847710">
        <w:rPr>
          <w:rFonts w:ascii="Times New Roman" w:hAnsi="Times New Roman" w:cs="Times New Roman"/>
          <w:sz w:val="24"/>
          <w:szCs w:val="24"/>
        </w:rPr>
        <w:t>.gadam plānotais lielo locītavu endopr</w:t>
      </w:r>
      <w:r w:rsidR="008A2999" w:rsidRPr="00847710">
        <w:rPr>
          <w:rFonts w:ascii="Times New Roman" w:hAnsi="Times New Roman" w:cs="Times New Roman"/>
          <w:sz w:val="24"/>
          <w:szCs w:val="24"/>
        </w:rPr>
        <w:t xml:space="preserve">otezēšanas apjoms norādīts </w:t>
      </w:r>
      <w:r w:rsidR="0020102F" w:rsidRPr="00847710">
        <w:rPr>
          <w:rFonts w:ascii="Times New Roman" w:hAnsi="Times New Roman" w:cs="Times New Roman"/>
          <w:sz w:val="24"/>
          <w:szCs w:val="24"/>
        </w:rPr>
        <w:t>7</w:t>
      </w:r>
      <w:r w:rsidR="008A2999" w:rsidRPr="00847710">
        <w:rPr>
          <w:rFonts w:ascii="Times New Roman" w:hAnsi="Times New Roman" w:cs="Times New Roman"/>
          <w:sz w:val="24"/>
          <w:szCs w:val="24"/>
        </w:rPr>
        <w:t>.tabulā.</w:t>
      </w:r>
      <w:r w:rsidRPr="00847710">
        <w:rPr>
          <w:rFonts w:ascii="Times New Roman" w:hAnsi="Times New Roman" w:cs="Times New Roman"/>
          <w:sz w:val="24"/>
          <w:szCs w:val="24"/>
        </w:rPr>
        <w:t xml:space="preserve"> </w:t>
      </w:r>
    </w:p>
    <w:p w14:paraId="0E6731E9" w14:textId="3CD1C4E1" w:rsidR="00F4600A" w:rsidRPr="00560715" w:rsidRDefault="0020102F" w:rsidP="00560715">
      <w:pPr>
        <w:spacing w:after="120"/>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7</w:t>
      </w:r>
      <w:r w:rsidR="00F4600A" w:rsidRPr="57326167">
        <w:rPr>
          <w:rFonts w:ascii="Times New Roman" w:hAnsi="Times New Roman" w:cs="Times New Roman"/>
          <w:i/>
          <w:iCs/>
          <w:sz w:val="24"/>
          <w:szCs w:val="24"/>
        </w:rPr>
        <w:t xml:space="preserve">.tabula </w:t>
      </w:r>
    </w:p>
    <w:p w14:paraId="27F26919" w14:textId="64AEF2F9" w:rsidR="00F4600A" w:rsidRPr="00847710" w:rsidRDefault="001F3FC4" w:rsidP="00D95C27">
      <w:pPr>
        <w:spacing w:after="120"/>
        <w:jc w:val="center"/>
        <w:rPr>
          <w:rFonts w:ascii="Times New Roman" w:hAnsi="Times New Roman" w:cs="Times New Roman"/>
          <w:color w:val="000000"/>
          <w:sz w:val="24"/>
          <w:szCs w:val="24"/>
        </w:rPr>
      </w:pPr>
      <w:r w:rsidRPr="0012317D">
        <w:rPr>
          <w:rFonts w:ascii="Times New Roman" w:hAnsi="Times New Roman" w:cs="Times New Roman"/>
          <w:b/>
          <w:bCs/>
          <w:sz w:val="24"/>
          <w:szCs w:val="24"/>
        </w:rPr>
        <w:t>Lielo locītavu endoprotezēšanas apjoms 2017.gadā</w:t>
      </w:r>
    </w:p>
    <w:tbl>
      <w:tblPr>
        <w:tblStyle w:val="TableGrid"/>
        <w:tblW w:w="0" w:type="auto"/>
        <w:jc w:val="center"/>
        <w:tblLook w:val="04A0" w:firstRow="1" w:lastRow="0" w:firstColumn="1" w:lastColumn="0" w:noHBand="0" w:noVBand="1"/>
      </w:tblPr>
      <w:tblGrid>
        <w:gridCol w:w="674"/>
        <w:gridCol w:w="4045"/>
        <w:gridCol w:w="1456"/>
        <w:gridCol w:w="1457"/>
        <w:gridCol w:w="1457"/>
      </w:tblGrid>
      <w:tr w:rsidR="003163BE" w:rsidRPr="00847710" w14:paraId="719EF856" w14:textId="6FA06C92" w:rsidTr="00560715">
        <w:trPr>
          <w:trHeight w:val="293"/>
          <w:jc w:val="center"/>
        </w:trPr>
        <w:tc>
          <w:tcPr>
            <w:tcW w:w="674" w:type="dxa"/>
            <w:vMerge w:val="restart"/>
            <w:shd w:val="clear" w:color="auto" w:fill="E36C0A" w:themeFill="accent6" w:themeFillShade="BF"/>
          </w:tcPr>
          <w:p w14:paraId="721F0A51" w14:textId="77777777" w:rsidR="003163BE" w:rsidRPr="00560715" w:rsidRDefault="003163BE">
            <w:pPr>
              <w:pStyle w:val="NoSpacing"/>
              <w:jc w:val="center"/>
              <w:rPr>
                <w:rFonts w:ascii="Times New Roman" w:hAnsi="Times New Roman" w:cs="Times New Roman"/>
                <w:b/>
                <w:bCs/>
                <w:sz w:val="24"/>
                <w:szCs w:val="24"/>
              </w:rPr>
            </w:pPr>
            <w:r w:rsidRPr="0012317D">
              <w:rPr>
                <w:rFonts w:ascii="Times New Roman" w:hAnsi="Times New Roman" w:cs="Times New Roman"/>
                <w:b/>
                <w:bCs/>
                <w:sz w:val="24"/>
                <w:szCs w:val="24"/>
              </w:rPr>
              <w:t>Nr.</w:t>
            </w:r>
          </w:p>
          <w:p w14:paraId="2BDBB5AC" w14:textId="77777777" w:rsidR="003163BE" w:rsidRPr="00560715" w:rsidRDefault="003163BE">
            <w:pPr>
              <w:pStyle w:val="NoSpacing"/>
              <w:jc w:val="center"/>
              <w:rPr>
                <w:rFonts w:ascii="Times New Roman" w:hAnsi="Times New Roman" w:cs="Times New Roman"/>
                <w:b/>
                <w:bCs/>
                <w:sz w:val="24"/>
                <w:szCs w:val="24"/>
              </w:rPr>
            </w:pPr>
            <w:r w:rsidRPr="0012317D">
              <w:rPr>
                <w:rFonts w:ascii="Times New Roman" w:hAnsi="Times New Roman" w:cs="Times New Roman"/>
                <w:b/>
                <w:bCs/>
                <w:sz w:val="24"/>
                <w:szCs w:val="24"/>
              </w:rPr>
              <w:t>p.k.</w:t>
            </w:r>
          </w:p>
        </w:tc>
        <w:tc>
          <w:tcPr>
            <w:tcW w:w="4045" w:type="dxa"/>
            <w:vMerge w:val="restart"/>
            <w:shd w:val="clear" w:color="auto" w:fill="E36C0A" w:themeFill="accent6" w:themeFillShade="BF"/>
          </w:tcPr>
          <w:p w14:paraId="26D53EDC" w14:textId="77777777" w:rsidR="003163BE" w:rsidRPr="00560715" w:rsidRDefault="003163BE" w:rsidP="00560715">
            <w:pPr>
              <w:pStyle w:val="NoSpacing"/>
              <w:spacing w:line="360" w:lineRule="auto"/>
              <w:jc w:val="center"/>
              <w:rPr>
                <w:rFonts w:ascii="Times New Roman" w:hAnsi="Times New Roman" w:cs="Times New Roman"/>
                <w:b/>
                <w:bCs/>
                <w:sz w:val="24"/>
                <w:szCs w:val="24"/>
              </w:rPr>
            </w:pPr>
            <w:r w:rsidRPr="0012317D">
              <w:rPr>
                <w:rFonts w:ascii="Times New Roman" w:hAnsi="Times New Roman" w:cs="Times New Roman"/>
                <w:b/>
                <w:bCs/>
                <w:sz w:val="24"/>
                <w:szCs w:val="24"/>
              </w:rPr>
              <w:t>Slimnīca</w:t>
            </w:r>
          </w:p>
        </w:tc>
        <w:tc>
          <w:tcPr>
            <w:tcW w:w="4370" w:type="dxa"/>
            <w:gridSpan w:val="3"/>
            <w:shd w:val="clear" w:color="auto" w:fill="E36C0A" w:themeFill="accent6" w:themeFillShade="BF"/>
          </w:tcPr>
          <w:p w14:paraId="78721093" w14:textId="438A89AE" w:rsidR="003163BE" w:rsidRPr="00560715" w:rsidRDefault="003163BE">
            <w:pPr>
              <w:pStyle w:val="NoSpacing"/>
              <w:jc w:val="center"/>
              <w:rPr>
                <w:rFonts w:ascii="Times New Roman" w:hAnsi="Times New Roman" w:cs="Times New Roman"/>
                <w:b/>
                <w:bCs/>
                <w:sz w:val="24"/>
                <w:szCs w:val="24"/>
              </w:rPr>
            </w:pPr>
            <w:r w:rsidRPr="0012317D">
              <w:rPr>
                <w:rFonts w:ascii="Times New Roman" w:hAnsi="Times New Roman" w:cs="Times New Roman"/>
                <w:b/>
                <w:bCs/>
                <w:sz w:val="24"/>
                <w:szCs w:val="24"/>
              </w:rPr>
              <w:t>Plānotais pacientu skaits</w:t>
            </w:r>
          </w:p>
        </w:tc>
      </w:tr>
      <w:tr w:rsidR="003163BE" w:rsidRPr="00847710" w14:paraId="34ADC8B9" w14:textId="77777777" w:rsidTr="57326167">
        <w:trPr>
          <w:trHeight w:val="292"/>
          <w:jc w:val="center"/>
        </w:trPr>
        <w:tc>
          <w:tcPr>
            <w:tcW w:w="674" w:type="dxa"/>
            <w:vMerge/>
            <w:shd w:val="clear" w:color="auto" w:fill="E36C0A" w:themeFill="accent6" w:themeFillShade="BF"/>
          </w:tcPr>
          <w:p w14:paraId="77EDA28A" w14:textId="77777777" w:rsidR="003163BE" w:rsidRPr="00847710" w:rsidRDefault="003163BE" w:rsidP="00910EE6">
            <w:pPr>
              <w:pStyle w:val="NoSpacing"/>
              <w:jc w:val="center"/>
              <w:rPr>
                <w:rFonts w:ascii="Times New Roman" w:hAnsi="Times New Roman" w:cs="Times New Roman"/>
                <w:b/>
                <w:sz w:val="24"/>
                <w:szCs w:val="24"/>
              </w:rPr>
            </w:pPr>
          </w:p>
        </w:tc>
        <w:tc>
          <w:tcPr>
            <w:tcW w:w="4045" w:type="dxa"/>
            <w:vMerge/>
            <w:shd w:val="clear" w:color="auto" w:fill="E36C0A" w:themeFill="accent6" w:themeFillShade="BF"/>
          </w:tcPr>
          <w:p w14:paraId="7281736D" w14:textId="77777777" w:rsidR="003163BE" w:rsidRPr="00847710" w:rsidRDefault="003163BE" w:rsidP="00910EE6">
            <w:pPr>
              <w:pStyle w:val="NoSpacing"/>
              <w:spacing w:line="360" w:lineRule="auto"/>
              <w:jc w:val="center"/>
              <w:rPr>
                <w:rFonts w:ascii="Times New Roman" w:hAnsi="Times New Roman" w:cs="Times New Roman"/>
                <w:b/>
                <w:sz w:val="24"/>
                <w:szCs w:val="24"/>
              </w:rPr>
            </w:pPr>
          </w:p>
        </w:tc>
        <w:tc>
          <w:tcPr>
            <w:tcW w:w="1456" w:type="dxa"/>
            <w:shd w:val="clear" w:color="auto" w:fill="E36C0A" w:themeFill="accent6" w:themeFillShade="BF"/>
          </w:tcPr>
          <w:p w14:paraId="6B3620FE" w14:textId="31359EA0" w:rsidR="003163BE" w:rsidRPr="00560715" w:rsidRDefault="003163BE">
            <w:pPr>
              <w:pStyle w:val="NoSpacing"/>
              <w:jc w:val="center"/>
              <w:rPr>
                <w:rFonts w:ascii="Times New Roman" w:hAnsi="Times New Roman" w:cs="Times New Roman"/>
                <w:b/>
                <w:bCs/>
                <w:sz w:val="24"/>
                <w:szCs w:val="24"/>
              </w:rPr>
            </w:pPr>
            <w:r w:rsidRPr="0012317D">
              <w:rPr>
                <w:rFonts w:ascii="Times New Roman" w:hAnsi="Times New Roman" w:cs="Times New Roman"/>
                <w:b/>
                <w:bCs/>
                <w:sz w:val="24"/>
                <w:szCs w:val="24"/>
              </w:rPr>
              <w:t>kopā</w:t>
            </w:r>
          </w:p>
        </w:tc>
        <w:tc>
          <w:tcPr>
            <w:tcW w:w="1457" w:type="dxa"/>
            <w:shd w:val="clear" w:color="auto" w:fill="E36C0A" w:themeFill="accent6" w:themeFillShade="BF"/>
          </w:tcPr>
          <w:p w14:paraId="169CAEFB" w14:textId="00C00078" w:rsidR="003163BE" w:rsidRPr="00560715" w:rsidRDefault="003163BE">
            <w:pPr>
              <w:pStyle w:val="NoSpacing"/>
              <w:jc w:val="center"/>
              <w:rPr>
                <w:rFonts w:ascii="Times New Roman" w:hAnsi="Times New Roman" w:cs="Times New Roman"/>
                <w:b/>
                <w:bCs/>
                <w:sz w:val="24"/>
                <w:szCs w:val="24"/>
              </w:rPr>
            </w:pPr>
            <w:r w:rsidRPr="0012317D">
              <w:rPr>
                <w:rFonts w:ascii="Times New Roman" w:hAnsi="Times New Roman" w:cs="Times New Roman"/>
                <w:b/>
                <w:bCs/>
                <w:sz w:val="24"/>
                <w:szCs w:val="24"/>
              </w:rPr>
              <w:t>t.sk. gūžas locītavas</w:t>
            </w:r>
          </w:p>
        </w:tc>
        <w:tc>
          <w:tcPr>
            <w:tcW w:w="1457" w:type="dxa"/>
            <w:shd w:val="clear" w:color="auto" w:fill="E36C0A" w:themeFill="accent6" w:themeFillShade="BF"/>
          </w:tcPr>
          <w:p w14:paraId="13F18CA8" w14:textId="735077A8" w:rsidR="003163BE" w:rsidRPr="00560715" w:rsidRDefault="003163BE">
            <w:pPr>
              <w:pStyle w:val="NoSpacing"/>
              <w:jc w:val="center"/>
              <w:rPr>
                <w:rFonts w:ascii="Times New Roman" w:hAnsi="Times New Roman" w:cs="Times New Roman"/>
                <w:b/>
                <w:bCs/>
                <w:sz w:val="24"/>
                <w:szCs w:val="24"/>
              </w:rPr>
            </w:pPr>
            <w:r w:rsidRPr="0012317D">
              <w:rPr>
                <w:rFonts w:ascii="Times New Roman" w:hAnsi="Times New Roman" w:cs="Times New Roman"/>
                <w:b/>
                <w:bCs/>
                <w:sz w:val="24"/>
                <w:szCs w:val="24"/>
              </w:rPr>
              <w:t>t.sk. ceļa locītavas</w:t>
            </w:r>
          </w:p>
        </w:tc>
      </w:tr>
      <w:tr w:rsidR="003163BE" w:rsidRPr="00847710" w14:paraId="4BF452F6" w14:textId="0888FF33" w:rsidTr="00560715">
        <w:trPr>
          <w:jc w:val="center"/>
        </w:trPr>
        <w:tc>
          <w:tcPr>
            <w:tcW w:w="674" w:type="dxa"/>
          </w:tcPr>
          <w:p w14:paraId="6515777A" w14:textId="77777777"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rPr>
              <w:t>1.</w:t>
            </w:r>
          </w:p>
        </w:tc>
        <w:tc>
          <w:tcPr>
            <w:tcW w:w="4045" w:type="dxa"/>
          </w:tcPr>
          <w:p w14:paraId="039566D4" w14:textId="77777777" w:rsidR="003163BE" w:rsidRPr="00847710" w:rsidRDefault="003163BE" w:rsidP="003163BE">
            <w:pPr>
              <w:pStyle w:val="NoSpacing"/>
              <w:rPr>
                <w:rFonts w:ascii="Times New Roman" w:hAnsi="Times New Roman" w:cs="Times New Roman"/>
              </w:rPr>
            </w:pPr>
            <w:r w:rsidRPr="00847710">
              <w:rPr>
                <w:rFonts w:ascii="Times New Roman" w:hAnsi="Times New Roman" w:cs="Times New Roman"/>
              </w:rPr>
              <w:t>Rīgas Austrumu klīniskā universitātes slimnīca</w:t>
            </w:r>
          </w:p>
        </w:tc>
        <w:tc>
          <w:tcPr>
            <w:tcW w:w="1456" w:type="dxa"/>
            <w:vAlign w:val="center"/>
          </w:tcPr>
          <w:p w14:paraId="15968EE3" w14:textId="68D0D8AC"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color w:val="000000"/>
              </w:rPr>
              <w:t>144</w:t>
            </w:r>
          </w:p>
        </w:tc>
        <w:tc>
          <w:tcPr>
            <w:tcW w:w="1457" w:type="dxa"/>
            <w:vAlign w:val="center"/>
          </w:tcPr>
          <w:p w14:paraId="0196C364" w14:textId="08C7D08E"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83</w:t>
            </w:r>
          </w:p>
        </w:tc>
        <w:tc>
          <w:tcPr>
            <w:tcW w:w="1457" w:type="dxa"/>
            <w:vAlign w:val="center"/>
          </w:tcPr>
          <w:p w14:paraId="0AB2FD41" w14:textId="74987FD2"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61</w:t>
            </w:r>
          </w:p>
        </w:tc>
      </w:tr>
      <w:tr w:rsidR="003163BE" w:rsidRPr="00847710" w14:paraId="78DC452C" w14:textId="0FAA6329" w:rsidTr="00560715">
        <w:trPr>
          <w:jc w:val="center"/>
        </w:trPr>
        <w:tc>
          <w:tcPr>
            <w:tcW w:w="674" w:type="dxa"/>
          </w:tcPr>
          <w:p w14:paraId="771F7F8E" w14:textId="77777777"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rPr>
              <w:t>2.</w:t>
            </w:r>
          </w:p>
        </w:tc>
        <w:tc>
          <w:tcPr>
            <w:tcW w:w="4045" w:type="dxa"/>
          </w:tcPr>
          <w:p w14:paraId="0E6D62C6" w14:textId="77777777" w:rsidR="003163BE" w:rsidRPr="00847710" w:rsidRDefault="003163BE" w:rsidP="003163BE">
            <w:pPr>
              <w:pStyle w:val="NoSpacing"/>
              <w:rPr>
                <w:rFonts w:ascii="Times New Roman" w:hAnsi="Times New Roman" w:cs="Times New Roman"/>
              </w:rPr>
            </w:pPr>
            <w:r w:rsidRPr="00847710">
              <w:rPr>
                <w:rFonts w:ascii="Times New Roman" w:hAnsi="Times New Roman" w:cs="Times New Roman"/>
              </w:rPr>
              <w:t>Daugavpils reģionālā slimnīca</w:t>
            </w:r>
          </w:p>
        </w:tc>
        <w:tc>
          <w:tcPr>
            <w:tcW w:w="1456" w:type="dxa"/>
            <w:vAlign w:val="center"/>
          </w:tcPr>
          <w:p w14:paraId="157306E5" w14:textId="5CDC1A11"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color w:val="000000"/>
              </w:rPr>
              <w:t>39</w:t>
            </w:r>
          </w:p>
        </w:tc>
        <w:tc>
          <w:tcPr>
            <w:tcW w:w="1457" w:type="dxa"/>
            <w:vAlign w:val="center"/>
          </w:tcPr>
          <w:p w14:paraId="1C8447C0" w14:textId="196C89E3"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26</w:t>
            </w:r>
          </w:p>
        </w:tc>
        <w:tc>
          <w:tcPr>
            <w:tcW w:w="1457" w:type="dxa"/>
            <w:vAlign w:val="center"/>
          </w:tcPr>
          <w:p w14:paraId="16AAC662" w14:textId="73F280D6"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13</w:t>
            </w:r>
          </w:p>
        </w:tc>
      </w:tr>
      <w:tr w:rsidR="003163BE" w:rsidRPr="00847710" w14:paraId="6AD2AF55" w14:textId="308950B4" w:rsidTr="00560715">
        <w:trPr>
          <w:jc w:val="center"/>
        </w:trPr>
        <w:tc>
          <w:tcPr>
            <w:tcW w:w="674" w:type="dxa"/>
          </w:tcPr>
          <w:p w14:paraId="35569BDA" w14:textId="77777777"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rPr>
              <w:t>3.</w:t>
            </w:r>
          </w:p>
        </w:tc>
        <w:tc>
          <w:tcPr>
            <w:tcW w:w="4045" w:type="dxa"/>
          </w:tcPr>
          <w:p w14:paraId="56A5BF34" w14:textId="77777777" w:rsidR="003163BE" w:rsidRPr="00847710" w:rsidRDefault="003163BE" w:rsidP="003163BE">
            <w:pPr>
              <w:pStyle w:val="NoSpacing"/>
              <w:rPr>
                <w:rFonts w:ascii="Times New Roman" w:hAnsi="Times New Roman" w:cs="Times New Roman"/>
              </w:rPr>
            </w:pPr>
            <w:r w:rsidRPr="00847710">
              <w:rPr>
                <w:rFonts w:ascii="Times New Roman" w:hAnsi="Times New Roman" w:cs="Times New Roman"/>
              </w:rPr>
              <w:t>Jelgavas pilsētas slimnīca</w:t>
            </w:r>
          </w:p>
        </w:tc>
        <w:tc>
          <w:tcPr>
            <w:tcW w:w="1456" w:type="dxa"/>
            <w:vAlign w:val="center"/>
          </w:tcPr>
          <w:p w14:paraId="2FA512E5" w14:textId="06F70130"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color w:val="000000"/>
              </w:rPr>
              <w:t>51</w:t>
            </w:r>
          </w:p>
        </w:tc>
        <w:tc>
          <w:tcPr>
            <w:tcW w:w="1457" w:type="dxa"/>
            <w:vAlign w:val="center"/>
          </w:tcPr>
          <w:p w14:paraId="28952D76" w14:textId="39457480"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31</w:t>
            </w:r>
          </w:p>
        </w:tc>
        <w:tc>
          <w:tcPr>
            <w:tcW w:w="1457" w:type="dxa"/>
            <w:vAlign w:val="center"/>
          </w:tcPr>
          <w:p w14:paraId="1EE9DE96" w14:textId="38931590"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20</w:t>
            </w:r>
          </w:p>
        </w:tc>
      </w:tr>
      <w:tr w:rsidR="003163BE" w:rsidRPr="00847710" w14:paraId="66FD35F7" w14:textId="0D0CE821" w:rsidTr="00560715">
        <w:trPr>
          <w:jc w:val="center"/>
        </w:trPr>
        <w:tc>
          <w:tcPr>
            <w:tcW w:w="674" w:type="dxa"/>
          </w:tcPr>
          <w:p w14:paraId="2F9D4F68" w14:textId="77777777"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rPr>
              <w:t>4.</w:t>
            </w:r>
          </w:p>
        </w:tc>
        <w:tc>
          <w:tcPr>
            <w:tcW w:w="4045" w:type="dxa"/>
          </w:tcPr>
          <w:p w14:paraId="40FC289D" w14:textId="77777777" w:rsidR="003163BE" w:rsidRPr="00847710" w:rsidRDefault="003163BE" w:rsidP="003163BE">
            <w:pPr>
              <w:pStyle w:val="NoSpacing"/>
              <w:rPr>
                <w:rFonts w:ascii="Times New Roman" w:hAnsi="Times New Roman" w:cs="Times New Roman"/>
              </w:rPr>
            </w:pPr>
            <w:r w:rsidRPr="00847710">
              <w:rPr>
                <w:rFonts w:ascii="Times New Roman" w:hAnsi="Times New Roman" w:cs="Times New Roman"/>
              </w:rPr>
              <w:t>Liepājas reģionālā slimnīca</w:t>
            </w:r>
          </w:p>
        </w:tc>
        <w:tc>
          <w:tcPr>
            <w:tcW w:w="1456" w:type="dxa"/>
            <w:vAlign w:val="center"/>
          </w:tcPr>
          <w:p w14:paraId="24AEF517" w14:textId="7A195DB6"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color w:val="000000"/>
              </w:rPr>
              <w:t>421</w:t>
            </w:r>
          </w:p>
        </w:tc>
        <w:tc>
          <w:tcPr>
            <w:tcW w:w="1457" w:type="dxa"/>
            <w:vAlign w:val="center"/>
          </w:tcPr>
          <w:p w14:paraId="0CD62061" w14:textId="7DAEFE97"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170</w:t>
            </w:r>
          </w:p>
        </w:tc>
        <w:tc>
          <w:tcPr>
            <w:tcW w:w="1457" w:type="dxa"/>
            <w:vAlign w:val="center"/>
          </w:tcPr>
          <w:p w14:paraId="4331DFFA" w14:textId="3D69D96C"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251</w:t>
            </w:r>
          </w:p>
        </w:tc>
      </w:tr>
      <w:tr w:rsidR="003163BE" w:rsidRPr="00847710" w14:paraId="07AAA622" w14:textId="6B6A572E" w:rsidTr="00560715">
        <w:trPr>
          <w:jc w:val="center"/>
        </w:trPr>
        <w:tc>
          <w:tcPr>
            <w:tcW w:w="674" w:type="dxa"/>
          </w:tcPr>
          <w:p w14:paraId="1B0C30EE" w14:textId="77777777"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rPr>
              <w:t>5.</w:t>
            </w:r>
          </w:p>
        </w:tc>
        <w:tc>
          <w:tcPr>
            <w:tcW w:w="4045" w:type="dxa"/>
          </w:tcPr>
          <w:p w14:paraId="3DBDD907" w14:textId="77777777" w:rsidR="003163BE" w:rsidRPr="00847710" w:rsidRDefault="003163BE" w:rsidP="003163BE">
            <w:pPr>
              <w:pStyle w:val="NoSpacing"/>
              <w:rPr>
                <w:rFonts w:ascii="Times New Roman" w:hAnsi="Times New Roman" w:cs="Times New Roman"/>
              </w:rPr>
            </w:pPr>
            <w:r w:rsidRPr="00847710">
              <w:rPr>
                <w:rFonts w:ascii="Times New Roman" w:hAnsi="Times New Roman" w:cs="Times New Roman"/>
              </w:rPr>
              <w:t>Rēzeknes slimnīca</w:t>
            </w:r>
          </w:p>
        </w:tc>
        <w:tc>
          <w:tcPr>
            <w:tcW w:w="1456" w:type="dxa"/>
            <w:vAlign w:val="center"/>
          </w:tcPr>
          <w:p w14:paraId="373BAEB8" w14:textId="6B83E79F"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color w:val="000000"/>
              </w:rPr>
              <w:t>13</w:t>
            </w:r>
          </w:p>
        </w:tc>
        <w:tc>
          <w:tcPr>
            <w:tcW w:w="1457" w:type="dxa"/>
            <w:vAlign w:val="center"/>
          </w:tcPr>
          <w:p w14:paraId="06E83ED9" w14:textId="20C6D3BC"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13</w:t>
            </w:r>
          </w:p>
        </w:tc>
        <w:tc>
          <w:tcPr>
            <w:tcW w:w="1457" w:type="dxa"/>
            <w:vAlign w:val="center"/>
          </w:tcPr>
          <w:p w14:paraId="699F65FC" w14:textId="06B5A26D"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0</w:t>
            </w:r>
          </w:p>
        </w:tc>
      </w:tr>
      <w:tr w:rsidR="003163BE" w:rsidRPr="00847710" w14:paraId="505E3BB1" w14:textId="23187281" w:rsidTr="00560715">
        <w:trPr>
          <w:jc w:val="center"/>
        </w:trPr>
        <w:tc>
          <w:tcPr>
            <w:tcW w:w="674" w:type="dxa"/>
          </w:tcPr>
          <w:p w14:paraId="38B41F4C" w14:textId="77777777"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rPr>
              <w:t>6.</w:t>
            </w:r>
          </w:p>
        </w:tc>
        <w:tc>
          <w:tcPr>
            <w:tcW w:w="4045" w:type="dxa"/>
          </w:tcPr>
          <w:p w14:paraId="7121823E" w14:textId="77777777" w:rsidR="003163BE" w:rsidRPr="00847710" w:rsidRDefault="003163BE" w:rsidP="003163BE">
            <w:pPr>
              <w:pStyle w:val="NoSpacing"/>
              <w:rPr>
                <w:rFonts w:ascii="Times New Roman" w:hAnsi="Times New Roman" w:cs="Times New Roman"/>
              </w:rPr>
            </w:pPr>
            <w:r w:rsidRPr="00847710">
              <w:rPr>
                <w:rFonts w:ascii="Times New Roman" w:hAnsi="Times New Roman" w:cs="Times New Roman"/>
              </w:rPr>
              <w:t>Vidzemes slimnīca</w:t>
            </w:r>
          </w:p>
        </w:tc>
        <w:tc>
          <w:tcPr>
            <w:tcW w:w="1456" w:type="dxa"/>
            <w:vAlign w:val="center"/>
          </w:tcPr>
          <w:p w14:paraId="2D8E8A59" w14:textId="140E3AC2"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color w:val="000000"/>
              </w:rPr>
              <w:t>161</w:t>
            </w:r>
          </w:p>
        </w:tc>
        <w:tc>
          <w:tcPr>
            <w:tcW w:w="1457" w:type="dxa"/>
            <w:vAlign w:val="center"/>
          </w:tcPr>
          <w:p w14:paraId="55F762BB" w14:textId="0124DBE2"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79</w:t>
            </w:r>
          </w:p>
        </w:tc>
        <w:tc>
          <w:tcPr>
            <w:tcW w:w="1457" w:type="dxa"/>
            <w:vAlign w:val="center"/>
          </w:tcPr>
          <w:p w14:paraId="7BED7F4C" w14:textId="7E142DFC"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82</w:t>
            </w:r>
          </w:p>
        </w:tc>
      </w:tr>
      <w:tr w:rsidR="003163BE" w:rsidRPr="00847710" w14:paraId="6768B5EC" w14:textId="61398EE7" w:rsidTr="00560715">
        <w:trPr>
          <w:jc w:val="center"/>
        </w:trPr>
        <w:tc>
          <w:tcPr>
            <w:tcW w:w="674" w:type="dxa"/>
          </w:tcPr>
          <w:p w14:paraId="4A24DA74" w14:textId="77777777"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rPr>
              <w:t>7.</w:t>
            </w:r>
          </w:p>
        </w:tc>
        <w:tc>
          <w:tcPr>
            <w:tcW w:w="4045" w:type="dxa"/>
          </w:tcPr>
          <w:p w14:paraId="02DD763A" w14:textId="77777777" w:rsidR="003163BE" w:rsidRPr="00847710" w:rsidRDefault="003163BE" w:rsidP="003163BE">
            <w:pPr>
              <w:pStyle w:val="NoSpacing"/>
              <w:rPr>
                <w:rFonts w:ascii="Times New Roman" w:hAnsi="Times New Roman" w:cs="Times New Roman"/>
              </w:rPr>
            </w:pPr>
            <w:r w:rsidRPr="00847710">
              <w:rPr>
                <w:rFonts w:ascii="Times New Roman" w:hAnsi="Times New Roman" w:cs="Times New Roman"/>
              </w:rPr>
              <w:t>Ziemeļkurzemes reģionālā slimnīca</w:t>
            </w:r>
          </w:p>
        </w:tc>
        <w:tc>
          <w:tcPr>
            <w:tcW w:w="1456" w:type="dxa"/>
            <w:vAlign w:val="center"/>
          </w:tcPr>
          <w:p w14:paraId="050D39A2" w14:textId="35317F70"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color w:val="000000"/>
              </w:rPr>
              <w:t>70</w:t>
            </w:r>
          </w:p>
        </w:tc>
        <w:tc>
          <w:tcPr>
            <w:tcW w:w="1457" w:type="dxa"/>
            <w:vAlign w:val="center"/>
          </w:tcPr>
          <w:p w14:paraId="4C8ADD64" w14:textId="6735284A"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52</w:t>
            </w:r>
          </w:p>
        </w:tc>
        <w:tc>
          <w:tcPr>
            <w:tcW w:w="1457" w:type="dxa"/>
            <w:vAlign w:val="center"/>
          </w:tcPr>
          <w:p w14:paraId="782C1D57" w14:textId="7D577B1E"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18</w:t>
            </w:r>
          </w:p>
        </w:tc>
      </w:tr>
      <w:tr w:rsidR="003163BE" w:rsidRPr="00847710" w14:paraId="61E08343" w14:textId="4F6E823F" w:rsidTr="00560715">
        <w:trPr>
          <w:jc w:val="center"/>
        </w:trPr>
        <w:tc>
          <w:tcPr>
            <w:tcW w:w="674" w:type="dxa"/>
          </w:tcPr>
          <w:p w14:paraId="371806CD" w14:textId="77777777"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rPr>
              <w:t>8.</w:t>
            </w:r>
          </w:p>
        </w:tc>
        <w:tc>
          <w:tcPr>
            <w:tcW w:w="4045" w:type="dxa"/>
          </w:tcPr>
          <w:p w14:paraId="2FC9BC7E" w14:textId="77777777" w:rsidR="003163BE" w:rsidRPr="00847710" w:rsidRDefault="003163BE" w:rsidP="003163BE">
            <w:pPr>
              <w:pStyle w:val="NoSpacing"/>
              <w:rPr>
                <w:rFonts w:ascii="Times New Roman" w:hAnsi="Times New Roman" w:cs="Times New Roman"/>
              </w:rPr>
            </w:pPr>
            <w:r w:rsidRPr="00847710">
              <w:rPr>
                <w:rFonts w:ascii="Times New Roman" w:hAnsi="Times New Roman" w:cs="Times New Roman"/>
              </w:rPr>
              <w:t>Madonas slimnīca</w:t>
            </w:r>
          </w:p>
        </w:tc>
        <w:tc>
          <w:tcPr>
            <w:tcW w:w="1456" w:type="dxa"/>
            <w:vAlign w:val="center"/>
          </w:tcPr>
          <w:p w14:paraId="6950F554" w14:textId="6B907DB4"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color w:val="000000"/>
              </w:rPr>
              <w:t>163</w:t>
            </w:r>
          </w:p>
        </w:tc>
        <w:tc>
          <w:tcPr>
            <w:tcW w:w="1457" w:type="dxa"/>
            <w:vAlign w:val="center"/>
          </w:tcPr>
          <w:p w14:paraId="1946ADB9" w14:textId="201B1EBE"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112</w:t>
            </w:r>
          </w:p>
        </w:tc>
        <w:tc>
          <w:tcPr>
            <w:tcW w:w="1457" w:type="dxa"/>
            <w:vAlign w:val="center"/>
          </w:tcPr>
          <w:p w14:paraId="5D879D9A" w14:textId="4B7727C7"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51</w:t>
            </w:r>
          </w:p>
        </w:tc>
      </w:tr>
      <w:tr w:rsidR="003163BE" w:rsidRPr="00847710" w14:paraId="6735882E" w14:textId="36B5FA4F" w:rsidTr="00560715">
        <w:trPr>
          <w:jc w:val="center"/>
        </w:trPr>
        <w:tc>
          <w:tcPr>
            <w:tcW w:w="674" w:type="dxa"/>
          </w:tcPr>
          <w:p w14:paraId="7D1882D1" w14:textId="77777777"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rPr>
              <w:lastRenderedPageBreak/>
              <w:t>9.</w:t>
            </w:r>
          </w:p>
        </w:tc>
        <w:tc>
          <w:tcPr>
            <w:tcW w:w="4045" w:type="dxa"/>
          </w:tcPr>
          <w:p w14:paraId="305F9831" w14:textId="77777777" w:rsidR="003163BE" w:rsidRPr="00847710" w:rsidRDefault="003163BE" w:rsidP="003163BE">
            <w:pPr>
              <w:pStyle w:val="NoSpacing"/>
              <w:rPr>
                <w:rFonts w:ascii="Times New Roman" w:hAnsi="Times New Roman" w:cs="Times New Roman"/>
              </w:rPr>
            </w:pPr>
            <w:r w:rsidRPr="00847710">
              <w:rPr>
                <w:rFonts w:ascii="Times New Roman" w:hAnsi="Times New Roman" w:cs="Times New Roman"/>
              </w:rPr>
              <w:t>Rīgas 2. slimnīca</w:t>
            </w:r>
          </w:p>
        </w:tc>
        <w:tc>
          <w:tcPr>
            <w:tcW w:w="1456" w:type="dxa"/>
            <w:vAlign w:val="center"/>
          </w:tcPr>
          <w:p w14:paraId="5E5E6AD6" w14:textId="4A435F96"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color w:val="000000"/>
              </w:rPr>
              <w:t>779</w:t>
            </w:r>
          </w:p>
        </w:tc>
        <w:tc>
          <w:tcPr>
            <w:tcW w:w="1457" w:type="dxa"/>
            <w:vAlign w:val="center"/>
          </w:tcPr>
          <w:p w14:paraId="1567F5F8" w14:textId="353DE572"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356</w:t>
            </w:r>
          </w:p>
        </w:tc>
        <w:tc>
          <w:tcPr>
            <w:tcW w:w="1457" w:type="dxa"/>
            <w:vAlign w:val="center"/>
          </w:tcPr>
          <w:p w14:paraId="7E50689C" w14:textId="22980C53"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423</w:t>
            </w:r>
          </w:p>
        </w:tc>
      </w:tr>
      <w:tr w:rsidR="003163BE" w:rsidRPr="00847710" w14:paraId="08346057" w14:textId="6DCA268D" w:rsidTr="00560715">
        <w:trPr>
          <w:jc w:val="center"/>
        </w:trPr>
        <w:tc>
          <w:tcPr>
            <w:tcW w:w="674" w:type="dxa"/>
          </w:tcPr>
          <w:p w14:paraId="0BB630E5" w14:textId="77777777"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rPr>
              <w:t>10.</w:t>
            </w:r>
          </w:p>
        </w:tc>
        <w:tc>
          <w:tcPr>
            <w:tcW w:w="4045" w:type="dxa"/>
          </w:tcPr>
          <w:p w14:paraId="677E6F0C" w14:textId="77777777" w:rsidR="003163BE" w:rsidRPr="00847710" w:rsidRDefault="003163BE" w:rsidP="003163BE">
            <w:pPr>
              <w:pStyle w:val="NoSpacing"/>
              <w:rPr>
                <w:rFonts w:ascii="Times New Roman" w:hAnsi="Times New Roman" w:cs="Times New Roman"/>
              </w:rPr>
            </w:pPr>
            <w:r w:rsidRPr="00847710">
              <w:rPr>
                <w:rFonts w:ascii="Times New Roman" w:hAnsi="Times New Roman" w:cs="Times New Roman"/>
              </w:rPr>
              <w:t>Traumatoloģijas un ortopēdijas slimnīca</w:t>
            </w:r>
          </w:p>
        </w:tc>
        <w:tc>
          <w:tcPr>
            <w:tcW w:w="1456" w:type="dxa"/>
            <w:vAlign w:val="center"/>
          </w:tcPr>
          <w:p w14:paraId="7876FF7D" w14:textId="211F58AF" w:rsidR="003163BE" w:rsidRPr="00847710" w:rsidRDefault="003163BE" w:rsidP="003163BE">
            <w:pPr>
              <w:pStyle w:val="NoSpacing"/>
              <w:jc w:val="center"/>
              <w:rPr>
                <w:rFonts w:ascii="Times New Roman" w:hAnsi="Times New Roman" w:cs="Times New Roman"/>
              </w:rPr>
            </w:pPr>
            <w:r w:rsidRPr="00847710">
              <w:rPr>
                <w:rFonts w:ascii="Times New Roman" w:hAnsi="Times New Roman" w:cs="Times New Roman"/>
                <w:color w:val="000000"/>
              </w:rPr>
              <w:t>1233</w:t>
            </w:r>
          </w:p>
        </w:tc>
        <w:tc>
          <w:tcPr>
            <w:tcW w:w="1457" w:type="dxa"/>
            <w:vAlign w:val="center"/>
          </w:tcPr>
          <w:p w14:paraId="3DA80C0A" w14:textId="3E1D91B0"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677</w:t>
            </w:r>
          </w:p>
        </w:tc>
        <w:tc>
          <w:tcPr>
            <w:tcW w:w="1457" w:type="dxa"/>
            <w:vAlign w:val="center"/>
          </w:tcPr>
          <w:p w14:paraId="7F35CF0D" w14:textId="0F6AD5FF" w:rsidR="003163BE" w:rsidRPr="00847710" w:rsidRDefault="003163BE" w:rsidP="003163BE">
            <w:pPr>
              <w:pStyle w:val="NoSpacing"/>
              <w:jc w:val="center"/>
              <w:rPr>
                <w:rFonts w:ascii="Times New Roman" w:hAnsi="Times New Roman" w:cs="Times New Roman"/>
                <w:color w:val="000000"/>
              </w:rPr>
            </w:pPr>
            <w:r w:rsidRPr="00847710">
              <w:rPr>
                <w:rFonts w:ascii="Times New Roman" w:hAnsi="Times New Roman" w:cs="Times New Roman"/>
                <w:color w:val="000000"/>
              </w:rPr>
              <w:t>556</w:t>
            </w:r>
          </w:p>
        </w:tc>
      </w:tr>
      <w:tr w:rsidR="00F60662" w:rsidRPr="00847710" w14:paraId="1C223D82" w14:textId="77777777" w:rsidTr="00560715">
        <w:trPr>
          <w:jc w:val="center"/>
        </w:trPr>
        <w:tc>
          <w:tcPr>
            <w:tcW w:w="674" w:type="dxa"/>
            <w:shd w:val="clear" w:color="auto" w:fill="FBD4B4" w:themeFill="accent6" w:themeFillTint="66"/>
          </w:tcPr>
          <w:p w14:paraId="48458DAC" w14:textId="77777777" w:rsidR="00F60662" w:rsidRPr="00847710" w:rsidRDefault="00F60662" w:rsidP="003163BE">
            <w:pPr>
              <w:pStyle w:val="NoSpacing"/>
              <w:jc w:val="center"/>
              <w:rPr>
                <w:rFonts w:ascii="Times New Roman" w:hAnsi="Times New Roman" w:cs="Times New Roman"/>
                <w:b/>
              </w:rPr>
            </w:pPr>
          </w:p>
        </w:tc>
        <w:tc>
          <w:tcPr>
            <w:tcW w:w="4045" w:type="dxa"/>
            <w:shd w:val="clear" w:color="auto" w:fill="FBD4B4" w:themeFill="accent6" w:themeFillTint="66"/>
          </w:tcPr>
          <w:p w14:paraId="2F58D4E7" w14:textId="2AD8CA43" w:rsidR="00F60662" w:rsidRPr="00560715" w:rsidRDefault="00F60662">
            <w:pPr>
              <w:pStyle w:val="NoSpacing"/>
              <w:jc w:val="right"/>
              <w:rPr>
                <w:rFonts w:ascii="Times New Roman" w:hAnsi="Times New Roman" w:cs="Times New Roman"/>
                <w:b/>
                <w:bCs/>
              </w:rPr>
            </w:pPr>
            <w:r w:rsidRPr="0012317D">
              <w:rPr>
                <w:rFonts w:ascii="Times New Roman" w:hAnsi="Times New Roman" w:cs="Times New Roman"/>
                <w:b/>
                <w:bCs/>
              </w:rPr>
              <w:t>KOPĀ</w:t>
            </w:r>
          </w:p>
        </w:tc>
        <w:tc>
          <w:tcPr>
            <w:tcW w:w="1456" w:type="dxa"/>
            <w:shd w:val="clear" w:color="auto" w:fill="FBD4B4" w:themeFill="accent6" w:themeFillTint="66"/>
            <w:vAlign w:val="center"/>
          </w:tcPr>
          <w:p w14:paraId="7DEC7E73" w14:textId="4A10D81E" w:rsidR="00F60662" w:rsidRPr="00560715" w:rsidRDefault="00F60662">
            <w:pPr>
              <w:pStyle w:val="NoSpacing"/>
              <w:jc w:val="center"/>
              <w:rPr>
                <w:rFonts w:ascii="Times New Roman" w:hAnsi="Times New Roman" w:cs="Times New Roman"/>
                <w:b/>
                <w:bCs/>
                <w:color w:val="000000" w:themeColor="text1"/>
              </w:rPr>
            </w:pPr>
            <w:r w:rsidRPr="0012317D">
              <w:rPr>
                <w:rFonts w:ascii="Times New Roman" w:hAnsi="Times New Roman" w:cs="Times New Roman"/>
                <w:b/>
                <w:bCs/>
                <w:color w:val="000000"/>
              </w:rPr>
              <w:t>3 074</w:t>
            </w:r>
          </w:p>
        </w:tc>
        <w:tc>
          <w:tcPr>
            <w:tcW w:w="1457" w:type="dxa"/>
            <w:shd w:val="clear" w:color="auto" w:fill="FBD4B4" w:themeFill="accent6" w:themeFillTint="66"/>
            <w:vAlign w:val="center"/>
          </w:tcPr>
          <w:p w14:paraId="74BC0E7D" w14:textId="51AE4CD4" w:rsidR="00F60662" w:rsidRPr="00560715" w:rsidRDefault="00F60662">
            <w:pPr>
              <w:pStyle w:val="NoSpacing"/>
              <w:jc w:val="center"/>
              <w:rPr>
                <w:rFonts w:ascii="Times New Roman" w:hAnsi="Times New Roman" w:cs="Times New Roman"/>
                <w:b/>
                <w:bCs/>
                <w:color w:val="000000" w:themeColor="text1"/>
              </w:rPr>
            </w:pPr>
            <w:r w:rsidRPr="0012317D">
              <w:rPr>
                <w:rFonts w:ascii="Times New Roman" w:hAnsi="Times New Roman" w:cs="Times New Roman"/>
                <w:b/>
                <w:bCs/>
                <w:color w:val="000000"/>
              </w:rPr>
              <w:t>1 599</w:t>
            </w:r>
          </w:p>
        </w:tc>
        <w:tc>
          <w:tcPr>
            <w:tcW w:w="1457" w:type="dxa"/>
            <w:shd w:val="clear" w:color="auto" w:fill="FBD4B4" w:themeFill="accent6" w:themeFillTint="66"/>
            <w:vAlign w:val="center"/>
          </w:tcPr>
          <w:p w14:paraId="6D84D668" w14:textId="739BF38A" w:rsidR="00F60662" w:rsidRPr="00560715" w:rsidRDefault="00F60662">
            <w:pPr>
              <w:pStyle w:val="NoSpacing"/>
              <w:jc w:val="center"/>
              <w:rPr>
                <w:rFonts w:ascii="Times New Roman" w:hAnsi="Times New Roman" w:cs="Times New Roman"/>
                <w:b/>
                <w:bCs/>
                <w:color w:val="000000" w:themeColor="text1"/>
              </w:rPr>
            </w:pPr>
            <w:r w:rsidRPr="0012317D">
              <w:rPr>
                <w:rFonts w:ascii="Times New Roman" w:hAnsi="Times New Roman" w:cs="Times New Roman"/>
                <w:b/>
                <w:bCs/>
                <w:color w:val="000000"/>
              </w:rPr>
              <w:t>1 475</w:t>
            </w:r>
          </w:p>
        </w:tc>
      </w:tr>
    </w:tbl>
    <w:p w14:paraId="01490260" w14:textId="77777777" w:rsidR="00E37BCC" w:rsidRPr="00847710" w:rsidRDefault="00E37BCC" w:rsidP="00E37BCC">
      <w:pPr>
        <w:shd w:val="clear" w:color="auto" w:fill="FFFFFF"/>
        <w:spacing w:after="0" w:line="293" w:lineRule="atLeast"/>
        <w:ind w:firstLine="720"/>
        <w:jc w:val="both"/>
        <w:textAlignment w:val="baseline"/>
        <w:rPr>
          <w:rFonts w:ascii="Times New Roman" w:hAnsi="Times New Roman" w:cs="Times New Roman"/>
          <w:sz w:val="20"/>
          <w:szCs w:val="20"/>
        </w:rPr>
      </w:pPr>
    </w:p>
    <w:p w14:paraId="68ECC51C" w14:textId="77777777" w:rsidR="00E37BCC" w:rsidRPr="00847710" w:rsidRDefault="00E37BCC" w:rsidP="00560715">
      <w:pPr>
        <w:pStyle w:val="NormalWeb"/>
        <w:shd w:val="clear" w:color="auto" w:fill="FFFFFF" w:themeFill="background1"/>
        <w:spacing w:before="0" w:beforeAutospacing="0" w:after="0" w:afterAutospacing="0" w:line="276" w:lineRule="auto"/>
        <w:ind w:firstLine="720"/>
        <w:jc w:val="both"/>
        <w:textAlignment w:val="baseline"/>
      </w:pPr>
      <w:r w:rsidRPr="00847710">
        <w:t>Ārstniecības</w:t>
      </w:r>
      <w:r w:rsidRPr="1467952D">
        <w:t xml:space="preserve"> </w:t>
      </w:r>
      <w:r w:rsidRPr="00847710">
        <w:t>iestādes</w:t>
      </w:r>
      <w:r w:rsidRPr="1467952D">
        <w:t xml:space="preserve">, </w:t>
      </w:r>
      <w:r w:rsidRPr="00847710">
        <w:t>kurās</w:t>
      </w:r>
      <w:r w:rsidRPr="1467952D">
        <w:t xml:space="preserve"> </w:t>
      </w:r>
      <w:r w:rsidRPr="00847710">
        <w:t>veic</w:t>
      </w:r>
      <w:r w:rsidRPr="1467952D">
        <w:t xml:space="preserve"> </w:t>
      </w:r>
      <w:r w:rsidRPr="00847710">
        <w:t>plānveida</w:t>
      </w:r>
      <w:r w:rsidRPr="1467952D">
        <w:t xml:space="preserve"> </w:t>
      </w:r>
      <w:r w:rsidRPr="00847710">
        <w:t>lielo</w:t>
      </w:r>
      <w:r w:rsidRPr="1467952D">
        <w:t xml:space="preserve"> </w:t>
      </w:r>
      <w:r w:rsidRPr="00847710">
        <w:t>locītavu</w:t>
      </w:r>
      <w:r w:rsidRPr="1467952D">
        <w:t xml:space="preserve"> </w:t>
      </w:r>
      <w:r w:rsidRPr="00847710">
        <w:t>endoprotezēšanu</w:t>
      </w:r>
      <w:r w:rsidRPr="1467952D">
        <w:t xml:space="preserve">, </w:t>
      </w:r>
      <w:r w:rsidRPr="00847710">
        <w:t>veido</w:t>
      </w:r>
      <w:r w:rsidRPr="1467952D">
        <w:t xml:space="preserve"> </w:t>
      </w:r>
      <w:r w:rsidRPr="00847710">
        <w:t>gaidīšanas</w:t>
      </w:r>
      <w:r w:rsidRPr="1467952D">
        <w:t xml:space="preserve"> </w:t>
      </w:r>
      <w:r w:rsidRPr="00847710">
        <w:t>rindas</w:t>
      </w:r>
      <w:r w:rsidRPr="1467952D">
        <w:t>:</w:t>
      </w:r>
    </w:p>
    <w:p w14:paraId="5E52B1C4" w14:textId="77777777" w:rsidR="00E37BCC" w:rsidRPr="00847710" w:rsidRDefault="00E37BCC" w:rsidP="00D95C27">
      <w:pPr>
        <w:numPr>
          <w:ilvl w:val="0"/>
          <w:numId w:val="14"/>
        </w:numPr>
        <w:spacing w:after="0"/>
        <w:ind w:left="709"/>
        <w:jc w:val="both"/>
        <w:textAlignment w:val="baseline"/>
        <w:rPr>
          <w:rFonts w:ascii="Times New Roman" w:hAnsi="Times New Roman" w:cs="Times New Roman"/>
          <w:sz w:val="24"/>
          <w:szCs w:val="24"/>
        </w:rPr>
      </w:pPr>
      <w:r w:rsidRPr="00847710">
        <w:rPr>
          <w:rFonts w:ascii="Times New Roman" w:hAnsi="Times New Roman" w:cs="Times New Roman"/>
          <w:sz w:val="24"/>
          <w:szCs w:val="24"/>
        </w:rPr>
        <w:t>endoprotezēšanai vispārējā kārtībā;</w:t>
      </w:r>
    </w:p>
    <w:p w14:paraId="257A9568" w14:textId="77777777" w:rsidR="00E37BCC" w:rsidRPr="00847710" w:rsidRDefault="00E37BCC" w:rsidP="00D95C27">
      <w:pPr>
        <w:numPr>
          <w:ilvl w:val="0"/>
          <w:numId w:val="14"/>
        </w:numPr>
        <w:spacing w:after="0"/>
        <w:ind w:left="709"/>
        <w:jc w:val="both"/>
        <w:textAlignment w:val="baseline"/>
        <w:rPr>
          <w:rFonts w:ascii="Times New Roman" w:hAnsi="Times New Roman" w:cs="Times New Roman"/>
          <w:sz w:val="24"/>
          <w:szCs w:val="24"/>
        </w:rPr>
      </w:pPr>
      <w:r w:rsidRPr="00847710">
        <w:rPr>
          <w:rFonts w:ascii="Times New Roman" w:hAnsi="Times New Roman" w:cs="Times New Roman"/>
          <w:sz w:val="24"/>
          <w:szCs w:val="24"/>
        </w:rPr>
        <w:t>endoprotezēšanai steidzamības kārtā (ar ārstu konsīlija lēmumu);</w:t>
      </w:r>
    </w:p>
    <w:p w14:paraId="6AC26B27" w14:textId="77777777" w:rsidR="00E37BCC" w:rsidRPr="00847710" w:rsidRDefault="00E37BCC" w:rsidP="00D95C27">
      <w:pPr>
        <w:numPr>
          <w:ilvl w:val="0"/>
          <w:numId w:val="14"/>
        </w:numPr>
        <w:spacing w:after="120"/>
        <w:ind w:left="709"/>
        <w:jc w:val="both"/>
        <w:textAlignment w:val="baseline"/>
        <w:rPr>
          <w:rFonts w:ascii="Times New Roman" w:hAnsi="Times New Roman" w:cs="Times New Roman"/>
          <w:sz w:val="24"/>
          <w:szCs w:val="24"/>
        </w:rPr>
      </w:pPr>
      <w:r w:rsidRPr="00847710">
        <w:rPr>
          <w:rFonts w:ascii="Times New Roman" w:hAnsi="Times New Roman" w:cs="Times New Roman"/>
          <w:sz w:val="24"/>
          <w:szCs w:val="24"/>
        </w:rPr>
        <w:t>endoprotezēšanai ar 50 % endoprotezēšanas izdevumu apmaksu (pacients var rakstiski vienoties ar ārstniecības iestādi par operācijas veikšanu paātrinātā kārtā, sedzot 50 % no endoprotezēšanas operācijas izdevumiem).</w:t>
      </w:r>
    </w:p>
    <w:p w14:paraId="3996F417" w14:textId="77777777" w:rsidR="00FD3F38" w:rsidRPr="00847710" w:rsidRDefault="00FD3F38" w:rsidP="00315286">
      <w:pPr>
        <w:spacing w:after="120"/>
        <w:ind w:left="-142" w:firstLine="862"/>
        <w:jc w:val="both"/>
        <w:textAlignment w:val="baseline"/>
        <w:rPr>
          <w:rFonts w:ascii="Times New Roman" w:hAnsi="Times New Roman" w:cs="Times New Roman"/>
          <w:sz w:val="24"/>
          <w:szCs w:val="24"/>
        </w:rPr>
      </w:pPr>
      <w:r w:rsidRPr="00847710">
        <w:rPr>
          <w:rFonts w:ascii="Times New Roman" w:hAnsi="Times New Roman" w:cs="Times New Roman"/>
          <w:sz w:val="24"/>
          <w:szCs w:val="24"/>
        </w:rPr>
        <w:t>Ārstniecības iestādes, kurās veic lielo locītavu endoprotezēšanu, uz 2017.gada 1.septembri gaidīšanas rindas  ceļa locītavas endoprotezēšanai (bez konsīlija slēdziena) līdz  66 mēnešiem un ceļu locītavas endoprotezēšanai ar 50% apmaksu ir līdz 6 mēnešiem.</w:t>
      </w:r>
    </w:p>
    <w:p w14:paraId="22F6A153" w14:textId="4CB79333" w:rsidR="00E37BCC" w:rsidRPr="00847710" w:rsidRDefault="00E37BCC" w:rsidP="00315286">
      <w:pPr>
        <w:spacing w:after="120"/>
        <w:ind w:left="-142" w:firstLine="862"/>
        <w:jc w:val="both"/>
        <w:textAlignment w:val="baseline"/>
        <w:rPr>
          <w:rFonts w:ascii="Times New Roman" w:hAnsi="Times New Roman" w:cs="Times New Roman"/>
          <w:sz w:val="24"/>
          <w:szCs w:val="24"/>
        </w:rPr>
      </w:pPr>
      <w:r w:rsidRPr="00847710">
        <w:rPr>
          <w:rFonts w:ascii="Times New Roman" w:hAnsi="Times New Roman" w:cs="Times New Roman"/>
          <w:sz w:val="24"/>
          <w:szCs w:val="24"/>
        </w:rPr>
        <w:t xml:space="preserve">Nereti pēc locītavu endoprotezēšanas (agrīni vai vēlīni) </w:t>
      </w:r>
      <w:r w:rsidR="00207428" w:rsidRPr="00847710">
        <w:rPr>
          <w:rFonts w:ascii="Times New Roman" w:hAnsi="Times New Roman" w:cs="Times New Roman"/>
          <w:sz w:val="24"/>
          <w:szCs w:val="24"/>
        </w:rPr>
        <w:t xml:space="preserve"> ir </w:t>
      </w:r>
      <w:r w:rsidRPr="00847710">
        <w:rPr>
          <w:rFonts w:ascii="Times New Roman" w:hAnsi="Times New Roman" w:cs="Times New Roman"/>
          <w:sz w:val="24"/>
          <w:szCs w:val="24"/>
        </w:rPr>
        <w:t>nepieciešamība pēc revīzijas endoprotezēšanas. Valsts apmaksātas revīzijas endoprotezēšanas operācijas veic Liepājas reģionālā slimnīca</w:t>
      </w:r>
      <w:r w:rsidR="00207428" w:rsidRPr="00847710">
        <w:rPr>
          <w:rFonts w:ascii="Times New Roman" w:hAnsi="Times New Roman" w:cs="Times New Roman"/>
          <w:sz w:val="24"/>
          <w:szCs w:val="24"/>
        </w:rPr>
        <w:t xml:space="preserve"> (plānotais revīzijas endoprotezēšanas pacientu skaits 2017. gadā – 15)</w:t>
      </w:r>
      <w:r w:rsidRPr="00847710">
        <w:rPr>
          <w:rFonts w:ascii="Times New Roman" w:hAnsi="Times New Roman" w:cs="Times New Roman"/>
          <w:sz w:val="24"/>
          <w:szCs w:val="24"/>
        </w:rPr>
        <w:t xml:space="preserve">, Rīgas 2.slimnīca </w:t>
      </w:r>
      <w:r w:rsidR="00207428" w:rsidRPr="00847710">
        <w:rPr>
          <w:rFonts w:ascii="Times New Roman" w:hAnsi="Times New Roman" w:cs="Times New Roman"/>
          <w:sz w:val="24"/>
          <w:szCs w:val="24"/>
        </w:rPr>
        <w:t xml:space="preserve">(plānotais revīzijas endoprotezēšanas pacientu skaits 2017. gadā – 56) </w:t>
      </w:r>
      <w:r w:rsidRPr="00847710">
        <w:rPr>
          <w:rFonts w:ascii="Times New Roman" w:hAnsi="Times New Roman" w:cs="Times New Roman"/>
          <w:sz w:val="24"/>
          <w:szCs w:val="24"/>
        </w:rPr>
        <w:t>un Traumatoloģijas un ortopēdijas slimnīca</w:t>
      </w:r>
      <w:r w:rsidR="00207428" w:rsidRPr="00847710">
        <w:rPr>
          <w:rFonts w:ascii="Times New Roman" w:hAnsi="Times New Roman" w:cs="Times New Roman"/>
          <w:sz w:val="24"/>
          <w:szCs w:val="24"/>
        </w:rPr>
        <w:t>(plānotais revīzijas endoprotezēšanas pacientu skaits 2017. gadā – 160)</w:t>
      </w:r>
      <w:r w:rsidRPr="00847710">
        <w:rPr>
          <w:rFonts w:ascii="Times New Roman" w:hAnsi="Times New Roman" w:cs="Times New Roman"/>
          <w:sz w:val="24"/>
          <w:szCs w:val="24"/>
        </w:rPr>
        <w:t xml:space="preserve">. </w:t>
      </w:r>
    </w:p>
    <w:p w14:paraId="6EE267AD" w14:textId="77777777" w:rsidR="00FD3F38" w:rsidRPr="00847710" w:rsidRDefault="00FD3F38" w:rsidP="00560715">
      <w:pPr>
        <w:pStyle w:val="NormalWeb"/>
        <w:spacing w:before="0" w:beforeAutospacing="0" w:after="120" w:afterAutospacing="0" w:line="276" w:lineRule="auto"/>
        <w:ind w:firstLine="720"/>
        <w:jc w:val="both"/>
      </w:pPr>
      <w:r w:rsidRPr="00847710">
        <w:t>Ārstniecības</w:t>
      </w:r>
      <w:r w:rsidRPr="1467952D">
        <w:t xml:space="preserve"> </w:t>
      </w:r>
      <w:r w:rsidRPr="00847710">
        <w:t>iestādes</w:t>
      </w:r>
      <w:r w:rsidRPr="1467952D">
        <w:t xml:space="preserve">, </w:t>
      </w:r>
      <w:r w:rsidRPr="00847710">
        <w:t>kurās</w:t>
      </w:r>
      <w:r w:rsidRPr="1467952D">
        <w:t xml:space="preserve"> </w:t>
      </w:r>
      <w:r w:rsidRPr="00847710">
        <w:t>veic</w:t>
      </w:r>
      <w:r w:rsidRPr="1467952D">
        <w:t xml:space="preserve"> </w:t>
      </w:r>
      <w:r w:rsidRPr="00847710">
        <w:t>revīzijas</w:t>
      </w:r>
      <w:r w:rsidRPr="1467952D">
        <w:t xml:space="preserve"> </w:t>
      </w:r>
      <w:r w:rsidRPr="00847710">
        <w:t>endoprotezēšanu</w:t>
      </w:r>
      <w:r w:rsidRPr="1467952D">
        <w:t xml:space="preserve"> </w:t>
      </w:r>
      <w:r w:rsidRPr="00847710">
        <w:t>uz 2017.gada 1. septembri</w:t>
      </w:r>
      <w:r w:rsidRPr="1467952D">
        <w:t xml:space="preserve"> </w:t>
      </w:r>
      <w:r w:rsidRPr="00847710">
        <w:t>gaidīšanas</w:t>
      </w:r>
      <w:r w:rsidRPr="1467952D">
        <w:t xml:space="preserve"> </w:t>
      </w:r>
      <w:r w:rsidRPr="00847710">
        <w:t>rindas</w:t>
      </w:r>
      <w:r w:rsidRPr="1467952D">
        <w:t xml:space="preserve"> </w:t>
      </w:r>
      <w:r w:rsidRPr="00847710">
        <w:t>revīzijas</w:t>
      </w:r>
      <w:r w:rsidRPr="1467952D">
        <w:t xml:space="preserve"> </w:t>
      </w:r>
      <w:r w:rsidRPr="00847710">
        <w:t>endoprotezēšanai</w:t>
      </w:r>
      <w:r w:rsidRPr="1467952D">
        <w:t xml:space="preserve"> (</w:t>
      </w:r>
      <w:r w:rsidRPr="00847710">
        <w:t>ar</w:t>
      </w:r>
      <w:r w:rsidRPr="1467952D">
        <w:t xml:space="preserve"> </w:t>
      </w:r>
      <w:r w:rsidRPr="00847710">
        <w:t>endoprotēzes</w:t>
      </w:r>
      <w:r w:rsidRPr="1467952D">
        <w:t xml:space="preserve"> </w:t>
      </w:r>
      <w:r w:rsidRPr="00847710">
        <w:t>vērtību</w:t>
      </w:r>
      <w:r w:rsidRPr="1467952D">
        <w:t xml:space="preserve">) </w:t>
      </w:r>
      <w:r w:rsidRPr="00847710">
        <w:t>ir</w:t>
      </w:r>
      <w:r w:rsidRPr="1467952D">
        <w:t xml:space="preserve"> </w:t>
      </w:r>
      <w:r w:rsidRPr="00847710">
        <w:t>līdz 5 mēnešiem</w:t>
      </w:r>
      <w:r w:rsidRPr="1467952D">
        <w:t>.</w:t>
      </w:r>
    </w:p>
    <w:p w14:paraId="4FCFBEC4" w14:textId="0F19E13C" w:rsidR="00A62C56" w:rsidRPr="00A62C56" w:rsidRDefault="00E37BCC" w:rsidP="00560715">
      <w:pPr>
        <w:pStyle w:val="NormalWeb"/>
        <w:spacing w:before="0" w:beforeAutospacing="0" w:after="120" w:afterAutospacing="0" w:line="276" w:lineRule="auto"/>
        <w:ind w:firstLine="720"/>
        <w:jc w:val="both"/>
      </w:pPr>
      <w:r w:rsidRPr="00847710">
        <w:t>Lai samazinātu komplicēto un sarežģīto revīzijas operāciju skaitu, revīzijas endoprotezēšanas operācijas būtu jāsniedz pēc iespējas ātrāk no problēmas atklāšanas brīža, kas pastāvošo rindu ietvaros rada risku ilgākam un sarežģītākam operācijas un pēcoperācijas periodam.</w:t>
      </w:r>
    </w:p>
    <w:p w14:paraId="0600A156" w14:textId="4A51B703" w:rsidR="282EE5BE" w:rsidRPr="00BD7921" w:rsidRDefault="25CEDFA2" w:rsidP="00337A54">
      <w:pPr>
        <w:pStyle w:val="NormalWeb"/>
        <w:spacing w:before="0" w:beforeAutospacing="0" w:after="120" w:afterAutospacing="0" w:line="276" w:lineRule="auto"/>
        <w:ind w:firstLine="720"/>
        <w:jc w:val="both"/>
      </w:pPr>
      <w:r w:rsidRPr="004D4B58">
        <w:t>Lielo locītavu endoprotezēšanas rindā vislielākais pacientu skaits un attiecīgi arī ilgākais gaidīšanas laiks ir ceļa locītavas endoprotezēšanas operācijām, uz 2017.gada 1.</w:t>
      </w:r>
      <w:r w:rsidR="51B2209B" w:rsidRPr="00BD7921">
        <w:t>septembri</w:t>
      </w:r>
      <w:r w:rsidRPr="00890961">
        <w:t xml:space="preserve"> kopējā endoprotezēšanas rindā bija</w:t>
      </w:r>
      <w:r w:rsidR="727A7158" w:rsidRPr="00583196">
        <w:t xml:space="preserve"> </w:t>
      </w:r>
      <w:r w:rsidRPr="00301B7F">
        <w:t>2</w:t>
      </w:r>
      <w:r w:rsidR="50A53646" w:rsidRPr="007B2D1B">
        <w:t>0 605</w:t>
      </w:r>
      <w:r w:rsidRPr="00833CC8">
        <w:t xml:space="preserve"> pacienti</w:t>
      </w:r>
      <w:r w:rsidR="64A95A4D" w:rsidRPr="005507D0">
        <w:t xml:space="preserve"> (bez konsīlija slēdzieniem)</w:t>
      </w:r>
      <w:r w:rsidRPr="00FE512D">
        <w:t xml:space="preserve">, </w:t>
      </w:r>
      <w:r w:rsidR="7A0F6A84" w:rsidRPr="0061549C">
        <w:t>tostarp</w:t>
      </w:r>
      <w:r w:rsidR="7A0F6A84" w:rsidRPr="00D215A7">
        <w:t xml:space="preserve"> </w:t>
      </w:r>
      <w:r w:rsidRPr="0024092A">
        <w:t>tajā skaitā ceļa locītavas endoprotezēšanai 13</w:t>
      </w:r>
      <w:r w:rsidR="727A7158" w:rsidRPr="00DA104C">
        <w:t xml:space="preserve"> 146 pacienti (bez 713 pacientie</w:t>
      </w:r>
      <w:r w:rsidR="1B37EE77" w:rsidRPr="009F0CEF">
        <w:t>m ar konsīlija slēdzienu)</w:t>
      </w:r>
      <w:r w:rsidR="79424C1F" w:rsidRPr="00F65280">
        <w:t>, tādējādi aptverot</w:t>
      </w:r>
      <w:r w:rsidR="1B37EE77" w:rsidRPr="00C06728">
        <w:t xml:space="preserve"> </w:t>
      </w:r>
      <w:r w:rsidR="64A95A4D" w:rsidRPr="009F0CEF">
        <w:t>c</w:t>
      </w:r>
      <w:r w:rsidR="64EE45A9" w:rsidRPr="00266CC3">
        <w:t>eļa locītavu endoprotezē</w:t>
      </w:r>
      <w:r w:rsidR="12893A72" w:rsidRPr="003114FB">
        <w:t>ša</w:t>
      </w:r>
      <w:r w:rsidR="64EE45A9" w:rsidRPr="00D759E8">
        <w:t xml:space="preserve">nas rindai  </w:t>
      </w:r>
      <w:r w:rsidR="79424C1F" w:rsidRPr="008B5C1F">
        <w:t>63,80</w:t>
      </w:r>
      <w:r w:rsidRPr="0027567A">
        <w:t xml:space="preserve"> </w:t>
      </w:r>
      <w:r w:rsidR="12841B06" w:rsidRPr="00BC65AF">
        <w:t>% no kopējā lielo locītavu endoprotez</w:t>
      </w:r>
      <w:r w:rsidR="64EE45A9" w:rsidRPr="00E71A97">
        <w:t>ēšanu</w:t>
      </w:r>
      <w:r w:rsidR="12841B06" w:rsidRPr="000B055D">
        <w:t xml:space="preserve"> s</w:t>
      </w:r>
      <w:r w:rsidR="4113A385" w:rsidRPr="00A602C0">
        <w:t>kaita.</w:t>
      </w:r>
      <w:r w:rsidR="7BE025ED" w:rsidRPr="002F4338">
        <w:t xml:space="preserve"> </w:t>
      </w:r>
      <w:r w:rsidR="282EE5BE" w:rsidRPr="001A1286">
        <w:t xml:space="preserve">Rindā uz </w:t>
      </w:r>
      <w:r w:rsidR="282EE5BE" w:rsidRPr="00E70ECE">
        <w:t xml:space="preserve">operācijām kas veicamas steidzamības kārtā ceļa locītavas pacienti sastāda </w:t>
      </w:r>
      <w:r w:rsidR="79298964" w:rsidRPr="001533B1">
        <w:t>5</w:t>
      </w:r>
      <w:r w:rsidR="7BE025ED" w:rsidRPr="008F4619">
        <w:t>2</w:t>
      </w:r>
      <w:r w:rsidR="79298964" w:rsidRPr="0036062A">
        <w:t xml:space="preserve"> %</w:t>
      </w:r>
      <w:r w:rsidR="282EE5BE" w:rsidRPr="00BE4FC6">
        <w:t>, bet uz operācijām ar 50% pacienta līdzmaksājumu 5</w:t>
      </w:r>
      <w:r w:rsidR="7BE025ED" w:rsidRPr="00E42A83">
        <w:t xml:space="preserve">3 </w:t>
      </w:r>
      <w:r w:rsidR="282EE5BE" w:rsidRPr="00A411C6">
        <w:t>%</w:t>
      </w:r>
      <w:r w:rsidR="7BE025ED" w:rsidRPr="00830701">
        <w:t xml:space="preserve">. </w:t>
      </w:r>
      <w:r w:rsidR="282EE5BE" w:rsidRPr="006379F4">
        <w:t>Ņemot vērā lielo pacientu īpatsvaru ceļa locīvas endoprotezēšanai šo operāciju veikšanai būtu novirzāms papildus</w:t>
      </w:r>
      <w:r w:rsidR="282EE5BE" w:rsidRPr="00036134">
        <w:t xml:space="preserve"> finansējums.</w:t>
      </w:r>
    </w:p>
    <w:p w14:paraId="53309722" w14:textId="77777777" w:rsidR="0086477B" w:rsidRDefault="0086477B">
      <w:pPr>
        <w:rPr>
          <w:rFonts w:ascii="Times New Roman" w:hAnsi="Times New Roman" w:cs="Times New Roman"/>
          <w:i/>
          <w:iCs/>
          <w:sz w:val="24"/>
          <w:szCs w:val="24"/>
        </w:rPr>
      </w:pPr>
      <w:r>
        <w:rPr>
          <w:rFonts w:ascii="Times New Roman" w:hAnsi="Times New Roman" w:cs="Times New Roman"/>
          <w:i/>
          <w:iCs/>
          <w:sz w:val="24"/>
          <w:szCs w:val="24"/>
        </w:rPr>
        <w:br w:type="page"/>
      </w:r>
    </w:p>
    <w:p w14:paraId="1A59B197" w14:textId="26E25055" w:rsidR="00F4600A" w:rsidRPr="00337A54" w:rsidRDefault="0020102F" w:rsidP="00337A54">
      <w:pPr>
        <w:spacing w:after="120"/>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lastRenderedPageBreak/>
        <w:t>8</w:t>
      </w:r>
      <w:r w:rsidR="00F4600A" w:rsidRPr="57326167">
        <w:rPr>
          <w:rFonts w:ascii="Times New Roman" w:hAnsi="Times New Roman" w:cs="Times New Roman"/>
          <w:i/>
          <w:iCs/>
          <w:sz w:val="24"/>
          <w:szCs w:val="24"/>
        </w:rPr>
        <w:t xml:space="preserve">.tabula </w:t>
      </w:r>
    </w:p>
    <w:p w14:paraId="7DFEAE5E" w14:textId="1219D92F" w:rsidR="00F4600A" w:rsidRPr="00847710" w:rsidRDefault="0095083E" w:rsidP="00F4600A">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Endoprotezēšanas</w:t>
      </w:r>
      <w:r w:rsidR="00F4600A" w:rsidRPr="0012317D">
        <w:rPr>
          <w:rFonts w:ascii="Times New Roman" w:hAnsi="Times New Roman" w:cs="Times New Roman"/>
          <w:b/>
          <w:bCs/>
          <w:sz w:val="24"/>
          <w:szCs w:val="24"/>
        </w:rPr>
        <w:t xml:space="preserve"> pakalpojumu plānotais pieaugums</w:t>
      </w:r>
    </w:p>
    <w:tbl>
      <w:tblPr>
        <w:tblW w:w="111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726"/>
        <w:gridCol w:w="1134"/>
        <w:gridCol w:w="1417"/>
        <w:gridCol w:w="1412"/>
        <w:gridCol w:w="1285"/>
        <w:gridCol w:w="1272"/>
        <w:gridCol w:w="1272"/>
        <w:gridCol w:w="1272"/>
      </w:tblGrid>
      <w:tr w:rsidR="0078794A" w:rsidRPr="00847710" w14:paraId="370319FE" w14:textId="77777777" w:rsidTr="00337A54">
        <w:trPr>
          <w:cantSplit/>
          <w:trHeight w:val="1656"/>
        </w:trPr>
        <w:tc>
          <w:tcPr>
            <w:tcW w:w="401" w:type="dxa"/>
            <w:shd w:val="clear" w:color="auto" w:fill="E36C0A" w:themeFill="accent6" w:themeFillShade="BF"/>
            <w:vAlign w:val="center"/>
            <w:hideMark/>
          </w:tcPr>
          <w:p w14:paraId="0C566EE8" w14:textId="77777777" w:rsidR="00F4600A" w:rsidRPr="00847710" w:rsidRDefault="00F4600A" w:rsidP="00910EE6">
            <w:pPr>
              <w:spacing w:after="0" w:line="240" w:lineRule="auto"/>
              <w:jc w:val="center"/>
              <w:rPr>
                <w:rFonts w:ascii="Times New Roman" w:eastAsia="Times New Roman" w:hAnsi="Times New Roman" w:cs="Times New Roman"/>
                <w:b/>
                <w:bCs/>
                <w:sz w:val="20"/>
                <w:szCs w:val="20"/>
                <w:lang w:eastAsia="lv-LV"/>
              </w:rPr>
            </w:pPr>
          </w:p>
        </w:tc>
        <w:tc>
          <w:tcPr>
            <w:tcW w:w="1726" w:type="dxa"/>
            <w:shd w:val="clear" w:color="auto" w:fill="E36C0A" w:themeFill="accent6" w:themeFillShade="BF"/>
            <w:vAlign w:val="center"/>
            <w:hideMark/>
          </w:tcPr>
          <w:p w14:paraId="6AE97DDD" w14:textId="77777777" w:rsidR="00F4600A" w:rsidRPr="00847710" w:rsidRDefault="00F4600A" w:rsidP="00910EE6">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A" w:themeFill="accent6" w:themeFillShade="BF"/>
            <w:textDirection w:val="btLr"/>
            <w:vAlign w:val="center"/>
            <w:hideMark/>
          </w:tcPr>
          <w:p w14:paraId="1A8E8159" w14:textId="77777777" w:rsidR="00F4600A" w:rsidRPr="00847710" w:rsidRDefault="00F4600A" w:rsidP="00910EE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6804E2C2" w14:textId="5A518A87" w:rsidR="00F4600A" w:rsidRPr="00847710" w:rsidRDefault="00A2173B" w:rsidP="00910EE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w:t>
            </w:r>
            <w:r w:rsidR="00F4600A" w:rsidRPr="00847710">
              <w:rPr>
                <w:rFonts w:ascii="Times New Roman" w:eastAsia="Times New Roman" w:hAnsi="Times New Roman" w:cs="Times New Roman"/>
                <w:b/>
                <w:bCs/>
                <w:sz w:val="20"/>
                <w:szCs w:val="20"/>
                <w:lang w:eastAsia="lv-LV"/>
              </w:rPr>
              <w:t>zmaksas</w:t>
            </w:r>
            <w:r w:rsidRPr="00847710">
              <w:rPr>
                <w:rFonts w:ascii="Times New Roman" w:eastAsia="Times New Roman" w:hAnsi="Times New Roman" w:cs="Times New Roman"/>
                <w:b/>
                <w:bCs/>
                <w:sz w:val="20"/>
                <w:szCs w:val="20"/>
                <w:lang w:eastAsia="lv-LV"/>
              </w:rPr>
              <w:t>*</w:t>
            </w:r>
          </w:p>
          <w:p w14:paraId="1E7C2BDB" w14:textId="77777777" w:rsidR="00F4600A" w:rsidRPr="00847710" w:rsidRDefault="00F4600A" w:rsidP="00910EE6">
            <w:pPr>
              <w:spacing w:after="0" w:line="240" w:lineRule="auto"/>
              <w:ind w:left="113" w:right="113"/>
              <w:jc w:val="center"/>
              <w:rPr>
                <w:rFonts w:ascii="Times New Roman" w:eastAsia="Times New Roman" w:hAnsi="Times New Roman" w:cs="Times New Roman"/>
                <w:b/>
                <w:bCs/>
                <w:sz w:val="20"/>
                <w:szCs w:val="20"/>
                <w:lang w:eastAsia="lv-LV"/>
              </w:rPr>
            </w:pPr>
          </w:p>
        </w:tc>
        <w:tc>
          <w:tcPr>
            <w:tcW w:w="2829" w:type="dxa"/>
            <w:gridSpan w:val="2"/>
            <w:shd w:val="clear" w:color="auto" w:fill="E36C0A" w:themeFill="accent6" w:themeFillShade="BF"/>
            <w:textDirection w:val="btLr"/>
            <w:vAlign w:val="center"/>
            <w:hideMark/>
          </w:tcPr>
          <w:p w14:paraId="1CAB424F" w14:textId="77777777" w:rsidR="00F4600A" w:rsidRPr="00847710" w:rsidRDefault="00F4600A" w:rsidP="00910EE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A" w:themeFill="accent6" w:themeFillShade="BF"/>
            <w:textDirection w:val="btLr"/>
            <w:vAlign w:val="center"/>
            <w:hideMark/>
          </w:tcPr>
          <w:p w14:paraId="711B8AB1" w14:textId="77777777" w:rsidR="00F4600A" w:rsidRPr="00847710" w:rsidRDefault="00F4600A" w:rsidP="00910EE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A" w:themeFill="accent6" w:themeFillShade="BF"/>
            <w:textDirection w:val="btLr"/>
            <w:vAlign w:val="center"/>
          </w:tcPr>
          <w:p w14:paraId="48A498C5" w14:textId="77777777" w:rsidR="00F4600A" w:rsidRPr="00847710" w:rsidRDefault="00F4600A" w:rsidP="00910EE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A" w:themeFill="accent6" w:themeFillShade="BF"/>
            <w:textDirection w:val="btLr"/>
            <w:vAlign w:val="center"/>
            <w:hideMark/>
          </w:tcPr>
          <w:p w14:paraId="6D8589C4" w14:textId="77777777" w:rsidR="00F4600A" w:rsidRPr="00847710" w:rsidRDefault="00F4600A" w:rsidP="00910EE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78794A" w:rsidRPr="00847710" w14:paraId="5F6EBA63" w14:textId="77777777" w:rsidTr="00337A54">
        <w:trPr>
          <w:trHeight w:val="640"/>
        </w:trPr>
        <w:tc>
          <w:tcPr>
            <w:tcW w:w="401" w:type="dxa"/>
            <w:shd w:val="clear" w:color="auto" w:fill="FABF8F" w:themeFill="accent6" w:themeFillTint="99"/>
            <w:vAlign w:val="center"/>
          </w:tcPr>
          <w:p w14:paraId="0D08ED6F" w14:textId="77777777" w:rsidR="00F4600A" w:rsidRPr="00847710" w:rsidRDefault="00F4600A" w:rsidP="00910EE6">
            <w:pPr>
              <w:spacing w:after="0" w:line="240" w:lineRule="auto"/>
              <w:jc w:val="center"/>
              <w:rPr>
                <w:rFonts w:ascii="Times New Roman" w:eastAsia="Times New Roman" w:hAnsi="Times New Roman" w:cs="Times New Roman"/>
                <w:b/>
                <w:bCs/>
                <w:sz w:val="20"/>
                <w:szCs w:val="20"/>
                <w:lang w:eastAsia="lv-LV"/>
              </w:rPr>
            </w:pPr>
          </w:p>
        </w:tc>
        <w:tc>
          <w:tcPr>
            <w:tcW w:w="1726" w:type="dxa"/>
            <w:shd w:val="clear" w:color="auto" w:fill="FABF8F" w:themeFill="accent6" w:themeFillTint="99"/>
            <w:vAlign w:val="center"/>
          </w:tcPr>
          <w:p w14:paraId="2A896BBB" w14:textId="77777777" w:rsidR="00F4600A" w:rsidRPr="00847710" w:rsidRDefault="00F4600A" w:rsidP="00910EE6">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74F6A572" w14:textId="77777777" w:rsidR="00F4600A" w:rsidRPr="00847710" w:rsidRDefault="00F4600A" w:rsidP="00910EE6">
            <w:pPr>
              <w:spacing w:after="0" w:line="240" w:lineRule="auto"/>
              <w:jc w:val="center"/>
              <w:rPr>
                <w:rFonts w:ascii="Times New Roman" w:eastAsia="Times New Roman" w:hAnsi="Times New Roman" w:cs="Times New Roman"/>
                <w:i/>
                <w:iCs/>
                <w:sz w:val="20"/>
                <w:szCs w:val="20"/>
                <w:lang w:eastAsia="lv-LV"/>
              </w:rPr>
            </w:pPr>
          </w:p>
          <w:p w14:paraId="3535EF51" w14:textId="77777777" w:rsidR="00F4600A" w:rsidRPr="00847710" w:rsidRDefault="00F4600A" w:rsidP="00910EE6">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417" w:type="dxa"/>
            <w:shd w:val="clear" w:color="auto" w:fill="FABF8F" w:themeFill="accent6" w:themeFillTint="99"/>
            <w:vAlign w:val="center"/>
          </w:tcPr>
          <w:p w14:paraId="712AB54A" w14:textId="77777777" w:rsidR="00F4600A" w:rsidRPr="00847710" w:rsidRDefault="00F4600A" w:rsidP="00910EE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14:paraId="0E79C0F0" w14:textId="77777777" w:rsidR="00F4600A" w:rsidRPr="00847710" w:rsidRDefault="00F4600A" w:rsidP="00910EE6">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412" w:type="dxa"/>
            <w:shd w:val="clear" w:color="auto" w:fill="FABF8F" w:themeFill="accent6" w:themeFillTint="99"/>
            <w:vAlign w:val="center"/>
          </w:tcPr>
          <w:p w14:paraId="6FEB5DC6" w14:textId="77777777" w:rsidR="00F4600A" w:rsidRPr="00847710" w:rsidRDefault="00F4600A" w:rsidP="00910EE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14:paraId="337963AD" w14:textId="77777777" w:rsidR="00F4600A" w:rsidRPr="00847710" w:rsidRDefault="00F4600A" w:rsidP="00910EE6">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BF8F" w:themeFill="accent6" w:themeFillTint="99"/>
            <w:vAlign w:val="center"/>
          </w:tcPr>
          <w:p w14:paraId="52F1A94E" w14:textId="77777777" w:rsidR="00F4600A" w:rsidRPr="00847710" w:rsidRDefault="00F4600A" w:rsidP="00910EE6">
            <w:pPr>
              <w:spacing w:after="0" w:line="240" w:lineRule="auto"/>
              <w:jc w:val="center"/>
              <w:rPr>
                <w:rFonts w:ascii="Times New Roman" w:eastAsia="Times New Roman" w:hAnsi="Times New Roman" w:cs="Times New Roman"/>
                <w:bCs/>
                <w:i/>
                <w:iCs/>
                <w:sz w:val="20"/>
                <w:szCs w:val="20"/>
                <w:lang w:eastAsia="lv-LV"/>
              </w:rPr>
            </w:pPr>
          </w:p>
          <w:p w14:paraId="1BF8FDCA" w14:textId="77777777" w:rsidR="00F4600A" w:rsidRPr="00337A54" w:rsidRDefault="00F4600A" w:rsidP="00337A54">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BF8F" w:themeFill="accent6" w:themeFillTint="99"/>
            <w:vAlign w:val="center"/>
          </w:tcPr>
          <w:p w14:paraId="3A2CE9CD" w14:textId="77777777" w:rsidR="00F4600A" w:rsidRPr="00847710" w:rsidRDefault="00F4600A" w:rsidP="00910EE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BF8F" w:themeFill="accent6" w:themeFillTint="99"/>
            <w:vAlign w:val="center"/>
          </w:tcPr>
          <w:p w14:paraId="681238E2" w14:textId="77777777" w:rsidR="00F4600A" w:rsidRPr="00847710" w:rsidRDefault="00F4600A" w:rsidP="00910EE6">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eastAsia="Times New Roman" w:hAnsi="Times New Roman" w:cs="Times New Roman"/>
                <w:b/>
                <w:bCs/>
                <w:color w:val="FF0000"/>
                <w:sz w:val="20"/>
                <w:szCs w:val="20"/>
                <w:lang w:eastAsia="lv-LV"/>
              </w:rPr>
              <w:t>2018</w:t>
            </w:r>
          </w:p>
        </w:tc>
        <w:tc>
          <w:tcPr>
            <w:tcW w:w="1272" w:type="dxa"/>
            <w:shd w:val="clear" w:color="auto" w:fill="FABF8F" w:themeFill="accent6" w:themeFillTint="99"/>
            <w:vAlign w:val="center"/>
          </w:tcPr>
          <w:p w14:paraId="1E1D2705" w14:textId="77777777" w:rsidR="00F4600A" w:rsidRPr="00847710" w:rsidRDefault="00F4600A" w:rsidP="00910EE6">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eastAsia="Times New Roman" w:hAnsi="Times New Roman" w:cs="Times New Roman"/>
                <w:b/>
                <w:bCs/>
                <w:color w:val="FF0000"/>
                <w:sz w:val="20"/>
                <w:szCs w:val="20"/>
                <w:lang w:eastAsia="lv-LV"/>
              </w:rPr>
              <w:t>2018</w:t>
            </w:r>
          </w:p>
        </w:tc>
      </w:tr>
      <w:tr w:rsidR="00042B9F" w:rsidRPr="00847710" w14:paraId="17CF4FB8" w14:textId="77777777" w:rsidTr="00337A54">
        <w:trPr>
          <w:trHeight w:val="525"/>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1646C" w14:textId="77777777" w:rsidR="00042B9F" w:rsidRPr="00847710" w:rsidRDefault="00042B9F" w:rsidP="00042B9F">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651C3" w14:textId="46379B05" w:rsidR="00042B9F" w:rsidRPr="00847710" w:rsidRDefault="00042B9F" w:rsidP="00042B9F">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Ceļa locītavas endoprotezēšana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B671A" w14:textId="7CE37F54"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2 542.71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F324D" w14:textId="6D010C19"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2 189 283</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99681" w14:textId="1D626E09"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2 189 283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FA73C" w14:textId="78E6B629"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1 014 541</w:t>
            </w:r>
          </w:p>
        </w:tc>
        <w:tc>
          <w:tcPr>
            <w:tcW w:w="1272" w:type="dxa"/>
            <w:tcBorders>
              <w:top w:val="single" w:sz="4" w:space="0" w:color="auto"/>
              <w:left w:val="single" w:sz="4" w:space="0" w:color="auto"/>
              <w:bottom w:val="single" w:sz="4" w:space="0" w:color="auto"/>
              <w:right w:val="single" w:sz="4" w:space="0" w:color="auto"/>
            </w:tcBorders>
            <w:vAlign w:val="bottom"/>
          </w:tcPr>
          <w:p w14:paraId="49DF7081" w14:textId="720034BD"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959</w:t>
            </w:r>
          </w:p>
        </w:tc>
        <w:tc>
          <w:tcPr>
            <w:tcW w:w="1272" w:type="dxa"/>
            <w:tcBorders>
              <w:top w:val="single" w:sz="4" w:space="0" w:color="auto"/>
              <w:left w:val="single" w:sz="4" w:space="0" w:color="auto"/>
              <w:bottom w:val="single" w:sz="4" w:space="0" w:color="auto"/>
              <w:right w:val="single" w:sz="4" w:space="0" w:color="auto"/>
            </w:tcBorders>
            <w:vAlign w:val="bottom"/>
          </w:tcPr>
          <w:p w14:paraId="1BEBD830" w14:textId="12209141" w:rsidR="00042B9F" w:rsidRPr="00337A54" w:rsidRDefault="00042B9F" w:rsidP="00337A54">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959</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15C50" w14:textId="7508ECA6" w:rsidR="00042B9F" w:rsidRPr="00337A54" w:rsidRDefault="00042B9F" w:rsidP="00337A54">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1 358</w:t>
            </w:r>
          </w:p>
        </w:tc>
      </w:tr>
      <w:tr w:rsidR="00042B9F" w:rsidRPr="00847710" w14:paraId="78229531" w14:textId="77777777" w:rsidTr="00337A54">
        <w:trPr>
          <w:trHeight w:val="708"/>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1F37B" w14:textId="77777777" w:rsidR="00042B9F" w:rsidRPr="00847710" w:rsidRDefault="00042B9F" w:rsidP="00042B9F">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bottom"/>
          </w:tcPr>
          <w:p w14:paraId="65DC94C8" w14:textId="3EF95733" w:rsidR="00042B9F" w:rsidRPr="00847710" w:rsidRDefault="00042B9F" w:rsidP="00042B9F">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 xml:space="preserve">Ceļu locītavas endoprotezēšana ar 50% apmaksu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4BA62" w14:textId="04EB7014"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1 271.36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F39DD" w14:textId="0D5C92AE"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127 841</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B9B37" w14:textId="02098046"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127 841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E7534" w14:textId="0D2463E0"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233 930</w:t>
            </w:r>
          </w:p>
        </w:tc>
        <w:tc>
          <w:tcPr>
            <w:tcW w:w="1272" w:type="dxa"/>
            <w:tcBorders>
              <w:top w:val="single" w:sz="4" w:space="0" w:color="auto"/>
              <w:left w:val="single" w:sz="4" w:space="0" w:color="auto"/>
              <w:bottom w:val="single" w:sz="4" w:space="0" w:color="auto"/>
              <w:right w:val="single" w:sz="4" w:space="0" w:color="auto"/>
            </w:tcBorders>
            <w:vAlign w:val="bottom"/>
          </w:tcPr>
          <w:p w14:paraId="49333F34" w14:textId="4809450D"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112</w:t>
            </w:r>
          </w:p>
        </w:tc>
        <w:tc>
          <w:tcPr>
            <w:tcW w:w="1272" w:type="dxa"/>
            <w:tcBorders>
              <w:top w:val="single" w:sz="4" w:space="0" w:color="auto"/>
              <w:left w:val="single" w:sz="4" w:space="0" w:color="auto"/>
              <w:bottom w:val="single" w:sz="4" w:space="0" w:color="auto"/>
              <w:right w:val="single" w:sz="4" w:space="0" w:color="auto"/>
            </w:tcBorders>
            <w:vAlign w:val="bottom"/>
          </w:tcPr>
          <w:p w14:paraId="4E0C9CA2" w14:textId="3C938A6A" w:rsidR="00042B9F" w:rsidRPr="00337A54" w:rsidRDefault="00042B9F" w:rsidP="00337A54">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112</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1DE86" w14:textId="768D53CD" w:rsidR="00042B9F" w:rsidRPr="00337A54" w:rsidRDefault="00042B9F" w:rsidP="00337A54">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296</w:t>
            </w:r>
          </w:p>
        </w:tc>
      </w:tr>
      <w:tr w:rsidR="00042B9F" w:rsidRPr="00847710" w14:paraId="3810C060" w14:textId="77777777" w:rsidTr="00337A54">
        <w:trPr>
          <w:trHeight w:val="846"/>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7499B" w14:textId="77777777" w:rsidR="00042B9F" w:rsidRPr="00847710" w:rsidRDefault="00042B9F" w:rsidP="00042B9F">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bottom"/>
          </w:tcPr>
          <w:p w14:paraId="723F8118" w14:textId="285D4DD6" w:rsidR="00042B9F" w:rsidRPr="00847710" w:rsidRDefault="00042B9F" w:rsidP="00042B9F">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 xml:space="preserve">Ceļa locītavas endoprotezēšana sarežģītos gadījumos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861FE" w14:textId="03AB7B00"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3 469.13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412E2" w14:textId="11A59784"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892 652</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53821" w14:textId="11B093DB"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892 652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6FD2A" w14:textId="0CC3FB99"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326 098</w:t>
            </w:r>
          </w:p>
        </w:tc>
        <w:tc>
          <w:tcPr>
            <w:tcW w:w="1272" w:type="dxa"/>
            <w:tcBorders>
              <w:top w:val="single" w:sz="4" w:space="0" w:color="auto"/>
              <w:left w:val="single" w:sz="4" w:space="0" w:color="auto"/>
              <w:bottom w:val="single" w:sz="4" w:space="0" w:color="auto"/>
              <w:right w:val="single" w:sz="4" w:space="0" w:color="auto"/>
            </w:tcBorders>
            <w:vAlign w:val="bottom"/>
          </w:tcPr>
          <w:p w14:paraId="4F9B106B" w14:textId="0EE3F9BB"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290</w:t>
            </w:r>
          </w:p>
        </w:tc>
        <w:tc>
          <w:tcPr>
            <w:tcW w:w="1272" w:type="dxa"/>
            <w:tcBorders>
              <w:top w:val="single" w:sz="4" w:space="0" w:color="auto"/>
              <w:left w:val="single" w:sz="4" w:space="0" w:color="auto"/>
              <w:bottom w:val="single" w:sz="4" w:space="0" w:color="auto"/>
              <w:right w:val="single" w:sz="4" w:space="0" w:color="auto"/>
            </w:tcBorders>
            <w:vAlign w:val="bottom"/>
          </w:tcPr>
          <w:p w14:paraId="0AD1C2C0" w14:textId="2CF4D971" w:rsidR="00042B9F" w:rsidRPr="00337A54" w:rsidRDefault="00042B9F" w:rsidP="00337A54">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290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8E61D" w14:textId="354DEF8B" w:rsidR="00042B9F" w:rsidRPr="00337A54" w:rsidRDefault="00042B9F" w:rsidP="00337A54">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384</w:t>
            </w:r>
          </w:p>
        </w:tc>
      </w:tr>
      <w:tr w:rsidR="00042B9F" w:rsidRPr="00847710" w14:paraId="36AD4D33" w14:textId="77777777" w:rsidTr="00337A54">
        <w:trPr>
          <w:trHeight w:val="846"/>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A03B4" w14:textId="1D51ACCD" w:rsidR="00042B9F" w:rsidRPr="00847710" w:rsidRDefault="00042B9F" w:rsidP="00042B9F">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4.</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bottom"/>
          </w:tcPr>
          <w:p w14:paraId="662CFF22" w14:textId="6712D2D6" w:rsidR="00042B9F" w:rsidRPr="00847710" w:rsidRDefault="00042B9F" w:rsidP="00042B9F">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 xml:space="preserve">Ceļa locītavas endoprotezēšana ar 50 % apmaksu sarežģītos gadījumos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4A705" w14:textId="115C1886"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1 734.57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86BB1" w14:textId="7C36D87F"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175 453</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84F53" w14:textId="626D7C39"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175 453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7FDD1" w14:textId="483BEF63"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182 130</w:t>
            </w:r>
          </w:p>
        </w:tc>
        <w:tc>
          <w:tcPr>
            <w:tcW w:w="1272" w:type="dxa"/>
            <w:tcBorders>
              <w:top w:val="single" w:sz="4" w:space="0" w:color="auto"/>
              <w:left w:val="single" w:sz="4" w:space="0" w:color="auto"/>
              <w:bottom w:val="single" w:sz="4" w:space="0" w:color="auto"/>
              <w:right w:val="single" w:sz="4" w:space="0" w:color="auto"/>
            </w:tcBorders>
            <w:vAlign w:val="bottom"/>
          </w:tcPr>
          <w:p w14:paraId="07810C87" w14:textId="5AF02557"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114</w:t>
            </w:r>
          </w:p>
        </w:tc>
        <w:tc>
          <w:tcPr>
            <w:tcW w:w="1272" w:type="dxa"/>
            <w:tcBorders>
              <w:top w:val="single" w:sz="4" w:space="0" w:color="auto"/>
              <w:left w:val="single" w:sz="4" w:space="0" w:color="auto"/>
              <w:bottom w:val="single" w:sz="4" w:space="0" w:color="auto"/>
              <w:right w:val="single" w:sz="4" w:space="0" w:color="auto"/>
            </w:tcBorders>
            <w:vAlign w:val="bottom"/>
          </w:tcPr>
          <w:p w14:paraId="7CCA4319" w14:textId="579D0295" w:rsidR="00042B9F" w:rsidRPr="00337A54" w:rsidRDefault="00042B9F" w:rsidP="00337A54">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114</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D0ECA" w14:textId="09EB6671" w:rsidR="00042B9F" w:rsidRPr="00337A54" w:rsidRDefault="00042B9F" w:rsidP="00337A54">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219</w:t>
            </w:r>
          </w:p>
        </w:tc>
      </w:tr>
      <w:tr w:rsidR="00042B9F" w:rsidRPr="00847710" w14:paraId="72B810C0" w14:textId="77777777" w:rsidTr="00337A54">
        <w:trPr>
          <w:trHeight w:val="846"/>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3E22C" w14:textId="54929D5F" w:rsidR="00042B9F" w:rsidRPr="00847710" w:rsidRDefault="00042B9F" w:rsidP="00042B9F">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5.</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bottom"/>
          </w:tcPr>
          <w:p w14:paraId="2EB88ADA" w14:textId="713476DF" w:rsidR="00042B9F" w:rsidRPr="00847710" w:rsidRDefault="00042B9F" w:rsidP="00042B9F">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 xml:space="preserve">Revīzijas endoprotezēšana (ar endoprotēzes vērtību)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39101" w14:textId="593F80E3"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3 256.94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EBBF7" w14:textId="6401EC57"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208 795</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DBC15" w14:textId="11075F88"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208 795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56B29" w14:textId="12CF3113"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13 028</w:t>
            </w:r>
          </w:p>
        </w:tc>
        <w:tc>
          <w:tcPr>
            <w:tcW w:w="1272" w:type="dxa"/>
            <w:tcBorders>
              <w:top w:val="single" w:sz="4" w:space="0" w:color="auto"/>
              <w:left w:val="single" w:sz="4" w:space="0" w:color="auto"/>
              <w:bottom w:val="single" w:sz="4" w:space="0" w:color="auto"/>
              <w:right w:val="single" w:sz="4" w:space="0" w:color="auto"/>
            </w:tcBorders>
            <w:vAlign w:val="bottom"/>
          </w:tcPr>
          <w:p w14:paraId="141CF590" w14:textId="49D57377" w:rsidR="00042B9F" w:rsidRPr="00847710" w:rsidRDefault="00042B9F" w:rsidP="00042B9F">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71</w:t>
            </w:r>
          </w:p>
        </w:tc>
        <w:tc>
          <w:tcPr>
            <w:tcW w:w="1272" w:type="dxa"/>
            <w:tcBorders>
              <w:top w:val="single" w:sz="4" w:space="0" w:color="auto"/>
              <w:left w:val="single" w:sz="4" w:space="0" w:color="auto"/>
              <w:bottom w:val="single" w:sz="4" w:space="0" w:color="auto"/>
              <w:right w:val="single" w:sz="4" w:space="0" w:color="auto"/>
            </w:tcBorders>
            <w:vAlign w:val="bottom"/>
          </w:tcPr>
          <w:p w14:paraId="36055DD8" w14:textId="6142B3F5" w:rsidR="00042B9F" w:rsidRPr="00337A54" w:rsidRDefault="00042B9F" w:rsidP="00337A54">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71</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DFAB8" w14:textId="26C5A058" w:rsidR="00042B9F" w:rsidRPr="00337A54" w:rsidRDefault="00042B9F" w:rsidP="00337A54">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75</w:t>
            </w:r>
          </w:p>
        </w:tc>
      </w:tr>
      <w:tr w:rsidR="0097328C" w:rsidRPr="00847710" w14:paraId="6F7F3E74" w14:textId="77777777" w:rsidTr="00337A54">
        <w:trPr>
          <w:trHeight w:val="846"/>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262D3" w14:textId="312B126E" w:rsidR="0097328C" w:rsidRPr="00847710" w:rsidRDefault="0097328C" w:rsidP="0097328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6.</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bottom"/>
          </w:tcPr>
          <w:p w14:paraId="79561363" w14:textId="020F2DCF" w:rsidR="0097328C" w:rsidRPr="00847710" w:rsidRDefault="0097328C" w:rsidP="0097328C">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 xml:space="preserve">Revīzijas endoprotezēšana un protezēšana osteomielīta un onkoloģijas pacientiem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2BBE4" w14:textId="3649B219" w:rsidR="0097328C" w:rsidRPr="00847710" w:rsidRDefault="0097328C" w:rsidP="0097328C">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4 333.12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F0EA5" w14:textId="405C2EEB" w:rsidR="0097328C" w:rsidRPr="00847710" w:rsidRDefault="0097328C" w:rsidP="00200130">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588</w:t>
            </w:r>
            <w:r w:rsidR="00637EE8" w:rsidRPr="00847710">
              <w:rPr>
                <w:rFonts w:ascii="Times New Roman" w:hAnsi="Times New Roman" w:cs="Times New Roman"/>
                <w:sz w:val="20"/>
                <w:szCs w:val="20"/>
              </w:rPr>
              <w:t xml:space="preserve"> </w:t>
            </w:r>
            <w:r w:rsidRPr="00847710">
              <w:rPr>
                <w:rFonts w:ascii="Times New Roman" w:hAnsi="Times New Roman" w:cs="Times New Roman"/>
                <w:sz w:val="20"/>
                <w:szCs w:val="20"/>
              </w:rPr>
              <w:t>128</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18A50" w14:textId="2B80B9CD" w:rsidR="0097328C" w:rsidRPr="00847710" w:rsidRDefault="0097328C" w:rsidP="00200130">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588</w:t>
            </w:r>
            <w:r w:rsidR="00637EE8" w:rsidRPr="00847710">
              <w:rPr>
                <w:rFonts w:ascii="Times New Roman" w:hAnsi="Times New Roman" w:cs="Times New Roman"/>
                <w:sz w:val="20"/>
                <w:szCs w:val="20"/>
              </w:rPr>
              <w:t xml:space="preserve"> </w:t>
            </w:r>
            <w:r w:rsidRPr="00847710">
              <w:rPr>
                <w:rFonts w:ascii="Times New Roman" w:hAnsi="Times New Roman" w:cs="Times New Roman"/>
                <w:sz w:val="20"/>
                <w:szCs w:val="20"/>
              </w:rPr>
              <w:t>128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3E5A5" w14:textId="0DB143ED" w:rsidR="0097328C" w:rsidRPr="00847710" w:rsidRDefault="0097328C" w:rsidP="0097328C">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844 958</w:t>
            </w:r>
          </w:p>
        </w:tc>
        <w:tc>
          <w:tcPr>
            <w:tcW w:w="1272" w:type="dxa"/>
            <w:tcBorders>
              <w:top w:val="single" w:sz="4" w:space="0" w:color="auto"/>
              <w:left w:val="single" w:sz="4" w:space="0" w:color="auto"/>
              <w:bottom w:val="single" w:sz="4" w:space="0" w:color="auto"/>
              <w:right w:val="single" w:sz="4" w:space="0" w:color="auto"/>
            </w:tcBorders>
            <w:vAlign w:val="bottom"/>
          </w:tcPr>
          <w:p w14:paraId="50EDC8D3" w14:textId="1CBB758C" w:rsidR="0097328C" w:rsidRPr="00847710" w:rsidRDefault="0097328C" w:rsidP="0097328C">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160</w:t>
            </w:r>
          </w:p>
        </w:tc>
        <w:tc>
          <w:tcPr>
            <w:tcW w:w="1272" w:type="dxa"/>
            <w:tcBorders>
              <w:top w:val="single" w:sz="4" w:space="0" w:color="auto"/>
              <w:left w:val="single" w:sz="4" w:space="0" w:color="auto"/>
              <w:bottom w:val="single" w:sz="4" w:space="0" w:color="auto"/>
              <w:right w:val="single" w:sz="4" w:space="0" w:color="auto"/>
            </w:tcBorders>
            <w:vAlign w:val="bottom"/>
          </w:tcPr>
          <w:p w14:paraId="4D3E3758" w14:textId="7FC38EC2" w:rsidR="0097328C" w:rsidRPr="00337A54" w:rsidRDefault="0097328C" w:rsidP="00337A54">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160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E0C00" w14:textId="06A518A7" w:rsidR="0097328C" w:rsidRPr="00337A54" w:rsidRDefault="0097328C" w:rsidP="00337A54">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355</w:t>
            </w:r>
          </w:p>
        </w:tc>
      </w:tr>
      <w:tr w:rsidR="0078794A" w:rsidRPr="00847710" w14:paraId="77B060E0" w14:textId="77777777" w:rsidTr="00337A54">
        <w:trPr>
          <w:trHeight w:val="300"/>
        </w:trPr>
        <w:tc>
          <w:tcPr>
            <w:tcW w:w="401" w:type="dxa"/>
            <w:shd w:val="clear" w:color="auto" w:fill="FBD4B4" w:themeFill="accent6" w:themeFillTint="66"/>
            <w:noWrap/>
            <w:vAlign w:val="bottom"/>
            <w:hideMark/>
          </w:tcPr>
          <w:p w14:paraId="27BE1A30" w14:textId="77777777" w:rsidR="0097328C" w:rsidRPr="00847710" w:rsidRDefault="0097328C" w:rsidP="0097328C">
            <w:pPr>
              <w:spacing w:after="0" w:line="240" w:lineRule="auto"/>
              <w:jc w:val="right"/>
              <w:rPr>
                <w:rFonts w:ascii="Times New Roman" w:eastAsia="Times New Roman" w:hAnsi="Times New Roman" w:cs="Times New Roman"/>
                <w:sz w:val="20"/>
                <w:szCs w:val="20"/>
                <w:lang w:eastAsia="lv-LV"/>
              </w:rPr>
            </w:pPr>
          </w:p>
        </w:tc>
        <w:tc>
          <w:tcPr>
            <w:tcW w:w="1726" w:type="dxa"/>
            <w:shd w:val="clear" w:color="auto" w:fill="FBD4B4" w:themeFill="accent6" w:themeFillTint="66"/>
            <w:noWrap/>
            <w:vAlign w:val="bottom"/>
            <w:hideMark/>
          </w:tcPr>
          <w:p w14:paraId="42FF5AE3" w14:textId="77777777" w:rsidR="0097328C" w:rsidRPr="00847710" w:rsidRDefault="0097328C" w:rsidP="0097328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hideMark/>
          </w:tcPr>
          <w:p w14:paraId="594E8776" w14:textId="77777777" w:rsidR="0097328C" w:rsidRPr="00847710" w:rsidRDefault="0097328C" w:rsidP="0097328C">
            <w:pPr>
              <w:spacing w:after="0" w:line="240" w:lineRule="auto"/>
              <w:jc w:val="center"/>
              <w:rPr>
                <w:rFonts w:ascii="Times New Roman" w:eastAsia="Times New Roman" w:hAnsi="Times New Roman" w:cs="Times New Roman"/>
                <w:sz w:val="20"/>
                <w:szCs w:val="20"/>
                <w:lang w:eastAsia="lv-LV"/>
              </w:rPr>
            </w:pPr>
          </w:p>
        </w:tc>
        <w:tc>
          <w:tcPr>
            <w:tcW w:w="1417" w:type="dxa"/>
            <w:shd w:val="clear" w:color="auto" w:fill="FBD4B4" w:themeFill="accent6" w:themeFillTint="66"/>
            <w:noWrap/>
          </w:tcPr>
          <w:p w14:paraId="34AFA145" w14:textId="0464AB71" w:rsidR="0097328C" w:rsidRPr="00847710" w:rsidRDefault="0097328C" w:rsidP="0097328C">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w:t>
            </w:r>
            <w:r w:rsidR="00637EE8" w:rsidRPr="00847710">
              <w:rPr>
                <w:rFonts w:ascii="Times New Roman" w:hAnsi="Times New Roman" w:cs="Times New Roman"/>
                <w:sz w:val="20"/>
                <w:szCs w:val="20"/>
              </w:rPr>
              <w:t> </w:t>
            </w:r>
            <w:r w:rsidRPr="00847710">
              <w:rPr>
                <w:rFonts w:ascii="Times New Roman" w:hAnsi="Times New Roman" w:cs="Times New Roman"/>
                <w:sz w:val="20"/>
                <w:szCs w:val="20"/>
              </w:rPr>
              <w:t>182</w:t>
            </w:r>
            <w:r w:rsidR="00637EE8" w:rsidRPr="00847710">
              <w:rPr>
                <w:rFonts w:ascii="Times New Roman" w:hAnsi="Times New Roman" w:cs="Times New Roman"/>
                <w:sz w:val="20"/>
                <w:szCs w:val="20"/>
              </w:rPr>
              <w:t xml:space="preserve"> </w:t>
            </w:r>
            <w:r w:rsidRPr="00847710">
              <w:rPr>
                <w:rFonts w:ascii="Times New Roman" w:hAnsi="Times New Roman" w:cs="Times New Roman"/>
                <w:sz w:val="20"/>
                <w:szCs w:val="20"/>
              </w:rPr>
              <w:t>152</w:t>
            </w:r>
          </w:p>
        </w:tc>
        <w:tc>
          <w:tcPr>
            <w:tcW w:w="1412" w:type="dxa"/>
            <w:shd w:val="clear" w:color="auto" w:fill="FBD4B4" w:themeFill="accent6" w:themeFillTint="66"/>
            <w:noWrap/>
          </w:tcPr>
          <w:p w14:paraId="50CAA104" w14:textId="2511C9D8" w:rsidR="0097328C" w:rsidRPr="00847710" w:rsidRDefault="0097328C" w:rsidP="0097328C">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w:t>
            </w:r>
            <w:r w:rsidR="00637EE8" w:rsidRPr="00847710">
              <w:rPr>
                <w:rFonts w:ascii="Times New Roman" w:hAnsi="Times New Roman" w:cs="Times New Roman"/>
                <w:sz w:val="20"/>
                <w:szCs w:val="20"/>
              </w:rPr>
              <w:t> </w:t>
            </w:r>
            <w:r w:rsidRPr="00847710">
              <w:rPr>
                <w:rFonts w:ascii="Times New Roman" w:hAnsi="Times New Roman" w:cs="Times New Roman"/>
                <w:sz w:val="20"/>
                <w:szCs w:val="20"/>
              </w:rPr>
              <w:t>182</w:t>
            </w:r>
            <w:r w:rsidR="00637EE8" w:rsidRPr="00847710">
              <w:rPr>
                <w:rFonts w:ascii="Times New Roman" w:hAnsi="Times New Roman" w:cs="Times New Roman"/>
                <w:sz w:val="20"/>
                <w:szCs w:val="20"/>
              </w:rPr>
              <w:t xml:space="preserve"> </w:t>
            </w:r>
            <w:r w:rsidRPr="00847710">
              <w:rPr>
                <w:rFonts w:ascii="Times New Roman" w:hAnsi="Times New Roman" w:cs="Times New Roman"/>
                <w:sz w:val="20"/>
                <w:szCs w:val="20"/>
              </w:rPr>
              <w:t>152</w:t>
            </w:r>
          </w:p>
        </w:tc>
        <w:tc>
          <w:tcPr>
            <w:tcW w:w="1285" w:type="dxa"/>
            <w:shd w:val="clear" w:color="auto" w:fill="FBD4B4" w:themeFill="accent6" w:themeFillTint="66"/>
            <w:noWrap/>
            <w:vAlign w:val="bottom"/>
          </w:tcPr>
          <w:p w14:paraId="08900533" w14:textId="21E028D6" w:rsidR="0097328C" w:rsidRPr="00847710" w:rsidRDefault="0097328C" w:rsidP="0097328C">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2 614 68</w:t>
            </w:r>
            <w:r w:rsidR="00F42B5E" w:rsidRPr="00847710">
              <w:rPr>
                <w:rFonts w:ascii="Times New Roman" w:hAnsi="Times New Roman" w:cs="Times New Roman"/>
                <w:sz w:val="20"/>
                <w:szCs w:val="20"/>
              </w:rPr>
              <w:t>5</w:t>
            </w:r>
          </w:p>
        </w:tc>
        <w:tc>
          <w:tcPr>
            <w:tcW w:w="1272" w:type="dxa"/>
            <w:shd w:val="clear" w:color="auto" w:fill="FBD4B4" w:themeFill="accent6" w:themeFillTint="66"/>
            <w:vAlign w:val="bottom"/>
          </w:tcPr>
          <w:p w14:paraId="18243AD7" w14:textId="12571A36" w:rsidR="0097328C" w:rsidRPr="00337A54" w:rsidRDefault="0097328C" w:rsidP="00337A54">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1 706</w:t>
            </w:r>
          </w:p>
        </w:tc>
        <w:tc>
          <w:tcPr>
            <w:tcW w:w="1272" w:type="dxa"/>
            <w:shd w:val="clear" w:color="auto" w:fill="FBD4B4" w:themeFill="accent6" w:themeFillTint="66"/>
            <w:vAlign w:val="bottom"/>
          </w:tcPr>
          <w:p w14:paraId="40F1FE41" w14:textId="5A762D37" w:rsidR="0097328C" w:rsidRPr="00337A54" w:rsidRDefault="0097328C" w:rsidP="00337A54">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1 706</w:t>
            </w:r>
          </w:p>
        </w:tc>
        <w:tc>
          <w:tcPr>
            <w:tcW w:w="1272" w:type="dxa"/>
            <w:shd w:val="clear" w:color="auto" w:fill="FBD4B4" w:themeFill="accent6" w:themeFillTint="66"/>
            <w:noWrap/>
            <w:vAlign w:val="bottom"/>
          </w:tcPr>
          <w:p w14:paraId="1EB3EDA4" w14:textId="76717A08" w:rsidR="0097328C" w:rsidRPr="00337A54" w:rsidRDefault="0097328C" w:rsidP="00337A54">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2 687</w:t>
            </w:r>
          </w:p>
        </w:tc>
      </w:tr>
    </w:tbl>
    <w:p w14:paraId="21ACA15B" w14:textId="77777777" w:rsidR="00A2173B" w:rsidRPr="00847710" w:rsidRDefault="00A2173B" w:rsidP="00A2173B">
      <w:pPr>
        <w:ind w:hanging="709"/>
        <w:jc w:val="both"/>
        <w:rPr>
          <w:rFonts w:ascii="Times New Roman" w:hAnsi="Times New Roman" w:cs="Times New Roman"/>
          <w:sz w:val="20"/>
          <w:szCs w:val="20"/>
          <w:lang w:eastAsia="lv-LV"/>
        </w:rPr>
      </w:pPr>
      <w:r w:rsidRPr="00847710">
        <w:rPr>
          <w:rFonts w:ascii="Times New Roman" w:hAnsi="Times New Roman" w:cs="Times New Roman"/>
          <w:sz w:val="20"/>
          <w:szCs w:val="20"/>
          <w:lang w:eastAsia="lv-LV"/>
        </w:rPr>
        <w:t>*t.sk. tarifa palielinājums saistībā ar darba samaksas pieaugumu</w:t>
      </w:r>
    </w:p>
    <w:p w14:paraId="2070094B" w14:textId="41526D75" w:rsidR="00005A3E" w:rsidRPr="00F740C7" w:rsidRDefault="00EC1CFB" w:rsidP="00422119">
      <w:pPr>
        <w:pStyle w:val="NoSpacing"/>
        <w:ind w:firstLine="709"/>
        <w:jc w:val="both"/>
        <w:rPr>
          <w:rFonts w:ascii="Times New Roman" w:hAnsi="Times New Roman" w:cs="Times New Roman"/>
        </w:rPr>
      </w:pPr>
      <w:r w:rsidRPr="00847710">
        <w:rPr>
          <w:rFonts w:ascii="Times New Roman" w:hAnsi="Times New Roman" w:cs="Times New Roman"/>
          <w:sz w:val="24"/>
          <w:szCs w:val="24"/>
          <w:lang w:eastAsia="lv-LV"/>
        </w:rPr>
        <w:t>Palielinot endoprot</w:t>
      </w:r>
      <w:r w:rsidR="00CB3FE4" w:rsidRPr="00847710">
        <w:rPr>
          <w:rFonts w:ascii="Times New Roman" w:hAnsi="Times New Roman" w:cs="Times New Roman"/>
          <w:sz w:val="24"/>
          <w:szCs w:val="24"/>
          <w:lang w:eastAsia="lv-LV"/>
        </w:rPr>
        <w:t>ez</w:t>
      </w:r>
      <w:r w:rsidRPr="00847710">
        <w:rPr>
          <w:rFonts w:ascii="Times New Roman" w:hAnsi="Times New Roman" w:cs="Times New Roman"/>
          <w:sz w:val="24"/>
          <w:szCs w:val="24"/>
          <w:lang w:eastAsia="lv-LV"/>
        </w:rPr>
        <w:t>ē</w:t>
      </w:r>
      <w:r w:rsidR="00CB3FE4" w:rsidRPr="00847710">
        <w:rPr>
          <w:rFonts w:ascii="Times New Roman" w:hAnsi="Times New Roman" w:cs="Times New Roman"/>
          <w:sz w:val="24"/>
          <w:szCs w:val="24"/>
          <w:lang w:eastAsia="lv-LV"/>
        </w:rPr>
        <w:t>š</w:t>
      </w:r>
      <w:r w:rsidRPr="00847710">
        <w:rPr>
          <w:rFonts w:ascii="Times New Roman" w:hAnsi="Times New Roman" w:cs="Times New Roman"/>
          <w:sz w:val="24"/>
          <w:szCs w:val="24"/>
          <w:lang w:eastAsia="lv-LV"/>
        </w:rPr>
        <w:t xml:space="preserve">anas operāciju skaitu par </w:t>
      </w:r>
      <w:r w:rsidR="0095378C" w:rsidRPr="00847710">
        <w:rPr>
          <w:rFonts w:ascii="Times New Roman" w:hAnsi="Times New Roman" w:cs="Times New Roman"/>
          <w:sz w:val="24"/>
          <w:szCs w:val="24"/>
          <w:lang w:eastAsia="lv-LV"/>
        </w:rPr>
        <w:t>981</w:t>
      </w:r>
      <w:r w:rsidRPr="00847710">
        <w:rPr>
          <w:rFonts w:ascii="Times New Roman" w:hAnsi="Times New Roman" w:cs="Times New Roman"/>
          <w:sz w:val="24"/>
          <w:szCs w:val="24"/>
          <w:lang w:eastAsia="lv-LV"/>
        </w:rPr>
        <w:t xml:space="preserve"> operācijām, rinda uz pakalpojum</w:t>
      </w:r>
      <w:r w:rsidR="00102458" w:rsidRPr="00847710">
        <w:rPr>
          <w:rFonts w:ascii="Times New Roman" w:hAnsi="Times New Roman" w:cs="Times New Roman"/>
          <w:sz w:val="24"/>
          <w:szCs w:val="24"/>
          <w:lang w:eastAsia="lv-LV"/>
        </w:rPr>
        <w:t>iem</w:t>
      </w:r>
      <w:r w:rsidRPr="00847710">
        <w:rPr>
          <w:rFonts w:ascii="Times New Roman" w:hAnsi="Times New Roman" w:cs="Times New Roman"/>
          <w:sz w:val="24"/>
          <w:szCs w:val="24"/>
          <w:lang w:eastAsia="lv-LV"/>
        </w:rPr>
        <w:t xml:space="preserve"> </w:t>
      </w:r>
      <w:r w:rsidR="00555D08" w:rsidRPr="00847710">
        <w:rPr>
          <w:rFonts w:ascii="Times New Roman" w:hAnsi="Times New Roman" w:cs="Times New Roman"/>
          <w:sz w:val="24"/>
          <w:szCs w:val="24"/>
          <w:lang w:eastAsia="lv-LV"/>
        </w:rPr>
        <w:t xml:space="preserve">atsevišķās pozīcijās </w:t>
      </w:r>
      <w:r w:rsidRPr="00847710">
        <w:rPr>
          <w:rFonts w:ascii="Times New Roman" w:hAnsi="Times New Roman" w:cs="Times New Roman"/>
          <w:sz w:val="24"/>
          <w:szCs w:val="24"/>
          <w:lang w:eastAsia="lv-LV"/>
        </w:rPr>
        <w:t xml:space="preserve">tiks samazināta </w:t>
      </w:r>
      <w:r w:rsidR="00555D08" w:rsidRPr="00847710">
        <w:rPr>
          <w:rFonts w:ascii="Times New Roman" w:hAnsi="Times New Roman" w:cs="Times New Roman"/>
          <w:sz w:val="24"/>
          <w:szCs w:val="24"/>
          <w:lang w:eastAsia="lv-LV"/>
        </w:rPr>
        <w:t>līdz pat 87</w:t>
      </w:r>
      <w:r w:rsidRPr="00847710">
        <w:rPr>
          <w:rFonts w:ascii="Times New Roman" w:hAnsi="Times New Roman" w:cs="Times New Roman"/>
          <w:sz w:val="24"/>
          <w:szCs w:val="24"/>
          <w:lang w:eastAsia="lv-LV"/>
        </w:rPr>
        <w:t xml:space="preserve">%, tomēr turpmākajā </w:t>
      </w:r>
      <w:r w:rsidR="00D8645C" w:rsidRPr="00847710">
        <w:rPr>
          <w:rFonts w:ascii="Times New Roman" w:hAnsi="Times New Roman" w:cs="Times New Roman"/>
          <w:sz w:val="24"/>
          <w:szCs w:val="24"/>
          <w:lang w:eastAsia="lv-LV"/>
        </w:rPr>
        <w:t>trīs gadu periodā plānots turpināt endoprotezēšanas operāciju skaita pieaugum</w:t>
      </w:r>
      <w:r w:rsidR="00012FD4" w:rsidRPr="00847710">
        <w:rPr>
          <w:rFonts w:ascii="Times New Roman" w:hAnsi="Times New Roman" w:cs="Times New Roman"/>
          <w:sz w:val="24"/>
          <w:szCs w:val="24"/>
          <w:lang w:eastAsia="lv-LV"/>
        </w:rPr>
        <w:t>u</w:t>
      </w:r>
      <w:r w:rsidR="00D8645C" w:rsidRPr="00847710">
        <w:rPr>
          <w:rFonts w:ascii="Times New Roman" w:hAnsi="Times New Roman" w:cs="Times New Roman"/>
          <w:sz w:val="24"/>
          <w:szCs w:val="24"/>
          <w:lang w:eastAsia="lv-LV"/>
        </w:rPr>
        <w:t xml:space="preserve">, kopumā nodrošinot </w:t>
      </w:r>
      <w:r w:rsidR="00320E9B" w:rsidRPr="00847710">
        <w:rPr>
          <w:rFonts w:ascii="Times New Roman" w:hAnsi="Times New Roman" w:cs="Times New Roman"/>
          <w:sz w:val="24"/>
          <w:szCs w:val="24"/>
          <w:lang w:eastAsia="lv-LV"/>
        </w:rPr>
        <w:t xml:space="preserve">visas kopējās </w:t>
      </w:r>
      <w:r w:rsidR="00D8645C" w:rsidRPr="00847710">
        <w:rPr>
          <w:rFonts w:ascii="Times New Roman" w:hAnsi="Times New Roman" w:cs="Times New Roman"/>
          <w:sz w:val="24"/>
          <w:szCs w:val="24"/>
          <w:lang w:eastAsia="lv-LV"/>
        </w:rPr>
        <w:t xml:space="preserve">rindas samazinājumu </w:t>
      </w:r>
      <w:r w:rsidR="00451E53" w:rsidRPr="00847710">
        <w:rPr>
          <w:rFonts w:ascii="Times New Roman" w:hAnsi="Times New Roman" w:cs="Times New Roman"/>
          <w:sz w:val="24"/>
          <w:szCs w:val="24"/>
          <w:lang w:eastAsia="lv-LV"/>
        </w:rPr>
        <w:t xml:space="preserve">vidēji </w:t>
      </w:r>
      <w:r w:rsidR="00D8645C" w:rsidRPr="00847710">
        <w:rPr>
          <w:rFonts w:ascii="Times New Roman" w:hAnsi="Times New Roman" w:cs="Times New Roman"/>
          <w:sz w:val="24"/>
          <w:szCs w:val="24"/>
          <w:lang w:eastAsia="lv-LV"/>
        </w:rPr>
        <w:t>25% apmērā</w:t>
      </w:r>
      <w:r w:rsidR="00592BC0">
        <w:rPr>
          <w:rFonts w:ascii="Times New Roman" w:hAnsi="Times New Roman" w:cs="Times New Roman"/>
          <w:sz w:val="24"/>
          <w:szCs w:val="24"/>
          <w:lang w:eastAsia="lv-LV"/>
        </w:rPr>
        <w:t xml:space="preserve"> 2019.gadā, vidēji 35% apmērā 2020.gadā un vidēji 50% apmērā 2021.gadā</w:t>
      </w:r>
      <w:r w:rsidR="7BBB3C34" w:rsidRPr="00847710">
        <w:rPr>
          <w:rFonts w:ascii="Times New Roman" w:hAnsi="Times New Roman" w:cs="Times New Roman"/>
          <w:sz w:val="24"/>
          <w:szCs w:val="24"/>
          <w:lang w:eastAsia="lv-LV"/>
        </w:rPr>
        <w:t xml:space="preserve"> (skat. 9.tabulu)</w:t>
      </w:r>
      <w:r w:rsidR="00D8645C" w:rsidRPr="00847710">
        <w:rPr>
          <w:rFonts w:ascii="Times New Roman" w:hAnsi="Times New Roman" w:cs="Times New Roman"/>
          <w:sz w:val="24"/>
          <w:szCs w:val="24"/>
          <w:lang w:eastAsia="lv-LV"/>
        </w:rPr>
        <w:t>.</w:t>
      </w:r>
      <w:r w:rsidR="21D9C7BB" w:rsidRPr="00847710">
        <w:rPr>
          <w:rFonts w:ascii="Times New Roman" w:hAnsi="Times New Roman" w:cs="Times New Roman"/>
          <w:sz w:val="24"/>
          <w:szCs w:val="24"/>
          <w:lang w:eastAsia="lv-LV"/>
        </w:rPr>
        <w:t xml:space="preserve"> Kā arī </w:t>
      </w:r>
      <w:r w:rsidR="78E3BD94" w:rsidRPr="00847710">
        <w:rPr>
          <w:rFonts w:ascii="Times New Roman" w:hAnsi="Times New Roman" w:cs="Times New Roman"/>
          <w:sz w:val="24"/>
          <w:szCs w:val="24"/>
          <w:lang w:eastAsia="lv-LV"/>
        </w:rPr>
        <w:t>plašākam</w:t>
      </w:r>
      <w:r w:rsidR="21D9C7BB" w:rsidRPr="00847710">
        <w:rPr>
          <w:rFonts w:ascii="Times New Roman" w:hAnsi="Times New Roman" w:cs="Times New Roman"/>
          <w:sz w:val="24"/>
          <w:szCs w:val="24"/>
          <w:lang w:eastAsia="lv-LV"/>
        </w:rPr>
        <w:t xml:space="preserve"> </w:t>
      </w:r>
      <w:r w:rsidR="21D9C7BB" w:rsidRPr="00D362F4">
        <w:rPr>
          <w:rFonts w:ascii="Times New Roman" w:hAnsi="Times New Roman" w:cs="Times New Roman"/>
        </w:rPr>
        <w:t xml:space="preserve">priekšstatam pievienojam </w:t>
      </w:r>
      <w:r w:rsidR="78E3BD94" w:rsidRPr="00D362F4">
        <w:rPr>
          <w:rFonts w:ascii="Times New Roman" w:hAnsi="Times New Roman" w:cs="Times New Roman"/>
        </w:rPr>
        <w:t xml:space="preserve">1.attēlu. </w:t>
      </w:r>
      <w:r w:rsidR="21D9C7BB" w:rsidRPr="00D362F4">
        <w:rPr>
          <w:rFonts w:ascii="Times New Roman" w:hAnsi="Times New Roman" w:cs="Times New Roman"/>
        </w:rPr>
        <w:t xml:space="preserve"> </w:t>
      </w:r>
    </w:p>
    <w:p w14:paraId="16C99296" w14:textId="62FBE79D" w:rsidR="7BBB3C34" w:rsidRPr="00F740C7" w:rsidRDefault="0086477B" w:rsidP="0086477B">
      <w:pPr>
        <w:jc w:val="right"/>
        <w:rPr>
          <w:rFonts w:ascii="Times New Roman" w:hAnsi="Times New Roman" w:cs="Times New Roman"/>
          <w:i/>
          <w:iCs/>
          <w:sz w:val="24"/>
          <w:szCs w:val="24"/>
        </w:rPr>
      </w:pPr>
      <w:r>
        <w:rPr>
          <w:rFonts w:ascii="Times New Roman" w:hAnsi="Times New Roman" w:cs="Times New Roman"/>
          <w:i/>
          <w:iCs/>
          <w:sz w:val="24"/>
          <w:szCs w:val="24"/>
        </w:rPr>
        <w:t>9</w:t>
      </w:r>
      <w:r w:rsidR="7BBB3C34" w:rsidRPr="00F740C7">
        <w:rPr>
          <w:rFonts w:ascii="Times New Roman" w:hAnsi="Times New Roman" w:cs="Times New Roman"/>
          <w:i/>
          <w:iCs/>
          <w:sz w:val="24"/>
          <w:szCs w:val="24"/>
        </w:rPr>
        <w:t xml:space="preserve">.tabula </w:t>
      </w:r>
    </w:p>
    <w:p w14:paraId="202BFEA7" w14:textId="77777777" w:rsidR="006079E2" w:rsidRDefault="006079E2" w:rsidP="00992F1A">
      <w:pPr>
        <w:ind w:firstLine="709"/>
        <w:jc w:val="center"/>
        <w:rPr>
          <w:rFonts w:ascii="Times New Roman" w:hAnsi="Times New Roman" w:cs="Times New Roman"/>
          <w:b/>
          <w:bCs/>
          <w:sz w:val="24"/>
          <w:szCs w:val="24"/>
          <w:lang w:eastAsia="lv-LV"/>
        </w:rPr>
      </w:pPr>
    </w:p>
    <w:p w14:paraId="33E811B5" w14:textId="77777777" w:rsidR="006079E2" w:rsidRDefault="006079E2" w:rsidP="00992F1A">
      <w:pPr>
        <w:ind w:firstLine="709"/>
        <w:jc w:val="center"/>
        <w:rPr>
          <w:rFonts w:ascii="Times New Roman" w:hAnsi="Times New Roman" w:cs="Times New Roman"/>
          <w:b/>
          <w:bCs/>
          <w:sz w:val="24"/>
          <w:szCs w:val="24"/>
          <w:lang w:eastAsia="lv-LV"/>
        </w:rPr>
      </w:pPr>
    </w:p>
    <w:p w14:paraId="483CDD62" w14:textId="77777777" w:rsidR="006079E2" w:rsidRDefault="006079E2" w:rsidP="00992F1A">
      <w:pPr>
        <w:ind w:firstLine="709"/>
        <w:jc w:val="center"/>
        <w:rPr>
          <w:rFonts w:ascii="Times New Roman" w:hAnsi="Times New Roman" w:cs="Times New Roman"/>
          <w:b/>
          <w:bCs/>
          <w:sz w:val="24"/>
          <w:szCs w:val="24"/>
          <w:lang w:eastAsia="lv-LV"/>
        </w:rPr>
      </w:pPr>
    </w:p>
    <w:p w14:paraId="6A3542E7" w14:textId="049C6436" w:rsidR="00974974" w:rsidRDefault="00710CEA" w:rsidP="006079E2">
      <w:pPr>
        <w:ind w:firstLine="709"/>
        <w:jc w:val="center"/>
        <w:rPr>
          <w:rFonts w:ascii="Times New Roman" w:hAnsi="Times New Roman" w:cs="Times New Roman"/>
          <w:b/>
          <w:bCs/>
          <w:sz w:val="24"/>
          <w:szCs w:val="24"/>
          <w:lang w:eastAsia="lv-LV"/>
        </w:rPr>
      </w:pPr>
      <w:r w:rsidRPr="002308D8">
        <w:rPr>
          <w:rFonts w:ascii="Times New Roman" w:hAnsi="Times New Roman" w:cs="Times New Roman"/>
          <w:b/>
          <w:bCs/>
          <w:sz w:val="24"/>
          <w:szCs w:val="24"/>
          <w:lang w:eastAsia="lv-LV"/>
        </w:rPr>
        <w:t>Endoprotezēšanas plānotais rindu samazinājums</w:t>
      </w:r>
    </w:p>
    <w:tbl>
      <w:tblPr>
        <w:tblW w:w="9700" w:type="dxa"/>
        <w:jc w:val="center"/>
        <w:tblLook w:val="04A0" w:firstRow="1" w:lastRow="0" w:firstColumn="1" w:lastColumn="0" w:noHBand="0" w:noVBand="1"/>
      </w:tblPr>
      <w:tblGrid>
        <w:gridCol w:w="475"/>
        <w:gridCol w:w="2020"/>
        <w:gridCol w:w="766"/>
        <w:gridCol w:w="780"/>
        <w:gridCol w:w="766"/>
        <w:gridCol w:w="640"/>
        <w:gridCol w:w="711"/>
        <w:gridCol w:w="656"/>
        <w:gridCol w:w="711"/>
        <w:gridCol w:w="656"/>
        <w:gridCol w:w="711"/>
        <w:gridCol w:w="656"/>
        <w:gridCol w:w="711"/>
      </w:tblGrid>
      <w:tr w:rsidR="006079E2" w:rsidRPr="006079E2" w14:paraId="6F785667" w14:textId="77777777" w:rsidTr="006807F5">
        <w:trPr>
          <w:trHeight w:val="5866"/>
          <w:jc w:val="center"/>
        </w:trPr>
        <w:tc>
          <w:tcPr>
            <w:tcW w:w="460" w:type="dxa"/>
            <w:tcBorders>
              <w:top w:val="single" w:sz="4" w:space="0" w:color="auto"/>
              <w:left w:val="single" w:sz="4" w:space="0" w:color="auto"/>
              <w:bottom w:val="single" w:sz="4" w:space="0" w:color="auto"/>
              <w:right w:val="single" w:sz="4" w:space="0" w:color="auto"/>
            </w:tcBorders>
            <w:shd w:val="clear" w:color="000000" w:fill="C65911"/>
            <w:textDirection w:val="btLr"/>
            <w:vAlign w:val="bottom"/>
            <w:hideMark/>
          </w:tcPr>
          <w:p w14:paraId="622B3192"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bookmarkStart w:id="2" w:name="RANGE!G2:S11"/>
            <w:r w:rsidRPr="006079E2">
              <w:rPr>
                <w:rFonts w:ascii="Times New Roman" w:eastAsia="Times New Roman" w:hAnsi="Times New Roman" w:cs="Times New Roman"/>
                <w:color w:val="000000"/>
                <w:lang w:eastAsia="lv-LV"/>
              </w:rPr>
              <w:t>Nr.p.k.</w:t>
            </w:r>
            <w:bookmarkEnd w:id="2"/>
          </w:p>
        </w:tc>
        <w:tc>
          <w:tcPr>
            <w:tcW w:w="2020" w:type="dxa"/>
            <w:tcBorders>
              <w:top w:val="single" w:sz="4" w:space="0" w:color="auto"/>
              <w:left w:val="nil"/>
              <w:bottom w:val="single" w:sz="4" w:space="0" w:color="auto"/>
              <w:right w:val="single" w:sz="4" w:space="0" w:color="auto"/>
            </w:tcBorders>
            <w:shd w:val="clear" w:color="000000" w:fill="C65911"/>
            <w:textDirection w:val="btLr"/>
            <w:vAlign w:val="bottom"/>
            <w:hideMark/>
          </w:tcPr>
          <w:p w14:paraId="2E199AC3"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Pasākums</w:t>
            </w:r>
          </w:p>
        </w:tc>
        <w:tc>
          <w:tcPr>
            <w:tcW w:w="760" w:type="dxa"/>
            <w:tcBorders>
              <w:top w:val="single" w:sz="4" w:space="0" w:color="auto"/>
              <w:left w:val="nil"/>
              <w:bottom w:val="single" w:sz="4" w:space="0" w:color="auto"/>
              <w:right w:val="single" w:sz="4" w:space="0" w:color="auto"/>
            </w:tcBorders>
            <w:shd w:val="clear" w:color="000000" w:fill="C65911"/>
            <w:textDirection w:val="btLr"/>
            <w:vAlign w:val="bottom"/>
            <w:hideMark/>
          </w:tcPr>
          <w:p w14:paraId="2752F3D2"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Pacientu skaits rindā uz 2017.gada 1.septembri</w:t>
            </w:r>
          </w:p>
        </w:tc>
        <w:tc>
          <w:tcPr>
            <w:tcW w:w="780" w:type="dxa"/>
            <w:tcBorders>
              <w:top w:val="single" w:sz="4" w:space="0" w:color="auto"/>
              <w:left w:val="nil"/>
              <w:bottom w:val="single" w:sz="4" w:space="0" w:color="auto"/>
              <w:right w:val="single" w:sz="4" w:space="0" w:color="auto"/>
            </w:tcBorders>
            <w:shd w:val="clear" w:color="000000" w:fill="C65911"/>
            <w:textDirection w:val="btLr"/>
            <w:vAlign w:val="bottom"/>
            <w:hideMark/>
          </w:tcPr>
          <w:p w14:paraId="346095FB"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Atbilstoši izvērtējumam pieļaujamais atbirums plānveida rindai</w:t>
            </w:r>
          </w:p>
        </w:tc>
        <w:tc>
          <w:tcPr>
            <w:tcW w:w="740" w:type="dxa"/>
            <w:tcBorders>
              <w:top w:val="single" w:sz="4" w:space="0" w:color="auto"/>
              <w:left w:val="nil"/>
              <w:bottom w:val="single" w:sz="4" w:space="0" w:color="auto"/>
              <w:right w:val="single" w:sz="4" w:space="0" w:color="auto"/>
            </w:tcBorders>
            <w:shd w:val="clear" w:color="000000" w:fill="C65911"/>
            <w:textDirection w:val="btLr"/>
            <w:vAlign w:val="bottom"/>
            <w:hideMark/>
          </w:tcPr>
          <w:p w14:paraId="78669E17"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xml:space="preserve">Atbilstoši izvērtējumam plānotais pacientu skaits rindā esošo </w:t>
            </w:r>
          </w:p>
        </w:tc>
        <w:tc>
          <w:tcPr>
            <w:tcW w:w="640" w:type="dxa"/>
            <w:tcBorders>
              <w:top w:val="single" w:sz="4" w:space="0" w:color="auto"/>
              <w:left w:val="nil"/>
              <w:bottom w:val="single" w:sz="4" w:space="0" w:color="auto"/>
              <w:right w:val="single" w:sz="4" w:space="0" w:color="auto"/>
            </w:tcBorders>
            <w:shd w:val="clear" w:color="000000" w:fill="C65911"/>
            <w:textDirection w:val="btLr"/>
            <w:vAlign w:val="bottom"/>
            <w:hideMark/>
          </w:tcPr>
          <w:p w14:paraId="13CBC561"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Plānotais  pieaugums 2018.gadam</w:t>
            </w:r>
          </w:p>
        </w:tc>
        <w:tc>
          <w:tcPr>
            <w:tcW w:w="560" w:type="dxa"/>
            <w:tcBorders>
              <w:top w:val="single" w:sz="4" w:space="0" w:color="auto"/>
              <w:left w:val="nil"/>
              <w:bottom w:val="single" w:sz="4" w:space="0" w:color="auto"/>
              <w:right w:val="single" w:sz="4" w:space="0" w:color="auto"/>
            </w:tcBorders>
            <w:shd w:val="clear" w:color="000000" w:fill="C65911"/>
            <w:textDirection w:val="btLr"/>
            <w:vAlign w:val="bottom"/>
            <w:hideMark/>
          </w:tcPr>
          <w:p w14:paraId="0B5FD8CF"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2018.gada plānotais rindas samazinājums %</w:t>
            </w:r>
          </w:p>
        </w:tc>
        <w:tc>
          <w:tcPr>
            <w:tcW w:w="580" w:type="dxa"/>
            <w:tcBorders>
              <w:top w:val="single" w:sz="4" w:space="0" w:color="auto"/>
              <w:left w:val="nil"/>
              <w:bottom w:val="single" w:sz="4" w:space="0" w:color="auto"/>
              <w:right w:val="single" w:sz="4" w:space="0" w:color="auto"/>
            </w:tcBorders>
            <w:shd w:val="clear" w:color="000000" w:fill="C65911"/>
            <w:textDirection w:val="btLr"/>
            <w:vAlign w:val="bottom"/>
            <w:hideMark/>
          </w:tcPr>
          <w:p w14:paraId="770D2402"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Plānotais pacientu skaita pieaugums 2019.gadam</w:t>
            </w:r>
          </w:p>
        </w:tc>
        <w:tc>
          <w:tcPr>
            <w:tcW w:w="640" w:type="dxa"/>
            <w:tcBorders>
              <w:top w:val="single" w:sz="4" w:space="0" w:color="auto"/>
              <w:left w:val="nil"/>
              <w:bottom w:val="single" w:sz="4" w:space="0" w:color="auto"/>
              <w:right w:val="single" w:sz="4" w:space="0" w:color="auto"/>
            </w:tcBorders>
            <w:shd w:val="clear" w:color="000000" w:fill="C65911"/>
            <w:textDirection w:val="btLr"/>
            <w:vAlign w:val="bottom"/>
            <w:hideMark/>
          </w:tcPr>
          <w:p w14:paraId="4E2B6460"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2019.gada plānotais rindas samazinājums %</w:t>
            </w:r>
          </w:p>
        </w:tc>
        <w:tc>
          <w:tcPr>
            <w:tcW w:w="640" w:type="dxa"/>
            <w:tcBorders>
              <w:top w:val="single" w:sz="4" w:space="0" w:color="auto"/>
              <w:left w:val="nil"/>
              <w:bottom w:val="single" w:sz="4" w:space="0" w:color="auto"/>
              <w:right w:val="single" w:sz="4" w:space="0" w:color="auto"/>
            </w:tcBorders>
            <w:shd w:val="clear" w:color="000000" w:fill="C65911"/>
            <w:textDirection w:val="btLr"/>
            <w:vAlign w:val="bottom"/>
            <w:hideMark/>
          </w:tcPr>
          <w:p w14:paraId="71B69642"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Plānotais pacientu skaita pieaugums 2020.gadam</w:t>
            </w:r>
          </w:p>
        </w:tc>
        <w:tc>
          <w:tcPr>
            <w:tcW w:w="600" w:type="dxa"/>
            <w:tcBorders>
              <w:top w:val="single" w:sz="4" w:space="0" w:color="auto"/>
              <w:left w:val="nil"/>
              <w:bottom w:val="single" w:sz="4" w:space="0" w:color="auto"/>
              <w:right w:val="single" w:sz="4" w:space="0" w:color="auto"/>
            </w:tcBorders>
            <w:shd w:val="clear" w:color="000000" w:fill="C65911"/>
            <w:textDirection w:val="btLr"/>
            <w:vAlign w:val="bottom"/>
            <w:hideMark/>
          </w:tcPr>
          <w:p w14:paraId="04AF4496"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2020.gada plānotais rindas samazinājums %</w:t>
            </w:r>
          </w:p>
        </w:tc>
        <w:tc>
          <w:tcPr>
            <w:tcW w:w="620" w:type="dxa"/>
            <w:tcBorders>
              <w:top w:val="single" w:sz="4" w:space="0" w:color="auto"/>
              <w:left w:val="nil"/>
              <w:bottom w:val="single" w:sz="4" w:space="0" w:color="auto"/>
              <w:right w:val="single" w:sz="4" w:space="0" w:color="auto"/>
            </w:tcBorders>
            <w:shd w:val="clear" w:color="000000" w:fill="C65911"/>
            <w:textDirection w:val="btLr"/>
            <w:vAlign w:val="bottom"/>
            <w:hideMark/>
          </w:tcPr>
          <w:p w14:paraId="52E6E377"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Plānotais pacientu skaita pieaugums 2021.gadam</w:t>
            </w:r>
          </w:p>
        </w:tc>
        <w:tc>
          <w:tcPr>
            <w:tcW w:w="660" w:type="dxa"/>
            <w:tcBorders>
              <w:top w:val="single" w:sz="4" w:space="0" w:color="auto"/>
              <w:left w:val="nil"/>
              <w:bottom w:val="single" w:sz="4" w:space="0" w:color="auto"/>
              <w:right w:val="single" w:sz="4" w:space="0" w:color="auto"/>
            </w:tcBorders>
            <w:shd w:val="clear" w:color="000000" w:fill="C65911"/>
            <w:textDirection w:val="btLr"/>
            <w:vAlign w:val="bottom"/>
            <w:hideMark/>
          </w:tcPr>
          <w:p w14:paraId="7EB1362D"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2021.gada plānotais rindas samazinājums %</w:t>
            </w:r>
          </w:p>
        </w:tc>
      </w:tr>
      <w:tr w:rsidR="006079E2" w:rsidRPr="006079E2" w14:paraId="5945E8EF" w14:textId="77777777" w:rsidTr="006807F5">
        <w:trPr>
          <w:trHeight w:val="300"/>
          <w:jc w:val="center"/>
        </w:trPr>
        <w:tc>
          <w:tcPr>
            <w:tcW w:w="460" w:type="dxa"/>
            <w:tcBorders>
              <w:top w:val="nil"/>
              <w:left w:val="single" w:sz="4" w:space="0" w:color="auto"/>
              <w:bottom w:val="single" w:sz="4" w:space="0" w:color="auto"/>
              <w:right w:val="single" w:sz="4" w:space="0" w:color="auto"/>
            </w:tcBorders>
            <w:shd w:val="clear" w:color="000000" w:fill="F8CBAD"/>
            <w:noWrap/>
            <w:vAlign w:val="bottom"/>
            <w:hideMark/>
          </w:tcPr>
          <w:p w14:paraId="7697A992" w14:textId="77777777" w:rsidR="006079E2" w:rsidRPr="006079E2" w:rsidRDefault="006079E2" w:rsidP="006079E2">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1</w:t>
            </w:r>
          </w:p>
        </w:tc>
        <w:tc>
          <w:tcPr>
            <w:tcW w:w="2020" w:type="dxa"/>
            <w:tcBorders>
              <w:top w:val="nil"/>
              <w:left w:val="nil"/>
              <w:bottom w:val="single" w:sz="4" w:space="0" w:color="auto"/>
              <w:right w:val="single" w:sz="4" w:space="0" w:color="auto"/>
            </w:tcBorders>
            <w:shd w:val="clear" w:color="000000" w:fill="F8CBAD"/>
            <w:noWrap/>
            <w:vAlign w:val="bottom"/>
            <w:hideMark/>
          </w:tcPr>
          <w:p w14:paraId="3351457E" w14:textId="77777777" w:rsidR="006079E2" w:rsidRPr="006079E2" w:rsidRDefault="006079E2" w:rsidP="006079E2">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2</w:t>
            </w:r>
          </w:p>
        </w:tc>
        <w:tc>
          <w:tcPr>
            <w:tcW w:w="760" w:type="dxa"/>
            <w:tcBorders>
              <w:top w:val="nil"/>
              <w:left w:val="nil"/>
              <w:bottom w:val="single" w:sz="4" w:space="0" w:color="auto"/>
              <w:right w:val="single" w:sz="4" w:space="0" w:color="auto"/>
            </w:tcBorders>
            <w:shd w:val="clear" w:color="000000" w:fill="F8CBAD"/>
            <w:vAlign w:val="bottom"/>
            <w:hideMark/>
          </w:tcPr>
          <w:p w14:paraId="4FE3CB90" w14:textId="77777777" w:rsidR="006079E2" w:rsidRPr="006079E2" w:rsidRDefault="006079E2" w:rsidP="006079E2">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3</w:t>
            </w:r>
          </w:p>
        </w:tc>
        <w:tc>
          <w:tcPr>
            <w:tcW w:w="780" w:type="dxa"/>
            <w:tcBorders>
              <w:top w:val="nil"/>
              <w:left w:val="nil"/>
              <w:bottom w:val="single" w:sz="4" w:space="0" w:color="auto"/>
              <w:right w:val="single" w:sz="4" w:space="0" w:color="auto"/>
            </w:tcBorders>
            <w:shd w:val="clear" w:color="000000" w:fill="F8CBAD"/>
            <w:vAlign w:val="bottom"/>
            <w:hideMark/>
          </w:tcPr>
          <w:p w14:paraId="71053684" w14:textId="77777777" w:rsidR="006079E2" w:rsidRPr="006079E2" w:rsidRDefault="006079E2" w:rsidP="006079E2">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4</w:t>
            </w:r>
          </w:p>
        </w:tc>
        <w:tc>
          <w:tcPr>
            <w:tcW w:w="740" w:type="dxa"/>
            <w:tcBorders>
              <w:top w:val="nil"/>
              <w:left w:val="nil"/>
              <w:bottom w:val="single" w:sz="4" w:space="0" w:color="auto"/>
              <w:right w:val="single" w:sz="4" w:space="0" w:color="auto"/>
            </w:tcBorders>
            <w:shd w:val="clear" w:color="000000" w:fill="F8CBAD"/>
            <w:vAlign w:val="bottom"/>
            <w:hideMark/>
          </w:tcPr>
          <w:p w14:paraId="700952AC" w14:textId="77777777" w:rsidR="006079E2" w:rsidRPr="006079E2" w:rsidRDefault="006079E2" w:rsidP="006079E2">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5</w:t>
            </w:r>
          </w:p>
        </w:tc>
        <w:tc>
          <w:tcPr>
            <w:tcW w:w="640" w:type="dxa"/>
            <w:tcBorders>
              <w:top w:val="nil"/>
              <w:left w:val="nil"/>
              <w:bottom w:val="single" w:sz="4" w:space="0" w:color="auto"/>
              <w:right w:val="single" w:sz="4" w:space="0" w:color="auto"/>
            </w:tcBorders>
            <w:shd w:val="clear" w:color="000000" w:fill="F8CBAD"/>
            <w:vAlign w:val="bottom"/>
            <w:hideMark/>
          </w:tcPr>
          <w:p w14:paraId="30B57FE7" w14:textId="77777777" w:rsidR="006079E2" w:rsidRPr="006079E2" w:rsidRDefault="006079E2" w:rsidP="006079E2">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6</w:t>
            </w:r>
          </w:p>
        </w:tc>
        <w:tc>
          <w:tcPr>
            <w:tcW w:w="560" w:type="dxa"/>
            <w:tcBorders>
              <w:top w:val="nil"/>
              <w:left w:val="nil"/>
              <w:bottom w:val="single" w:sz="4" w:space="0" w:color="auto"/>
              <w:right w:val="single" w:sz="4" w:space="0" w:color="auto"/>
            </w:tcBorders>
            <w:shd w:val="clear" w:color="000000" w:fill="F8CBAD"/>
            <w:vAlign w:val="bottom"/>
            <w:hideMark/>
          </w:tcPr>
          <w:p w14:paraId="3DF89EA7" w14:textId="77777777" w:rsidR="006079E2" w:rsidRPr="006079E2" w:rsidRDefault="006079E2" w:rsidP="006079E2">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7</w:t>
            </w:r>
          </w:p>
        </w:tc>
        <w:tc>
          <w:tcPr>
            <w:tcW w:w="580" w:type="dxa"/>
            <w:tcBorders>
              <w:top w:val="nil"/>
              <w:left w:val="nil"/>
              <w:bottom w:val="single" w:sz="4" w:space="0" w:color="auto"/>
              <w:right w:val="single" w:sz="4" w:space="0" w:color="auto"/>
            </w:tcBorders>
            <w:shd w:val="clear" w:color="000000" w:fill="F8CBAD"/>
            <w:vAlign w:val="bottom"/>
            <w:hideMark/>
          </w:tcPr>
          <w:p w14:paraId="05EB4F6D" w14:textId="77777777" w:rsidR="006079E2" w:rsidRPr="006079E2" w:rsidRDefault="006079E2" w:rsidP="006079E2">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8</w:t>
            </w:r>
          </w:p>
        </w:tc>
        <w:tc>
          <w:tcPr>
            <w:tcW w:w="640" w:type="dxa"/>
            <w:tcBorders>
              <w:top w:val="nil"/>
              <w:left w:val="nil"/>
              <w:bottom w:val="single" w:sz="4" w:space="0" w:color="auto"/>
              <w:right w:val="single" w:sz="4" w:space="0" w:color="auto"/>
            </w:tcBorders>
            <w:shd w:val="clear" w:color="000000" w:fill="F8CBAD"/>
            <w:vAlign w:val="bottom"/>
            <w:hideMark/>
          </w:tcPr>
          <w:p w14:paraId="2F52CB83" w14:textId="77777777" w:rsidR="006079E2" w:rsidRPr="006079E2" w:rsidRDefault="006079E2" w:rsidP="006079E2">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9</w:t>
            </w:r>
          </w:p>
        </w:tc>
        <w:tc>
          <w:tcPr>
            <w:tcW w:w="640" w:type="dxa"/>
            <w:tcBorders>
              <w:top w:val="nil"/>
              <w:left w:val="nil"/>
              <w:bottom w:val="single" w:sz="4" w:space="0" w:color="auto"/>
              <w:right w:val="single" w:sz="4" w:space="0" w:color="auto"/>
            </w:tcBorders>
            <w:shd w:val="clear" w:color="000000" w:fill="F8CBAD"/>
            <w:vAlign w:val="bottom"/>
            <w:hideMark/>
          </w:tcPr>
          <w:p w14:paraId="16561BF0" w14:textId="77777777" w:rsidR="006079E2" w:rsidRPr="006079E2" w:rsidRDefault="006079E2" w:rsidP="006079E2">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10</w:t>
            </w:r>
          </w:p>
        </w:tc>
        <w:tc>
          <w:tcPr>
            <w:tcW w:w="600" w:type="dxa"/>
            <w:tcBorders>
              <w:top w:val="nil"/>
              <w:left w:val="nil"/>
              <w:bottom w:val="single" w:sz="4" w:space="0" w:color="auto"/>
              <w:right w:val="single" w:sz="4" w:space="0" w:color="auto"/>
            </w:tcBorders>
            <w:shd w:val="clear" w:color="000000" w:fill="F8CBAD"/>
            <w:vAlign w:val="bottom"/>
            <w:hideMark/>
          </w:tcPr>
          <w:p w14:paraId="007A7446" w14:textId="77777777" w:rsidR="006079E2" w:rsidRPr="006079E2" w:rsidRDefault="006079E2" w:rsidP="006079E2">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11</w:t>
            </w:r>
          </w:p>
        </w:tc>
        <w:tc>
          <w:tcPr>
            <w:tcW w:w="620" w:type="dxa"/>
            <w:tcBorders>
              <w:top w:val="nil"/>
              <w:left w:val="nil"/>
              <w:bottom w:val="single" w:sz="4" w:space="0" w:color="auto"/>
              <w:right w:val="single" w:sz="4" w:space="0" w:color="auto"/>
            </w:tcBorders>
            <w:shd w:val="clear" w:color="000000" w:fill="F8CBAD"/>
            <w:vAlign w:val="bottom"/>
            <w:hideMark/>
          </w:tcPr>
          <w:p w14:paraId="74CB49BD" w14:textId="77777777" w:rsidR="006079E2" w:rsidRPr="006079E2" w:rsidRDefault="006079E2" w:rsidP="006079E2">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12</w:t>
            </w:r>
          </w:p>
        </w:tc>
        <w:tc>
          <w:tcPr>
            <w:tcW w:w="660" w:type="dxa"/>
            <w:tcBorders>
              <w:top w:val="nil"/>
              <w:left w:val="nil"/>
              <w:bottom w:val="single" w:sz="4" w:space="0" w:color="auto"/>
              <w:right w:val="single" w:sz="4" w:space="0" w:color="auto"/>
            </w:tcBorders>
            <w:shd w:val="clear" w:color="000000" w:fill="F8CBAD"/>
            <w:vAlign w:val="bottom"/>
            <w:hideMark/>
          </w:tcPr>
          <w:p w14:paraId="35D8CD3A" w14:textId="77777777" w:rsidR="006079E2" w:rsidRPr="006079E2" w:rsidRDefault="006079E2" w:rsidP="006079E2">
            <w:pPr>
              <w:spacing w:after="0" w:line="240" w:lineRule="auto"/>
              <w:jc w:val="center"/>
              <w:rPr>
                <w:rFonts w:ascii="Times New Roman" w:eastAsia="Times New Roman" w:hAnsi="Times New Roman" w:cs="Times New Roman"/>
                <w:color w:val="000000"/>
                <w:sz w:val="18"/>
                <w:szCs w:val="18"/>
                <w:lang w:eastAsia="lv-LV"/>
              </w:rPr>
            </w:pPr>
            <w:r w:rsidRPr="006079E2">
              <w:rPr>
                <w:rFonts w:ascii="Times New Roman" w:eastAsia="Times New Roman" w:hAnsi="Times New Roman" w:cs="Times New Roman"/>
                <w:color w:val="000000"/>
                <w:sz w:val="18"/>
                <w:szCs w:val="18"/>
                <w:lang w:eastAsia="lv-LV"/>
              </w:rPr>
              <w:t>13</w:t>
            </w:r>
          </w:p>
        </w:tc>
      </w:tr>
      <w:tr w:rsidR="006079E2" w:rsidRPr="006079E2" w14:paraId="40B13C16" w14:textId="77777777" w:rsidTr="006807F5">
        <w:trPr>
          <w:trHeight w:val="9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A0601DF"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w:t>
            </w:r>
          </w:p>
        </w:tc>
        <w:tc>
          <w:tcPr>
            <w:tcW w:w="2020" w:type="dxa"/>
            <w:tcBorders>
              <w:top w:val="nil"/>
              <w:left w:val="nil"/>
              <w:bottom w:val="single" w:sz="4" w:space="0" w:color="auto"/>
              <w:right w:val="single" w:sz="4" w:space="0" w:color="auto"/>
            </w:tcBorders>
            <w:shd w:val="clear" w:color="auto" w:fill="auto"/>
            <w:vAlign w:val="bottom"/>
            <w:hideMark/>
          </w:tcPr>
          <w:p w14:paraId="0382BB2E" w14:textId="77777777" w:rsidR="006079E2" w:rsidRPr="006079E2" w:rsidRDefault="006079E2" w:rsidP="006079E2">
            <w:pPr>
              <w:spacing w:after="0" w:line="240" w:lineRule="auto"/>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Ceļa locītavas endoprotezēšana, t.sk.ar konsīlija slēdzienu</w:t>
            </w:r>
          </w:p>
        </w:tc>
        <w:tc>
          <w:tcPr>
            <w:tcW w:w="760" w:type="dxa"/>
            <w:tcBorders>
              <w:top w:val="nil"/>
              <w:left w:val="nil"/>
              <w:bottom w:val="single" w:sz="4" w:space="0" w:color="auto"/>
              <w:right w:val="single" w:sz="4" w:space="0" w:color="auto"/>
            </w:tcBorders>
            <w:shd w:val="clear" w:color="auto" w:fill="auto"/>
            <w:noWrap/>
            <w:vAlign w:val="bottom"/>
            <w:hideMark/>
          </w:tcPr>
          <w:p w14:paraId="49538E28"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13859</w:t>
            </w:r>
          </w:p>
        </w:tc>
        <w:tc>
          <w:tcPr>
            <w:tcW w:w="780" w:type="dxa"/>
            <w:tcBorders>
              <w:top w:val="nil"/>
              <w:left w:val="nil"/>
              <w:bottom w:val="single" w:sz="4" w:space="0" w:color="auto"/>
              <w:right w:val="single" w:sz="4" w:space="0" w:color="auto"/>
            </w:tcBorders>
            <w:shd w:val="clear" w:color="auto" w:fill="auto"/>
            <w:noWrap/>
            <w:vAlign w:val="bottom"/>
            <w:hideMark/>
          </w:tcPr>
          <w:p w14:paraId="25816215"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6652</w:t>
            </w:r>
          </w:p>
        </w:tc>
        <w:tc>
          <w:tcPr>
            <w:tcW w:w="740" w:type="dxa"/>
            <w:tcBorders>
              <w:top w:val="nil"/>
              <w:left w:val="nil"/>
              <w:bottom w:val="single" w:sz="4" w:space="0" w:color="auto"/>
              <w:right w:val="single" w:sz="4" w:space="0" w:color="auto"/>
            </w:tcBorders>
            <w:shd w:val="clear" w:color="auto" w:fill="auto"/>
            <w:noWrap/>
            <w:vAlign w:val="bottom"/>
            <w:hideMark/>
          </w:tcPr>
          <w:p w14:paraId="6F9C9964"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7207</w:t>
            </w:r>
          </w:p>
        </w:tc>
        <w:tc>
          <w:tcPr>
            <w:tcW w:w="640" w:type="dxa"/>
            <w:tcBorders>
              <w:top w:val="nil"/>
              <w:left w:val="nil"/>
              <w:bottom w:val="single" w:sz="4" w:space="0" w:color="auto"/>
              <w:right w:val="single" w:sz="4" w:space="0" w:color="auto"/>
            </w:tcBorders>
            <w:shd w:val="clear" w:color="auto" w:fill="auto"/>
            <w:noWrap/>
            <w:vAlign w:val="bottom"/>
            <w:hideMark/>
          </w:tcPr>
          <w:p w14:paraId="65B58265"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493</w:t>
            </w:r>
          </w:p>
        </w:tc>
        <w:tc>
          <w:tcPr>
            <w:tcW w:w="560" w:type="dxa"/>
            <w:tcBorders>
              <w:top w:val="nil"/>
              <w:left w:val="nil"/>
              <w:bottom w:val="single" w:sz="4" w:space="0" w:color="auto"/>
              <w:right w:val="single" w:sz="4" w:space="0" w:color="auto"/>
            </w:tcBorders>
            <w:shd w:val="clear" w:color="auto" w:fill="auto"/>
            <w:noWrap/>
            <w:vAlign w:val="bottom"/>
            <w:hideMark/>
          </w:tcPr>
          <w:p w14:paraId="7F583A46"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6.84</w:t>
            </w:r>
          </w:p>
        </w:tc>
        <w:tc>
          <w:tcPr>
            <w:tcW w:w="580" w:type="dxa"/>
            <w:tcBorders>
              <w:top w:val="nil"/>
              <w:left w:val="nil"/>
              <w:bottom w:val="single" w:sz="4" w:space="0" w:color="auto"/>
              <w:right w:val="single" w:sz="4" w:space="0" w:color="auto"/>
            </w:tcBorders>
            <w:shd w:val="clear" w:color="auto" w:fill="auto"/>
            <w:noWrap/>
            <w:vAlign w:val="bottom"/>
            <w:hideMark/>
          </w:tcPr>
          <w:p w14:paraId="76C08A9C"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1685</w:t>
            </w:r>
          </w:p>
        </w:tc>
        <w:tc>
          <w:tcPr>
            <w:tcW w:w="640" w:type="dxa"/>
            <w:tcBorders>
              <w:top w:val="nil"/>
              <w:left w:val="nil"/>
              <w:bottom w:val="single" w:sz="4" w:space="0" w:color="auto"/>
              <w:right w:val="single" w:sz="4" w:space="0" w:color="auto"/>
            </w:tcBorders>
            <w:shd w:val="clear" w:color="auto" w:fill="auto"/>
            <w:noWrap/>
            <w:vAlign w:val="bottom"/>
            <w:hideMark/>
          </w:tcPr>
          <w:p w14:paraId="53927430"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23.38</w:t>
            </w:r>
          </w:p>
        </w:tc>
        <w:tc>
          <w:tcPr>
            <w:tcW w:w="640" w:type="dxa"/>
            <w:tcBorders>
              <w:top w:val="nil"/>
              <w:left w:val="nil"/>
              <w:bottom w:val="single" w:sz="4" w:space="0" w:color="auto"/>
              <w:right w:val="single" w:sz="4" w:space="0" w:color="auto"/>
            </w:tcBorders>
            <w:shd w:val="clear" w:color="auto" w:fill="auto"/>
            <w:noWrap/>
            <w:vAlign w:val="bottom"/>
            <w:hideMark/>
          </w:tcPr>
          <w:p w14:paraId="34803678"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2239</w:t>
            </w:r>
          </w:p>
        </w:tc>
        <w:tc>
          <w:tcPr>
            <w:tcW w:w="600" w:type="dxa"/>
            <w:tcBorders>
              <w:top w:val="nil"/>
              <w:left w:val="nil"/>
              <w:bottom w:val="single" w:sz="4" w:space="0" w:color="auto"/>
              <w:right w:val="single" w:sz="4" w:space="0" w:color="auto"/>
            </w:tcBorders>
            <w:shd w:val="clear" w:color="auto" w:fill="auto"/>
            <w:noWrap/>
            <w:vAlign w:val="bottom"/>
            <w:hideMark/>
          </w:tcPr>
          <w:p w14:paraId="35B67C0D"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31.07</w:t>
            </w:r>
          </w:p>
        </w:tc>
        <w:tc>
          <w:tcPr>
            <w:tcW w:w="620" w:type="dxa"/>
            <w:tcBorders>
              <w:top w:val="nil"/>
              <w:left w:val="nil"/>
              <w:bottom w:val="single" w:sz="4" w:space="0" w:color="auto"/>
              <w:right w:val="single" w:sz="4" w:space="0" w:color="auto"/>
            </w:tcBorders>
            <w:shd w:val="clear" w:color="auto" w:fill="auto"/>
            <w:noWrap/>
            <w:vAlign w:val="bottom"/>
            <w:hideMark/>
          </w:tcPr>
          <w:p w14:paraId="34C1CC20"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3429</w:t>
            </w:r>
          </w:p>
        </w:tc>
        <w:tc>
          <w:tcPr>
            <w:tcW w:w="660" w:type="dxa"/>
            <w:tcBorders>
              <w:top w:val="nil"/>
              <w:left w:val="nil"/>
              <w:bottom w:val="single" w:sz="4" w:space="0" w:color="auto"/>
              <w:right w:val="single" w:sz="4" w:space="0" w:color="auto"/>
            </w:tcBorders>
            <w:shd w:val="clear" w:color="auto" w:fill="auto"/>
            <w:noWrap/>
            <w:vAlign w:val="bottom"/>
            <w:hideMark/>
          </w:tcPr>
          <w:p w14:paraId="09C0B375"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47.58</w:t>
            </w:r>
          </w:p>
        </w:tc>
      </w:tr>
      <w:tr w:rsidR="006079E2" w:rsidRPr="006079E2" w14:paraId="594436A1" w14:textId="77777777" w:rsidTr="006807F5">
        <w:trPr>
          <w:trHeight w:val="9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A5AF4C0"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w:t>
            </w:r>
          </w:p>
        </w:tc>
        <w:tc>
          <w:tcPr>
            <w:tcW w:w="2020" w:type="dxa"/>
            <w:tcBorders>
              <w:top w:val="nil"/>
              <w:left w:val="nil"/>
              <w:bottom w:val="single" w:sz="4" w:space="0" w:color="auto"/>
              <w:right w:val="single" w:sz="4" w:space="0" w:color="auto"/>
            </w:tcBorders>
            <w:shd w:val="clear" w:color="auto" w:fill="auto"/>
            <w:vAlign w:val="bottom"/>
            <w:hideMark/>
          </w:tcPr>
          <w:p w14:paraId="3E6C6502" w14:textId="77777777" w:rsidR="006079E2" w:rsidRPr="006079E2" w:rsidRDefault="006079E2" w:rsidP="006079E2">
            <w:pPr>
              <w:spacing w:after="0" w:line="240" w:lineRule="auto"/>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Ceļa locītavas endoprotezēšana ar 50 % apmaksu</w:t>
            </w:r>
          </w:p>
        </w:tc>
        <w:tc>
          <w:tcPr>
            <w:tcW w:w="760" w:type="dxa"/>
            <w:tcBorders>
              <w:top w:val="nil"/>
              <w:left w:val="nil"/>
              <w:bottom w:val="single" w:sz="4" w:space="0" w:color="auto"/>
              <w:right w:val="single" w:sz="4" w:space="0" w:color="auto"/>
            </w:tcBorders>
            <w:shd w:val="clear" w:color="auto" w:fill="auto"/>
            <w:noWrap/>
            <w:vAlign w:val="bottom"/>
            <w:hideMark/>
          </w:tcPr>
          <w:p w14:paraId="5F6BCFD9"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394</w:t>
            </w:r>
          </w:p>
        </w:tc>
        <w:tc>
          <w:tcPr>
            <w:tcW w:w="780" w:type="dxa"/>
            <w:tcBorders>
              <w:top w:val="nil"/>
              <w:left w:val="nil"/>
              <w:bottom w:val="single" w:sz="4" w:space="0" w:color="auto"/>
              <w:right w:val="single" w:sz="4" w:space="0" w:color="auto"/>
            </w:tcBorders>
            <w:shd w:val="clear" w:color="auto" w:fill="auto"/>
            <w:noWrap/>
            <w:vAlign w:val="bottom"/>
            <w:hideMark/>
          </w:tcPr>
          <w:p w14:paraId="461194AB"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740" w:type="dxa"/>
            <w:tcBorders>
              <w:top w:val="nil"/>
              <w:left w:val="nil"/>
              <w:bottom w:val="single" w:sz="4" w:space="0" w:color="auto"/>
              <w:right w:val="single" w:sz="4" w:space="0" w:color="auto"/>
            </w:tcBorders>
            <w:shd w:val="clear" w:color="auto" w:fill="auto"/>
            <w:noWrap/>
            <w:vAlign w:val="bottom"/>
            <w:hideMark/>
          </w:tcPr>
          <w:p w14:paraId="2B813FFC"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394</w:t>
            </w:r>
          </w:p>
        </w:tc>
        <w:tc>
          <w:tcPr>
            <w:tcW w:w="640" w:type="dxa"/>
            <w:tcBorders>
              <w:top w:val="nil"/>
              <w:left w:val="nil"/>
              <w:bottom w:val="single" w:sz="4" w:space="0" w:color="auto"/>
              <w:right w:val="single" w:sz="4" w:space="0" w:color="auto"/>
            </w:tcBorders>
            <w:shd w:val="clear" w:color="auto" w:fill="auto"/>
            <w:noWrap/>
            <w:vAlign w:val="bottom"/>
            <w:hideMark/>
          </w:tcPr>
          <w:p w14:paraId="1880748D"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289</w:t>
            </w:r>
          </w:p>
        </w:tc>
        <w:tc>
          <w:tcPr>
            <w:tcW w:w="560" w:type="dxa"/>
            <w:tcBorders>
              <w:top w:val="nil"/>
              <w:left w:val="nil"/>
              <w:bottom w:val="single" w:sz="4" w:space="0" w:color="auto"/>
              <w:right w:val="single" w:sz="4" w:space="0" w:color="auto"/>
            </w:tcBorders>
            <w:shd w:val="clear" w:color="auto" w:fill="auto"/>
            <w:noWrap/>
            <w:vAlign w:val="bottom"/>
            <w:hideMark/>
          </w:tcPr>
          <w:p w14:paraId="1303FC13"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73.35</w:t>
            </w:r>
          </w:p>
        </w:tc>
        <w:tc>
          <w:tcPr>
            <w:tcW w:w="580" w:type="dxa"/>
            <w:tcBorders>
              <w:top w:val="nil"/>
              <w:left w:val="nil"/>
              <w:bottom w:val="single" w:sz="4" w:space="0" w:color="auto"/>
              <w:right w:val="single" w:sz="4" w:space="0" w:color="auto"/>
            </w:tcBorders>
            <w:shd w:val="clear" w:color="auto" w:fill="auto"/>
            <w:noWrap/>
            <w:vAlign w:val="bottom"/>
            <w:hideMark/>
          </w:tcPr>
          <w:p w14:paraId="1AEA16E2"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289</w:t>
            </w:r>
          </w:p>
        </w:tc>
        <w:tc>
          <w:tcPr>
            <w:tcW w:w="640" w:type="dxa"/>
            <w:tcBorders>
              <w:top w:val="nil"/>
              <w:left w:val="nil"/>
              <w:bottom w:val="single" w:sz="4" w:space="0" w:color="auto"/>
              <w:right w:val="single" w:sz="4" w:space="0" w:color="auto"/>
            </w:tcBorders>
            <w:shd w:val="clear" w:color="auto" w:fill="auto"/>
            <w:noWrap/>
            <w:vAlign w:val="bottom"/>
            <w:hideMark/>
          </w:tcPr>
          <w:p w14:paraId="217C9580"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73.35</w:t>
            </w:r>
          </w:p>
        </w:tc>
        <w:tc>
          <w:tcPr>
            <w:tcW w:w="640" w:type="dxa"/>
            <w:tcBorders>
              <w:top w:val="nil"/>
              <w:left w:val="nil"/>
              <w:bottom w:val="single" w:sz="4" w:space="0" w:color="auto"/>
              <w:right w:val="single" w:sz="4" w:space="0" w:color="auto"/>
            </w:tcBorders>
            <w:shd w:val="clear" w:color="auto" w:fill="auto"/>
            <w:noWrap/>
            <w:vAlign w:val="bottom"/>
            <w:hideMark/>
          </w:tcPr>
          <w:p w14:paraId="43800839"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289</w:t>
            </w:r>
          </w:p>
        </w:tc>
        <w:tc>
          <w:tcPr>
            <w:tcW w:w="600" w:type="dxa"/>
            <w:tcBorders>
              <w:top w:val="nil"/>
              <w:left w:val="nil"/>
              <w:bottom w:val="single" w:sz="4" w:space="0" w:color="auto"/>
              <w:right w:val="single" w:sz="4" w:space="0" w:color="auto"/>
            </w:tcBorders>
            <w:shd w:val="clear" w:color="auto" w:fill="auto"/>
            <w:noWrap/>
            <w:vAlign w:val="bottom"/>
            <w:hideMark/>
          </w:tcPr>
          <w:p w14:paraId="21C83971"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73.35</w:t>
            </w:r>
          </w:p>
        </w:tc>
        <w:tc>
          <w:tcPr>
            <w:tcW w:w="620" w:type="dxa"/>
            <w:tcBorders>
              <w:top w:val="nil"/>
              <w:left w:val="nil"/>
              <w:bottom w:val="single" w:sz="4" w:space="0" w:color="auto"/>
              <w:right w:val="single" w:sz="4" w:space="0" w:color="auto"/>
            </w:tcBorders>
            <w:shd w:val="clear" w:color="auto" w:fill="auto"/>
            <w:noWrap/>
            <w:vAlign w:val="bottom"/>
            <w:hideMark/>
          </w:tcPr>
          <w:p w14:paraId="19506983"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289</w:t>
            </w:r>
          </w:p>
        </w:tc>
        <w:tc>
          <w:tcPr>
            <w:tcW w:w="660" w:type="dxa"/>
            <w:tcBorders>
              <w:top w:val="nil"/>
              <w:left w:val="nil"/>
              <w:bottom w:val="single" w:sz="4" w:space="0" w:color="auto"/>
              <w:right w:val="single" w:sz="4" w:space="0" w:color="auto"/>
            </w:tcBorders>
            <w:shd w:val="clear" w:color="auto" w:fill="auto"/>
            <w:noWrap/>
            <w:vAlign w:val="bottom"/>
            <w:hideMark/>
          </w:tcPr>
          <w:p w14:paraId="3CEC88AD"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73.35</w:t>
            </w:r>
          </w:p>
        </w:tc>
      </w:tr>
      <w:tr w:rsidR="006079E2" w:rsidRPr="006079E2" w14:paraId="2A1F50D9" w14:textId="77777777" w:rsidTr="006807F5">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8F099E7"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w:t>
            </w:r>
          </w:p>
        </w:tc>
        <w:tc>
          <w:tcPr>
            <w:tcW w:w="2020" w:type="dxa"/>
            <w:tcBorders>
              <w:top w:val="nil"/>
              <w:left w:val="nil"/>
              <w:bottom w:val="single" w:sz="4" w:space="0" w:color="auto"/>
              <w:right w:val="single" w:sz="4" w:space="0" w:color="auto"/>
            </w:tcBorders>
            <w:shd w:val="clear" w:color="auto" w:fill="auto"/>
            <w:vAlign w:val="bottom"/>
            <w:hideMark/>
          </w:tcPr>
          <w:p w14:paraId="314CFD79" w14:textId="77777777" w:rsidR="006079E2" w:rsidRPr="006079E2" w:rsidRDefault="006079E2" w:rsidP="006079E2">
            <w:pPr>
              <w:spacing w:after="0" w:line="240" w:lineRule="auto"/>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Revīzijas endoprotezēšana</w:t>
            </w:r>
          </w:p>
        </w:tc>
        <w:tc>
          <w:tcPr>
            <w:tcW w:w="760" w:type="dxa"/>
            <w:tcBorders>
              <w:top w:val="nil"/>
              <w:left w:val="nil"/>
              <w:bottom w:val="single" w:sz="4" w:space="0" w:color="auto"/>
              <w:right w:val="single" w:sz="4" w:space="0" w:color="auto"/>
            </w:tcBorders>
            <w:shd w:val="clear" w:color="auto" w:fill="auto"/>
            <w:noWrap/>
            <w:vAlign w:val="bottom"/>
            <w:hideMark/>
          </w:tcPr>
          <w:p w14:paraId="71A4DA87"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228</w:t>
            </w:r>
          </w:p>
        </w:tc>
        <w:tc>
          <w:tcPr>
            <w:tcW w:w="780" w:type="dxa"/>
            <w:tcBorders>
              <w:top w:val="nil"/>
              <w:left w:val="nil"/>
              <w:bottom w:val="single" w:sz="4" w:space="0" w:color="auto"/>
              <w:right w:val="single" w:sz="4" w:space="0" w:color="auto"/>
            </w:tcBorders>
            <w:shd w:val="clear" w:color="auto" w:fill="auto"/>
            <w:noWrap/>
            <w:vAlign w:val="bottom"/>
            <w:hideMark/>
          </w:tcPr>
          <w:p w14:paraId="5C60697F"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740" w:type="dxa"/>
            <w:tcBorders>
              <w:top w:val="nil"/>
              <w:left w:val="nil"/>
              <w:bottom w:val="single" w:sz="4" w:space="0" w:color="auto"/>
              <w:right w:val="single" w:sz="4" w:space="0" w:color="auto"/>
            </w:tcBorders>
            <w:shd w:val="clear" w:color="auto" w:fill="auto"/>
            <w:noWrap/>
            <w:vAlign w:val="bottom"/>
            <w:hideMark/>
          </w:tcPr>
          <w:p w14:paraId="79BC2219"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228</w:t>
            </w:r>
          </w:p>
        </w:tc>
        <w:tc>
          <w:tcPr>
            <w:tcW w:w="640" w:type="dxa"/>
            <w:tcBorders>
              <w:top w:val="nil"/>
              <w:left w:val="nil"/>
              <w:bottom w:val="single" w:sz="4" w:space="0" w:color="auto"/>
              <w:right w:val="single" w:sz="4" w:space="0" w:color="auto"/>
            </w:tcBorders>
            <w:shd w:val="clear" w:color="auto" w:fill="auto"/>
            <w:noWrap/>
            <w:vAlign w:val="bottom"/>
            <w:hideMark/>
          </w:tcPr>
          <w:p w14:paraId="417507AD"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199</w:t>
            </w:r>
          </w:p>
        </w:tc>
        <w:tc>
          <w:tcPr>
            <w:tcW w:w="560" w:type="dxa"/>
            <w:tcBorders>
              <w:top w:val="nil"/>
              <w:left w:val="nil"/>
              <w:bottom w:val="single" w:sz="4" w:space="0" w:color="auto"/>
              <w:right w:val="single" w:sz="4" w:space="0" w:color="auto"/>
            </w:tcBorders>
            <w:shd w:val="clear" w:color="auto" w:fill="auto"/>
            <w:noWrap/>
            <w:vAlign w:val="bottom"/>
            <w:hideMark/>
          </w:tcPr>
          <w:p w14:paraId="41B45595"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87.28</w:t>
            </w:r>
          </w:p>
        </w:tc>
        <w:tc>
          <w:tcPr>
            <w:tcW w:w="580" w:type="dxa"/>
            <w:tcBorders>
              <w:top w:val="nil"/>
              <w:left w:val="nil"/>
              <w:bottom w:val="single" w:sz="4" w:space="0" w:color="auto"/>
              <w:right w:val="single" w:sz="4" w:space="0" w:color="auto"/>
            </w:tcBorders>
            <w:shd w:val="clear" w:color="auto" w:fill="auto"/>
            <w:noWrap/>
            <w:vAlign w:val="bottom"/>
            <w:hideMark/>
          </w:tcPr>
          <w:p w14:paraId="3E4417E3"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209</w:t>
            </w:r>
          </w:p>
        </w:tc>
        <w:tc>
          <w:tcPr>
            <w:tcW w:w="640" w:type="dxa"/>
            <w:tcBorders>
              <w:top w:val="nil"/>
              <w:left w:val="nil"/>
              <w:bottom w:val="single" w:sz="4" w:space="0" w:color="auto"/>
              <w:right w:val="single" w:sz="4" w:space="0" w:color="auto"/>
            </w:tcBorders>
            <w:shd w:val="clear" w:color="auto" w:fill="auto"/>
            <w:noWrap/>
            <w:vAlign w:val="bottom"/>
            <w:hideMark/>
          </w:tcPr>
          <w:p w14:paraId="55552260"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91.67</w:t>
            </w:r>
          </w:p>
        </w:tc>
        <w:tc>
          <w:tcPr>
            <w:tcW w:w="640" w:type="dxa"/>
            <w:tcBorders>
              <w:top w:val="nil"/>
              <w:left w:val="nil"/>
              <w:bottom w:val="single" w:sz="4" w:space="0" w:color="auto"/>
              <w:right w:val="single" w:sz="4" w:space="0" w:color="auto"/>
            </w:tcBorders>
            <w:shd w:val="clear" w:color="auto" w:fill="auto"/>
            <w:noWrap/>
            <w:vAlign w:val="bottom"/>
            <w:hideMark/>
          </w:tcPr>
          <w:p w14:paraId="3E149E95"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209</w:t>
            </w:r>
          </w:p>
        </w:tc>
        <w:tc>
          <w:tcPr>
            <w:tcW w:w="600" w:type="dxa"/>
            <w:tcBorders>
              <w:top w:val="nil"/>
              <w:left w:val="nil"/>
              <w:bottom w:val="single" w:sz="4" w:space="0" w:color="auto"/>
              <w:right w:val="single" w:sz="4" w:space="0" w:color="auto"/>
            </w:tcBorders>
            <w:shd w:val="clear" w:color="auto" w:fill="auto"/>
            <w:noWrap/>
            <w:vAlign w:val="bottom"/>
            <w:hideMark/>
          </w:tcPr>
          <w:p w14:paraId="38148E93"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91.67</w:t>
            </w:r>
          </w:p>
        </w:tc>
        <w:tc>
          <w:tcPr>
            <w:tcW w:w="620" w:type="dxa"/>
            <w:tcBorders>
              <w:top w:val="nil"/>
              <w:left w:val="nil"/>
              <w:bottom w:val="single" w:sz="4" w:space="0" w:color="auto"/>
              <w:right w:val="single" w:sz="4" w:space="0" w:color="auto"/>
            </w:tcBorders>
            <w:shd w:val="clear" w:color="auto" w:fill="auto"/>
            <w:noWrap/>
            <w:vAlign w:val="bottom"/>
            <w:hideMark/>
          </w:tcPr>
          <w:p w14:paraId="07AE6C15"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209</w:t>
            </w:r>
          </w:p>
        </w:tc>
        <w:tc>
          <w:tcPr>
            <w:tcW w:w="660" w:type="dxa"/>
            <w:tcBorders>
              <w:top w:val="nil"/>
              <w:left w:val="nil"/>
              <w:bottom w:val="single" w:sz="4" w:space="0" w:color="auto"/>
              <w:right w:val="single" w:sz="4" w:space="0" w:color="auto"/>
            </w:tcBorders>
            <w:shd w:val="clear" w:color="auto" w:fill="auto"/>
            <w:noWrap/>
            <w:vAlign w:val="bottom"/>
            <w:hideMark/>
          </w:tcPr>
          <w:p w14:paraId="49750A77"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91.67</w:t>
            </w:r>
          </w:p>
        </w:tc>
      </w:tr>
      <w:tr w:rsidR="006079E2" w:rsidRPr="006079E2" w14:paraId="13434C9B" w14:textId="77777777" w:rsidTr="006807F5">
        <w:trPr>
          <w:trHeight w:val="9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E6D519A"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4</w:t>
            </w:r>
          </w:p>
        </w:tc>
        <w:tc>
          <w:tcPr>
            <w:tcW w:w="2020" w:type="dxa"/>
            <w:tcBorders>
              <w:top w:val="nil"/>
              <w:left w:val="nil"/>
              <w:bottom w:val="single" w:sz="4" w:space="0" w:color="auto"/>
              <w:right w:val="single" w:sz="4" w:space="0" w:color="auto"/>
            </w:tcBorders>
            <w:shd w:val="clear" w:color="auto" w:fill="auto"/>
            <w:vAlign w:val="bottom"/>
            <w:hideMark/>
          </w:tcPr>
          <w:p w14:paraId="12E04056" w14:textId="77777777" w:rsidR="006079E2" w:rsidRPr="006079E2" w:rsidRDefault="006079E2" w:rsidP="006079E2">
            <w:pPr>
              <w:spacing w:after="0" w:line="240" w:lineRule="auto"/>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Gūžas locītavas endoprotezēšana, t.sk. ar konsīlija slēdzienu</w:t>
            </w:r>
          </w:p>
        </w:tc>
        <w:tc>
          <w:tcPr>
            <w:tcW w:w="760" w:type="dxa"/>
            <w:tcBorders>
              <w:top w:val="nil"/>
              <w:left w:val="nil"/>
              <w:bottom w:val="single" w:sz="4" w:space="0" w:color="auto"/>
              <w:right w:val="single" w:sz="4" w:space="0" w:color="auto"/>
            </w:tcBorders>
            <w:shd w:val="clear" w:color="auto" w:fill="auto"/>
            <w:noWrap/>
            <w:vAlign w:val="bottom"/>
            <w:hideMark/>
          </w:tcPr>
          <w:p w14:paraId="4010F058"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7442</w:t>
            </w:r>
          </w:p>
        </w:tc>
        <w:tc>
          <w:tcPr>
            <w:tcW w:w="780" w:type="dxa"/>
            <w:tcBorders>
              <w:top w:val="nil"/>
              <w:left w:val="nil"/>
              <w:bottom w:val="single" w:sz="4" w:space="0" w:color="auto"/>
              <w:right w:val="single" w:sz="4" w:space="0" w:color="auto"/>
            </w:tcBorders>
            <w:shd w:val="clear" w:color="auto" w:fill="auto"/>
            <w:noWrap/>
            <w:vAlign w:val="bottom"/>
            <w:hideMark/>
          </w:tcPr>
          <w:p w14:paraId="64E13649"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3572</w:t>
            </w:r>
          </w:p>
        </w:tc>
        <w:tc>
          <w:tcPr>
            <w:tcW w:w="740" w:type="dxa"/>
            <w:tcBorders>
              <w:top w:val="nil"/>
              <w:left w:val="nil"/>
              <w:bottom w:val="single" w:sz="4" w:space="0" w:color="auto"/>
              <w:right w:val="single" w:sz="4" w:space="0" w:color="auto"/>
            </w:tcBorders>
            <w:shd w:val="clear" w:color="auto" w:fill="auto"/>
            <w:noWrap/>
            <w:vAlign w:val="bottom"/>
            <w:hideMark/>
          </w:tcPr>
          <w:p w14:paraId="2EEC71F3"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3870</w:t>
            </w:r>
          </w:p>
        </w:tc>
        <w:tc>
          <w:tcPr>
            <w:tcW w:w="640" w:type="dxa"/>
            <w:tcBorders>
              <w:top w:val="nil"/>
              <w:left w:val="nil"/>
              <w:bottom w:val="single" w:sz="4" w:space="0" w:color="auto"/>
              <w:right w:val="single" w:sz="4" w:space="0" w:color="auto"/>
            </w:tcBorders>
            <w:shd w:val="clear" w:color="auto" w:fill="auto"/>
            <w:noWrap/>
            <w:vAlign w:val="bottom"/>
            <w:hideMark/>
          </w:tcPr>
          <w:p w14:paraId="3FDC528A"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560" w:type="dxa"/>
            <w:tcBorders>
              <w:top w:val="nil"/>
              <w:left w:val="nil"/>
              <w:bottom w:val="single" w:sz="4" w:space="0" w:color="auto"/>
              <w:right w:val="single" w:sz="4" w:space="0" w:color="auto"/>
            </w:tcBorders>
            <w:shd w:val="clear" w:color="auto" w:fill="auto"/>
            <w:noWrap/>
            <w:vAlign w:val="bottom"/>
            <w:hideMark/>
          </w:tcPr>
          <w:p w14:paraId="02575B1E"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0.00</w:t>
            </w:r>
          </w:p>
        </w:tc>
        <w:tc>
          <w:tcPr>
            <w:tcW w:w="580" w:type="dxa"/>
            <w:tcBorders>
              <w:top w:val="nil"/>
              <w:left w:val="nil"/>
              <w:bottom w:val="single" w:sz="4" w:space="0" w:color="auto"/>
              <w:right w:val="single" w:sz="4" w:space="0" w:color="auto"/>
            </w:tcBorders>
            <w:shd w:val="clear" w:color="auto" w:fill="auto"/>
            <w:noWrap/>
            <w:vAlign w:val="bottom"/>
            <w:hideMark/>
          </w:tcPr>
          <w:p w14:paraId="6C4F3F59"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690</w:t>
            </w:r>
          </w:p>
        </w:tc>
        <w:tc>
          <w:tcPr>
            <w:tcW w:w="640" w:type="dxa"/>
            <w:tcBorders>
              <w:top w:val="nil"/>
              <w:left w:val="nil"/>
              <w:bottom w:val="single" w:sz="4" w:space="0" w:color="auto"/>
              <w:right w:val="single" w:sz="4" w:space="0" w:color="auto"/>
            </w:tcBorders>
            <w:shd w:val="clear" w:color="auto" w:fill="auto"/>
            <w:noWrap/>
            <w:vAlign w:val="bottom"/>
            <w:hideMark/>
          </w:tcPr>
          <w:p w14:paraId="373E350B"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17.83</w:t>
            </w:r>
          </w:p>
        </w:tc>
        <w:tc>
          <w:tcPr>
            <w:tcW w:w="640" w:type="dxa"/>
            <w:tcBorders>
              <w:top w:val="nil"/>
              <w:left w:val="nil"/>
              <w:bottom w:val="single" w:sz="4" w:space="0" w:color="auto"/>
              <w:right w:val="single" w:sz="4" w:space="0" w:color="auto"/>
            </w:tcBorders>
            <w:shd w:val="clear" w:color="auto" w:fill="auto"/>
            <w:noWrap/>
            <w:vAlign w:val="bottom"/>
            <w:hideMark/>
          </w:tcPr>
          <w:p w14:paraId="6885AD34"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1290</w:t>
            </w:r>
          </w:p>
        </w:tc>
        <w:tc>
          <w:tcPr>
            <w:tcW w:w="600" w:type="dxa"/>
            <w:tcBorders>
              <w:top w:val="nil"/>
              <w:left w:val="nil"/>
              <w:bottom w:val="single" w:sz="4" w:space="0" w:color="auto"/>
              <w:right w:val="single" w:sz="4" w:space="0" w:color="auto"/>
            </w:tcBorders>
            <w:shd w:val="clear" w:color="auto" w:fill="auto"/>
            <w:noWrap/>
            <w:vAlign w:val="bottom"/>
            <w:hideMark/>
          </w:tcPr>
          <w:p w14:paraId="6B52854C"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33.33</w:t>
            </w:r>
          </w:p>
        </w:tc>
        <w:tc>
          <w:tcPr>
            <w:tcW w:w="620" w:type="dxa"/>
            <w:tcBorders>
              <w:top w:val="nil"/>
              <w:left w:val="nil"/>
              <w:bottom w:val="single" w:sz="4" w:space="0" w:color="auto"/>
              <w:right w:val="single" w:sz="4" w:space="0" w:color="auto"/>
            </w:tcBorders>
            <w:shd w:val="clear" w:color="auto" w:fill="auto"/>
            <w:noWrap/>
            <w:vAlign w:val="bottom"/>
            <w:hideMark/>
          </w:tcPr>
          <w:p w14:paraId="57D0938B"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1830</w:t>
            </w:r>
          </w:p>
        </w:tc>
        <w:tc>
          <w:tcPr>
            <w:tcW w:w="660" w:type="dxa"/>
            <w:tcBorders>
              <w:top w:val="nil"/>
              <w:left w:val="nil"/>
              <w:bottom w:val="single" w:sz="4" w:space="0" w:color="auto"/>
              <w:right w:val="single" w:sz="4" w:space="0" w:color="auto"/>
            </w:tcBorders>
            <w:shd w:val="clear" w:color="auto" w:fill="auto"/>
            <w:noWrap/>
            <w:vAlign w:val="bottom"/>
            <w:hideMark/>
          </w:tcPr>
          <w:p w14:paraId="77B91ABA"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47.29</w:t>
            </w:r>
          </w:p>
        </w:tc>
      </w:tr>
      <w:tr w:rsidR="006079E2" w:rsidRPr="006079E2" w14:paraId="50EFF7F3" w14:textId="77777777" w:rsidTr="006807F5">
        <w:trPr>
          <w:trHeight w:val="9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7DE93AD"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5</w:t>
            </w:r>
          </w:p>
        </w:tc>
        <w:tc>
          <w:tcPr>
            <w:tcW w:w="2020" w:type="dxa"/>
            <w:tcBorders>
              <w:top w:val="nil"/>
              <w:left w:val="nil"/>
              <w:bottom w:val="single" w:sz="4" w:space="0" w:color="auto"/>
              <w:right w:val="single" w:sz="4" w:space="0" w:color="auto"/>
            </w:tcBorders>
            <w:shd w:val="clear" w:color="auto" w:fill="auto"/>
            <w:vAlign w:val="bottom"/>
            <w:hideMark/>
          </w:tcPr>
          <w:p w14:paraId="50D4249F" w14:textId="77777777" w:rsidR="006079E2" w:rsidRPr="006079E2" w:rsidRDefault="006079E2" w:rsidP="006079E2">
            <w:pPr>
              <w:spacing w:after="0" w:line="240" w:lineRule="auto"/>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Gūžas locītavas endoprotezēšana ar 50 % apmaksu</w:t>
            </w:r>
          </w:p>
        </w:tc>
        <w:tc>
          <w:tcPr>
            <w:tcW w:w="760" w:type="dxa"/>
            <w:tcBorders>
              <w:top w:val="nil"/>
              <w:left w:val="nil"/>
              <w:bottom w:val="single" w:sz="4" w:space="0" w:color="auto"/>
              <w:right w:val="single" w:sz="4" w:space="0" w:color="auto"/>
            </w:tcBorders>
            <w:shd w:val="clear" w:color="auto" w:fill="auto"/>
            <w:noWrap/>
            <w:vAlign w:val="bottom"/>
            <w:hideMark/>
          </w:tcPr>
          <w:p w14:paraId="758DBA41"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345</w:t>
            </w:r>
          </w:p>
        </w:tc>
        <w:tc>
          <w:tcPr>
            <w:tcW w:w="780" w:type="dxa"/>
            <w:tcBorders>
              <w:top w:val="nil"/>
              <w:left w:val="nil"/>
              <w:bottom w:val="single" w:sz="4" w:space="0" w:color="auto"/>
              <w:right w:val="single" w:sz="4" w:space="0" w:color="auto"/>
            </w:tcBorders>
            <w:shd w:val="clear" w:color="auto" w:fill="auto"/>
            <w:noWrap/>
            <w:vAlign w:val="bottom"/>
            <w:hideMark/>
          </w:tcPr>
          <w:p w14:paraId="592F4F4A"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740" w:type="dxa"/>
            <w:tcBorders>
              <w:top w:val="nil"/>
              <w:left w:val="nil"/>
              <w:bottom w:val="single" w:sz="4" w:space="0" w:color="auto"/>
              <w:right w:val="single" w:sz="4" w:space="0" w:color="auto"/>
            </w:tcBorders>
            <w:shd w:val="clear" w:color="auto" w:fill="auto"/>
            <w:noWrap/>
            <w:vAlign w:val="bottom"/>
            <w:hideMark/>
          </w:tcPr>
          <w:p w14:paraId="0701B782"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345</w:t>
            </w:r>
          </w:p>
        </w:tc>
        <w:tc>
          <w:tcPr>
            <w:tcW w:w="640" w:type="dxa"/>
            <w:tcBorders>
              <w:top w:val="nil"/>
              <w:left w:val="nil"/>
              <w:bottom w:val="single" w:sz="4" w:space="0" w:color="auto"/>
              <w:right w:val="single" w:sz="4" w:space="0" w:color="auto"/>
            </w:tcBorders>
            <w:shd w:val="clear" w:color="auto" w:fill="auto"/>
            <w:noWrap/>
            <w:vAlign w:val="bottom"/>
            <w:hideMark/>
          </w:tcPr>
          <w:p w14:paraId="67E99FBC"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560" w:type="dxa"/>
            <w:tcBorders>
              <w:top w:val="nil"/>
              <w:left w:val="nil"/>
              <w:bottom w:val="single" w:sz="4" w:space="0" w:color="auto"/>
              <w:right w:val="single" w:sz="4" w:space="0" w:color="auto"/>
            </w:tcBorders>
            <w:shd w:val="clear" w:color="auto" w:fill="auto"/>
            <w:noWrap/>
            <w:vAlign w:val="bottom"/>
            <w:hideMark/>
          </w:tcPr>
          <w:p w14:paraId="08A1E144"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0.00</w:t>
            </w:r>
          </w:p>
        </w:tc>
        <w:tc>
          <w:tcPr>
            <w:tcW w:w="580" w:type="dxa"/>
            <w:tcBorders>
              <w:top w:val="nil"/>
              <w:left w:val="nil"/>
              <w:bottom w:val="single" w:sz="4" w:space="0" w:color="auto"/>
              <w:right w:val="single" w:sz="4" w:space="0" w:color="auto"/>
            </w:tcBorders>
            <w:shd w:val="clear" w:color="auto" w:fill="auto"/>
            <w:noWrap/>
            <w:vAlign w:val="bottom"/>
            <w:hideMark/>
          </w:tcPr>
          <w:p w14:paraId="454BABBE"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120</w:t>
            </w:r>
          </w:p>
        </w:tc>
        <w:tc>
          <w:tcPr>
            <w:tcW w:w="640" w:type="dxa"/>
            <w:tcBorders>
              <w:top w:val="nil"/>
              <w:left w:val="nil"/>
              <w:bottom w:val="single" w:sz="4" w:space="0" w:color="auto"/>
              <w:right w:val="single" w:sz="4" w:space="0" w:color="auto"/>
            </w:tcBorders>
            <w:shd w:val="clear" w:color="auto" w:fill="auto"/>
            <w:noWrap/>
            <w:vAlign w:val="bottom"/>
            <w:hideMark/>
          </w:tcPr>
          <w:p w14:paraId="03088127"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34.78</w:t>
            </w:r>
          </w:p>
        </w:tc>
        <w:tc>
          <w:tcPr>
            <w:tcW w:w="640" w:type="dxa"/>
            <w:tcBorders>
              <w:top w:val="nil"/>
              <w:left w:val="nil"/>
              <w:bottom w:val="single" w:sz="4" w:space="0" w:color="auto"/>
              <w:right w:val="single" w:sz="4" w:space="0" w:color="auto"/>
            </w:tcBorders>
            <w:shd w:val="clear" w:color="auto" w:fill="auto"/>
            <w:noWrap/>
            <w:vAlign w:val="bottom"/>
            <w:hideMark/>
          </w:tcPr>
          <w:p w14:paraId="784F6292"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160</w:t>
            </w:r>
          </w:p>
        </w:tc>
        <w:tc>
          <w:tcPr>
            <w:tcW w:w="600" w:type="dxa"/>
            <w:tcBorders>
              <w:top w:val="nil"/>
              <w:left w:val="nil"/>
              <w:bottom w:val="single" w:sz="4" w:space="0" w:color="auto"/>
              <w:right w:val="single" w:sz="4" w:space="0" w:color="auto"/>
            </w:tcBorders>
            <w:shd w:val="clear" w:color="auto" w:fill="auto"/>
            <w:noWrap/>
            <w:vAlign w:val="bottom"/>
            <w:hideMark/>
          </w:tcPr>
          <w:p w14:paraId="18857E18"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46.38</w:t>
            </w:r>
          </w:p>
        </w:tc>
        <w:tc>
          <w:tcPr>
            <w:tcW w:w="620" w:type="dxa"/>
            <w:tcBorders>
              <w:top w:val="nil"/>
              <w:left w:val="nil"/>
              <w:bottom w:val="single" w:sz="4" w:space="0" w:color="auto"/>
              <w:right w:val="single" w:sz="4" w:space="0" w:color="auto"/>
            </w:tcBorders>
            <w:shd w:val="clear" w:color="auto" w:fill="auto"/>
            <w:noWrap/>
            <w:vAlign w:val="bottom"/>
            <w:hideMark/>
          </w:tcPr>
          <w:p w14:paraId="54431D48"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240</w:t>
            </w:r>
          </w:p>
        </w:tc>
        <w:tc>
          <w:tcPr>
            <w:tcW w:w="660" w:type="dxa"/>
            <w:tcBorders>
              <w:top w:val="nil"/>
              <w:left w:val="nil"/>
              <w:bottom w:val="single" w:sz="4" w:space="0" w:color="auto"/>
              <w:right w:val="single" w:sz="4" w:space="0" w:color="auto"/>
            </w:tcBorders>
            <w:shd w:val="clear" w:color="auto" w:fill="auto"/>
            <w:noWrap/>
            <w:vAlign w:val="bottom"/>
            <w:hideMark/>
          </w:tcPr>
          <w:p w14:paraId="2DC746B2"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69.57</w:t>
            </w:r>
          </w:p>
        </w:tc>
      </w:tr>
      <w:tr w:rsidR="006079E2" w:rsidRPr="006079E2" w14:paraId="12DE31C7" w14:textId="77777777" w:rsidTr="006807F5">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1080497"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6</w:t>
            </w:r>
          </w:p>
        </w:tc>
        <w:tc>
          <w:tcPr>
            <w:tcW w:w="2020" w:type="dxa"/>
            <w:tcBorders>
              <w:top w:val="nil"/>
              <w:left w:val="nil"/>
              <w:bottom w:val="single" w:sz="4" w:space="0" w:color="auto"/>
              <w:right w:val="single" w:sz="4" w:space="0" w:color="auto"/>
            </w:tcBorders>
            <w:shd w:val="clear" w:color="auto" w:fill="auto"/>
            <w:vAlign w:val="bottom"/>
            <w:hideMark/>
          </w:tcPr>
          <w:p w14:paraId="4BA4CA21" w14:textId="77777777" w:rsidR="006079E2" w:rsidRPr="006079E2" w:rsidRDefault="006079E2" w:rsidP="006079E2">
            <w:pPr>
              <w:spacing w:after="0" w:line="240" w:lineRule="auto"/>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Plecu locītavas endoprotezēšana</w:t>
            </w:r>
          </w:p>
        </w:tc>
        <w:tc>
          <w:tcPr>
            <w:tcW w:w="760" w:type="dxa"/>
            <w:tcBorders>
              <w:top w:val="nil"/>
              <w:left w:val="nil"/>
              <w:bottom w:val="single" w:sz="4" w:space="0" w:color="auto"/>
              <w:right w:val="single" w:sz="4" w:space="0" w:color="auto"/>
            </w:tcBorders>
            <w:shd w:val="clear" w:color="auto" w:fill="auto"/>
            <w:noWrap/>
            <w:vAlign w:val="bottom"/>
            <w:hideMark/>
          </w:tcPr>
          <w:p w14:paraId="0BEB3373"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684</w:t>
            </w:r>
          </w:p>
        </w:tc>
        <w:tc>
          <w:tcPr>
            <w:tcW w:w="780" w:type="dxa"/>
            <w:tcBorders>
              <w:top w:val="nil"/>
              <w:left w:val="nil"/>
              <w:bottom w:val="single" w:sz="4" w:space="0" w:color="auto"/>
              <w:right w:val="single" w:sz="4" w:space="0" w:color="auto"/>
            </w:tcBorders>
            <w:shd w:val="clear" w:color="auto" w:fill="auto"/>
            <w:noWrap/>
            <w:vAlign w:val="bottom"/>
            <w:hideMark/>
          </w:tcPr>
          <w:p w14:paraId="592185FD"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740" w:type="dxa"/>
            <w:tcBorders>
              <w:top w:val="nil"/>
              <w:left w:val="nil"/>
              <w:bottom w:val="single" w:sz="4" w:space="0" w:color="auto"/>
              <w:right w:val="single" w:sz="4" w:space="0" w:color="auto"/>
            </w:tcBorders>
            <w:shd w:val="clear" w:color="auto" w:fill="auto"/>
            <w:noWrap/>
            <w:vAlign w:val="bottom"/>
            <w:hideMark/>
          </w:tcPr>
          <w:p w14:paraId="761E1220"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684</w:t>
            </w:r>
          </w:p>
        </w:tc>
        <w:tc>
          <w:tcPr>
            <w:tcW w:w="640" w:type="dxa"/>
            <w:tcBorders>
              <w:top w:val="nil"/>
              <w:left w:val="nil"/>
              <w:bottom w:val="single" w:sz="4" w:space="0" w:color="auto"/>
              <w:right w:val="single" w:sz="4" w:space="0" w:color="auto"/>
            </w:tcBorders>
            <w:shd w:val="clear" w:color="auto" w:fill="auto"/>
            <w:noWrap/>
            <w:vAlign w:val="bottom"/>
            <w:hideMark/>
          </w:tcPr>
          <w:p w14:paraId="7AAA3FF2"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560" w:type="dxa"/>
            <w:tcBorders>
              <w:top w:val="nil"/>
              <w:left w:val="nil"/>
              <w:bottom w:val="single" w:sz="4" w:space="0" w:color="auto"/>
              <w:right w:val="single" w:sz="4" w:space="0" w:color="auto"/>
            </w:tcBorders>
            <w:shd w:val="clear" w:color="auto" w:fill="auto"/>
            <w:noWrap/>
            <w:vAlign w:val="bottom"/>
            <w:hideMark/>
          </w:tcPr>
          <w:p w14:paraId="70641D86"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0.00</w:t>
            </w:r>
          </w:p>
        </w:tc>
        <w:tc>
          <w:tcPr>
            <w:tcW w:w="580" w:type="dxa"/>
            <w:tcBorders>
              <w:top w:val="nil"/>
              <w:left w:val="nil"/>
              <w:bottom w:val="single" w:sz="4" w:space="0" w:color="auto"/>
              <w:right w:val="single" w:sz="4" w:space="0" w:color="auto"/>
            </w:tcBorders>
            <w:shd w:val="clear" w:color="auto" w:fill="auto"/>
            <w:noWrap/>
            <w:vAlign w:val="bottom"/>
            <w:hideMark/>
          </w:tcPr>
          <w:p w14:paraId="4BCD8C33"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190</w:t>
            </w:r>
          </w:p>
        </w:tc>
        <w:tc>
          <w:tcPr>
            <w:tcW w:w="640" w:type="dxa"/>
            <w:tcBorders>
              <w:top w:val="nil"/>
              <w:left w:val="nil"/>
              <w:bottom w:val="single" w:sz="4" w:space="0" w:color="auto"/>
              <w:right w:val="single" w:sz="4" w:space="0" w:color="auto"/>
            </w:tcBorders>
            <w:shd w:val="clear" w:color="auto" w:fill="auto"/>
            <w:noWrap/>
            <w:vAlign w:val="bottom"/>
            <w:hideMark/>
          </w:tcPr>
          <w:p w14:paraId="2788575F"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27.78</w:t>
            </w:r>
          </w:p>
        </w:tc>
        <w:tc>
          <w:tcPr>
            <w:tcW w:w="640" w:type="dxa"/>
            <w:tcBorders>
              <w:top w:val="nil"/>
              <w:left w:val="nil"/>
              <w:bottom w:val="single" w:sz="4" w:space="0" w:color="auto"/>
              <w:right w:val="single" w:sz="4" w:space="0" w:color="auto"/>
            </w:tcBorders>
            <w:shd w:val="clear" w:color="auto" w:fill="auto"/>
            <w:noWrap/>
            <w:vAlign w:val="bottom"/>
            <w:hideMark/>
          </w:tcPr>
          <w:p w14:paraId="348C9EFF"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270</w:t>
            </w:r>
          </w:p>
        </w:tc>
        <w:tc>
          <w:tcPr>
            <w:tcW w:w="600" w:type="dxa"/>
            <w:tcBorders>
              <w:top w:val="nil"/>
              <w:left w:val="nil"/>
              <w:bottom w:val="single" w:sz="4" w:space="0" w:color="auto"/>
              <w:right w:val="single" w:sz="4" w:space="0" w:color="auto"/>
            </w:tcBorders>
            <w:shd w:val="clear" w:color="auto" w:fill="auto"/>
            <w:noWrap/>
            <w:vAlign w:val="bottom"/>
            <w:hideMark/>
          </w:tcPr>
          <w:p w14:paraId="11BC5B0E"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39.47</w:t>
            </w:r>
          </w:p>
        </w:tc>
        <w:tc>
          <w:tcPr>
            <w:tcW w:w="620" w:type="dxa"/>
            <w:tcBorders>
              <w:top w:val="nil"/>
              <w:left w:val="nil"/>
              <w:bottom w:val="single" w:sz="4" w:space="0" w:color="auto"/>
              <w:right w:val="single" w:sz="4" w:space="0" w:color="auto"/>
            </w:tcBorders>
            <w:shd w:val="clear" w:color="auto" w:fill="auto"/>
            <w:noWrap/>
            <w:vAlign w:val="bottom"/>
            <w:hideMark/>
          </w:tcPr>
          <w:p w14:paraId="01FDE754"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370</w:t>
            </w:r>
          </w:p>
        </w:tc>
        <w:tc>
          <w:tcPr>
            <w:tcW w:w="660" w:type="dxa"/>
            <w:tcBorders>
              <w:top w:val="nil"/>
              <w:left w:val="nil"/>
              <w:bottom w:val="single" w:sz="4" w:space="0" w:color="auto"/>
              <w:right w:val="single" w:sz="4" w:space="0" w:color="auto"/>
            </w:tcBorders>
            <w:shd w:val="clear" w:color="auto" w:fill="auto"/>
            <w:noWrap/>
            <w:vAlign w:val="bottom"/>
            <w:hideMark/>
          </w:tcPr>
          <w:p w14:paraId="04A040AF"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54.09</w:t>
            </w:r>
          </w:p>
        </w:tc>
      </w:tr>
      <w:tr w:rsidR="006079E2" w:rsidRPr="006079E2" w14:paraId="449F3618" w14:textId="77777777" w:rsidTr="006807F5">
        <w:trPr>
          <w:trHeight w:val="9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1284C3D"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lastRenderedPageBreak/>
              <w:t>7</w:t>
            </w:r>
          </w:p>
        </w:tc>
        <w:tc>
          <w:tcPr>
            <w:tcW w:w="2020" w:type="dxa"/>
            <w:tcBorders>
              <w:top w:val="nil"/>
              <w:left w:val="nil"/>
              <w:bottom w:val="single" w:sz="4" w:space="0" w:color="auto"/>
              <w:right w:val="single" w:sz="4" w:space="0" w:color="auto"/>
            </w:tcBorders>
            <w:shd w:val="clear" w:color="auto" w:fill="auto"/>
            <w:vAlign w:val="bottom"/>
            <w:hideMark/>
          </w:tcPr>
          <w:p w14:paraId="3201B084" w14:textId="77777777" w:rsidR="006079E2" w:rsidRPr="006079E2" w:rsidRDefault="006079E2" w:rsidP="006079E2">
            <w:pPr>
              <w:spacing w:after="0" w:line="240" w:lineRule="auto"/>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Plecu locītavas endoprotezēšana ar 50 % apmaksu</w:t>
            </w:r>
          </w:p>
        </w:tc>
        <w:tc>
          <w:tcPr>
            <w:tcW w:w="760" w:type="dxa"/>
            <w:tcBorders>
              <w:top w:val="nil"/>
              <w:left w:val="nil"/>
              <w:bottom w:val="single" w:sz="4" w:space="0" w:color="auto"/>
              <w:right w:val="single" w:sz="4" w:space="0" w:color="auto"/>
            </w:tcBorders>
            <w:shd w:val="clear" w:color="auto" w:fill="auto"/>
            <w:noWrap/>
            <w:vAlign w:val="bottom"/>
            <w:hideMark/>
          </w:tcPr>
          <w:p w14:paraId="05DD8CDA"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5</w:t>
            </w:r>
          </w:p>
        </w:tc>
        <w:tc>
          <w:tcPr>
            <w:tcW w:w="780" w:type="dxa"/>
            <w:tcBorders>
              <w:top w:val="nil"/>
              <w:left w:val="nil"/>
              <w:bottom w:val="single" w:sz="4" w:space="0" w:color="auto"/>
              <w:right w:val="single" w:sz="4" w:space="0" w:color="auto"/>
            </w:tcBorders>
            <w:shd w:val="clear" w:color="auto" w:fill="auto"/>
            <w:noWrap/>
            <w:vAlign w:val="bottom"/>
            <w:hideMark/>
          </w:tcPr>
          <w:p w14:paraId="1F7132F5"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740" w:type="dxa"/>
            <w:tcBorders>
              <w:top w:val="nil"/>
              <w:left w:val="nil"/>
              <w:bottom w:val="single" w:sz="4" w:space="0" w:color="auto"/>
              <w:right w:val="single" w:sz="4" w:space="0" w:color="auto"/>
            </w:tcBorders>
            <w:shd w:val="clear" w:color="auto" w:fill="auto"/>
            <w:noWrap/>
            <w:vAlign w:val="bottom"/>
            <w:hideMark/>
          </w:tcPr>
          <w:p w14:paraId="54BC977A"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5</w:t>
            </w:r>
          </w:p>
        </w:tc>
        <w:tc>
          <w:tcPr>
            <w:tcW w:w="640" w:type="dxa"/>
            <w:tcBorders>
              <w:top w:val="nil"/>
              <w:left w:val="nil"/>
              <w:bottom w:val="single" w:sz="4" w:space="0" w:color="auto"/>
              <w:right w:val="single" w:sz="4" w:space="0" w:color="auto"/>
            </w:tcBorders>
            <w:shd w:val="clear" w:color="auto" w:fill="auto"/>
            <w:noWrap/>
            <w:vAlign w:val="bottom"/>
            <w:hideMark/>
          </w:tcPr>
          <w:p w14:paraId="620BFF2E"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 </w:t>
            </w:r>
          </w:p>
        </w:tc>
        <w:tc>
          <w:tcPr>
            <w:tcW w:w="560" w:type="dxa"/>
            <w:tcBorders>
              <w:top w:val="nil"/>
              <w:left w:val="nil"/>
              <w:bottom w:val="single" w:sz="4" w:space="0" w:color="auto"/>
              <w:right w:val="single" w:sz="4" w:space="0" w:color="auto"/>
            </w:tcBorders>
            <w:shd w:val="clear" w:color="auto" w:fill="auto"/>
            <w:noWrap/>
            <w:vAlign w:val="bottom"/>
            <w:hideMark/>
          </w:tcPr>
          <w:p w14:paraId="01497C14"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0.00</w:t>
            </w:r>
          </w:p>
        </w:tc>
        <w:tc>
          <w:tcPr>
            <w:tcW w:w="580" w:type="dxa"/>
            <w:tcBorders>
              <w:top w:val="nil"/>
              <w:left w:val="nil"/>
              <w:bottom w:val="single" w:sz="4" w:space="0" w:color="auto"/>
              <w:right w:val="single" w:sz="4" w:space="0" w:color="auto"/>
            </w:tcBorders>
            <w:shd w:val="clear" w:color="auto" w:fill="auto"/>
            <w:noWrap/>
            <w:vAlign w:val="bottom"/>
            <w:hideMark/>
          </w:tcPr>
          <w:p w14:paraId="7B29C21C"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w:t>
            </w:r>
          </w:p>
        </w:tc>
        <w:tc>
          <w:tcPr>
            <w:tcW w:w="640" w:type="dxa"/>
            <w:tcBorders>
              <w:top w:val="nil"/>
              <w:left w:val="nil"/>
              <w:bottom w:val="single" w:sz="4" w:space="0" w:color="auto"/>
              <w:right w:val="single" w:sz="4" w:space="0" w:color="auto"/>
            </w:tcBorders>
            <w:shd w:val="clear" w:color="auto" w:fill="auto"/>
            <w:noWrap/>
            <w:vAlign w:val="bottom"/>
            <w:hideMark/>
          </w:tcPr>
          <w:p w14:paraId="0C08AAE1"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0.00</w:t>
            </w:r>
          </w:p>
        </w:tc>
        <w:tc>
          <w:tcPr>
            <w:tcW w:w="640" w:type="dxa"/>
            <w:tcBorders>
              <w:top w:val="nil"/>
              <w:left w:val="nil"/>
              <w:bottom w:val="single" w:sz="4" w:space="0" w:color="auto"/>
              <w:right w:val="single" w:sz="4" w:space="0" w:color="auto"/>
            </w:tcBorders>
            <w:shd w:val="clear" w:color="auto" w:fill="auto"/>
            <w:noWrap/>
            <w:vAlign w:val="bottom"/>
            <w:hideMark/>
          </w:tcPr>
          <w:p w14:paraId="43903EBF"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w:t>
            </w:r>
          </w:p>
        </w:tc>
        <w:tc>
          <w:tcPr>
            <w:tcW w:w="600" w:type="dxa"/>
            <w:tcBorders>
              <w:top w:val="nil"/>
              <w:left w:val="nil"/>
              <w:bottom w:val="single" w:sz="4" w:space="0" w:color="auto"/>
              <w:right w:val="single" w:sz="4" w:space="0" w:color="auto"/>
            </w:tcBorders>
            <w:shd w:val="clear" w:color="auto" w:fill="auto"/>
            <w:noWrap/>
            <w:vAlign w:val="bottom"/>
            <w:hideMark/>
          </w:tcPr>
          <w:p w14:paraId="0FC40A65"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0.00</w:t>
            </w:r>
          </w:p>
        </w:tc>
        <w:tc>
          <w:tcPr>
            <w:tcW w:w="620" w:type="dxa"/>
            <w:tcBorders>
              <w:top w:val="nil"/>
              <w:left w:val="nil"/>
              <w:bottom w:val="single" w:sz="4" w:space="0" w:color="auto"/>
              <w:right w:val="single" w:sz="4" w:space="0" w:color="auto"/>
            </w:tcBorders>
            <w:shd w:val="clear" w:color="auto" w:fill="auto"/>
            <w:noWrap/>
            <w:vAlign w:val="bottom"/>
            <w:hideMark/>
          </w:tcPr>
          <w:p w14:paraId="6ECF7278"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w:t>
            </w:r>
          </w:p>
        </w:tc>
        <w:tc>
          <w:tcPr>
            <w:tcW w:w="660" w:type="dxa"/>
            <w:tcBorders>
              <w:top w:val="nil"/>
              <w:left w:val="nil"/>
              <w:bottom w:val="single" w:sz="4" w:space="0" w:color="auto"/>
              <w:right w:val="single" w:sz="4" w:space="0" w:color="auto"/>
            </w:tcBorders>
            <w:shd w:val="clear" w:color="auto" w:fill="auto"/>
            <w:noWrap/>
            <w:vAlign w:val="bottom"/>
            <w:hideMark/>
          </w:tcPr>
          <w:p w14:paraId="27676520" w14:textId="77777777" w:rsidR="006079E2" w:rsidRPr="006079E2" w:rsidRDefault="006079E2" w:rsidP="006079E2">
            <w:pPr>
              <w:spacing w:after="0" w:line="240" w:lineRule="auto"/>
              <w:jc w:val="center"/>
              <w:rPr>
                <w:rFonts w:ascii="Times New Roman" w:eastAsia="Times New Roman" w:hAnsi="Times New Roman" w:cs="Times New Roman"/>
                <w:color w:val="000000"/>
                <w:lang w:eastAsia="lv-LV"/>
              </w:rPr>
            </w:pPr>
            <w:r w:rsidRPr="006079E2">
              <w:rPr>
                <w:rFonts w:ascii="Times New Roman" w:eastAsia="Times New Roman" w:hAnsi="Times New Roman" w:cs="Times New Roman"/>
                <w:color w:val="000000"/>
                <w:lang w:eastAsia="lv-LV"/>
              </w:rPr>
              <w:t>0.00</w:t>
            </w:r>
          </w:p>
        </w:tc>
      </w:tr>
      <w:tr w:rsidR="006079E2" w:rsidRPr="006079E2" w14:paraId="02B9C146" w14:textId="77777777" w:rsidTr="006807F5">
        <w:trPr>
          <w:trHeight w:val="555"/>
          <w:jc w:val="center"/>
        </w:trPr>
        <w:tc>
          <w:tcPr>
            <w:tcW w:w="2480" w:type="dxa"/>
            <w:gridSpan w:val="2"/>
            <w:tcBorders>
              <w:top w:val="single" w:sz="4" w:space="0" w:color="auto"/>
              <w:left w:val="single" w:sz="4" w:space="0" w:color="auto"/>
              <w:bottom w:val="single" w:sz="4" w:space="0" w:color="auto"/>
              <w:right w:val="single" w:sz="4" w:space="0" w:color="auto"/>
            </w:tcBorders>
            <w:shd w:val="clear" w:color="000000" w:fill="F8CBAD"/>
            <w:vAlign w:val="center"/>
            <w:hideMark/>
          </w:tcPr>
          <w:p w14:paraId="2AEB1CC6" w14:textId="77777777" w:rsidR="006079E2" w:rsidRPr="006079E2" w:rsidRDefault="006079E2" w:rsidP="006079E2">
            <w:pPr>
              <w:spacing w:after="0" w:line="240" w:lineRule="auto"/>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Vidējais rindas samazinājums:</w:t>
            </w:r>
          </w:p>
        </w:tc>
        <w:tc>
          <w:tcPr>
            <w:tcW w:w="760" w:type="dxa"/>
            <w:tcBorders>
              <w:top w:val="nil"/>
              <w:left w:val="nil"/>
              <w:bottom w:val="single" w:sz="4" w:space="0" w:color="auto"/>
              <w:right w:val="single" w:sz="4" w:space="0" w:color="auto"/>
            </w:tcBorders>
            <w:shd w:val="clear" w:color="000000" w:fill="F8CBAD"/>
            <w:noWrap/>
            <w:vAlign w:val="bottom"/>
            <w:hideMark/>
          </w:tcPr>
          <w:p w14:paraId="18BB9A8B" w14:textId="77777777" w:rsidR="006079E2" w:rsidRPr="006079E2" w:rsidRDefault="006079E2" w:rsidP="006079E2">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22957</w:t>
            </w:r>
          </w:p>
        </w:tc>
        <w:tc>
          <w:tcPr>
            <w:tcW w:w="780" w:type="dxa"/>
            <w:tcBorders>
              <w:top w:val="nil"/>
              <w:left w:val="nil"/>
              <w:bottom w:val="single" w:sz="4" w:space="0" w:color="auto"/>
              <w:right w:val="single" w:sz="4" w:space="0" w:color="auto"/>
            </w:tcBorders>
            <w:shd w:val="clear" w:color="000000" w:fill="F8CBAD"/>
            <w:noWrap/>
            <w:vAlign w:val="bottom"/>
            <w:hideMark/>
          </w:tcPr>
          <w:p w14:paraId="70248C54" w14:textId="77777777" w:rsidR="006079E2" w:rsidRPr="006079E2" w:rsidRDefault="006079E2" w:rsidP="006079E2">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10224</w:t>
            </w:r>
          </w:p>
        </w:tc>
        <w:tc>
          <w:tcPr>
            <w:tcW w:w="740" w:type="dxa"/>
            <w:tcBorders>
              <w:top w:val="nil"/>
              <w:left w:val="nil"/>
              <w:bottom w:val="single" w:sz="4" w:space="0" w:color="auto"/>
              <w:right w:val="single" w:sz="4" w:space="0" w:color="auto"/>
            </w:tcBorders>
            <w:shd w:val="clear" w:color="000000" w:fill="F8CBAD"/>
            <w:noWrap/>
            <w:vAlign w:val="bottom"/>
            <w:hideMark/>
          </w:tcPr>
          <w:p w14:paraId="45285772" w14:textId="77777777" w:rsidR="006079E2" w:rsidRPr="006079E2" w:rsidRDefault="006079E2" w:rsidP="006079E2">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12733</w:t>
            </w:r>
          </w:p>
        </w:tc>
        <w:tc>
          <w:tcPr>
            <w:tcW w:w="640" w:type="dxa"/>
            <w:tcBorders>
              <w:top w:val="nil"/>
              <w:left w:val="nil"/>
              <w:bottom w:val="single" w:sz="4" w:space="0" w:color="auto"/>
              <w:right w:val="single" w:sz="4" w:space="0" w:color="auto"/>
            </w:tcBorders>
            <w:shd w:val="clear" w:color="000000" w:fill="F8CBAD"/>
            <w:noWrap/>
            <w:vAlign w:val="bottom"/>
            <w:hideMark/>
          </w:tcPr>
          <w:p w14:paraId="37AF7DAA" w14:textId="77777777" w:rsidR="006079E2" w:rsidRPr="006079E2" w:rsidRDefault="006079E2" w:rsidP="006079E2">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981</w:t>
            </w:r>
          </w:p>
        </w:tc>
        <w:tc>
          <w:tcPr>
            <w:tcW w:w="560" w:type="dxa"/>
            <w:tcBorders>
              <w:top w:val="nil"/>
              <w:left w:val="nil"/>
              <w:bottom w:val="single" w:sz="4" w:space="0" w:color="auto"/>
              <w:right w:val="single" w:sz="4" w:space="0" w:color="auto"/>
            </w:tcBorders>
            <w:shd w:val="clear" w:color="000000" w:fill="F8CBAD"/>
            <w:noWrap/>
            <w:vAlign w:val="bottom"/>
            <w:hideMark/>
          </w:tcPr>
          <w:p w14:paraId="6274C703" w14:textId="77777777" w:rsidR="006079E2" w:rsidRPr="006079E2" w:rsidRDefault="006079E2" w:rsidP="006079E2">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7.70</w:t>
            </w:r>
          </w:p>
        </w:tc>
        <w:tc>
          <w:tcPr>
            <w:tcW w:w="580" w:type="dxa"/>
            <w:tcBorders>
              <w:top w:val="nil"/>
              <w:left w:val="nil"/>
              <w:bottom w:val="single" w:sz="4" w:space="0" w:color="auto"/>
              <w:right w:val="single" w:sz="4" w:space="0" w:color="auto"/>
            </w:tcBorders>
            <w:shd w:val="clear" w:color="000000" w:fill="F8CBAD"/>
            <w:noWrap/>
            <w:vAlign w:val="bottom"/>
            <w:hideMark/>
          </w:tcPr>
          <w:p w14:paraId="35039947" w14:textId="77777777" w:rsidR="006079E2" w:rsidRPr="006079E2" w:rsidRDefault="006079E2" w:rsidP="006079E2">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3183</w:t>
            </w:r>
          </w:p>
        </w:tc>
        <w:tc>
          <w:tcPr>
            <w:tcW w:w="640" w:type="dxa"/>
            <w:tcBorders>
              <w:top w:val="nil"/>
              <w:left w:val="nil"/>
              <w:bottom w:val="single" w:sz="4" w:space="0" w:color="auto"/>
              <w:right w:val="single" w:sz="4" w:space="0" w:color="auto"/>
            </w:tcBorders>
            <w:shd w:val="clear" w:color="000000" w:fill="F8CBAD"/>
            <w:noWrap/>
            <w:vAlign w:val="bottom"/>
            <w:hideMark/>
          </w:tcPr>
          <w:p w14:paraId="661C14CE" w14:textId="77777777" w:rsidR="006079E2" w:rsidRPr="006079E2" w:rsidRDefault="006079E2" w:rsidP="006079E2">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25.00</w:t>
            </w:r>
          </w:p>
        </w:tc>
        <w:tc>
          <w:tcPr>
            <w:tcW w:w="640" w:type="dxa"/>
            <w:tcBorders>
              <w:top w:val="nil"/>
              <w:left w:val="nil"/>
              <w:bottom w:val="single" w:sz="4" w:space="0" w:color="auto"/>
              <w:right w:val="single" w:sz="4" w:space="0" w:color="auto"/>
            </w:tcBorders>
            <w:shd w:val="clear" w:color="000000" w:fill="F8CBAD"/>
            <w:noWrap/>
            <w:vAlign w:val="bottom"/>
            <w:hideMark/>
          </w:tcPr>
          <w:p w14:paraId="5E56FEC5" w14:textId="77777777" w:rsidR="006079E2" w:rsidRPr="006079E2" w:rsidRDefault="006079E2" w:rsidP="006079E2">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4457</w:t>
            </w:r>
          </w:p>
        </w:tc>
        <w:tc>
          <w:tcPr>
            <w:tcW w:w="600" w:type="dxa"/>
            <w:tcBorders>
              <w:top w:val="nil"/>
              <w:left w:val="nil"/>
              <w:bottom w:val="single" w:sz="4" w:space="0" w:color="auto"/>
              <w:right w:val="single" w:sz="4" w:space="0" w:color="auto"/>
            </w:tcBorders>
            <w:shd w:val="clear" w:color="000000" w:fill="F8CBAD"/>
            <w:noWrap/>
            <w:vAlign w:val="bottom"/>
            <w:hideMark/>
          </w:tcPr>
          <w:p w14:paraId="4A78C6E6" w14:textId="6DAFC58A" w:rsidR="006079E2" w:rsidRPr="006079E2" w:rsidRDefault="00592BC0" w:rsidP="006079E2">
            <w:pPr>
              <w:spacing w:after="0" w:line="240"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35.00</w:t>
            </w:r>
          </w:p>
        </w:tc>
        <w:tc>
          <w:tcPr>
            <w:tcW w:w="620" w:type="dxa"/>
            <w:tcBorders>
              <w:top w:val="nil"/>
              <w:left w:val="nil"/>
              <w:bottom w:val="single" w:sz="4" w:space="0" w:color="auto"/>
              <w:right w:val="single" w:sz="4" w:space="0" w:color="auto"/>
            </w:tcBorders>
            <w:shd w:val="clear" w:color="000000" w:fill="F8CBAD"/>
            <w:noWrap/>
            <w:vAlign w:val="bottom"/>
            <w:hideMark/>
          </w:tcPr>
          <w:p w14:paraId="16733EA6" w14:textId="77777777" w:rsidR="006079E2" w:rsidRPr="006079E2" w:rsidRDefault="006079E2" w:rsidP="006079E2">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6367</w:t>
            </w:r>
          </w:p>
        </w:tc>
        <w:tc>
          <w:tcPr>
            <w:tcW w:w="660" w:type="dxa"/>
            <w:tcBorders>
              <w:top w:val="nil"/>
              <w:left w:val="nil"/>
              <w:bottom w:val="single" w:sz="4" w:space="0" w:color="auto"/>
              <w:right w:val="single" w:sz="4" w:space="0" w:color="auto"/>
            </w:tcBorders>
            <w:shd w:val="clear" w:color="000000" w:fill="F8CBAD"/>
            <w:noWrap/>
            <w:vAlign w:val="bottom"/>
            <w:hideMark/>
          </w:tcPr>
          <w:p w14:paraId="5E3718A8" w14:textId="77777777" w:rsidR="006079E2" w:rsidRPr="006079E2" w:rsidRDefault="006079E2" w:rsidP="006079E2">
            <w:pPr>
              <w:spacing w:after="0" w:line="240" w:lineRule="auto"/>
              <w:jc w:val="center"/>
              <w:rPr>
                <w:rFonts w:ascii="Times New Roman" w:eastAsia="Times New Roman" w:hAnsi="Times New Roman" w:cs="Times New Roman"/>
                <w:b/>
                <w:bCs/>
                <w:color w:val="000000"/>
                <w:lang w:eastAsia="lv-LV"/>
              </w:rPr>
            </w:pPr>
            <w:r w:rsidRPr="006079E2">
              <w:rPr>
                <w:rFonts w:ascii="Times New Roman" w:eastAsia="Times New Roman" w:hAnsi="Times New Roman" w:cs="Times New Roman"/>
                <w:b/>
                <w:bCs/>
                <w:color w:val="000000"/>
                <w:lang w:eastAsia="lv-LV"/>
              </w:rPr>
              <w:t>50.00</w:t>
            </w:r>
          </w:p>
        </w:tc>
      </w:tr>
    </w:tbl>
    <w:p w14:paraId="0BC7B414" w14:textId="77777777" w:rsidR="00974974" w:rsidRPr="00992F1A" w:rsidRDefault="00974974" w:rsidP="00974974">
      <w:pPr>
        <w:rPr>
          <w:rFonts w:ascii="Times New Roman" w:hAnsi="Times New Roman" w:cs="Times New Roman"/>
          <w:b/>
          <w:bCs/>
          <w:sz w:val="24"/>
          <w:szCs w:val="24"/>
          <w:lang w:eastAsia="lv-LV"/>
        </w:rPr>
      </w:pPr>
    </w:p>
    <w:p w14:paraId="1BF46A4F" w14:textId="4944BFE0" w:rsidR="374C2729" w:rsidRPr="00D362F4" w:rsidRDefault="3C932AEC" w:rsidP="00D362F4">
      <w:pPr>
        <w:pStyle w:val="NoSpacing"/>
        <w:ind w:firstLine="709"/>
        <w:jc w:val="both"/>
        <w:rPr>
          <w:rFonts w:ascii="Times New Roman" w:hAnsi="Times New Roman" w:cs="Times New Roman"/>
          <w:sz w:val="20"/>
          <w:szCs w:val="20"/>
        </w:rPr>
      </w:pPr>
      <w:r w:rsidRPr="00D362F4">
        <w:rPr>
          <w:rFonts w:ascii="Times New Roman" w:hAnsi="Times New Roman" w:cs="Times New Roman"/>
          <w:sz w:val="20"/>
          <w:szCs w:val="20"/>
          <w:lang w:eastAsia="lv-LV"/>
        </w:rPr>
        <w:t>*</w:t>
      </w:r>
      <w:r w:rsidR="51F36477" w:rsidRPr="00D362F4">
        <w:rPr>
          <w:rFonts w:ascii="Times New Roman" w:hAnsi="Times New Roman" w:cs="Times New Roman"/>
          <w:sz w:val="20"/>
          <w:szCs w:val="20"/>
          <w:lang w:eastAsia="lv-LV"/>
        </w:rPr>
        <w:t xml:space="preserve">Atbirums uz plānveida operācijām endoprotezēšanā noteikts </w:t>
      </w:r>
      <w:r w:rsidR="54FD3951" w:rsidRPr="00D362F4">
        <w:rPr>
          <w:rFonts w:ascii="Times New Roman" w:hAnsi="Times New Roman" w:cs="Times New Roman"/>
          <w:sz w:val="20"/>
          <w:szCs w:val="20"/>
          <w:lang w:eastAsia="lv-LV"/>
        </w:rPr>
        <w:t>48</w:t>
      </w:r>
      <w:r w:rsidR="51F36477" w:rsidRPr="00D362F4">
        <w:rPr>
          <w:rFonts w:ascii="Times New Roman" w:hAnsi="Times New Roman" w:cs="Times New Roman"/>
          <w:sz w:val="20"/>
          <w:szCs w:val="20"/>
          <w:lang w:eastAsia="lv-LV"/>
        </w:rPr>
        <w:t xml:space="preserve"> % apmērā, ņemot vērā  </w:t>
      </w:r>
      <w:r w:rsidR="723CB2D6" w:rsidRPr="00D362F4">
        <w:rPr>
          <w:rFonts w:ascii="Times New Roman" w:hAnsi="Times New Roman" w:cs="Times New Roman"/>
          <w:sz w:val="20"/>
          <w:szCs w:val="20"/>
        </w:rPr>
        <w:t>Traumatoloģijas un ortopēdijas slimnīca</w:t>
      </w:r>
      <w:r w:rsidR="7EC72F27" w:rsidRPr="00D362F4">
        <w:rPr>
          <w:rFonts w:ascii="Times New Roman" w:hAnsi="Times New Roman" w:cs="Times New Roman"/>
          <w:sz w:val="20"/>
          <w:szCs w:val="20"/>
        </w:rPr>
        <w:t xml:space="preserve">s </w:t>
      </w:r>
      <w:r w:rsidRPr="00D362F4">
        <w:rPr>
          <w:rFonts w:ascii="Times New Roman" w:hAnsi="Times New Roman" w:cs="Times New Roman"/>
          <w:sz w:val="20"/>
          <w:szCs w:val="20"/>
        </w:rPr>
        <w:t xml:space="preserve">sniegto </w:t>
      </w:r>
      <w:r w:rsidR="7EC72F27" w:rsidRPr="00D362F4">
        <w:rPr>
          <w:rFonts w:ascii="Times New Roman" w:hAnsi="Times New Roman" w:cs="Times New Roman"/>
          <w:sz w:val="20"/>
          <w:szCs w:val="20"/>
        </w:rPr>
        <w:t>izvērtējumu at</w:t>
      </w:r>
      <w:r w:rsidR="2E2BC297" w:rsidRPr="00D362F4">
        <w:rPr>
          <w:rFonts w:ascii="Times New Roman" w:hAnsi="Times New Roman" w:cs="Times New Roman"/>
          <w:sz w:val="20"/>
          <w:szCs w:val="20"/>
        </w:rPr>
        <w:t xml:space="preserve">tiecībā uz </w:t>
      </w:r>
      <w:r w:rsidR="7EC72F27" w:rsidRPr="00D362F4">
        <w:rPr>
          <w:rFonts w:ascii="Times New Roman" w:hAnsi="Times New Roman" w:cs="Times New Roman"/>
          <w:sz w:val="20"/>
          <w:szCs w:val="20"/>
        </w:rPr>
        <w:t xml:space="preserve"> uzaicināto un </w:t>
      </w:r>
      <w:r w:rsidR="780A8F57" w:rsidRPr="00D362F4">
        <w:rPr>
          <w:rFonts w:ascii="Times New Roman" w:hAnsi="Times New Roman" w:cs="Times New Roman"/>
          <w:sz w:val="20"/>
          <w:szCs w:val="20"/>
        </w:rPr>
        <w:t>apstiprinoš</w:t>
      </w:r>
      <w:r w:rsidR="2E2BC297" w:rsidRPr="00D362F4">
        <w:rPr>
          <w:rFonts w:ascii="Times New Roman" w:hAnsi="Times New Roman" w:cs="Times New Roman"/>
          <w:sz w:val="20"/>
          <w:szCs w:val="20"/>
        </w:rPr>
        <w:t>u</w:t>
      </w:r>
      <w:r w:rsidR="780A8F57" w:rsidRPr="00D362F4">
        <w:rPr>
          <w:rFonts w:ascii="Times New Roman" w:hAnsi="Times New Roman" w:cs="Times New Roman"/>
          <w:sz w:val="20"/>
          <w:szCs w:val="20"/>
        </w:rPr>
        <w:t xml:space="preserve"> atbildi </w:t>
      </w:r>
      <w:r w:rsidR="2E2BC297" w:rsidRPr="00D362F4">
        <w:rPr>
          <w:rFonts w:ascii="Times New Roman" w:hAnsi="Times New Roman" w:cs="Times New Roman"/>
          <w:sz w:val="20"/>
          <w:szCs w:val="20"/>
        </w:rPr>
        <w:t>saņēmušo pacientu ska</w:t>
      </w:r>
      <w:r w:rsidR="6AF3BCB0" w:rsidRPr="00D362F4">
        <w:rPr>
          <w:rFonts w:ascii="Times New Roman" w:hAnsi="Times New Roman" w:cs="Times New Roman"/>
          <w:sz w:val="20"/>
          <w:szCs w:val="20"/>
        </w:rPr>
        <w:t>itam.</w:t>
      </w:r>
      <w:r w:rsidR="21D9C7BB" w:rsidRPr="00D362F4">
        <w:rPr>
          <w:rFonts w:ascii="Times New Roman" w:hAnsi="Times New Roman" w:cs="Times New Roman"/>
          <w:sz w:val="20"/>
          <w:szCs w:val="20"/>
        </w:rPr>
        <w:t xml:space="preserve"> </w:t>
      </w:r>
    </w:p>
    <w:p w14:paraId="484CE555" w14:textId="02645643" w:rsidR="00070041" w:rsidRPr="00D362F4" w:rsidRDefault="00070041">
      <w:pPr>
        <w:ind w:firstLine="709"/>
        <w:jc w:val="right"/>
        <w:rPr>
          <w:rFonts w:ascii="Times New Roman" w:hAnsi="Times New Roman" w:cs="Times New Roman"/>
          <w:i/>
          <w:iCs/>
          <w:sz w:val="24"/>
          <w:szCs w:val="24"/>
          <w:lang w:eastAsia="lv-LV"/>
        </w:rPr>
      </w:pPr>
      <w:r w:rsidRPr="57326167">
        <w:rPr>
          <w:rFonts w:ascii="Times New Roman" w:hAnsi="Times New Roman" w:cs="Times New Roman"/>
          <w:i/>
          <w:iCs/>
          <w:sz w:val="24"/>
          <w:szCs w:val="24"/>
          <w:lang w:eastAsia="lv-LV"/>
        </w:rPr>
        <w:t>1.attēls</w:t>
      </w:r>
    </w:p>
    <w:p w14:paraId="4AD42578" w14:textId="77777777" w:rsidR="00B0439A" w:rsidRPr="00AC4D65" w:rsidRDefault="00B0439A" w:rsidP="00B0439A">
      <w:pPr>
        <w:jc w:val="center"/>
        <w:rPr>
          <w:rFonts w:ascii="Times New Roman" w:hAnsi="Times New Roman" w:cs="Times New Roman"/>
          <w:sz w:val="24"/>
          <w:szCs w:val="24"/>
          <w:lang w:eastAsia="lv-LV"/>
        </w:rPr>
      </w:pPr>
      <w:r w:rsidRPr="00AC4D65">
        <w:rPr>
          <w:rFonts w:ascii="Times New Roman" w:hAnsi="Times New Roman" w:cs="Times New Roman"/>
          <w:b/>
          <w:bCs/>
          <w:sz w:val="24"/>
          <w:szCs w:val="24"/>
          <w:lang w:eastAsia="lv-LV"/>
        </w:rPr>
        <w:t>Plānotais endoprotezēšanas rindu samazinājums, %</w:t>
      </w:r>
    </w:p>
    <w:p w14:paraId="0690A499" w14:textId="756B2448" w:rsidR="006A762C" w:rsidRDefault="002841D6" w:rsidP="00D362F4">
      <w:pPr>
        <w:jc w:val="both"/>
      </w:pPr>
      <w:r>
        <w:rPr>
          <w:noProof/>
        </w:rPr>
        <w:drawing>
          <wp:inline distT="0" distB="0" distL="0" distR="0" wp14:anchorId="2BB98232" wp14:editId="3E23126E">
            <wp:extent cx="6362700" cy="3181350"/>
            <wp:effectExtent l="0" t="0" r="0" b="0"/>
            <wp:docPr id="9" name="Chart 9">
              <a:extLst xmlns:a="http://schemas.openxmlformats.org/drawingml/2006/main">
                <a:ext uri="{FF2B5EF4-FFF2-40B4-BE49-F238E27FC236}">
                  <a16:creationId xmlns:a16="http://schemas.microsoft.com/office/drawing/2014/main" id="{85AA8A7B-BF91-4DF5-9542-A91BD226A6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863B4C" w14:textId="53C2E514" w:rsidR="00070041" w:rsidRPr="00AB6A87" w:rsidRDefault="00070041" w:rsidP="00C63697">
      <w:pPr>
        <w:jc w:val="both"/>
        <w:rPr>
          <w:rFonts w:ascii="Times New Roman" w:hAnsi="Times New Roman" w:cs="Times New Roman"/>
          <w:sz w:val="20"/>
          <w:szCs w:val="20"/>
          <w:lang w:eastAsia="lv-LV"/>
        </w:rPr>
      </w:pPr>
      <w:r w:rsidRPr="00847710">
        <w:rPr>
          <w:rFonts w:ascii="Times New Roman" w:hAnsi="Times New Roman" w:cs="Times New Roman"/>
          <w:sz w:val="20"/>
          <w:szCs w:val="20"/>
          <w:lang w:eastAsia="lv-LV"/>
        </w:rPr>
        <w:t>Avots: NVD dati</w:t>
      </w:r>
      <w:r w:rsidR="0028763D" w:rsidRPr="00847710">
        <w:rPr>
          <w:rFonts w:ascii="Times New Roman" w:hAnsi="Times New Roman" w:cs="Times New Roman"/>
          <w:sz w:val="20"/>
          <w:szCs w:val="20"/>
          <w:lang w:eastAsia="lv-LV"/>
        </w:rPr>
        <w:t xml:space="preserve"> uz 2017.gada 1.septembri un plānotais rindu samazinājums</w:t>
      </w:r>
      <w:r w:rsidR="00157AE2" w:rsidRPr="00847710">
        <w:rPr>
          <w:rFonts w:ascii="Times New Roman" w:hAnsi="Times New Roman" w:cs="Times New Roman"/>
          <w:sz w:val="20"/>
          <w:szCs w:val="20"/>
          <w:lang w:eastAsia="lv-LV"/>
        </w:rPr>
        <w:t xml:space="preserve"> 2018.gadam</w:t>
      </w:r>
    </w:p>
    <w:p w14:paraId="1ABCEC47" w14:textId="6E80B088" w:rsidR="004019B8" w:rsidRPr="00847710" w:rsidRDefault="00600CCA" w:rsidP="00DA2096">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Ar augstākminēto rindas samazinājumu plānots aptver 33 – 37 % darbspējīgā vecuma iedzīvotāju atbilstoši šobrīd rindā esošajam pacientu skaitam, tādējādi minēto iedzīvotāju grupu atgriežot tautsaimniecībā</w:t>
      </w:r>
      <w:r w:rsidR="3ACA226B" w:rsidRPr="00847710">
        <w:rPr>
          <w:rFonts w:ascii="Times New Roman" w:hAnsi="Times New Roman" w:cs="Times New Roman"/>
          <w:sz w:val="24"/>
          <w:szCs w:val="24"/>
          <w:lang w:eastAsia="lv-LV"/>
        </w:rPr>
        <w:t xml:space="preserve">, </w:t>
      </w:r>
      <w:r w:rsidR="7CC706F2" w:rsidRPr="00847710">
        <w:rPr>
          <w:rFonts w:ascii="Times New Roman" w:hAnsi="Times New Roman" w:cs="Times New Roman"/>
          <w:sz w:val="24"/>
          <w:szCs w:val="24"/>
          <w:lang w:eastAsia="lv-LV"/>
        </w:rPr>
        <w:t xml:space="preserve">ar </w:t>
      </w:r>
      <w:r w:rsidR="3ACA226B" w:rsidRPr="00847710">
        <w:rPr>
          <w:rFonts w:ascii="Times New Roman" w:hAnsi="Times New Roman" w:cs="Times New Roman"/>
          <w:sz w:val="24"/>
          <w:szCs w:val="24"/>
          <w:lang w:eastAsia="lv-LV"/>
        </w:rPr>
        <w:t xml:space="preserve">darbspējas </w:t>
      </w:r>
      <w:r w:rsidR="4B62E998" w:rsidRPr="00847710">
        <w:rPr>
          <w:rFonts w:ascii="Times New Roman" w:hAnsi="Times New Roman" w:cs="Times New Roman"/>
          <w:sz w:val="24"/>
          <w:szCs w:val="24"/>
          <w:lang w:eastAsia="lv-LV"/>
        </w:rPr>
        <w:t xml:space="preserve">atgūšanu turpmāk tautsaimniecībā tikai darba nodokļos </w:t>
      </w:r>
      <w:r w:rsidR="739EA3C7" w:rsidRPr="00847710">
        <w:rPr>
          <w:rFonts w:ascii="Times New Roman" w:hAnsi="Times New Roman" w:cs="Times New Roman"/>
          <w:sz w:val="24"/>
          <w:szCs w:val="24"/>
          <w:lang w:eastAsia="lv-LV"/>
        </w:rPr>
        <w:t xml:space="preserve">ikgadēji </w:t>
      </w:r>
      <w:r w:rsidR="64EF2522" w:rsidRPr="00847710">
        <w:rPr>
          <w:rFonts w:ascii="Times New Roman" w:hAnsi="Times New Roman" w:cs="Times New Roman"/>
          <w:sz w:val="24"/>
          <w:szCs w:val="24"/>
          <w:lang w:eastAsia="lv-LV"/>
        </w:rPr>
        <w:t xml:space="preserve">sākot no 2018.gada </w:t>
      </w:r>
      <w:r w:rsidR="739EA3C7" w:rsidRPr="00847710">
        <w:rPr>
          <w:rFonts w:ascii="Times New Roman" w:hAnsi="Times New Roman" w:cs="Times New Roman"/>
          <w:sz w:val="24"/>
          <w:szCs w:val="24"/>
          <w:lang w:eastAsia="lv-LV"/>
        </w:rPr>
        <w:t xml:space="preserve">radot pienesumu </w:t>
      </w:r>
      <w:r w:rsidR="6D848D52" w:rsidRPr="00847710">
        <w:rPr>
          <w:rFonts w:ascii="Times New Roman" w:hAnsi="Times New Roman" w:cs="Times New Roman"/>
          <w:sz w:val="24"/>
          <w:szCs w:val="24"/>
          <w:lang w:eastAsia="lv-LV"/>
        </w:rPr>
        <w:t xml:space="preserve">valsts ekonomikai </w:t>
      </w:r>
      <w:r w:rsidR="739EA3C7" w:rsidRPr="00847710">
        <w:rPr>
          <w:rFonts w:ascii="Times New Roman" w:hAnsi="Times New Roman" w:cs="Times New Roman"/>
          <w:sz w:val="24"/>
          <w:szCs w:val="24"/>
          <w:lang w:eastAsia="lv-LV"/>
        </w:rPr>
        <w:t xml:space="preserve">2 064 </w:t>
      </w:r>
      <w:r w:rsidR="3ACA226B" w:rsidRPr="00847710">
        <w:rPr>
          <w:rFonts w:ascii="Times New Roman" w:hAnsi="Times New Roman" w:cs="Times New Roman"/>
          <w:sz w:val="24"/>
          <w:szCs w:val="24"/>
          <w:lang w:eastAsia="lv-LV"/>
        </w:rPr>
        <w:t>t</w:t>
      </w:r>
      <w:r w:rsidR="722010F5" w:rsidRPr="00847710">
        <w:rPr>
          <w:rFonts w:ascii="Times New Roman" w:hAnsi="Times New Roman" w:cs="Times New Roman"/>
          <w:sz w:val="24"/>
          <w:szCs w:val="24"/>
          <w:lang w:eastAsia="lv-LV"/>
        </w:rPr>
        <w:t>ūkst. euro apmērā</w:t>
      </w:r>
      <w:r w:rsidR="623BB0C2" w:rsidRPr="00847710">
        <w:rPr>
          <w:rFonts w:ascii="Times New Roman" w:hAnsi="Times New Roman" w:cs="Times New Roman"/>
          <w:sz w:val="24"/>
          <w:szCs w:val="24"/>
          <w:lang w:eastAsia="lv-LV"/>
        </w:rPr>
        <w:t>, 2019</w:t>
      </w:r>
      <w:r w:rsidR="722010F5" w:rsidRPr="00847710">
        <w:rPr>
          <w:rFonts w:ascii="Times New Roman" w:hAnsi="Times New Roman" w:cs="Times New Roman"/>
          <w:sz w:val="24"/>
          <w:szCs w:val="24"/>
          <w:lang w:eastAsia="lv-LV"/>
        </w:rPr>
        <w:t>.</w:t>
      </w:r>
      <w:r w:rsidR="623BB0C2" w:rsidRPr="00847710">
        <w:rPr>
          <w:rFonts w:ascii="Times New Roman" w:hAnsi="Times New Roman" w:cs="Times New Roman"/>
          <w:sz w:val="24"/>
          <w:szCs w:val="24"/>
          <w:lang w:eastAsia="lv-LV"/>
        </w:rPr>
        <w:t xml:space="preserve">gadā </w:t>
      </w:r>
      <w:r w:rsidR="0012317D">
        <w:rPr>
          <w:rFonts w:ascii="Times New Roman" w:hAnsi="Times New Roman" w:cs="Times New Roman"/>
          <w:sz w:val="24"/>
          <w:szCs w:val="24"/>
          <w:lang w:eastAsia="lv-LV"/>
        </w:rPr>
        <w:t>6 698,1</w:t>
      </w:r>
      <w:r w:rsidR="35B3888E" w:rsidRPr="00847710">
        <w:rPr>
          <w:rFonts w:ascii="Times New Roman" w:hAnsi="Times New Roman" w:cs="Times New Roman"/>
          <w:sz w:val="24"/>
          <w:szCs w:val="24"/>
          <w:lang w:eastAsia="lv-LV"/>
        </w:rPr>
        <w:t xml:space="preserve"> tūkst.</w:t>
      </w:r>
      <w:r w:rsidR="12DB8654" w:rsidRPr="00847710">
        <w:rPr>
          <w:rFonts w:ascii="Times New Roman" w:hAnsi="Times New Roman" w:cs="Times New Roman"/>
          <w:sz w:val="24"/>
          <w:szCs w:val="24"/>
          <w:lang w:eastAsia="lv-LV"/>
        </w:rPr>
        <w:t xml:space="preserve"> </w:t>
      </w:r>
      <w:r w:rsidR="2905AB83" w:rsidRPr="00847710">
        <w:rPr>
          <w:rFonts w:ascii="Times New Roman" w:hAnsi="Times New Roman" w:cs="Times New Roman"/>
          <w:sz w:val="24"/>
          <w:szCs w:val="24"/>
          <w:lang w:eastAsia="lv-LV"/>
        </w:rPr>
        <w:t xml:space="preserve">euro apmērā, </w:t>
      </w:r>
      <w:r w:rsidR="12DB8654" w:rsidRPr="00847710">
        <w:rPr>
          <w:rFonts w:ascii="Times New Roman" w:hAnsi="Times New Roman" w:cs="Times New Roman"/>
          <w:sz w:val="24"/>
          <w:szCs w:val="24"/>
          <w:lang w:eastAsia="lv-LV"/>
        </w:rPr>
        <w:t xml:space="preserve">2020.gadā </w:t>
      </w:r>
      <w:r w:rsidR="0012317D">
        <w:rPr>
          <w:rFonts w:ascii="Times New Roman" w:hAnsi="Times New Roman" w:cs="Times New Roman"/>
          <w:sz w:val="24"/>
          <w:szCs w:val="24"/>
          <w:lang w:eastAsia="lv-LV"/>
        </w:rPr>
        <w:t>9 376,2</w:t>
      </w:r>
      <w:r w:rsidR="3BB8B794" w:rsidRPr="00847710">
        <w:rPr>
          <w:rFonts w:ascii="Times New Roman" w:hAnsi="Times New Roman" w:cs="Times New Roman"/>
          <w:sz w:val="24"/>
          <w:szCs w:val="24"/>
          <w:lang w:eastAsia="lv-LV"/>
        </w:rPr>
        <w:t xml:space="preserve"> tūkst. euro apmērā, 2021.gadā </w:t>
      </w:r>
      <w:r w:rsidR="0012317D">
        <w:rPr>
          <w:rFonts w:ascii="Times New Roman" w:hAnsi="Times New Roman" w:cs="Times New Roman"/>
          <w:sz w:val="24"/>
          <w:szCs w:val="24"/>
          <w:lang w:eastAsia="lv-LV"/>
        </w:rPr>
        <w:t>13 396,1</w:t>
      </w:r>
      <w:r w:rsidR="3584ECDD" w:rsidRPr="00847710">
        <w:rPr>
          <w:rFonts w:ascii="Times New Roman" w:hAnsi="Times New Roman" w:cs="Times New Roman"/>
          <w:sz w:val="24"/>
          <w:szCs w:val="24"/>
          <w:lang w:eastAsia="lv-LV"/>
        </w:rPr>
        <w:t xml:space="preserve"> tūkst. euro apmērā. </w:t>
      </w:r>
      <w:r w:rsidR="242EFA52" w:rsidRPr="00847710">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Sākotnējam rindu garumam lielāks pienesums paredzēts endoprotezēšanas operācijām ar 50 % apmaksu un revīzijas end</w:t>
      </w:r>
      <w:r w:rsidR="003A5AF1" w:rsidRPr="00847710">
        <w:rPr>
          <w:rFonts w:ascii="Times New Roman" w:hAnsi="Times New Roman" w:cs="Times New Roman"/>
          <w:sz w:val="24"/>
          <w:szCs w:val="24"/>
          <w:lang w:eastAsia="lv-LV"/>
        </w:rPr>
        <w:t>oprotezēšanām</w:t>
      </w:r>
      <w:r w:rsidRPr="00847710">
        <w:rPr>
          <w:rFonts w:ascii="Times New Roman" w:hAnsi="Times New Roman" w:cs="Times New Roman"/>
          <w:sz w:val="24"/>
          <w:szCs w:val="24"/>
          <w:lang w:eastAsia="lv-LV"/>
        </w:rPr>
        <w:t>, sedzot 73 -87 % no rindu garuma</w:t>
      </w:r>
      <w:r w:rsidR="004E0309" w:rsidRPr="00847710">
        <w:rPr>
          <w:rFonts w:ascii="Times New Roman" w:hAnsi="Times New Roman" w:cs="Times New Roman"/>
          <w:sz w:val="24"/>
          <w:szCs w:val="24"/>
          <w:lang w:eastAsia="lv-LV"/>
        </w:rPr>
        <w:t xml:space="preserve">. </w:t>
      </w:r>
      <w:r w:rsidR="000B4AAD" w:rsidRPr="00847710">
        <w:rPr>
          <w:rFonts w:ascii="Times New Roman" w:hAnsi="Times New Roman" w:cs="Times New Roman"/>
          <w:sz w:val="24"/>
          <w:szCs w:val="24"/>
          <w:lang w:eastAsia="lv-LV"/>
        </w:rPr>
        <w:t xml:space="preserve">Atzīmējam, ka </w:t>
      </w:r>
      <w:r w:rsidR="004E0309" w:rsidRPr="00847710">
        <w:rPr>
          <w:rFonts w:ascii="Times New Roman" w:hAnsi="Times New Roman" w:cs="Times New Roman"/>
          <w:sz w:val="24"/>
          <w:szCs w:val="24"/>
          <w:lang w:eastAsia="lv-LV"/>
        </w:rPr>
        <w:t xml:space="preserve">50 % </w:t>
      </w:r>
      <w:r w:rsidR="000B4AAD" w:rsidRPr="00847710">
        <w:rPr>
          <w:rFonts w:ascii="Times New Roman" w:hAnsi="Times New Roman" w:cs="Times New Roman"/>
          <w:sz w:val="24"/>
          <w:szCs w:val="24"/>
          <w:lang w:eastAsia="lv-LV"/>
        </w:rPr>
        <w:t xml:space="preserve">apmaksa </w:t>
      </w:r>
      <w:r w:rsidR="003A5AF1" w:rsidRPr="00847710">
        <w:rPr>
          <w:rFonts w:ascii="Times New Roman" w:hAnsi="Times New Roman" w:cs="Times New Roman"/>
          <w:sz w:val="24"/>
          <w:szCs w:val="24"/>
          <w:lang w:eastAsia="lv-LV"/>
        </w:rPr>
        <w:t>ir</w:t>
      </w:r>
      <w:r w:rsidRPr="00847710">
        <w:rPr>
          <w:rFonts w:ascii="Times New Roman" w:hAnsi="Times New Roman" w:cs="Times New Roman"/>
          <w:sz w:val="24"/>
          <w:szCs w:val="24"/>
          <w:lang w:eastAsia="lv-LV"/>
        </w:rPr>
        <w:t xml:space="preserve"> ar salīdzinoši lielāku ieguvumu un zemākām izmaksām no valsta budžeta aspekta. </w:t>
      </w:r>
      <w:r w:rsidR="1492C317" w:rsidRPr="00847710">
        <w:rPr>
          <w:rFonts w:ascii="Times New Roman" w:eastAsia="Times New Roman" w:hAnsi="Times New Roman" w:cs="Times New Roman"/>
          <w:sz w:val="24"/>
          <w:szCs w:val="24"/>
        </w:rPr>
        <w:t>Locītavas endoprotēzes kalpošanas laiks ir no 15 – 25 gadiem. Visām endoprotē</w:t>
      </w:r>
      <w:r w:rsidR="1FAF9A7E" w:rsidRPr="00847710">
        <w:rPr>
          <w:rFonts w:ascii="Times New Roman" w:eastAsia="Times New Roman" w:hAnsi="Times New Roman" w:cs="Times New Roman"/>
          <w:sz w:val="24"/>
          <w:szCs w:val="24"/>
        </w:rPr>
        <w:t>zē</w:t>
      </w:r>
      <w:r w:rsidR="1492C317" w:rsidRPr="00847710">
        <w:rPr>
          <w:rFonts w:ascii="Times New Roman" w:eastAsia="Times New Roman" w:hAnsi="Times New Roman" w:cs="Times New Roman"/>
          <w:sz w:val="24"/>
          <w:szCs w:val="24"/>
        </w:rPr>
        <w:t xml:space="preserve">m atkarībā no to materiāla veidojas nodiluma produkti – mikroskopiskas šī materiāla skaidiņas. Uzkrājoties, tās pakāpeniski bojā kaulu, radot tajā </w:t>
      </w:r>
      <w:r w:rsidR="1492C317" w:rsidRPr="00847710">
        <w:rPr>
          <w:rFonts w:ascii="Times New Roman" w:eastAsia="Times New Roman" w:hAnsi="Times New Roman" w:cs="Times New Roman"/>
          <w:sz w:val="24"/>
          <w:szCs w:val="24"/>
        </w:rPr>
        <w:lastRenderedPageBreak/>
        <w:t>rētaudus. Rezultātā endoprotēze izkustas un kļūst vaļīga.</w:t>
      </w:r>
      <w:r w:rsidR="4A1F80A4" w:rsidRPr="00847710">
        <w:rPr>
          <w:rFonts w:ascii="Times New Roman" w:eastAsia="Times New Roman" w:hAnsi="Times New Roman" w:cs="Times New Roman"/>
          <w:sz w:val="24"/>
          <w:szCs w:val="24"/>
        </w:rPr>
        <w:t xml:space="preserve"> </w:t>
      </w:r>
      <w:r w:rsidR="1492C317" w:rsidRPr="00847710">
        <w:rPr>
          <w:rFonts w:ascii="Times New Roman" w:eastAsia="Times New Roman" w:hAnsi="Times New Roman" w:cs="Times New Roman"/>
          <w:sz w:val="24"/>
          <w:szCs w:val="24"/>
        </w:rPr>
        <w:t>Locītavas atkārtota endoprotezēšana jeb</w:t>
      </w:r>
      <w:r w:rsidR="009529E3" w:rsidRPr="00847710">
        <w:rPr>
          <w:rFonts w:ascii="Times New Roman" w:eastAsia="Times New Roman" w:hAnsi="Times New Roman" w:cs="Times New Roman"/>
          <w:sz w:val="24"/>
          <w:szCs w:val="24"/>
        </w:rPr>
        <w:t xml:space="preserve"> revīzijas </w:t>
      </w:r>
      <w:r w:rsidR="1492C317" w:rsidRPr="00847710">
        <w:rPr>
          <w:rFonts w:ascii="Times New Roman" w:eastAsia="Times New Roman" w:hAnsi="Times New Roman" w:cs="Times New Roman"/>
          <w:sz w:val="24"/>
          <w:szCs w:val="24"/>
        </w:rPr>
        <w:t xml:space="preserve">operācija ir sarežģītāka un ilgāka par pirmreizējo endoprotezēšanu. Savukārt pēc revīzijas operācijas endoprotēze kalpo vēl aptuveni 80% no tās sākotnējā kalpošanas laika. </w:t>
      </w:r>
    </w:p>
    <w:p w14:paraId="7D3A58A1" w14:textId="4699163F" w:rsidR="004019B8" w:rsidRPr="00847710" w:rsidRDefault="3CD44DA9" w:rsidP="00141E5B">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 </w:t>
      </w:r>
      <w:r w:rsidR="009529E3" w:rsidRPr="00847710">
        <w:rPr>
          <w:rFonts w:ascii="Times New Roman" w:hAnsi="Times New Roman" w:cs="Times New Roman"/>
          <w:sz w:val="24"/>
          <w:szCs w:val="24"/>
          <w:lang w:eastAsia="lv-LV"/>
        </w:rPr>
        <w:t xml:space="preserve"> </w:t>
      </w:r>
      <w:r w:rsidR="00600CCA" w:rsidRPr="00847710">
        <w:rPr>
          <w:rFonts w:ascii="Times New Roman" w:hAnsi="Times New Roman" w:cs="Times New Roman"/>
          <w:sz w:val="24"/>
          <w:szCs w:val="24"/>
          <w:lang w:eastAsia="lv-LV"/>
        </w:rPr>
        <w:t>Turpmākajos periodus plāno</w:t>
      </w:r>
      <w:r w:rsidR="470FD816" w:rsidRPr="00847710">
        <w:rPr>
          <w:rFonts w:ascii="Times New Roman" w:hAnsi="Times New Roman" w:cs="Times New Roman"/>
          <w:sz w:val="24"/>
          <w:szCs w:val="24"/>
          <w:lang w:eastAsia="lv-LV"/>
        </w:rPr>
        <w:t>ts</w:t>
      </w:r>
      <w:r w:rsidR="00600CCA" w:rsidRPr="00847710">
        <w:rPr>
          <w:rFonts w:ascii="Times New Roman" w:hAnsi="Times New Roman" w:cs="Times New Roman"/>
          <w:sz w:val="24"/>
          <w:szCs w:val="24"/>
          <w:lang w:eastAsia="lv-LV"/>
        </w:rPr>
        <w:t xml:space="preserve"> izlīdzināt rindu garumus starp </w:t>
      </w:r>
      <w:r w:rsidR="000F1402" w:rsidRPr="00847710">
        <w:rPr>
          <w:rFonts w:ascii="Times New Roman" w:hAnsi="Times New Roman" w:cs="Times New Roman"/>
          <w:sz w:val="24"/>
          <w:szCs w:val="24"/>
          <w:lang w:eastAsia="lv-LV"/>
        </w:rPr>
        <w:t xml:space="preserve">endoprotezēšanas </w:t>
      </w:r>
      <w:r w:rsidR="00600CCA" w:rsidRPr="00847710">
        <w:rPr>
          <w:rFonts w:ascii="Times New Roman" w:hAnsi="Times New Roman" w:cs="Times New Roman"/>
          <w:sz w:val="24"/>
          <w:szCs w:val="24"/>
          <w:lang w:eastAsia="lv-LV"/>
        </w:rPr>
        <w:t xml:space="preserve">pasākumiem, vidēji samazinot rindu garumu kopumā par 25%. </w:t>
      </w:r>
      <w:r w:rsidR="00141E5B" w:rsidRPr="00847710">
        <w:rPr>
          <w:rFonts w:ascii="Times New Roman" w:hAnsi="Times New Roman" w:cs="Times New Roman"/>
          <w:sz w:val="24"/>
          <w:szCs w:val="24"/>
          <w:lang w:eastAsia="lv-LV"/>
        </w:rPr>
        <w:t xml:space="preserve">Lai nodrošinātu </w:t>
      </w:r>
      <w:r w:rsidR="00257472" w:rsidRPr="00847710">
        <w:rPr>
          <w:rFonts w:ascii="Times New Roman" w:hAnsi="Times New Roman" w:cs="Times New Roman"/>
          <w:sz w:val="24"/>
          <w:szCs w:val="24"/>
          <w:lang w:eastAsia="lv-LV"/>
        </w:rPr>
        <w:t>kopējās</w:t>
      </w:r>
      <w:r w:rsidR="00141E5B" w:rsidRPr="00847710">
        <w:rPr>
          <w:rFonts w:ascii="Times New Roman" w:hAnsi="Times New Roman" w:cs="Times New Roman"/>
          <w:sz w:val="24"/>
          <w:szCs w:val="24"/>
          <w:lang w:eastAsia="lv-LV"/>
        </w:rPr>
        <w:t xml:space="preserve"> rindas samazinājumu 25% apmērā, papildus gadā nepieciešams veikt vairāk nekā </w:t>
      </w:r>
      <w:r w:rsidR="52780018" w:rsidRPr="00847710">
        <w:rPr>
          <w:rFonts w:ascii="Times New Roman" w:hAnsi="Times New Roman" w:cs="Times New Roman"/>
          <w:sz w:val="24"/>
          <w:szCs w:val="24"/>
          <w:lang w:eastAsia="lv-LV"/>
        </w:rPr>
        <w:t>1,4</w:t>
      </w:r>
      <w:r w:rsidR="00141E5B" w:rsidRPr="00847710">
        <w:rPr>
          <w:rFonts w:ascii="Times New Roman" w:hAnsi="Times New Roman" w:cs="Times New Roman"/>
          <w:sz w:val="24"/>
          <w:szCs w:val="24"/>
          <w:lang w:eastAsia="lv-LV"/>
        </w:rPr>
        <w:t xml:space="preserve"> tūkstošus endoprotezēšanas operāciju, līdz ar to esošais operāciju apjoms gadā, apmēram 3 tūkstoši, jāpalielina v</w:t>
      </w:r>
      <w:r w:rsidR="42B27E6E" w:rsidRPr="00847710">
        <w:rPr>
          <w:rFonts w:ascii="Times New Roman" w:hAnsi="Times New Roman" w:cs="Times New Roman"/>
          <w:sz w:val="24"/>
          <w:szCs w:val="24"/>
          <w:lang w:eastAsia="lv-LV"/>
        </w:rPr>
        <w:t xml:space="preserve">idēji </w:t>
      </w:r>
      <w:r w:rsidR="00141E5B" w:rsidRPr="00847710">
        <w:rPr>
          <w:rFonts w:ascii="Times New Roman" w:hAnsi="Times New Roman" w:cs="Times New Roman"/>
          <w:sz w:val="24"/>
          <w:szCs w:val="24"/>
          <w:lang w:eastAsia="lv-LV"/>
        </w:rPr>
        <w:t xml:space="preserve"> par </w:t>
      </w:r>
      <w:r w:rsidR="42B27E6E" w:rsidRPr="00847710">
        <w:rPr>
          <w:rFonts w:ascii="Times New Roman" w:hAnsi="Times New Roman" w:cs="Times New Roman"/>
          <w:sz w:val="24"/>
          <w:szCs w:val="24"/>
          <w:lang w:eastAsia="lv-LV"/>
        </w:rPr>
        <w:t>5</w:t>
      </w:r>
      <w:r w:rsidR="00141E5B" w:rsidRPr="00847710">
        <w:rPr>
          <w:rFonts w:ascii="Times New Roman" w:hAnsi="Times New Roman" w:cs="Times New Roman"/>
          <w:sz w:val="24"/>
          <w:szCs w:val="24"/>
          <w:lang w:eastAsia="lv-LV"/>
        </w:rPr>
        <w:t xml:space="preserve">0%. </w:t>
      </w:r>
      <w:r w:rsidR="008F1502" w:rsidRPr="00847710">
        <w:rPr>
          <w:rFonts w:ascii="Times New Roman" w:hAnsi="Times New Roman" w:cs="Times New Roman"/>
          <w:sz w:val="24"/>
          <w:szCs w:val="24"/>
          <w:lang w:eastAsia="lv-LV"/>
        </w:rPr>
        <w:t xml:space="preserve">Savukārt, lai nodrošinātu, ka rindas tiek samazinātas vēl vairāk, līdz 50% no esošā apjoma, šobrīd sniegtais pakalpojumu apjoms faktiski būtu jāpalielina </w:t>
      </w:r>
      <w:r w:rsidR="025C042A" w:rsidRPr="00847710">
        <w:rPr>
          <w:rFonts w:ascii="Times New Roman" w:hAnsi="Times New Roman" w:cs="Times New Roman"/>
          <w:sz w:val="24"/>
          <w:szCs w:val="24"/>
          <w:lang w:eastAsia="lv-LV"/>
        </w:rPr>
        <w:t>100 % a</w:t>
      </w:r>
      <w:r w:rsidR="102B3827" w:rsidRPr="00847710">
        <w:rPr>
          <w:rFonts w:ascii="Times New Roman" w:hAnsi="Times New Roman" w:cs="Times New Roman"/>
          <w:sz w:val="24"/>
          <w:szCs w:val="24"/>
          <w:lang w:eastAsia="lv-LV"/>
        </w:rPr>
        <w:t>p</w:t>
      </w:r>
      <w:r w:rsidR="025C042A" w:rsidRPr="00847710">
        <w:rPr>
          <w:rFonts w:ascii="Times New Roman" w:hAnsi="Times New Roman" w:cs="Times New Roman"/>
          <w:sz w:val="24"/>
          <w:szCs w:val="24"/>
          <w:lang w:eastAsia="lv-LV"/>
        </w:rPr>
        <w:t>mē</w:t>
      </w:r>
      <w:r w:rsidR="102B3827" w:rsidRPr="00847710">
        <w:rPr>
          <w:rFonts w:ascii="Times New Roman" w:hAnsi="Times New Roman" w:cs="Times New Roman"/>
          <w:sz w:val="24"/>
          <w:szCs w:val="24"/>
          <w:lang w:eastAsia="lv-LV"/>
        </w:rPr>
        <w:t>rā.</w:t>
      </w:r>
      <w:r w:rsidR="008F1502" w:rsidRPr="00847710">
        <w:rPr>
          <w:rFonts w:ascii="Times New Roman" w:hAnsi="Times New Roman" w:cs="Times New Roman"/>
          <w:sz w:val="24"/>
          <w:szCs w:val="24"/>
          <w:lang w:eastAsia="lv-LV"/>
        </w:rPr>
        <w:t xml:space="preserve"> Esošais cilvēkresursu un materiāli tehnisko resursu apjoms neļauj veikt tik strauju pakalpojumu apjoma pieaugumu īstermiņā, līdz ar to arī šobrīd plānotais </w:t>
      </w:r>
      <w:r w:rsidR="2B448E6F" w:rsidRPr="00847710">
        <w:rPr>
          <w:rFonts w:ascii="Times New Roman" w:hAnsi="Times New Roman" w:cs="Times New Roman"/>
          <w:sz w:val="24"/>
          <w:szCs w:val="24"/>
          <w:lang w:eastAsia="lv-LV"/>
        </w:rPr>
        <w:t xml:space="preserve">vidējais </w:t>
      </w:r>
      <w:r w:rsidR="008F1502" w:rsidRPr="00847710">
        <w:rPr>
          <w:rFonts w:ascii="Times New Roman" w:hAnsi="Times New Roman" w:cs="Times New Roman"/>
          <w:sz w:val="24"/>
          <w:szCs w:val="24"/>
          <w:lang w:eastAsia="lv-LV"/>
        </w:rPr>
        <w:t>25% rindas samazinājums  pakalpojumu grup</w:t>
      </w:r>
      <w:r w:rsidR="2B448E6F" w:rsidRPr="00847710">
        <w:rPr>
          <w:rFonts w:ascii="Times New Roman" w:hAnsi="Times New Roman" w:cs="Times New Roman"/>
          <w:sz w:val="24"/>
          <w:szCs w:val="24"/>
          <w:lang w:eastAsia="lv-LV"/>
        </w:rPr>
        <w:t>ām</w:t>
      </w:r>
      <w:r w:rsidR="008F1502" w:rsidRPr="00847710">
        <w:rPr>
          <w:rFonts w:ascii="Times New Roman" w:hAnsi="Times New Roman" w:cs="Times New Roman"/>
          <w:sz w:val="24"/>
          <w:szCs w:val="24"/>
          <w:lang w:eastAsia="lv-LV"/>
        </w:rPr>
        <w:t xml:space="preserve"> vērtējams kā būtisks.</w:t>
      </w:r>
    </w:p>
    <w:p w14:paraId="41CDD3FB" w14:textId="6DD8911A" w:rsidR="00953931" w:rsidRPr="00847710" w:rsidRDefault="00953931" w:rsidP="00141E5B">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Lielāka finansējuma novirzīšana konkrētai aktivitātei īsā laika periodā var rādīt arī pretējus negatīvus efektus, veicinot konkrētas pakalpojumu grupas </w:t>
      </w:r>
      <w:r w:rsidR="004547B5" w:rsidRPr="00847710">
        <w:rPr>
          <w:rFonts w:ascii="Times New Roman" w:hAnsi="Times New Roman" w:cs="Times New Roman"/>
          <w:sz w:val="24"/>
          <w:szCs w:val="24"/>
          <w:lang w:eastAsia="lv-LV"/>
        </w:rPr>
        <w:t>“</w:t>
      </w:r>
      <w:r w:rsidRPr="00847710">
        <w:rPr>
          <w:rFonts w:ascii="Times New Roman" w:hAnsi="Times New Roman" w:cs="Times New Roman"/>
          <w:sz w:val="24"/>
          <w:szCs w:val="24"/>
          <w:lang w:eastAsia="lv-LV"/>
        </w:rPr>
        <w:t>pārkāršanu</w:t>
      </w:r>
      <w:r w:rsidR="004547B5" w:rsidRPr="00847710">
        <w:rPr>
          <w:rFonts w:ascii="Times New Roman" w:hAnsi="Times New Roman" w:cs="Times New Roman"/>
          <w:sz w:val="24"/>
          <w:szCs w:val="24"/>
          <w:lang w:eastAsia="lv-LV"/>
        </w:rPr>
        <w:t>”</w:t>
      </w:r>
      <w:r w:rsidRPr="00847710">
        <w:rPr>
          <w:rFonts w:ascii="Times New Roman" w:hAnsi="Times New Roman" w:cs="Times New Roman"/>
          <w:sz w:val="24"/>
          <w:szCs w:val="24"/>
          <w:lang w:eastAsia="lv-LV"/>
        </w:rPr>
        <w:t>.</w:t>
      </w:r>
      <w:r w:rsidR="00943450" w:rsidRPr="00847710">
        <w:rPr>
          <w:rFonts w:ascii="Times New Roman" w:hAnsi="Times New Roman" w:cs="Times New Roman"/>
          <w:sz w:val="24"/>
          <w:szCs w:val="24"/>
          <w:lang w:eastAsia="lv-LV"/>
        </w:rPr>
        <w:t xml:space="preserve"> Līdz ar to reformas endoprotezēšanas jomā veicamas vairāku gadu garumā un tiks turpinātas arī pēc EK atkāpes finan</w:t>
      </w:r>
      <w:r w:rsidR="00E1600B" w:rsidRPr="00847710">
        <w:rPr>
          <w:rFonts w:ascii="Times New Roman" w:hAnsi="Times New Roman" w:cs="Times New Roman"/>
          <w:sz w:val="24"/>
          <w:szCs w:val="24"/>
          <w:lang w:eastAsia="lv-LV"/>
        </w:rPr>
        <w:t>sējuma termiņa beigām, līdz 2021</w:t>
      </w:r>
      <w:r w:rsidR="00943450" w:rsidRPr="00847710">
        <w:rPr>
          <w:rFonts w:ascii="Times New Roman" w:hAnsi="Times New Roman" w:cs="Times New Roman"/>
          <w:sz w:val="24"/>
          <w:szCs w:val="24"/>
          <w:lang w:eastAsia="lv-LV"/>
        </w:rPr>
        <w:t>.gadam samazinot rindu uz pakalpojumiem vismaz 50% apmērā.</w:t>
      </w:r>
    </w:p>
    <w:tbl>
      <w:tblPr>
        <w:tblStyle w:val="TableGrid"/>
        <w:tblW w:w="0" w:type="auto"/>
        <w:tblLook w:val="04A0" w:firstRow="1" w:lastRow="0" w:firstColumn="1" w:lastColumn="0" w:noHBand="0" w:noVBand="1"/>
      </w:tblPr>
      <w:tblGrid>
        <w:gridCol w:w="9089"/>
      </w:tblGrid>
      <w:tr w:rsidR="007218DC" w:rsidRPr="00847710" w14:paraId="7C918697" w14:textId="77777777" w:rsidTr="57326167">
        <w:tc>
          <w:tcPr>
            <w:tcW w:w="9089" w:type="dxa"/>
          </w:tcPr>
          <w:p w14:paraId="5C6DD502" w14:textId="038F650D" w:rsidR="007218DC" w:rsidRPr="00847710" w:rsidRDefault="007218DC" w:rsidP="00A37A10">
            <w:pPr>
              <w:autoSpaceDE w:val="0"/>
              <w:autoSpaceDN w:val="0"/>
              <w:adjustRightInd w:val="0"/>
              <w:spacing w:after="120"/>
              <w:ind w:firstLine="720"/>
              <w:jc w:val="both"/>
              <w:rPr>
                <w:rFonts w:ascii="Times New Roman" w:hAnsi="Times New Roman"/>
                <w:sz w:val="24"/>
                <w:szCs w:val="24"/>
              </w:rPr>
            </w:pPr>
            <w:r w:rsidRPr="0012317D">
              <w:rPr>
                <w:rFonts w:ascii="Times New Roman" w:hAnsi="Times New Roman"/>
                <w:b/>
                <w:bCs/>
                <w:sz w:val="24"/>
                <w:szCs w:val="24"/>
                <w:lang w:eastAsia="lv-LV"/>
              </w:rPr>
              <w:t xml:space="preserve">Reformas rezultāts: Uzlabojoties pakalpojumu pieejamībai un iespējai veikt savlaicīgu operāciju, uzlabojas sabiedrības veselības rādītāji, </w:t>
            </w:r>
            <w:r w:rsidRPr="0078437D">
              <w:rPr>
                <w:rFonts w:ascii="Times New Roman" w:hAnsi="Times New Roman"/>
                <w:b/>
                <w:bCs/>
                <w:sz w:val="24"/>
                <w:szCs w:val="24"/>
                <w:lang w:eastAsia="lv-LV"/>
              </w:rPr>
              <w:t>mazinās invaliditātes iespējas, it sevišķi darbaspējīgā vecumā ar attiecīgu sabiedrības izmaksu slogu un pacienti var iesaistīties darba tirgū.</w:t>
            </w:r>
          </w:p>
        </w:tc>
      </w:tr>
    </w:tbl>
    <w:p w14:paraId="75E53907" w14:textId="77777777" w:rsidR="007218DC" w:rsidRPr="00847710" w:rsidRDefault="007218DC" w:rsidP="007218DC">
      <w:pPr>
        <w:autoSpaceDE w:val="0"/>
        <w:autoSpaceDN w:val="0"/>
        <w:adjustRightInd w:val="0"/>
        <w:spacing w:after="120"/>
        <w:ind w:firstLine="720"/>
        <w:jc w:val="both"/>
        <w:rPr>
          <w:rFonts w:ascii="Times New Roman" w:hAnsi="Times New Roman" w:cs="Times New Roman"/>
          <w:sz w:val="24"/>
          <w:szCs w:val="24"/>
        </w:rPr>
      </w:pPr>
    </w:p>
    <w:p w14:paraId="4C7B2FE4" w14:textId="7AFD859F" w:rsidR="00E37BCC" w:rsidRPr="006B07C5" w:rsidRDefault="007218DC" w:rsidP="006B07C5">
      <w:pPr>
        <w:pStyle w:val="Heading2"/>
        <w:spacing w:before="0"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w:t>
      </w:r>
      <w:r w:rsidR="002B4027" w:rsidRPr="0012317D">
        <w:rPr>
          <w:rFonts w:ascii="Times New Roman" w:hAnsi="Times New Roman" w:cs="Times New Roman"/>
          <w:b/>
          <w:bCs/>
          <w:color w:val="auto"/>
          <w:sz w:val="24"/>
          <w:szCs w:val="24"/>
          <w:u w:val="single"/>
        </w:rPr>
        <w:t>.4. Jaunā reforma</w:t>
      </w:r>
      <w:r w:rsidR="004D1EBA" w:rsidRPr="0012317D">
        <w:rPr>
          <w:rFonts w:ascii="Times New Roman" w:hAnsi="Times New Roman" w:cs="Times New Roman"/>
          <w:b/>
          <w:bCs/>
          <w:color w:val="auto"/>
          <w:sz w:val="24"/>
          <w:szCs w:val="24"/>
          <w:u w:val="single"/>
        </w:rPr>
        <w:t>s</w:t>
      </w:r>
      <w:r w:rsidR="002B4027" w:rsidRPr="0012317D">
        <w:rPr>
          <w:rFonts w:ascii="Times New Roman" w:hAnsi="Times New Roman" w:cs="Times New Roman"/>
          <w:b/>
          <w:bCs/>
          <w:color w:val="auto"/>
          <w:sz w:val="24"/>
          <w:szCs w:val="24"/>
          <w:u w:val="single"/>
        </w:rPr>
        <w:t xml:space="preserve"> iniciatīva  - </w:t>
      </w:r>
      <w:r w:rsidR="00CB4F41" w:rsidRPr="0012317D">
        <w:rPr>
          <w:rFonts w:ascii="Times New Roman" w:hAnsi="Times New Roman" w:cs="Times New Roman"/>
          <w:b/>
          <w:bCs/>
          <w:color w:val="auto"/>
          <w:sz w:val="24"/>
          <w:szCs w:val="24"/>
          <w:u w:val="single"/>
        </w:rPr>
        <w:t>d</w:t>
      </w:r>
      <w:r w:rsidR="00E37BCC" w:rsidRPr="0078437D">
        <w:rPr>
          <w:rFonts w:ascii="Times New Roman" w:hAnsi="Times New Roman" w:cs="Times New Roman"/>
          <w:b/>
          <w:bCs/>
          <w:color w:val="auto"/>
          <w:sz w:val="24"/>
          <w:szCs w:val="24"/>
          <w:u w:val="single"/>
        </w:rPr>
        <w:t>arbnespējas saīsināšana un pasākumi prognozējamās invaliditātes novēršanai ar mērķi novērst ilgstošu slimošanu personām darbspējīgā vecumā</w:t>
      </w:r>
    </w:p>
    <w:p w14:paraId="1ECB1B13" w14:textId="6A43CE69" w:rsidR="00261109" w:rsidRPr="00847710" w:rsidRDefault="00261109" w:rsidP="00D95C27">
      <w:pPr>
        <w:spacing w:after="120"/>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Atbilstoši Labklājības ministrijas 2017.gada 28.augusta Informatīvajam ziņojumam „Priekšlikums izmaiņām darbnespējas lapu izsniegšanas un apmaksas kārtībā, kā arī konstatēto pārkāpumu novēršanas mehānisma ieviešanas izvērtējums” katru gadu pieaug vispārējā gadīj</w:t>
      </w:r>
      <w:r w:rsidR="00323FE7" w:rsidRPr="00847710">
        <w:rPr>
          <w:rFonts w:ascii="Times New Roman" w:hAnsi="Times New Roman" w:cs="Times New Roman"/>
          <w:sz w:val="24"/>
          <w:szCs w:val="24"/>
          <w:lang w:eastAsia="lv-LV"/>
        </w:rPr>
        <w:t>uma</w:t>
      </w:r>
      <w:r w:rsidRPr="00847710">
        <w:rPr>
          <w:rFonts w:ascii="Times New Roman" w:hAnsi="Times New Roman" w:cs="Times New Roman"/>
          <w:sz w:val="24"/>
          <w:szCs w:val="24"/>
          <w:lang w:eastAsia="lv-LV"/>
        </w:rPr>
        <w:t xml:space="preserve"> slimības pabalst</w:t>
      </w:r>
      <w:r w:rsidR="00323FE7" w:rsidRPr="00847710">
        <w:rPr>
          <w:rFonts w:ascii="Times New Roman" w:hAnsi="Times New Roman" w:cs="Times New Roman"/>
          <w:sz w:val="24"/>
          <w:szCs w:val="24"/>
          <w:lang w:eastAsia="lv-LV"/>
        </w:rPr>
        <w:t>u gadījumu</w:t>
      </w:r>
      <w:r w:rsidRPr="00847710">
        <w:rPr>
          <w:rFonts w:ascii="Times New Roman" w:hAnsi="Times New Roman" w:cs="Times New Roman"/>
          <w:sz w:val="24"/>
          <w:szCs w:val="24"/>
          <w:lang w:eastAsia="lv-LV"/>
        </w:rPr>
        <w:t xml:space="preserve"> skaits, tā piemēram, salīdzinot ar 2015.gadu, 2016.gadā </w:t>
      </w:r>
      <w:r w:rsidR="00323FE7" w:rsidRPr="00847710">
        <w:rPr>
          <w:rFonts w:ascii="Times New Roman" w:hAnsi="Times New Roman" w:cs="Times New Roman"/>
          <w:sz w:val="24"/>
          <w:szCs w:val="24"/>
          <w:lang w:eastAsia="lv-LV"/>
        </w:rPr>
        <w:t xml:space="preserve">tas </w:t>
      </w:r>
      <w:r w:rsidRPr="00847710">
        <w:rPr>
          <w:rFonts w:ascii="Times New Roman" w:hAnsi="Times New Roman" w:cs="Times New Roman"/>
          <w:sz w:val="24"/>
          <w:szCs w:val="24"/>
          <w:lang w:eastAsia="lv-LV"/>
        </w:rPr>
        <w:t>pieaudzis par 6%, bet salīdzinot ar 2014.gadu – par 16%*. Vidējais piešķirtais apmērs dienā 2016.gadā pieaudzis par 8,7% pret 2015.gadu. Savukārt arodslimības gadījumā slimības pabalstu gadījumu skaits 2016.gadā, salīdzinot ar 2015.gadu, audzis par 12% bet salīdzinot ar 2014.gadu – par 43%*. Vidējais piešķirtais apmērs dienā 2016.gadā pieaudzis par 5,4% pret 2015.gadu. Viens no faktoriem, kas varētu samazināt izsniegto darba nespējas lapu skaitu un slimības ilgumu, ir savlaicīga ārstēšanas uzsākšana. Atbilstoši Nacionālais veselības dienesta datiem reģistrēto pacientu skaits 2017.gadā uz plānveida stacionāriem pakalpojumiem - 1038 pacienti; mikroķiruģija pieauguš</w:t>
      </w:r>
      <w:r w:rsidR="00387F82" w:rsidRPr="00847710">
        <w:rPr>
          <w:rFonts w:ascii="Times New Roman" w:hAnsi="Times New Roman" w:cs="Times New Roman"/>
          <w:sz w:val="24"/>
          <w:szCs w:val="24"/>
          <w:lang w:eastAsia="lv-LV"/>
        </w:rPr>
        <w:t>aj</w:t>
      </w:r>
      <w:r w:rsidRPr="00847710">
        <w:rPr>
          <w:rFonts w:ascii="Times New Roman" w:hAnsi="Times New Roman" w:cs="Times New Roman"/>
          <w:sz w:val="24"/>
          <w:szCs w:val="24"/>
          <w:lang w:eastAsia="lv-LV"/>
        </w:rPr>
        <w:t xml:space="preserve">iem - 532 pacienti;  mugurkaulāja saslimšanu un traumu ķirurģiska ārstēšana - 240 pacienti; citi plānveida ķirurģiskie pakalpojumi - 19 057 pacienti. </w:t>
      </w:r>
    </w:p>
    <w:p w14:paraId="70DA7A9F" w14:textId="14723987" w:rsidR="00261109" w:rsidRPr="00847710" w:rsidRDefault="00261109" w:rsidP="00261109">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lastRenderedPageBreak/>
        <w:t>Saskaņā ar 2013.gada 17.decembra Ministru kabineta noteikumiem Nr.1529 “Veselības aprūpes organizēšanas un finansēšanas kārtība”</w:t>
      </w:r>
      <w:r w:rsidR="00D77295" w:rsidRPr="00847710">
        <w:rPr>
          <w:rFonts w:ascii="Times New Roman" w:hAnsi="Times New Roman" w:cs="Times New Roman"/>
          <w:sz w:val="24"/>
          <w:szCs w:val="24"/>
          <w:lang w:eastAsia="lv-LV"/>
        </w:rPr>
        <w:t xml:space="preserve"> (turpmāk – Noteikumi Nr.1529)</w:t>
      </w:r>
      <w:r w:rsidRPr="00847710">
        <w:rPr>
          <w:rFonts w:ascii="Times New Roman" w:hAnsi="Times New Roman" w:cs="Times New Roman"/>
          <w:sz w:val="24"/>
          <w:szCs w:val="24"/>
          <w:lang w:eastAsia="lv-LV"/>
        </w:rPr>
        <w:t>, N</w:t>
      </w:r>
      <w:r w:rsidR="00D77295" w:rsidRPr="00847710">
        <w:rPr>
          <w:rFonts w:ascii="Times New Roman" w:hAnsi="Times New Roman" w:cs="Times New Roman"/>
          <w:sz w:val="24"/>
          <w:szCs w:val="24"/>
          <w:lang w:eastAsia="lv-LV"/>
        </w:rPr>
        <w:t>VD</w:t>
      </w:r>
      <w:r w:rsidRPr="00847710">
        <w:rPr>
          <w:rFonts w:ascii="Times New Roman" w:hAnsi="Times New Roman" w:cs="Times New Roman"/>
          <w:sz w:val="24"/>
          <w:szCs w:val="24"/>
          <w:lang w:eastAsia="lv-LV"/>
        </w:rPr>
        <w:t>, plānojot finanšu līdzekļus veselības aprūpes pakalp</w:t>
      </w:r>
      <w:r w:rsidR="00323FE7" w:rsidRPr="00847710">
        <w:rPr>
          <w:rFonts w:ascii="Times New Roman" w:hAnsi="Times New Roman" w:cs="Times New Roman"/>
          <w:sz w:val="24"/>
          <w:szCs w:val="24"/>
          <w:lang w:eastAsia="lv-LV"/>
        </w:rPr>
        <w:t>ojumu apmaksai, atsevišķi plāno</w:t>
      </w:r>
      <w:r w:rsidRPr="00847710">
        <w:rPr>
          <w:rFonts w:ascii="Times New Roman" w:hAnsi="Times New Roman" w:cs="Times New Roman"/>
          <w:sz w:val="24"/>
          <w:szCs w:val="24"/>
          <w:lang w:eastAsia="lv-LV"/>
        </w:rPr>
        <w:t xml:space="preserve"> naudas līdzekļu apmēru veselības aprūpes pakalpojumu apmaksai, kas nepieciešami personām ar prognozējamu (draudošu) invaliditāti un ilgstoši slimojošām personām darbspējīgā vecumā. </w:t>
      </w:r>
    </w:p>
    <w:p w14:paraId="089F13FC" w14:textId="77777777" w:rsidR="00261109" w:rsidRPr="00847710" w:rsidRDefault="00261109" w:rsidP="00261109">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Ārstniecības iestāde personai ar prognozējamu invaliditāti valsts apmaksātos plānveida veselības aprūpes pakalpojumus, kuri ir vērsti uz personas funkcionēšanas spēju saglabāšanu, uzlabošanu vai atjaunošanu, lai novērstu invaliditātes iestāšanos, un kuri ir iekļauti Veselības un darbspēju ekspertīzes ārstu valsts komisijas apstiprinātajā personas ar prognozējamu invaliditāti individuālajā rehabilitācijas plānā, uzsāk šādos termiņos:</w:t>
      </w:r>
    </w:p>
    <w:p w14:paraId="59CE6584" w14:textId="6C9C54F1" w:rsidR="00261109" w:rsidRPr="00847710" w:rsidRDefault="00261109" w:rsidP="00E22F86">
      <w:pPr>
        <w:pStyle w:val="ListParagraph"/>
        <w:numPr>
          <w:ilvl w:val="1"/>
          <w:numId w:val="18"/>
        </w:numPr>
        <w:ind w:left="709"/>
        <w:jc w:val="both"/>
        <w:rPr>
          <w:rFonts w:ascii="Times New Roman" w:hAnsi="Times New Roman"/>
          <w:sz w:val="24"/>
          <w:szCs w:val="24"/>
          <w:lang w:val="lv-LV" w:eastAsia="lv-LV"/>
        </w:rPr>
      </w:pPr>
      <w:r w:rsidRPr="00847710">
        <w:rPr>
          <w:rFonts w:ascii="Times New Roman" w:hAnsi="Times New Roman"/>
          <w:sz w:val="24"/>
          <w:szCs w:val="24"/>
          <w:lang w:val="lv-LV" w:eastAsia="lv-LV"/>
        </w:rPr>
        <w:t>ambulatoros veselības aprūpes pakalpojumus – 15 darbdienu laikā;</w:t>
      </w:r>
    </w:p>
    <w:p w14:paraId="5E1950EB" w14:textId="7338E911" w:rsidR="00261109" w:rsidRPr="00847710" w:rsidRDefault="00261109" w:rsidP="00E22F86">
      <w:pPr>
        <w:pStyle w:val="ListParagraph"/>
        <w:numPr>
          <w:ilvl w:val="1"/>
          <w:numId w:val="18"/>
        </w:numPr>
        <w:ind w:left="709"/>
        <w:jc w:val="both"/>
        <w:rPr>
          <w:rFonts w:ascii="Times New Roman" w:hAnsi="Times New Roman"/>
          <w:sz w:val="24"/>
          <w:szCs w:val="24"/>
          <w:lang w:val="lv-LV" w:eastAsia="lv-LV"/>
        </w:rPr>
      </w:pPr>
      <w:r w:rsidRPr="00847710">
        <w:rPr>
          <w:rFonts w:ascii="Times New Roman" w:hAnsi="Times New Roman"/>
          <w:sz w:val="24"/>
          <w:szCs w:val="24"/>
          <w:lang w:val="lv-LV" w:eastAsia="lv-LV"/>
        </w:rPr>
        <w:t>plānveida ambulatorās un stacionārās medicīniskās rehabilitācijas pakalpojumus – 15 darbdienu laikā;</w:t>
      </w:r>
    </w:p>
    <w:p w14:paraId="0C422AA8" w14:textId="7D159CB3" w:rsidR="00261109" w:rsidRPr="00847710" w:rsidRDefault="00261109" w:rsidP="00E22F86">
      <w:pPr>
        <w:pStyle w:val="ListParagraph"/>
        <w:numPr>
          <w:ilvl w:val="1"/>
          <w:numId w:val="18"/>
        </w:numPr>
        <w:ind w:left="709"/>
        <w:jc w:val="both"/>
        <w:rPr>
          <w:rFonts w:ascii="Times New Roman" w:hAnsi="Times New Roman"/>
          <w:sz w:val="24"/>
          <w:szCs w:val="24"/>
          <w:lang w:val="lv-LV" w:eastAsia="lv-LV"/>
        </w:rPr>
      </w:pPr>
      <w:r w:rsidRPr="00847710">
        <w:rPr>
          <w:rFonts w:ascii="Times New Roman" w:hAnsi="Times New Roman"/>
          <w:sz w:val="24"/>
          <w:szCs w:val="24"/>
          <w:lang w:val="lv-LV" w:eastAsia="lv-LV"/>
        </w:rPr>
        <w:t>plānveida operācijas – piecu kalendāra mēnešu laikā</w:t>
      </w:r>
      <w:r w:rsidRPr="00847710">
        <w:rPr>
          <w:rFonts w:ascii="Times New Roman" w:hAnsi="Times New Roman"/>
          <w:vertAlign w:val="superscript"/>
          <w:lang w:val="lv-LV"/>
        </w:rPr>
        <w:footnoteReference w:id="16"/>
      </w:r>
      <w:r w:rsidR="009E66EF" w:rsidRPr="00847710">
        <w:rPr>
          <w:rFonts w:ascii="Times New Roman" w:hAnsi="Times New Roman"/>
          <w:sz w:val="24"/>
          <w:szCs w:val="24"/>
          <w:lang w:val="lv-LV" w:eastAsia="lv-LV"/>
        </w:rPr>
        <w:t>.</w:t>
      </w:r>
    </w:p>
    <w:p w14:paraId="12E10B96" w14:textId="132762F6" w:rsidR="000D42A5" w:rsidRPr="00422119" w:rsidRDefault="00261109">
      <w:pPr>
        <w:ind w:firstLine="709"/>
        <w:jc w:val="both"/>
        <w:rPr>
          <w:rFonts w:ascii="Times New Roman" w:hAnsi="Times New Roman" w:cs="Times New Roman"/>
          <w:i/>
          <w:iCs/>
          <w:sz w:val="24"/>
          <w:szCs w:val="24"/>
        </w:rPr>
      </w:pPr>
      <w:r w:rsidRPr="00847710">
        <w:rPr>
          <w:rFonts w:ascii="Times New Roman" w:hAnsi="Times New Roman" w:cs="Times New Roman"/>
          <w:sz w:val="24"/>
          <w:szCs w:val="24"/>
          <w:lang w:eastAsia="lv-LV"/>
        </w:rPr>
        <w:t>Atbilstoši N</w:t>
      </w:r>
      <w:r w:rsidR="00D77295" w:rsidRPr="00847710">
        <w:rPr>
          <w:rFonts w:ascii="Times New Roman" w:hAnsi="Times New Roman" w:cs="Times New Roman"/>
          <w:sz w:val="24"/>
          <w:szCs w:val="24"/>
          <w:lang w:eastAsia="lv-LV"/>
        </w:rPr>
        <w:t>VD</w:t>
      </w:r>
      <w:r w:rsidRPr="00847710">
        <w:rPr>
          <w:rFonts w:ascii="Times New Roman" w:hAnsi="Times New Roman" w:cs="Times New Roman"/>
          <w:sz w:val="24"/>
          <w:szCs w:val="24"/>
          <w:lang w:eastAsia="lv-LV"/>
        </w:rPr>
        <w:t xml:space="preserve"> datiem 2017.gada 9</w:t>
      </w:r>
      <w:r w:rsidR="00323FE7" w:rsidRPr="00847710">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 xml:space="preserve">mēnešos stacionāros </w:t>
      </w:r>
      <w:r w:rsidR="00323FE7" w:rsidRPr="00847710">
        <w:rPr>
          <w:rFonts w:ascii="Times New Roman" w:hAnsi="Times New Roman" w:cs="Times New Roman"/>
          <w:sz w:val="24"/>
          <w:szCs w:val="24"/>
          <w:lang w:eastAsia="lv-LV"/>
        </w:rPr>
        <w:t xml:space="preserve">pakalpojumus </w:t>
      </w:r>
      <w:r w:rsidRPr="00847710">
        <w:rPr>
          <w:rFonts w:ascii="Times New Roman" w:hAnsi="Times New Roman" w:cs="Times New Roman"/>
          <w:sz w:val="24"/>
          <w:szCs w:val="24"/>
          <w:lang w:eastAsia="lv-LV"/>
        </w:rPr>
        <w:t>ir saņēmušas 602 personas ar prognozējamu (draudošu) invaliditāti un ilgstoši slimojoš</w:t>
      </w:r>
      <w:r w:rsidR="00323FE7" w:rsidRPr="00847710">
        <w:rPr>
          <w:rFonts w:ascii="Times New Roman" w:hAnsi="Times New Roman" w:cs="Times New Roman"/>
          <w:sz w:val="24"/>
          <w:szCs w:val="24"/>
          <w:lang w:eastAsia="lv-LV"/>
        </w:rPr>
        <w:t>as</w:t>
      </w:r>
      <w:r w:rsidRPr="00847710">
        <w:rPr>
          <w:rFonts w:ascii="Times New Roman" w:hAnsi="Times New Roman" w:cs="Times New Roman"/>
          <w:sz w:val="24"/>
          <w:szCs w:val="24"/>
          <w:lang w:eastAsia="lv-LV"/>
        </w:rPr>
        <w:t xml:space="preserve"> personas darbspējīgā vecumā</w:t>
      </w:r>
      <w:r w:rsidRPr="00847710">
        <w:rPr>
          <w:rFonts w:ascii="Times New Roman" w:hAnsi="Times New Roman" w:cs="Times New Roman"/>
          <w:sz w:val="24"/>
          <w:szCs w:val="24"/>
          <w:vertAlign w:val="superscript"/>
        </w:rPr>
        <w:footnoteReference w:id="17"/>
      </w:r>
      <w:r w:rsidR="00323FE7" w:rsidRPr="00847710">
        <w:rPr>
          <w:rFonts w:ascii="Times New Roman" w:hAnsi="Times New Roman" w:cs="Times New Roman"/>
          <w:sz w:val="24"/>
          <w:szCs w:val="24"/>
          <w:lang w:eastAsia="lv-LV"/>
        </w:rPr>
        <w:t>.</w:t>
      </w:r>
    </w:p>
    <w:p w14:paraId="793DEB70" w14:textId="77777777" w:rsidR="0086477B" w:rsidRDefault="0086477B">
      <w:pPr>
        <w:ind w:firstLine="720"/>
        <w:jc w:val="right"/>
        <w:rPr>
          <w:rFonts w:ascii="Times New Roman" w:hAnsi="Times New Roman" w:cs="Times New Roman"/>
          <w:i/>
          <w:iCs/>
          <w:sz w:val="24"/>
          <w:szCs w:val="24"/>
        </w:rPr>
      </w:pPr>
    </w:p>
    <w:p w14:paraId="7211985E" w14:textId="256D9D72" w:rsidR="00323FE7" w:rsidRPr="00422119" w:rsidRDefault="0086477B">
      <w:pPr>
        <w:ind w:firstLine="720"/>
        <w:jc w:val="right"/>
        <w:rPr>
          <w:rFonts w:ascii="Times New Roman" w:hAnsi="Times New Roman" w:cs="Times New Roman"/>
          <w:i/>
          <w:iCs/>
          <w:sz w:val="24"/>
          <w:szCs w:val="24"/>
        </w:rPr>
      </w:pPr>
      <w:r>
        <w:rPr>
          <w:rFonts w:ascii="Times New Roman" w:hAnsi="Times New Roman" w:cs="Times New Roman"/>
          <w:i/>
          <w:iCs/>
          <w:sz w:val="24"/>
          <w:szCs w:val="24"/>
        </w:rPr>
        <w:t>10</w:t>
      </w:r>
      <w:r w:rsidR="00323FE7" w:rsidRPr="57326167">
        <w:rPr>
          <w:rFonts w:ascii="Times New Roman" w:hAnsi="Times New Roman" w:cs="Times New Roman"/>
          <w:i/>
          <w:iCs/>
          <w:sz w:val="24"/>
          <w:szCs w:val="24"/>
        </w:rPr>
        <w:t xml:space="preserve">.tabula </w:t>
      </w:r>
    </w:p>
    <w:p w14:paraId="64379C7E" w14:textId="37B77034" w:rsidR="00261109" w:rsidRPr="00847710" w:rsidRDefault="00BD6BEC" w:rsidP="00323FE7">
      <w:pPr>
        <w:jc w:val="center"/>
        <w:rPr>
          <w:rFonts w:ascii="Times New Roman" w:eastAsia="Times New Roman" w:hAnsi="Times New Roman" w:cs="Times New Roman"/>
          <w:sz w:val="24"/>
          <w:szCs w:val="24"/>
          <w:lang w:eastAsia="lv-LV"/>
        </w:rPr>
      </w:pPr>
      <w:r w:rsidRPr="0012317D">
        <w:rPr>
          <w:rFonts w:ascii="Times New Roman" w:hAnsi="Times New Roman" w:cs="Times New Roman"/>
          <w:b/>
          <w:bCs/>
          <w:sz w:val="24"/>
          <w:szCs w:val="24"/>
        </w:rPr>
        <w:t>Darbnespējas saīsināšanai un pasākumiem prognozējamās invaliditātes novēršanai darbspējīgā vecumā ārstēto pacientu skaits sadalījumā pa diagnožu grupā</w:t>
      </w:r>
      <w:r w:rsidR="00D77295" w:rsidRPr="0078437D">
        <w:rPr>
          <w:rFonts w:ascii="Times New Roman" w:hAnsi="Times New Roman" w:cs="Times New Roman"/>
          <w:b/>
          <w:bCs/>
          <w:sz w:val="24"/>
          <w:szCs w:val="24"/>
        </w:rPr>
        <w:t>m</w:t>
      </w:r>
      <w:r w:rsidRPr="00901A9F">
        <w:rPr>
          <w:rFonts w:ascii="Times New Roman" w:hAnsi="Times New Roman" w:cs="Times New Roman"/>
          <w:b/>
          <w:bCs/>
          <w:sz w:val="24"/>
          <w:szCs w:val="24"/>
        </w:rPr>
        <w:t xml:space="preserve"> </w:t>
      </w: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565"/>
      </w:tblGrid>
      <w:tr w:rsidR="00D77295" w:rsidRPr="00847710" w14:paraId="7688B9FA" w14:textId="77777777" w:rsidTr="00422119">
        <w:trPr>
          <w:trHeight w:val="630"/>
          <w:jc w:val="center"/>
        </w:trPr>
        <w:tc>
          <w:tcPr>
            <w:tcW w:w="5807" w:type="dxa"/>
            <w:shd w:val="clear" w:color="auto" w:fill="E36C0A" w:themeFill="accent6" w:themeFillShade="BF"/>
            <w:vAlign w:val="center"/>
            <w:hideMark/>
          </w:tcPr>
          <w:p w14:paraId="52982647" w14:textId="77777777" w:rsidR="00D77295" w:rsidRPr="00422119" w:rsidRDefault="00D77295" w:rsidP="00422119">
            <w:pPr>
              <w:spacing w:after="0" w:line="240" w:lineRule="auto"/>
              <w:jc w:val="center"/>
              <w:rPr>
                <w:rFonts w:ascii="Times New Roman" w:eastAsia="Times New Roman" w:hAnsi="Times New Roman" w:cs="Times New Roman"/>
                <w:b/>
                <w:bCs/>
                <w:color w:val="000000"/>
                <w:lang w:eastAsia="lv-LV"/>
              </w:rPr>
            </w:pPr>
            <w:r w:rsidRPr="0012317D">
              <w:rPr>
                <w:rFonts w:ascii="Times New Roman" w:eastAsia="Times New Roman" w:hAnsi="Times New Roman" w:cs="Times New Roman"/>
                <w:b/>
                <w:bCs/>
                <w:color w:val="000000"/>
                <w:lang w:eastAsia="lv-LV"/>
              </w:rPr>
              <w:t>Diagnožu grupas nosaukums</w:t>
            </w:r>
          </w:p>
        </w:tc>
        <w:tc>
          <w:tcPr>
            <w:tcW w:w="1565" w:type="dxa"/>
            <w:shd w:val="clear" w:color="auto" w:fill="E36C0A" w:themeFill="accent6" w:themeFillShade="BF"/>
            <w:vAlign w:val="center"/>
            <w:hideMark/>
          </w:tcPr>
          <w:p w14:paraId="26557B15" w14:textId="77777777" w:rsidR="00D77295" w:rsidRPr="00422119" w:rsidRDefault="00D77295" w:rsidP="00422119">
            <w:pPr>
              <w:spacing w:after="0" w:line="240" w:lineRule="auto"/>
              <w:jc w:val="center"/>
              <w:rPr>
                <w:rFonts w:ascii="Times New Roman" w:eastAsia="Times New Roman" w:hAnsi="Times New Roman" w:cs="Times New Roman"/>
                <w:b/>
                <w:bCs/>
                <w:color w:val="000000"/>
                <w:lang w:eastAsia="lv-LV"/>
              </w:rPr>
            </w:pPr>
            <w:r w:rsidRPr="0012317D">
              <w:rPr>
                <w:rFonts w:ascii="Times New Roman" w:eastAsia="Times New Roman" w:hAnsi="Times New Roman" w:cs="Times New Roman"/>
                <w:b/>
                <w:bCs/>
                <w:color w:val="000000"/>
                <w:lang w:eastAsia="lv-LV"/>
              </w:rPr>
              <w:t xml:space="preserve">Pacientu skaits 2017.gada </w:t>
            </w:r>
          </w:p>
          <w:p w14:paraId="32014A36" w14:textId="3670F436" w:rsidR="00D77295" w:rsidRPr="00422119" w:rsidRDefault="00D77295" w:rsidP="00546B70">
            <w:pPr>
              <w:spacing w:after="0" w:line="240" w:lineRule="auto"/>
              <w:jc w:val="center"/>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9 mēnešos</w:t>
            </w:r>
          </w:p>
        </w:tc>
      </w:tr>
      <w:tr w:rsidR="00D77295" w:rsidRPr="00847710" w14:paraId="232EAE6A" w14:textId="77777777" w:rsidTr="00422119">
        <w:trPr>
          <w:trHeight w:val="315"/>
          <w:jc w:val="center"/>
        </w:trPr>
        <w:tc>
          <w:tcPr>
            <w:tcW w:w="5807" w:type="dxa"/>
            <w:shd w:val="clear" w:color="auto" w:fill="auto"/>
            <w:vAlign w:val="bottom"/>
            <w:hideMark/>
          </w:tcPr>
          <w:p w14:paraId="03265211" w14:textId="77777777" w:rsidR="00D77295" w:rsidRPr="00847710" w:rsidRDefault="00D77295"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Audzēji</w:t>
            </w:r>
          </w:p>
        </w:tc>
        <w:tc>
          <w:tcPr>
            <w:tcW w:w="1565" w:type="dxa"/>
            <w:shd w:val="clear" w:color="auto" w:fill="auto"/>
            <w:noWrap/>
            <w:vAlign w:val="bottom"/>
            <w:hideMark/>
          </w:tcPr>
          <w:p w14:paraId="7026FFC2" w14:textId="77777777" w:rsidR="00D77295" w:rsidRPr="00543703" w:rsidRDefault="00D77295" w:rsidP="00422119">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8</w:t>
            </w:r>
          </w:p>
        </w:tc>
      </w:tr>
      <w:tr w:rsidR="00D77295" w:rsidRPr="00847710" w14:paraId="762E8769" w14:textId="77777777" w:rsidTr="00422119">
        <w:trPr>
          <w:trHeight w:val="315"/>
          <w:jc w:val="center"/>
        </w:trPr>
        <w:tc>
          <w:tcPr>
            <w:tcW w:w="5807" w:type="dxa"/>
            <w:shd w:val="clear" w:color="auto" w:fill="auto"/>
            <w:vAlign w:val="bottom"/>
            <w:hideMark/>
          </w:tcPr>
          <w:p w14:paraId="1F3BE144" w14:textId="77777777" w:rsidR="00D77295" w:rsidRPr="00847710" w:rsidRDefault="00D77295"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Nervu sistēmas slimības</w:t>
            </w:r>
          </w:p>
        </w:tc>
        <w:tc>
          <w:tcPr>
            <w:tcW w:w="1565" w:type="dxa"/>
            <w:shd w:val="clear" w:color="auto" w:fill="auto"/>
            <w:noWrap/>
            <w:vAlign w:val="bottom"/>
            <w:hideMark/>
          </w:tcPr>
          <w:p w14:paraId="573DBAA7" w14:textId="77777777" w:rsidR="00D77295" w:rsidRPr="00543703" w:rsidRDefault="00D77295" w:rsidP="00422119">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7</w:t>
            </w:r>
          </w:p>
        </w:tc>
      </w:tr>
      <w:tr w:rsidR="00D77295" w:rsidRPr="00847710" w14:paraId="35261A8B" w14:textId="77777777" w:rsidTr="00422119">
        <w:trPr>
          <w:trHeight w:val="288"/>
          <w:jc w:val="center"/>
        </w:trPr>
        <w:tc>
          <w:tcPr>
            <w:tcW w:w="5807" w:type="dxa"/>
            <w:shd w:val="clear" w:color="auto" w:fill="auto"/>
            <w:vAlign w:val="bottom"/>
            <w:hideMark/>
          </w:tcPr>
          <w:p w14:paraId="1291D684" w14:textId="77777777" w:rsidR="00D77295" w:rsidRPr="00422119" w:rsidRDefault="00D77295" w:rsidP="00422119">
            <w:pPr>
              <w:spacing w:after="100" w:afterAutospacing="1" w:line="240" w:lineRule="auto"/>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Acu un to palīgorgānu slimības</w:t>
            </w:r>
          </w:p>
        </w:tc>
        <w:tc>
          <w:tcPr>
            <w:tcW w:w="1565" w:type="dxa"/>
            <w:shd w:val="clear" w:color="auto" w:fill="auto"/>
            <w:noWrap/>
            <w:vAlign w:val="bottom"/>
            <w:hideMark/>
          </w:tcPr>
          <w:p w14:paraId="7FDF50A7" w14:textId="77777777" w:rsidR="00D77295" w:rsidRPr="00543703" w:rsidRDefault="00D77295" w:rsidP="00422119">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90</w:t>
            </w:r>
          </w:p>
        </w:tc>
      </w:tr>
      <w:tr w:rsidR="00D77295" w:rsidRPr="00847710" w14:paraId="4FC9ECD6" w14:textId="77777777" w:rsidTr="00422119">
        <w:trPr>
          <w:trHeight w:val="315"/>
          <w:jc w:val="center"/>
        </w:trPr>
        <w:tc>
          <w:tcPr>
            <w:tcW w:w="5807" w:type="dxa"/>
            <w:shd w:val="clear" w:color="auto" w:fill="auto"/>
            <w:vAlign w:val="bottom"/>
            <w:hideMark/>
          </w:tcPr>
          <w:p w14:paraId="367A699B" w14:textId="77777777" w:rsidR="00D77295" w:rsidRPr="00847710" w:rsidRDefault="00D77295"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Asinsrites sistēmas slimības</w:t>
            </w:r>
          </w:p>
        </w:tc>
        <w:tc>
          <w:tcPr>
            <w:tcW w:w="1565" w:type="dxa"/>
            <w:shd w:val="clear" w:color="auto" w:fill="auto"/>
            <w:noWrap/>
            <w:vAlign w:val="bottom"/>
            <w:hideMark/>
          </w:tcPr>
          <w:p w14:paraId="11323FE5" w14:textId="77777777" w:rsidR="00D77295" w:rsidRPr="00543703" w:rsidRDefault="00D77295" w:rsidP="00422119">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8</w:t>
            </w:r>
          </w:p>
        </w:tc>
      </w:tr>
      <w:tr w:rsidR="00D77295" w:rsidRPr="00847710" w14:paraId="1C9A4AD7" w14:textId="77777777" w:rsidTr="00422119">
        <w:trPr>
          <w:trHeight w:val="315"/>
          <w:jc w:val="center"/>
        </w:trPr>
        <w:tc>
          <w:tcPr>
            <w:tcW w:w="5807" w:type="dxa"/>
            <w:shd w:val="clear" w:color="auto" w:fill="auto"/>
            <w:vAlign w:val="bottom"/>
            <w:hideMark/>
          </w:tcPr>
          <w:p w14:paraId="73F43B97" w14:textId="77777777" w:rsidR="00D77295" w:rsidRPr="00847710" w:rsidRDefault="00D77295"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Gremošanas sistēmas slimības</w:t>
            </w:r>
          </w:p>
        </w:tc>
        <w:tc>
          <w:tcPr>
            <w:tcW w:w="1565" w:type="dxa"/>
            <w:shd w:val="clear" w:color="auto" w:fill="auto"/>
            <w:noWrap/>
            <w:vAlign w:val="bottom"/>
            <w:hideMark/>
          </w:tcPr>
          <w:p w14:paraId="7B9EF7ED" w14:textId="77777777" w:rsidR="00D77295" w:rsidRPr="00543703" w:rsidRDefault="00D77295" w:rsidP="00422119">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1</w:t>
            </w:r>
          </w:p>
        </w:tc>
      </w:tr>
      <w:tr w:rsidR="00D77295" w:rsidRPr="00847710" w14:paraId="51E7D697" w14:textId="77777777" w:rsidTr="00422119">
        <w:trPr>
          <w:trHeight w:val="279"/>
          <w:jc w:val="center"/>
        </w:trPr>
        <w:tc>
          <w:tcPr>
            <w:tcW w:w="5807" w:type="dxa"/>
            <w:shd w:val="clear" w:color="auto" w:fill="auto"/>
            <w:vAlign w:val="bottom"/>
            <w:hideMark/>
          </w:tcPr>
          <w:p w14:paraId="3D7DAC5D" w14:textId="77777777" w:rsidR="00D77295" w:rsidRPr="00847710" w:rsidRDefault="00D77295"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Skeleta, muskuļu un saistaudu slimības</w:t>
            </w:r>
          </w:p>
        </w:tc>
        <w:tc>
          <w:tcPr>
            <w:tcW w:w="1565" w:type="dxa"/>
            <w:shd w:val="clear" w:color="auto" w:fill="auto"/>
            <w:noWrap/>
            <w:vAlign w:val="bottom"/>
            <w:hideMark/>
          </w:tcPr>
          <w:p w14:paraId="194A4939" w14:textId="77777777" w:rsidR="00D77295" w:rsidRPr="00543703" w:rsidRDefault="00D77295" w:rsidP="00422119">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418</w:t>
            </w:r>
          </w:p>
        </w:tc>
      </w:tr>
      <w:tr w:rsidR="00D77295" w:rsidRPr="00847710" w14:paraId="582C75A3" w14:textId="77777777" w:rsidTr="00422119">
        <w:trPr>
          <w:trHeight w:val="315"/>
          <w:jc w:val="center"/>
        </w:trPr>
        <w:tc>
          <w:tcPr>
            <w:tcW w:w="5807" w:type="dxa"/>
            <w:shd w:val="clear" w:color="auto" w:fill="auto"/>
            <w:vAlign w:val="bottom"/>
            <w:hideMark/>
          </w:tcPr>
          <w:p w14:paraId="5C34A175" w14:textId="77777777" w:rsidR="00D77295" w:rsidRPr="00422119" w:rsidRDefault="00D77295" w:rsidP="00422119">
            <w:pPr>
              <w:spacing w:after="100" w:afterAutospacing="1" w:line="240" w:lineRule="auto"/>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Uroģenitālās sistēmas slimības</w:t>
            </w:r>
          </w:p>
        </w:tc>
        <w:tc>
          <w:tcPr>
            <w:tcW w:w="1565" w:type="dxa"/>
            <w:shd w:val="clear" w:color="auto" w:fill="auto"/>
            <w:noWrap/>
            <w:vAlign w:val="bottom"/>
            <w:hideMark/>
          </w:tcPr>
          <w:p w14:paraId="6A22E808" w14:textId="77777777" w:rsidR="00D77295" w:rsidRPr="00543703" w:rsidRDefault="00D77295" w:rsidP="00422119">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1</w:t>
            </w:r>
          </w:p>
        </w:tc>
      </w:tr>
      <w:tr w:rsidR="00D77295" w:rsidRPr="00847710" w14:paraId="2FCFAA9F" w14:textId="77777777" w:rsidTr="00422119">
        <w:trPr>
          <w:trHeight w:val="448"/>
          <w:jc w:val="center"/>
        </w:trPr>
        <w:tc>
          <w:tcPr>
            <w:tcW w:w="5807" w:type="dxa"/>
            <w:shd w:val="clear" w:color="auto" w:fill="auto"/>
            <w:vAlign w:val="bottom"/>
            <w:hideMark/>
          </w:tcPr>
          <w:p w14:paraId="5B74AFD7" w14:textId="77777777" w:rsidR="00D77295" w:rsidRPr="00847710" w:rsidRDefault="00D77295"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Iedzimtas kroplības, deformācijas un hromosomu anomālijas</w:t>
            </w:r>
          </w:p>
        </w:tc>
        <w:tc>
          <w:tcPr>
            <w:tcW w:w="1565" w:type="dxa"/>
            <w:shd w:val="clear" w:color="auto" w:fill="auto"/>
            <w:noWrap/>
            <w:vAlign w:val="bottom"/>
            <w:hideMark/>
          </w:tcPr>
          <w:p w14:paraId="268AA459" w14:textId="77777777" w:rsidR="00D77295" w:rsidRPr="00543703" w:rsidRDefault="00D77295" w:rsidP="00422119">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2</w:t>
            </w:r>
          </w:p>
        </w:tc>
      </w:tr>
      <w:tr w:rsidR="00D77295" w:rsidRPr="00847710" w14:paraId="282249CB" w14:textId="77777777" w:rsidTr="00422119">
        <w:trPr>
          <w:trHeight w:val="356"/>
          <w:jc w:val="center"/>
        </w:trPr>
        <w:tc>
          <w:tcPr>
            <w:tcW w:w="5807" w:type="dxa"/>
            <w:shd w:val="clear" w:color="auto" w:fill="auto"/>
            <w:vAlign w:val="bottom"/>
            <w:hideMark/>
          </w:tcPr>
          <w:p w14:paraId="18D302B5" w14:textId="77777777" w:rsidR="00D77295" w:rsidRPr="00847710" w:rsidRDefault="00D77295"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Ievainojumi, saindēšanās un citas ārējās iedarbes sekas</w:t>
            </w:r>
          </w:p>
        </w:tc>
        <w:tc>
          <w:tcPr>
            <w:tcW w:w="1565" w:type="dxa"/>
            <w:shd w:val="clear" w:color="auto" w:fill="auto"/>
            <w:noWrap/>
            <w:vAlign w:val="bottom"/>
            <w:hideMark/>
          </w:tcPr>
          <w:p w14:paraId="721B9B50" w14:textId="77777777" w:rsidR="00D77295" w:rsidRPr="00543703" w:rsidRDefault="00D77295" w:rsidP="00422119">
            <w:pPr>
              <w:spacing w:after="100" w:afterAutospacing="1" w:line="240" w:lineRule="auto"/>
              <w:jc w:val="center"/>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67</w:t>
            </w:r>
          </w:p>
        </w:tc>
      </w:tr>
      <w:tr w:rsidR="00261109" w:rsidRPr="00847710" w14:paraId="66305604" w14:textId="77777777" w:rsidTr="00422119">
        <w:trPr>
          <w:trHeight w:val="330"/>
          <w:jc w:val="center"/>
        </w:trPr>
        <w:tc>
          <w:tcPr>
            <w:tcW w:w="5807" w:type="dxa"/>
            <w:shd w:val="clear" w:color="auto" w:fill="FBD4B4" w:themeFill="accent6" w:themeFillTint="66"/>
            <w:noWrap/>
            <w:vAlign w:val="bottom"/>
            <w:hideMark/>
          </w:tcPr>
          <w:p w14:paraId="4675C2CB" w14:textId="77777777" w:rsidR="00261109" w:rsidRPr="00422119" w:rsidRDefault="00261109" w:rsidP="00422119">
            <w:pPr>
              <w:spacing w:after="100" w:afterAutospacing="1" w:line="240" w:lineRule="auto"/>
              <w:jc w:val="right"/>
              <w:rPr>
                <w:rFonts w:ascii="Times New Roman" w:eastAsia="Times New Roman" w:hAnsi="Times New Roman" w:cs="Times New Roman"/>
                <w:b/>
                <w:bCs/>
                <w:color w:val="000000"/>
                <w:lang w:eastAsia="lv-LV"/>
              </w:rPr>
            </w:pPr>
            <w:r w:rsidRPr="0012317D">
              <w:rPr>
                <w:rFonts w:ascii="Times New Roman" w:eastAsia="Times New Roman" w:hAnsi="Times New Roman" w:cs="Times New Roman"/>
                <w:b/>
                <w:bCs/>
                <w:color w:val="000000"/>
                <w:lang w:eastAsia="lv-LV"/>
              </w:rPr>
              <w:lastRenderedPageBreak/>
              <w:t>KOPĀ</w:t>
            </w:r>
          </w:p>
        </w:tc>
        <w:tc>
          <w:tcPr>
            <w:tcW w:w="1565" w:type="dxa"/>
            <w:shd w:val="clear" w:color="auto" w:fill="FBD4B4" w:themeFill="accent6" w:themeFillTint="66"/>
            <w:noWrap/>
            <w:vAlign w:val="bottom"/>
            <w:hideMark/>
          </w:tcPr>
          <w:p w14:paraId="2EBEBB9E" w14:textId="77777777" w:rsidR="00261109" w:rsidRPr="00422119" w:rsidRDefault="00261109" w:rsidP="00422119">
            <w:pPr>
              <w:spacing w:after="100" w:afterAutospacing="1" w:line="240" w:lineRule="auto"/>
              <w:jc w:val="center"/>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602</w:t>
            </w:r>
          </w:p>
        </w:tc>
      </w:tr>
    </w:tbl>
    <w:p w14:paraId="6760CB71" w14:textId="77777777" w:rsidR="00261109" w:rsidRPr="00847710" w:rsidRDefault="00261109" w:rsidP="00261109">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ab/>
        <w:t xml:space="preserve"> </w:t>
      </w:r>
    </w:p>
    <w:p w14:paraId="7E93AE8C" w14:textId="6E044599" w:rsidR="007C181A" w:rsidRPr="00847710" w:rsidRDefault="00067701" w:rsidP="00261109">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N</w:t>
      </w:r>
      <w:r w:rsidR="00261109" w:rsidRPr="00847710">
        <w:rPr>
          <w:rFonts w:ascii="Times New Roman" w:hAnsi="Times New Roman" w:cs="Times New Roman"/>
          <w:sz w:val="24"/>
          <w:szCs w:val="24"/>
          <w:lang w:eastAsia="lv-LV"/>
        </w:rPr>
        <w:t>o epidemioloģiskā viedokļa viens no visbiežāk</w:t>
      </w:r>
      <w:r w:rsidR="009E6390" w:rsidRPr="00847710">
        <w:rPr>
          <w:rFonts w:ascii="Times New Roman" w:hAnsi="Times New Roman" w:cs="Times New Roman"/>
          <w:sz w:val="24"/>
          <w:szCs w:val="24"/>
          <w:lang w:eastAsia="lv-LV"/>
        </w:rPr>
        <w:t>ajiem</w:t>
      </w:r>
      <w:r w:rsidR="00261109" w:rsidRPr="00847710">
        <w:rPr>
          <w:rFonts w:ascii="Times New Roman" w:hAnsi="Times New Roman" w:cs="Times New Roman"/>
          <w:sz w:val="24"/>
          <w:szCs w:val="24"/>
          <w:lang w:eastAsia="lv-LV"/>
        </w:rPr>
        <w:t xml:space="preserve"> iemesl</w:t>
      </w:r>
      <w:r w:rsidR="009E6390" w:rsidRPr="00847710">
        <w:rPr>
          <w:rFonts w:ascii="Times New Roman" w:hAnsi="Times New Roman" w:cs="Times New Roman"/>
          <w:sz w:val="24"/>
          <w:szCs w:val="24"/>
          <w:lang w:eastAsia="lv-LV"/>
        </w:rPr>
        <w:t>iem ilgstošai invaliditātei un darbaspēju  zuduma, ir</w:t>
      </w:r>
      <w:r w:rsidR="00261109" w:rsidRPr="00847710">
        <w:rPr>
          <w:rFonts w:ascii="Times New Roman" w:hAnsi="Times New Roman" w:cs="Times New Roman"/>
          <w:sz w:val="24"/>
          <w:szCs w:val="24"/>
          <w:lang w:eastAsia="lv-LV"/>
        </w:rPr>
        <w:t xml:space="preserve"> mugura</w:t>
      </w:r>
      <w:r w:rsidR="009E6390" w:rsidRPr="00847710">
        <w:rPr>
          <w:rFonts w:ascii="Times New Roman" w:hAnsi="Times New Roman" w:cs="Times New Roman"/>
          <w:sz w:val="24"/>
          <w:szCs w:val="24"/>
          <w:lang w:eastAsia="lv-LV"/>
        </w:rPr>
        <w:t>s</w:t>
      </w:r>
      <w:r w:rsidR="00261109" w:rsidRPr="00847710">
        <w:rPr>
          <w:rFonts w:ascii="Times New Roman" w:hAnsi="Times New Roman" w:cs="Times New Roman"/>
          <w:sz w:val="24"/>
          <w:szCs w:val="24"/>
          <w:lang w:eastAsia="lv-LV"/>
        </w:rPr>
        <w:t xml:space="preserve"> sāp</w:t>
      </w:r>
      <w:r w:rsidR="009E6390" w:rsidRPr="00847710">
        <w:rPr>
          <w:rFonts w:ascii="Times New Roman" w:hAnsi="Times New Roman" w:cs="Times New Roman"/>
          <w:sz w:val="24"/>
          <w:szCs w:val="24"/>
          <w:lang w:eastAsia="lv-LV"/>
        </w:rPr>
        <w:t>es ar attiecīgu patoloģiju -</w:t>
      </w:r>
      <w:r w:rsidR="00261109" w:rsidRPr="00847710">
        <w:rPr>
          <w:rFonts w:ascii="Times New Roman" w:hAnsi="Times New Roman" w:cs="Times New Roman"/>
          <w:sz w:val="24"/>
          <w:szCs w:val="24"/>
          <w:lang w:eastAsia="lv-LV"/>
        </w:rPr>
        <w:t xml:space="preserve"> diska trūce (tā</w:t>
      </w:r>
      <w:r w:rsidR="009E6390" w:rsidRPr="00847710">
        <w:rPr>
          <w:rFonts w:ascii="Times New Roman" w:hAnsi="Times New Roman" w:cs="Times New Roman"/>
          <w:sz w:val="24"/>
          <w:szCs w:val="24"/>
          <w:lang w:eastAsia="lv-LV"/>
        </w:rPr>
        <w:t>s</w:t>
      </w:r>
      <w:r w:rsidR="00261109" w:rsidRPr="00847710">
        <w:rPr>
          <w:rFonts w:ascii="Times New Roman" w:hAnsi="Times New Roman" w:cs="Times New Roman"/>
          <w:sz w:val="24"/>
          <w:szCs w:val="24"/>
          <w:lang w:eastAsia="lv-LV"/>
        </w:rPr>
        <w:t xml:space="preserve"> izplatība ir</w:t>
      </w:r>
      <w:r w:rsidR="00816A38" w:rsidRPr="00847710">
        <w:rPr>
          <w:rFonts w:ascii="Times New Roman" w:hAnsi="Times New Roman" w:cs="Times New Roman"/>
          <w:sz w:val="24"/>
          <w:szCs w:val="24"/>
          <w:lang w:eastAsia="lv-LV"/>
        </w:rPr>
        <w:t xml:space="preserve"> </w:t>
      </w:r>
      <w:r w:rsidR="00261109" w:rsidRPr="00847710">
        <w:rPr>
          <w:rFonts w:ascii="Times New Roman" w:hAnsi="Times New Roman" w:cs="Times New Roman"/>
          <w:sz w:val="24"/>
          <w:szCs w:val="24"/>
          <w:lang w:eastAsia="lv-LV"/>
        </w:rPr>
        <w:t>10 līdz 15% no visām mugura</w:t>
      </w:r>
      <w:r w:rsidR="009E6390" w:rsidRPr="00847710">
        <w:rPr>
          <w:rFonts w:ascii="Times New Roman" w:hAnsi="Times New Roman" w:cs="Times New Roman"/>
          <w:sz w:val="24"/>
          <w:szCs w:val="24"/>
          <w:lang w:eastAsia="lv-LV"/>
        </w:rPr>
        <w:t>s</w:t>
      </w:r>
      <w:r w:rsidR="00261109" w:rsidRPr="00847710">
        <w:rPr>
          <w:rFonts w:ascii="Times New Roman" w:hAnsi="Times New Roman" w:cs="Times New Roman"/>
          <w:sz w:val="24"/>
          <w:szCs w:val="24"/>
          <w:lang w:eastAsia="lv-LV"/>
        </w:rPr>
        <w:t xml:space="preserve"> sāpēm). No 2018.gada 1.janvāra paredzēts apmaksāt jaunu manipulāciju stacionārā – </w:t>
      </w:r>
      <w:r w:rsidR="007C181A" w:rsidRPr="00847710">
        <w:rPr>
          <w:rFonts w:ascii="Times New Roman" w:hAnsi="Times New Roman" w:cs="Times New Roman"/>
          <w:sz w:val="24"/>
          <w:szCs w:val="24"/>
          <w:lang w:eastAsia="lv-LV"/>
        </w:rPr>
        <w:t>Mikrodiskektomija</w:t>
      </w:r>
      <w:r w:rsidR="00EC4207" w:rsidRPr="00847710">
        <w:rPr>
          <w:rFonts w:ascii="Times New Roman" w:hAnsi="Times New Roman" w:cs="Times New Roman"/>
          <w:sz w:val="24"/>
          <w:szCs w:val="24"/>
          <w:lang w:eastAsia="lv-LV"/>
        </w:rPr>
        <w:t xml:space="preserve"> </w:t>
      </w:r>
      <w:r w:rsidR="007C181A" w:rsidRPr="00847710">
        <w:rPr>
          <w:rFonts w:ascii="Times New Roman" w:hAnsi="Times New Roman" w:cs="Times New Roman"/>
          <w:sz w:val="24"/>
          <w:szCs w:val="24"/>
          <w:lang w:eastAsia="lv-LV"/>
        </w:rPr>
        <w:t xml:space="preserve">ar </w:t>
      </w:r>
      <w:r w:rsidR="00C26D1C" w:rsidRPr="00847710">
        <w:rPr>
          <w:rFonts w:ascii="Times New Roman" w:hAnsi="Times New Roman" w:cs="Times New Roman"/>
          <w:sz w:val="24"/>
          <w:szCs w:val="24"/>
          <w:lang w:eastAsia="lv-LV"/>
        </w:rPr>
        <w:t>viena gadījuma izmaksām</w:t>
      </w:r>
      <w:r w:rsidR="007C181A" w:rsidRPr="00847710">
        <w:rPr>
          <w:rFonts w:ascii="Times New Roman" w:hAnsi="Times New Roman" w:cs="Times New Roman"/>
          <w:sz w:val="24"/>
          <w:szCs w:val="24"/>
          <w:lang w:eastAsia="lv-LV"/>
        </w:rPr>
        <w:t xml:space="preserve"> </w:t>
      </w:r>
      <w:r w:rsidR="00540ACE" w:rsidRPr="00847710">
        <w:rPr>
          <w:rFonts w:ascii="Times New Roman" w:hAnsi="Times New Roman" w:cs="Times New Roman"/>
          <w:sz w:val="24"/>
          <w:szCs w:val="24"/>
          <w:lang w:eastAsia="lv-LV"/>
        </w:rPr>
        <w:t>796,</w:t>
      </w:r>
      <w:r w:rsidR="00B60867" w:rsidRPr="00847710">
        <w:rPr>
          <w:rFonts w:ascii="Times New Roman" w:hAnsi="Times New Roman" w:cs="Times New Roman"/>
          <w:sz w:val="24"/>
          <w:szCs w:val="24"/>
          <w:lang w:eastAsia="lv-LV"/>
        </w:rPr>
        <w:t>34</w:t>
      </w:r>
      <w:r w:rsidR="007C181A" w:rsidRPr="00847710">
        <w:rPr>
          <w:rFonts w:ascii="Times New Roman" w:hAnsi="Times New Roman" w:cs="Times New Roman"/>
          <w:sz w:val="24"/>
          <w:szCs w:val="24"/>
          <w:lang w:eastAsia="lv-LV"/>
        </w:rPr>
        <w:t xml:space="preserve"> euro</w:t>
      </w:r>
      <w:r w:rsidR="00C26D1C" w:rsidRPr="00847710">
        <w:rPr>
          <w:rFonts w:ascii="Times New Roman" w:hAnsi="Times New Roman" w:cs="Times New Roman"/>
          <w:sz w:val="24"/>
          <w:szCs w:val="24"/>
          <w:lang w:eastAsia="lv-LV"/>
        </w:rPr>
        <w:t>, ko veido pakalpojuma tarifs 301,86 euro apmērā, 4 pacienta gultas dienu apmaksa 274,04 euro (4 * 68,51 euro) apmērā un vidējās anestēzijas</w:t>
      </w:r>
      <w:r w:rsidR="00C26D1C" w:rsidRPr="00847710">
        <w:rPr>
          <w:rFonts w:ascii="Times New Roman" w:hAnsi="Times New Roman" w:cs="Times New Roman"/>
        </w:rPr>
        <w:t xml:space="preserve"> (</w:t>
      </w:r>
      <w:r w:rsidR="00C26D1C" w:rsidRPr="00847710">
        <w:rPr>
          <w:rFonts w:ascii="Times New Roman" w:eastAsia="Times New Roman" w:hAnsi="Times New Roman" w:cs="Times New Roman"/>
          <w:sz w:val="24"/>
          <w:szCs w:val="24"/>
          <w:lang w:bidi="gu-IN"/>
        </w:rPr>
        <w:t>pirms, pēc operācijas, operācijas laikā, ierīces izmantošanas izmaksas)</w:t>
      </w:r>
      <w:r w:rsidR="00C26D1C" w:rsidRPr="00847710">
        <w:rPr>
          <w:rFonts w:ascii="Times New Roman" w:hAnsi="Times New Roman" w:cs="Times New Roman"/>
          <w:sz w:val="24"/>
          <w:szCs w:val="24"/>
          <w:lang w:eastAsia="lv-LV"/>
        </w:rPr>
        <w:t xml:space="preserve"> izmaksas uz pacientu 220,44 euro apmērā.</w:t>
      </w:r>
      <w:r w:rsidR="007C181A" w:rsidRPr="00847710">
        <w:rPr>
          <w:rFonts w:ascii="Times New Roman" w:hAnsi="Times New Roman" w:cs="Times New Roman"/>
          <w:sz w:val="24"/>
          <w:szCs w:val="24"/>
          <w:lang w:eastAsia="lv-LV"/>
        </w:rPr>
        <w:t xml:space="preserve"> </w:t>
      </w:r>
    </w:p>
    <w:p w14:paraId="34CC039E" w14:textId="79EADC4A" w:rsidR="00521221" w:rsidRPr="00847710" w:rsidRDefault="00521221" w:rsidP="00261109">
      <w:pPr>
        <w:ind w:firstLine="709"/>
        <w:jc w:val="both"/>
        <w:rPr>
          <w:rFonts w:ascii="Times New Roman" w:hAnsi="Times New Roman" w:cs="Times New Roman"/>
          <w:sz w:val="24"/>
          <w:szCs w:val="24"/>
          <w:lang w:eastAsia="lv-LV"/>
        </w:rPr>
      </w:pPr>
      <w:r w:rsidRPr="00847710">
        <w:rPr>
          <w:rFonts w:ascii="Times New Roman" w:eastAsia="Times New Roman" w:hAnsi="Times New Roman" w:cs="Times New Roman"/>
          <w:sz w:val="24"/>
          <w:szCs w:val="24"/>
          <w:lang w:bidi="gu-IN"/>
        </w:rPr>
        <w:t xml:space="preserve">Attiecīgi ar </w:t>
      </w:r>
      <w:r w:rsidRPr="00847710">
        <w:rPr>
          <w:rFonts w:ascii="Times New Roman" w:hAnsi="Times New Roman" w:cs="Times New Roman"/>
          <w:sz w:val="24"/>
          <w:szCs w:val="24"/>
          <w:lang w:eastAsia="lv-LV"/>
        </w:rPr>
        <w:t>mikrodiskektomijas, mikrofenestrācijas operācijas veikšanu plānots 2018.gadā uzlabot 582 pacientu darbspējas</w:t>
      </w:r>
      <w:r w:rsidR="004D1EBA" w:rsidRPr="00847710">
        <w:rPr>
          <w:rFonts w:ascii="Times New Roman" w:hAnsi="Times New Roman" w:cs="Times New Roman"/>
          <w:sz w:val="24"/>
          <w:szCs w:val="24"/>
          <w:lang w:eastAsia="lv-LV"/>
        </w:rPr>
        <w:t xml:space="preserve"> un atgriešanos darba tirgū</w:t>
      </w:r>
      <w:r w:rsidRPr="00847710">
        <w:rPr>
          <w:rFonts w:ascii="Times New Roman" w:hAnsi="Times New Roman" w:cs="Times New Roman"/>
          <w:sz w:val="24"/>
          <w:szCs w:val="24"/>
          <w:lang w:eastAsia="lv-LV"/>
        </w:rPr>
        <w:t>.</w:t>
      </w:r>
    </w:p>
    <w:p w14:paraId="0935DA7F" w14:textId="04E13E24" w:rsidR="000D42A5" w:rsidRPr="00422119" w:rsidRDefault="00261109">
      <w:pPr>
        <w:ind w:firstLine="709"/>
        <w:jc w:val="both"/>
        <w:rPr>
          <w:rFonts w:ascii="Times New Roman" w:hAnsi="Times New Roman" w:cs="Times New Roman"/>
          <w:i/>
          <w:iCs/>
          <w:sz w:val="24"/>
          <w:szCs w:val="24"/>
        </w:rPr>
      </w:pPr>
      <w:r w:rsidRPr="00847710">
        <w:rPr>
          <w:rFonts w:ascii="Times New Roman" w:hAnsi="Times New Roman" w:cs="Times New Roman"/>
          <w:sz w:val="24"/>
          <w:szCs w:val="24"/>
          <w:lang w:eastAsia="lv-LV"/>
        </w:rPr>
        <w:tab/>
        <w:t xml:space="preserve">Lai mazinātu rindas uz plānveida stacionāriem pakalpojumiem personām darbspējīgā vecumā, tādējādi mazinot darba nespējas zudumu, 2018. gadā plānots papildus apmaksāt </w:t>
      </w:r>
      <w:r w:rsidR="00323FE7" w:rsidRPr="00847710">
        <w:rPr>
          <w:rFonts w:ascii="Times New Roman" w:hAnsi="Times New Roman" w:cs="Times New Roman"/>
          <w:sz w:val="24"/>
          <w:szCs w:val="24"/>
          <w:lang w:eastAsia="lv-LV"/>
        </w:rPr>
        <w:t>1</w:t>
      </w:r>
      <w:r w:rsidR="005C2A2A" w:rsidRPr="00847710">
        <w:rPr>
          <w:rFonts w:ascii="Times New Roman" w:hAnsi="Times New Roman" w:cs="Times New Roman"/>
          <w:sz w:val="24"/>
          <w:szCs w:val="24"/>
          <w:lang w:eastAsia="lv-LV"/>
        </w:rPr>
        <w:t xml:space="preserve"> </w:t>
      </w:r>
      <w:r w:rsidR="000B28D2" w:rsidRPr="00847710">
        <w:rPr>
          <w:rFonts w:ascii="Times New Roman" w:hAnsi="Times New Roman" w:cs="Times New Roman"/>
          <w:sz w:val="24"/>
          <w:szCs w:val="24"/>
          <w:lang w:eastAsia="lv-LV"/>
        </w:rPr>
        <w:t>667</w:t>
      </w:r>
      <w:r w:rsidR="00323FE7" w:rsidRPr="00847710">
        <w:rPr>
          <w:rFonts w:ascii="Times New Roman" w:hAnsi="Times New Roman" w:cs="Times New Roman"/>
          <w:sz w:val="24"/>
          <w:szCs w:val="24"/>
          <w:lang w:eastAsia="lv-LV"/>
        </w:rPr>
        <w:t xml:space="preserve"> plānveida stacionāros pakalpojumus pacientiem </w:t>
      </w:r>
      <w:r w:rsidRPr="00847710">
        <w:rPr>
          <w:rFonts w:ascii="Times New Roman" w:hAnsi="Times New Roman" w:cs="Times New Roman"/>
          <w:sz w:val="24"/>
          <w:szCs w:val="24"/>
          <w:lang w:eastAsia="lv-LV"/>
        </w:rPr>
        <w:t>darbspējīgā vecumā</w:t>
      </w:r>
      <w:r w:rsidRPr="00847710">
        <w:rPr>
          <w:rFonts w:ascii="Times New Roman" w:hAnsi="Times New Roman" w:cs="Times New Roman"/>
          <w:sz w:val="24"/>
          <w:szCs w:val="24"/>
          <w:vertAlign w:val="superscript"/>
        </w:rPr>
        <w:footnoteReference w:id="18"/>
      </w:r>
      <w:r w:rsidR="00540ACE" w:rsidRPr="00847710">
        <w:rPr>
          <w:rFonts w:ascii="Times New Roman" w:hAnsi="Times New Roman" w:cs="Times New Roman"/>
          <w:sz w:val="24"/>
          <w:szCs w:val="24"/>
          <w:lang w:eastAsia="lv-LV"/>
        </w:rPr>
        <w:t>.</w:t>
      </w:r>
    </w:p>
    <w:p w14:paraId="556C31E0" w14:textId="77777777" w:rsidR="0086477B" w:rsidRDefault="0086477B">
      <w:pPr>
        <w:ind w:firstLine="720"/>
        <w:jc w:val="right"/>
        <w:rPr>
          <w:rFonts w:ascii="Times New Roman" w:hAnsi="Times New Roman" w:cs="Times New Roman"/>
          <w:i/>
          <w:iCs/>
          <w:sz w:val="24"/>
          <w:szCs w:val="24"/>
        </w:rPr>
      </w:pPr>
    </w:p>
    <w:p w14:paraId="1F7181C1" w14:textId="77777777" w:rsidR="0086477B" w:rsidRDefault="0086477B">
      <w:pPr>
        <w:ind w:firstLine="720"/>
        <w:jc w:val="right"/>
        <w:rPr>
          <w:rFonts w:ascii="Times New Roman" w:hAnsi="Times New Roman" w:cs="Times New Roman"/>
          <w:i/>
          <w:iCs/>
          <w:sz w:val="24"/>
          <w:szCs w:val="24"/>
        </w:rPr>
      </w:pPr>
    </w:p>
    <w:p w14:paraId="6E421E4A" w14:textId="77777777" w:rsidR="0086477B" w:rsidRDefault="0086477B">
      <w:pPr>
        <w:ind w:firstLine="720"/>
        <w:jc w:val="right"/>
        <w:rPr>
          <w:rFonts w:ascii="Times New Roman" w:hAnsi="Times New Roman" w:cs="Times New Roman"/>
          <w:i/>
          <w:iCs/>
          <w:sz w:val="24"/>
          <w:szCs w:val="24"/>
        </w:rPr>
      </w:pPr>
    </w:p>
    <w:p w14:paraId="622528CC" w14:textId="21DB1F07" w:rsidR="007021E7" w:rsidRPr="00422119" w:rsidRDefault="0020102F">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86477B">
        <w:rPr>
          <w:rFonts w:ascii="Times New Roman" w:hAnsi="Times New Roman" w:cs="Times New Roman"/>
          <w:i/>
          <w:iCs/>
          <w:sz w:val="24"/>
          <w:szCs w:val="24"/>
        </w:rPr>
        <w:t>1</w:t>
      </w:r>
      <w:r w:rsidR="007021E7" w:rsidRPr="57326167">
        <w:rPr>
          <w:rFonts w:ascii="Times New Roman" w:hAnsi="Times New Roman" w:cs="Times New Roman"/>
          <w:i/>
          <w:iCs/>
          <w:sz w:val="24"/>
          <w:szCs w:val="24"/>
        </w:rPr>
        <w:t xml:space="preserve">.tabula </w:t>
      </w:r>
    </w:p>
    <w:p w14:paraId="469B136B" w14:textId="7DB61DDB" w:rsidR="007021E7" w:rsidRPr="00422119" w:rsidRDefault="007021E7">
      <w:pPr>
        <w:jc w:val="center"/>
        <w:rPr>
          <w:rFonts w:ascii="Times New Roman" w:hAnsi="Times New Roman" w:cs="Times New Roman"/>
          <w:b/>
          <w:bCs/>
          <w:sz w:val="24"/>
          <w:szCs w:val="24"/>
        </w:rPr>
      </w:pPr>
      <w:r w:rsidRPr="0012317D">
        <w:rPr>
          <w:rFonts w:ascii="Times New Roman" w:hAnsi="Times New Roman" w:cs="Times New Roman"/>
          <w:b/>
          <w:bCs/>
          <w:sz w:val="24"/>
          <w:szCs w:val="24"/>
        </w:rPr>
        <w:t>Darbnespējas saīsināšanai un pasākumiem prognozējamās invaliditātes novēršanai ar mērķi novērst ilgstošu slimošanu personām darbspējīgā vecumā nepieciešamais finansējums</w:t>
      </w:r>
    </w:p>
    <w:tbl>
      <w:tblPr>
        <w:tblW w:w="9312" w:type="dxa"/>
        <w:tblInd w:w="-147" w:type="dxa"/>
        <w:tblLook w:val="04A0" w:firstRow="1" w:lastRow="0" w:firstColumn="1" w:lastColumn="0" w:noHBand="0" w:noVBand="1"/>
      </w:tblPr>
      <w:tblGrid>
        <w:gridCol w:w="1418"/>
        <w:gridCol w:w="3211"/>
        <w:gridCol w:w="1417"/>
        <w:gridCol w:w="1701"/>
        <w:gridCol w:w="1565"/>
      </w:tblGrid>
      <w:tr w:rsidR="00FB6C80" w:rsidRPr="00847710" w14:paraId="386B8887" w14:textId="77777777" w:rsidTr="00422119">
        <w:trPr>
          <w:trHeight w:val="1260"/>
        </w:trPr>
        <w:tc>
          <w:tcPr>
            <w:tcW w:w="141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38FA1E9" w14:textId="77777777" w:rsidR="007F52FD" w:rsidRPr="00847710" w:rsidRDefault="007F52FD" w:rsidP="008D4345">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Diagnožu grupas kods</w:t>
            </w:r>
          </w:p>
        </w:tc>
        <w:tc>
          <w:tcPr>
            <w:tcW w:w="3211"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31A6ED62" w14:textId="027E11AC" w:rsidR="007F52FD" w:rsidRPr="00847710" w:rsidRDefault="007F52FD" w:rsidP="008D4345">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Diagnožu grupas nosaukums</w:t>
            </w:r>
          </w:p>
        </w:tc>
        <w:tc>
          <w:tcPr>
            <w:tcW w:w="14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843436F" w14:textId="28A3DECB" w:rsidR="007F52FD" w:rsidRPr="00847710" w:rsidRDefault="007F52FD" w:rsidP="008D4345">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Pacientu skaits</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4A64465" w14:textId="77777777" w:rsidR="007F52FD" w:rsidRPr="00847710" w:rsidRDefault="007F52FD" w:rsidP="008D4345">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Vidējā viena pacienta izmaksa 2018.gads</w:t>
            </w:r>
          </w:p>
        </w:tc>
        <w:tc>
          <w:tcPr>
            <w:tcW w:w="156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99A884A" w14:textId="67315666" w:rsidR="007F52FD" w:rsidRPr="00847710" w:rsidRDefault="007F52FD" w:rsidP="008D4345">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Izmaksas 2018.gads</w:t>
            </w:r>
          </w:p>
        </w:tc>
      </w:tr>
      <w:tr w:rsidR="007F52FD" w:rsidRPr="00847710" w14:paraId="709F27C2" w14:textId="77777777" w:rsidTr="0042211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17072" w14:textId="77777777"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H00...H59</w:t>
            </w:r>
          </w:p>
        </w:tc>
        <w:tc>
          <w:tcPr>
            <w:tcW w:w="3211" w:type="dxa"/>
            <w:tcBorders>
              <w:top w:val="single" w:sz="4" w:space="0" w:color="auto"/>
              <w:left w:val="nil"/>
              <w:bottom w:val="single" w:sz="4" w:space="0" w:color="auto"/>
              <w:right w:val="single" w:sz="4" w:space="0" w:color="auto"/>
            </w:tcBorders>
            <w:vAlign w:val="bottom"/>
          </w:tcPr>
          <w:p w14:paraId="17553107" w14:textId="51069947"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Acu un to palīgorgānu slimības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3913F" w14:textId="6BEDA80F"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243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46F3A5B" w14:textId="77777777"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506.53</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14:paraId="2A1E89F4" w14:textId="775D121C"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123 087</w:t>
            </w:r>
          </w:p>
        </w:tc>
      </w:tr>
      <w:tr w:rsidR="007F52FD" w:rsidRPr="00847710" w14:paraId="32240297" w14:textId="77777777" w:rsidTr="00422119">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4C540AE" w14:textId="77777777"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I00...I99</w:t>
            </w:r>
          </w:p>
        </w:tc>
        <w:tc>
          <w:tcPr>
            <w:tcW w:w="3211" w:type="dxa"/>
            <w:tcBorders>
              <w:top w:val="single" w:sz="4" w:space="0" w:color="auto"/>
              <w:left w:val="nil"/>
              <w:bottom w:val="single" w:sz="4" w:space="0" w:color="auto"/>
              <w:right w:val="single" w:sz="4" w:space="0" w:color="auto"/>
            </w:tcBorders>
            <w:vAlign w:val="bottom"/>
          </w:tcPr>
          <w:p w14:paraId="3F3B0EE3" w14:textId="053317E2"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Asinsrites sistēmas slimības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E4F08C9" w14:textId="3A468A79"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51</w:t>
            </w:r>
          </w:p>
        </w:tc>
        <w:tc>
          <w:tcPr>
            <w:tcW w:w="1701" w:type="dxa"/>
            <w:tcBorders>
              <w:top w:val="nil"/>
              <w:left w:val="nil"/>
              <w:bottom w:val="single" w:sz="4" w:space="0" w:color="auto"/>
              <w:right w:val="single" w:sz="4" w:space="0" w:color="auto"/>
            </w:tcBorders>
            <w:shd w:val="clear" w:color="auto" w:fill="auto"/>
            <w:noWrap/>
            <w:vAlign w:val="bottom"/>
            <w:hideMark/>
          </w:tcPr>
          <w:p w14:paraId="16D45201" w14:textId="77777777"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2774.11</w:t>
            </w:r>
          </w:p>
        </w:tc>
        <w:tc>
          <w:tcPr>
            <w:tcW w:w="1565" w:type="dxa"/>
            <w:tcBorders>
              <w:top w:val="nil"/>
              <w:left w:val="nil"/>
              <w:bottom w:val="single" w:sz="4" w:space="0" w:color="auto"/>
              <w:right w:val="single" w:sz="4" w:space="0" w:color="auto"/>
            </w:tcBorders>
            <w:shd w:val="clear" w:color="auto" w:fill="auto"/>
            <w:noWrap/>
            <w:vAlign w:val="bottom"/>
            <w:hideMark/>
          </w:tcPr>
          <w:p w14:paraId="6A5AA2CA" w14:textId="454FD415"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141 480</w:t>
            </w:r>
          </w:p>
        </w:tc>
      </w:tr>
      <w:tr w:rsidR="007F52FD" w:rsidRPr="00847710" w14:paraId="4B93821E" w14:textId="77777777" w:rsidTr="00422119">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A842137" w14:textId="77777777"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C00...D48</w:t>
            </w:r>
          </w:p>
        </w:tc>
        <w:tc>
          <w:tcPr>
            <w:tcW w:w="3211" w:type="dxa"/>
            <w:tcBorders>
              <w:top w:val="single" w:sz="4" w:space="0" w:color="auto"/>
              <w:left w:val="nil"/>
              <w:bottom w:val="single" w:sz="4" w:space="0" w:color="auto"/>
              <w:right w:val="single" w:sz="4" w:space="0" w:color="auto"/>
            </w:tcBorders>
            <w:vAlign w:val="bottom"/>
          </w:tcPr>
          <w:p w14:paraId="1EB63DCE" w14:textId="1427D979"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Audzēji</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9FB03F6" w14:textId="57B6E684"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51</w:t>
            </w:r>
          </w:p>
        </w:tc>
        <w:tc>
          <w:tcPr>
            <w:tcW w:w="1701" w:type="dxa"/>
            <w:tcBorders>
              <w:top w:val="nil"/>
              <w:left w:val="nil"/>
              <w:bottom w:val="single" w:sz="4" w:space="0" w:color="auto"/>
              <w:right w:val="single" w:sz="4" w:space="0" w:color="auto"/>
            </w:tcBorders>
            <w:shd w:val="clear" w:color="auto" w:fill="auto"/>
            <w:noWrap/>
            <w:vAlign w:val="bottom"/>
            <w:hideMark/>
          </w:tcPr>
          <w:p w14:paraId="6121DE5B" w14:textId="77777777"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1077.47</w:t>
            </w:r>
          </w:p>
        </w:tc>
        <w:tc>
          <w:tcPr>
            <w:tcW w:w="1565" w:type="dxa"/>
            <w:tcBorders>
              <w:top w:val="nil"/>
              <w:left w:val="nil"/>
              <w:bottom w:val="single" w:sz="4" w:space="0" w:color="auto"/>
              <w:right w:val="single" w:sz="4" w:space="0" w:color="auto"/>
            </w:tcBorders>
            <w:shd w:val="clear" w:color="auto" w:fill="auto"/>
            <w:noWrap/>
            <w:vAlign w:val="bottom"/>
            <w:hideMark/>
          </w:tcPr>
          <w:p w14:paraId="6B5C3614" w14:textId="39A1CD88"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54 951</w:t>
            </w:r>
          </w:p>
        </w:tc>
      </w:tr>
      <w:tr w:rsidR="007F52FD" w:rsidRPr="00847710" w14:paraId="075616E2" w14:textId="77777777" w:rsidTr="00422119">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4F3A59E" w14:textId="77777777"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K00...K93</w:t>
            </w:r>
          </w:p>
        </w:tc>
        <w:tc>
          <w:tcPr>
            <w:tcW w:w="3211" w:type="dxa"/>
            <w:tcBorders>
              <w:top w:val="single" w:sz="4" w:space="0" w:color="auto"/>
              <w:left w:val="nil"/>
              <w:bottom w:val="single" w:sz="4" w:space="0" w:color="auto"/>
              <w:right w:val="single" w:sz="4" w:space="0" w:color="auto"/>
            </w:tcBorders>
            <w:vAlign w:val="bottom"/>
          </w:tcPr>
          <w:p w14:paraId="210D4BD1" w14:textId="57CEBC6A"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Gremošanas sistēmas slimības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2258DBE" w14:textId="506DD83C"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22</w:t>
            </w:r>
          </w:p>
        </w:tc>
        <w:tc>
          <w:tcPr>
            <w:tcW w:w="1701" w:type="dxa"/>
            <w:tcBorders>
              <w:top w:val="nil"/>
              <w:left w:val="nil"/>
              <w:bottom w:val="single" w:sz="4" w:space="0" w:color="auto"/>
              <w:right w:val="single" w:sz="4" w:space="0" w:color="auto"/>
            </w:tcBorders>
            <w:shd w:val="clear" w:color="auto" w:fill="auto"/>
            <w:noWrap/>
            <w:vAlign w:val="bottom"/>
            <w:hideMark/>
          </w:tcPr>
          <w:p w14:paraId="767E7421" w14:textId="77777777"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946.02</w:t>
            </w:r>
          </w:p>
        </w:tc>
        <w:tc>
          <w:tcPr>
            <w:tcW w:w="1565" w:type="dxa"/>
            <w:tcBorders>
              <w:top w:val="nil"/>
              <w:left w:val="nil"/>
              <w:bottom w:val="single" w:sz="4" w:space="0" w:color="auto"/>
              <w:right w:val="single" w:sz="4" w:space="0" w:color="auto"/>
            </w:tcBorders>
            <w:shd w:val="clear" w:color="auto" w:fill="auto"/>
            <w:noWrap/>
            <w:vAlign w:val="bottom"/>
            <w:hideMark/>
          </w:tcPr>
          <w:p w14:paraId="6C39FAC4" w14:textId="1FAAA1B0"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20 812</w:t>
            </w:r>
          </w:p>
        </w:tc>
      </w:tr>
      <w:tr w:rsidR="007F52FD" w:rsidRPr="00847710" w14:paraId="0C1EE7A2" w14:textId="77777777" w:rsidTr="00422119">
        <w:trPr>
          <w:trHeight w:val="63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CB8A250" w14:textId="77777777"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S00...T98</w:t>
            </w:r>
          </w:p>
        </w:tc>
        <w:tc>
          <w:tcPr>
            <w:tcW w:w="3211" w:type="dxa"/>
            <w:tcBorders>
              <w:top w:val="single" w:sz="4" w:space="0" w:color="auto"/>
              <w:left w:val="nil"/>
              <w:bottom w:val="single" w:sz="4" w:space="0" w:color="auto"/>
              <w:right w:val="single" w:sz="4" w:space="0" w:color="auto"/>
            </w:tcBorders>
            <w:vAlign w:val="bottom"/>
          </w:tcPr>
          <w:p w14:paraId="3EA9526E" w14:textId="311F16F6"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Ievainojumi, saindēšanās un citas ārējās iedarbes sekas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237921C" w14:textId="1622587C"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43</w:t>
            </w:r>
          </w:p>
        </w:tc>
        <w:tc>
          <w:tcPr>
            <w:tcW w:w="1701" w:type="dxa"/>
            <w:tcBorders>
              <w:top w:val="nil"/>
              <w:left w:val="nil"/>
              <w:bottom w:val="single" w:sz="4" w:space="0" w:color="auto"/>
              <w:right w:val="single" w:sz="4" w:space="0" w:color="auto"/>
            </w:tcBorders>
            <w:shd w:val="clear" w:color="auto" w:fill="auto"/>
            <w:noWrap/>
            <w:vAlign w:val="bottom"/>
            <w:hideMark/>
          </w:tcPr>
          <w:p w14:paraId="4575FC2F" w14:textId="77777777"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3063.95</w:t>
            </w:r>
          </w:p>
        </w:tc>
        <w:tc>
          <w:tcPr>
            <w:tcW w:w="1565" w:type="dxa"/>
            <w:tcBorders>
              <w:top w:val="nil"/>
              <w:left w:val="nil"/>
              <w:bottom w:val="single" w:sz="4" w:space="0" w:color="auto"/>
              <w:right w:val="single" w:sz="4" w:space="0" w:color="auto"/>
            </w:tcBorders>
            <w:shd w:val="clear" w:color="auto" w:fill="auto"/>
            <w:noWrap/>
            <w:vAlign w:val="bottom"/>
            <w:hideMark/>
          </w:tcPr>
          <w:p w14:paraId="5A5864C6" w14:textId="4F60BBB8"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131 750</w:t>
            </w:r>
          </w:p>
        </w:tc>
      </w:tr>
      <w:tr w:rsidR="007F52FD" w:rsidRPr="00847710" w14:paraId="7D1E390E" w14:textId="77777777" w:rsidTr="0042211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8F451" w14:textId="77777777" w:rsidR="007F52FD" w:rsidRPr="00847710" w:rsidRDefault="007F52FD" w:rsidP="0084501C">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lastRenderedPageBreak/>
              <w:t> </w:t>
            </w:r>
          </w:p>
        </w:tc>
        <w:tc>
          <w:tcPr>
            <w:tcW w:w="3211" w:type="dxa"/>
            <w:tcBorders>
              <w:top w:val="single" w:sz="4" w:space="0" w:color="auto"/>
              <w:left w:val="nil"/>
              <w:bottom w:val="single" w:sz="4" w:space="0" w:color="auto"/>
              <w:right w:val="single" w:sz="4" w:space="0" w:color="auto"/>
            </w:tcBorders>
            <w:vAlign w:val="bottom"/>
          </w:tcPr>
          <w:p w14:paraId="3311FFF4" w14:textId="10C096CA"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Mikrodiskektomija, mikrofenestrācija jostas daļā</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17F53" w14:textId="00CC2772"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582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C7DFECB" w14:textId="77777777"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796.34</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14:paraId="18A49614" w14:textId="0B763668"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463 470</w:t>
            </w:r>
          </w:p>
        </w:tc>
      </w:tr>
      <w:tr w:rsidR="007F52FD" w:rsidRPr="00847710" w14:paraId="0AB65352" w14:textId="77777777" w:rsidTr="00422119">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B7FCC58" w14:textId="77777777"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G00...G99</w:t>
            </w:r>
          </w:p>
        </w:tc>
        <w:tc>
          <w:tcPr>
            <w:tcW w:w="3211" w:type="dxa"/>
            <w:tcBorders>
              <w:top w:val="single" w:sz="4" w:space="0" w:color="auto"/>
              <w:left w:val="nil"/>
              <w:bottom w:val="single" w:sz="4" w:space="0" w:color="auto"/>
              <w:right w:val="single" w:sz="4" w:space="0" w:color="auto"/>
            </w:tcBorders>
            <w:vAlign w:val="bottom"/>
          </w:tcPr>
          <w:p w14:paraId="756102C9" w14:textId="4765786F"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Nervu sistēmas slimības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0CF01FE" w14:textId="54950EAE"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71</w:t>
            </w:r>
          </w:p>
        </w:tc>
        <w:tc>
          <w:tcPr>
            <w:tcW w:w="1701" w:type="dxa"/>
            <w:tcBorders>
              <w:top w:val="nil"/>
              <w:left w:val="nil"/>
              <w:bottom w:val="single" w:sz="4" w:space="0" w:color="auto"/>
              <w:right w:val="single" w:sz="4" w:space="0" w:color="auto"/>
            </w:tcBorders>
            <w:shd w:val="clear" w:color="auto" w:fill="auto"/>
            <w:noWrap/>
            <w:vAlign w:val="bottom"/>
            <w:hideMark/>
          </w:tcPr>
          <w:p w14:paraId="005A57AB" w14:textId="77777777"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596.52</w:t>
            </w:r>
          </w:p>
        </w:tc>
        <w:tc>
          <w:tcPr>
            <w:tcW w:w="1565" w:type="dxa"/>
            <w:tcBorders>
              <w:top w:val="nil"/>
              <w:left w:val="nil"/>
              <w:bottom w:val="single" w:sz="4" w:space="0" w:color="auto"/>
              <w:right w:val="single" w:sz="4" w:space="0" w:color="auto"/>
            </w:tcBorders>
            <w:shd w:val="clear" w:color="auto" w:fill="auto"/>
            <w:noWrap/>
            <w:vAlign w:val="bottom"/>
            <w:hideMark/>
          </w:tcPr>
          <w:p w14:paraId="24E1EFB9" w14:textId="16C026F4"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42 353</w:t>
            </w:r>
          </w:p>
        </w:tc>
      </w:tr>
      <w:tr w:rsidR="007F52FD" w:rsidRPr="00847710" w14:paraId="193746D8" w14:textId="77777777" w:rsidTr="00422119">
        <w:trPr>
          <w:trHeight w:val="31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FA71AC1" w14:textId="77777777"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M00...M99</w:t>
            </w:r>
          </w:p>
        </w:tc>
        <w:tc>
          <w:tcPr>
            <w:tcW w:w="3211" w:type="dxa"/>
            <w:tcBorders>
              <w:top w:val="single" w:sz="4" w:space="0" w:color="auto"/>
              <w:left w:val="nil"/>
              <w:bottom w:val="single" w:sz="4" w:space="0" w:color="auto"/>
              <w:right w:val="single" w:sz="4" w:space="0" w:color="auto"/>
            </w:tcBorders>
            <w:vAlign w:val="bottom"/>
          </w:tcPr>
          <w:p w14:paraId="23FBA888" w14:textId="1ACA04E1"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Skeleta, muskuļu un saistaudu slimības</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8BA06CD" w14:textId="25B4CBD0"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578</w:t>
            </w:r>
          </w:p>
        </w:tc>
        <w:tc>
          <w:tcPr>
            <w:tcW w:w="1701" w:type="dxa"/>
            <w:tcBorders>
              <w:top w:val="nil"/>
              <w:left w:val="nil"/>
              <w:bottom w:val="single" w:sz="4" w:space="0" w:color="auto"/>
              <w:right w:val="single" w:sz="4" w:space="0" w:color="auto"/>
            </w:tcBorders>
            <w:shd w:val="clear" w:color="auto" w:fill="auto"/>
            <w:noWrap/>
            <w:vAlign w:val="bottom"/>
            <w:hideMark/>
          </w:tcPr>
          <w:p w14:paraId="29F6472E" w14:textId="77777777"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2732.85</w:t>
            </w:r>
          </w:p>
        </w:tc>
        <w:tc>
          <w:tcPr>
            <w:tcW w:w="1565" w:type="dxa"/>
            <w:tcBorders>
              <w:top w:val="nil"/>
              <w:left w:val="nil"/>
              <w:bottom w:val="single" w:sz="4" w:space="0" w:color="auto"/>
              <w:right w:val="single" w:sz="4" w:space="0" w:color="auto"/>
            </w:tcBorders>
            <w:shd w:val="clear" w:color="auto" w:fill="auto"/>
            <w:noWrap/>
            <w:vAlign w:val="bottom"/>
            <w:hideMark/>
          </w:tcPr>
          <w:p w14:paraId="68156E59" w14:textId="5FB14E2D"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1 579 5</w:t>
            </w:r>
            <w:r w:rsidR="00606DF8" w:rsidRPr="00847710">
              <w:rPr>
                <w:rFonts w:ascii="Times New Roman" w:hAnsi="Times New Roman" w:cs="Times New Roman"/>
                <w:color w:val="000000"/>
                <w:sz w:val="24"/>
                <w:szCs w:val="24"/>
              </w:rPr>
              <w:t>87</w:t>
            </w:r>
          </w:p>
        </w:tc>
      </w:tr>
      <w:tr w:rsidR="007F52FD" w:rsidRPr="00847710" w14:paraId="7AC4F67F" w14:textId="77777777" w:rsidTr="0042211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57F44" w14:textId="77777777"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N00...N99</w:t>
            </w:r>
          </w:p>
        </w:tc>
        <w:tc>
          <w:tcPr>
            <w:tcW w:w="3211" w:type="dxa"/>
            <w:tcBorders>
              <w:top w:val="single" w:sz="4" w:space="0" w:color="auto"/>
              <w:left w:val="nil"/>
              <w:bottom w:val="single" w:sz="4" w:space="0" w:color="auto"/>
              <w:right w:val="single" w:sz="4" w:space="0" w:color="auto"/>
            </w:tcBorders>
            <w:vAlign w:val="bottom"/>
          </w:tcPr>
          <w:p w14:paraId="4408ED6B" w14:textId="5329FB50" w:rsidR="007F52FD" w:rsidRPr="00847710" w:rsidRDefault="007F52FD" w:rsidP="0084501C">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Uroģenitālās sistēmas slimības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059C1" w14:textId="087D2534"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C27D960" w14:textId="77777777"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247.18</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14:paraId="0FCB067F" w14:textId="3520690B" w:rsidR="007F52FD" w:rsidRPr="00847710" w:rsidRDefault="007F52FD" w:rsidP="00AB7C24">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hAnsi="Times New Roman" w:cs="Times New Roman"/>
                <w:color w:val="000000"/>
                <w:sz w:val="24"/>
                <w:szCs w:val="24"/>
              </w:rPr>
              <w:t>6 427</w:t>
            </w:r>
          </w:p>
        </w:tc>
      </w:tr>
      <w:tr w:rsidR="007F52FD" w:rsidRPr="00847710" w14:paraId="63ED8215" w14:textId="77777777" w:rsidTr="0042211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71316776" w14:textId="363A3B4E" w:rsidR="007F52FD" w:rsidRPr="00422119" w:rsidRDefault="007F52FD" w:rsidP="00422119">
            <w:pPr>
              <w:spacing w:after="0" w:line="240" w:lineRule="auto"/>
              <w:jc w:val="right"/>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t>Kopā</w:t>
            </w:r>
          </w:p>
        </w:tc>
        <w:tc>
          <w:tcPr>
            <w:tcW w:w="321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38C2286" w14:textId="77777777" w:rsidR="007F52FD" w:rsidRPr="00847710" w:rsidRDefault="007F52FD" w:rsidP="008D4345">
            <w:pPr>
              <w:spacing w:after="0" w:line="240" w:lineRule="auto"/>
              <w:jc w:val="right"/>
              <w:rPr>
                <w:rFonts w:ascii="Times New Roman" w:eastAsia="Times New Roman" w:hAnsi="Times New Roman" w:cs="Times New Roman"/>
                <w:b/>
                <w:color w:val="000000"/>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0F5B077E" w14:textId="2588FE2F" w:rsidR="007F52FD" w:rsidRPr="00422119" w:rsidRDefault="007F52FD" w:rsidP="00422119">
            <w:pPr>
              <w:spacing w:after="0" w:line="240" w:lineRule="auto"/>
              <w:jc w:val="center"/>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1667</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1FD599FF" w14:textId="77777777" w:rsidR="007F52FD" w:rsidRPr="00847710" w:rsidRDefault="007F52FD" w:rsidP="00AB7C24">
            <w:pPr>
              <w:spacing w:after="0" w:line="240" w:lineRule="auto"/>
              <w:jc w:val="center"/>
              <w:rPr>
                <w:rFonts w:ascii="Times New Roman" w:eastAsia="Times New Roman" w:hAnsi="Times New Roman" w:cs="Times New Roman"/>
                <w:b/>
                <w:sz w:val="20"/>
                <w:szCs w:val="20"/>
                <w:lang w:eastAsia="lv-LV"/>
              </w:rPr>
            </w:pPr>
          </w:p>
        </w:tc>
        <w:tc>
          <w:tcPr>
            <w:tcW w:w="15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6081858E" w14:textId="24CE619E" w:rsidR="007F52FD" w:rsidRPr="00422119" w:rsidRDefault="007F52FD" w:rsidP="00422119">
            <w:pPr>
              <w:spacing w:after="0" w:line="240" w:lineRule="auto"/>
              <w:jc w:val="center"/>
              <w:rPr>
                <w:rFonts w:ascii="Times New Roman" w:eastAsia="Times New Roman" w:hAnsi="Times New Roman" w:cs="Times New Roman"/>
                <w:b/>
                <w:bCs/>
                <w:color w:val="000000" w:themeColor="text1"/>
                <w:sz w:val="24"/>
                <w:szCs w:val="24"/>
                <w:lang w:eastAsia="lv-LV"/>
              </w:rPr>
            </w:pPr>
            <w:r w:rsidRPr="0012317D">
              <w:rPr>
                <w:rFonts w:ascii="Times New Roman" w:hAnsi="Times New Roman" w:cs="Times New Roman"/>
                <w:b/>
                <w:bCs/>
                <w:color w:val="000000"/>
                <w:sz w:val="24"/>
                <w:szCs w:val="24"/>
              </w:rPr>
              <w:t>2 563 9</w:t>
            </w:r>
            <w:r w:rsidR="00606DF8" w:rsidRPr="0012317D">
              <w:rPr>
                <w:rFonts w:ascii="Times New Roman" w:hAnsi="Times New Roman" w:cs="Times New Roman"/>
                <w:b/>
                <w:bCs/>
                <w:color w:val="000000"/>
                <w:sz w:val="24"/>
                <w:szCs w:val="24"/>
              </w:rPr>
              <w:t>17</w:t>
            </w:r>
          </w:p>
        </w:tc>
      </w:tr>
    </w:tbl>
    <w:p w14:paraId="33DD6F2E" w14:textId="77777777" w:rsidR="008D4345" w:rsidRPr="00847710" w:rsidRDefault="008D4345" w:rsidP="007021E7">
      <w:pPr>
        <w:jc w:val="center"/>
        <w:rPr>
          <w:rFonts w:ascii="Times New Roman" w:hAnsi="Times New Roman" w:cs="Times New Roman"/>
          <w:color w:val="000000"/>
          <w:sz w:val="24"/>
        </w:rPr>
      </w:pPr>
    </w:p>
    <w:tbl>
      <w:tblPr>
        <w:tblStyle w:val="TableGrid"/>
        <w:tblW w:w="0" w:type="auto"/>
        <w:tblLook w:val="04A0" w:firstRow="1" w:lastRow="0" w:firstColumn="1" w:lastColumn="0" w:noHBand="0" w:noVBand="1"/>
      </w:tblPr>
      <w:tblGrid>
        <w:gridCol w:w="9089"/>
      </w:tblGrid>
      <w:tr w:rsidR="001D1417" w:rsidRPr="00847710" w14:paraId="247E38E6" w14:textId="77777777" w:rsidTr="57326167">
        <w:tc>
          <w:tcPr>
            <w:tcW w:w="9089" w:type="dxa"/>
          </w:tcPr>
          <w:p w14:paraId="5CF4556E" w14:textId="336F5F01" w:rsidR="001D1417" w:rsidRPr="00C86312" w:rsidRDefault="001D1417" w:rsidP="00422119">
            <w:pPr>
              <w:spacing w:after="120"/>
              <w:ind w:firstLine="709"/>
              <w:jc w:val="both"/>
              <w:rPr>
                <w:rFonts w:ascii="Times New Roman" w:hAnsi="Times New Roman"/>
                <w:b/>
                <w:bCs/>
                <w:sz w:val="24"/>
                <w:szCs w:val="24"/>
              </w:rPr>
            </w:pPr>
            <w:r w:rsidRPr="0012317D">
              <w:rPr>
                <w:rFonts w:ascii="Times New Roman" w:hAnsi="Times New Roman"/>
                <w:b/>
                <w:bCs/>
                <w:sz w:val="24"/>
                <w:szCs w:val="24"/>
                <w:lang w:eastAsia="lv-LV"/>
              </w:rPr>
              <w:t>Reformas rezultāts: Tiks nodrošināta tieši darbspējīgā vecumā esošu pacientu pakalpojuma pieejamības uzlabošana, veicinot pacienta ātrāku iekļaušanos darba tirgū un samazinot slimības pabalstu gadījumu skaitu un vidējo darbnespējas ilgumu. Prognozējams, ka</w:t>
            </w:r>
            <w:r w:rsidRPr="00901A9F">
              <w:rPr>
                <w:rFonts w:ascii="Times New Roman" w:hAnsi="Times New Roman"/>
                <w:b/>
                <w:bCs/>
                <w:sz w:val="24"/>
                <w:szCs w:val="24"/>
                <w:lang w:eastAsia="lv-LV"/>
              </w:rPr>
              <w:t xml:space="preserve"> papildus pieauguma rezultātā </w:t>
            </w:r>
            <w:r w:rsidRPr="00901A9F">
              <w:rPr>
                <w:rFonts w:ascii="Times New Roman" w:hAnsi="Times New Roman"/>
                <w:b/>
                <w:bCs/>
                <w:sz w:val="24"/>
                <w:szCs w:val="24"/>
              </w:rPr>
              <w:t>kopējais izmaksājamo slimības pabalstu apmērs 2018.gadā varētu samazināties par 2%, tādējādi ņemot vērā, ka izmaksāto slimības pabalstu apjoms 2018.gadā varētu sasniegt 186 miljonus euro, kopumā ietaupījums no intervences īste</w:t>
            </w:r>
            <w:r w:rsidRPr="0078794A">
              <w:rPr>
                <w:rFonts w:ascii="Times New Roman" w:hAnsi="Times New Roman"/>
                <w:b/>
                <w:bCs/>
                <w:sz w:val="24"/>
                <w:szCs w:val="24"/>
              </w:rPr>
              <w:t>nošanas sasniegtu 3,72 miljonus.</w:t>
            </w:r>
          </w:p>
        </w:tc>
      </w:tr>
    </w:tbl>
    <w:p w14:paraId="1959A487" w14:textId="77777777" w:rsidR="001D1417" w:rsidRPr="00847710" w:rsidRDefault="001D1417" w:rsidP="001D1417">
      <w:pPr>
        <w:autoSpaceDE w:val="0"/>
        <w:autoSpaceDN w:val="0"/>
        <w:adjustRightInd w:val="0"/>
        <w:spacing w:after="120"/>
        <w:ind w:firstLine="720"/>
        <w:jc w:val="both"/>
        <w:rPr>
          <w:rFonts w:ascii="Times New Roman" w:hAnsi="Times New Roman" w:cs="Times New Roman"/>
          <w:sz w:val="24"/>
          <w:szCs w:val="24"/>
        </w:rPr>
      </w:pPr>
    </w:p>
    <w:p w14:paraId="648DDCB7" w14:textId="69FD78FE" w:rsidR="00525D36" w:rsidRPr="00C86312" w:rsidRDefault="00CB4F41" w:rsidP="00C86312">
      <w:pPr>
        <w:pStyle w:val="Heading2"/>
        <w:spacing w:before="0"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w:t>
      </w:r>
      <w:r w:rsidR="00CE6A18" w:rsidRPr="0012317D">
        <w:rPr>
          <w:rFonts w:ascii="Times New Roman" w:hAnsi="Times New Roman" w:cs="Times New Roman"/>
          <w:b/>
          <w:bCs/>
          <w:color w:val="auto"/>
          <w:sz w:val="24"/>
          <w:szCs w:val="24"/>
          <w:u w:val="single"/>
        </w:rPr>
        <w:t>.5. Jaunā reforma</w:t>
      </w:r>
      <w:r w:rsidRPr="0012317D">
        <w:rPr>
          <w:rFonts w:ascii="Times New Roman" w:hAnsi="Times New Roman" w:cs="Times New Roman"/>
          <w:b/>
          <w:bCs/>
          <w:color w:val="auto"/>
          <w:sz w:val="24"/>
          <w:szCs w:val="24"/>
          <w:u w:val="single"/>
        </w:rPr>
        <w:t>s</w:t>
      </w:r>
      <w:r w:rsidR="00CE6A18" w:rsidRPr="0012317D">
        <w:rPr>
          <w:rFonts w:ascii="Times New Roman" w:hAnsi="Times New Roman" w:cs="Times New Roman"/>
          <w:b/>
          <w:bCs/>
          <w:color w:val="auto"/>
          <w:sz w:val="24"/>
          <w:szCs w:val="24"/>
          <w:u w:val="single"/>
        </w:rPr>
        <w:t xml:space="preserve"> iniciatīva - a</w:t>
      </w:r>
      <w:r w:rsidR="00525D36" w:rsidRPr="0012317D">
        <w:rPr>
          <w:rFonts w:ascii="Times New Roman" w:hAnsi="Times New Roman" w:cs="Times New Roman"/>
          <w:b/>
          <w:bCs/>
          <w:color w:val="auto"/>
          <w:sz w:val="24"/>
          <w:szCs w:val="24"/>
          <w:u w:val="single"/>
        </w:rPr>
        <w:t xml:space="preserve">knu transplantācija </w:t>
      </w:r>
    </w:p>
    <w:p w14:paraId="159A9AD5" w14:textId="343A5152" w:rsidR="00CA3A7B" w:rsidRPr="00847710" w:rsidRDefault="00CA466B" w:rsidP="00FA37E8">
      <w:pPr>
        <w:spacing w:after="120"/>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Aknu transplantācija ir vienīgā pasaulē pielietojamā ārstēšanas metode pacientiem ar terminālu </w:t>
      </w:r>
      <w:r w:rsidR="00CE6A18" w:rsidRPr="00847710">
        <w:rPr>
          <w:rFonts w:ascii="Times New Roman" w:hAnsi="Times New Roman" w:cs="Times New Roman"/>
          <w:sz w:val="24"/>
          <w:szCs w:val="24"/>
          <w:lang w:eastAsia="lv-LV"/>
        </w:rPr>
        <w:t xml:space="preserve">(galēju) </w:t>
      </w:r>
      <w:r w:rsidRPr="00847710">
        <w:rPr>
          <w:rFonts w:ascii="Times New Roman" w:hAnsi="Times New Roman" w:cs="Times New Roman"/>
          <w:sz w:val="24"/>
          <w:szCs w:val="24"/>
          <w:lang w:eastAsia="lv-LV"/>
        </w:rPr>
        <w:t>aknu mazspēju. Pakalpojuma mērķis ir pārstādīt funkcionēt spējīgas donora aknas, tādejādi izglābjot pacienta dzīvību</w:t>
      </w:r>
      <w:r w:rsidR="00CE6A18" w:rsidRPr="00847710">
        <w:rPr>
          <w:rFonts w:ascii="Times New Roman" w:hAnsi="Times New Roman" w:cs="Times New Roman"/>
          <w:sz w:val="24"/>
          <w:szCs w:val="24"/>
          <w:lang w:eastAsia="lv-LV"/>
        </w:rPr>
        <w:t xml:space="preserve"> un </w:t>
      </w:r>
      <w:r w:rsidRPr="00847710">
        <w:rPr>
          <w:rFonts w:ascii="Times New Roman" w:hAnsi="Times New Roman" w:cs="Times New Roman"/>
          <w:sz w:val="24"/>
          <w:szCs w:val="24"/>
          <w:lang w:eastAsia="lv-LV"/>
        </w:rPr>
        <w:t>uzlabojot dzīvildzi</w:t>
      </w:r>
      <w:r w:rsidR="00FE6D58" w:rsidRPr="00847710">
        <w:rPr>
          <w:rFonts w:ascii="Times New Roman" w:hAnsi="Times New Roman" w:cs="Times New Roman"/>
          <w:sz w:val="24"/>
          <w:szCs w:val="24"/>
          <w:lang w:eastAsia="lv-LV"/>
        </w:rPr>
        <w:t>, dzīves kvalitāti</w:t>
      </w:r>
      <w:r w:rsidRPr="00847710">
        <w:rPr>
          <w:rFonts w:ascii="Times New Roman" w:hAnsi="Times New Roman" w:cs="Times New Roman"/>
          <w:sz w:val="24"/>
          <w:szCs w:val="24"/>
          <w:lang w:eastAsia="lv-LV"/>
        </w:rPr>
        <w:t xml:space="preserve">. Pakalpojuma paredzamie rezultāti pacientiem pēc aknu transplantācijas terminālas aknu mazspējas gadījumā – 1 gada dzīvildze – 83%, 5 gadu dzīvildze – 77%, 10 gadu dzīvildze – 61%. </w:t>
      </w:r>
      <w:r w:rsidR="00D22CAF" w:rsidRPr="00847710">
        <w:rPr>
          <w:rFonts w:ascii="Times New Roman" w:hAnsi="Times New Roman" w:cs="Times New Roman"/>
          <w:sz w:val="24"/>
          <w:szCs w:val="24"/>
          <w:lang w:eastAsia="lv-LV"/>
        </w:rPr>
        <w:t>Pakalpojumu plānots attīstīt Latvijā,</w:t>
      </w:r>
      <w:r w:rsidRPr="00847710">
        <w:rPr>
          <w:rFonts w:ascii="Times New Roman" w:hAnsi="Times New Roman" w:cs="Times New Roman"/>
          <w:sz w:val="24"/>
          <w:szCs w:val="24"/>
          <w:lang w:eastAsia="lv-LV"/>
        </w:rPr>
        <w:t xml:space="preserve"> jo </w:t>
      </w:r>
      <w:r w:rsidR="00CE6A18" w:rsidRPr="00847710">
        <w:rPr>
          <w:rFonts w:ascii="Times New Roman" w:hAnsi="Times New Roman" w:cs="Times New Roman"/>
          <w:sz w:val="24"/>
          <w:szCs w:val="24"/>
          <w:lang w:eastAsia="lv-LV"/>
        </w:rPr>
        <w:t xml:space="preserve">visās </w:t>
      </w:r>
      <w:r w:rsidRPr="00847710">
        <w:rPr>
          <w:rFonts w:ascii="Times New Roman" w:hAnsi="Times New Roman" w:cs="Times New Roman"/>
          <w:sz w:val="24"/>
          <w:szCs w:val="24"/>
          <w:lang w:eastAsia="lv-LV"/>
        </w:rPr>
        <w:t>Eiropas Savienības valstīs ir donoru orgānu trūkums un līdz ar to garas rindas uz aknu transplantāciju attiecīgās valsts pacientiem.</w:t>
      </w:r>
    </w:p>
    <w:p w14:paraId="536AE214" w14:textId="49A87D57" w:rsidR="00D00F4C" w:rsidRPr="00C86312" w:rsidRDefault="00CE6A18">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86477B">
        <w:rPr>
          <w:rFonts w:ascii="Times New Roman" w:hAnsi="Times New Roman" w:cs="Times New Roman"/>
          <w:i/>
          <w:iCs/>
          <w:sz w:val="24"/>
          <w:szCs w:val="24"/>
        </w:rPr>
        <w:t>2</w:t>
      </w:r>
      <w:r w:rsidR="00D00F4C" w:rsidRPr="57326167">
        <w:rPr>
          <w:rFonts w:ascii="Times New Roman" w:hAnsi="Times New Roman" w:cs="Times New Roman"/>
          <w:i/>
          <w:iCs/>
          <w:sz w:val="24"/>
          <w:szCs w:val="24"/>
        </w:rPr>
        <w:t xml:space="preserve">.tabula </w:t>
      </w:r>
    </w:p>
    <w:p w14:paraId="4670016A" w14:textId="7729CAD6" w:rsidR="00D00F4C" w:rsidRPr="00847710" w:rsidRDefault="00D00F4C" w:rsidP="00D00F4C">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Aknu transplantācijai stacionārās ārstniecības iestādēs nepieciešamais finansējums</w:t>
      </w:r>
    </w:p>
    <w:tbl>
      <w:tblPr>
        <w:tblW w:w="1090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0"/>
        <w:gridCol w:w="992"/>
        <w:gridCol w:w="986"/>
        <w:gridCol w:w="1707"/>
        <w:gridCol w:w="1134"/>
        <w:gridCol w:w="988"/>
        <w:gridCol w:w="1272"/>
      </w:tblGrid>
      <w:tr w:rsidR="00CE6A18" w:rsidRPr="00847710" w14:paraId="70348B3A" w14:textId="77777777" w:rsidTr="00C86312">
        <w:trPr>
          <w:cantSplit/>
          <w:trHeight w:val="1656"/>
        </w:trPr>
        <w:tc>
          <w:tcPr>
            <w:tcW w:w="2268" w:type="dxa"/>
            <w:shd w:val="clear" w:color="auto" w:fill="E36C0A" w:themeFill="accent6" w:themeFillShade="BF"/>
            <w:vAlign w:val="center"/>
            <w:hideMark/>
          </w:tcPr>
          <w:p w14:paraId="2253EDE1" w14:textId="77777777" w:rsidR="00CE6A18" w:rsidRPr="00847710" w:rsidRDefault="00CE6A18" w:rsidP="00910EE6">
            <w:pPr>
              <w:spacing w:after="0" w:line="240" w:lineRule="auto"/>
              <w:rPr>
                <w:rFonts w:ascii="Times New Roman" w:eastAsia="Times New Roman" w:hAnsi="Times New Roman" w:cs="Times New Roman"/>
                <w:b/>
                <w:sz w:val="20"/>
                <w:szCs w:val="20"/>
                <w:lang w:eastAsia="lv-LV"/>
              </w:rPr>
            </w:pPr>
          </w:p>
        </w:tc>
        <w:tc>
          <w:tcPr>
            <w:tcW w:w="1560" w:type="dxa"/>
            <w:shd w:val="clear" w:color="auto" w:fill="E36C0A" w:themeFill="accent6" w:themeFillShade="BF"/>
            <w:textDirection w:val="btLr"/>
            <w:vAlign w:val="center"/>
            <w:hideMark/>
          </w:tcPr>
          <w:p w14:paraId="08D98BB6" w14:textId="77777777" w:rsidR="00CE6A18" w:rsidRPr="00847710" w:rsidRDefault="00CE6A18" w:rsidP="00910EE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1CD176B9" w14:textId="77777777" w:rsidR="00CE6A18" w:rsidRPr="00847710" w:rsidRDefault="00CE6A18" w:rsidP="00910EE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2AC45420" w14:textId="77777777" w:rsidR="00CE6A18" w:rsidRPr="00847710" w:rsidRDefault="00CE6A18" w:rsidP="00910EE6">
            <w:pPr>
              <w:spacing w:after="0" w:line="240" w:lineRule="auto"/>
              <w:ind w:left="113" w:right="113"/>
              <w:jc w:val="center"/>
              <w:rPr>
                <w:rFonts w:ascii="Times New Roman" w:eastAsia="Times New Roman" w:hAnsi="Times New Roman" w:cs="Times New Roman"/>
                <w:b/>
                <w:bCs/>
                <w:sz w:val="20"/>
                <w:szCs w:val="20"/>
                <w:lang w:eastAsia="lv-LV"/>
              </w:rPr>
            </w:pPr>
          </w:p>
        </w:tc>
        <w:tc>
          <w:tcPr>
            <w:tcW w:w="1978" w:type="dxa"/>
            <w:gridSpan w:val="2"/>
            <w:shd w:val="clear" w:color="auto" w:fill="E36C0A" w:themeFill="accent6" w:themeFillShade="BF"/>
            <w:textDirection w:val="btLr"/>
            <w:vAlign w:val="center"/>
            <w:hideMark/>
          </w:tcPr>
          <w:p w14:paraId="48DC1CF3" w14:textId="77777777" w:rsidR="00CE6A18" w:rsidRPr="00847710" w:rsidRDefault="00CE6A18" w:rsidP="00910EE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707" w:type="dxa"/>
            <w:shd w:val="clear" w:color="auto" w:fill="E36C0A" w:themeFill="accent6" w:themeFillShade="BF"/>
            <w:textDirection w:val="btLr"/>
            <w:vAlign w:val="center"/>
            <w:hideMark/>
          </w:tcPr>
          <w:p w14:paraId="3F4F8180" w14:textId="77777777" w:rsidR="00CE6A18" w:rsidRPr="00847710" w:rsidRDefault="00CE6A18" w:rsidP="00910EE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122" w:type="dxa"/>
            <w:gridSpan w:val="2"/>
            <w:shd w:val="clear" w:color="auto" w:fill="E36C0A" w:themeFill="accent6" w:themeFillShade="BF"/>
            <w:textDirection w:val="btLr"/>
            <w:vAlign w:val="center"/>
          </w:tcPr>
          <w:p w14:paraId="6827E291" w14:textId="77777777" w:rsidR="00CE6A18" w:rsidRPr="00847710" w:rsidRDefault="00CE6A18" w:rsidP="00910EE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A" w:themeFill="accent6" w:themeFillShade="BF"/>
            <w:textDirection w:val="btLr"/>
            <w:vAlign w:val="center"/>
            <w:hideMark/>
          </w:tcPr>
          <w:p w14:paraId="5D2BB110" w14:textId="77777777" w:rsidR="00CE6A18" w:rsidRPr="00847710" w:rsidRDefault="00CE6A18" w:rsidP="00910EE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FB6C80" w:rsidRPr="00847710" w14:paraId="739B7A0D" w14:textId="77777777" w:rsidTr="00C86312">
        <w:trPr>
          <w:trHeight w:val="640"/>
        </w:trPr>
        <w:tc>
          <w:tcPr>
            <w:tcW w:w="2268" w:type="dxa"/>
            <w:shd w:val="clear" w:color="auto" w:fill="FABF8F" w:themeFill="accent6" w:themeFillTint="99"/>
            <w:vAlign w:val="center"/>
          </w:tcPr>
          <w:p w14:paraId="3F4D6B26" w14:textId="77777777" w:rsidR="00CE6A18" w:rsidRPr="00847710" w:rsidRDefault="00CE6A18" w:rsidP="00910EE6">
            <w:pPr>
              <w:spacing w:after="0" w:line="240" w:lineRule="auto"/>
              <w:jc w:val="center"/>
              <w:rPr>
                <w:rFonts w:ascii="Times New Roman" w:eastAsia="Times New Roman" w:hAnsi="Times New Roman" w:cs="Times New Roman"/>
                <w:b/>
                <w:sz w:val="20"/>
                <w:szCs w:val="20"/>
                <w:lang w:eastAsia="lv-LV"/>
              </w:rPr>
            </w:pPr>
          </w:p>
        </w:tc>
        <w:tc>
          <w:tcPr>
            <w:tcW w:w="1560" w:type="dxa"/>
            <w:shd w:val="clear" w:color="auto" w:fill="FABF8F" w:themeFill="accent6" w:themeFillTint="99"/>
            <w:vAlign w:val="center"/>
          </w:tcPr>
          <w:p w14:paraId="18145EE2" w14:textId="77777777" w:rsidR="00CE6A18" w:rsidRPr="00847710" w:rsidRDefault="00CE6A18" w:rsidP="00910EE6">
            <w:pPr>
              <w:spacing w:after="0" w:line="240" w:lineRule="auto"/>
              <w:jc w:val="center"/>
              <w:rPr>
                <w:rFonts w:ascii="Times New Roman" w:eastAsia="Times New Roman" w:hAnsi="Times New Roman" w:cs="Times New Roman"/>
                <w:i/>
                <w:iCs/>
                <w:sz w:val="20"/>
                <w:szCs w:val="20"/>
                <w:lang w:eastAsia="lv-LV"/>
              </w:rPr>
            </w:pPr>
          </w:p>
          <w:p w14:paraId="6088C1EA" w14:textId="77777777" w:rsidR="00CE6A18" w:rsidRPr="00847710" w:rsidRDefault="00CE6A18" w:rsidP="00910EE6">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shd w:val="clear" w:color="auto" w:fill="FABF8F" w:themeFill="accent6" w:themeFillTint="99"/>
            <w:vAlign w:val="center"/>
          </w:tcPr>
          <w:p w14:paraId="79842896" w14:textId="77777777" w:rsidR="00CE6A18" w:rsidRPr="00847710" w:rsidRDefault="00CE6A18" w:rsidP="00910EE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14:paraId="5E1608FD" w14:textId="77777777" w:rsidR="00CE6A18" w:rsidRPr="00847710" w:rsidRDefault="00CE6A18" w:rsidP="00910EE6">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986" w:type="dxa"/>
            <w:shd w:val="clear" w:color="auto" w:fill="FABF8F" w:themeFill="accent6" w:themeFillTint="99"/>
            <w:vAlign w:val="center"/>
          </w:tcPr>
          <w:p w14:paraId="0E63AD8D" w14:textId="77777777" w:rsidR="00CE6A18" w:rsidRPr="00847710" w:rsidRDefault="00CE6A18" w:rsidP="00910EE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14:paraId="2105B352" w14:textId="77777777" w:rsidR="00CE6A18" w:rsidRPr="00847710" w:rsidRDefault="00CE6A18" w:rsidP="00910EE6">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707" w:type="dxa"/>
            <w:shd w:val="clear" w:color="auto" w:fill="FABF8F" w:themeFill="accent6" w:themeFillTint="99"/>
            <w:vAlign w:val="center"/>
          </w:tcPr>
          <w:p w14:paraId="72BD13FF" w14:textId="77777777" w:rsidR="00CE6A18" w:rsidRPr="00847710" w:rsidRDefault="00CE6A18" w:rsidP="00910EE6">
            <w:pPr>
              <w:spacing w:after="0" w:line="240" w:lineRule="auto"/>
              <w:jc w:val="center"/>
              <w:rPr>
                <w:rFonts w:ascii="Times New Roman" w:eastAsia="Times New Roman" w:hAnsi="Times New Roman" w:cs="Times New Roman"/>
                <w:bCs/>
                <w:i/>
                <w:iCs/>
                <w:sz w:val="20"/>
                <w:szCs w:val="20"/>
                <w:lang w:eastAsia="lv-LV"/>
              </w:rPr>
            </w:pPr>
          </w:p>
          <w:p w14:paraId="5AB51B37" w14:textId="77777777" w:rsidR="00CE6A18" w:rsidRPr="00C86312" w:rsidRDefault="00CE6A18" w:rsidP="00C8631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FABF8F" w:themeFill="accent6" w:themeFillTint="99"/>
            <w:vAlign w:val="center"/>
          </w:tcPr>
          <w:p w14:paraId="70E1F74D" w14:textId="77777777" w:rsidR="00CE6A18" w:rsidRPr="00847710" w:rsidRDefault="00CE6A18" w:rsidP="00910EE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988" w:type="dxa"/>
            <w:shd w:val="clear" w:color="auto" w:fill="FABF8F" w:themeFill="accent6" w:themeFillTint="99"/>
            <w:vAlign w:val="center"/>
          </w:tcPr>
          <w:p w14:paraId="27D93B83" w14:textId="77777777" w:rsidR="00CE6A18" w:rsidRPr="00847710" w:rsidRDefault="00CE6A18" w:rsidP="00910EE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BF8F" w:themeFill="accent6" w:themeFillTint="99"/>
            <w:vAlign w:val="center"/>
          </w:tcPr>
          <w:p w14:paraId="53CCD1DA" w14:textId="77777777" w:rsidR="00CE6A18" w:rsidRPr="00847710" w:rsidRDefault="00CE6A18" w:rsidP="00910EE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rsidR="00CE6A18" w:rsidRPr="00847710" w14:paraId="73D194DA" w14:textId="77777777" w:rsidTr="00C86312">
        <w:trPr>
          <w:trHeight w:val="52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36FD51" w14:textId="2AF4B2F5" w:rsidR="00CE6A18" w:rsidRPr="00C86312" w:rsidRDefault="00CE6A18"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Aknu transplantācija</w:t>
            </w:r>
            <w:r w:rsidR="001D0E69" w:rsidRPr="0012317D">
              <w:rPr>
                <w:rFonts w:ascii="Times New Roman" w:eastAsia="Times New Roman" w:hAnsi="Times New Roman" w:cs="Times New Roman"/>
                <w:b/>
                <w:bCs/>
                <w:sz w:val="20"/>
                <w:szCs w:val="20"/>
                <w:lang w:eastAsia="lv-LV"/>
              </w:rPr>
              <w:t>,</w:t>
            </w:r>
            <w:r w:rsidR="00793D50" w:rsidRPr="0012317D">
              <w:rPr>
                <w:rFonts w:ascii="Times New Roman" w:eastAsia="Times New Roman" w:hAnsi="Times New Roman" w:cs="Times New Roman"/>
                <w:b/>
                <w:bCs/>
                <w:sz w:val="20"/>
                <w:szCs w:val="20"/>
                <w:lang w:eastAsia="lv-LV"/>
              </w:rPr>
              <w:t xml:space="preserve"> t.sk.</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0E357" w14:textId="124A5EE7" w:rsidR="00CE6A18" w:rsidRPr="00C86312" w:rsidRDefault="00CE6A18"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hAnsi="Times New Roman" w:cs="Times New Roman"/>
                <w:b/>
                <w:bCs/>
                <w:sz w:val="20"/>
                <w:szCs w:val="20"/>
              </w:rPr>
              <w:t>71</w:t>
            </w:r>
            <w:r w:rsidR="00106229" w:rsidRPr="0012317D">
              <w:rPr>
                <w:rFonts w:ascii="Times New Roman" w:hAnsi="Times New Roman" w:cs="Times New Roman"/>
                <w:b/>
                <w:bCs/>
                <w:sz w:val="20"/>
                <w:szCs w:val="20"/>
              </w:rPr>
              <w:t xml:space="preserve"> </w:t>
            </w:r>
            <w:r w:rsidRPr="0012317D">
              <w:rPr>
                <w:rFonts w:ascii="Times New Roman" w:hAnsi="Times New Roman" w:cs="Times New Roman"/>
                <w:b/>
                <w:bCs/>
                <w:sz w:val="20"/>
                <w:szCs w:val="20"/>
              </w:rPr>
              <w:t>428,</w:t>
            </w:r>
            <w:r w:rsidR="00326283" w:rsidRPr="0012317D">
              <w:rPr>
                <w:rFonts w:ascii="Times New Roman" w:hAnsi="Times New Roman" w:cs="Times New Roman"/>
                <w:b/>
                <w:bCs/>
                <w:sz w:val="20"/>
                <w:szCs w:val="20"/>
              </w:rPr>
              <w:t>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E756B" w14:textId="77777777" w:rsidR="00CE6A18" w:rsidRPr="00C86312" w:rsidRDefault="00CE6A18"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hAnsi="Times New Roman" w:cs="Times New Roman"/>
                <w:b/>
                <w:bCs/>
                <w:sz w:val="20"/>
                <w:szCs w:val="20"/>
              </w:rPr>
              <w:t>-</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B6A88" w14:textId="77777777" w:rsidR="00CE6A18" w:rsidRPr="00C86312" w:rsidRDefault="00CE6A18"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hAnsi="Times New Roman" w:cs="Times New Roman"/>
                <w:b/>
                <w:bCs/>
                <w:sz w:val="20"/>
                <w:szCs w:val="20"/>
              </w:rPr>
              <w:t>-</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2A306" w14:textId="756863A2" w:rsidR="00CE6A18" w:rsidRPr="00C86312" w:rsidRDefault="00CE6A18" w:rsidP="00C86312">
            <w:pPr>
              <w:spacing w:after="0" w:line="240" w:lineRule="auto"/>
              <w:jc w:val="center"/>
              <w:rPr>
                <w:rFonts w:ascii="Times New Roman" w:hAnsi="Times New Roman" w:cs="Times New Roman"/>
                <w:b/>
                <w:bCs/>
                <w:sz w:val="20"/>
                <w:szCs w:val="20"/>
              </w:rPr>
            </w:pPr>
            <w:r w:rsidRPr="0012317D">
              <w:rPr>
                <w:rFonts w:ascii="Times New Roman" w:hAnsi="Times New Roman" w:cs="Times New Roman"/>
                <w:b/>
                <w:bCs/>
                <w:sz w:val="20"/>
                <w:szCs w:val="20"/>
              </w:rPr>
              <w:t>500 001</w:t>
            </w:r>
          </w:p>
        </w:tc>
        <w:tc>
          <w:tcPr>
            <w:tcW w:w="1134" w:type="dxa"/>
            <w:tcBorders>
              <w:top w:val="single" w:sz="4" w:space="0" w:color="auto"/>
              <w:left w:val="single" w:sz="4" w:space="0" w:color="auto"/>
              <w:bottom w:val="single" w:sz="4" w:space="0" w:color="auto"/>
              <w:right w:val="single" w:sz="4" w:space="0" w:color="auto"/>
            </w:tcBorders>
            <w:vAlign w:val="bottom"/>
          </w:tcPr>
          <w:p w14:paraId="6B54D8D2" w14:textId="77777777" w:rsidR="00CE6A18" w:rsidRPr="00C86312" w:rsidRDefault="00CE6A18"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sz w:val="20"/>
                <w:szCs w:val="20"/>
              </w:rPr>
              <w:t>-</w:t>
            </w:r>
          </w:p>
        </w:tc>
        <w:tc>
          <w:tcPr>
            <w:tcW w:w="988" w:type="dxa"/>
            <w:tcBorders>
              <w:top w:val="single" w:sz="4" w:space="0" w:color="auto"/>
              <w:left w:val="single" w:sz="4" w:space="0" w:color="auto"/>
              <w:bottom w:val="single" w:sz="4" w:space="0" w:color="auto"/>
              <w:right w:val="single" w:sz="4" w:space="0" w:color="auto"/>
            </w:tcBorders>
            <w:vAlign w:val="bottom"/>
          </w:tcPr>
          <w:p w14:paraId="310EE09C" w14:textId="6AB605E2" w:rsidR="00CE6A18" w:rsidRPr="00C86312" w:rsidRDefault="005A1A9A"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B7EF0" w14:textId="7B33BE53" w:rsidR="00CE6A18" w:rsidRPr="00C86312" w:rsidRDefault="00CE6A18"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w:t>
            </w:r>
          </w:p>
        </w:tc>
      </w:tr>
      <w:tr w:rsidR="00793D50" w:rsidRPr="00847710" w14:paraId="279930A9" w14:textId="77777777" w:rsidTr="00C86312">
        <w:trPr>
          <w:trHeight w:val="52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87025D9" w14:textId="27183AC6" w:rsidR="00793D50" w:rsidRPr="00847710" w:rsidRDefault="00793D50" w:rsidP="00793D50">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imūnsupresīvās terapijas medikamentu nodrošināšana pēc transplantācijas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8D8AA" w14:textId="494FA8D6" w:rsidR="00793D50" w:rsidRPr="00847710" w:rsidRDefault="00793D50" w:rsidP="00CE6A18">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11 053,00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CBBA2" w14:textId="77777777" w:rsidR="00793D50" w:rsidRPr="00847710" w:rsidRDefault="00793D50" w:rsidP="00CB4F41">
            <w:pPr>
              <w:spacing w:after="0" w:line="240" w:lineRule="auto"/>
              <w:jc w:val="center"/>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739CE" w14:textId="77777777" w:rsidR="00793D50" w:rsidRPr="00847710" w:rsidRDefault="00793D50" w:rsidP="00CB4F41">
            <w:pPr>
              <w:spacing w:after="0" w:line="240" w:lineRule="auto"/>
              <w:jc w:val="center"/>
              <w:rPr>
                <w:rFonts w:ascii="Times New Roman" w:hAnsi="Times New Roman" w:cs="Times New Roman"/>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1425E" w14:textId="53ADA164" w:rsidR="00793D50" w:rsidRPr="00847710" w:rsidRDefault="00793D50">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77 371</w:t>
            </w:r>
          </w:p>
        </w:tc>
        <w:tc>
          <w:tcPr>
            <w:tcW w:w="1134" w:type="dxa"/>
            <w:tcBorders>
              <w:top w:val="single" w:sz="4" w:space="0" w:color="auto"/>
              <w:left w:val="single" w:sz="4" w:space="0" w:color="auto"/>
              <w:bottom w:val="single" w:sz="4" w:space="0" w:color="auto"/>
              <w:right w:val="single" w:sz="4" w:space="0" w:color="auto"/>
            </w:tcBorders>
            <w:vAlign w:val="bottom"/>
          </w:tcPr>
          <w:p w14:paraId="395BE245" w14:textId="77777777" w:rsidR="00793D50" w:rsidRPr="00847710" w:rsidRDefault="00793D50">
            <w:pPr>
              <w:spacing w:after="0" w:line="240" w:lineRule="auto"/>
              <w:jc w:val="center"/>
              <w:rPr>
                <w:rFonts w:ascii="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14:paraId="15044DE8" w14:textId="77777777" w:rsidR="00793D50" w:rsidRPr="00847710" w:rsidRDefault="00793D50">
            <w:pPr>
              <w:spacing w:after="0" w:line="240" w:lineRule="auto"/>
              <w:jc w:val="center"/>
              <w:rPr>
                <w:rFonts w:ascii="Times New Roman" w:hAnsi="Times New Roman" w:cs="Times New Roman"/>
                <w:b/>
                <w:color w:val="FF0000"/>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D72C7" w14:textId="7A0AF88D" w:rsidR="00793D50" w:rsidRPr="00C86312" w:rsidRDefault="00793D50"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w:t>
            </w:r>
          </w:p>
        </w:tc>
      </w:tr>
      <w:tr w:rsidR="00793D50" w:rsidRPr="00847710" w14:paraId="2B633E74" w14:textId="77777777" w:rsidTr="00C86312">
        <w:trPr>
          <w:trHeight w:val="52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BEB6045" w14:textId="037024DC" w:rsidR="00793D50" w:rsidRPr="00847710" w:rsidRDefault="00793D50" w:rsidP="00793D50">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lastRenderedPageBreak/>
              <w:t>ambulatorās konsultācijas un izmeklējumus pirms un pēc aknu transplantācijas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8EF8F" w14:textId="6E1CD62C" w:rsidR="00793D50" w:rsidRPr="00847710" w:rsidRDefault="00793D50" w:rsidP="00CE6A18">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21 150,28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B3F81" w14:textId="77777777" w:rsidR="00793D50" w:rsidRPr="00847710" w:rsidRDefault="00793D50" w:rsidP="00CB4F41">
            <w:pPr>
              <w:spacing w:after="0" w:line="240" w:lineRule="auto"/>
              <w:jc w:val="center"/>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009C2" w14:textId="77777777" w:rsidR="00793D50" w:rsidRPr="00847710" w:rsidRDefault="00793D50" w:rsidP="00CB4F41">
            <w:pPr>
              <w:spacing w:after="0" w:line="240" w:lineRule="auto"/>
              <w:jc w:val="center"/>
              <w:rPr>
                <w:rFonts w:ascii="Times New Roman" w:hAnsi="Times New Roman" w:cs="Times New Roman"/>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45C4" w14:textId="0E4F7FA7" w:rsidR="00793D50" w:rsidRPr="00847710" w:rsidRDefault="00793D50">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148 052</w:t>
            </w:r>
          </w:p>
        </w:tc>
        <w:tc>
          <w:tcPr>
            <w:tcW w:w="1134" w:type="dxa"/>
            <w:tcBorders>
              <w:top w:val="single" w:sz="4" w:space="0" w:color="auto"/>
              <w:left w:val="single" w:sz="4" w:space="0" w:color="auto"/>
              <w:bottom w:val="single" w:sz="4" w:space="0" w:color="auto"/>
              <w:right w:val="single" w:sz="4" w:space="0" w:color="auto"/>
            </w:tcBorders>
            <w:vAlign w:val="bottom"/>
          </w:tcPr>
          <w:p w14:paraId="10087ECB" w14:textId="77777777" w:rsidR="00793D50" w:rsidRPr="00847710" w:rsidRDefault="00793D50">
            <w:pPr>
              <w:spacing w:after="0" w:line="240" w:lineRule="auto"/>
              <w:jc w:val="center"/>
              <w:rPr>
                <w:rFonts w:ascii="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14:paraId="30F4FEB3" w14:textId="77777777" w:rsidR="00793D50" w:rsidRPr="00847710" w:rsidRDefault="00793D50">
            <w:pPr>
              <w:spacing w:after="0" w:line="240" w:lineRule="auto"/>
              <w:jc w:val="center"/>
              <w:rPr>
                <w:rFonts w:ascii="Times New Roman" w:hAnsi="Times New Roman" w:cs="Times New Roman"/>
                <w:b/>
                <w:color w:val="FF0000"/>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BE169" w14:textId="0925FEF7" w:rsidR="00793D50" w:rsidRPr="00C86312" w:rsidRDefault="00793D50"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w:t>
            </w:r>
          </w:p>
        </w:tc>
      </w:tr>
      <w:tr w:rsidR="00793D50" w:rsidRPr="00847710" w14:paraId="2AE14D84" w14:textId="77777777" w:rsidTr="00C86312">
        <w:trPr>
          <w:trHeight w:val="52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5408356" w14:textId="517B21F3" w:rsidR="00793D50" w:rsidRPr="00847710" w:rsidRDefault="00793D50" w:rsidP="00793D50">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Transplantācijas operācijas nodrošināšana stacionārā</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B579B" w14:textId="2A2F7D09" w:rsidR="00793D50" w:rsidRPr="00847710" w:rsidRDefault="00793D50" w:rsidP="00CE6A18">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39 225,43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C9538" w14:textId="77777777" w:rsidR="00793D50" w:rsidRPr="00847710" w:rsidRDefault="00793D50" w:rsidP="00CB4F41">
            <w:pPr>
              <w:spacing w:after="0" w:line="240" w:lineRule="auto"/>
              <w:jc w:val="center"/>
              <w:rPr>
                <w:rFonts w:ascii="Times New Roman" w:hAnsi="Times New Roman" w:cs="Times New Roman"/>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58339" w14:textId="77777777" w:rsidR="00793D50" w:rsidRPr="00847710" w:rsidRDefault="00793D50" w:rsidP="00CB4F41">
            <w:pPr>
              <w:spacing w:after="0" w:line="240" w:lineRule="auto"/>
              <w:jc w:val="center"/>
              <w:rPr>
                <w:rFonts w:ascii="Times New Roman" w:hAnsi="Times New Roman" w:cs="Times New Roman"/>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8018B" w14:textId="51BAA7AE" w:rsidR="00793D50" w:rsidRPr="00847710" w:rsidRDefault="00793D50">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274 578</w:t>
            </w:r>
          </w:p>
        </w:tc>
        <w:tc>
          <w:tcPr>
            <w:tcW w:w="1134" w:type="dxa"/>
            <w:tcBorders>
              <w:top w:val="single" w:sz="4" w:space="0" w:color="auto"/>
              <w:left w:val="single" w:sz="4" w:space="0" w:color="auto"/>
              <w:bottom w:val="single" w:sz="4" w:space="0" w:color="auto"/>
              <w:right w:val="single" w:sz="4" w:space="0" w:color="auto"/>
            </w:tcBorders>
            <w:vAlign w:val="bottom"/>
          </w:tcPr>
          <w:p w14:paraId="2EFFF130" w14:textId="77777777" w:rsidR="00793D50" w:rsidRPr="00847710" w:rsidRDefault="00793D50">
            <w:pPr>
              <w:spacing w:after="0" w:line="240" w:lineRule="auto"/>
              <w:jc w:val="center"/>
              <w:rPr>
                <w:rFonts w:ascii="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vAlign w:val="bottom"/>
          </w:tcPr>
          <w:p w14:paraId="2BD4810D" w14:textId="77777777" w:rsidR="00793D50" w:rsidRPr="00847710" w:rsidRDefault="00793D50">
            <w:pPr>
              <w:spacing w:after="0" w:line="240" w:lineRule="auto"/>
              <w:jc w:val="center"/>
              <w:rPr>
                <w:rFonts w:ascii="Times New Roman" w:hAnsi="Times New Roman" w:cs="Times New Roman"/>
                <w:b/>
                <w:color w:val="FF0000"/>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7958F" w14:textId="58527933" w:rsidR="00793D50" w:rsidRPr="00C86312" w:rsidRDefault="00A30451"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w:t>
            </w:r>
          </w:p>
        </w:tc>
      </w:tr>
    </w:tbl>
    <w:p w14:paraId="18346720" w14:textId="00416C3C" w:rsidR="00960045" w:rsidRPr="00847710" w:rsidRDefault="00960045" w:rsidP="00960045">
      <w:pPr>
        <w:ind w:firstLine="720"/>
        <w:rPr>
          <w:rFonts w:ascii="Times New Roman" w:hAnsi="Times New Roman" w:cs="Times New Roman"/>
          <w:sz w:val="24"/>
          <w:szCs w:val="24"/>
        </w:rPr>
      </w:pPr>
    </w:p>
    <w:p w14:paraId="7D740A59" w14:textId="514901A2" w:rsidR="00960045" w:rsidRPr="00847710" w:rsidRDefault="00960045" w:rsidP="00960045">
      <w:pPr>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Atbilstoši VSIA “Paula Stradiņa klīniskā universitātes slimnīca” speciālistu sniegtajai informācijai pašlaik rindā ir 25 pacienti, no tiem 6 pacienti ir kritiskā stāvoklī. Jāatzīmē, ka veikto aknu transplantāciju skaits ir atkarīgs ne tikai no rindā esošajiem pacientiem, bet arī no orgānu donoru skaita un saderības. </w:t>
      </w:r>
    </w:p>
    <w:p w14:paraId="68E1FC08" w14:textId="6D237230" w:rsidR="00960045" w:rsidRPr="00847710" w:rsidRDefault="00960045" w:rsidP="00960045">
      <w:pPr>
        <w:ind w:firstLine="720"/>
        <w:jc w:val="both"/>
        <w:rPr>
          <w:rFonts w:ascii="Times New Roman" w:hAnsi="Times New Roman" w:cs="Times New Roman"/>
          <w:sz w:val="24"/>
          <w:szCs w:val="24"/>
        </w:rPr>
      </w:pPr>
      <w:r w:rsidRPr="00847710">
        <w:rPr>
          <w:rFonts w:ascii="Times New Roman" w:hAnsi="Times New Roman" w:cs="Times New Roman"/>
          <w:sz w:val="24"/>
          <w:szCs w:val="24"/>
        </w:rPr>
        <w:t>Līdz ar to reformu uzsākot, pilnībā tiks risināta problēma ar pacientiem kritiskā stāvoklī, savukārt 2 gadu laikā reformas ietvaros tiks samazināta gaidīšanas rinda vairāk nekā 50% apmērā.</w:t>
      </w:r>
    </w:p>
    <w:p w14:paraId="662FACFC" w14:textId="6AED9FC4" w:rsidR="004C6B78" w:rsidRPr="00C86312" w:rsidRDefault="00CB4F41" w:rsidP="00C86312">
      <w:pPr>
        <w:pStyle w:val="Heading2"/>
        <w:spacing w:before="0"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w:t>
      </w:r>
      <w:r w:rsidR="00CE6A18" w:rsidRPr="0012317D">
        <w:rPr>
          <w:rFonts w:ascii="Times New Roman" w:hAnsi="Times New Roman" w:cs="Times New Roman"/>
          <w:b/>
          <w:bCs/>
          <w:color w:val="auto"/>
          <w:sz w:val="24"/>
          <w:szCs w:val="24"/>
          <w:u w:val="single"/>
        </w:rPr>
        <w:t xml:space="preserve">.6. </w:t>
      </w:r>
      <w:r w:rsidR="00CB0EB0" w:rsidRPr="0012317D">
        <w:rPr>
          <w:rFonts w:ascii="Times New Roman" w:hAnsi="Times New Roman" w:cs="Times New Roman"/>
          <w:b/>
          <w:bCs/>
          <w:color w:val="auto"/>
          <w:sz w:val="24"/>
          <w:szCs w:val="24"/>
          <w:u w:val="single"/>
        </w:rPr>
        <w:t>Jaunā reformas iniciatīva - b</w:t>
      </w:r>
      <w:r w:rsidR="004C6B78" w:rsidRPr="0012317D">
        <w:rPr>
          <w:rFonts w:ascii="Times New Roman" w:hAnsi="Times New Roman" w:cs="Times New Roman"/>
          <w:b/>
          <w:bCs/>
          <w:color w:val="auto"/>
          <w:sz w:val="24"/>
          <w:szCs w:val="24"/>
          <w:u w:val="single"/>
        </w:rPr>
        <w:t>ioloģiskās terapijas nodrošināšana</w:t>
      </w:r>
      <w:r w:rsidR="008548F1" w:rsidRPr="0012317D">
        <w:rPr>
          <w:rFonts w:ascii="Times New Roman" w:hAnsi="Times New Roman" w:cs="Times New Roman"/>
          <w:b/>
          <w:bCs/>
          <w:color w:val="auto"/>
          <w:sz w:val="24"/>
          <w:szCs w:val="24"/>
          <w:u w:val="single"/>
        </w:rPr>
        <w:t xml:space="preserve"> un kompensācijas apmēra palielināšana</w:t>
      </w:r>
      <w:r w:rsidR="004C6B78" w:rsidRPr="0078794A">
        <w:rPr>
          <w:rFonts w:ascii="Times New Roman" w:hAnsi="Times New Roman" w:cs="Times New Roman"/>
          <w:b/>
          <w:bCs/>
          <w:color w:val="auto"/>
          <w:sz w:val="24"/>
          <w:szCs w:val="24"/>
          <w:u w:val="single"/>
        </w:rPr>
        <w:t xml:space="preserve"> Krona slimībai, čūlainajam kolītam un psoriāzei</w:t>
      </w:r>
    </w:p>
    <w:p w14:paraId="4E0C302A" w14:textId="2F052521" w:rsidR="004C6B78" w:rsidRPr="00847710" w:rsidRDefault="004C6B78" w:rsidP="00FA37E8">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Saskaņā ar noteikto kompensācijas kārtību</w:t>
      </w:r>
      <w:r w:rsidR="001A2147" w:rsidRPr="00847710">
        <w:rPr>
          <w:rFonts w:ascii="Times New Roman" w:hAnsi="Times New Roman" w:cs="Times New Roman"/>
          <w:sz w:val="24"/>
          <w:szCs w:val="24"/>
        </w:rPr>
        <w:t xml:space="preserve"> valsts kompensējamo zāļu sistēmā (turpmāk – KZS)</w:t>
      </w:r>
      <w:r w:rsidRPr="00847710">
        <w:rPr>
          <w:rFonts w:ascii="Times New Roman" w:hAnsi="Times New Roman" w:cs="Times New Roman"/>
          <w:sz w:val="24"/>
          <w:szCs w:val="24"/>
        </w:rPr>
        <w:t xml:space="preserve"> zāļu iegādes izdevumus sedz, piemērojot trīs kompensācijas kategorijas – I kategorija (kompensācija 100% apmērā), II kategorija (kompensācija 75% apmērā) un III kategorija (kompensācija 50% apmērā)</w:t>
      </w:r>
      <w:r w:rsidRPr="00847710">
        <w:rPr>
          <w:rStyle w:val="FootnoteReference"/>
          <w:rFonts w:ascii="Times New Roman" w:hAnsi="Times New Roman" w:cs="Times New Roman"/>
          <w:sz w:val="24"/>
          <w:szCs w:val="24"/>
        </w:rPr>
        <w:footnoteReference w:id="19"/>
      </w:r>
      <w:r w:rsidRPr="00847710">
        <w:rPr>
          <w:rFonts w:ascii="Times New Roman" w:hAnsi="Times New Roman" w:cs="Times New Roman"/>
          <w:sz w:val="24"/>
          <w:szCs w:val="24"/>
        </w:rPr>
        <w:t>. Zāļu iegādes izdevumi tiek apmaksāti 100% apmērā, ja pacientam konstatēta hroniska, dzīvību apdraudoša slimība vai slimība, kas izraisa smagu neatgriezenisku invaliditāti un kuras ārstēšanā nepieciešama attiecīgo zāļu lietošana, lai uzturētu pacienta dzīvības funkcijas.</w:t>
      </w:r>
    </w:p>
    <w:p w14:paraId="44A09552" w14:textId="03EF5E1A" w:rsidR="004C6B78" w:rsidRPr="00847710" w:rsidRDefault="004C6B78" w:rsidP="00AF7E0C">
      <w:pPr>
        <w:spacing w:after="120"/>
        <w:ind w:firstLine="720"/>
        <w:jc w:val="both"/>
        <w:rPr>
          <w:rFonts w:ascii="Times New Roman" w:hAnsi="Times New Roman" w:cs="Times New Roman"/>
          <w:sz w:val="24"/>
          <w:szCs w:val="24"/>
        </w:rPr>
      </w:pPr>
      <w:r w:rsidRPr="57326167">
        <w:rPr>
          <w:rFonts w:ascii="Times New Roman" w:hAnsi="Times New Roman" w:cs="Times New Roman"/>
          <w:i/>
          <w:iCs/>
          <w:sz w:val="24"/>
          <w:szCs w:val="24"/>
        </w:rPr>
        <w:t>K50 Krona (Crohn) slimība (reģionālais enterīts)</w:t>
      </w:r>
      <w:r w:rsidRPr="00847710">
        <w:rPr>
          <w:rFonts w:ascii="Times New Roman" w:hAnsi="Times New Roman" w:cs="Times New Roman"/>
          <w:sz w:val="24"/>
          <w:szCs w:val="24"/>
        </w:rPr>
        <w:t xml:space="preserve"> un </w:t>
      </w:r>
      <w:r w:rsidRPr="57326167">
        <w:rPr>
          <w:rFonts w:ascii="Times New Roman" w:hAnsi="Times New Roman" w:cs="Times New Roman"/>
          <w:i/>
          <w:iCs/>
          <w:sz w:val="24"/>
          <w:szCs w:val="24"/>
        </w:rPr>
        <w:t>K51 Čūlains (ulcerozs) kolīts</w:t>
      </w:r>
      <w:r w:rsidRPr="00847710">
        <w:rPr>
          <w:rFonts w:ascii="Times New Roman" w:hAnsi="Times New Roman" w:cs="Times New Roman"/>
          <w:sz w:val="24"/>
          <w:szCs w:val="24"/>
        </w:rPr>
        <w:t xml:space="preserve"> ir iekaisīgas zarnu slimības (turpmāk – IZS), kas izraisa zarnu trakta orgānu sieniņu iekaisumu. Tās ir hroniskas, bieži progresējošas slimības ar augstu invaliditātes risku, kuras var skart je</w:t>
      </w:r>
      <w:r w:rsidR="004D1F50" w:rsidRPr="00847710">
        <w:rPr>
          <w:rFonts w:ascii="Times New Roman" w:hAnsi="Times New Roman" w:cs="Times New Roman"/>
          <w:sz w:val="24"/>
          <w:szCs w:val="24"/>
        </w:rPr>
        <w:t xml:space="preserve">bkuru gremošanas trakta daļu. </w:t>
      </w:r>
      <w:r w:rsidRPr="00847710">
        <w:rPr>
          <w:rFonts w:ascii="Times New Roman" w:hAnsi="Times New Roman" w:cs="Times New Roman"/>
          <w:sz w:val="24"/>
          <w:szCs w:val="24"/>
        </w:rPr>
        <w:t>Slimība visbiežāk tiek diagnosticēta vecumā no 15 līdz 29 gadiem, bet var rasties jebkurā dzīves posmā.</w:t>
      </w:r>
    </w:p>
    <w:p w14:paraId="5F8D515D" w14:textId="0350F067" w:rsidR="004C6B78" w:rsidRPr="00847710" w:rsidRDefault="004C6B78" w:rsidP="00AF7E0C">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Ja slimība attīstās bērnībā, tā var aizkavēt augšanu un pubertāti</w:t>
      </w:r>
      <w:r w:rsidRPr="00847710">
        <w:rPr>
          <w:rStyle w:val="FootnoteReference"/>
          <w:rFonts w:ascii="Times New Roman" w:hAnsi="Times New Roman" w:cs="Times New Roman"/>
          <w:sz w:val="24"/>
          <w:szCs w:val="24"/>
        </w:rPr>
        <w:footnoteReference w:id="20"/>
      </w:r>
      <w:r w:rsidRPr="00847710">
        <w:rPr>
          <w:rFonts w:ascii="Times New Roman" w:hAnsi="Times New Roman" w:cs="Times New Roman"/>
          <w:sz w:val="24"/>
          <w:szCs w:val="24"/>
        </w:rPr>
        <w:t>. Biežākie nāves cēloņi Krona slimības gadījumā ir sepse (organisma saindēšanās), plaušu embolija un vēzis.</w:t>
      </w:r>
    </w:p>
    <w:p w14:paraId="4B77502D" w14:textId="41401FE0" w:rsidR="004C6B78" w:rsidRPr="00847710" w:rsidRDefault="004C6B78" w:rsidP="00AF7E0C">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Eiropas Krona un čūlainā kolīta asociāciju federācija, lai izvērtētu ietekmi uz pacientu sociālajiem, izglītības, nodarbinātības un holistiskajiem aspektiem, veica Eiropas mēroga pacientu aptauju</w:t>
      </w:r>
      <w:r w:rsidRPr="00847710">
        <w:rPr>
          <w:rStyle w:val="FootnoteReference"/>
          <w:rFonts w:ascii="Times New Roman" w:hAnsi="Times New Roman" w:cs="Times New Roman"/>
          <w:sz w:val="24"/>
          <w:szCs w:val="24"/>
        </w:rPr>
        <w:footnoteReference w:id="21"/>
      </w:r>
      <w:r w:rsidRPr="00847710">
        <w:rPr>
          <w:rFonts w:ascii="Times New Roman" w:hAnsi="Times New Roman" w:cs="Times New Roman"/>
          <w:sz w:val="24"/>
          <w:szCs w:val="24"/>
        </w:rPr>
        <w:t xml:space="preserve">. Aptaujā piedalījās vairāk nekā 6000 cilvēku no 27 valstīm. 48% pacientu raksturo savu slimību kā hroniski aktīvu vai aktīvu ar periodiskiem uzliesmojumiem. </w:t>
      </w:r>
      <w:r w:rsidRPr="00847710">
        <w:rPr>
          <w:rFonts w:ascii="Times New Roman" w:hAnsi="Times New Roman" w:cs="Times New Roman"/>
          <w:sz w:val="24"/>
          <w:szCs w:val="24"/>
        </w:rPr>
        <w:lastRenderedPageBreak/>
        <w:t xml:space="preserve">Hospitalizācijas skaits ir īpaši liels: pēdējo piecu gadu laikā 85% pacientu ir nokļuvuši slimnīcā IZS dēļ. 40% pacientu ir veikta vismaz viena operācija. Bez tam IZS ir sistēmiskas slimības, kas ir saistītas ar blakussaslimšanām – 49% pacientu tās saistītas ar locītavām, bet 34% pacientu saistītas ar ādu. </w:t>
      </w:r>
    </w:p>
    <w:p w14:paraId="3B4B9DB3" w14:textId="77777777" w:rsidR="004C6B78" w:rsidRPr="00847710" w:rsidRDefault="004C6B78" w:rsidP="00AF7E0C">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Ar IZS Eiropā slimo vairāk nekā 2,2 miljoni cilvēku, Latvijā ik gadu kompensējamos medikamentus saņem ~1900 pacientu, bet iespējams, ka vēl daļai pacientu slimības diagnoze nav noteikta. </w:t>
      </w:r>
    </w:p>
    <w:p w14:paraId="5CB521DE" w14:textId="02611989" w:rsidR="004C6B78" w:rsidRPr="00847710" w:rsidRDefault="004C6B78" w:rsidP="00D645B4">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Saskaņā ar psoriāzes klīniskajām vadlīnijām</w:t>
      </w:r>
      <w:r w:rsidRPr="00847710">
        <w:rPr>
          <w:rStyle w:val="FootnoteReference"/>
          <w:rFonts w:ascii="Times New Roman" w:hAnsi="Times New Roman" w:cs="Times New Roman"/>
          <w:sz w:val="24"/>
          <w:szCs w:val="24"/>
        </w:rPr>
        <w:footnoteReference w:id="22"/>
      </w:r>
      <w:r w:rsidRPr="00847710">
        <w:rPr>
          <w:rFonts w:ascii="Times New Roman" w:hAnsi="Times New Roman" w:cs="Times New Roman"/>
          <w:sz w:val="24"/>
          <w:szCs w:val="24"/>
        </w:rPr>
        <w:t xml:space="preserve">  diagnoze </w:t>
      </w:r>
      <w:r w:rsidRPr="57326167">
        <w:rPr>
          <w:rFonts w:ascii="Times New Roman" w:hAnsi="Times New Roman" w:cs="Times New Roman"/>
          <w:i/>
          <w:iCs/>
          <w:sz w:val="24"/>
          <w:szCs w:val="24"/>
        </w:rPr>
        <w:t>L40 Zvīņēde (psoriasis)</w:t>
      </w:r>
      <w:r w:rsidRPr="00847710">
        <w:rPr>
          <w:rFonts w:ascii="Times New Roman" w:hAnsi="Times New Roman" w:cs="Times New Roman"/>
          <w:sz w:val="24"/>
          <w:szCs w:val="24"/>
        </w:rPr>
        <w:t xml:space="preserve">  ir viena no visbiežāk sastopamām ādas slimībām, kas industriāli attīstītajās valstīs skar 1,5–2% iedzīvotāju. Pacienti slimības dēļ cieš gan fiziski, gan psiholoģiski. Psoriāzes norise ir saistīta ar iespējamu procesa ģeneralizāciju, psoriātiskā artrīta un metabolā sindroma attīstību. Smagu, pret citu ārstēšanu rezistentu psoriāzi novēro 10% gadījumu.</w:t>
      </w:r>
      <w:r w:rsidR="00315286" w:rsidRPr="00847710">
        <w:rPr>
          <w:rFonts w:ascii="Times New Roman" w:hAnsi="Times New Roman" w:cs="Times New Roman"/>
          <w:sz w:val="24"/>
          <w:szCs w:val="24"/>
        </w:rPr>
        <w:t xml:space="preserve"> </w:t>
      </w:r>
      <w:r w:rsidRPr="00847710">
        <w:rPr>
          <w:rFonts w:ascii="Times New Roman" w:hAnsi="Times New Roman" w:cs="Times New Roman"/>
          <w:sz w:val="24"/>
          <w:szCs w:val="24"/>
        </w:rPr>
        <w:t xml:space="preserve">Pirmā psoriāzes tipa gadījumā, kad slimība </w:t>
      </w:r>
      <w:r w:rsidR="00CE6A18" w:rsidRPr="00847710">
        <w:rPr>
          <w:rFonts w:ascii="Times New Roman" w:hAnsi="Times New Roman" w:cs="Times New Roman"/>
          <w:sz w:val="24"/>
          <w:szCs w:val="24"/>
        </w:rPr>
        <w:t xml:space="preserve">parādās </w:t>
      </w:r>
      <w:r w:rsidRPr="00847710">
        <w:rPr>
          <w:rFonts w:ascii="Times New Roman" w:hAnsi="Times New Roman" w:cs="Times New Roman"/>
          <w:sz w:val="24"/>
          <w:szCs w:val="24"/>
        </w:rPr>
        <w:t xml:space="preserve"> līdz 40 gadu vecumam, sasniedzot maksimumu mūža otrā pusē, slimniekiem nereti sastopams psoriātiskais artrīts. </w:t>
      </w:r>
    </w:p>
    <w:p w14:paraId="2BE12827" w14:textId="77777777" w:rsidR="004C6B78" w:rsidRPr="00847710" w:rsidRDefault="004C6B78" w:rsidP="00AF7E0C">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Vērtējot psoriāzes ietekmi uz pacienta dzīves kvalitāti secināts, ka galvenie traumējošie faktori ir sāpes, diskomforts, fiziski bojājumi un stress, nespēja paredzēt un kontrolēt slimības uzliesmojumus. Hroniskā un recidivējošā slimības gaita var izraisīt bezcerību attiecībā uz ārstēšanas panākumu. Pašnāvnieciskas vēlmes atzīmē līdz pat 9,7% pacientu, kas slimo ar psoriāzi. </w:t>
      </w:r>
    </w:p>
    <w:p w14:paraId="77CE2639" w14:textId="799041EC" w:rsidR="004C6B78" w:rsidRPr="00847710" w:rsidRDefault="004C6B78" w:rsidP="00AF7E0C">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Neārstēta psoriātiskā artrīta gadījumā mēdz veidoties smagas locītavu deformācijas un locītavu funkcionāli traucējumi</w:t>
      </w:r>
      <w:r w:rsidR="00CE6A18" w:rsidRPr="00847710">
        <w:rPr>
          <w:rFonts w:ascii="Times New Roman" w:hAnsi="Times New Roman" w:cs="Times New Roman"/>
          <w:sz w:val="24"/>
          <w:szCs w:val="24"/>
        </w:rPr>
        <w:t xml:space="preserve">, kas </w:t>
      </w:r>
      <w:r w:rsidRPr="00847710">
        <w:rPr>
          <w:rFonts w:ascii="Times New Roman" w:hAnsi="Times New Roman" w:cs="Times New Roman"/>
          <w:sz w:val="24"/>
          <w:szCs w:val="24"/>
        </w:rPr>
        <w:t>var beigties letāli komplikāciju dēļ.</w:t>
      </w:r>
    </w:p>
    <w:p w14:paraId="3A9D528B" w14:textId="77777777" w:rsidR="004C6B78" w:rsidRPr="00847710" w:rsidRDefault="004C6B78" w:rsidP="00AF7E0C">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Diagnozēm </w:t>
      </w:r>
      <w:r w:rsidRPr="57326167">
        <w:rPr>
          <w:rFonts w:ascii="Times New Roman" w:hAnsi="Times New Roman" w:cs="Times New Roman"/>
          <w:i/>
          <w:iCs/>
          <w:sz w:val="24"/>
          <w:szCs w:val="24"/>
        </w:rPr>
        <w:t>K50 Krona (Crohn) slimība (reģionālais enterīts)</w:t>
      </w:r>
      <w:r w:rsidRPr="00847710">
        <w:rPr>
          <w:rFonts w:ascii="Times New Roman" w:hAnsi="Times New Roman" w:cs="Times New Roman"/>
          <w:sz w:val="24"/>
          <w:szCs w:val="24"/>
        </w:rPr>
        <w:t xml:space="preserve">, </w:t>
      </w:r>
      <w:r w:rsidRPr="57326167">
        <w:rPr>
          <w:rFonts w:ascii="Times New Roman" w:hAnsi="Times New Roman" w:cs="Times New Roman"/>
          <w:i/>
          <w:iCs/>
          <w:sz w:val="24"/>
          <w:szCs w:val="24"/>
        </w:rPr>
        <w:t>K51 Čūlains (ulcerozs) kolīts</w:t>
      </w:r>
      <w:r w:rsidRPr="00847710">
        <w:rPr>
          <w:rFonts w:ascii="Times New Roman" w:hAnsi="Times New Roman" w:cs="Times New Roman"/>
          <w:sz w:val="24"/>
          <w:szCs w:val="24"/>
        </w:rPr>
        <w:t xml:space="preserve"> un </w:t>
      </w:r>
      <w:r w:rsidRPr="57326167">
        <w:rPr>
          <w:rFonts w:ascii="Times New Roman" w:hAnsi="Times New Roman" w:cs="Times New Roman"/>
          <w:i/>
          <w:iCs/>
          <w:sz w:val="24"/>
          <w:szCs w:val="24"/>
        </w:rPr>
        <w:t>L40 Zvīņēde (psoriasis)</w:t>
      </w:r>
      <w:r w:rsidRPr="00847710">
        <w:rPr>
          <w:rFonts w:ascii="Times New Roman" w:hAnsi="Times New Roman" w:cs="Times New Roman"/>
          <w:sz w:val="24"/>
          <w:szCs w:val="24"/>
        </w:rPr>
        <w:t xml:space="preserve"> šobrīd noteiktais zāļu iegādes izdevumu kompensācijas apmērs ir 75%</w:t>
      </w:r>
      <w:r w:rsidRPr="00847710">
        <w:rPr>
          <w:rFonts w:ascii="Times New Roman" w:hAnsi="Times New Roman" w:cs="Times New Roman"/>
          <w:sz w:val="24"/>
          <w:szCs w:val="24"/>
          <w:vertAlign w:val="superscript"/>
        </w:rPr>
        <w:footnoteReference w:id="23"/>
      </w:r>
      <w:r w:rsidRPr="00847710">
        <w:rPr>
          <w:rFonts w:ascii="Times New Roman" w:hAnsi="Times New Roman" w:cs="Times New Roman"/>
          <w:sz w:val="24"/>
          <w:szCs w:val="24"/>
        </w:rPr>
        <w:t>, kamēr citām invalidizējošām slimībām ar līdzīgu izcelsmes mehānismu (</w:t>
      </w:r>
      <w:r w:rsidRPr="57326167">
        <w:rPr>
          <w:rFonts w:ascii="Times New Roman" w:hAnsi="Times New Roman" w:cs="Times New Roman"/>
          <w:i/>
          <w:iCs/>
          <w:sz w:val="24"/>
          <w:szCs w:val="24"/>
        </w:rPr>
        <w:t>M05 Seropozitīvs reimatoīdais artrīts, M08 Juvenilais artrīts</w:t>
      </w:r>
      <w:r w:rsidRPr="00847710">
        <w:rPr>
          <w:rFonts w:ascii="Times New Roman" w:hAnsi="Times New Roman" w:cs="Times New Roman"/>
          <w:sz w:val="24"/>
          <w:szCs w:val="24"/>
        </w:rPr>
        <w:t xml:space="preserve"> u.c.) tiek nodrošināta zāļu kompensācija 100% apmērā, tādējādi salīdzināmu slimību pacienti atrodas nevienlīdzīgā situācijā. </w:t>
      </w:r>
    </w:p>
    <w:p w14:paraId="3B17C74B" w14:textId="3E998E0C" w:rsidR="004B129D" w:rsidRPr="00847710" w:rsidRDefault="004C6B78" w:rsidP="00315286">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Ārstēšanās izmaksas ir saistītas ar pacientu līdzestību ārstēšanai. Saskaņā ar SKDS aptaujas datiem (2014., zemāk skatīt </w:t>
      </w:r>
      <w:r w:rsidR="5A068AEE" w:rsidRPr="00847710">
        <w:rPr>
          <w:rFonts w:ascii="Times New Roman" w:hAnsi="Times New Roman" w:cs="Times New Roman"/>
          <w:sz w:val="24"/>
          <w:szCs w:val="24"/>
        </w:rPr>
        <w:t>2</w:t>
      </w:r>
      <w:r w:rsidR="00CE6A18" w:rsidRPr="00847710">
        <w:rPr>
          <w:rFonts w:ascii="Times New Roman" w:hAnsi="Times New Roman" w:cs="Times New Roman"/>
          <w:sz w:val="24"/>
          <w:szCs w:val="24"/>
        </w:rPr>
        <w:t>. attēlu</w:t>
      </w:r>
      <w:r w:rsidRPr="00847710">
        <w:rPr>
          <w:rFonts w:ascii="Times New Roman" w:hAnsi="Times New Roman" w:cs="Times New Roman"/>
          <w:sz w:val="24"/>
          <w:szCs w:val="24"/>
        </w:rPr>
        <w:t xml:space="preserve">) 30% iedzīvotāju vecumā virs 62 gadiem ir apstiprinoši atbildējuši uz jautājumu: Vai pēdējo 12 mēnešu laikā Jums ir bijuši gadījumi, kad Jūs neesat lietojis/-usi kādas Jums izrakstītas zāles (nemaz vai tikai daļējā apjomā) tikai tāpēc, ka šo zāļu iegādi Jūs nevarējāt atļauties – tās bija pārāk dārgas? </w:t>
      </w:r>
    </w:p>
    <w:p w14:paraId="114CC857" w14:textId="23EB3934" w:rsidR="004B129D" w:rsidRPr="00C86312" w:rsidRDefault="5A068AEE">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2</w:t>
      </w:r>
      <w:r w:rsidR="004B129D" w:rsidRPr="57326167">
        <w:rPr>
          <w:rFonts w:ascii="Times New Roman" w:hAnsi="Times New Roman" w:cs="Times New Roman"/>
          <w:i/>
          <w:iCs/>
          <w:sz w:val="24"/>
          <w:szCs w:val="24"/>
        </w:rPr>
        <w:t>.</w:t>
      </w:r>
      <w:r w:rsidR="00155CAA" w:rsidRPr="57326167">
        <w:rPr>
          <w:rFonts w:ascii="Times New Roman" w:hAnsi="Times New Roman" w:cs="Times New Roman"/>
          <w:i/>
          <w:iCs/>
          <w:sz w:val="24"/>
          <w:szCs w:val="24"/>
        </w:rPr>
        <w:t>attēls</w:t>
      </w:r>
      <w:r w:rsidR="004B129D" w:rsidRPr="57326167">
        <w:rPr>
          <w:rFonts w:ascii="Times New Roman" w:hAnsi="Times New Roman" w:cs="Times New Roman"/>
          <w:i/>
          <w:iCs/>
          <w:sz w:val="24"/>
          <w:szCs w:val="24"/>
        </w:rPr>
        <w:t xml:space="preserve"> </w:t>
      </w:r>
    </w:p>
    <w:p w14:paraId="49AE775D" w14:textId="376C1D92" w:rsidR="004B129D" w:rsidRPr="00847710" w:rsidRDefault="003D2819" w:rsidP="004B129D">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lastRenderedPageBreak/>
        <w:t>Iedzīvotāju</w:t>
      </w:r>
      <w:r w:rsidR="00155CAA" w:rsidRPr="0012317D">
        <w:rPr>
          <w:rFonts w:ascii="Times New Roman" w:hAnsi="Times New Roman" w:cs="Times New Roman"/>
          <w:b/>
          <w:bCs/>
          <w:sz w:val="24"/>
          <w:szCs w:val="24"/>
        </w:rPr>
        <w:t xml:space="preserve">  atbildes uz jautājumu “Vai pēdējo 12 mēnešu laikā Jums ir bijuši gadījumi, kad Jūs neesat lietojis/-usi</w:t>
      </w:r>
      <w:r w:rsidR="00155CAA" w:rsidRPr="0078794A">
        <w:rPr>
          <w:rFonts w:ascii="Times New Roman" w:hAnsi="Times New Roman" w:cs="Times New Roman"/>
          <w:b/>
          <w:bCs/>
          <w:sz w:val="24"/>
          <w:szCs w:val="24"/>
        </w:rPr>
        <w:t xml:space="preserve"> kādas Jums izrakstītas zāles (nemaz vai tikai daļējā apjomā) tikai tāpēc, ka šo zāļu iegādi Jūs nevarējāt atļauties – tās bija pārāk dārgas?”</w:t>
      </w:r>
    </w:p>
    <w:p w14:paraId="4B7EF7DA" w14:textId="77777777" w:rsidR="004C6B78" w:rsidRPr="00847710" w:rsidRDefault="004C6B78" w:rsidP="00AF7E0C">
      <w:pPr>
        <w:spacing w:after="120"/>
        <w:jc w:val="center"/>
        <w:rPr>
          <w:rFonts w:ascii="Times New Roman" w:hAnsi="Times New Roman" w:cs="Times New Roman"/>
          <w:sz w:val="24"/>
          <w:szCs w:val="24"/>
        </w:rPr>
      </w:pPr>
      <w:r w:rsidRPr="00847710">
        <w:rPr>
          <w:rFonts w:ascii="Times New Roman" w:eastAsia="Times New Roman" w:hAnsi="Times New Roman" w:cs="Times New Roman"/>
          <w:noProof/>
          <w:color w:val="414142"/>
          <w:sz w:val="24"/>
          <w:szCs w:val="24"/>
          <w:lang w:eastAsia="lv-LV"/>
        </w:rPr>
        <w:drawing>
          <wp:inline distT="0" distB="0" distL="0" distR="0" wp14:anchorId="3DB3B80C" wp14:editId="32A86BC4">
            <wp:extent cx="3209925" cy="1857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857375"/>
                    </a:xfrm>
                    <a:prstGeom prst="rect">
                      <a:avLst/>
                    </a:prstGeom>
                    <a:noFill/>
                    <a:ln>
                      <a:noFill/>
                    </a:ln>
                  </pic:spPr>
                </pic:pic>
              </a:graphicData>
            </a:graphic>
          </wp:inline>
        </w:drawing>
      </w:r>
    </w:p>
    <w:p w14:paraId="60F732B2" w14:textId="77777777" w:rsidR="004C6B78" w:rsidRPr="00847710" w:rsidRDefault="004C6B78" w:rsidP="00AF7E0C">
      <w:pPr>
        <w:spacing w:after="120"/>
        <w:jc w:val="both"/>
        <w:rPr>
          <w:rFonts w:ascii="Times New Roman" w:hAnsi="Times New Roman" w:cs="Times New Roman"/>
          <w:sz w:val="24"/>
          <w:szCs w:val="24"/>
        </w:rPr>
      </w:pPr>
      <w:r w:rsidRPr="00847710">
        <w:rPr>
          <w:rFonts w:ascii="Times New Roman" w:hAnsi="Times New Roman" w:cs="Times New Roman"/>
          <w:sz w:val="24"/>
          <w:szCs w:val="24"/>
        </w:rPr>
        <w:t xml:space="preserve"> </w:t>
      </w:r>
    </w:p>
    <w:p w14:paraId="4D63BFAF" w14:textId="77777777" w:rsidR="004C6B78" w:rsidRPr="00847710" w:rsidRDefault="004C6B78" w:rsidP="00AF7E0C">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No 2014.gada pacientiem ar Krona slimību un čūlaino kolītu KZS ir iekļautas divas bioloģiskās izcelsmes zāles </w:t>
      </w:r>
      <w:r w:rsidRPr="57326167">
        <w:rPr>
          <w:rFonts w:ascii="Times New Roman" w:hAnsi="Times New Roman" w:cs="Times New Roman"/>
          <w:i/>
          <w:iCs/>
          <w:sz w:val="24"/>
          <w:szCs w:val="24"/>
        </w:rPr>
        <w:t>Adalimumabum</w:t>
      </w:r>
      <w:r w:rsidRPr="00847710">
        <w:rPr>
          <w:rFonts w:ascii="Times New Roman" w:hAnsi="Times New Roman" w:cs="Times New Roman"/>
          <w:sz w:val="24"/>
          <w:szCs w:val="24"/>
        </w:rPr>
        <w:t xml:space="preserve"> un </w:t>
      </w:r>
      <w:r w:rsidRPr="57326167">
        <w:rPr>
          <w:rFonts w:ascii="Times New Roman" w:hAnsi="Times New Roman" w:cs="Times New Roman"/>
          <w:i/>
          <w:iCs/>
          <w:sz w:val="24"/>
          <w:szCs w:val="24"/>
        </w:rPr>
        <w:t>Infliximabum</w:t>
      </w:r>
      <w:r w:rsidRPr="00847710">
        <w:rPr>
          <w:rFonts w:ascii="Times New Roman" w:hAnsi="Times New Roman" w:cs="Times New Roman"/>
          <w:sz w:val="24"/>
          <w:szCs w:val="24"/>
        </w:rPr>
        <w:t xml:space="preserve">. Zāles saskaņā ar konsīlija slēdzienu var izrakstīt gastroentrologs bērniem un pieaugušajiem, kuriem nav pietiekama atbildes reakcija pret iepriekšēju terapiju ar aminosalicilātiem, glikokortikoīdiem un imunosupresantiem. Finansējuma trūkuma dēļ KZS šobrīd nav iekļautas bioloģiskās izcelsmes zāles psoriāzes ārstēšanai. Tomēr arī pacienti ar Krona slimību un čūlaino kolītu nespēj iegādāties KZS iekļautās bioloģiskās terapijas zāles, jo pašreizējais pacienta līdzmaksājums pie 75% kompensācijas ir ~ 200 eiro mēnesī.  </w:t>
      </w:r>
    </w:p>
    <w:p w14:paraId="06BD755E" w14:textId="48523B99" w:rsidR="004C6B78" w:rsidRPr="00847710" w:rsidRDefault="004C6B78" w:rsidP="00AF7E0C">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Kompensācijas apmēra paaugstināšana un bioloģiskās terapijas nodrošināšana diagnozēm </w:t>
      </w:r>
      <w:r w:rsidRPr="57326167">
        <w:rPr>
          <w:rFonts w:ascii="Times New Roman" w:hAnsi="Times New Roman" w:cs="Times New Roman"/>
          <w:i/>
          <w:iCs/>
          <w:sz w:val="24"/>
          <w:szCs w:val="24"/>
        </w:rPr>
        <w:t>K50 Krona (Crohn) slimība (reģionālais enterīts)</w:t>
      </w:r>
      <w:r w:rsidRPr="00847710">
        <w:rPr>
          <w:rFonts w:ascii="Times New Roman" w:hAnsi="Times New Roman" w:cs="Times New Roman"/>
          <w:sz w:val="24"/>
          <w:szCs w:val="24"/>
        </w:rPr>
        <w:t xml:space="preserve">, </w:t>
      </w:r>
      <w:r w:rsidRPr="57326167">
        <w:rPr>
          <w:rFonts w:ascii="Times New Roman" w:hAnsi="Times New Roman" w:cs="Times New Roman"/>
          <w:i/>
          <w:iCs/>
          <w:sz w:val="24"/>
          <w:szCs w:val="24"/>
        </w:rPr>
        <w:t>K51 Čūlains (ulcerozs) kolīts</w:t>
      </w:r>
      <w:r w:rsidRPr="00847710">
        <w:rPr>
          <w:rFonts w:ascii="Times New Roman" w:hAnsi="Times New Roman" w:cs="Times New Roman"/>
          <w:sz w:val="24"/>
          <w:szCs w:val="24"/>
        </w:rPr>
        <w:t xml:space="preserve"> un </w:t>
      </w:r>
      <w:r w:rsidRPr="57326167">
        <w:rPr>
          <w:rFonts w:ascii="Times New Roman" w:hAnsi="Times New Roman" w:cs="Times New Roman"/>
          <w:i/>
          <w:iCs/>
          <w:sz w:val="24"/>
          <w:szCs w:val="24"/>
        </w:rPr>
        <w:t>L40 Zvīņēde (psoriasis)</w:t>
      </w:r>
      <w:r w:rsidRPr="00847710">
        <w:rPr>
          <w:rFonts w:ascii="Times New Roman" w:hAnsi="Times New Roman" w:cs="Times New Roman"/>
          <w:sz w:val="24"/>
          <w:szCs w:val="24"/>
        </w:rPr>
        <w:t xml:space="preserve"> jau vairākus gadus ir viena no VM prioritātēm zāļu kompensācijas jomā. Šie pasākumi iekļauti arī ziņojumā par veselības aprūpes sistēmas reformu</w:t>
      </w:r>
      <w:r w:rsidR="00891EA4" w:rsidRPr="00847710">
        <w:rPr>
          <w:rFonts w:ascii="Times New Roman" w:hAnsi="Times New Roman" w:cs="Times New Roman"/>
          <w:sz w:val="24"/>
          <w:szCs w:val="24"/>
        </w:rPr>
        <w:t>.</w:t>
      </w:r>
      <w:r w:rsidRPr="00847710">
        <w:rPr>
          <w:rStyle w:val="FootnoteReference"/>
          <w:rFonts w:ascii="Times New Roman" w:hAnsi="Times New Roman" w:cs="Times New Roman"/>
          <w:sz w:val="24"/>
          <w:szCs w:val="24"/>
        </w:rPr>
        <w:footnoteReference w:id="24"/>
      </w:r>
    </w:p>
    <w:p w14:paraId="2D4C53FE" w14:textId="77777777" w:rsidR="004C6B78" w:rsidRPr="00847710" w:rsidRDefault="004C6B78" w:rsidP="00AF7E0C">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Identificētās problēmas:</w:t>
      </w:r>
    </w:p>
    <w:p w14:paraId="643EFDA1" w14:textId="77777777" w:rsidR="004C6B78" w:rsidRPr="00847710" w:rsidRDefault="004C6B78" w:rsidP="00AF7E0C">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1. Diagnožu  </w:t>
      </w:r>
      <w:r w:rsidRPr="57326167">
        <w:rPr>
          <w:rFonts w:ascii="Times New Roman" w:hAnsi="Times New Roman" w:cs="Times New Roman"/>
          <w:i/>
          <w:iCs/>
          <w:sz w:val="24"/>
          <w:szCs w:val="24"/>
        </w:rPr>
        <w:t>K50 Krona (Crohn) slimība (reģionālais enterīts)</w:t>
      </w:r>
      <w:r w:rsidRPr="00847710">
        <w:rPr>
          <w:rFonts w:ascii="Times New Roman" w:hAnsi="Times New Roman" w:cs="Times New Roman"/>
          <w:sz w:val="24"/>
          <w:szCs w:val="24"/>
        </w:rPr>
        <w:t xml:space="preserve">, </w:t>
      </w:r>
      <w:r w:rsidRPr="57326167">
        <w:rPr>
          <w:rFonts w:ascii="Times New Roman" w:hAnsi="Times New Roman" w:cs="Times New Roman"/>
          <w:i/>
          <w:iCs/>
          <w:sz w:val="24"/>
          <w:szCs w:val="24"/>
        </w:rPr>
        <w:t>K51 Čūlains (ulcerozs) kolīts</w:t>
      </w:r>
      <w:r w:rsidRPr="00847710">
        <w:rPr>
          <w:rFonts w:ascii="Times New Roman" w:hAnsi="Times New Roman" w:cs="Times New Roman"/>
          <w:sz w:val="24"/>
          <w:szCs w:val="24"/>
        </w:rPr>
        <w:t xml:space="preserve"> un </w:t>
      </w:r>
      <w:r w:rsidRPr="57326167">
        <w:rPr>
          <w:rFonts w:ascii="Times New Roman" w:hAnsi="Times New Roman" w:cs="Times New Roman"/>
          <w:i/>
          <w:iCs/>
          <w:sz w:val="24"/>
          <w:szCs w:val="24"/>
        </w:rPr>
        <w:t>L40 Zvīņēde (psoriasis)</w:t>
      </w:r>
      <w:r w:rsidRPr="00847710">
        <w:rPr>
          <w:rFonts w:ascii="Times New Roman" w:hAnsi="Times New Roman" w:cs="Times New Roman"/>
          <w:sz w:val="24"/>
          <w:szCs w:val="24"/>
        </w:rPr>
        <w:t xml:space="preserve"> gadījumā pacientiem netiek nodrošināta vienlīdzīga pieeja zāļu kompensācijā ar citām invalidizējošām autoimūnas izcelsmes slimībām, kam šobrīd tiek nodrošināta zāļu kompensācija 100% apmērā.</w:t>
      </w:r>
    </w:p>
    <w:p w14:paraId="5F94F8D5" w14:textId="77777777" w:rsidR="004C6B78" w:rsidRPr="00847710" w:rsidRDefault="004C6B78" w:rsidP="00AF7E0C">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2. Kompensācija 75% apmērā pacientiem ar diagnozēm </w:t>
      </w:r>
      <w:r w:rsidRPr="57326167">
        <w:rPr>
          <w:rFonts w:ascii="Times New Roman" w:hAnsi="Times New Roman" w:cs="Times New Roman"/>
          <w:i/>
          <w:iCs/>
          <w:sz w:val="24"/>
          <w:szCs w:val="24"/>
        </w:rPr>
        <w:t>K50 Krona (Crohn) slimība (reģionālais enterīts)</w:t>
      </w:r>
      <w:r w:rsidRPr="00847710">
        <w:rPr>
          <w:rFonts w:ascii="Times New Roman" w:hAnsi="Times New Roman" w:cs="Times New Roman"/>
          <w:sz w:val="24"/>
          <w:szCs w:val="24"/>
        </w:rPr>
        <w:t xml:space="preserve">, </w:t>
      </w:r>
      <w:r w:rsidRPr="57326167">
        <w:rPr>
          <w:rFonts w:ascii="Times New Roman" w:hAnsi="Times New Roman" w:cs="Times New Roman"/>
          <w:i/>
          <w:iCs/>
          <w:sz w:val="24"/>
          <w:szCs w:val="24"/>
        </w:rPr>
        <w:t>K51 Čūlains (ulcerozs) kolīts</w:t>
      </w:r>
      <w:r w:rsidRPr="00847710">
        <w:rPr>
          <w:rFonts w:ascii="Times New Roman" w:hAnsi="Times New Roman" w:cs="Times New Roman"/>
          <w:sz w:val="24"/>
          <w:szCs w:val="24"/>
        </w:rPr>
        <w:t xml:space="preserve"> un </w:t>
      </w:r>
      <w:r w:rsidRPr="57326167">
        <w:rPr>
          <w:rFonts w:ascii="Times New Roman" w:hAnsi="Times New Roman" w:cs="Times New Roman"/>
          <w:i/>
          <w:iCs/>
          <w:sz w:val="24"/>
          <w:szCs w:val="24"/>
        </w:rPr>
        <w:t>L40 Zvīņēde (psoriasis)</w:t>
      </w:r>
      <w:r w:rsidRPr="00847710">
        <w:rPr>
          <w:rFonts w:ascii="Times New Roman" w:hAnsi="Times New Roman" w:cs="Times New Roman"/>
          <w:sz w:val="24"/>
          <w:szCs w:val="24"/>
        </w:rPr>
        <w:t xml:space="preserve"> liedz iespēju saņemt slimību smagāko formu ārstēšanai nepieciešamās bioloģiskās izcelsmes zāles.</w:t>
      </w:r>
    </w:p>
    <w:p w14:paraId="711ADA11" w14:textId="425AFA6D" w:rsidR="004C6B78" w:rsidRPr="00847710" w:rsidRDefault="004C6B78" w:rsidP="00AF7E0C">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lastRenderedPageBreak/>
        <w:t xml:space="preserve">3. Ilgstoši pienācīgi neārstētas iekaisīgas zarnu slimības un psoriāze palielina stacionēšanas gadījumu skaitu, darbnespēju un izraisa invaliditāti. </w:t>
      </w:r>
    </w:p>
    <w:p w14:paraId="3746106C" w14:textId="3E777D87" w:rsidR="00847710" w:rsidRPr="00847710" w:rsidRDefault="00847710" w:rsidP="00AF7E0C">
      <w:pPr>
        <w:spacing w:after="120"/>
        <w:ind w:firstLine="720"/>
        <w:jc w:val="both"/>
        <w:rPr>
          <w:rFonts w:ascii="Times New Roman" w:hAnsi="Times New Roman" w:cs="Times New Roman"/>
          <w:sz w:val="24"/>
          <w:szCs w:val="24"/>
        </w:rPr>
      </w:pPr>
    </w:p>
    <w:p w14:paraId="091785AE" w14:textId="77777777" w:rsidR="00847710" w:rsidRPr="00847710" w:rsidRDefault="00847710" w:rsidP="00AF7E0C">
      <w:pPr>
        <w:spacing w:after="120"/>
        <w:ind w:firstLine="720"/>
        <w:jc w:val="both"/>
        <w:rPr>
          <w:rFonts w:ascii="Times New Roman" w:hAnsi="Times New Roman" w:cs="Times New Roman"/>
          <w:sz w:val="24"/>
          <w:szCs w:val="24"/>
        </w:rPr>
      </w:pPr>
    </w:p>
    <w:p w14:paraId="06793670" w14:textId="0C31F4F3" w:rsidR="004C6B78" w:rsidRPr="00C86312" w:rsidRDefault="00CB4F41">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86477B">
        <w:rPr>
          <w:rFonts w:ascii="Times New Roman" w:hAnsi="Times New Roman" w:cs="Times New Roman"/>
          <w:i/>
          <w:iCs/>
          <w:sz w:val="24"/>
          <w:szCs w:val="24"/>
        </w:rPr>
        <w:t>3</w:t>
      </w:r>
      <w:r w:rsidR="004C6B78" w:rsidRPr="57326167">
        <w:rPr>
          <w:rFonts w:ascii="Times New Roman" w:hAnsi="Times New Roman" w:cs="Times New Roman"/>
          <w:i/>
          <w:iCs/>
          <w:sz w:val="24"/>
          <w:szCs w:val="24"/>
        </w:rPr>
        <w:t xml:space="preserve">.tabula </w:t>
      </w:r>
    </w:p>
    <w:p w14:paraId="732A252D" w14:textId="5C2D993D" w:rsidR="004C6B78" w:rsidRPr="00C86312" w:rsidRDefault="004C6B78">
      <w:pPr>
        <w:jc w:val="center"/>
        <w:rPr>
          <w:rFonts w:ascii="Times New Roman" w:hAnsi="Times New Roman" w:cs="Times New Roman"/>
          <w:b/>
          <w:bCs/>
          <w:sz w:val="24"/>
          <w:szCs w:val="24"/>
        </w:rPr>
      </w:pPr>
      <w:r w:rsidRPr="0012317D">
        <w:rPr>
          <w:rFonts w:ascii="Times New Roman" w:hAnsi="Times New Roman" w:cs="Times New Roman"/>
          <w:b/>
          <w:bCs/>
          <w:sz w:val="24"/>
          <w:szCs w:val="24"/>
        </w:rPr>
        <w:t>Bioloģiskās terapijas Krona slimībai, čūlainajam kolītam un psoriāzei</w:t>
      </w:r>
      <w:r w:rsidR="005C079A" w:rsidRPr="0012317D">
        <w:rPr>
          <w:rFonts w:ascii="Times New Roman" w:hAnsi="Times New Roman" w:cs="Times New Roman"/>
          <w:b/>
          <w:bCs/>
          <w:sz w:val="24"/>
          <w:szCs w:val="24"/>
        </w:rPr>
        <w:t xml:space="preserve"> iekļaušanai kompensējamo zāļu sarakstā</w:t>
      </w:r>
      <w:r w:rsidRPr="0012317D">
        <w:rPr>
          <w:rFonts w:ascii="Times New Roman" w:hAnsi="Times New Roman" w:cs="Times New Roman"/>
          <w:b/>
          <w:bCs/>
          <w:sz w:val="24"/>
          <w:szCs w:val="24"/>
        </w:rPr>
        <w:t xml:space="preserve"> nepieciešamais finansējums</w:t>
      </w:r>
    </w:p>
    <w:tbl>
      <w:tblPr>
        <w:tblW w:w="111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726"/>
        <w:gridCol w:w="1134"/>
        <w:gridCol w:w="1417"/>
        <w:gridCol w:w="1412"/>
        <w:gridCol w:w="1285"/>
        <w:gridCol w:w="1272"/>
        <w:gridCol w:w="1272"/>
        <w:gridCol w:w="1272"/>
      </w:tblGrid>
      <w:tr w:rsidR="00FB6C80" w:rsidRPr="00847710" w14:paraId="053D82DC" w14:textId="77777777" w:rsidTr="00C86312">
        <w:trPr>
          <w:cantSplit/>
          <w:trHeight w:val="1656"/>
        </w:trPr>
        <w:tc>
          <w:tcPr>
            <w:tcW w:w="401" w:type="dxa"/>
            <w:shd w:val="clear" w:color="auto" w:fill="E36C0A" w:themeFill="accent6" w:themeFillShade="BF"/>
            <w:vAlign w:val="center"/>
            <w:hideMark/>
          </w:tcPr>
          <w:p w14:paraId="32E11BEB" w14:textId="77777777" w:rsidR="004C6B78" w:rsidRPr="00847710" w:rsidRDefault="004C6B78" w:rsidP="00B917C4">
            <w:pPr>
              <w:spacing w:after="0" w:line="240" w:lineRule="auto"/>
              <w:jc w:val="center"/>
              <w:rPr>
                <w:rFonts w:ascii="Times New Roman" w:eastAsia="Times New Roman" w:hAnsi="Times New Roman" w:cs="Times New Roman"/>
                <w:b/>
                <w:bCs/>
                <w:sz w:val="20"/>
                <w:szCs w:val="20"/>
                <w:lang w:eastAsia="lv-LV"/>
              </w:rPr>
            </w:pPr>
          </w:p>
        </w:tc>
        <w:tc>
          <w:tcPr>
            <w:tcW w:w="1726" w:type="dxa"/>
            <w:shd w:val="clear" w:color="auto" w:fill="E36C0A" w:themeFill="accent6" w:themeFillShade="BF"/>
            <w:vAlign w:val="center"/>
            <w:hideMark/>
          </w:tcPr>
          <w:p w14:paraId="00F8E7DB" w14:textId="77777777" w:rsidR="004C6B78" w:rsidRPr="00847710" w:rsidRDefault="004C6B78" w:rsidP="00B917C4">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A" w:themeFill="accent6" w:themeFillShade="BF"/>
            <w:textDirection w:val="btLr"/>
            <w:vAlign w:val="center"/>
            <w:hideMark/>
          </w:tcPr>
          <w:p w14:paraId="67E37C18" w14:textId="77777777" w:rsidR="004C6B78" w:rsidRPr="00847710" w:rsidRDefault="004C6B78" w:rsidP="00B917C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1D1CA620" w14:textId="77777777" w:rsidR="004C6B78" w:rsidRPr="00847710" w:rsidRDefault="004C6B78" w:rsidP="00B917C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6F1DCCCC" w14:textId="77777777" w:rsidR="004C6B78" w:rsidRPr="00847710" w:rsidRDefault="004C6B78" w:rsidP="00B917C4">
            <w:pPr>
              <w:spacing w:after="0" w:line="240" w:lineRule="auto"/>
              <w:ind w:left="113" w:right="113"/>
              <w:jc w:val="center"/>
              <w:rPr>
                <w:rFonts w:ascii="Times New Roman" w:eastAsia="Times New Roman" w:hAnsi="Times New Roman" w:cs="Times New Roman"/>
                <w:b/>
                <w:bCs/>
                <w:sz w:val="20"/>
                <w:szCs w:val="20"/>
                <w:lang w:eastAsia="lv-LV"/>
              </w:rPr>
            </w:pPr>
          </w:p>
        </w:tc>
        <w:tc>
          <w:tcPr>
            <w:tcW w:w="2829" w:type="dxa"/>
            <w:gridSpan w:val="2"/>
            <w:shd w:val="clear" w:color="auto" w:fill="E36C0A" w:themeFill="accent6" w:themeFillShade="BF"/>
            <w:textDirection w:val="btLr"/>
            <w:vAlign w:val="center"/>
            <w:hideMark/>
          </w:tcPr>
          <w:p w14:paraId="6546B0A2" w14:textId="77777777" w:rsidR="004C6B78" w:rsidRPr="00847710" w:rsidRDefault="004C6B78" w:rsidP="00B917C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A" w:themeFill="accent6" w:themeFillShade="BF"/>
            <w:textDirection w:val="btLr"/>
            <w:vAlign w:val="center"/>
            <w:hideMark/>
          </w:tcPr>
          <w:p w14:paraId="63F320E0" w14:textId="77777777" w:rsidR="004C6B78" w:rsidRPr="00847710" w:rsidRDefault="004C6B78" w:rsidP="00B917C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A" w:themeFill="accent6" w:themeFillShade="BF"/>
            <w:textDirection w:val="btLr"/>
            <w:vAlign w:val="center"/>
          </w:tcPr>
          <w:p w14:paraId="01410C0B" w14:textId="77777777" w:rsidR="004C6B78" w:rsidRPr="00847710" w:rsidRDefault="004C6B78" w:rsidP="00B917C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A" w:themeFill="accent6" w:themeFillShade="BF"/>
            <w:textDirection w:val="btLr"/>
            <w:vAlign w:val="center"/>
            <w:hideMark/>
          </w:tcPr>
          <w:p w14:paraId="3777AD3B" w14:textId="77777777" w:rsidR="004C6B78" w:rsidRPr="00847710" w:rsidRDefault="004C6B78" w:rsidP="00B917C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FB6C80" w:rsidRPr="00847710" w14:paraId="1549F014" w14:textId="77777777" w:rsidTr="00C86312">
        <w:trPr>
          <w:trHeight w:val="640"/>
        </w:trPr>
        <w:tc>
          <w:tcPr>
            <w:tcW w:w="401" w:type="dxa"/>
            <w:shd w:val="clear" w:color="auto" w:fill="FABF8F" w:themeFill="accent6" w:themeFillTint="99"/>
            <w:vAlign w:val="center"/>
          </w:tcPr>
          <w:p w14:paraId="23D1E95F" w14:textId="77777777" w:rsidR="004C6B78" w:rsidRPr="00847710" w:rsidRDefault="004C6B78" w:rsidP="00B917C4">
            <w:pPr>
              <w:spacing w:after="0" w:line="240" w:lineRule="auto"/>
              <w:jc w:val="center"/>
              <w:rPr>
                <w:rFonts w:ascii="Times New Roman" w:eastAsia="Times New Roman" w:hAnsi="Times New Roman" w:cs="Times New Roman"/>
                <w:b/>
                <w:bCs/>
                <w:sz w:val="20"/>
                <w:szCs w:val="20"/>
                <w:lang w:eastAsia="lv-LV"/>
              </w:rPr>
            </w:pPr>
          </w:p>
        </w:tc>
        <w:tc>
          <w:tcPr>
            <w:tcW w:w="1726" w:type="dxa"/>
            <w:shd w:val="clear" w:color="auto" w:fill="FABF8F" w:themeFill="accent6" w:themeFillTint="99"/>
            <w:vAlign w:val="center"/>
          </w:tcPr>
          <w:p w14:paraId="46F2A4DF" w14:textId="77777777" w:rsidR="004C6B78" w:rsidRPr="00847710" w:rsidRDefault="004C6B78" w:rsidP="00B917C4">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65ABE42A" w14:textId="77777777" w:rsidR="004C6B78" w:rsidRPr="00847710" w:rsidRDefault="004C6B78" w:rsidP="00B917C4">
            <w:pPr>
              <w:spacing w:after="0" w:line="240" w:lineRule="auto"/>
              <w:jc w:val="center"/>
              <w:rPr>
                <w:rFonts w:ascii="Times New Roman" w:eastAsia="Times New Roman" w:hAnsi="Times New Roman" w:cs="Times New Roman"/>
                <w:i/>
                <w:iCs/>
                <w:sz w:val="20"/>
                <w:szCs w:val="20"/>
                <w:lang w:eastAsia="lv-LV"/>
              </w:rPr>
            </w:pPr>
          </w:p>
          <w:p w14:paraId="0E5D0158" w14:textId="77777777" w:rsidR="004C6B78" w:rsidRPr="00847710" w:rsidRDefault="004C6B78" w:rsidP="00B917C4">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417" w:type="dxa"/>
            <w:shd w:val="clear" w:color="auto" w:fill="FABF8F" w:themeFill="accent6" w:themeFillTint="99"/>
            <w:vAlign w:val="center"/>
          </w:tcPr>
          <w:p w14:paraId="21093788" w14:textId="77777777" w:rsidR="004C6B78" w:rsidRPr="00847710" w:rsidRDefault="004C6B78" w:rsidP="00B917C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14:paraId="79A41679" w14:textId="77777777" w:rsidR="004C6B78" w:rsidRPr="00847710" w:rsidRDefault="004C6B78" w:rsidP="00B917C4">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412" w:type="dxa"/>
            <w:shd w:val="clear" w:color="auto" w:fill="FABF8F" w:themeFill="accent6" w:themeFillTint="99"/>
            <w:vAlign w:val="center"/>
          </w:tcPr>
          <w:p w14:paraId="26FF1765" w14:textId="77777777" w:rsidR="004C6B78" w:rsidRPr="00847710" w:rsidRDefault="004C6B78" w:rsidP="00B917C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14:paraId="233145D9" w14:textId="77777777" w:rsidR="004C6B78" w:rsidRPr="00847710" w:rsidRDefault="004C6B78" w:rsidP="00B917C4">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BF8F" w:themeFill="accent6" w:themeFillTint="99"/>
            <w:vAlign w:val="center"/>
          </w:tcPr>
          <w:p w14:paraId="34516C9A" w14:textId="77777777" w:rsidR="004C6B78" w:rsidRPr="00847710" w:rsidRDefault="004C6B78" w:rsidP="00B917C4">
            <w:pPr>
              <w:spacing w:after="0" w:line="240" w:lineRule="auto"/>
              <w:jc w:val="center"/>
              <w:rPr>
                <w:rFonts w:ascii="Times New Roman" w:eastAsia="Times New Roman" w:hAnsi="Times New Roman" w:cs="Times New Roman"/>
                <w:bCs/>
                <w:i/>
                <w:iCs/>
                <w:sz w:val="20"/>
                <w:szCs w:val="20"/>
                <w:lang w:eastAsia="lv-LV"/>
              </w:rPr>
            </w:pPr>
          </w:p>
          <w:p w14:paraId="32C01076" w14:textId="77777777" w:rsidR="004C6B78" w:rsidRPr="00C86312" w:rsidRDefault="004C6B78" w:rsidP="00C8631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BF8F" w:themeFill="accent6" w:themeFillTint="99"/>
            <w:vAlign w:val="center"/>
          </w:tcPr>
          <w:p w14:paraId="0D444168" w14:textId="77777777" w:rsidR="004C6B78" w:rsidRPr="00847710" w:rsidRDefault="004C6B78" w:rsidP="00B917C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BF8F" w:themeFill="accent6" w:themeFillTint="99"/>
            <w:vAlign w:val="center"/>
          </w:tcPr>
          <w:p w14:paraId="0E8DF1A6" w14:textId="77777777" w:rsidR="004C6B78" w:rsidRPr="00847710" w:rsidRDefault="004C6B78" w:rsidP="00B917C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BF8F" w:themeFill="accent6" w:themeFillTint="99"/>
            <w:vAlign w:val="center"/>
          </w:tcPr>
          <w:p w14:paraId="767C2FFD" w14:textId="77777777" w:rsidR="004C6B78" w:rsidRPr="00847710" w:rsidRDefault="004C6B78" w:rsidP="00B917C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rsidR="004C6B78" w:rsidRPr="00847710" w14:paraId="32BE81A1" w14:textId="77777777" w:rsidTr="00C86312">
        <w:trPr>
          <w:trHeight w:val="846"/>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019AF" w14:textId="3911B6F5" w:rsidR="004C6B78" w:rsidRPr="00847710" w:rsidRDefault="00CB0541" w:rsidP="00B917C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r w:rsidR="004C6B78" w:rsidRPr="00847710">
              <w:rPr>
                <w:rFonts w:ascii="Times New Roman" w:eastAsia="Times New Roman" w:hAnsi="Times New Roman" w:cs="Times New Roman"/>
                <w:sz w:val="20"/>
                <w:szCs w:val="20"/>
                <w:lang w:eastAsia="lv-LV"/>
              </w:rPr>
              <w:t>.</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3963F32" w14:textId="77777777" w:rsidR="004C6B78" w:rsidRPr="00847710" w:rsidRDefault="004C6B78" w:rsidP="00B917C4">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Nodrošināt bioloģiskās izcelsmes zāles diagnozēm K50 un K51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314DE" w14:textId="77777777" w:rsidR="004C6B78" w:rsidRPr="00847710" w:rsidRDefault="004C6B78" w:rsidP="00B917C4">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9000.00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448DD" w14:textId="58069890" w:rsidR="004C6B78" w:rsidRPr="00847710" w:rsidRDefault="00663A26" w:rsidP="00B917C4">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C134F" w14:textId="6843CCCB" w:rsidR="004C6B78" w:rsidRPr="00847710" w:rsidRDefault="00663A26" w:rsidP="00B917C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DB36A" w14:textId="77777777" w:rsidR="004C6B78" w:rsidRPr="00847710" w:rsidRDefault="004C6B78" w:rsidP="00B917C4">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450 000</w:t>
            </w:r>
          </w:p>
        </w:tc>
        <w:tc>
          <w:tcPr>
            <w:tcW w:w="1272" w:type="dxa"/>
            <w:tcBorders>
              <w:top w:val="single" w:sz="4" w:space="0" w:color="auto"/>
              <w:left w:val="single" w:sz="4" w:space="0" w:color="auto"/>
              <w:bottom w:val="single" w:sz="4" w:space="0" w:color="auto"/>
              <w:right w:val="single" w:sz="4" w:space="0" w:color="auto"/>
            </w:tcBorders>
            <w:vAlign w:val="bottom"/>
          </w:tcPr>
          <w:p w14:paraId="5088AAB2" w14:textId="03E373A8" w:rsidR="004C6B78" w:rsidRPr="00C86312" w:rsidRDefault="004C6B78" w:rsidP="00C86312">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 </w:t>
            </w:r>
            <w:r w:rsidR="00663A26" w:rsidRPr="00847710">
              <w:rPr>
                <w:rFonts w:ascii="Times New Roman" w:hAnsi="Times New Roman" w:cs="Times New Roman"/>
                <w:sz w:val="20"/>
                <w:szCs w:val="20"/>
              </w:rPr>
              <w:t>-</w:t>
            </w:r>
          </w:p>
        </w:tc>
        <w:tc>
          <w:tcPr>
            <w:tcW w:w="1272" w:type="dxa"/>
            <w:tcBorders>
              <w:top w:val="single" w:sz="4" w:space="0" w:color="auto"/>
              <w:left w:val="single" w:sz="4" w:space="0" w:color="auto"/>
              <w:bottom w:val="single" w:sz="4" w:space="0" w:color="auto"/>
              <w:right w:val="single" w:sz="4" w:space="0" w:color="auto"/>
            </w:tcBorders>
            <w:vAlign w:val="bottom"/>
          </w:tcPr>
          <w:p w14:paraId="2609498E" w14:textId="02FFA153" w:rsidR="004C6B78" w:rsidRPr="00C86312" w:rsidRDefault="00663A26"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r w:rsidR="004C6B78" w:rsidRPr="0012317D">
              <w:rPr>
                <w:rFonts w:ascii="Times New Roman" w:hAnsi="Times New Roman" w:cs="Times New Roman"/>
                <w:b/>
                <w:bCs/>
                <w:color w:val="FF0000"/>
                <w:sz w:val="20"/>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78CB9" w14:textId="77777777" w:rsidR="004C6B78" w:rsidRPr="00C86312" w:rsidRDefault="004C6B78"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 50</w:t>
            </w:r>
          </w:p>
        </w:tc>
      </w:tr>
      <w:tr w:rsidR="004C6B78" w:rsidRPr="00847710" w14:paraId="6D085426" w14:textId="77777777" w:rsidTr="00C86312">
        <w:trPr>
          <w:trHeight w:val="510"/>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FD0F5" w14:textId="356135CD" w:rsidR="004C6B78" w:rsidRPr="00847710" w:rsidRDefault="00CB0541" w:rsidP="00B917C4">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r w:rsidR="004C6B78" w:rsidRPr="00847710">
              <w:rPr>
                <w:rFonts w:ascii="Times New Roman" w:eastAsia="Times New Roman" w:hAnsi="Times New Roman" w:cs="Times New Roman"/>
                <w:sz w:val="20"/>
                <w:szCs w:val="20"/>
                <w:lang w:eastAsia="lv-LV"/>
              </w:rPr>
              <w:t>.</w:t>
            </w:r>
          </w:p>
        </w:tc>
        <w:tc>
          <w:tcPr>
            <w:tcW w:w="1726" w:type="dxa"/>
            <w:tcBorders>
              <w:top w:val="single" w:sz="4" w:space="0" w:color="auto"/>
              <w:left w:val="single" w:sz="4" w:space="0" w:color="auto"/>
              <w:bottom w:val="single" w:sz="4" w:space="0" w:color="auto"/>
              <w:right w:val="single" w:sz="4" w:space="0" w:color="auto"/>
            </w:tcBorders>
            <w:shd w:val="clear" w:color="auto" w:fill="auto"/>
            <w:hideMark/>
          </w:tcPr>
          <w:p w14:paraId="2F802E2E" w14:textId="77777777" w:rsidR="004C6B78" w:rsidRPr="00847710" w:rsidRDefault="004C6B78" w:rsidP="00B917C4">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Nodrošināt bioloģiskās izcelsmes zāles diagnozei L40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8791E" w14:textId="77777777" w:rsidR="004C6B78" w:rsidRPr="00847710" w:rsidRDefault="004C6B78" w:rsidP="00B917C4">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9000.00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B6F02" w14:textId="45F0156D" w:rsidR="004C6B78" w:rsidRPr="00847710" w:rsidRDefault="00663A26" w:rsidP="00B917C4">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E63E9" w14:textId="5EA14AA3" w:rsidR="004C6B78" w:rsidRPr="00847710" w:rsidRDefault="00663A26" w:rsidP="00B917C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BC6B9" w14:textId="77777777" w:rsidR="004C6B78" w:rsidRPr="00847710" w:rsidRDefault="004C6B78" w:rsidP="00B917C4">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450 000</w:t>
            </w:r>
          </w:p>
        </w:tc>
        <w:tc>
          <w:tcPr>
            <w:tcW w:w="1272" w:type="dxa"/>
            <w:tcBorders>
              <w:top w:val="single" w:sz="4" w:space="0" w:color="auto"/>
              <w:left w:val="single" w:sz="4" w:space="0" w:color="auto"/>
              <w:bottom w:val="single" w:sz="4" w:space="0" w:color="auto"/>
              <w:right w:val="single" w:sz="4" w:space="0" w:color="auto"/>
            </w:tcBorders>
            <w:vAlign w:val="bottom"/>
          </w:tcPr>
          <w:p w14:paraId="71038251" w14:textId="6ED5335B" w:rsidR="004C6B78" w:rsidRPr="00C86312" w:rsidRDefault="004C6B78" w:rsidP="00C86312">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 </w:t>
            </w:r>
            <w:r w:rsidR="00663A26" w:rsidRPr="00847710">
              <w:rPr>
                <w:rFonts w:ascii="Times New Roman" w:hAnsi="Times New Roman" w:cs="Times New Roman"/>
                <w:sz w:val="20"/>
                <w:szCs w:val="20"/>
              </w:rPr>
              <w:t>-</w:t>
            </w:r>
          </w:p>
        </w:tc>
        <w:tc>
          <w:tcPr>
            <w:tcW w:w="1272" w:type="dxa"/>
            <w:tcBorders>
              <w:top w:val="single" w:sz="4" w:space="0" w:color="auto"/>
              <w:left w:val="single" w:sz="4" w:space="0" w:color="auto"/>
              <w:bottom w:val="single" w:sz="4" w:space="0" w:color="auto"/>
              <w:right w:val="single" w:sz="4" w:space="0" w:color="auto"/>
            </w:tcBorders>
            <w:vAlign w:val="bottom"/>
          </w:tcPr>
          <w:p w14:paraId="2EAB58D6" w14:textId="4F800C56" w:rsidR="004C6B78" w:rsidRPr="00C86312" w:rsidRDefault="00663A26"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BC382" w14:textId="77777777" w:rsidR="004C6B78" w:rsidRPr="00C86312" w:rsidRDefault="004C6B78"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 50</w:t>
            </w:r>
          </w:p>
        </w:tc>
      </w:tr>
      <w:tr w:rsidR="00FB6C80" w:rsidRPr="00847710" w14:paraId="3F5CAEC4" w14:textId="77777777" w:rsidTr="00C86312">
        <w:trPr>
          <w:trHeight w:val="300"/>
        </w:trPr>
        <w:tc>
          <w:tcPr>
            <w:tcW w:w="401" w:type="dxa"/>
            <w:shd w:val="clear" w:color="auto" w:fill="FBD4B4" w:themeFill="accent6" w:themeFillTint="66"/>
            <w:noWrap/>
            <w:vAlign w:val="bottom"/>
            <w:hideMark/>
          </w:tcPr>
          <w:p w14:paraId="739134CE" w14:textId="77777777" w:rsidR="004C6B78" w:rsidRPr="00847710" w:rsidRDefault="004C6B78" w:rsidP="00B917C4">
            <w:pPr>
              <w:spacing w:after="0" w:line="240" w:lineRule="auto"/>
              <w:jc w:val="right"/>
              <w:rPr>
                <w:rFonts w:ascii="Times New Roman" w:eastAsia="Times New Roman" w:hAnsi="Times New Roman" w:cs="Times New Roman"/>
                <w:sz w:val="20"/>
                <w:szCs w:val="20"/>
                <w:lang w:eastAsia="lv-LV"/>
              </w:rPr>
            </w:pPr>
          </w:p>
        </w:tc>
        <w:tc>
          <w:tcPr>
            <w:tcW w:w="1726" w:type="dxa"/>
            <w:shd w:val="clear" w:color="auto" w:fill="FBD4B4" w:themeFill="accent6" w:themeFillTint="66"/>
            <w:noWrap/>
            <w:vAlign w:val="bottom"/>
            <w:hideMark/>
          </w:tcPr>
          <w:p w14:paraId="24A3BE8B" w14:textId="77777777" w:rsidR="004C6B78" w:rsidRPr="00847710" w:rsidRDefault="004C6B78" w:rsidP="00B917C4">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hideMark/>
          </w:tcPr>
          <w:p w14:paraId="38D1B024" w14:textId="77777777" w:rsidR="004C6B78" w:rsidRPr="00847710" w:rsidRDefault="004C6B78" w:rsidP="00B917C4">
            <w:pPr>
              <w:spacing w:after="0" w:line="240" w:lineRule="auto"/>
              <w:jc w:val="center"/>
              <w:rPr>
                <w:rFonts w:ascii="Times New Roman" w:eastAsia="Times New Roman" w:hAnsi="Times New Roman" w:cs="Times New Roman"/>
                <w:sz w:val="20"/>
                <w:szCs w:val="20"/>
                <w:lang w:eastAsia="lv-LV"/>
              </w:rPr>
            </w:pPr>
          </w:p>
        </w:tc>
        <w:tc>
          <w:tcPr>
            <w:tcW w:w="1417" w:type="dxa"/>
            <w:shd w:val="clear" w:color="auto" w:fill="FBD4B4" w:themeFill="accent6" w:themeFillTint="66"/>
            <w:noWrap/>
            <w:vAlign w:val="bottom"/>
            <w:hideMark/>
          </w:tcPr>
          <w:p w14:paraId="5F5F2028" w14:textId="7725DA84" w:rsidR="004C6B78" w:rsidRPr="00847710" w:rsidRDefault="00850ABF" w:rsidP="00B917C4">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w:t>
            </w:r>
          </w:p>
        </w:tc>
        <w:tc>
          <w:tcPr>
            <w:tcW w:w="1412" w:type="dxa"/>
            <w:shd w:val="clear" w:color="auto" w:fill="FBD4B4" w:themeFill="accent6" w:themeFillTint="66"/>
            <w:noWrap/>
            <w:vAlign w:val="bottom"/>
            <w:hideMark/>
          </w:tcPr>
          <w:p w14:paraId="5F617885" w14:textId="78895FF2" w:rsidR="004C6B78" w:rsidRPr="00847710" w:rsidRDefault="00850ABF" w:rsidP="00B917C4">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w:t>
            </w:r>
          </w:p>
        </w:tc>
        <w:tc>
          <w:tcPr>
            <w:tcW w:w="1285" w:type="dxa"/>
            <w:shd w:val="clear" w:color="auto" w:fill="FBD4B4" w:themeFill="accent6" w:themeFillTint="66"/>
            <w:noWrap/>
            <w:vAlign w:val="bottom"/>
            <w:hideMark/>
          </w:tcPr>
          <w:p w14:paraId="395965ED" w14:textId="28BB01AC" w:rsidR="004C6B78" w:rsidRPr="00847710" w:rsidRDefault="00D5566D" w:rsidP="00B917C4">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900 000</w:t>
            </w:r>
          </w:p>
        </w:tc>
        <w:tc>
          <w:tcPr>
            <w:tcW w:w="1272" w:type="dxa"/>
            <w:shd w:val="clear" w:color="auto" w:fill="FBD4B4" w:themeFill="accent6" w:themeFillTint="66"/>
            <w:vAlign w:val="bottom"/>
          </w:tcPr>
          <w:p w14:paraId="35A8063F" w14:textId="3D698300" w:rsidR="004C6B78" w:rsidRPr="00C86312" w:rsidRDefault="000B4ADE" w:rsidP="00C86312">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 -</w:t>
            </w:r>
          </w:p>
        </w:tc>
        <w:tc>
          <w:tcPr>
            <w:tcW w:w="1272" w:type="dxa"/>
            <w:shd w:val="clear" w:color="auto" w:fill="FBD4B4" w:themeFill="accent6" w:themeFillTint="66"/>
            <w:vAlign w:val="bottom"/>
          </w:tcPr>
          <w:p w14:paraId="0A046DDD" w14:textId="313DDE0C" w:rsidR="004C6B78" w:rsidRPr="00C86312" w:rsidRDefault="000B4ADE"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 -</w:t>
            </w:r>
          </w:p>
        </w:tc>
        <w:tc>
          <w:tcPr>
            <w:tcW w:w="1272" w:type="dxa"/>
            <w:shd w:val="clear" w:color="auto" w:fill="FBD4B4" w:themeFill="accent6" w:themeFillTint="66"/>
            <w:noWrap/>
            <w:vAlign w:val="bottom"/>
            <w:hideMark/>
          </w:tcPr>
          <w:p w14:paraId="66F77BFE" w14:textId="2D7C3A4B" w:rsidR="004C6B78" w:rsidRPr="00C86312" w:rsidRDefault="00045CB2"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100</w:t>
            </w:r>
          </w:p>
        </w:tc>
      </w:tr>
    </w:tbl>
    <w:p w14:paraId="5CF276CA" w14:textId="116C2F52" w:rsidR="00CB0541" w:rsidRPr="00847710" w:rsidRDefault="00CB0541" w:rsidP="00CB4F41">
      <w:pPr>
        <w:spacing w:after="120"/>
        <w:jc w:val="both"/>
        <w:rPr>
          <w:rFonts w:ascii="Times New Roman" w:hAnsi="Times New Roman" w:cs="Times New Roman"/>
          <w:b/>
          <w:sz w:val="24"/>
          <w:szCs w:val="24"/>
        </w:rPr>
      </w:pPr>
    </w:p>
    <w:p w14:paraId="69610342" w14:textId="24ABF77F" w:rsidR="00BE793C" w:rsidRPr="00847710" w:rsidRDefault="00BE793C" w:rsidP="00BE793C">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Prognozētais pacientu skaits – šobrīd 100 pacienti skar pacientus ar īpaši smagu slimības gaitu, kuriem līdz šim pieejamā terapija nepalīdz un ir jāuzsāk jaunu medikamentu grupu lietošana, šajā gadījumā bioloģiskie medikamenti. Līdz ar to sākotnēji </w:t>
      </w:r>
      <w:r w:rsidR="003D7945" w:rsidRPr="00847710">
        <w:rPr>
          <w:rFonts w:ascii="Times New Roman" w:hAnsi="Times New Roman" w:cs="Times New Roman"/>
          <w:sz w:val="24"/>
          <w:szCs w:val="24"/>
        </w:rPr>
        <w:t>ar bioloģisko terapiju tiks nodrošināti visi nepieciešamie pacienti.</w:t>
      </w:r>
    </w:p>
    <w:p w14:paraId="7E602025" w14:textId="4C1F01A4" w:rsidR="00BE793C" w:rsidRPr="00847710" w:rsidRDefault="00BE793C" w:rsidP="00BE793C">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Terapijai kļūstot pieejamai (arī finansiāli), pacientu skaits varētu palielināties, jo šie medikamenti nepieciešami ne tikai smagas, bet arī vidēji smagas slimības gadījumā.</w:t>
      </w:r>
      <w:r w:rsidR="003D7945" w:rsidRPr="00847710">
        <w:rPr>
          <w:rFonts w:ascii="Times New Roman" w:hAnsi="Times New Roman" w:cs="Times New Roman"/>
          <w:sz w:val="24"/>
          <w:szCs w:val="24"/>
        </w:rPr>
        <w:t xml:space="preserve"> Līdz ar to turpmākajā periodā papildus tiks vērtēts terapijas nodrošinājums plašākam pacientu lokam.</w:t>
      </w:r>
    </w:p>
    <w:p w14:paraId="0980E7B3" w14:textId="2588173E" w:rsidR="00C31428" w:rsidRPr="00C86312" w:rsidRDefault="00C31428">
      <w:pPr>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86477B">
        <w:rPr>
          <w:rFonts w:ascii="Times New Roman" w:hAnsi="Times New Roman" w:cs="Times New Roman"/>
          <w:i/>
          <w:iCs/>
          <w:sz w:val="24"/>
          <w:szCs w:val="24"/>
        </w:rPr>
        <w:t>4</w:t>
      </w:r>
      <w:r w:rsidRPr="57326167">
        <w:rPr>
          <w:rFonts w:ascii="Times New Roman" w:hAnsi="Times New Roman" w:cs="Times New Roman"/>
          <w:i/>
          <w:iCs/>
          <w:sz w:val="24"/>
          <w:szCs w:val="24"/>
        </w:rPr>
        <w:t xml:space="preserve">.tabula </w:t>
      </w:r>
    </w:p>
    <w:p w14:paraId="31456DFC" w14:textId="75D35520" w:rsidR="00C31428" w:rsidRPr="00C86312" w:rsidRDefault="00316116">
      <w:pPr>
        <w:jc w:val="center"/>
        <w:rPr>
          <w:rFonts w:ascii="Times New Roman" w:hAnsi="Times New Roman" w:cs="Times New Roman"/>
          <w:b/>
          <w:bCs/>
          <w:sz w:val="24"/>
          <w:szCs w:val="24"/>
        </w:rPr>
      </w:pPr>
      <w:r w:rsidRPr="0012317D">
        <w:rPr>
          <w:rFonts w:ascii="Times New Roman" w:hAnsi="Times New Roman" w:cs="Times New Roman"/>
          <w:b/>
          <w:bCs/>
          <w:sz w:val="24"/>
          <w:szCs w:val="24"/>
        </w:rPr>
        <w:t>Kompensācijas apmēra paliel</w:t>
      </w:r>
      <w:r w:rsidR="000D42A5" w:rsidRPr="0012317D">
        <w:rPr>
          <w:rFonts w:ascii="Times New Roman" w:hAnsi="Times New Roman" w:cs="Times New Roman"/>
          <w:b/>
          <w:bCs/>
          <w:sz w:val="24"/>
          <w:szCs w:val="24"/>
        </w:rPr>
        <w:t>i</w:t>
      </w:r>
      <w:r w:rsidRPr="0012317D">
        <w:rPr>
          <w:rFonts w:ascii="Times New Roman" w:hAnsi="Times New Roman" w:cs="Times New Roman"/>
          <w:b/>
          <w:bCs/>
          <w:sz w:val="24"/>
          <w:szCs w:val="24"/>
        </w:rPr>
        <w:t>nāšanai</w:t>
      </w:r>
      <w:r w:rsidR="00C31428" w:rsidRPr="0012317D">
        <w:rPr>
          <w:rFonts w:ascii="Times New Roman" w:hAnsi="Times New Roman" w:cs="Times New Roman"/>
          <w:b/>
          <w:bCs/>
          <w:sz w:val="24"/>
          <w:szCs w:val="24"/>
        </w:rPr>
        <w:t xml:space="preserve"> Krona slimībai, čūlainajam kolītam un psoriāzei nepieciešamais finansējums</w:t>
      </w:r>
    </w:p>
    <w:tbl>
      <w:tblPr>
        <w:tblW w:w="11126" w:type="dxa"/>
        <w:jc w:val="center"/>
        <w:tblLook w:val="04A0" w:firstRow="1" w:lastRow="0" w:firstColumn="1" w:lastColumn="0" w:noHBand="0" w:noVBand="1"/>
      </w:tblPr>
      <w:tblGrid>
        <w:gridCol w:w="822"/>
        <w:gridCol w:w="3280"/>
        <w:gridCol w:w="1394"/>
        <w:gridCol w:w="1394"/>
        <w:gridCol w:w="1360"/>
        <w:gridCol w:w="1360"/>
        <w:gridCol w:w="1516"/>
      </w:tblGrid>
      <w:tr w:rsidR="00CB0541" w:rsidRPr="00847710" w14:paraId="16D8B8C1" w14:textId="77777777" w:rsidTr="00C86312">
        <w:trPr>
          <w:trHeight w:val="765"/>
          <w:jc w:val="center"/>
        </w:trPr>
        <w:tc>
          <w:tcPr>
            <w:tcW w:w="822"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CEE77C6" w14:textId="77777777" w:rsidR="00CB0541" w:rsidRPr="00847710" w:rsidRDefault="00CB0541"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Nr.p.k.</w:t>
            </w:r>
          </w:p>
        </w:tc>
        <w:tc>
          <w:tcPr>
            <w:tcW w:w="328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375C904" w14:textId="77777777" w:rsidR="00CB0541" w:rsidRPr="00847710" w:rsidRDefault="00CB0541"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Pakalpojuma veids</w:t>
            </w:r>
          </w:p>
        </w:tc>
        <w:tc>
          <w:tcPr>
            <w:tcW w:w="139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8AD6004" w14:textId="77777777" w:rsidR="00CB0541" w:rsidRPr="00847710" w:rsidRDefault="00CB0541"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75% kompensācija</w:t>
            </w:r>
          </w:p>
        </w:tc>
        <w:tc>
          <w:tcPr>
            <w:tcW w:w="139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E4950D2" w14:textId="77777777" w:rsidR="00CB0541" w:rsidRPr="00847710" w:rsidRDefault="00CB0541"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100% kompensācija</w:t>
            </w:r>
          </w:p>
        </w:tc>
        <w:tc>
          <w:tcPr>
            <w:tcW w:w="13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DAE5A2F" w14:textId="77777777" w:rsidR="00CB0541" w:rsidRPr="00847710" w:rsidRDefault="00CB0541"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Pieaugums (euro)</w:t>
            </w:r>
          </w:p>
        </w:tc>
        <w:tc>
          <w:tcPr>
            <w:tcW w:w="13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4C6AB5F" w14:textId="77777777" w:rsidR="00CB0541" w:rsidRPr="00847710" w:rsidRDefault="00CB0541"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Pacientu skaits</w:t>
            </w:r>
          </w:p>
        </w:tc>
        <w:tc>
          <w:tcPr>
            <w:tcW w:w="151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4A91D5F" w14:textId="77777777" w:rsidR="00CB0541" w:rsidRPr="00847710" w:rsidRDefault="00CB0541"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Nepieciešamais finansējums</w:t>
            </w:r>
          </w:p>
        </w:tc>
      </w:tr>
      <w:tr w:rsidR="00CB0541" w:rsidRPr="00847710" w14:paraId="38289369" w14:textId="77777777" w:rsidTr="00C86312">
        <w:trPr>
          <w:trHeight w:val="525"/>
          <w:jc w:val="center"/>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33485AE" w14:textId="29DD0803" w:rsidR="00CB0541" w:rsidRPr="00847710" w:rsidRDefault="00CB0541" w:rsidP="00CB054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lastRenderedPageBreak/>
              <w:t>1.</w:t>
            </w:r>
          </w:p>
        </w:tc>
        <w:tc>
          <w:tcPr>
            <w:tcW w:w="3280" w:type="dxa"/>
            <w:tcBorders>
              <w:top w:val="nil"/>
              <w:left w:val="nil"/>
              <w:bottom w:val="single" w:sz="4" w:space="0" w:color="auto"/>
              <w:right w:val="single" w:sz="4" w:space="0" w:color="auto"/>
            </w:tcBorders>
            <w:shd w:val="clear" w:color="auto" w:fill="auto"/>
            <w:vAlign w:val="bottom"/>
            <w:hideMark/>
          </w:tcPr>
          <w:p w14:paraId="60F91536" w14:textId="77777777" w:rsidR="00CB0541" w:rsidRPr="00847710" w:rsidRDefault="00CB0541" w:rsidP="00CB054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Palielināt kompensācijas apmēru no 75% uz 100% diagnozēm K50 un K51 </w:t>
            </w:r>
          </w:p>
        </w:tc>
        <w:tc>
          <w:tcPr>
            <w:tcW w:w="1394" w:type="dxa"/>
            <w:tcBorders>
              <w:top w:val="nil"/>
              <w:left w:val="nil"/>
              <w:bottom w:val="single" w:sz="4" w:space="0" w:color="auto"/>
              <w:right w:val="single" w:sz="4" w:space="0" w:color="auto"/>
            </w:tcBorders>
            <w:shd w:val="clear" w:color="auto" w:fill="auto"/>
            <w:noWrap/>
            <w:vAlign w:val="bottom"/>
            <w:hideMark/>
          </w:tcPr>
          <w:p w14:paraId="4EAFB0E0" w14:textId="77777777"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224.33</w:t>
            </w:r>
          </w:p>
        </w:tc>
        <w:tc>
          <w:tcPr>
            <w:tcW w:w="1394" w:type="dxa"/>
            <w:tcBorders>
              <w:top w:val="nil"/>
              <w:left w:val="nil"/>
              <w:bottom w:val="single" w:sz="4" w:space="0" w:color="auto"/>
              <w:right w:val="single" w:sz="4" w:space="0" w:color="auto"/>
            </w:tcBorders>
            <w:shd w:val="clear" w:color="auto" w:fill="auto"/>
            <w:noWrap/>
            <w:vAlign w:val="bottom"/>
            <w:hideMark/>
          </w:tcPr>
          <w:p w14:paraId="45216FAB" w14:textId="77777777"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299.11</w:t>
            </w:r>
          </w:p>
        </w:tc>
        <w:tc>
          <w:tcPr>
            <w:tcW w:w="1360" w:type="dxa"/>
            <w:tcBorders>
              <w:top w:val="nil"/>
              <w:left w:val="nil"/>
              <w:bottom w:val="single" w:sz="4" w:space="0" w:color="auto"/>
              <w:right w:val="single" w:sz="4" w:space="0" w:color="auto"/>
            </w:tcBorders>
            <w:shd w:val="clear" w:color="auto" w:fill="auto"/>
            <w:noWrap/>
            <w:vAlign w:val="bottom"/>
            <w:hideMark/>
          </w:tcPr>
          <w:p w14:paraId="2EC5DB59" w14:textId="77777777"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74.78</w:t>
            </w:r>
          </w:p>
        </w:tc>
        <w:tc>
          <w:tcPr>
            <w:tcW w:w="1360" w:type="dxa"/>
            <w:tcBorders>
              <w:top w:val="nil"/>
              <w:left w:val="nil"/>
              <w:bottom w:val="single" w:sz="4" w:space="0" w:color="auto"/>
              <w:right w:val="single" w:sz="4" w:space="0" w:color="auto"/>
            </w:tcBorders>
            <w:shd w:val="clear" w:color="auto" w:fill="auto"/>
            <w:noWrap/>
            <w:vAlign w:val="bottom"/>
            <w:hideMark/>
          </w:tcPr>
          <w:p w14:paraId="777CB235" w14:textId="6208F84C"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961</w:t>
            </w:r>
          </w:p>
        </w:tc>
        <w:tc>
          <w:tcPr>
            <w:tcW w:w="1516" w:type="dxa"/>
            <w:tcBorders>
              <w:top w:val="nil"/>
              <w:left w:val="nil"/>
              <w:bottom w:val="single" w:sz="4" w:space="0" w:color="auto"/>
              <w:right w:val="single" w:sz="4" w:space="0" w:color="auto"/>
            </w:tcBorders>
            <w:shd w:val="clear" w:color="auto" w:fill="auto"/>
            <w:noWrap/>
            <w:vAlign w:val="bottom"/>
            <w:hideMark/>
          </w:tcPr>
          <w:p w14:paraId="05CD8309" w14:textId="5C2C2E5A"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146</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644</w:t>
            </w:r>
          </w:p>
        </w:tc>
      </w:tr>
      <w:tr w:rsidR="00CB0541" w:rsidRPr="00847710" w14:paraId="42DCBA4A" w14:textId="77777777" w:rsidTr="00C86312">
        <w:trPr>
          <w:trHeight w:val="525"/>
          <w:jc w:val="center"/>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07AC0441" w14:textId="0B527503" w:rsidR="00CB0541" w:rsidRPr="00847710" w:rsidRDefault="00CB0541" w:rsidP="00CB054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3280" w:type="dxa"/>
            <w:tcBorders>
              <w:top w:val="nil"/>
              <w:left w:val="nil"/>
              <w:bottom w:val="single" w:sz="4" w:space="0" w:color="auto"/>
              <w:right w:val="single" w:sz="4" w:space="0" w:color="auto"/>
            </w:tcBorders>
            <w:shd w:val="clear" w:color="auto" w:fill="auto"/>
            <w:vAlign w:val="bottom"/>
            <w:hideMark/>
          </w:tcPr>
          <w:p w14:paraId="6D2BF4AC" w14:textId="77777777" w:rsidR="00CB0541" w:rsidRPr="00847710" w:rsidRDefault="00CB0541" w:rsidP="00CB054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Palielināt kompensācijas apmēru no 75% uz 100% diagnozei L40</w:t>
            </w:r>
          </w:p>
        </w:tc>
        <w:tc>
          <w:tcPr>
            <w:tcW w:w="1394" w:type="dxa"/>
            <w:tcBorders>
              <w:top w:val="nil"/>
              <w:left w:val="nil"/>
              <w:bottom w:val="single" w:sz="4" w:space="0" w:color="auto"/>
              <w:right w:val="single" w:sz="4" w:space="0" w:color="auto"/>
            </w:tcBorders>
            <w:shd w:val="clear" w:color="auto" w:fill="auto"/>
            <w:noWrap/>
            <w:vAlign w:val="bottom"/>
            <w:hideMark/>
          </w:tcPr>
          <w:p w14:paraId="4A565A21" w14:textId="77777777"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49.97</w:t>
            </w:r>
          </w:p>
        </w:tc>
        <w:tc>
          <w:tcPr>
            <w:tcW w:w="1394" w:type="dxa"/>
            <w:tcBorders>
              <w:top w:val="nil"/>
              <w:left w:val="nil"/>
              <w:bottom w:val="single" w:sz="4" w:space="0" w:color="auto"/>
              <w:right w:val="single" w:sz="4" w:space="0" w:color="auto"/>
            </w:tcBorders>
            <w:shd w:val="clear" w:color="auto" w:fill="auto"/>
            <w:noWrap/>
            <w:vAlign w:val="bottom"/>
            <w:hideMark/>
          </w:tcPr>
          <w:p w14:paraId="6DCC7056" w14:textId="77777777"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66.62</w:t>
            </w:r>
          </w:p>
        </w:tc>
        <w:tc>
          <w:tcPr>
            <w:tcW w:w="1360" w:type="dxa"/>
            <w:tcBorders>
              <w:top w:val="nil"/>
              <w:left w:val="nil"/>
              <w:bottom w:val="single" w:sz="4" w:space="0" w:color="auto"/>
              <w:right w:val="single" w:sz="4" w:space="0" w:color="auto"/>
            </w:tcBorders>
            <w:shd w:val="clear" w:color="auto" w:fill="auto"/>
            <w:noWrap/>
            <w:vAlign w:val="bottom"/>
            <w:hideMark/>
          </w:tcPr>
          <w:p w14:paraId="56FE96F7" w14:textId="77777777"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16.65</w:t>
            </w:r>
          </w:p>
        </w:tc>
        <w:tc>
          <w:tcPr>
            <w:tcW w:w="1360" w:type="dxa"/>
            <w:tcBorders>
              <w:top w:val="nil"/>
              <w:left w:val="nil"/>
              <w:bottom w:val="single" w:sz="4" w:space="0" w:color="auto"/>
              <w:right w:val="single" w:sz="4" w:space="0" w:color="auto"/>
            </w:tcBorders>
            <w:shd w:val="clear" w:color="auto" w:fill="auto"/>
            <w:noWrap/>
            <w:vAlign w:val="bottom"/>
            <w:hideMark/>
          </w:tcPr>
          <w:p w14:paraId="7FF26827" w14:textId="7367B29A"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9</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736</w:t>
            </w:r>
          </w:p>
        </w:tc>
        <w:tc>
          <w:tcPr>
            <w:tcW w:w="1516" w:type="dxa"/>
            <w:tcBorders>
              <w:top w:val="nil"/>
              <w:left w:val="nil"/>
              <w:bottom w:val="single" w:sz="4" w:space="0" w:color="auto"/>
              <w:right w:val="single" w:sz="4" w:space="0" w:color="auto"/>
            </w:tcBorders>
            <w:shd w:val="clear" w:color="auto" w:fill="auto"/>
            <w:noWrap/>
            <w:vAlign w:val="bottom"/>
            <w:hideMark/>
          </w:tcPr>
          <w:p w14:paraId="1192ABFD" w14:textId="341BA3D9"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162</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104</w:t>
            </w:r>
          </w:p>
        </w:tc>
      </w:tr>
      <w:tr w:rsidR="00CB0541" w:rsidRPr="00847710" w14:paraId="0B12A45A" w14:textId="77777777" w:rsidTr="00C86312">
        <w:trPr>
          <w:trHeight w:val="300"/>
          <w:jc w:val="center"/>
        </w:trPr>
        <w:tc>
          <w:tcPr>
            <w:tcW w:w="822" w:type="dxa"/>
            <w:tcBorders>
              <w:top w:val="nil"/>
              <w:left w:val="single" w:sz="4" w:space="0" w:color="auto"/>
              <w:bottom w:val="single" w:sz="4" w:space="0" w:color="auto"/>
              <w:right w:val="single" w:sz="4" w:space="0" w:color="auto"/>
            </w:tcBorders>
            <w:shd w:val="clear" w:color="auto" w:fill="FCD5B4"/>
            <w:noWrap/>
            <w:vAlign w:val="bottom"/>
            <w:hideMark/>
          </w:tcPr>
          <w:p w14:paraId="28E37742" w14:textId="77777777" w:rsidR="00CB0541" w:rsidRPr="00847710" w:rsidRDefault="00CB0541" w:rsidP="00CB054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c>
          <w:tcPr>
            <w:tcW w:w="3280" w:type="dxa"/>
            <w:tcBorders>
              <w:top w:val="nil"/>
              <w:left w:val="nil"/>
              <w:bottom w:val="single" w:sz="4" w:space="0" w:color="auto"/>
              <w:right w:val="single" w:sz="4" w:space="0" w:color="auto"/>
            </w:tcBorders>
            <w:shd w:val="clear" w:color="auto" w:fill="FCD5B4"/>
            <w:noWrap/>
            <w:vAlign w:val="bottom"/>
            <w:hideMark/>
          </w:tcPr>
          <w:p w14:paraId="3962F8AB" w14:textId="77777777" w:rsidR="00CB0541" w:rsidRPr="00847710" w:rsidRDefault="00CB0541" w:rsidP="00CB054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c>
          <w:tcPr>
            <w:tcW w:w="1394" w:type="dxa"/>
            <w:tcBorders>
              <w:top w:val="nil"/>
              <w:left w:val="nil"/>
              <w:bottom w:val="single" w:sz="4" w:space="0" w:color="auto"/>
              <w:right w:val="single" w:sz="4" w:space="0" w:color="auto"/>
            </w:tcBorders>
            <w:shd w:val="clear" w:color="auto" w:fill="FCD5B4"/>
            <w:noWrap/>
            <w:vAlign w:val="bottom"/>
            <w:hideMark/>
          </w:tcPr>
          <w:p w14:paraId="24EA7BDC" w14:textId="7C334CFB"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p>
        </w:tc>
        <w:tc>
          <w:tcPr>
            <w:tcW w:w="1394" w:type="dxa"/>
            <w:tcBorders>
              <w:top w:val="nil"/>
              <w:left w:val="nil"/>
              <w:bottom w:val="single" w:sz="4" w:space="0" w:color="auto"/>
              <w:right w:val="single" w:sz="4" w:space="0" w:color="auto"/>
            </w:tcBorders>
            <w:shd w:val="clear" w:color="auto" w:fill="FCD5B4"/>
            <w:noWrap/>
            <w:vAlign w:val="bottom"/>
            <w:hideMark/>
          </w:tcPr>
          <w:p w14:paraId="529E6230" w14:textId="571D2F0B"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p>
        </w:tc>
        <w:tc>
          <w:tcPr>
            <w:tcW w:w="1360" w:type="dxa"/>
            <w:tcBorders>
              <w:top w:val="nil"/>
              <w:left w:val="nil"/>
              <w:bottom w:val="single" w:sz="4" w:space="0" w:color="auto"/>
              <w:right w:val="single" w:sz="4" w:space="0" w:color="auto"/>
            </w:tcBorders>
            <w:shd w:val="clear" w:color="auto" w:fill="FCD5B4"/>
            <w:noWrap/>
            <w:vAlign w:val="bottom"/>
            <w:hideMark/>
          </w:tcPr>
          <w:p w14:paraId="2129BF47" w14:textId="15A2AE90"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p>
        </w:tc>
        <w:tc>
          <w:tcPr>
            <w:tcW w:w="1360" w:type="dxa"/>
            <w:tcBorders>
              <w:top w:val="nil"/>
              <w:left w:val="nil"/>
              <w:bottom w:val="single" w:sz="4" w:space="0" w:color="auto"/>
              <w:right w:val="single" w:sz="4" w:space="0" w:color="auto"/>
            </w:tcBorders>
            <w:shd w:val="clear" w:color="auto" w:fill="FCD5B4"/>
            <w:noWrap/>
            <w:vAlign w:val="bottom"/>
            <w:hideMark/>
          </w:tcPr>
          <w:p w14:paraId="599BD996" w14:textId="5EC3C2D4"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11</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697</w:t>
            </w:r>
          </w:p>
        </w:tc>
        <w:tc>
          <w:tcPr>
            <w:tcW w:w="1516" w:type="dxa"/>
            <w:tcBorders>
              <w:top w:val="nil"/>
              <w:left w:val="nil"/>
              <w:bottom w:val="single" w:sz="4" w:space="0" w:color="auto"/>
              <w:right w:val="single" w:sz="4" w:space="0" w:color="auto"/>
            </w:tcBorders>
            <w:shd w:val="clear" w:color="auto" w:fill="FCD5B4"/>
            <w:noWrap/>
            <w:vAlign w:val="bottom"/>
            <w:hideMark/>
          </w:tcPr>
          <w:p w14:paraId="4AF744AE" w14:textId="6CBA858A"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308</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748</w:t>
            </w:r>
          </w:p>
        </w:tc>
      </w:tr>
    </w:tbl>
    <w:p w14:paraId="485B092F" w14:textId="77777777" w:rsidR="00B10DAF" w:rsidRPr="00847710" w:rsidRDefault="00B10DAF" w:rsidP="00B10DAF">
      <w:pPr>
        <w:ind w:firstLine="709"/>
        <w:jc w:val="both"/>
        <w:rPr>
          <w:rFonts w:ascii="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89"/>
      </w:tblGrid>
      <w:tr w:rsidR="00B10DAF" w:rsidRPr="00847710" w14:paraId="1F781DAB" w14:textId="77777777" w:rsidTr="57326167">
        <w:tc>
          <w:tcPr>
            <w:tcW w:w="9089" w:type="dxa"/>
          </w:tcPr>
          <w:p w14:paraId="677C1D2C" w14:textId="18DB31DA" w:rsidR="00B10DAF" w:rsidRPr="00C86312" w:rsidRDefault="00B10DAF" w:rsidP="00C86312">
            <w:pPr>
              <w:spacing w:after="120"/>
              <w:ind w:firstLine="709"/>
              <w:jc w:val="both"/>
              <w:rPr>
                <w:rFonts w:ascii="Times New Roman" w:hAnsi="Times New Roman"/>
                <w:b/>
                <w:bCs/>
                <w:sz w:val="24"/>
                <w:szCs w:val="24"/>
              </w:rPr>
            </w:pPr>
            <w:r w:rsidRPr="0012317D">
              <w:rPr>
                <w:rFonts w:ascii="Times New Roman" w:hAnsi="Times New Roman"/>
                <w:b/>
                <w:bCs/>
                <w:sz w:val="24"/>
                <w:szCs w:val="24"/>
              </w:rPr>
              <w:t xml:space="preserve">Reformas rezultāts: Mazināsies nevienlīdzība zāļu pieejamībā, samazināsies izdevumi par ārstēšanos stacionārā, invaliditātes un ļaundabīgu audzēju rašanās  risks. Tāpat saņemot atbilstošu terapiju, pacienti varēs atgriezties darba tirgū un </w:t>
            </w:r>
            <w:r w:rsidRPr="0012317D">
              <w:rPr>
                <w:rFonts w:ascii="Times New Roman" w:hAnsi="Times New Roman"/>
                <w:b/>
                <w:bCs/>
                <w:sz w:val="24"/>
                <w:szCs w:val="24"/>
                <w:lang w:eastAsia="lv-LV"/>
              </w:rPr>
              <w:t>samazināsies slimības pabalstu gadījumu skaits un vidējais darbnespējas ilgums.</w:t>
            </w:r>
          </w:p>
        </w:tc>
      </w:tr>
    </w:tbl>
    <w:p w14:paraId="051A9783" w14:textId="77777777" w:rsidR="00FA37E8" w:rsidRPr="00847710" w:rsidRDefault="00FA37E8" w:rsidP="00CB4F41">
      <w:pPr>
        <w:spacing w:after="120"/>
        <w:jc w:val="both"/>
        <w:rPr>
          <w:rFonts w:ascii="Times New Roman" w:hAnsi="Times New Roman" w:cs="Times New Roman"/>
          <w:b/>
          <w:sz w:val="24"/>
          <w:szCs w:val="24"/>
          <w:lang w:eastAsia="lv-LV"/>
        </w:rPr>
      </w:pPr>
    </w:p>
    <w:p w14:paraId="233FBDE7" w14:textId="4F8CB6F6" w:rsidR="00541E8D" w:rsidRPr="00C86312" w:rsidRDefault="00D65532" w:rsidP="00C86312">
      <w:pPr>
        <w:pStyle w:val="Heading2"/>
        <w:numPr>
          <w:ilvl w:val="1"/>
          <w:numId w:val="30"/>
        </w:numPr>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Hronisko pacientu aprūpes reforma</w:t>
      </w:r>
    </w:p>
    <w:p w14:paraId="6A78C40E" w14:textId="77777777" w:rsidR="007123E1" w:rsidRPr="00847710" w:rsidRDefault="007123E1" w:rsidP="007123E1">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Daudzās Eiropas valstīs, tajā skaitā Latvijā, aizvien lielāks slogs veselības un sociālās drošības sistēmām ir hroniskās slimības (piemēram, sirds asinsvadu slimības, onkoloģija, cukura diabēts u.c.) un sabiedrības novecošanās. Ņemot vērā sabiedrības novecošanās procesus un dzīvildzes palielināšanos, ir svarīgi, lai hronisko slimību pacienti, neatkarīgi no slimības veida, saņemtu atbilstošu un kvalitatīvu veselības aprūpes pakalpojumu. Līdz ar to nepieciešams sistēmiski risināt problēmas, kas saistītas ar hronisko pacientu aprūpes nodrošināšanu, kuriem ir kompleksas aprūpes vajadzības un, kuriem slimība radījusi pārejošus vai pastāvīgus funkcionālus traucējumus, tāpēc tiem nepieciešama gan medicīniskā aprūpe, gan diennakts uzraudzība (piemēram, pastāvīga traheostomas kopšana, regulāra skābekļa terapija, enterāla barošana utt.).  </w:t>
      </w:r>
    </w:p>
    <w:p w14:paraId="360645F2" w14:textId="77777777" w:rsidR="007123E1" w:rsidRPr="00847710" w:rsidRDefault="007123E1" w:rsidP="007123E1">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    Aprūpes slimnīca šobrīd ir ārstniecības iestāde, kur pacientam pēc slimības paasinājuma novēršanas līdz noteiktas ārstniecības pakāpes sasniegšanai nodrošina stacionāro veselības aprūpi, ja viņam ir ilgstoša vai hroniska slimība. Aprūpes slimnīcā atbilstoši normatīvajos aktos noteiktajam nav nepieciešama ārsta dežūra visu diennakti.</w:t>
      </w:r>
    </w:p>
    <w:p w14:paraId="25FFC09B" w14:textId="01F91DAB" w:rsidR="548A2C1B" w:rsidRPr="004D54F6" w:rsidRDefault="007123E1" w:rsidP="004D54F6">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   Ņemot vērā to, ka pašreizējā situācijā nav iespējams nodrošināt aprūpi pacientiem ar hroniskām saslimšanām atbilstošās hronisko pacientu aprūpes slimnīcās un </w:t>
      </w:r>
      <w:r w:rsidR="00AB6A87">
        <w:rPr>
          <w:rFonts w:ascii="Times New Roman" w:hAnsi="Times New Roman" w:cs="Times New Roman"/>
          <w:sz w:val="24"/>
          <w:szCs w:val="24"/>
        </w:rPr>
        <w:t xml:space="preserve">hronisko pacientu aprūpes </w:t>
      </w:r>
      <w:r w:rsidRPr="00847710">
        <w:rPr>
          <w:rFonts w:ascii="Times New Roman" w:hAnsi="Times New Roman" w:cs="Times New Roman"/>
          <w:sz w:val="24"/>
          <w:szCs w:val="24"/>
        </w:rPr>
        <w:t>nodaļās</w:t>
      </w:r>
      <w:r w:rsidR="00AB6A87">
        <w:rPr>
          <w:rFonts w:ascii="Times New Roman" w:hAnsi="Times New Roman" w:cs="Times New Roman"/>
          <w:sz w:val="24"/>
          <w:szCs w:val="24"/>
        </w:rPr>
        <w:t xml:space="preserve"> daudzprofilu </w:t>
      </w:r>
      <w:r w:rsidR="0029423C">
        <w:rPr>
          <w:rFonts w:ascii="Times New Roman" w:hAnsi="Times New Roman" w:cs="Times New Roman"/>
          <w:sz w:val="24"/>
          <w:szCs w:val="24"/>
        </w:rPr>
        <w:t>slimnīcās</w:t>
      </w:r>
      <w:r w:rsidRPr="00847710">
        <w:rPr>
          <w:rFonts w:ascii="Times New Roman" w:hAnsi="Times New Roman" w:cs="Times New Roman"/>
          <w:sz w:val="24"/>
          <w:szCs w:val="24"/>
        </w:rPr>
        <w:t xml:space="preserve"> tādā apjomā, kādā būtu nepieciešams, šādi pacienti ilgāk tiek medicīniski aprūpēti augstāka līmeņa slimnīcās</w:t>
      </w:r>
      <w:r w:rsidR="007F26CB" w:rsidRPr="007F26CB">
        <w:rPr>
          <w:rFonts w:ascii="Times New Roman" w:hAnsi="Times New Roman" w:cs="Times New Roman"/>
          <w:sz w:val="24"/>
          <w:szCs w:val="24"/>
        </w:rPr>
        <w:t xml:space="preserve"> </w:t>
      </w:r>
      <w:r w:rsidR="007F26CB">
        <w:rPr>
          <w:rFonts w:ascii="Times New Roman" w:hAnsi="Times New Roman" w:cs="Times New Roman"/>
          <w:sz w:val="24"/>
          <w:szCs w:val="24"/>
        </w:rPr>
        <w:t>un daudzprofila slimnīcu cita profila nodaļās</w:t>
      </w:r>
      <w:r w:rsidRPr="00847710">
        <w:rPr>
          <w:rFonts w:ascii="Times New Roman" w:hAnsi="Times New Roman" w:cs="Times New Roman"/>
          <w:sz w:val="24"/>
          <w:szCs w:val="24"/>
        </w:rPr>
        <w:t>, kā arī izrakstīti mājās, atkārtoti sauc Neatliekamās medicīniskās palīdzības dienestu vai tiek nogādāti atpakaļ augstāka līmeņa slimnīcās. Sekundāro izsaukumu skaitam pie gados vecākiem cilvēkiem ir tendence palielināties un 2016.gadā Neatliekamās medicīniskās palīdzības dienestam 60.5% sekundāro izsaukumiem bija pie cilvēkiem virs 59 gadu vecuma.</w:t>
      </w:r>
    </w:p>
    <w:p w14:paraId="191C4F15" w14:textId="7962CCB6" w:rsidR="004E2E01" w:rsidRPr="00847710" w:rsidRDefault="004E2E01" w:rsidP="00D9000B">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Neatliekamās medicīniskās palīdzības dienesta datu analīze liecina, ka aptuveni 30% no kopumā  izpildītajiem  izsaukumiem (piemēram, 2016. gadā 438 888 izsaukumi) pēc rezultāta klasificējami kā sekundārie izsaukumi (sekundārs NMP izsaukums NMP dienesta izpratnē ir izsaukums, kurā pēc Neatliekamā medicīniskās palīdzības dienesta brigādes vadītāja vērtējuma </w:t>
      </w:r>
      <w:r w:rsidRPr="00847710">
        <w:rPr>
          <w:rFonts w:ascii="Times New Roman" w:hAnsi="Times New Roman" w:cs="Times New Roman"/>
          <w:sz w:val="24"/>
          <w:szCs w:val="24"/>
        </w:rPr>
        <w:lastRenderedPageBreak/>
        <w:t xml:space="preserve">pacientam nav konstatēts dzīvībai vai veselībai kritisks stāvoklis). </w:t>
      </w:r>
      <w:r w:rsidRPr="00847710">
        <w:rPr>
          <w:rFonts w:ascii="Times New Roman" w:hAnsi="Times New Roman" w:cs="Times New Roman"/>
          <w:sz w:val="24"/>
          <w:szCs w:val="24"/>
        </w:rPr>
        <w:tab/>
        <w:t>2016.gadā šādu izsaukumu skaits bija viens no augstākajiem  pēdējo 6 gadu laikā – 136 143 izsaukumi jeb aptuveni 370</w:t>
      </w:r>
      <w:r w:rsidR="0068380B" w:rsidRPr="00847710">
        <w:rPr>
          <w:rFonts w:ascii="Times New Roman" w:hAnsi="Times New Roman" w:cs="Times New Roman"/>
          <w:sz w:val="24"/>
          <w:szCs w:val="24"/>
        </w:rPr>
        <w:t xml:space="preserve"> – 400</w:t>
      </w:r>
      <w:r w:rsidRPr="00847710">
        <w:rPr>
          <w:rFonts w:ascii="Times New Roman" w:hAnsi="Times New Roman" w:cs="Times New Roman"/>
          <w:sz w:val="24"/>
          <w:szCs w:val="24"/>
        </w:rPr>
        <w:t xml:space="preserve"> izsaukumi dienā . Sekundāro izsaukumu iemesls visbiežāk ir paaugstināts asinsspiediens un akūta respiratora saslimšana bez sarežģījumiem un mugurkaula spondiloze. Pacienti ar minētajām saslimšanām sastāda 48% no kopējā sekundāro izsaukumu skaita un daļa no šiem pacientiem </w:t>
      </w:r>
      <w:r w:rsidR="00603DA5">
        <w:rPr>
          <w:rFonts w:ascii="Times New Roman" w:hAnsi="Times New Roman" w:cs="Times New Roman"/>
          <w:sz w:val="24"/>
          <w:szCs w:val="24"/>
        </w:rPr>
        <w:t xml:space="preserve">(30% no kopējo sekundāro izsaukumu skaita) </w:t>
      </w:r>
      <w:r w:rsidRPr="00847710">
        <w:rPr>
          <w:rFonts w:ascii="Times New Roman" w:hAnsi="Times New Roman" w:cs="Times New Roman"/>
          <w:sz w:val="24"/>
          <w:szCs w:val="24"/>
        </w:rPr>
        <w:t xml:space="preserve">nesaņem pietiekamu un atbilstošu hronisko pacientu aprūpes pakalpojumu klāstu, kas viņus motivē izsaukt Neatliekamās medicīniskās palīdzības dienesta brigādi. Kā iemesls neatliekamās medicīniskās palīdzības izsaukšanai tiek minēta nespēja nokļūt līdz ģimenes ārsta praksei vai ārstniecības iestādei – nav transporta, nav līdzekļu, īpaši gados veciem, vientuļiem cilvēkiem lauku teritorijās. Analizējot datus par Neatliekamā medicīniskās palīdzības izsaukumu struktūru kopumā no 2013.gada par aptuveni 2000 katru gadu  pieaug izsaukumu skaits pie pacientiem, kuri nav dzīvībai un veselībai kritiskos stāvokļos, līdz ar to noslogojot Neatliekamās medicīniskās palīdzības dienesta brigādes un neefektīvi tērējot resursus. </w:t>
      </w:r>
      <w:r w:rsidR="007123E1" w:rsidRPr="00847710">
        <w:rPr>
          <w:rFonts w:ascii="Times New Roman" w:hAnsi="Times New Roman" w:cs="Times New Roman"/>
          <w:sz w:val="24"/>
          <w:szCs w:val="24"/>
        </w:rPr>
        <w:t>Ņemot vērā iepriekšminētos faktorus, var secināt, ka  neefektīvi tiek izmantoti veselības aprūpes sistēmas resursi hronisko pacientu aprūpes nodrošināšanai, kuri būtu efektīvāk izmantojami akūtu un neatliekamu situāciju gadījumos medicīniskās palīdzības sniegšanai pacientiem.</w:t>
      </w:r>
      <w:r w:rsidR="008E1A1F">
        <w:rPr>
          <w:rFonts w:ascii="Times New Roman" w:hAnsi="Times New Roman" w:cs="Times New Roman"/>
          <w:sz w:val="24"/>
          <w:szCs w:val="24"/>
        </w:rPr>
        <w:t xml:space="preserve"> </w:t>
      </w:r>
      <w:r w:rsidRPr="00847710">
        <w:rPr>
          <w:rFonts w:ascii="Times New Roman" w:hAnsi="Times New Roman" w:cs="Times New Roman"/>
          <w:sz w:val="24"/>
          <w:szCs w:val="24"/>
        </w:rPr>
        <w:t>Ņemot vērā to, ka šādiem pacientiem tomēr ir komp</w:t>
      </w:r>
      <w:r w:rsidR="00D378F0">
        <w:rPr>
          <w:rFonts w:ascii="Times New Roman" w:hAnsi="Times New Roman" w:cs="Times New Roman"/>
          <w:sz w:val="24"/>
          <w:szCs w:val="24"/>
        </w:rPr>
        <w:t>l</w:t>
      </w:r>
      <w:r w:rsidRPr="00847710">
        <w:rPr>
          <w:rFonts w:ascii="Times New Roman" w:hAnsi="Times New Roman" w:cs="Times New Roman"/>
          <w:sz w:val="24"/>
          <w:szCs w:val="24"/>
        </w:rPr>
        <w:t>eksas veselības un sociālas problēmas, tie nokļūst slimnīcu uzņemšanas nodaļas un tiek arī stacionēti slimnīcās, kuras sniedz neatliekamo medicīnisko palīdzību.</w:t>
      </w:r>
    </w:p>
    <w:p w14:paraId="6E128ECD" w14:textId="23AEFB21" w:rsidR="004E2E01" w:rsidRPr="00847710" w:rsidRDefault="004E2E01" w:rsidP="00847710">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Hospitalizāciju proporcionālais sadalījums pa slimnīcu veidiem saglabājies nemainīgs, tāpat kā 2015. gadā – 83 % no visām hospitalizācijām ir bijušas neatliekamās palīdzības slimnīcās, 14 % – specializētajās slimnīcās un 3% – aprūpes slimnīcās. 2016. gadā hospitalizāciju skaits, salīdzinot ar 2015. gadu, ir palielinājies par 1 415 hospitalizācijām. Kā redzams, tad pacienti lielākajā daļā gadījumu nokļūst slimnīcās, kur tiek sniegta neatliekamās medicīniskā palīdzība, līdz ar to var secināt, ka šajā gadījumā pacienti, iespējams, nokļūst augstāka līmeņa slimnīcā tā vietā, lai atbilstoši hronisko pacientu diagnozei un nepieciešamajam medicīniskās palīdzības apjomam, tiem būtu jāatrodas slimnīcā, kur tiem tiktu nodrošināta atbilstoša terapeitiska un aprūpes palīdzība un tādējādi tiktu atslogoti neatliekamās palīdzības slimnīcu resursi, lai tās efektīvāk sniegtu neatliekamo medicīnisko palīdzību un arī plānveida palīdzību. </w:t>
      </w:r>
      <w:r w:rsidR="00792326">
        <w:rPr>
          <w:rFonts w:ascii="Times New Roman" w:hAnsi="Times New Roman" w:cs="Times New Roman"/>
          <w:sz w:val="24"/>
          <w:szCs w:val="24"/>
        </w:rPr>
        <w:t>Papildus finansējuma novirzīšana ļautu risināt jautājumu par to, ka hronisko diagnožu pacietiem būtu iespēja veselības stāvoklim atbilstošu veselības aprūpes pakalpojumu saņemt  hronisko pacientu aprūpes slimnīcā vai hronisko pacientu aprūpes nodaļā daudzprofila slimnīcā un netiktu noslogotas cita profila nodaļas (terapijas, neiroloģijas, ķirurģijas utt.), kurās varētu efektīvāk ārstēt pacientus, kuriem ir nepieciešama neatliekamā medicīniskā palīdzība vai plānveida palīdzība atbilstoši nodaļas profilam.</w:t>
      </w:r>
    </w:p>
    <w:p w14:paraId="58FD34D3" w14:textId="15C2344C" w:rsidR="004E2E01" w:rsidRPr="00847710" w:rsidRDefault="00FA3F3C" w:rsidP="00847710">
      <w:pPr>
        <w:spacing w:after="120"/>
        <w:ind w:firstLine="709"/>
        <w:jc w:val="both"/>
        <w:rPr>
          <w:rFonts w:ascii="Times New Roman" w:hAnsi="Times New Roman" w:cs="Times New Roman"/>
          <w:sz w:val="24"/>
          <w:szCs w:val="24"/>
        </w:rPr>
      </w:pPr>
      <w:r>
        <w:rPr>
          <w:rFonts w:ascii="Times New Roman" w:hAnsi="Times New Roman" w:cs="Times New Roman"/>
          <w:sz w:val="24"/>
          <w:szCs w:val="24"/>
        </w:rPr>
        <w:t>J</w:t>
      </w:r>
      <w:r w:rsidR="004E2E01" w:rsidRPr="00847710">
        <w:rPr>
          <w:rFonts w:ascii="Times New Roman" w:hAnsi="Times New Roman" w:cs="Times New Roman"/>
          <w:sz w:val="24"/>
          <w:szCs w:val="24"/>
        </w:rPr>
        <w:t>āatzīmē, ka  neatliekamās palīdzības slimnīcu uzņemšanas nodaļās kopumā 2016.gadā ir vērsušies 326 308 pacienti, kuriem ir sniegta ambulatora līmeņa palīdzība un līdz ar to neatliekamās palīdzības slimnīcas resursi tikusi novirzīti šo pacientu izmeklēšanai un palīdzības sniegšanai.</w:t>
      </w:r>
    </w:p>
    <w:p w14:paraId="04E0614A" w14:textId="001149DC" w:rsidR="004E2E01" w:rsidRPr="00847710" w:rsidRDefault="004E2E01" w:rsidP="00792326">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lastRenderedPageBreak/>
        <w:t>Analizējot rindu garumu uz 2017.gada 1.novembri,samērā garas rindas plānveida stacionāro pakalpojumu saņemšanai, piemēram, ir ķirurģiska profila (rindā kopumā 532 pacienti), ginekoloģiska (operācijas) profila (rindā 369 pacienti) un mugurkaulāja saslimšanu un traumu ķirurģiskai ārstēšanai (rindā 253 pacienti</w:t>
      </w:r>
      <w:r w:rsidR="005D37BB">
        <w:rPr>
          <w:rFonts w:ascii="Times New Roman" w:hAnsi="Times New Roman" w:cs="Times New Roman"/>
          <w:sz w:val="24"/>
          <w:szCs w:val="24"/>
        </w:rPr>
        <w:t>)</w:t>
      </w:r>
      <w:r w:rsidRPr="00847710">
        <w:rPr>
          <w:rFonts w:ascii="Times New Roman" w:hAnsi="Times New Roman" w:cs="Times New Roman"/>
          <w:sz w:val="24"/>
          <w:szCs w:val="24"/>
        </w:rPr>
        <w:t xml:space="preserve">. Efektīvi izmantojot resursus un atslogojot neatliekamās palīdzības slimnīcu kapacitāti, tajā skaitā, virzot hronisko pacientu plūsmu uz I līmeņa slimnīcām un arī hronisko pacientu aprūpes nodaļām daudzprofila slimnīcās, tiktu atbrīvoti resursi plānveida pacientu plūsmas palielināšanai un rindu mazināšanai. </w:t>
      </w:r>
      <w:r w:rsidR="00B26800">
        <w:rPr>
          <w:rFonts w:ascii="Times New Roman" w:hAnsi="Times New Roman" w:cs="Times New Roman"/>
          <w:sz w:val="24"/>
          <w:szCs w:val="24"/>
        </w:rPr>
        <w:t>Ņ</w:t>
      </w:r>
      <w:r w:rsidRPr="00847710">
        <w:rPr>
          <w:rFonts w:ascii="Times New Roman" w:hAnsi="Times New Roman" w:cs="Times New Roman"/>
          <w:sz w:val="24"/>
          <w:szCs w:val="24"/>
        </w:rPr>
        <w:t xml:space="preserve">emot vērā iepriekš minēto </w:t>
      </w:r>
      <w:r w:rsidR="00456657">
        <w:rPr>
          <w:rFonts w:ascii="Times New Roman" w:hAnsi="Times New Roman" w:cs="Times New Roman"/>
          <w:sz w:val="24"/>
          <w:szCs w:val="24"/>
        </w:rPr>
        <w:t>atbilstoši k</w:t>
      </w:r>
      <w:r w:rsidR="00456657" w:rsidRPr="00456657">
        <w:rPr>
          <w:rFonts w:ascii="Times New Roman" w:hAnsi="Times New Roman" w:cs="Times New Roman"/>
          <w:sz w:val="24"/>
          <w:szCs w:val="24"/>
        </w:rPr>
        <w:t>līnisko universitātes slimnīcu speciālistu novērtējum</w:t>
      </w:r>
      <w:r w:rsidR="00306BC3">
        <w:rPr>
          <w:rFonts w:ascii="Times New Roman" w:hAnsi="Times New Roman" w:cs="Times New Roman"/>
          <w:sz w:val="24"/>
          <w:szCs w:val="24"/>
        </w:rPr>
        <w:t>am</w:t>
      </w:r>
      <w:r w:rsidR="00456657" w:rsidRPr="00456657">
        <w:rPr>
          <w:rFonts w:ascii="Times New Roman" w:hAnsi="Times New Roman" w:cs="Times New Roman"/>
          <w:sz w:val="24"/>
          <w:szCs w:val="24"/>
        </w:rPr>
        <w:t xml:space="preserve"> un prognoze</w:t>
      </w:r>
      <w:r w:rsidR="00306BC3">
        <w:rPr>
          <w:rFonts w:ascii="Times New Roman" w:hAnsi="Times New Roman" w:cs="Times New Roman"/>
          <w:sz w:val="24"/>
          <w:szCs w:val="24"/>
        </w:rPr>
        <w:t>i</w:t>
      </w:r>
      <w:r w:rsidR="00456657" w:rsidRPr="00456657">
        <w:rPr>
          <w:rFonts w:ascii="Times New Roman" w:hAnsi="Times New Roman" w:cs="Times New Roman"/>
          <w:sz w:val="24"/>
          <w:szCs w:val="24"/>
        </w:rPr>
        <w:t xml:space="preserve"> atbilstoši faktiskajam uzņemšanas nodaļu darbam un sistēmas iespējām sākotnējā </w:t>
      </w:r>
      <w:r w:rsidR="00306BC3">
        <w:rPr>
          <w:rFonts w:ascii="Times New Roman" w:hAnsi="Times New Roman" w:cs="Times New Roman"/>
          <w:sz w:val="24"/>
          <w:szCs w:val="24"/>
        </w:rPr>
        <w:t xml:space="preserve">reformas </w:t>
      </w:r>
      <w:r w:rsidR="00456657" w:rsidRPr="00456657">
        <w:rPr>
          <w:rFonts w:ascii="Times New Roman" w:hAnsi="Times New Roman" w:cs="Times New Roman"/>
          <w:sz w:val="24"/>
          <w:szCs w:val="24"/>
        </w:rPr>
        <w:t>posmā</w:t>
      </w:r>
      <w:r w:rsidR="00306BC3">
        <w:rPr>
          <w:rFonts w:ascii="Times New Roman" w:hAnsi="Times New Roman" w:cs="Times New Roman"/>
          <w:sz w:val="24"/>
          <w:szCs w:val="24"/>
        </w:rPr>
        <w:t>,</w:t>
      </w:r>
      <w:r w:rsidRPr="00847710">
        <w:rPr>
          <w:rFonts w:ascii="Times New Roman" w:hAnsi="Times New Roman" w:cs="Times New Roman"/>
          <w:sz w:val="24"/>
          <w:szCs w:val="24"/>
        </w:rPr>
        <w:t xml:space="preserve"> būtu iespējams papildus ieplānot 10 000 pacientus, kuriem būtu iespēja neatliekamās palīdzības slimnīcās nodrošināt plānveida palīdzību un tādējādi mazināt pacientu rindu. </w:t>
      </w:r>
    </w:p>
    <w:p w14:paraId="418706C1" w14:textId="2F01172B" w:rsidR="004E2E01" w:rsidRPr="00847710" w:rsidRDefault="004E2E01" w:rsidP="00D9000B">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Vienlaikus jāatzīmē, ka pēc Slimību un profilakses kontroles centra datiem, 2016.gadā 44% no stacionāros ārstēto pacientu skaita ir vecuma grupā no 18 gadiem līdz 39 gadiem, kuri ir darbspējas vecumā un, kuriem pēc iespējas ātrāk būtu jānodrošina plānveida stacionāros pakalpojumus, lai saglabātu pēc iespējas labu veselību un atgrieztu viņus darba tirgū.</w:t>
      </w:r>
    </w:p>
    <w:p w14:paraId="4D1854B1" w14:textId="77777777" w:rsidR="007123E1" w:rsidRPr="00847710" w:rsidRDefault="007123E1" w:rsidP="007123E1">
      <w:pPr>
        <w:spacing w:after="120"/>
        <w:ind w:firstLine="709"/>
        <w:jc w:val="both"/>
        <w:rPr>
          <w:rFonts w:ascii="Times New Roman" w:eastAsia="Calibri" w:hAnsi="Times New Roman" w:cs="Times New Roman"/>
          <w:sz w:val="24"/>
          <w:szCs w:val="24"/>
        </w:rPr>
      </w:pPr>
      <w:r w:rsidRPr="00847710">
        <w:rPr>
          <w:rFonts w:ascii="Times New Roman" w:hAnsi="Times New Roman" w:cs="Times New Roman"/>
          <w:sz w:val="24"/>
          <w:szCs w:val="24"/>
        </w:rPr>
        <w:t>Atbilstoši konceptuālā ziņojuma “Par veselības aprūpes sistēmas reformu”</w:t>
      </w:r>
      <w:r w:rsidRPr="00847710">
        <w:rPr>
          <w:rFonts w:ascii="Times New Roman" w:hAnsi="Times New Roman" w:cs="Times New Roman"/>
          <w:sz w:val="24"/>
          <w:szCs w:val="24"/>
          <w:vertAlign w:val="superscript"/>
        </w:rPr>
        <w:footnoteReference w:id="25"/>
      </w:r>
      <w:r w:rsidRPr="00847710">
        <w:rPr>
          <w:rFonts w:ascii="Times New Roman" w:hAnsi="Times New Roman" w:cs="Times New Roman"/>
          <w:sz w:val="24"/>
          <w:szCs w:val="24"/>
        </w:rPr>
        <w:t xml:space="preserve"> sadaļā “Iestāžu pārvaldība un pašvaldību loma” minētajam: šobrīd </w:t>
      </w:r>
      <w:r w:rsidRPr="00847710">
        <w:rPr>
          <w:rFonts w:ascii="Times New Roman" w:eastAsia="Calibri" w:hAnsi="Times New Roman" w:cs="Times New Roman"/>
          <w:sz w:val="24"/>
          <w:szCs w:val="24"/>
        </w:rPr>
        <w:t>nav skaidri noteiktas sociālo un aprūpes gultu nodrošināšanas iespējas valstī un pašvaldībā, ņemot vērā, ka aprūpes gultu pakalpojums pamatā saistās ar iedzīvotāju sociālajiem jautājumiem (aprūpes gultu pakalpojums lielākoties tiek sniegts nevis pēc akūtiem gadījumiem, bet gan hronisku saslimšanu gadījumos kontekstā ar iedzīvotāju sociāliem apstākļiem, piemēram, nespēju sevi aprūpēt, nodrošināt sev vienkāršu sadzīvisku aprūpi un tuvinieku atbalsta trūkumu) un šajā gadījumā netiek sniegta pilnvērtīga medicīniskā aprūpe pacientiem ar kompleksām diagnozēm un nopietnām veselības problēmām.</w:t>
      </w:r>
    </w:p>
    <w:p w14:paraId="3975DA2D" w14:textId="77777777" w:rsidR="007123E1" w:rsidRPr="00847710" w:rsidRDefault="007123E1" w:rsidP="007123E1">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Ņemot vērā minēto būtiska ir ārstniecības personu un sociālās jomas speciālistu sadarbība, lai nodrošinātu, īpaši, riska grupu pacientu (piemēram, smagi slimu un kopjamu pacientu, gados vecu pacientu, vientuļu, pacientu ar invaliditāti u.c.) ne tikai veselības aprūpes pēctecību, bet arī savlaicīgi nodrošinātu iespējas saņemt sociālās aprūpes pakalpojumus personām, kurām ir objektīvas grūtības aprūpēt sevi slimības izraisīto funkcionālo traucējumu dēļ, tādēļ svarīga ir veselības aprūpes sistēmas sadarbība ar sociālās aprūpes sistēmu .</w:t>
      </w:r>
    </w:p>
    <w:p w14:paraId="1D1A3DAF" w14:textId="503B8C2B" w:rsidR="007123E1" w:rsidRPr="00847710" w:rsidRDefault="007123E1" w:rsidP="007123E1">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Turpmāk hronisku pacientu plānveida veselības aprūpe (tiks nodrošināta </w:t>
      </w:r>
      <w:r w:rsidR="00151356">
        <w:rPr>
          <w:rFonts w:ascii="Times New Roman" w:hAnsi="Times New Roman" w:cs="Times New Roman"/>
          <w:sz w:val="24"/>
          <w:szCs w:val="24"/>
        </w:rPr>
        <w:t>hronisko pacientu aprūpes</w:t>
      </w:r>
      <w:r w:rsidRPr="00847710">
        <w:rPr>
          <w:rFonts w:ascii="Times New Roman" w:hAnsi="Times New Roman" w:cs="Times New Roman"/>
          <w:sz w:val="24"/>
          <w:szCs w:val="24"/>
        </w:rPr>
        <w:t xml:space="preserve"> līmeņa slimnīcā vai daudzprofilu slimnīcas hronisko pacientu aprūpes nodaļā, kur plānots terapijas un hronisku pacientu aprūpes profils), kas tiek sniegta pacientiem ilgstošu slimību vai hronisku slimību paasinājuma novēršanai un aprūpes nodrošināšanai.  Hronisko </w:t>
      </w:r>
      <w:r w:rsidRPr="00847710">
        <w:rPr>
          <w:rFonts w:ascii="Times New Roman" w:hAnsi="Times New Roman" w:cs="Times New Roman"/>
          <w:sz w:val="24"/>
          <w:szCs w:val="24"/>
        </w:rPr>
        <w:lastRenderedPageBreak/>
        <w:t>pacientu medicīnisko ārstēšanu un aprūpi diennakti nodrošinās internists un māsas, kas uzlabos ārstēšanas procesu.</w:t>
      </w:r>
    </w:p>
    <w:p w14:paraId="12BD2557" w14:textId="77777777" w:rsidR="007123E1" w:rsidRPr="00847710" w:rsidRDefault="007123E1" w:rsidP="007123E1">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Hroniskie pacienti hronisko pacientu aprūpes slimnīcā (I līmeņa slimnīcā) varēs tikt nosūtīti:</w:t>
      </w:r>
    </w:p>
    <w:p w14:paraId="7D4E2802" w14:textId="77777777" w:rsidR="007123E1" w:rsidRPr="00847710" w:rsidRDefault="007123E1" w:rsidP="007123E1">
      <w:pPr>
        <w:pStyle w:val="ListParagraph"/>
        <w:numPr>
          <w:ilvl w:val="0"/>
          <w:numId w:val="34"/>
        </w:numPr>
        <w:spacing w:after="120"/>
        <w:jc w:val="both"/>
        <w:rPr>
          <w:rFonts w:ascii="Times New Roman" w:hAnsi="Times New Roman"/>
          <w:sz w:val="24"/>
          <w:szCs w:val="24"/>
          <w:lang w:val="lv-LV"/>
        </w:rPr>
      </w:pPr>
      <w:r w:rsidRPr="00847710">
        <w:rPr>
          <w:rFonts w:ascii="Times New Roman" w:hAnsi="Times New Roman"/>
          <w:sz w:val="24"/>
          <w:szCs w:val="24"/>
          <w:lang w:val="lv-LV"/>
        </w:rPr>
        <w:t>ar ģimenes ārsta/speciālista nosūtījumu;</w:t>
      </w:r>
    </w:p>
    <w:p w14:paraId="3A61D7C7" w14:textId="77777777" w:rsidR="007123E1" w:rsidRPr="00847710" w:rsidRDefault="007123E1" w:rsidP="007123E1">
      <w:pPr>
        <w:pStyle w:val="ListParagraph"/>
        <w:numPr>
          <w:ilvl w:val="0"/>
          <w:numId w:val="34"/>
        </w:numPr>
        <w:spacing w:after="120"/>
        <w:jc w:val="both"/>
        <w:rPr>
          <w:rFonts w:ascii="Times New Roman" w:hAnsi="Times New Roman"/>
          <w:sz w:val="24"/>
          <w:szCs w:val="24"/>
          <w:lang w:val="lv-LV"/>
        </w:rPr>
      </w:pPr>
      <w:r w:rsidRPr="00847710">
        <w:rPr>
          <w:rFonts w:ascii="Times New Roman" w:hAnsi="Times New Roman"/>
          <w:sz w:val="24"/>
          <w:szCs w:val="24"/>
          <w:lang w:val="lv-LV"/>
        </w:rPr>
        <w:t>pārvedot no augstāka līmeņa slimnīcas atbilstošas  medicīniskās palīdzības un aprūpes nodrošināšanai;</w:t>
      </w:r>
    </w:p>
    <w:p w14:paraId="569FBB4B" w14:textId="77777777" w:rsidR="007123E1" w:rsidRPr="00847710" w:rsidRDefault="007123E1" w:rsidP="007123E1">
      <w:pPr>
        <w:pStyle w:val="ListParagraph"/>
        <w:numPr>
          <w:ilvl w:val="0"/>
          <w:numId w:val="34"/>
        </w:numPr>
        <w:spacing w:after="120"/>
        <w:jc w:val="both"/>
        <w:rPr>
          <w:rFonts w:ascii="Times New Roman" w:hAnsi="Times New Roman"/>
          <w:sz w:val="24"/>
          <w:szCs w:val="24"/>
          <w:lang w:val="lv-LV"/>
        </w:rPr>
      </w:pPr>
      <w:r w:rsidRPr="00847710">
        <w:rPr>
          <w:rFonts w:ascii="Times New Roman" w:hAnsi="Times New Roman"/>
          <w:sz w:val="24"/>
          <w:szCs w:val="24"/>
          <w:lang w:val="lv-LV"/>
        </w:rPr>
        <w:t>hronisko slimību paasinājuma gadījumā, kad nepieciešama medicīniska novērošana un stāvokļa stabilizēšana, atbilstoša ārstēšana, bet pacienta stāvoklis neprasa tūlītēju sarežģītu un kompleksu augsta līmeņa ārstēšanu (piemēram, operāciju)  ar Neatliekamās medicīniskās palīdzības dienesta brigādi.</w:t>
      </w:r>
      <w:r w:rsidRPr="00847710">
        <w:rPr>
          <w:rFonts w:ascii="Times New Roman" w:hAnsi="Times New Roman"/>
          <w:sz w:val="24"/>
          <w:szCs w:val="24"/>
          <w:lang w:val="lv-LV"/>
        </w:rPr>
        <w:tab/>
      </w:r>
    </w:p>
    <w:p w14:paraId="48E10975" w14:textId="77777777" w:rsidR="007123E1" w:rsidRPr="00847710" w:rsidRDefault="007123E1" w:rsidP="007123E1">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Aprūpes nodaļā tiks uzņemti pacienti pārsvarā ar ģimenes ārsta vai ārsta speciālista norīkojumu ar iepriekš ambulatori veiktiem diagnozi apstiprinošiem izmeklējumiem (veikti laboratoriskie izmeklējumi, funkcionālā diagnostika u.c.). Pacienta stāvoklis šajos gadījumos neprasa tūlītēju intensīvu neatliekamās medicīniskās palīdzības sniegšanu un komplicētu ārstēšanu ar augstu intensitāti un tās būtu, piemēram, hronisko saslimšanu grupas - hroniskas asinsrites slimības, onkoloģiskas saslimšanas ar precizētu diagnozi, hroniskas elpošanas sistēmas slimības u.c. Tajā gadījumā, ja pacienta stāvoklis pasliktināsies un būs nepieciešama  intensīva terapija augstāka līmeņa slimnīca, pacients tiks pārvests atbilstošai ārstēšanai un daudzprofilu slimnīcu.</w:t>
      </w:r>
    </w:p>
    <w:p w14:paraId="7C34A5D7" w14:textId="77777777" w:rsidR="007123E1" w:rsidRPr="00847710" w:rsidRDefault="007123E1" w:rsidP="007123E1">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Pamatdiagnozes, kurām tiks sniegti veselības aprūpes pakalpojumi hronisko pacientu aprūpes gultās būtu:</w:t>
      </w:r>
    </w:p>
    <w:p w14:paraId="0ACB2F3B" w14:textId="77777777" w:rsidR="007123E1" w:rsidRPr="00847710" w:rsidRDefault="007123E1" w:rsidP="007123E1">
      <w:pPr>
        <w:pStyle w:val="ListParagraph"/>
        <w:numPr>
          <w:ilvl w:val="0"/>
          <w:numId w:val="32"/>
        </w:numPr>
        <w:spacing w:after="120"/>
        <w:jc w:val="both"/>
        <w:rPr>
          <w:rFonts w:ascii="Times New Roman" w:hAnsi="Times New Roman"/>
          <w:sz w:val="24"/>
          <w:szCs w:val="24"/>
          <w:lang w:val="lv-LV"/>
        </w:rPr>
      </w:pPr>
      <w:r w:rsidRPr="00847710">
        <w:rPr>
          <w:rFonts w:ascii="Times New Roman" w:hAnsi="Times New Roman"/>
          <w:sz w:val="24"/>
          <w:szCs w:val="24"/>
          <w:lang w:val="lv-LV"/>
        </w:rPr>
        <w:t xml:space="preserve">Hroniskas sirds asinsvadu saslimšanas </w:t>
      </w:r>
    </w:p>
    <w:p w14:paraId="2FDFA34E" w14:textId="77777777" w:rsidR="007123E1" w:rsidRPr="00847710" w:rsidRDefault="007123E1" w:rsidP="007123E1">
      <w:pPr>
        <w:pStyle w:val="ListParagraph"/>
        <w:numPr>
          <w:ilvl w:val="0"/>
          <w:numId w:val="32"/>
        </w:numPr>
        <w:spacing w:after="120"/>
        <w:jc w:val="both"/>
        <w:rPr>
          <w:rFonts w:ascii="Times New Roman" w:hAnsi="Times New Roman"/>
          <w:sz w:val="24"/>
          <w:szCs w:val="24"/>
          <w:lang w:val="lv-LV"/>
        </w:rPr>
      </w:pPr>
      <w:r w:rsidRPr="00847710">
        <w:rPr>
          <w:rFonts w:ascii="Times New Roman" w:hAnsi="Times New Roman"/>
          <w:sz w:val="24"/>
          <w:szCs w:val="24"/>
          <w:lang w:val="lv-LV"/>
        </w:rPr>
        <w:t>Ateroskleroze</w:t>
      </w:r>
    </w:p>
    <w:p w14:paraId="3188BC02" w14:textId="77777777" w:rsidR="007123E1" w:rsidRPr="00847710" w:rsidRDefault="007123E1" w:rsidP="007123E1">
      <w:pPr>
        <w:pStyle w:val="ListParagraph"/>
        <w:numPr>
          <w:ilvl w:val="0"/>
          <w:numId w:val="32"/>
        </w:numPr>
        <w:spacing w:after="120"/>
        <w:jc w:val="both"/>
        <w:rPr>
          <w:rFonts w:ascii="Times New Roman" w:hAnsi="Times New Roman"/>
          <w:sz w:val="24"/>
          <w:szCs w:val="24"/>
          <w:lang w:val="lv-LV"/>
        </w:rPr>
      </w:pPr>
      <w:r w:rsidRPr="00847710">
        <w:rPr>
          <w:rFonts w:ascii="Times New Roman" w:hAnsi="Times New Roman"/>
          <w:sz w:val="24"/>
          <w:szCs w:val="24"/>
          <w:lang w:val="lv-LV"/>
        </w:rPr>
        <w:t>Cerebrovaskulāru slimību sekas</w:t>
      </w:r>
    </w:p>
    <w:p w14:paraId="65A155F1" w14:textId="77777777" w:rsidR="007123E1" w:rsidRPr="00847710" w:rsidRDefault="007123E1" w:rsidP="007123E1">
      <w:pPr>
        <w:pStyle w:val="ListParagraph"/>
        <w:numPr>
          <w:ilvl w:val="0"/>
          <w:numId w:val="32"/>
        </w:numPr>
        <w:spacing w:after="120"/>
        <w:jc w:val="both"/>
        <w:rPr>
          <w:rFonts w:ascii="Times New Roman" w:hAnsi="Times New Roman"/>
          <w:sz w:val="24"/>
          <w:szCs w:val="24"/>
          <w:lang w:val="lv-LV"/>
        </w:rPr>
      </w:pPr>
      <w:r w:rsidRPr="00847710">
        <w:rPr>
          <w:rFonts w:ascii="Times New Roman" w:hAnsi="Times New Roman"/>
          <w:sz w:val="24"/>
          <w:szCs w:val="24"/>
          <w:lang w:val="lv-LV"/>
        </w:rPr>
        <w:t>Hroniska obstruktīva plaušu slimība</w:t>
      </w:r>
    </w:p>
    <w:p w14:paraId="796AE7BF" w14:textId="77777777" w:rsidR="007123E1" w:rsidRPr="00847710" w:rsidRDefault="007123E1" w:rsidP="007123E1">
      <w:pPr>
        <w:pStyle w:val="ListParagraph"/>
        <w:numPr>
          <w:ilvl w:val="0"/>
          <w:numId w:val="32"/>
        </w:numPr>
        <w:spacing w:after="120"/>
        <w:jc w:val="both"/>
        <w:rPr>
          <w:rFonts w:ascii="Times New Roman" w:hAnsi="Times New Roman"/>
          <w:sz w:val="24"/>
          <w:szCs w:val="24"/>
          <w:lang w:val="lv-LV"/>
        </w:rPr>
      </w:pPr>
      <w:r w:rsidRPr="00847710">
        <w:rPr>
          <w:rFonts w:ascii="Times New Roman" w:hAnsi="Times New Roman"/>
          <w:sz w:val="24"/>
          <w:szCs w:val="24"/>
          <w:lang w:val="lv-LV"/>
        </w:rPr>
        <w:t>Hroniska elpošanas mazspēja</w:t>
      </w:r>
    </w:p>
    <w:p w14:paraId="15498B7E" w14:textId="77777777" w:rsidR="007123E1" w:rsidRPr="00847710" w:rsidRDefault="007123E1" w:rsidP="007123E1">
      <w:pPr>
        <w:pStyle w:val="ListParagraph"/>
        <w:numPr>
          <w:ilvl w:val="0"/>
          <w:numId w:val="32"/>
        </w:numPr>
        <w:spacing w:after="120"/>
        <w:jc w:val="both"/>
        <w:rPr>
          <w:rFonts w:ascii="Times New Roman" w:hAnsi="Times New Roman"/>
          <w:sz w:val="24"/>
          <w:szCs w:val="24"/>
          <w:lang w:val="lv-LV"/>
        </w:rPr>
      </w:pPr>
      <w:r w:rsidRPr="00847710">
        <w:rPr>
          <w:rFonts w:ascii="Times New Roman" w:hAnsi="Times New Roman"/>
          <w:sz w:val="24"/>
          <w:szCs w:val="24"/>
          <w:lang w:val="lv-LV"/>
        </w:rPr>
        <w:t>Skeleta, muskuļu un saistaudu hroniskas saslimšanas/ Spondiloze</w:t>
      </w:r>
    </w:p>
    <w:p w14:paraId="4179130D" w14:textId="77777777" w:rsidR="007123E1" w:rsidRPr="00847710" w:rsidRDefault="007123E1" w:rsidP="007123E1">
      <w:pPr>
        <w:pStyle w:val="ListParagraph"/>
        <w:numPr>
          <w:ilvl w:val="0"/>
          <w:numId w:val="32"/>
        </w:numPr>
        <w:spacing w:after="120"/>
        <w:jc w:val="both"/>
        <w:rPr>
          <w:rFonts w:ascii="Times New Roman" w:hAnsi="Times New Roman"/>
          <w:sz w:val="24"/>
          <w:szCs w:val="24"/>
          <w:lang w:val="lv-LV"/>
        </w:rPr>
      </w:pPr>
      <w:r w:rsidRPr="00847710">
        <w:rPr>
          <w:rFonts w:ascii="Times New Roman" w:hAnsi="Times New Roman"/>
          <w:sz w:val="24"/>
          <w:szCs w:val="24"/>
          <w:lang w:val="lv-LV"/>
        </w:rPr>
        <w:t>Onkoloģisko pacientu aprūpe ar precizētu morfoloģiju u.c. hronisko pacientu aprūpes diagnozes</w:t>
      </w:r>
    </w:p>
    <w:p w14:paraId="193214E0" w14:textId="77777777" w:rsidR="007123E1" w:rsidRPr="00847710" w:rsidRDefault="007123E1" w:rsidP="007123E1">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Hronisko pacientu aprūpes pakalpojumu saņemšanai pacienti no augstāka līmeņa  slimnīcas ar ārstējoša ārsta nosūtījumu tiks nosūtīti pēc akūtā perioda un atbilstošas palīdzības saņemšanas pēc smagām saslimšanām -insultiem, ķirurģiskajām manipulācijām, traumām u.c., tajā skaitā onkoloģiskie pacienti ar precizētu diagnozi, kuriem nozīmēta atbilstoša terapija un intensīva ķirurģiska un cita veida ārstēšana vairs nav iespējama.</w:t>
      </w:r>
    </w:p>
    <w:p w14:paraId="31579D9B" w14:textId="77777777" w:rsidR="007123E1" w:rsidRPr="00847710" w:rsidRDefault="007123E1" w:rsidP="007123E1">
      <w:pPr>
        <w:spacing w:after="120"/>
        <w:ind w:firstLine="720"/>
        <w:jc w:val="both"/>
        <w:rPr>
          <w:rFonts w:ascii="Times New Roman" w:eastAsia="Times New Roman" w:hAnsi="Times New Roman" w:cs="Times New Roman"/>
          <w:sz w:val="24"/>
          <w:szCs w:val="24"/>
          <w:lang w:eastAsia="lv-LV"/>
        </w:rPr>
      </w:pPr>
      <w:r w:rsidRPr="00847710">
        <w:rPr>
          <w:rFonts w:ascii="Times New Roman" w:hAnsi="Times New Roman" w:cs="Times New Roman"/>
          <w:sz w:val="24"/>
          <w:szCs w:val="24"/>
        </w:rPr>
        <w:t>Neatliekamās medicīniskās palīdzības dienests I līmeņa slimnīcā pacientus nogādās, piemēram,</w:t>
      </w:r>
      <w:r w:rsidRPr="00847710">
        <w:rPr>
          <w:rFonts w:ascii="Times New Roman" w:eastAsia="Times New Roman" w:hAnsi="Times New Roman" w:cs="Times New Roman"/>
          <w:sz w:val="24"/>
          <w:szCs w:val="24"/>
          <w:lang w:eastAsia="lv-LV"/>
        </w:rPr>
        <w:t xml:space="preserve"> pie šādām saslimšanām un stāvokļiem tālākai diagnozes precizēšanai, stāvokļa stabilizācijai un atbilstošas terapijas noteikšanai:</w:t>
      </w:r>
    </w:p>
    <w:p w14:paraId="0946210C"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lastRenderedPageBreak/>
        <w:t xml:space="preserve">primārā un sekundāra hipertensija, hipertensīvā slimība, t.sk. ar steidzami kupējamu hipertensīvo krīzi (kupētu); </w:t>
      </w:r>
    </w:p>
    <w:p w14:paraId="626E85C0"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hroniska sirds išēmiskā saslimšana, tajā skaitā, mirdzaritmijas pastāvīga forma, kardiomiopātija, dekompensēta hroniska sirds mazspēja ar kupētu kardiālās astmas lēkmi, kupētu plaušu tūsku;</w:t>
      </w:r>
    </w:p>
    <w:p w14:paraId="450E0006"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akūtas augšējo elpceļu infekcijas ar mono vai multiplu lokalizāciju;</w:t>
      </w:r>
    </w:p>
    <w:p w14:paraId="4523C7E3"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akūta angīna, traheīts, bronhīts, iespējama pneimonija;</w:t>
      </w:r>
    </w:p>
    <w:p w14:paraId="08B823EA"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57326167">
        <w:rPr>
          <w:rFonts w:ascii="Times New Roman" w:eastAsia="Times New Roman" w:hAnsi="Times New Roman"/>
          <w:i/>
          <w:iCs/>
          <w:sz w:val="24"/>
          <w:szCs w:val="24"/>
          <w:lang w:val="lv-LV" w:eastAsia="lv-LV"/>
        </w:rPr>
        <w:t>herpes zoster</w:t>
      </w:r>
      <w:r w:rsidRPr="00847710">
        <w:rPr>
          <w:rFonts w:ascii="Times New Roman" w:eastAsia="Times New Roman" w:hAnsi="Times New Roman"/>
          <w:sz w:val="24"/>
          <w:szCs w:val="24"/>
          <w:lang w:val="lv-LV" w:eastAsia="lv-LV"/>
        </w:rPr>
        <w:t>;</w:t>
      </w:r>
    </w:p>
    <w:p w14:paraId="1B467052"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limfadenīts;</w:t>
      </w:r>
    </w:p>
    <w:p w14:paraId="784FC8FC"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HOPS paasinājuma fāzē;</w:t>
      </w:r>
    </w:p>
    <w:p w14:paraId="27DE6B87"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 bronhiālās astmas paasinājums ar vieglu vai vidēji smagu lēkmi - “kupēšanai” vai pēc lēkmes “kupēšanas”; </w:t>
      </w:r>
    </w:p>
    <w:p w14:paraId="1ACFD6D0"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insulīnatkarīgs un insulīnneatkarīgs cukura diabēts, kad nepieciešama cukura līmeņa korekcija;</w:t>
      </w:r>
    </w:p>
    <w:p w14:paraId="3270A8F4"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diagnosticēta migrēna;</w:t>
      </w:r>
    </w:p>
    <w:p w14:paraId="270E65BE"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epilepsija (pēc kupētas lēkmes);</w:t>
      </w:r>
    </w:p>
    <w:p w14:paraId="6E620057"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polineiropātijas;</w:t>
      </w:r>
    </w:p>
    <w:p w14:paraId="40B3ED09"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alerģiskas reakcijas, t.sk. diseminēta nātrene;</w:t>
      </w:r>
    </w:p>
    <w:p w14:paraId="51994D9B"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ģībonis, kolapss;</w:t>
      </w:r>
    </w:p>
    <w:p w14:paraId="01431D43"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artrīti, artropātijas, podagra; </w:t>
      </w:r>
    </w:p>
    <w:p w14:paraId="06C640AD"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trike/>
          <w:sz w:val="24"/>
          <w:szCs w:val="24"/>
          <w:lang w:val="lv-LV" w:eastAsia="lv-LV"/>
        </w:rPr>
      </w:pPr>
      <w:r w:rsidRPr="00847710">
        <w:rPr>
          <w:rFonts w:ascii="Times New Roman" w:eastAsia="Times New Roman" w:hAnsi="Times New Roman"/>
          <w:sz w:val="24"/>
          <w:szCs w:val="24"/>
          <w:lang w:val="lv-LV" w:eastAsia="lv-LV"/>
        </w:rPr>
        <w:t>spondiloze ar radikulopātiju;</w:t>
      </w:r>
    </w:p>
    <w:p w14:paraId="7EABDC33"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atopiskais dermatīts (neirodermīts), alerģisks kontaktdermatīts, </w:t>
      </w:r>
    </w:p>
    <w:p w14:paraId="20E54847"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urīnceļu infekcija;</w:t>
      </w:r>
    </w:p>
    <w:p w14:paraId="1712912E"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jebkuras lokalizācijas ļaundabīgs audzējs, pacienta tālākai ārstēšanai, kad nav iespējams nodrošināt atbilstošu veselības aprūpi pacienta mājās (dzīvesvietā);</w:t>
      </w:r>
    </w:p>
    <w:p w14:paraId="3E584CD4" w14:textId="77777777" w:rsidR="007123E1" w:rsidRPr="00847710" w:rsidRDefault="007123E1" w:rsidP="007123E1">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vaskulāra demence, smadzeņu ateroskleroze, hroniska smadzeņu išēmija, cerebrovaskulāru slimību sekas;</w:t>
      </w:r>
    </w:p>
    <w:p w14:paraId="3B1A4A64" w14:textId="77777777" w:rsidR="00847710" w:rsidRPr="00847710" w:rsidRDefault="007123E1" w:rsidP="00847710">
      <w:pPr>
        <w:pStyle w:val="ListParagraph"/>
        <w:numPr>
          <w:ilvl w:val="1"/>
          <w:numId w:val="33"/>
        </w:numPr>
        <w:spacing w:after="0" w:line="240" w:lineRule="auto"/>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pēctraumatiska, hronis</w:t>
      </w:r>
      <w:r w:rsidR="00847710" w:rsidRPr="00847710">
        <w:rPr>
          <w:rFonts w:ascii="Times New Roman" w:eastAsia="Times New Roman" w:hAnsi="Times New Roman"/>
          <w:sz w:val="24"/>
          <w:szCs w:val="24"/>
          <w:lang w:val="lv-LV" w:eastAsia="lv-LV"/>
        </w:rPr>
        <w:t>ka toksiska encefalopātija u.c.</w:t>
      </w:r>
    </w:p>
    <w:p w14:paraId="28A2A155" w14:textId="63793737" w:rsidR="007123E1" w:rsidRPr="00847710" w:rsidRDefault="5A068AEE" w:rsidP="00847710">
      <w:pPr>
        <w:spacing w:after="0" w:line="240" w:lineRule="auto"/>
        <w:jc w:val="right"/>
        <w:rPr>
          <w:rFonts w:ascii="Times New Roman" w:eastAsia="Times New Roman" w:hAnsi="Times New Roman"/>
          <w:sz w:val="24"/>
          <w:szCs w:val="24"/>
          <w:lang w:eastAsia="lv-LV"/>
        </w:rPr>
      </w:pPr>
      <w:r w:rsidRPr="57326167">
        <w:rPr>
          <w:rFonts w:ascii="Times New Roman" w:hAnsi="Times New Roman"/>
          <w:i/>
          <w:iCs/>
          <w:sz w:val="24"/>
          <w:szCs w:val="24"/>
        </w:rPr>
        <w:t>3</w:t>
      </w:r>
      <w:r w:rsidR="007123E1" w:rsidRPr="57326167">
        <w:rPr>
          <w:rFonts w:ascii="Times New Roman" w:hAnsi="Times New Roman"/>
          <w:i/>
          <w:iCs/>
          <w:sz w:val="24"/>
          <w:szCs w:val="24"/>
        </w:rPr>
        <w:t xml:space="preserve">.attēls </w:t>
      </w:r>
    </w:p>
    <w:p w14:paraId="0213FE11" w14:textId="197D32B8" w:rsidR="007123E1" w:rsidRPr="00847710" w:rsidRDefault="007123E1" w:rsidP="007123E1">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Hronisko pacientu plūsmas modelis</w:t>
      </w:r>
    </w:p>
    <w:p w14:paraId="649BA5DD" w14:textId="77777777" w:rsidR="007123E1" w:rsidRPr="00847710" w:rsidRDefault="007123E1" w:rsidP="007123E1">
      <w:pPr>
        <w:spacing w:after="120"/>
        <w:ind w:firstLine="720"/>
        <w:jc w:val="both"/>
        <w:rPr>
          <w:rFonts w:ascii="Times New Roman" w:hAnsi="Times New Roman" w:cs="Times New Roman"/>
          <w:sz w:val="24"/>
          <w:szCs w:val="24"/>
        </w:rPr>
      </w:pPr>
    </w:p>
    <w:p w14:paraId="4236F124" w14:textId="77777777" w:rsidR="007123E1" w:rsidRPr="00847710" w:rsidRDefault="007123E1" w:rsidP="007123E1">
      <w:pPr>
        <w:spacing w:after="120"/>
        <w:ind w:firstLine="720"/>
        <w:jc w:val="both"/>
        <w:rPr>
          <w:rFonts w:ascii="Times New Roman" w:hAnsi="Times New Roman" w:cs="Times New Roman"/>
          <w:sz w:val="24"/>
          <w:szCs w:val="24"/>
        </w:rPr>
      </w:pPr>
      <w:r w:rsidRPr="00847710">
        <w:rPr>
          <w:rFonts w:ascii="Times New Roman" w:hAnsi="Times New Roman" w:cs="Times New Roman"/>
          <w:noProof/>
        </w:rPr>
        <w:lastRenderedPageBreak/>
        <w:drawing>
          <wp:inline distT="0" distB="0" distL="0" distR="0" wp14:anchorId="0DA64EED" wp14:editId="402E864E">
            <wp:extent cx="4810836" cy="2645600"/>
            <wp:effectExtent l="0" t="0" r="8890" b="2540"/>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4590" cy="2658663"/>
                    </a:xfrm>
                    <a:prstGeom prst="rect">
                      <a:avLst/>
                    </a:prstGeom>
                    <a:noFill/>
                  </pic:spPr>
                </pic:pic>
              </a:graphicData>
            </a:graphic>
          </wp:inline>
        </w:drawing>
      </w:r>
    </w:p>
    <w:p w14:paraId="50CDD475" w14:textId="77777777" w:rsidR="007123E1" w:rsidRPr="00847710" w:rsidRDefault="007123E1" w:rsidP="007123E1">
      <w:pPr>
        <w:spacing w:after="120"/>
        <w:ind w:firstLine="720"/>
        <w:jc w:val="both"/>
        <w:rPr>
          <w:rFonts w:ascii="Times New Roman" w:hAnsi="Times New Roman" w:cs="Times New Roman"/>
          <w:sz w:val="24"/>
          <w:szCs w:val="24"/>
        </w:rPr>
      </w:pPr>
    </w:p>
    <w:p w14:paraId="637ECBCF" w14:textId="72870EC4" w:rsidR="00310818" w:rsidRPr="00847710" w:rsidRDefault="007123E1" w:rsidP="007123E1">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Kopumā reformas nodrošināšanai nepieciešams finansējums </w:t>
      </w:r>
      <w:r w:rsidR="0031576F" w:rsidRPr="00847710">
        <w:rPr>
          <w:rFonts w:ascii="Times New Roman" w:hAnsi="Times New Roman" w:cs="Times New Roman"/>
          <w:sz w:val="24"/>
          <w:szCs w:val="24"/>
        </w:rPr>
        <w:t>1</w:t>
      </w:r>
      <w:r w:rsidR="002D2E4C" w:rsidRPr="00847710">
        <w:rPr>
          <w:rFonts w:ascii="Times New Roman" w:hAnsi="Times New Roman" w:cs="Times New Roman"/>
          <w:sz w:val="24"/>
          <w:szCs w:val="24"/>
        </w:rPr>
        <w:t>0</w:t>
      </w:r>
      <w:r w:rsidRPr="00847710">
        <w:rPr>
          <w:rFonts w:ascii="Times New Roman" w:hAnsi="Times New Roman" w:cs="Times New Roman"/>
          <w:sz w:val="24"/>
          <w:szCs w:val="24"/>
        </w:rPr>
        <w:t> </w:t>
      </w:r>
      <w:r w:rsidR="002D2E4C" w:rsidRPr="00847710">
        <w:rPr>
          <w:rFonts w:ascii="Times New Roman" w:hAnsi="Times New Roman" w:cs="Times New Roman"/>
          <w:sz w:val="24"/>
          <w:szCs w:val="24"/>
        </w:rPr>
        <w:t>995</w:t>
      </w:r>
      <w:r w:rsidRPr="00847710">
        <w:rPr>
          <w:rFonts w:ascii="Times New Roman" w:hAnsi="Times New Roman" w:cs="Times New Roman"/>
          <w:sz w:val="24"/>
          <w:szCs w:val="24"/>
        </w:rPr>
        <w:t> </w:t>
      </w:r>
      <w:r w:rsidR="002D2E4C" w:rsidRPr="00847710">
        <w:rPr>
          <w:rFonts w:ascii="Times New Roman" w:hAnsi="Times New Roman" w:cs="Times New Roman"/>
          <w:sz w:val="24"/>
          <w:szCs w:val="24"/>
        </w:rPr>
        <w:t>930</w:t>
      </w:r>
      <w:r w:rsidRPr="00847710">
        <w:rPr>
          <w:rFonts w:ascii="Times New Roman" w:hAnsi="Times New Roman" w:cs="Times New Roman"/>
          <w:sz w:val="24"/>
          <w:szCs w:val="24"/>
        </w:rPr>
        <w:t xml:space="preserve"> euro apmērā, nodrošinot 33 000 stacionēšanas gadījum</w:t>
      </w:r>
      <w:r w:rsidR="004B479B" w:rsidRPr="00847710">
        <w:rPr>
          <w:rFonts w:ascii="Times New Roman" w:hAnsi="Times New Roman" w:cs="Times New Roman"/>
          <w:sz w:val="24"/>
          <w:szCs w:val="24"/>
        </w:rPr>
        <w:t>u</w:t>
      </w:r>
      <w:r w:rsidRPr="00847710">
        <w:rPr>
          <w:rFonts w:ascii="Times New Roman" w:hAnsi="Times New Roman" w:cs="Times New Roman"/>
          <w:sz w:val="24"/>
          <w:szCs w:val="24"/>
        </w:rPr>
        <w:t>s gadā</w:t>
      </w:r>
      <w:r w:rsidR="00267C75">
        <w:rPr>
          <w:rStyle w:val="FootnoteReference"/>
          <w:rFonts w:ascii="Times New Roman" w:hAnsi="Times New Roman" w:cs="Times New Roman"/>
          <w:sz w:val="24"/>
          <w:szCs w:val="24"/>
        </w:rPr>
        <w:footnoteReference w:id="26"/>
      </w:r>
      <w:r w:rsidRPr="00847710">
        <w:rPr>
          <w:rFonts w:ascii="Times New Roman" w:hAnsi="Times New Roman" w:cs="Times New Roman"/>
          <w:sz w:val="24"/>
          <w:szCs w:val="24"/>
        </w:rPr>
        <w:t xml:space="preserve"> ar vidējo </w:t>
      </w:r>
      <w:r w:rsidR="004B479B" w:rsidRPr="00847710">
        <w:rPr>
          <w:rFonts w:ascii="Times New Roman" w:hAnsi="Times New Roman" w:cs="Times New Roman"/>
          <w:sz w:val="24"/>
          <w:szCs w:val="24"/>
        </w:rPr>
        <w:t>gadījuma</w:t>
      </w:r>
      <w:r w:rsidRPr="00847710">
        <w:rPr>
          <w:rFonts w:ascii="Times New Roman" w:hAnsi="Times New Roman" w:cs="Times New Roman"/>
          <w:sz w:val="24"/>
          <w:szCs w:val="24"/>
        </w:rPr>
        <w:t xml:space="preserve"> izmaksu </w:t>
      </w:r>
      <w:r w:rsidR="00556E14" w:rsidRPr="00847710">
        <w:rPr>
          <w:rFonts w:ascii="Times New Roman" w:hAnsi="Times New Roman" w:cs="Times New Roman"/>
          <w:sz w:val="24"/>
          <w:szCs w:val="24"/>
        </w:rPr>
        <w:t>33</w:t>
      </w:r>
      <w:r w:rsidR="00307DFA" w:rsidRPr="00847710">
        <w:rPr>
          <w:rFonts w:ascii="Times New Roman" w:hAnsi="Times New Roman" w:cs="Times New Roman"/>
          <w:sz w:val="24"/>
          <w:szCs w:val="24"/>
        </w:rPr>
        <w:t>3</w:t>
      </w:r>
      <w:r w:rsidRPr="00847710">
        <w:rPr>
          <w:rFonts w:ascii="Times New Roman" w:hAnsi="Times New Roman" w:cs="Times New Roman"/>
          <w:sz w:val="24"/>
          <w:szCs w:val="24"/>
        </w:rPr>
        <w:t>,</w:t>
      </w:r>
      <w:r w:rsidR="002D2E4C" w:rsidRPr="00847710">
        <w:rPr>
          <w:rFonts w:ascii="Times New Roman" w:hAnsi="Times New Roman" w:cs="Times New Roman"/>
          <w:sz w:val="24"/>
          <w:szCs w:val="24"/>
        </w:rPr>
        <w:t>21</w:t>
      </w:r>
      <w:r w:rsidRPr="00847710">
        <w:rPr>
          <w:rFonts w:ascii="Times New Roman" w:hAnsi="Times New Roman" w:cs="Times New Roman"/>
          <w:sz w:val="24"/>
          <w:szCs w:val="24"/>
        </w:rPr>
        <w:t xml:space="preserve"> euro apmērā.</w:t>
      </w:r>
    </w:p>
    <w:p w14:paraId="183413CF" w14:textId="03D7222B" w:rsidR="00310818" w:rsidRPr="00C86312" w:rsidRDefault="00310818">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86477B">
        <w:rPr>
          <w:rFonts w:ascii="Times New Roman" w:hAnsi="Times New Roman" w:cs="Times New Roman"/>
          <w:i/>
          <w:iCs/>
          <w:sz w:val="24"/>
          <w:szCs w:val="24"/>
        </w:rPr>
        <w:t>5</w:t>
      </w:r>
      <w:r w:rsidRPr="57326167">
        <w:rPr>
          <w:rFonts w:ascii="Times New Roman" w:hAnsi="Times New Roman" w:cs="Times New Roman"/>
          <w:i/>
          <w:iCs/>
          <w:sz w:val="24"/>
          <w:szCs w:val="24"/>
        </w:rPr>
        <w:t xml:space="preserve">.tabula </w:t>
      </w:r>
    </w:p>
    <w:p w14:paraId="20E8B123" w14:textId="1DDCF4C8" w:rsidR="00310818" w:rsidRPr="00847710" w:rsidRDefault="00310818" w:rsidP="00310818">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Hronisko pacientu aprūpes reformai nepieciešamais finansējums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565"/>
        <w:gridCol w:w="992"/>
        <w:gridCol w:w="992"/>
        <w:gridCol w:w="1418"/>
        <w:gridCol w:w="992"/>
        <w:gridCol w:w="992"/>
        <w:gridCol w:w="1701"/>
      </w:tblGrid>
      <w:tr w:rsidR="00310818" w:rsidRPr="00847710" w14:paraId="24BF1EEC" w14:textId="77777777" w:rsidTr="00C86312">
        <w:trPr>
          <w:cantSplit/>
          <w:trHeight w:val="1656"/>
          <w:jc w:val="center"/>
        </w:trPr>
        <w:tc>
          <w:tcPr>
            <w:tcW w:w="1554" w:type="dxa"/>
            <w:shd w:val="clear" w:color="auto" w:fill="E36C0A" w:themeFill="accent6" w:themeFillShade="BF"/>
            <w:vAlign w:val="center"/>
            <w:hideMark/>
          </w:tcPr>
          <w:p w14:paraId="19E04364" w14:textId="77777777" w:rsidR="00310818" w:rsidRPr="00847710" w:rsidRDefault="00310818" w:rsidP="00B8551A">
            <w:pPr>
              <w:spacing w:after="0" w:line="240" w:lineRule="auto"/>
              <w:rPr>
                <w:rFonts w:ascii="Times New Roman" w:eastAsia="Times New Roman" w:hAnsi="Times New Roman" w:cs="Times New Roman"/>
                <w:b/>
                <w:sz w:val="20"/>
                <w:szCs w:val="20"/>
                <w:lang w:eastAsia="lv-LV"/>
              </w:rPr>
            </w:pPr>
          </w:p>
        </w:tc>
        <w:tc>
          <w:tcPr>
            <w:tcW w:w="1565" w:type="dxa"/>
            <w:shd w:val="clear" w:color="auto" w:fill="E36C0A" w:themeFill="accent6" w:themeFillShade="BF"/>
            <w:textDirection w:val="btLr"/>
            <w:vAlign w:val="center"/>
            <w:hideMark/>
          </w:tcPr>
          <w:p w14:paraId="4B86053B" w14:textId="77777777" w:rsidR="00310818" w:rsidRPr="00847710" w:rsidRDefault="00310818" w:rsidP="00B8551A">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6F838139" w14:textId="77777777" w:rsidR="00310818" w:rsidRPr="00847710" w:rsidRDefault="00310818" w:rsidP="00B8551A">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23014AEA" w14:textId="77777777" w:rsidR="00310818" w:rsidRPr="00847710" w:rsidRDefault="00310818" w:rsidP="00B8551A">
            <w:pPr>
              <w:spacing w:after="0" w:line="240" w:lineRule="auto"/>
              <w:ind w:left="113" w:right="113"/>
              <w:jc w:val="center"/>
              <w:rPr>
                <w:rFonts w:ascii="Times New Roman" w:eastAsia="Times New Roman" w:hAnsi="Times New Roman" w:cs="Times New Roman"/>
                <w:b/>
                <w:bCs/>
                <w:sz w:val="20"/>
                <w:szCs w:val="20"/>
                <w:lang w:eastAsia="lv-LV"/>
              </w:rPr>
            </w:pPr>
          </w:p>
        </w:tc>
        <w:tc>
          <w:tcPr>
            <w:tcW w:w="1984" w:type="dxa"/>
            <w:gridSpan w:val="2"/>
            <w:shd w:val="clear" w:color="auto" w:fill="E36C0A" w:themeFill="accent6" w:themeFillShade="BF"/>
            <w:textDirection w:val="btLr"/>
            <w:vAlign w:val="center"/>
            <w:hideMark/>
          </w:tcPr>
          <w:p w14:paraId="03A3B95F" w14:textId="77777777" w:rsidR="00310818" w:rsidRPr="00847710" w:rsidRDefault="00310818" w:rsidP="00B8551A">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418" w:type="dxa"/>
            <w:shd w:val="clear" w:color="auto" w:fill="E36C0A" w:themeFill="accent6" w:themeFillShade="BF"/>
            <w:textDirection w:val="btLr"/>
            <w:vAlign w:val="center"/>
            <w:hideMark/>
          </w:tcPr>
          <w:p w14:paraId="3B0B1421" w14:textId="77777777" w:rsidR="00310818" w:rsidRPr="00847710" w:rsidRDefault="00310818" w:rsidP="00B8551A">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1984" w:type="dxa"/>
            <w:gridSpan w:val="2"/>
            <w:shd w:val="clear" w:color="auto" w:fill="E36C0A" w:themeFill="accent6" w:themeFillShade="BF"/>
            <w:textDirection w:val="btLr"/>
            <w:vAlign w:val="center"/>
          </w:tcPr>
          <w:p w14:paraId="33100CAE" w14:textId="77777777" w:rsidR="00310818" w:rsidRPr="00847710" w:rsidRDefault="00310818" w:rsidP="00B8551A">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701" w:type="dxa"/>
            <w:shd w:val="clear" w:color="auto" w:fill="E36C0A" w:themeFill="accent6" w:themeFillShade="BF"/>
            <w:textDirection w:val="btLr"/>
            <w:vAlign w:val="center"/>
            <w:hideMark/>
          </w:tcPr>
          <w:p w14:paraId="09C34F1F" w14:textId="77777777" w:rsidR="00310818" w:rsidRPr="00847710" w:rsidRDefault="00310818" w:rsidP="00B8551A">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FB6C80" w:rsidRPr="00847710" w14:paraId="5FAECAE7" w14:textId="77777777" w:rsidTr="00C86312">
        <w:trPr>
          <w:trHeight w:val="640"/>
          <w:jc w:val="center"/>
        </w:trPr>
        <w:tc>
          <w:tcPr>
            <w:tcW w:w="1554" w:type="dxa"/>
            <w:shd w:val="clear" w:color="auto" w:fill="FABF8F" w:themeFill="accent6" w:themeFillTint="99"/>
            <w:vAlign w:val="center"/>
          </w:tcPr>
          <w:p w14:paraId="53120239" w14:textId="77777777" w:rsidR="00310818" w:rsidRPr="00847710" w:rsidRDefault="00310818" w:rsidP="00B8551A">
            <w:pPr>
              <w:spacing w:after="0" w:line="240" w:lineRule="auto"/>
              <w:jc w:val="center"/>
              <w:rPr>
                <w:rFonts w:ascii="Times New Roman" w:eastAsia="Times New Roman" w:hAnsi="Times New Roman" w:cs="Times New Roman"/>
                <w:b/>
                <w:sz w:val="20"/>
                <w:szCs w:val="20"/>
                <w:lang w:eastAsia="lv-LV"/>
              </w:rPr>
            </w:pPr>
          </w:p>
        </w:tc>
        <w:tc>
          <w:tcPr>
            <w:tcW w:w="1565" w:type="dxa"/>
            <w:shd w:val="clear" w:color="auto" w:fill="FABF8F" w:themeFill="accent6" w:themeFillTint="99"/>
            <w:vAlign w:val="center"/>
          </w:tcPr>
          <w:p w14:paraId="74EC3146" w14:textId="77777777" w:rsidR="00310818" w:rsidRPr="00847710" w:rsidRDefault="00310818" w:rsidP="00B8551A">
            <w:pPr>
              <w:spacing w:after="0" w:line="240" w:lineRule="auto"/>
              <w:jc w:val="center"/>
              <w:rPr>
                <w:rFonts w:ascii="Times New Roman" w:eastAsia="Times New Roman" w:hAnsi="Times New Roman" w:cs="Times New Roman"/>
                <w:i/>
                <w:iCs/>
                <w:sz w:val="20"/>
                <w:szCs w:val="20"/>
                <w:lang w:eastAsia="lv-LV"/>
              </w:rPr>
            </w:pPr>
          </w:p>
          <w:p w14:paraId="242B5234" w14:textId="77777777" w:rsidR="00310818" w:rsidRPr="00847710" w:rsidRDefault="00310818" w:rsidP="00B8551A">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shd w:val="clear" w:color="auto" w:fill="FABF8F" w:themeFill="accent6" w:themeFillTint="99"/>
            <w:vAlign w:val="center"/>
          </w:tcPr>
          <w:p w14:paraId="2CFD4D77" w14:textId="77777777" w:rsidR="00310818" w:rsidRPr="00847710" w:rsidRDefault="00310818" w:rsidP="00B8551A">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14:paraId="0C918708" w14:textId="77777777" w:rsidR="00310818" w:rsidRPr="00847710" w:rsidRDefault="00310818" w:rsidP="00B8551A">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shd w:val="clear" w:color="auto" w:fill="FABF8F" w:themeFill="accent6" w:themeFillTint="99"/>
            <w:vAlign w:val="center"/>
          </w:tcPr>
          <w:p w14:paraId="45F5E53E" w14:textId="77777777" w:rsidR="00310818" w:rsidRPr="00847710" w:rsidRDefault="00310818" w:rsidP="00B8551A">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14:paraId="0568633A" w14:textId="77777777" w:rsidR="00310818" w:rsidRPr="00847710" w:rsidRDefault="00310818" w:rsidP="00B8551A">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418" w:type="dxa"/>
            <w:shd w:val="clear" w:color="auto" w:fill="FABF8F" w:themeFill="accent6" w:themeFillTint="99"/>
            <w:vAlign w:val="center"/>
          </w:tcPr>
          <w:p w14:paraId="10B36A89" w14:textId="77777777" w:rsidR="00310818" w:rsidRPr="00847710" w:rsidRDefault="00310818" w:rsidP="00B8551A">
            <w:pPr>
              <w:spacing w:after="0" w:line="240" w:lineRule="auto"/>
              <w:jc w:val="center"/>
              <w:rPr>
                <w:rFonts w:ascii="Times New Roman" w:eastAsia="Times New Roman" w:hAnsi="Times New Roman" w:cs="Times New Roman"/>
                <w:bCs/>
                <w:i/>
                <w:iCs/>
                <w:sz w:val="20"/>
                <w:szCs w:val="20"/>
                <w:lang w:eastAsia="lv-LV"/>
              </w:rPr>
            </w:pPr>
          </w:p>
          <w:p w14:paraId="4E0AC1AA" w14:textId="77777777" w:rsidR="00310818" w:rsidRPr="00C86312" w:rsidRDefault="00310818" w:rsidP="00C8631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shd w:val="clear" w:color="auto" w:fill="FABF8F" w:themeFill="accent6" w:themeFillTint="99"/>
            <w:vAlign w:val="center"/>
          </w:tcPr>
          <w:p w14:paraId="0DB483EF" w14:textId="77777777" w:rsidR="00310818" w:rsidRPr="00847710" w:rsidRDefault="00310818" w:rsidP="00B8551A">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992" w:type="dxa"/>
            <w:shd w:val="clear" w:color="auto" w:fill="FABF8F" w:themeFill="accent6" w:themeFillTint="99"/>
            <w:vAlign w:val="center"/>
          </w:tcPr>
          <w:p w14:paraId="61360DE3" w14:textId="77777777" w:rsidR="00310818" w:rsidRPr="00847710" w:rsidRDefault="00310818" w:rsidP="00B8551A">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701" w:type="dxa"/>
            <w:shd w:val="clear" w:color="auto" w:fill="FABF8F" w:themeFill="accent6" w:themeFillTint="99"/>
            <w:vAlign w:val="center"/>
          </w:tcPr>
          <w:p w14:paraId="71BFA1CB" w14:textId="77777777" w:rsidR="00310818" w:rsidRPr="00847710" w:rsidRDefault="00310818" w:rsidP="00B8551A">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rsidR="00937D3B" w:rsidRPr="00847710" w14:paraId="19F5DC49" w14:textId="77777777" w:rsidTr="00C86312">
        <w:trPr>
          <w:trHeight w:val="525"/>
          <w:jc w:val="center"/>
        </w:trPr>
        <w:tc>
          <w:tcPr>
            <w:tcW w:w="15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AAD7F5" w14:textId="344B6862" w:rsidR="00310818" w:rsidRPr="00847710" w:rsidRDefault="00056F80" w:rsidP="00B8551A">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Hronisko pacientu aprūpe</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BBC40" w14:textId="7C50D7C0" w:rsidR="00310818" w:rsidRPr="00847710" w:rsidRDefault="00556E14" w:rsidP="00B8551A">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33</w:t>
            </w:r>
            <w:r w:rsidR="00D0116D" w:rsidRPr="00847710">
              <w:rPr>
                <w:rFonts w:ascii="Times New Roman" w:hAnsi="Times New Roman" w:cs="Times New Roman"/>
                <w:sz w:val="20"/>
                <w:szCs w:val="20"/>
              </w:rPr>
              <w:t>3</w:t>
            </w:r>
            <w:r w:rsidRPr="00847710">
              <w:rPr>
                <w:rFonts w:ascii="Times New Roman" w:hAnsi="Times New Roman" w:cs="Times New Roman"/>
                <w:sz w:val="20"/>
                <w:szCs w:val="20"/>
              </w:rPr>
              <w:t>,</w:t>
            </w:r>
            <w:r w:rsidR="002D2E4C" w:rsidRPr="00847710">
              <w:rPr>
                <w:rFonts w:ascii="Times New Roman" w:hAnsi="Times New Roman" w:cs="Times New Roman"/>
                <w:sz w:val="20"/>
                <w:szCs w:val="20"/>
              </w:rPr>
              <w:t>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1D2D1" w14:textId="77777777" w:rsidR="00310818" w:rsidRPr="00847710" w:rsidRDefault="00310818" w:rsidP="00B8551A">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18786" w14:textId="77777777" w:rsidR="00310818" w:rsidRPr="00847710" w:rsidRDefault="00310818" w:rsidP="00B8551A">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8F33A" w14:textId="0002BA3B" w:rsidR="00310818" w:rsidRPr="00847710" w:rsidRDefault="00556E14" w:rsidP="00B8551A">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w:t>
            </w:r>
            <w:r w:rsidR="002D2E4C" w:rsidRPr="00847710">
              <w:rPr>
                <w:rFonts w:ascii="Times New Roman" w:hAnsi="Times New Roman" w:cs="Times New Roman"/>
                <w:sz w:val="20"/>
                <w:szCs w:val="20"/>
              </w:rPr>
              <w:t>0</w:t>
            </w:r>
            <w:r w:rsidRPr="00847710">
              <w:rPr>
                <w:rFonts w:ascii="Times New Roman" w:hAnsi="Times New Roman" w:cs="Times New Roman"/>
                <w:sz w:val="20"/>
                <w:szCs w:val="20"/>
              </w:rPr>
              <w:t> </w:t>
            </w:r>
            <w:r w:rsidR="002D2E4C" w:rsidRPr="00847710">
              <w:rPr>
                <w:rFonts w:ascii="Times New Roman" w:hAnsi="Times New Roman" w:cs="Times New Roman"/>
                <w:sz w:val="20"/>
                <w:szCs w:val="20"/>
              </w:rPr>
              <w:t>995</w:t>
            </w:r>
            <w:r w:rsidRPr="00847710">
              <w:rPr>
                <w:rFonts w:ascii="Times New Roman" w:hAnsi="Times New Roman" w:cs="Times New Roman"/>
                <w:sz w:val="20"/>
                <w:szCs w:val="20"/>
              </w:rPr>
              <w:t xml:space="preserve"> </w:t>
            </w:r>
            <w:r w:rsidR="002D2E4C" w:rsidRPr="00847710">
              <w:rPr>
                <w:rFonts w:ascii="Times New Roman" w:hAnsi="Times New Roman" w:cs="Times New Roman"/>
                <w:sz w:val="20"/>
                <w:szCs w:val="20"/>
              </w:rPr>
              <w:t>930</w:t>
            </w:r>
          </w:p>
        </w:tc>
        <w:tc>
          <w:tcPr>
            <w:tcW w:w="992" w:type="dxa"/>
            <w:tcBorders>
              <w:top w:val="single" w:sz="4" w:space="0" w:color="auto"/>
              <w:left w:val="single" w:sz="4" w:space="0" w:color="auto"/>
              <w:bottom w:val="single" w:sz="4" w:space="0" w:color="auto"/>
              <w:right w:val="single" w:sz="4" w:space="0" w:color="auto"/>
            </w:tcBorders>
            <w:vAlign w:val="bottom"/>
          </w:tcPr>
          <w:p w14:paraId="10B7BFDB" w14:textId="77777777" w:rsidR="00310818" w:rsidRPr="00C86312" w:rsidRDefault="00310818" w:rsidP="00C86312">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bottom"/>
          </w:tcPr>
          <w:p w14:paraId="7447E87B" w14:textId="301287F1" w:rsidR="00310818" w:rsidRPr="00C86312" w:rsidRDefault="00056F80"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EB22B" w14:textId="32117C8B" w:rsidR="00310818" w:rsidRPr="00C86312" w:rsidRDefault="00056F80"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33 000</w:t>
            </w:r>
          </w:p>
        </w:tc>
      </w:tr>
      <w:tr w:rsidR="00FB6C80" w:rsidRPr="00847710" w14:paraId="58A5C9E3" w14:textId="77777777" w:rsidTr="00C86312">
        <w:trPr>
          <w:trHeight w:val="189"/>
          <w:jc w:val="center"/>
        </w:trPr>
        <w:tc>
          <w:tcPr>
            <w:tcW w:w="1554" w:type="dxa"/>
            <w:shd w:val="clear" w:color="auto" w:fill="FBD4B4" w:themeFill="accent6" w:themeFillTint="66"/>
            <w:noWrap/>
            <w:vAlign w:val="bottom"/>
            <w:hideMark/>
          </w:tcPr>
          <w:p w14:paraId="0810ACFF" w14:textId="77777777" w:rsidR="009F3712" w:rsidRPr="00847710" w:rsidRDefault="009F3712" w:rsidP="009F3712">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565" w:type="dxa"/>
            <w:shd w:val="clear" w:color="auto" w:fill="FBD4B4" w:themeFill="accent6" w:themeFillTint="66"/>
            <w:noWrap/>
            <w:vAlign w:val="bottom"/>
            <w:hideMark/>
          </w:tcPr>
          <w:p w14:paraId="02C96943" w14:textId="125F69D4" w:rsidR="009F3712" w:rsidRPr="00847710" w:rsidRDefault="00556E14" w:rsidP="009F3712">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33</w:t>
            </w:r>
            <w:r w:rsidR="00D0116D" w:rsidRPr="00847710">
              <w:rPr>
                <w:rFonts w:ascii="Times New Roman" w:hAnsi="Times New Roman" w:cs="Times New Roman"/>
                <w:sz w:val="20"/>
                <w:szCs w:val="20"/>
              </w:rPr>
              <w:t>3</w:t>
            </w:r>
            <w:r w:rsidRPr="00847710">
              <w:rPr>
                <w:rFonts w:ascii="Times New Roman" w:hAnsi="Times New Roman" w:cs="Times New Roman"/>
                <w:sz w:val="20"/>
                <w:szCs w:val="20"/>
              </w:rPr>
              <w:t>,</w:t>
            </w:r>
            <w:r w:rsidR="002D2E4C" w:rsidRPr="00847710">
              <w:rPr>
                <w:rFonts w:ascii="Times New Roman" w:hAnsi="Times New Roman" w:cs="Times New Roman"/>
                <w:sz w:val="20"/>
                <w:szCs w:val="20"/>
              </w:rPr>
              <w:t>21</w:t>
            </w:r>
          </w:p>
        </w:tc>
        <w:tc>
          <w:tcPr>
            <w:tcW w:w="992" w:type="dxa"/>
            <w:shd w:val="clear" w:color="auto" w:fill="FBD4B4" w:themeFill="accent6" w:themeFillTint="66"/>
            <w:noWrap/>
            <w:vAlign w:val="bottom"/>
            <w:hideMark/>
          </w:tcPr>
          <w:p w14:paraId="03D7F2C8" w14:textId="5502EC66" w:rsidR="009F3712" w:rsidRPr="00847710" w:rsidRDefault="009F3712" w:rsidP="009F3712">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992" w:type="dxa"/>
            <w:shd w:val="clear" w:color="auto" w:fill="FBD4B4" w:themeFill="accent6" w:themeFillTint="66"/>
            <w:noWrap/>
            <w:vAlign w:val="bottom"/>
            <w:hideMark/>
          </w:tcPr>
          <w:p w14:paraId="0E89820F" w14:textId="1BE1158A" w:rsidR="009F3712" w:rsidRPr="00847710" w:rsidRDefault="009F3712" w:rsidP="009F3712">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418" w:type="dxa"/>
            <w:shd w:val="clear" w:color="auto" w:fill="FBD4B4" w:themeFill="accent6" w:themeFillTint="66"/>
            <w:noWrap/>
            <w:vAlign w:val="bottom"/>
            <w:hideMark/>
          </w:tcPr>
          <w:p w14:paraId="4C4F21AD" w14:textId="43D387EB" w:rsidR="009F3712" w:rsidRPr="00847710" w:rsidRDefault="002D2E4C" w:rsidP="009F3712">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10 995 930</w:t>
            </w:r>
          </w:p>
        </w:tc>
        <w:tc>
          <w:tcPr>
            <w:tcW w:w="992" w:type="dxa"/>
            <w:shd w:val="clear" w:color="auto" w:fill="FBD4B4" w:themeFill="accent6" w:themeFillTint="66"/>
            <w:vAlign w:val="bottom"/>
          </w:tcPr>
          <w:p w14:paraId="12CBC932" w14:textId="77777777" w:rsidR="009F3712" w:rsidRPr="00C86312" w:rsidRDefault="009F3712" w:rsidP="00C86312">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w:t>
            </w:r>
          </w:p>
        </w:tc>
        <w:tc>
          <w:tcPr>
            <w:tcW w:w="992" w:type="dxa"/>
            <w:shd w:val="clear" w:color="auto" w:fill="FBD4B4" w:themeFill="accent6" w:themeFillTint="66"/>
            <w:vAlign w:val="bottom"/>
          </w:tcPr>
          <w:p w14:paraId="2EF24F25" w14:textId="097774B3" w:rsidR="009F3712" w:rsidRPr="00C86312" w:rsidRDefault="009F3712"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701" w:type="dxa"/>
            <w:shd w:val="clear" w:color="auto" w:fill="FBD4B4" w:themeFill="accent6" w:themeFillTint="66"/>
            <w:noWrap/>
            <w:vAlign w:val="bottom"/>
            <w:hideMark/>
          </w:tcPr>
          <w:p w14:paraId="20D2F8F6" w14:textId="118677D1" w:rsidR="009F3712" w:rsidRPr="00C86312" w:rsidRDefault="009F3712"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33 000</w:t>
            </w:r>
          </w:p>
        </w:tc>
      </w:tr>
    </w:tbl>
    <w:p w14:paraId="0B9A4154" w14:textId="55373968" w:rsidR="00FB010E" w:rsidRPr="00847710" w:rsidRDefault="00FB010E" w:rsidP="007D12B6">
      <w:pPr>
        <w:spacing w:after="120"/>
        <w:ind w:firstLine="720"/>
        <w:jc w:val="both"/>
        <w:rPr>
          <w:rFonts w:ascii="Times New Roman" w:hAnsi="Times New Roman" w:cs="Times New Roman"/>
          <w:sz w:val="24"/>
          <w:szCs w:val="24"/>
        </w:rPr>
      </w:pPr>
    </w:p>
    <w:p w14:paraId="744A187D" w14:textId="6A6FCC96" w:rsidR="00D67C7B" w:rsidRPr="00847710" w:rsidRDefault="00D67C7B" w:rsidP="00D67C7B">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Hronisko pacientu reformas ieguvumi:</w:t>
      </w:r>
    </w:p>
    <w:p w14:paraId="599A5989" w14:textId="418FAA2D" w:rsidR="00D67C7B" w:rsidRPr="00847710" w:rsidRDefault="00D67C7B" w:rsidP="00D95C8E">
      <w:pPr>
        <w:spacing w:after="0"/>
        <w:ind w:firstLine="720"/>
        <w:jc w:val="both"/>
        <w:rPr>
          <w:rFonts w:ascii="Times New Roman" w:hAnsi="Times New Roman" w:cs="Times New Roman"/>
          <w:sz w:val="24"/>
          <w:szCs w:val="24"/>
        </w:rPr>
      </w:pPr>
      <w:r w:rsidRPr="00847710">
        <w:rPr>
          <w:rFonts w:ascii="Times New Roman" w:hAnsi="Times New Roman" w:cs="Times New Roman"/>
          <w:sz w:val="24"/>
          <w:szCs w:val="24"/>
        </w:rPr>
        <w:t>1)</w:t>
      </w:r>
      <w:r w:rsidRPr="00847710">
        <w:rPr>
          <w:rFonts w:ascii="Times New Roman" w:hAnsi="Times New Roman" w:cs="Times New Roman"/>
          <w:sz w:val="24"/>
          <w:szCs w:val="24"/>
        </w:rPr>
        <w:tab/>
        <w:t>par 10 000 palielināt pacientu skaitu, kuriem neatliekamās palīdzības slimnīcās varētu nodrošināt plānveida palīdzību;</w:t>
      </w:r>
    </w:p>
    <w:p w14:paraId="1169CCCA" w14:textId="758B8787" w:rsidR="00D67C7B" w:rsidRPr="00847710" w:rsidRDefault="00D67C7B" w:rsidP="00D95C8E">
      <w:pPr>
        <w:spacing w:after="0"/>
        <w:ind w:firstLine="720"/>
        <w:jc w:val="both"/>
        <w:rPr>
          <w:rFonts w:ascii="Times New Roman" w:hAnsi="Times New Roman" w:cs="Times New Roman"/>
          <w:sz w:val="24"/>
          <w:szCs w:val="24"/>
        </w:rPr>
      </w:pPr>
      <w:r w:rsidRPr="00847710">
        <w:rPr>
          <w:rFonts w:ascii="Times New Roman" w:hAnsi="Times New Roman" w:cs="Times New Roman"/>
          <w:sz w:val="24"/>
          <w:szCs w:val="24"/>
        </w:rPr>
        <w:t>2)</w:t>
      </w:r>
      <w:r w:rsidRPr="00847710">
        <w:rPr>
          <w:rFonts w:ascii="Times New Roman" w:hAnsi="Times New Roman" w:cs="Times New Roman"/>
          <w:sz w:val="24"/>
          <w:szCs w:val="24"/>
        </w:rPr>
        <w:tab/>
        <w:t>palielināt par 5% plānveida  stacionāro  pakalpojumu pacientiem darbspējas vecumā;</w:t>
      </w:r>
    </w:p>
    <w:p w14:paraId="22E22A11" w14:textId="0F8A99BA" w:rsidR="00D67C7B" w:rsidRPr="00847710" w:rsidRDefault="00D67C7B" w:rsidP="00D95C8E">
      <w:pPr>
        <w:spacing w:after="0"/>
        <w:ind w:firstLine="720"/>
        <w:jc w:val="both"/>
        <w:rPr>
          <w:rFonts w:ascii="Times New Roman" w:hAnsi="Times New Roman" w:cs="Times New Roman"/>
          <w:sz w:val="24"/>
          <w:szCs w:val="24"/>
        </w:rPr>
      </w:pPr>
      <w:r w:rsidRPr="00847710">
        <w:rPr>
          <w:rFonts w:ascii="Times New Roman" w:hAnsi="Times New Roman" w:cs="Times New Roman"/>
          <w:sz w:val="24"/>
          <w:szCs w:val="24"/>
        </w:rPr>
        <w:lastRenderedPageBreak/>
        <w:t>3)</w:t>
      </w:r>
      <w:r w:rsidRPr="00847710">
        <w:rPr>
          <w:rFonts w:ascii="Times New Roman" w:hAnsi="Times New Roman" w:cs="Times New Roman"/>
          <w:sz w:val="24"/>
          <w:szCs w:val="24"/>
        </w:rPr>
        <w:tab/>
        <w:t>mazināt neatliekamās palīdzības slimnīcu uzņemšanas nodaļu noslodzi ar pacientiem, kuriem nav nepieciešama neatliekamā medicīniskā palīdzība un novirzīt šo pacientu plūsmu uz atbilsta līmeņa slimnīcām, kur hroniskajiem pacientiem tiktu sniegta atbilstoša līmeņa palīdzība;</w:t>
      </w:r>
    </w:p>
    <w:p w14:paraId="597488FE" w14:textId="29C02AD0" w:rsidR="00D67C7B" w:rsidRPr="00847710" w:rsidRDefault="00D67C7B" w:rsidP="00D95C8E">
      <w:pPr>
        <w:spacing w:after="0"/>
        <w:ind w:firstLine="720"/>
        <w:jc w:val="both"/>
        <w:rPr>
          <w:rFonts w:ascii="Times New Roman" w:hAnsi="Times New Roman" w:cs="Times New Roman"/>
          <w:sz w:val="24"/>
          <w:szCs w:val="24"/>
        </w:rPr>
      </w:pPr>
      <w:r w:rsidRPr="00847710">
        <w:rPr>
          <w:rFonts w:ascii="Times New Roman" w:hAnsi="Times New Roman" w:cs="Times New Roman"/>
          <w:sz w:val="24"/>
          <w:szCs w:val="24"/>
        </w:rPr>
        <w:t>4)</w:t>
      </w:r>
      <w:r w:rsidRPr="00847710">
        <w:rPr>
          <w:rFonts w:ascii="Times New Roman" w:hAnsi="Times New Roman" w:cs="Times New Roman"/>
          <w:sz w:val="24"/>
          <w:szCs w:val="24"/>
        </w:rPr>
        <w:tab/>
        <w:t>nodrošināt hronisko pacientu atbilstošu un pēctecīgu aprūpi, tādējādi uzlabojot viņu dzīves kvalitāti;</w:t>
      </w:r>
    </w:p>
    <w:p w14:paraId="30A4A249" w14:textId="1AF2EFF7" w:rsidR="00D67C7B" w:rsidRPr="00847710" w:rsidRDefault="00D67C7B" w:rsidP="00D95C8E">
      <w:pPr>
        <w:spacing w:after="0"/>
        <w:ind w:firstLine="720"/>
        <w:jc w:val="both"/>
        <w:rPr>
          <w:rFonts w:ascii="Times New Roman" w:hAnsi="Times New Roman" w:cs="Times New Roman"/>
          <w:sz w:val="24"/>
          <w:szCs w:val="24"/>
        </w:rPr>
      </w:pPr>
      <w:r w:rsidRPr="00847710">
        <w:rPr>
          <w:rFonts w:ascii="Times New Roman" w:hAnsi="Times New Roman" w:cs="Times New Roman"/>
          <w:sz w:val="24"/>
          <w:szCs w:val="24"/>
        </w:rPr>
        <w:t>5)</w:t>
      </w:r>
      <w:r w:rsidRPr="00847710">
        <w:rPr>
          <w:rFonts w:ascii="Times New Roman" w:hAnsi="Times New Roman" w:cs="Times New Roman"/>
          <w:sz w:val="24"/>
          <w:szCs w:val="24"/>
        </w:rPr>
        <w:tab/>
        <w:t>mazināt Neatliekamās medicīniskās palīdzības dienesta pārslodzi un palielināt operativitāti uz dzīvībai bīstamiem izsaukumiem.</w:t>
      </w:r>
    </w:p>
    <w:p w14:paraId="381466B3" w14:textId="77777777" w:rsidR="00D67C7B" w:rsidRPr="00847710" w:rsidRDefault="00D67C7B" w:rsidP="00D95C8E">
      <w:pPr>
        <w:spacing w:after="0"/>
        <w:ind w:firstLine="720"/>
        <w:jc w:val="both"/>
        <w:rPr>
          <w:rFonts w:ascii="Times New Roman" w:hAnsi="Times New Roman" w:cs="Times New Roman"/>
          <w:sz w:val="24"/>
          <w:szCs w:val="24"/>
        </w:rPr>
      </w:pPr>
    </w:p>
    <w:p w14:paraId="18D587E9" w14:textId="30EF08FB" w:rsidR="00D1022D" w:rsidRPr="00C86312" w:rsidRDefault="00D1022D" w:rsidP="00C86312">
      <w:pPr>
        <w:pStyle w:val="Heading2"/>
        <w:numPr>
          <w:ilvl w:val="1"/>
          <w:numId w:val="30"/>
        </w:numPr>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Veselības aprūpes pakalpojumu pieejamības reformas uzlabošanas ieguvumi</w:t>
      </w:r>
    </w:p>
    <w:tbl>
      <w:tblPr>
        <w:tblStyle w:val="TableGrid"/>
        <w:tblW w:w="0" w:type="auto"/>
        <w:tblLook w:val="04A0" w:firstRow="1" w:lastRow="0" w:firstColumn="1" w:lastColumn="0" w:noHBand="0" w:noVBand="1"/>
      </w:tblPr>
      <w:tblGrid>
        <w:gridCol w:w="9089"/>
      </w:tblGrid>
      <w:tr w:rsidR="00A81563" w:rsidRPr="00847710" w14:paraId="5FEC0C4F" w14:textId="77777777" w:rsidTr="57326167">
        <w:tc>
          <w:tcPr>
            <w:tcW w:w="9089" w:type="dxa"/>
          </w:tcPr>
          <w:p w14:paraId="0609DE91" w14:textId="77777777" w:rsidR="00A81563" w:rsidRPr="00C86312" w:rsidRDefault="00A81563">
            <w:pPr>
              <w:ind w:firstLine="720"/>
              <w:jc w:val="both"/>
              <w:rPr>
                <w:rFonts w:ascii="Times New Roman" w:hAnsi="Times New Roman"/>
                <w:b/>
                <w:bCs/>
                <w:sz w:val="24"/>
                <w:szCs w:val="24"/>
              </w:rPr>
            </w:pPr>
            <w:r w:rsidRPr="0012317D">
              <w:rPr>
                <w:rFonts w:ascii="Times New Roman" w:hAnsi="Times New Roman"/>
                <w:b/>
                <w:bCs/>
                <w:sz w:val="24"/>
                <w:szCs w:val="24"/>
              </w:rPr>
              <w:t>Reformas mērķis ir ieguldot papildus valsts līdzekļus, uzlabot pieejamību sekundārās ambulatorās veselības aprūpes pakalpojumiem, tādejādi sekmējot iespējami liela veselības problēmu lo</w:t>
            </w:r>
            <w:r w:rsidRPr="00901A9F">
              <w:rPr>
                <w:rFonts w:ascii="Times New Roman" w:hAnsi="Times New Roman"/>
                <w:b/>
                <w:bCs/>
                <w:sz w:val="24"/>
                <w:szCs w:val="24"/>
              </w:rPr>
              <w:t>ka (savlaicīga slimību diagnostika, pacientu dzīves  kvalitāte, darbnespējas periods, invaliditāte u.c.) risināšanu ekonomiski efektīvākajā ambulatorajā sektorā</w:t>
            </w:r>
            <w:r w:rsidRPr="0012317D">
              <w:rPr>
                <w:rStyle w:val="FootnoteReference"/>
                <w:rFonts w:ascii="Times New Roman" w:hAnsi="Times New Roman"/>
                <w:b/>
                <w:bCs/>
                <w:color w:val="000000" w:themeColor="text1"/>
                <w:sz w:val="24"/>
                <w:szCs w:val="24"/>
              </w:rPr>
              <w:footnoteReference w:id="27"/>
            </w:r>
            <w:r w:rsidRPr="0012317D">
              <w:rPr>
                <w:rFonts w:ascii="Times New Roman" w:hAnsi="Times New Roman"/>
                <w:b/>
                <w:bCs/>
                <w:sz w:val="24"/>
                <w:szCs w:val="24"/>
              </w:rPr>
              <w:t>.</w:t>
            </w:r>
          </w:p>
          <w:p w14:paraId="43AC24A3" w14:textId="77777777" w:rsidR="00A81563" w:rsidRPr="00847710" w:rsidRDefault="00A81563" w:rsidP="00910EE6">
            <w:pPr>
              <w:ind w:firstLine="720"/>
              <w:jc w:val="both"/>
              <w:rPr>
                <w:rFonts w:ascii="Times New Roman" w:hAnsi="Times New Roman"/>
                <w:b/>
                <w:sz w:val="24"/>
                <w:szCs w:val="24"/>
              </w:rPr>
            </w:pPr>
          </w:p>
          <w:p w14:paraId="3E065163" w14:textId="77777777" w:rsidR="00A81563" w:rsidRPr="00C86312" w:rsidRDefault="00A81563">
            <w:pPr>
              <w:jc w:val="both"/>
              <w:rPr>
                <w:rFonts w:ascii="Times New Roman" w:hAnsi="Times New Roman"/>
                <w:b/>
                <w:bCs/>
                <w:sz w:val="24"/>
                <w:szCs w:val="24"/>
              </w:rPr>
            </w:pPr>
            <w:r w:rsidRPr="0012317D">
              <w:rPr>
                <w:rFonts w:ascii="Times New Roman" w:hAnsi="Times New Roman"/>
                <w:b/>
                <w:bCs/>
                <w:sz w:val="24"/>
                <w:szCs w:val="24"/>
              </w:rPr>
              <w:t>Indikatīvie rādītāji (papildus 2017.gadā uzsāktajām reformām):</w:t>
            </w:r>
          </w:p>
          <w:p w14:paraId="136D2A72" w14:textId="77777777" w:rsidR="00A81563" w:rsidRPr="00C86312" w:rsidRDefault="00A81563">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Papildus 108 665 speciālistu konsultācijas;</w:t>
            </w:r>
          </w:p>
          <w:p w14:paraId="5E0204F8" w14:textId="77777777" w:rsidR="00A81563" w:rsidRPr="00C86312" w:rsidRDefault="00A81563">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207 156 ambulatorie izmeklējumi; </w:t>
            </w:r>
          </w:p>
          <w:p w14:paraId="0E8588B8" w14:textId="77777777" w:rsidR="00A81563" w:rsidRPr="00C86312" w:rsidRDefault="00A81563">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Papildus 35 089 dienas stacionāra pakalpojumi;</w:t>
            </w:r>
          </w:p>
          <w:p w14:paraId="33DAC087" w14:textId="2F063752" w:rsidR="00A81563" w:rsidRPr="00C86312" w:rsidRDefault="00A81563">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Papildus 29 526 ambulatorās rehabilitācijas pakalpojumi;</w:t>
            </w:r>
          </w:p>
          <w:p w14:paraId="1C850335" w14:textId="1064D7D4" w:rsidR="00A81563" w:rsidRPr="00C86312" w:rsidRDefault="00A81563">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Papildus 11 diabēta kabinetu apmaksa</w:t>
            </w:r>
            <w:r w:rsidR="00D91423" w:rsidRPr="0012317D">
              <w:rPr>
                <w:rFonts w:ascii="Times New Roman" w:hAnsi="Times New Roman"/>
                <w:b/>
                <w:bCs/>
                <w:sz w:val="24"/>
                <w:szCs w:val="24"/>
                <w:lang w:val="lv-LV"/>
              </w:rPr>
              <w:t xml:space="preserve">, nodrošinot </w:t>
            </w:r>
            <w:r w:rsidR="00663A26" w:rsidRPr="0012317D">
              <w:rPr>
                <w:rFonts w:ascii="Times New Roman" w:hAnsi="Times New Roman"/>
                <w:b/>
                <w:bCs/>
                <w:sz w:val="24"/>
                <w:szCs w:val="24"/>
                <w:lang w:val="lv-LV"/>
              </w:rPr>
              <w:t>33 2</w:t>
            </w:r>
            <w:r w:rsidR="004206B9" w:rsidRPr="0012317D">
              <w:rPr>
                <w:rFonts w:ascii="Times New Roman" w:hAnsi="Times New Roman"/>
                <w:b/>
                <w:bCs/>
                <w:sz w:val="24"/>
                <w:szCs w:val="24"/>
                <w:lang w:val="lv-LV"/>
              </w:rPr>
              <w:t>64</w:t>
            </w:r>
            <w:r w:rsidR="00D91423" w:rsidRPr="0012317D">
              <w:rPr>
                <w:rFonts w:ascii="Times New Roman" w:hAnsi="Times New Roman"/>
                <w:b/>
                <w:bCs/>
                <w:sz w:val="24"/>
                <w:szCs w:val="24"/>
                <w:lang w:val="lv-LV"/>
              </w:rPr>
              <w:t xml:space="preserve"> apmeklējumu</w:t>
            </w:r>
            <w:r w:rsidR="00525D36" w:rsidRPr="0012317D">
              <w:rPr>
                <w:rFonts w:ascii="Times New Roman" w:hAnsi="Times New Roman"/>
                <w:b/>
                <w:bCs/>
                <w:sz w:val="24"/>
                <w:szCs w:val="24"/>
                <w:lang w:val="lv-LV"/>
              </w:rPr>
              <w:t>;</w:t>
            </w:r>
          </w:p>
          <w:p w14:paraId="54F7C4CB" w14:textId="524F0691" w:rsidR="00525D36" w:rsidRPr="00C86312" w:rsidRDefault="0030341C">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006A169C" w:rsidRPr="0012317D">
              <w:rPr>
                <w:rFonts w:ascii="Times New Roman" w:hAnsi="Times New Roman"/>
                <w:b/>
                <w:bCs/>
                <w:sz w:val="24"/>
                <w:szCs w:val="24"/>
                <w:lang w:val="lv-LV"/>
              </w:rPr>
              <w:t>981</w:t>
            </w:r>
            <w:r w:rsidRPr="0012317D">
              <w:rPr>
                <w:rFonts w:ascii="Times New Roman" w:hAnsi="Times New Roman"/>
                <w:b/>
                <w:bCs/>
                <w:sz w:val="24"/>
                <w:szCs w:val="24"/>
                <w:lang w:val="lv-LV"/>
              </w:rPr>
              <w:t xml:space="preserve"> endoprotezēšanas operācijas;</w:t>
            </w:r>
          </w:p>
          <w:p w14:paraId="381888FE" w14:textId="09B7A5DB" w:rsidR="0030341C" w:rsidRPr="00C86312" w:rsidRDefault="0030341C">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008F5EAE" w:rsidRPr="0012317D">
              <w:rPr>
                <w:rFonts w:ascii="Times New Roman" w:hAnsi="Times New Roman"/>
                <w:b/>
                <w:bCs/>
                <w:sz w:val="24"/>
                <w:szCs w:val="24"/>
                <w:lang w:val="lv-LV"/>
              </w:rPr>
              <w:t>1</w:t>
            </w:r>
            <w:r w:rsidR="00C00FCE" w:rsidRPr="0012317D">
              <w:rPr>
                <w:rFonts w:ascii="Times New Roman" w:hAnsi="Times New Roman"/>
                <w:b/>
                <w:bCs/>
                <w:sz w:val="24"/>
                <w:szCs w:val="24"/>
                <w:lang w:val="lv-LV"/>
              </w:rPr>
              <w:t xml:space="preserve"> </w:t>
            </w:r>
            <w:r w:rsidR="008F5EAE" w:rsidRPr="0012317D">
              <w:rPr>
                <w:rFonts w:ascii="Times New Roman" w:hAnsi="Times New Roman"/>
                <w:b/>
                <w:bCs/>
                <w:sz w:val="24"/>
                <w:szCs w:val="24"/>
                <w:lang w:val="lv-LV"/>
              </w:rPr>
              <w:t>667</w:t>
            </w:r>
            <w:r w:rsidRPr="0012317D">
              <w:rPr>
                <w:rFonts w:ascii="Times New Roman" w:hAnsi="Times New Roman"/>
                <w:b/>
                <w:bCs/>
                <w:sz w:val="24"/>
                <w:szCs w:val="24"/>
                <w:lang w:val="lv-LV"/>
              </w:rPr>
              <w:t xml:space="preserve"> pakalpojumi pacientiem darbspējas vecumā;</w:t>
            </w:r>
          </w:p>
          <w:p w14:paraId="00AD2245" w14:textId="241CC377" w:rsidR="0030341C" w:rsidRPr="00C86312" w:rsidRDefault="0030341C">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P</w:t>
            </w:r>
            <w:r w:rsidR="00CB0002" w:rsidRPr="0012317D">
              <w:rPr>
                <w:rFonts w:ascii="Times New Roman" w:hAnsi="Times New Roman"/>
                <w:b/>
                <w:bCs/>
                <w:sz w:val="24"/>
                <w:szCs w:val="24"/>
                <w:lang w:val="lv-LV"/>
              </w:rPr>
              <w:t>apildus 7 aknu transplantācijas;</w:t>
            </w:r>
          </w:p>
          <w:p w14:paraId="7E837C53" w14:textId="5AAB8F7E" w:rsidR="00CB0002" w:rsidRPr="00C86312" w:rsidRDefault="002E5ABA">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00CB0002" w:rsidRPr="0012317D">
              <w:rPr>
                <w:rFonts w:ascii="Times New Roman" w:hAnsi="Times New Roman"/>
                <w:b/>
                <w:bCs/>
                <w:sz w:val="24"/>
                <w:szCs w:val="24"/>
                <w:lang w:val="lv-LV"/>
              </w:rPr>
              <w:t xml:space="preserve">medikamentu nodrošinājums </w:t>
            </w:r>
            <w:r w:rsidR="00B5305F" w:rsidRPr="0012317D">
              <w:rPr>
                <w:rFonts w:ascii="Times New Roman" w:hAnsi="Times New Roman"/>
                <w:b/>
                <w:bCs/>
                <w:sz w:val="24"/>
                <w:szCs w:val="24"/>
                <w:lang w:val="lv-LV"/>
              </w:rPr>
              <w:t>100 pacientiem un kompensācijas apjoma palielinājums 11 697 pacientiem</w:t>
            </w:r>
            <w:r w:rsidR="00D87D7A" w:rsidRPr="0012317D">
              <w:rPr>
                <w:rFonts w:ascii="Times New Roman" w:hAnsi="Times New Roman"/>
                <w:b/>
                <w:bCs/>
                <w:sz w:val="24"/>
                <w:szCs w:val="24"/>
                <w:lang w:val="lv-LV"/>
              </w:rPr>
              <w:t>;</w:t>
            </w:r>
          </w:p>
          <w:p w14:paraId="25D9B4D4" w14:textId="78991381" w:rsidR="00D87D7A" w:rsidRPr="0012317D" w:rsidRDefault="00D87D7A">
            <w:pPr>
              <w:pStyle w:val="ListParagraph"/>
              <w:numPr>
                <w:ilvl w:val="0"/>
                <w:numId w:val="3"/>
              </w:numPr>
              <w:jc w:val="both"/>
              <w:rPr>
                <w:rFonts w:ascii="Times New Roman" w:hAnsi="Times New Roman"/>
                <w:b/>
                <w:bCs/>
                <w:sz w:val="24"/>
                <w:szCs w:val="24"/>
                <w:lang w:val="lv-LV"/>
              </w:rPr>
            </w:pPr>
            <w:r w:rsidRPr="0012317D">
              <w:rPr>
                <w:rFonts w:ascii="Times New Roman" w:hAnsi="Times New Roman"/>
                <w:b/>
                <w:bCs/>
                <w:sz w:val="24"/>
                <w:szCs w:val="24"/>
                <w:lang w:val="lv-LV"/>
              </w:rPr>
              <w:t>Papildus 33 </w:t>
            </w:r>
            <w:r w:rsidR="008F76CF" w:rsidRPr="0012317D">
              <w:rPr>
                <w:rFonts w:ascii="Times New Roman" w:hAnsi="Times New Roman"/>
                <w:b/>
                <w:bCs/>
                <w:sz w:val="24"/>
                <w:szCs w:val="24"/>
                <w:lang w:val="lv-LV"/>
              </w:rPr>
              <w:t>000</w:t>
            </w:r>
            <w:r w:rsidRPr="0012317D">
              <w:rPr>
                <w:rFonts w:ascii="Times New Roman" w:hAnsi="Times New Roman"/>
                <w:b/>
                <w:bCs/>
                <w:sz w:val="24"/>
                <w:szCs w:val="24"/>
                <w:lang w:val="lv-LV"/>
              </w:rPr>
              <w:t xml:space="preserve"> hronisko pacientu aprūpe.</w:t>
            </w:r>
          </w:p>
          <w:p w14:paraId="6A18D208" w14:textId="77777777" w:rsidR="00A81563" w:rsidRPr="00847710" w:rsidRDefault="00A81563" w:rsidP="00910EE6">
            <w:pPr>
              <w:ind w:firstLine="720"/>
              <w:jc w:val="both"/>
              <w:rPr>
                <w:rFonts w:ascii="Times New Roman" w:hAnsi="Times New Roman"/>
                <w:b/>
                <w:sz w:val="24"/>
                <w:szCs w:val="24"/>
              </w:rPr>
            </w:pPr>
          </w:p>
          <w:p w14:paraId="3D31B957" w14:textId="380FFD81" w:rsidR="00A43A5F" w:rsidRPr="00C86312" w:rsidRDefault="00A81563">
            <w:pPr>
              <w:jc w:val="both"/>
              <w:rPr>
                <w:rFonts w:ascii="Times New Roman" w:hAnsi="Times New Roman"/>
                <w:b/>
                <w:bCs/>
                <w:sz w:val="24"/>
                <w:szCs w:val="24"/>
              </w:rPr>
            </w:pPr>
            <w:r w:rsidRPr="0012317D">
              <w:rPr>
                <w:rFonts w:ascii="Times New Roman" w:hAnsi="Times New Roman"/>
                <w:b/>
                <w:bCs/>
                <w:sz w:val="24"/>
                <w:szCs w:val="24"/>
              </w:rPr>
              <w:t>Kopā ambulatoro pakalpojumu skaita pieaugums 380 436 pacientiem (pakalpojumu pieaugums 6,5%), samaz</w:t>
            </w:r>
            <w:r w:rsidR="00A43A5F" w:rsidRPr="00901A9F">
              <w:rPr>
                <w:rFonts w:ascii="Times New Roman" w:hAnsi="Times New Roman"/>
                <w:b/>
                <w:bCs/>
                <w:sz w:val="24"/>
                <w:szCs w:val="24"/>
              </w:rPr>
              <w:t xml:space="preserve">inot gaidīšanas rindas līdz 40%, diabēta kabinetos sniegti pakalpojumi </w:t>
            </w:r>
            <w:r w:rsidR="004206B9" w:rsidRPr="0078794A">
              <w:rPr>
                <w:rFonts w:ascii="Times New Roman" w:hAnsi="Times New Roman"/>
                <w:b/>
                <w:bCs/>
                <w:sz w:val="24"/>
                <w:szCs w:val="24"/>
              </w:rPr>
              <w:t>33</w:t>
            </w:r>
            <w:r w:rsidR="00CB1F24" w:rsidRPr="00BD7921">
              <w:rPr>
                <w:rFonts w:ascii="Times New Roman" w:hAnsi="Times New Roman"/>
                <w:b/>
                <w:bCs/>
                <w:sz w:val="24"/>
                <w:szCs w:val="24"/>
              </w:rPr>
              <w:t xml:space="preserve"> </w:t>
            </w:r>
            <w:r w:rsidR="004206B9" w:rsidRPr="004D4B58">
              <w:rPr>
                <w:rFonts w:ascii="Times New Roman" w:hAnsi="Times New Roman"/>
                <w:b/>
                <w:sz w:val="24"/>
                <w:szCs w:val="24"/>
              </w:rPr>
              <w:t>264</w:t>
            </w:r>
            <w:r w:rsidR="00A43A5F" w:rsidRPr="004D4B58">
              <w:rPr>
                <w:rFonts w:ascii="Times New Roman" w:hAnsi="Times New Roman"/>
                <w:b/>
                <w:sz w:val="24"/>
                <w:szCs w:val="24"/>
              </w:rPr>
              <w:t xml:space="preserve"> pacientiem. Endoprotezēšanas pakalpojumu rindu samazinājums 5% apmērā.</w:t>
            </w:r>
          </w:p>
          <w:p w14:paraId="58A8D479" w14:textId="77777777" w:rsidR="00A81563" w:rsidRPr="00847710" w:rsidRDefault="00A81563" w:rsidP="00910EE6">
            <w:pPr>
              <w:jc w:val="both"/>
              <w:rPr>
                <w:rFonts w:ascii="Times New Roman" w:hAnsi="Times New Roman"/>
                <w:b/>
                <w:sz w:val="24"/>
                <w:szCs w:val="24"/>
              </w:rPr>
            </w:pPr>
          </w:p>
        </w:tc>
      </w:tr>
    </w:tbl>
    <w:p w14:paraId="3550195F" w14:textId="77777777" w:rsidR="00847710" w:rsidRPr="00847710" w:rsidRDefault="00847710" w:rsidP="00477B0C">
      <w:pPr>
        <w:ind w:firstLine="720"/>
        <w:jc w:val="both"/>
        <w:rPr>
          <w:rFonts w:ascii="Times New Roman" w:hAnsi="Times New Roman" w:cs="Times New Roman"/>
          <w:sz w:val="24"/>
          <w:szCs w:val="24"/>
          <w:lang w:eastAsia="lv-LV"/>
        </w:rPr>
      </w:pPr>
    </w:p>
    <w:p w14:paraId="2106A6F6" w14:textId="0287F85F" w:rsidR="00CA466B" w:rsidRPr="00847710" w:rsidRDefault="00993086" w:rsidP="00477B0C">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Tādējādi novirzot </w:t>
      </w:r>
      <w:r w:rsidR="006A56B2" w:rsidRPr="00847710">
        <w:rPr>
          <w:rFonts w:ascii="Times New Roman" w:hAnsi="Times New Roman" w:cs="Times New Roman"/>
          <w:sz w:val="24"/>
          <w:szCs w:val="24"/>
          <w:lang w:eastAsia="lv-LV"/>
        </w:rPr>
        <w:t xml:space="preserve">papildus </w:t>
      </w:r>
      <w:r w:rsidRPr="00847710">
        <w:rPr>
          <w:rFonts w:ascii="Times New Roman" w:hAnsi="Times New Roman" w:cs="Times New Roman"/>
          <w:sz w:val="24"/>
          <w:szCs w:val="24"/>
          <w:lang w:eastAsia="lv-LV"/>
        </w:rPr>
        <w:t xml:space="preserve">finansējumu </w:t>
      </w:r>
      <w:r w:rsidR="006A56B2" w:rsidRPr="00847710">
        <w:rPr>
          <w:rFonts w:ascii="Times New Roman" w:hAnsi="Times New Roman" w:cs="Times New Roman"/>
          <w:sz w:val="24"/>
          <w:szCs w:val="24"/>
          <w:lang w:eastAsia="lv-LV"/>
        </w:rPr>
        <w:t>veselības aprūpes pakalpojumiem</w:t>
      </w:r>
      <w:r w:rsidRPr="00847710">
        <w:rPr>
          <w:rFonts w:ascii="Times New Roman" w:hAnsi="Times New Roman" w:cs="Times New Roman"/>
          <w:sz w:val="24"/>
          <w:szCs w:val="24"/>
          <w:lang w:eastAsia="lv-LV"/>
        </w:rPr>
        <w:t>, uzlabosies to pieejamība, samazināsies darbnespējas gadījumu skaits un ilgums, kas rezultēsies labākos veselības rādītājos sabiedrībā, samazinot potenciāli zaudēto mūža gadus</w:t>
      </w:r>
      <w:r w:rsidR="00E60057" w:rsidRPr="00847710">
        <w:rPr>
          <w:rFonts w:ascii="Times New Roman" w:hAnsi="Times New Roman" w:cs="Times New Roman"/>
          <w:sz w:val="24"/>
          <w:szCs w:val="24"/>
          <w:lang w:eastAsia="lv-LV"/>
        </w:rPr>
        <w:t>.</w:t>
      </w:r>
      <w:r w:rsidRPr="00847710">
        <w:rPr>
          <w:rStyle w:val="FootnoteReference"/>
          <w:rFonts w:ascii="Times New Roman" w:hAnsi="Times New Roman" w:cs="Times New Roman"/>
          <w:sz w:val="24"/>
          <w:szCs w:val="24"/>
          <w:lang w:eastAsia="lv-LV"/>
        </w:rPr>
        <w:footnoteReference w:id="28"/>
      </w:r>
    </w:p>
    <w:p w14:paraId="67545C40" w14:textId="47EFC9BF" w:rsidR="00FA37E8" w:rsidRPr="00C86312" w:rsidRDefault="00D265D7" w:rsidP="00C86312">
      <w:pPr>
        <w:pStyle w:val="Heading2"/>
        <w:numPr>
          <w:ilvl w:val="0"/>
          <w:numId w:val="30"/>
        </w:numPr>
        <w:spacing w:before="0" w:after="200"/>
        <w:jc w:val="center"/>
        <w:rPr>
          <w:rFonts w:ascii="Times New Roman" w:hAnsi="Times New Roman" w:cs="Times New Roman"/>
          <w:b/>
          <w:bCs/>
          <w:color w:val="auto"/>
          <w:sz w:val="24"/>
          <w:szCs w:val="24"/>
        </w:rPr>
      </w:pPr>
      <w:r w:rsidRPr="0012317D">
        <w:rPr>
          <w:rStyle w:val="Heading1Char"/>
          <w:rFonts w:ascii="Times New Roman" w:hAnsi="Times New Roman" w:cs="Times New Roman"/>
          <w:b/>
          <w:bCs/>
          <w:color w:val="auto"/>
          <w:sz w:val="24"/>
          <w:szCs w:val="24"/>
        </w:rPr>
        <w:lastRenderedPageBreak/>
        <w:t>Onkoloģisko saslimšanu diagnostikas un ārstēšanas pieejamības uzlabošana</w:t>
      </w:r>
    </w:p>
    <w:p w14:paraId="1460216C" w14:textId="26B08B6F" w:rsidR="003A5334" w:rsidRPr="00C86312" w:rsidRDefault="003A5334" w:rsidP="00C86312">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2.1. Reformas rezultāti 2017. gadā</w:t>
      </w:r>
    </w:p>
    <w:p w14:paraId="69C30ECE" w14:textId="44F950DE" w:rsidR="003A5334" w:rsidRPr="00847710" w:rsidRDefault="00D30B12" w:rsidP="00FA37E8">
      <w:pPr>
        <w:spacing w:after="120"/>
        <w:ind w:firstLine="567"/>
        <w:jc w:val="both"/>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Ar Ministru kabineta 2016.gada 20.decembra sēdes protokola Nr.69 86§ 1.punktu, Veselības ministrijai 2017.gadā no budžeta resora "74.Gadskārtējā valsts budžeta izpildes procesā pārdalāmais finansējums" 08.00.00 programmas "Veselības aprūpes sistēmas reformas ieviešanas finansējums" rezervētā finansējuma piešķirts finansējums 12 262 260 euro apmērā onkoloģijas jomas reformām, lai uzlabotu onkoloģisko saslimšanu diagnostikas un ārstēšanas pieejamību.</w:t>
      </w:r>
    </w:p>
    <w:p w14:paraId="7F2B6736" w14:textId="0286DC9F" w:rsidR="009F080E" w:rsidRPr="00847710" w:rsidRDefault="00B37523" w:rsidP="000C1AB2">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Onkoloģisko saslimšanu </w:t>
      </w:r>
      <w:r w:rsidR="009F080E" w:rsidRPr="00847710">
        <w:rPr>
          <w:rFonts w:ascii="Times New Roman" w:hAnsi="Times New Roman" w:cs="Times New Roman"/>
          <w:sz w:val="24"/>
          <w:szCs w:val="24"/>
        </w:rPr>
        <w:t xml:space="preserve">ārstēšana iedalās vairākos secīgos posmos: </w:t>
      </w:r>
    </w:p>
    <w:p w14:paraId="54C082D9" w14:textId="77777777" w:rsidR="009F080E" w:rsidRPr="00847710" w:rsidRDefault="009F080E" w:rsidP="00847710">
      <w:pPr>
        <w:pStyle w:val="ListParagraph"/>
        <w:numPr>
          <w:ilvl w:val="1"/>
          <w:numId w:val="33"/>
        </w:numPr>
        <w:spacing w:after="120"/>
        <w:jc w:val="both"/>
        <w:rPr>
          <w:rFonts w:ascii="Times New Roman" w:hAnsi="Times New Roman"/>
          <w:sz w:val="24"/>
          <w:szCs w:val="24"/>
          <w:lang w:val="lv-LV"/>
        </w:rPr>
      </w:pPr>
      <w:r w:rsidRPr="00847710">
        <w:rPr>
          <w:rFonts w:ascii="Times New Roman" w:hAnsi="Times New Roman"/>
          <w:sz w:val="24"/>
          <w:szCs w:val="24"/>
          <w:lang w:val="lv-LV"/>
        </w:rPr>
        <w:t>primārā diagnostika jeb aizdomas uz saslimšanu;</w:t>
      </w:r>
    </w:p>
    <w:p w14:paraId="310D0109" w14:textId="08588887" w:rsidR="009F080E" w:rsidRPr="00847710" w:rsidRDefault="009F080E" w:rsidP="00847710">
      <w:pPr>
        <w:pStyle w:val="ListParagraph"/>
        <w:numPr>
          <w:ilvl w:val="1"/>
          <w:numId w:val="33"/>
        </w:numPr>
        <w:spacing w:after="120"/>
        <w:jc w:val="both"/>
        <w:rPr>
          <w:rFonts w:ascii="Times New Roman" w:hAnsi="Times New Roman"/>
          <w:sz w:val="24"/>
          <w:szCs w:val="24"/>
          <w:lang w:val="lv-LV"/>
        </w:rPr>
      </w:pPr>
      <w:r w:rsidRPr="00847710">
        <w:rPr>
          <w:rFonts w:ascii="Times New Roman" w:hAnsi="Times New Roman"/>
          <w:sz w:val="24"/>
          <w:szCs w:val="24"/>
          <w:lang w:val="lv-LV"/>
        </w:rPr>
        <w:t>sekundārā diagnostika jeb aizdomu apstiprināšana un ārstēšanas plāna sastādīšana (konsīlija slēdziens);</w:t>
      </w:r>
    </w:p>
    <w:p w14:paraId="72A2186F" w14:textId="69A1C696" w:rsidR="009F080E" w:rsidRPr="00847710" w:rsidRDefault="009F080E" w:rsidP="00847710">
      <w:pPr>
        <w:pStyle w:val="ListParagraph"/>
        <w:numPr>
          <w:ilvl w:val="1"/>
          <w:numId w:val="33"/>
        </w:numPr>
        <w:spacing w:after="120"/>
        <w:jc w:val="both"/>
        <w:rPr>
          <w:rFonts w:ascii="Times New Roman" w:hAnsi="Times New Roman"/>
          <w:sz w:val="24"/>
          <w:szCs w:val="24"/>
          <w:lang w:val="lv-LV"/>
        </w:rPr>
      </w:pPr>
      <w:r w:rsidRPr="00847710">
        <w:rPr>
          <w:rFonts w:ascii="Times New Roman" w:hAnsi="Times New Roman"/>
          <w:sz w:val="24"/>
          <w:szCs w:val="24"/>
          <w:lang w:val="lv-LV"/>
        </w:rPr>
        <w:t>ārstēšana, kas atkarībā no saslimšanas rakstura un stadijas var būt ķirurģiska, medikamentoza (ķīmijterapija) un staru terapija;</w:t>
      </w:r>
    </w:p>
    <w:p w14:paraId="7E4C65FE" w14:textId="5ACBDD19" w:rsidR="009F080E" w:rsidRPr="00847710" w:rsidRDefault="009F080E" w:rsidP="00847710">
      <w:pPr>
        <w:pStyle w:val="ListParagraph"/>
        <w:numPr>
          <w:ilvl w:val="1"/>
          <w:numId w:val="33"/>
        </w:numPr>
        <w:spacing w:after="120"/>
        <w:jc w:val="both"/>
        <w:rPr>
          <w:rFonts w:ascii="Times New Roman" w:hAnsi="Times New Roman"/>
          <w:sz w:val="24"/>
          <w:szCs w:val="24"/>
          <w:lang w:val="lv-LV"/>
        </w:rPr>
      </w:pPr>
      <w:r w:rsidRPr="00847710">
        <w:rPr>
          <w:rFonts w:ascii="Times New Roman" w:hAnsi="Times New Roman"/>
          <w:sz w:val="24"/>
          <w:szCs w:val="24"/>
          <w:lang w:val="lv-LV"/>
        </w:rPr>
        <w:t>rehabilitācija un pacienta dinamiskā novērošana pie speciālista un ģimenes ārsta.</w:t>
      </w:r>
    </w:p>
    <w:p w14:paraId="2BA02D84" w14:textId="257D9A0C" w:rsidR="00D66ADC" w:rsidRPr="00847710" w:rsidRDefault="009F080E" w:rsidP="00847710">
      <w:pPr>
        <w:spacing w:after="120"/>
        <w:ind w:firstLine="709"/>
        <w:jc w:val="both"/>
        <w:rPr>
          <w:rFonts w:ascii="Times New Roman" w:hAnsi="Times New Roman"/>
          <w:sz w:val="24"/>
          <w:szCs w:val="24"/>
        </w:rPr>
      </w:pPr>
      <w:r w:rsidRPr="00847710">
        <w:rPr>
          <w:rFonts w:ascii="Times New Roman" w:hAnsi="Times New Roman"/>
          <w:sz w:val="24"/>
          <w:szCs w:val="24"/>
        </w:rPr>
        <w:t>Bez tam</w:t>
      </w:r>
      <w:r w:rsidR="004F37CE" w:rsidRPr="00847710">
        <w:rPr>
          <w:rFonts w:ascii="Times New Roman" w:hAnsi="Times New Roman"/>
          <w:sz w:val="24"/>
          <w:szCs w:val="24"/>
        </w:rPr>
        <w:t>,</w:t>
      </w:r>
      <w:r w:rsidRPr="00847710">
        <w:rPr>
          <w:rFonts w:ascii="Times New Roman" w:hAnsi="Times New Roman"/>
          <w:sz w:val="24"/>
          <w:szCs w:val="24"/>
        </w:rPr>
        <w:t xml:space="preserve"> </w:t>
      </w:r>
      <w:r w:rsidR="004F37CE" w:rsidRPr="00847710">
        <w:rPr>
          <w:rFonts w:ascii="Times New Roman" w:hAnsi="Times New Roman"/>
          <w:sz w:val="24"/>
          <w:szCs w:val="24"/>
        </w:rPr>
        <w:t xml:space="preserve">onkoloģisko saslimšanu </w:t>
      </w:r>
      <w:r w:rsidRPr="00847710">
        <w:rPr>
          <w:rFonts w:ascii="Times New Roman" w:hAnsi="Times New Roman"/>
          <w:sz w:val="24"/>
          <w:szCs w:val="24"/>
        </w:rPr>
        <w:t xml:space="preserve">ārstēšanas gaitā visi ārstēšanas veidi var savstarpēji papildināties, ko </w:t>
      </w:r>
      <w:r w:rsidR="004F37CE" w:rsidRPr="00847710">
        <w:rPr>
          <w:rFonts w:ascii="Times New Roman" w:hAnsi="Times New Roman"/>
          <w:sz w:val="24"/>
          <w:szCs w:val="24"/>
        </w:rPr>
        <w:t>determinē</w:t>
      </w:r>
      <w:r w:rsidRPr="00847710">
        <w:rPr>
          <w:rFonts w:ascii="Times New Roman" w:hAnsi="Times New Roman"/>
          <w:sz w:val="24"/>
          <w:szCs w:val="24"/>
        </w:rPr>
        <w:t xml:space="preserve"> arī precīza slimības stadijas jeb audzēja morfoloģijas noteikšana</w:t>
      </w:r>
      <w:r w:rsidR="004F37CE" w:rsidRPr="00847710">
        <w:rPr>
          <w:rFonts w:ascii="Times New Roman" w:hAnsi="Times New Roman"/>
          <w:sz w:val="24"/>
          <w:szCs w:val="24"/>
        </w:rPr>
        <w:t xml:space="preserve">, kas ļauj precīzāk iezīmēt tālāko ārstēšanas ceļu. Būtiski, ka kombinējot dažādus ārstēšanas veidus (ķīmijterapija, staru terapija vai ķirurģiska iejaukšanas), svarīgs ir laiks kurā secīgi jāsāk katrs nākamais ārstēšanas posms, kas ir nozīmīgs aspekts, lai pieejamību uzlabotu visos diagnostikas un ārstēšanas posmos kompleksi, tādejādi </w:t>
      </w:r>
      <w:r w:rsidR="00B37523" w:rsidRPr="00847710">
        <w:rPr>
          <w:rFonts w:ascii="Times New Roman" w:hAnsi="Times New Roman"/>
          <w:sz w:val="24"/>
          <w:szCs w:val="24"/>
        </w:rPr>
        <w:t>garantē</w:t>
      </w:r>
      <w:r w:rsidR="004F37CE" w:rsidRPr="00847710">
        <w:rPr>
          <w:rFonts w:ascii="Times New Roman" w:hAnsi="Times New Roman"/>
          <w:sz w:val="24"/>
          <w:szCs w:val="24"/>
        </w:rPr>
        <w:t>jot</w:t>
      </w:r>
      <w:r w:rsidR="00B37523" w:rsidRPr="00847710">
        <w:rPr>
          <w:rFonts w:ascii="Times New Roman" w:hAnsi="Times New Roman"/>
          <w:sz w:val="24"/>
          <w:szCs w:val="24"/>
        </w:rPr>
        <w:t xml:space="preserve"> iespējami labāko rezultātu pacientam un secīgi arī </w:t>
      </w:r>
      <w:r w:rsidR="004F37CE" w:rsidRPr="00847710">
        <w:rPr>
          <w:rFonts w:ascii="Times New Roman" w:hAnsi="Times New Roman"/>
          <w:sz w:val="24"/>
          <w:szCs w:val="24"/>
        </w:rPr>
        <w:t xml:space="preserve">iegūstot </w:t>
      </w:r>
      <w:r w:rsidRPr="00847710">
        <w:rPr>
          <w:rFonts w:ascii="Times New Roman" w:hAnsi="Times New Roman"/>
          <w:sz w:val="24"/>
          <w:szCs w:val="24"/>
        </w:rPr>
        <w:t>PZMG uzlabojum</w:t>
      </w:r>
      <w:r w:rsidR="004F37CE" w:rsidRPr="00847710">
        <w:rPr>
          <w:rFonts w:ascii="Times New Roman" w:hAnsi="Times New Roman"/>
          <w:sz w:val="24"/>
          <w:szCs w:val="24"/>
        </w:rPr>
        <w:t>u.</w:t>
      </w:r>
    </w:p>
    <w:p w14:paraId="7012D60A" w14:textId="4931B4E7" w:rsidR="00AE4C46" w:rsidRPr="00847710" w:rsidRDefault="00AE4C46" w:rsidP="000C1AB2">
      <w:pPr>
        <w:spacing w:after="120"/>
        <w:ind w:firstLine="709"/>
        <w:jc w:val="both"/>
        <w:rPr>
          <w:rFonts w:ascii="Times New Roman" w:eastAsia="Times New Roman" w:hAnsi="Times New Roman" w:cs="Times New Roman"/>
          <w:sz w:val="24"/>
          <w:szCs w:val="24"/>
          <w:lang w:eastAsia="lv-LV"/>
        </w:rPr>
      </w:pPr>
      <w:r w:rsidRPr="00847710">
        <w:rPr>
          <w:rFonts w:ascii="Times New Roman" w:hAnsi="Times New Roman" w:cs="Times New Roman"/>
          <w:sz w:val="24"/>
          <w:szCs w:val="24"/>
        </w:rPr>
        <w:t xml:space="preserve">Ar 2016.gada 1.oktobri </w:t>
      </w:r>
      <w:r w:rsidR="00D30B12" w:rsidRPr="00847710">
        <w:rPr>
          <w:rFonts w:ascii="Times New Roman" w:hAnsi="Times New Roman" w:cs="Times New Roman"/>
          <w:sz w:val="24"/>
          <w:szCs w:val="24"/>
        </w:rPr>
        <w:t xml:space="preserve">jau </w:t>
      </w:r>
      <w:r w:rsidRPr="00847710">
        <w:rPr>
          <w:rFonts w:ascii="Times New Roman" w:hAnsi="Times New Roman" w:cs="Times New Roman"/>
          <w:sz w:val="24"/>
          <w:szCs w:val="24"/>
        </w:rPr>
        <w:t>tika uzsākta reforma onkoloģisko slimību ātrākā diagnostikā un sekmīgākā ārstēšanā, sākotnēji ieviešot ļaundabīgo audzēju primārās diagnostikas algoritmus jeb nosūtīšanas kārtību primārajā aprūpē 11 biežākajām ļaundabīgo audzēju lokalizācijām. Turpinot šo reformu jau sekundārajā jeb tālākajā veselības aprūpes līmenī, Veselības ministrija izstrādāja ļ</w:t>
      </w:r>
      <w:r w:rsidRPr="00847710">
        <w:rPr>
          <w:rFonts w:ascii="Times New Roman" w:eastAsia="Times New Roman" w:hAnsi="Times New Roman" w:cs="Times New Roman"/>
          <w:color w:val="000000"/>
          <w:sz w:val="24"/>
          <w:szCs w:val="24"/>
          <w:lang w:eastAsia="lv-LV"/>
        </w:rPr>
        <w:t>aundabīgo audzēju sekundāros diagnostikas algoritmus noteiktām lokalizācijām, kas nosaka kārtību kādā ārstniecības iestāde, kurā pacientam veikta ļaundabīgo audzēju primārā diagnostika, nodrošina konsultāciju pie ārsta speciālista un tālākus sekundāros izmeklējumus, lai savlaicīgi uzsāktu ārstēšanu.</w:t>
      </w:r>
      <w:r w:rsidRPr="00847710">
        <w:rPr>
          <w:rFonts w:ascii="Times New Roman" w:hAnsi="Times New Roman" w:cs="Times New Roman"/>
          <w:sz w:val="24"/>
          <w:szCs w:val="24"/>
        </w:rPr>
        <w:t xml:space="preserve"> </w:t>
      </w:r>
    </w:p>
    <w:p w14:paraId="540B81FE" w14:textId="06A2D602" w:rsidR="00AE4C46" w:rsidRPr="00847710" w:rsidRDefault="00AE4C46" w:rsidP="00AE4C46">
      <w:pPr>
        <w:ind w:firstLine="709"/>
        <w:jc w:val="both"/>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 xml:space="preserve">Attiecīgi, lai uzlabotu diagnostisko izmeklējumu kvalitāti onkoloģisko slimību atklāšanai agrīnās stadijās, tālākai onkoloģiskās aprūpes reformai, atbilstoši </w:t>
      </w:r>
      <w:r w:rsidR="005F250A" w:rsidRPr="00847710">
        <w:rPr>
          <w:rFonts w:ascii="Times New Roman" w:eastAsia="Times New Roman" w:hAnsi="Times New Roman" w:cs="Times New Roman"/>
          <w:sz w:val="24"/>
          <w:szCs w:val="24"/>
          <w:lang w:eastAsia="lv-LV"/>
        </w:rPr>
        <w:t>SVP</w:t>
      </w:r>
      <w:r w:rsidRPr="00847710">
        <w:rPr>
          <w:rFonts w:ascii="Times New Roman" w:eastAsia="Times New Roman" w:hAnsi="Times New Roman" w:cs="Times New Roman"/>
          <w:sz w:val="24"/>
          <w:szCs w:val="24"/>
          <w:lang w:eastAsia="lv-LV"/>
        </w:rPr>
        <w:t xml:space="preserve"> noteiktajam prioritārajam virzienam, tika pare</w:t>
      </w:r>
      <w:r w:rsidR="00387F82" w:rsidRPr="00847710">
        <w:rPr>
          <w:rFonts w:ascii="Times New Roman" w:eastAsia="Times New Roman" w:hAnsi="Times New Roman" w:cs="Times New Roman"/>
          <w:sz w:val="24"/>
          <w:szCs w:val="24"/>
          <w:lang w:eastAsia="lv-LV"/>
        </w:rPr>
        <w:t>dzēti papildus finanšu līdzekļi</w:t>
      </w:r>
      <w:r w:rsidRPr="00847710">
        <w:rPr>
          <w:rFonts w:ascii="Times New Roman" w:eastAsia="Times New Roman" w:hAnsi="Times New Roman" w:cs="Times New Roman"/>
          <w:sz w:val="24"/>
          <w:szCs w:val="24"/>
          <w:lang w:eastAsia="lv-LV"/>
        </w:rPr>
        <w:t xml:space="preserve">: </w:t>
      </w:r>
    </w:p>
    <w:p w14:paraId="5886DF9D" w14:textId="7FECB492" w:rsidR="00AE4C46" w:rsidRPr="00847710" w:rsidRDefault="00AE4C46" w:rsidP="00E22F86">
      <w:pPr>
        <w:pStyle w:val="ListParagraph"/>
        <w:numPr>
          <w:ilvl w:val="1"/>
          <w:numId w:val="1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Primārās diagnostikas algoritmu ieviešanai 1 499 506 euro;</w:t>
      </w:r>
    </w:p>
    <w:p w14:paraId="493D6AEB" w14:textId="0AF59A01" w:rsidR="00AE4C46" w:rsidRPr="00847710" w:rsidRDefault="00AE4C46" w:rsidP="00E22F86">
      <w:pPr>
        <w:pStyle w:val="ListParagraph"/>
        <w:numPr>
          <w:ilvl w:val="1"/>
          <w:numId w:val="1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Speciālistu konsultāciju izmaksu pieaugum</w:t>
      </w:r>
      <w:r w:rsidR="00477F35" w:rsidRPr="00847710">
        <w:rPr>
          <w:rFonts w:ascii="Times New Roman" w:eastAsia="Times New Roman" w:hAnsi="Times New Roman"/>
          <w:sz w:val="24"/>
          <w:szCs w:val="24"/>
          <w:lang w:val="lv-LV" w:eastAsia="lv-LV"/>
        </w:rPr>
        <w:t>am</w:t>
      </w:r>
      <w:r w:rsidRPr="00847710">
        <w:rPr>
          <w:rFonts w:ascii="Times New Roman" w:eastAsia="Times New Roman" w:hAnsi="Times New Roman"/>
          <w:sz w:val="24"/>
          <w:szCs w:val="24"/>
          <w:lang w:val="lv-LV" w:eastAsia="lv-LV"/>
        </w:rPr>
        <w:t xml:space="preserve">, atbilstoši noteiktajiem algoritmiem </w:t>
      </w:r>
      <w:r w:rsidR="00D30B12" w:rsidRPr="00847710">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650 278 euro;</w:t>
      </w:r>
    </w:p>
    <w:p w14:paraId="543B8DE4" w14:textId="43138EF2" w:rsidR="00AE4C46" w:rsidRPr="00847710" w:rsidRDefault="00AE4C46" w:rsidP="00E22F86">
      <w:pPr>
        <w:pStyle w:val="ListParagraph"/>
        <w:numPr>
          <w:ilvl w:val="1"/>
          <w:numId w:val="1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Sekundārās diagnostikas un izmeklēšanas  algoritmu ieviešanai </w:t>
      </w:r>
      <w:r w:rsidR="00D30B12" w:rsidRPr="00847710">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 xml:space="preserve">2 332 565 euro, </w:t>
      </w:r>
    </w:p>
    <w:p w14:paraId="0BBF397A" w14:textId="7DE87213" w:rsidR="00AE4C46" w:rsidRPr="00847710" w:rsidRDefault="00AE4C46" w:rsidP="00E22F86">
      <w:pPr>
        <w:pStyle w:val="ListParagraph"/>
        <w:numPr>
          <w:ilvl w:val="1"/>
          <w:numId w:val="1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lastRenderedPageBreak/>
        <w:t xml:space="preserve">Onkoloģisko pacientu skaita un prognozētās ārstēšanas izmaksu pieaugumam ambulatori </w:t>
      </w:r>
      <w:r w:rsidR="00D30B12" w:rsidRPr="00847710">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1 178 058 euro;</w:t>
      </w:r>
    </w:p>
    <w:p w14:paraId="420CA209" w14:textId="1D810BAC" w:rsidR="00AE4C46" w:rsidRPr="00847710" w:rsidRDefault="00AE4C46" w:rsidP="00E22F86">
      <w:pPr>
        <w:pStyle w:val="ListParagraph"/>
        <w:numPr>
          <w:ilvl w:val="1"/>
          <w:numId w:val="1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Onkoloģisko pacientu skaita un prognozētās ārstēšanas izmaksu pieaugumam stacionārā </w:t>
      </w:r>
      <w:r w:rsidR="00D30B12" w:rsidRPr="00847710">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2 463 058 euro;</w:t>
      </w:r>
    </w:p>
    <w:p w14:paraId="65F8D6B9" w14:textId="21DE6A16" w:rsidR="00AE4C46" w:rsidRPr="00847710" w:rsidRDefault="00AE4C46" w:rsidP="00E22F86">
      <w:pPr>
        <w:pStyle w:val="ListParagraph"/>
        <w:numPr>
          <w:ilvl w:val="1"/>
          <w:numId w:val="1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Kompensējamos medikamentus saņēmušo pacientu skaita un līdzekļu pieaugumam</w:t>
      </w:r>
      <w:r w:rsidR="00D30B12" w:rsidRPr="00847710">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 xml:space="preserve">onkoloģijā </w:t>
      </w:r>
      <w:r w:rsidR="00D30B12" w:rsidRPr="00847710">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4 138 795 euro.</w:t>
      </w:r>
    </w:p>
    <w:p w14:paraId="75DE57E0" w14:textId="5CAC58D8" w:rsidR="00AE4C46" w:rsidRPr="00847710" w:rsidRDefault="00AE4C46" w:rsidP="00AE4C46">
      <w:pPr>
        <w:ind w:firstLine="709"/>
        <w:jc w:val="both"/>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Lai gan reformas tika uzsāktas sekmīgi, tika konstatēt</w:t>
      </w:r>
      <w:r w:rsidR="00B83D76" w:rsidRPr="00847710">
        <w:rPr>
          <w:rFonts w:ascii="Times New Roman" w:eastAsia="Times New Roman" w:hAnsi="Times New Roman" w:cs="Times New Roman"/>
          <w:sz w:val="24"/>
          <w:szCs w:val="24"/>
          <w:lang w:eastAsia="lv-LV"/>
        </w:rPr>
        <w:t>i</w:t>
      </w:r>
      <w:r w:rsidRPr="00847710">
        <w:rPr>
          <w:rFonts w:ascii="Times New Roman" w:eastAsia="Times New Roman" w:hAnsi="Times New Roman" w:cs="Times New Roman"/>
          <w:sz w:val="24"/>
          <w:szCs w:val="24"/>
          <w:lang w:eastAsia="lv-LV"/>
        </w:rPr>
        <w:t xml:space="preserve"> vair</w:t>
      </w:r>
      <w:r w:rsidR="00B72032" w:rsidRPr="00847710">
        <w:rPr>
          <w:rFonts w:ascii="Times New Roman" w:eastAsia="Times New Roman" w:hAnsi="Times New Roman" w:cs="Times New Roman"/>
          <w:sz w:val="24"/>
          <w:szCs w:val="24"/>
          <w:lang w:eastAsia="lv-LV"/>
        </w:rPr>
        <w:t>āki faktori, kuri ietekmē kopējo reformu sniegumu.</w:t>
      </w:r>
    </w:p>
    <w:p w14:paraId="09416234" w14:textId="3BF5A211" w:rsidR="00B72032" w:rsidRPr="00847710" w:rsidRDefault="00B72032" w:rsidP="00AE4C46">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Sistēmu ieviešot, tās sākumā posmā, ne visos gadījumos veikta pilna plānoto pakalpojumu apguve. Attiecīgi 2017.gada </w:t>
      </w:r>
      <w:r w:rsidR="00D30B12" w:rsidRPr="00847710">
        <w:rPr>
          <w:rFonts w:ascii="Times New Roman" w:hAnsi="Times New Roman" w:cs="Times New Roman"/>
          <w:sz w:val="24"/>
          <w:szCs w:val="24"/>
          <w:lang w:eastAsia="lv-LV"/>
        </w:rPr>
        <w:t>I</w:t>
      </w:r>
      <w:r w:rsidR="00387F82" w:rsidRPr="00847710">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 xml:space="preserve">pusgadā ārstēto onkoloģisko pacientu aptvere ir zemāka, jo nepieciešams laiks, lai adaptētu sistēmas izmaiņas, kā arī sākotnēji primārās diagnostikas algoritmu ieviešana tika attiecināta uz 11 biežākajām ļaundabīgo audzēju lokalizācijām, kuras, nodrošinot vienlīdzīgu pieeju, </w:t>
      </w:r>
      <w:r w:rsidR="00D30B12" w:rsidRPr="00847710">
        <w:rPr>
          <w:rFonts w:ascii="Times New Roman" w:hAnsi="Times New Roman" w:cs="Times New Roman"/>
          <w:sz w:val="24"/>
          <w:szCs w:val="24"/>
          <w:lang w:eastAsia="lv-LV"/>
        </w:rPr>
        <w:t xml:space="preserve">no 2017. gada oktobra </w:t>
      </w:r>
      <w:r w:rsidRPr="00847710">
        <w:rPr>
          <w:rFonts w:ascii="Times New Roman" w:hAnsi="Times New Roman" w:cs="Times New Roman"/>
          <w:sz w:val="24"/>
          <w:szCs w:val="24"/>
          <w:lang w:eastAsia="lv-LV"/>
        </w:rPr>
        <w:t xml:space="preserve">ir paplašinātas ar citām  onkoloģiskajām saslimšanām. Papildus tam, ieviestas izmaiņas primārās diagnostikas pakalpojumu saņemšanā, paredzot, ka </w:t>
      </w:r>
      <w:r w:rsidR="005F250A" w:rsidRPr="00847710">
        <w:rPr>
          <w:rFonts w:ascii="Times New Roman" w:hAnsi="Times New Roman" w:cs="Times New Roman"/>
          <w:sz w:val="24"/>
          <w:szCs w:val="24"/>
          <w:lang w:eastAsia="lv-LV"/>
        </w:rPr>
        <w:t>VSIA “</w:t>
      </w:r>
      <w:r w:rsidRPr="00847710">
        <w:rPr>
          <w:rFonts w:ascii="Times New Roman" w:hAnsi="Times New Roman" w:cs="Times New Roman"/>
          <w:sz w:val="24"/>
          <w:szCs w:val="24"/>
          <w:lang w:eastAsia="lv-LV"/>
        </w:rPr>
        <w:t>Piejūras slimnīc</w:t>
      </w:r>
      <w:r w:rsidR="005F250A" w:rsidRPr="00847710">
        <w:rPr>
          <w:rFonts w:ascii="Times New Roman" w:hAnsi="Times New Roman" w:cs="Times New Roman"/>
          <w:sz w:val="24"/>
          <w:szCs w:val="24"/>
          <w:lang w:eastAsia="lv-LV"/>
        </w:rPr>
        <w:t>a”</w:t>
      </w:r>
      <w:r w:rsidRPr="00847710">
        <w:rPr>
          <w:rFonts w:ascii="Times New Roman" w:hAnsi="Times New Roman" w:cs="Times New Roman"/>
          <w:sz w:val="24"/>
          <w:szCs w:val="24"/>
          <w:lang w:eastAsia="lv-LV"/>
        </w:rPr>
        <w:t xml:space="preserve">, </w:t>
      </w:r>
      <w:r w:rsidR="005F250A" w:rsidRPr="00847710">
        <w:rPr>
          <w:rFonts w:ascii="Times New Roman" w:hAnsi="Times New Roman" w:cs="Times New Roman"/>
          <w:sz w:val="24"/>
          <w:szCs w:val="24"/>
          <w:lang w:eastAsia="lv-LV"/>
        </w:rPr>
        <w:t>SIA “</w:t>
      </w:r>
      <w:r w:rsidRPr="00847710">
        <w:rPr>
          <w:rFonts w:ascii="Times New Roman" w:hAnsi="Times New Roman" w:cs="Times New Roman"/>
          <w:sz w:val="24"/>
          <w:szCs w:val="24"/>
          <w:lang w:eastAsia="lv-LV"/>
        </w:rPr>
        <w:t>Liepājas reģionālā slimnīc</w:t>
      </w:r>
      <w:r w:rsidR="005F250A" w:rsidRPr="00847710">
        <w:rPr>
          <w:rFonts w:ascii="Times New Roman" w:hAnsi="Times New Roman" w:cs="Times New Roman"/>
          <w:sz w:val="24"/>
          <w:szCs w:val="24"/>
          <w:lang w:eastAsia="lv-LV"/>
        </w:rPr>
        <w:t>a”</w:t>
      </w:r>
      <w:r w:rsidRPr="00847710">
        <w:rPr>
          <w:rFonts w:ascii="Times New Roman" w:hAnsi="Times New Roman" w:cs="Times New Roman"/>
          <w:sz w:val="24"/>
          <w:szCs w:val="24"/>
          <w:lang w:eastAsia="lv-LV"/>
        </w:rPr>
        <w:t xml:space="preserve">, </w:t>
      </w:r>
      <w:r w:rsidR="005F250A" w:rsidRPr="00847710">
        <w:rPr>
          <w:rFonts w:ascii="Times New Roman" w:hAnsi="Times New Roman" w:cs="Times New Roman"/>
          <w:sz w:val="24"/>
          <w:szCs w:val="24"/>
          <w:lang w:eastAsia="lv-LV"/>
        </w:rPr>
        <w:t>SIA “</w:t>
      </w:r>
      <w:r w:rsidRPr="00847710">
        <w:rPr>
          <w:rFonts w:ascii="Times New Roman" w:hAnsi="Times New Roman" w:cs="Times New Roman"/>
          <w:sz w:val="24"/>
          <w:szCs w:val="24"/>
          <w:lang w:eastAsia="lv-LV"/>
        </w:rPr>
        <w:t>Rīgas Austrumu klīniskā universitātes slimnīc</w:t>
      </w:r>
      <w:r w:rsidR="005F250A" w:rsidRPr="00847710">
        <w:rPr>
          <w:rFonts w:ascii="Times New Roman" w:hAnsi="Times New Roman" w:cs="Times New Roman"/>
          <w:sz w:val="24"/>
          <w:szCs w:val="24"/>
          <w:lang w:eastAsia="lv-LV"/>
        </w:rPr>
        <w:t>a”</w:t>
      </w:r>
      <w:r w:rsidRPr="00847710">
        <w:rPr>
          <w:rFonts w:ascii="Times New Roman" w:hAnsi="Times New Roman" w:cs="Times New Roman"/>
          <w:sz w:val="24"/>
          <w:szCs w:val="24"/>
          <w:lang w:eastAsia="lv-LV"/>
        </w:rPr>
        <w:t xml:space="preserve">, </w:t>
      </w:r>
      <w:r w:rsidR="00F95F1F" w:rsidRPr="00847710">
        <w:rPr>
          <w:rFonts w:ascii="Times New Roman" w:hAnsi="Times New Roman" w:cs="Times New Roman"/>
          <w:sz w:val="24"/>
          <w:szCs w:val="24"/>
          <w:lang w:eastAsia="lv-LV"/>
        </w:rPr>
        <w:t>VSIA “</w:t>
      </w:r>
      <w:r w:rsidRPr="00847710">
        <w:rPr>
          <w:rFonts w:ascii="Times New Roman" w:hAnsi="Times New Roman" w:cs="Times New Roman"/>
          <w:sz w:val="24"/>
          <w:szCs w:val="24"/>
          <w:lang w:eastAsia="lv-LV"/>
        </w:rPr>
        <w:t>Paula Stradiņa klīniskā universitātes slimnīc</w:t>
      </w:r>
      <w:r w:rsidR="00F95F1F" w:rsidRPr="00847710">
        <w:rPr>
          <w:rFonts w:ascii="Times New Roman" w:hAnsi="Times New Roman" w:cs="Times New Roman"/>
          <w:sz w:val="24"/>
          <w:szCs w:val="24"/>
          <w:lang w:eastAsia="lv-LV"/>
        </w:rPr>
        <w:t xml:space="preserve">a” </w:t>
      </w:r>
      <w:r w:rsidRPr="00847710">
        <w:rPr>
          <w:rFonts w:ascii="Times New Roman" w:hAnsi="Times New Roman" w:cs="Times New Roman"/>
          <w:sz w:val="24"/>
          <w:szCs w:val="24"/>
          <w:lang w:eastAsia="lv-LV"/>
        </w:rPr>
        <w:t xml:space="preserve">un </w:t>
      </w:r>
      <w:r w:rsidR="00F95F1F" w:rsidRPr="00847710">
        <w:rPr>
          <w:rFonts w:ascii="Times New Roman" w:hAnsi="Times New Roman" w:cs="Times New Roman"/>
          <w:sz w:val="24"/>
          <w:szCs w:val="24"/>
          <w:lang w:eastAsia="lv-LV"/>
        </w:rPr>
        <w:t>SIA “</w:t>
      </w:r>
      <w:r w:rsidRPr="00847710">
        <w:rPr>
          <w:rFonts w:ascii="Times New Roman" w:hAnsi="Times New Roman" w:cs="Times New Roman"/>
          <w:sz w:val="24"/>
          <w:szCs w:val="24"/>
          <w:lang w:eastAsia="lv-LV"/>
        </w:rPr>
        <w:t>Daugavpils reģionālā slimnīc</w:t>
      </w:r>
      <w:r w:rsidR="00F95F1F" w:rsidRPr="00847710">
        <w:rPr>
          <w:rFonts w:ascii="Times New Roman" w:hAnsi="Times New Roman" w:cs="Times New Roman"/>
          <w:sz w:val="24"/>
          <w:szCs w:val="24"/>
          <w:lang w:eastAsia="lv-LV"/>
        </w:rPr>
        <w:t>a”</w:t>
      </w:r>
      <w:r w:rsidRPr="00847710">
        <w:rPr>
          <w:rFonts w:ascii="Times New Roman" w:hAnsi="Times New Roman" w:cs="Times New Roman"/>
          <w:sz w:val="24"/>
          <w:szCs w:val="24"/>
          <w:lang w:eastAsia="lv-LV"/>
        </w:rPr>
        <w:t xml:space="preserve"> konstatēto pacientu sūdzību vai simptomu gadījumā varēs arī nodrošināt onkoloģisko pacientu ļaundabīgo audzēju primāro diagnostiku atbilstoši noteiktajiem algoritmiem.</w:t>
      </w:r>
      <w:r w:rsidR="00240017" w:rsidRPr="00847710">
        <w:rPr>
          <w:rFonts w:ascii="Times New Roman" w:hAnsi="Times New Roman" w:cs="Times New Roman"/>
          <w:sz w:val="24"/>
          <w:szCs w:val="24"/>
          <w:lang w:eastAsia="lv-LV"/>
        </w:rPr>
        <w:t xml:space="preserve"> Tāpat </w:t>
      </w:r>
      <w:r w:rsidR="00130A16" w:rsidRPr="00847710">
        <w:rPr>
          <w:rFonts w:ascii="Times New Roman" w:hAnsi="Times New Roman" w:cs="Times New Roman"/>
          <w:sz w:val="24"/>
          <w:szCs w:val="24"/>
          <w:lang w:eastAsia="lv-LV"/>
        </w:rPr>
        <w:t>MK N</w:t>
      </w:r>
      <w:r w:rsidR="00240017" w:rsidRPr="00847710">
        <w:rPr>
          <w:rFonts w:ascii="Times New Roman" w:hAnsi="Times New Roman" w:cs="Times New Roman"/>
          <w:sz w:val="24"/>
          <w:szCs w:val="24"/>
          <w:lang w:eastAsia="lv-LV"/>
        </w:rPr>
        <w:t>oteikumu Nr.1529 grozījumos veikta onkoloģisko operāciju piemaksu aptveres paplašināšana, paredzot piemaksu par sarežģītas onkoloģiskās operācijas saņemšanu ārstniecības iestādēs arī gadījumos, kad tiek veikta atkārtota, sarežģīta operācija vai arī sarežģīta operācija pacientam, kura noris vairākos etapos, pirmajā operācijā veicot tikai zināmus sagatavošanās darbus tālākajai ārstēšanai.</w:t>
      </w:r>
    </w:p>
    <w:p w14:paraId="0573085D" w14:textId="2ABABA95" w:rsidR="00D45321" w:rsidRPr="00847710" w:rsidRDefault="00D30B12" w:rsidP="00AE4C46">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Ņ</w:t>
      </w:r>
      <w:r w:rsidR="00D45321" w:rsidRPr="00847710">
        <w:rPr>
          <w:rFonts w:ascii="Times New Roman" w:hAnsi="Times New Roman" w:cs="Times New Roman"/>
          <w:sz w:val="24"/>
          <w:szCs w:val="24"/>
          <w:lang w:eastAsia="lv-LV"/>
        </w:rPr>
        <w:t>emot vērā nosacījumu pārskatīšanu, prognozējams, ka līdz 2017.gada 31.decembrim onkoloģijas reform</w:t>
      </w:r>
      <w:r w:rsidR="00F973E9" w:rsidRPr="00847710">
        <w:rPr>
          <w:rFonts w:ascii="Times New Roman" w:hAnsi="Times New Roman" w:cs="Times New Roman"/>
          <w:sz w:val="24"/>
          <w:szCs w:val="24"/>
          <w:lang w:eastAsia="lv-LV"/>
        </w:rPr>
        <w:t>ām novirzītā finansējuma</w:t>
      </w:r>
      <w:r w:rsidR="00D45321" w:rsidRPr="00847710">
        <w:rPr>
          <w:rFonts w:ascii="Times New Roman" w:hAnsi="Times New Roman" w:cs="Times New Roman"/>
          <w:sz w:val="24"/>
          <w:szCs w:val="24"/>
          <w:lang w:eastAsia="lv-LV"/>
        </w:rPr>
        <w:t xml:space="preserve"> apguve tiks nodrošināta pilnā apmērā</w:t>
      </w:r>
      <w:r w:rsidR="00A37A10" w:rsidRPr="00847710">
        <w:rPr>
          <w:rFonts w:ascii="Times New Roman" w:hAnsi="Times New Roman" w:cs="Times New Roman"/>
          <w:sz w:val="24"/>
          <w:szCs w:val="24"/>
          <w:lang w:eastAsia="lv-LV"/>
        </w:rPr>
        <w:t>.</w:t>
      </w:r>
    </w:p>
    <w:p w14:paraId="0FDF4BA1" w14:textId="77777777" w:rsidR="00D45321" w:rsidRPr="00847710" w:rsidRDefault="00D45321" w:rsidP="00D45321">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Kopumā veiktās reformas onkoloģijas “zaļā koridora” izveidei, ir nodrošinājušas, ka pacienta ceļš līdz diagnozes saņemšanai un ārstēšanas uzsākšanai ir ievērojami samazinājies, lielākajā daļā gadījumu nodrošinot, ka pēc reformu veikšanas 30 dienu laikā tiek nodrošinātas sākotnējās konsultācijas, izmeklējumi un uzsākta ārstēšana, savukārt pirms “zaļā koridora” ieviešanas pacients tikai uz konsultāciju pie speciālista gaidīja vidēji 30 dienas.</w:t>
      </w:r>
    </w:p>
    <w:p w14:paraId="0902BF85" w14:textId="45EC8910" w:rsidR="00D30B12" w:rsidRPr="00847710" w:rsidRDefault="007B2D72" w:rsidP="00D45321">
      <w:pPr>
        <w:ind w:firstLine="709"/>
        <w:jc w:val="both"/>
        <w:rPr>
          <w:rFonts w:ascii="Times New Roman" w:hAnsi="Times New Roman" w:cs="Times New Roman"/>
          <w:sz w:val="24"/>
          <w:szCs w:val="24"/>
          <w:lang w:eastAsia="lv-LV"/>
        </w:rPr>
      </w:pPr>
      <w:r w:rsidRPr="0012317D">
        <w:rPr>
          <w:rFonts w:ascii="Times New Roman" w:hAnsi="Times New Roman" w:cs="Times New Roman"/>
          <w:b/>
          <w:bCs/>
          <w:sz w:val="24"/>
          <w:szCs w:val="24"/>
          <w:lang w:eastAsia="lv-LV"/>
        </w:rPr>
        <w:t>Līdz ar to nepieciešams turpināt onkoloģijas jomas reformas, papildus turpmākajos periodos uzlabojot diagnostiku, padarot to kvalitatīvāku, precīzāku un ātrāku, uzlabojot finanšu līdzekļu, kas saistīti ar pacienta atra</w:t>
      </w:r>
      <w:r w:rsidRPr="0078794A">
        <w:rPr>
          <w:rFonts w:ascii="Times New Roman" w:hAnsi="Times New Roman" w:cs="Times New Roman"/>
          <w:b/>
          <w:bCs/>
          <w:sz w:val="24"/>
          <w:szCs w:val="24"/>
          <w:lang w:eastAsia="lv-LV"/>
        </w:rPr>
        <w:t>šanos ārstniecības iestādēs, izlietojuma efektivitāti un attīstot personalizētu, mērķētu ārstēšanu</w:t>
      </w:r>
      <w:r w:rsidR="00FD0087" w:rsidRPr="00847710">
        <w:rPr>
          <w:rFonts w:ascii="Times New Roman" w:hAnsi="Times New Roman" w:cs="Times New Roman"/>
          <w:sz w:val="24"/>
          <w:szCs w:val="24"/>
          <w:lang w:eastAsia="lv-LV"/>
        </w:rPr>
        <w:t>.</w:t>
      </w:r>
    </w:p>
    <w:p w14:paraId="1E530301" w14:textId="7DF57033" w:rsidR="007106E8" w:rsidRPr="00847710" w:rsidRDefault="007106E8" w:rsidP="00D45321">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2017.gadā uzsākto reformu turpināšanai 2018.gadā paredzēts finansējums</w:t>
      </w:r>
      <w:r w:rsidR="00DF5DBB" w:rsidRPr="00847710">
        <w:rPr>
          <w:rFonts w:ascii="Times New Roman" w:hAnsi="Times New Roman" w:cs="Times New Roman"/>
          <w:sz w:val="24"/>
          <w:szCs w:val="24"/>
          <w:lang w:eastAsia="lv-LV"/>
        </w:rPr>
        <w:t xml:space="preserve"> līdzvērtīgā </w:t>
      </w:r>
      <w:r w:rsidRPr="00847710">
        <w:rPr>
          <w:rFonts w:ascii="Times New Roman" w:hAnsi="Times New Roman" w:cs="Times New Roman"/>
          <w:sz w:val="24"/>
          <w:szCs w:val="24"/>
          <w:lang w:eastAsia="lv-LV"/>
        </w:rPr>
        <w:t>apmērā.</w:t>
      </w:r>
    </w:p>
    <w:p w14:paraId="2BAE2034" w14:textId="2B6A6321" w:rsidR="007106E8" w:rsidRPr="00847710" w:rsidRDefault="0020102F" w:rsidP="007106E8">
      <w:pPr>
        <w:pStyle w:val="ListParagraph"/>
        <w:spacing w:after="0" w:line="240" w:lineRule="auto"/>
        <w:ind w:left="357"/>
        <w:jc w:val="right"/>
        <w:rPr>
          <w:rFonts w:ascii="Times New Roman" w:hAnsi="Times New Roman"/>
          <w:sz w:val="24"/>
          <w:szCs w:val="24"/>
          <w:lang w:val="lv-LV"/>
        </w:rPr>
      </w:pPr>
      <w:r w:rsidRPr="57326167">
        <w:rPr>
          <w:rFonts w:ascii="Times New Roman" w:hAnsi="Times New Roman"/>
          <w:i/>
          <w:iCs/>
          <w:sz w:val="24"/>
          <w:szCs w:val="24"/>
          <w:lang w:val="lv-LV"/>
        </w:rPr>
        <w:lastRenderedPageBreak/>
        <w:t>1</w:t>
      </w:r>
      <w:r w:rsidR="0086477B">
        <w:rPr>
          <w:rFonts w:ascii="Times New Roman" w:hAnsi="Times New Roman"/>
          <w:i/>
          <w:iCs/>
          <w:sz w:val="24"/>
          <w:szCs w:val="24"/>
          <w:lang w:val="lv-LV"/>
        </w:rPr>
        <w:t>6</w:t>
      </w:r>
      <w:r w:rsidR="007106E8" w:rsidRPr="00847710">
        <w:rPr>
          <w:rFonts w:ascii="Times New Roman" w:hAnsi="Times New Roman"/>
          <w:sz w:val="24"/>
          <w:szCs w:val="24"/>
          <w:lang w:val="lv-LV"/>
        </w:rPr>
        <w:t>.</w:t>
      </w:r>
      <w:r w:rsidR="007106E8" w:rsidRPr="57326167">
        <w:rPr>
          <w:rFonts w:ascii="Times New Roman" w:hAnsi="Times New Roman"/>
          <w:i/>
          <w:iCs/>
          <w:sz w:val="24"/>
          <w:szCs w:val="24"/>
          <w:lang w:val="lv-LV"/>
        </w:rPr>
        <w:t>tabula</w:t>
      </w:r>
    </w:p>
    <w:p w14:paraId="521642EE" w14:textId="77777777" w:rsidR="007106E8" w:rsidRPr="00C86312" w:rsidRDefault="007106E8" w:rsidP="00C86312">
      <w:pPr>
        <w:pStyle w:val="ListParagraph"/>
        <w:spacing w:after="0" w:line="240" w:lineRule="auto"/>
        <w:ind w:left="357"/>
        <w:jc w:val="center"/>
        <w:rPr>
          <w:rFonts w:ascii="Times New Roman" w:hAnsi="Times New Roman"/>
          <w:b/>
          <w:bCs/>
          <w:sz w:val="24"/>
          <w:szCs w:val="24"/>
          <w:lang w:val="lv-LV"/>
        </w:rPr>
      </w:pPr>
      <w:r w:rsidRPr="0012317D">
        <w:rPr>
          <w:rFonts w:ascii="Times New Roman" w:hAnsi="Times New Roman"/>
          <w:b/>
          <w:bCs/>
          <w:sz w:val="24"/>
          <w:szCs w:val="24"/>
          <w:lang w:val="lv-LV"/>
        </w:rPr>
        <w:t>Onkoloģisko saslimšanu diagnostikas un ārstēšanas pieejamības uzlabšanai nepieciešamo līdzekļu sadalījums</w:t>
      </w:r>
    </w:p>
    <w:p w14:paraId="3B128EB6" w14:textId="77777777" w:rsidR="007106E8" w:rsidRPr="00847710" w:rsidRDefault="007106E8" w:rsidP="007106E8">
      <w:pPr>
        <w:pStyle w:val="ListParagraph"/>
        <w:spacing w:after="0" w:line="240" w:lineRule="auto"/>
        <w:ind w:left="357"/>
        <w:jc w:val="center"/>
        <w:rPr>
          <w:rFonts w:ascii="Times New Roman" w:hAnsi="Times New Roman"/>
          <w:b/>
          <w:sz w:val="24"/>
          <w:szCs w:val="24"/>
          <w:lang w:val="lv-LV"/>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840"/>
        <w:gridCol w:w="999"/>
        <w:gridCol w:w="1513"/>
        <w:gridCol w:w="1735"/>
      </w:tblGrid>
      <w:tr w:rsidR="007106E8" w:rsidRPr="00847710" w14:paraId="00D4F73C" w14:textId="77777777" w:rsidTr="00C86312">
        <w:trPr>
          <w:cantSplit/>
          <w:trHeight w:val="1882"/>
          <w:jc w:val="center"/>
        </w:trPr>
        <w:tc>
          <w:tcPr>
            <w:tcW w:w="421" w:type="dxa"/>
            <w:shd w:val="clear" w:color="auto" w:fill="E36C0A" w:themeFill="accent6" w:themeFillShade="BF"/>
            <w:vAlign w:val="center"/>
            <w:hideMark/>
          </w:tcPr>
          <w:p w14:paraId="51F9A552" w14:textId="77777777" w:rsidR="007106E8" w:rsidRPr="00847710" w:rsidRDefault="007106E8" w:rsidP="007106E8">
            <w:pPr>
              <w:spacing w:after="0" w:line="240" w:lineRule="auto"/>
              <w:rPr>
                <w:rFonts w:ascii="Times New Roman" w:eastAsia="Times New Roman" w:hAnsi="Times New Roman" w:cs="Times New Roman"/>
                <w:b/>
                <w:bCs/>
                <w:sz w:val="20"/>
                <w:szCs w:val="20"/>
                <w:lang w:eastAsia="lv-LV"/>
              </w:rPr>
            </w:pPr>
          </w:p>
        </w:tc>
        <w:tc>
          <w:tcPr>
            <w:tcW w:w="2840" w:type="dxa"/>
            <w:shd w:val="clear" w:color="auto" w:fill="E36C0A" w:themeFill="accent6" w:themeFillShade="BF"/>
            <w:textDirection w:val="btLr"/>
            <w:vAlign w:val="center"/>
            <w:hideMark/>
          </w:tcPr>
          <w:p w14:paraId="71482662" w14:textId="77777777" w:rsidR="007106E8" w:rsidRPr="00847710" w:rsidRDefault="007106E8" w:rsidP="007106E8">
            <w:pPr>
              <w:spacing w:after="0" w:line="240" w:lineRule="auto"/>
              <w:ind w:left="113" w:right="113"/>
              <w:jc w:val="center"/>
              <w:rPr>
                <w:rFonts w:ascii="Times New Roman" w:eastAsia="Times New Roman" w:hAnsi="Times New Roman" w:cs="Times New Roman"/>
                <w:b/>
                <w:bCs/>
                <w:sz w:val="20"/>
                <w:szCs w:val="20"/>
                <w:lang w:eastAsia="lv-LV"/>
              </w:rPr>
            </w:pPr>
          </w:p>
        </w:tc>
        <w:tc>
          <w:tcPr>
            <w:tcW w:w="999" w:type="dxa"/>
            <w:shd w:val="clear" w:color="auto" w:fill="E36C0A" w:themeFill="accent6" w:themeFillShade="BF"/>
            <w:textDirection w:val="btLr"/>
            <w:vAlign w:val="center"/>
            <w:hideMark/>
          </w:tcPr>
          <w:p w14:paraId="77F57782" w14:textId="45D8F4FD" w:rsidR="007106E8" w:rsidRPr="00847710" w:rsidRDefault="007106E8" w:rsidP="007106E8">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pakalpojuma vidējās izmaksas </w:t>
            </w:r>
            <w:r w:rsidR="006B12CC" w:rsidRPr="00847710">
              <w:rPr>
                <w:rFonts w:ascii="Times New Roman" w:eastAsia="Times New Roman" w:hAnsi="Times New Roman" w:cs="Times New Roman"/>
                <w:b/>
                <w:bCs/>
                <w:sz w:val="20"/>
                <w:szCs w:val="20"/>
                <w:lang w:eastAsia="lv-LV"/>
              </w:rPr>
              <w:t>*</w:t>
            </w:r>
          </w:p>
        </w:tc>
        <w:tc>
          <w:tcPr>
            <w:tcW w:w="1513" w:type="dxa"/>
            <w:shd w:val="clear" w:color="auto" w:fill="E36C0A" w:themeFill="accent6" w:themeFillShade="BF"/>
            <w:textDirection w:val="btLr"/>
            <w:vAlign w:val="center"/>
          </w:tcPr>
          <w:p w14:paraId="2A4A995B" w14:textId="77777777" w:rsidR="007106E8" w:rsidRPr="00847710" w:rsidRDefault="007106E8" w:rsidP="007106E8">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Papildus piešķiramais finansējums</w:t>
            </w:r>
          </w:p>
          <w:p w14:paraId="0AE9F521" w14:textId="77777777" w:rsidR="007106E8" w:rsidRPr="00847710" w:rsidRDefault="007106E8" w:rsidP="007106E8">
            <w:pPr>
              <w:spacing w:after="0" w:line="240" w:lineRule="auto"/>
              <w:ind w:left="113" w:right="113"/>
              <w:jc w:val="center"/>
              <w:rPr>
                <w:rFonts w:ascii="Times New Roman" w:eastAsia="Times New Roman" w:hAnsi="Times New Roman" w:cs="Times New Roman"/>
                <w:b/>
                <w:bCs/>
                <w:sz w:val="20"/>
                <w:szCs w:val="20"/>
                <w:lang w:eastAsia="lv-LV"/>
              </w:rPr>
            </w:pPr>
          </w:p>
        </w:tc>
        <w:tc>
          <w:tcPr>
            <w:tcW w:w="1735" w:type="dxa"/>
            <w:shd w:val="clear" w:color="auto" w:fill="E36C0A" w:themeFill="accent6" w:themeFillShade="BF"/>
            <w:textDirection w:val="btLr"/>
            <w:vAlign w:val="center"/>
          </w:tcPr>
          <w:p w14:paraId="4C6DA7E3" w14:textId="77777777" w:rsidR="007106E8" w:rsidRPr="00847710" w:rsidRDefault="007106E8" w:rsidP="007106E8">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r>
      <w:tr w:rsidR="00151356" w:rsidRPr="00847710" w14:paraId="1EB1709E" w14:textId="77777777" w:rsidTr="00C86312">
        <w:trPr>
          <w:trHeight w:val="505"/>
          <w:jc w:val="center"/>
        </w:trPr>
        <w:tc>
          <w:tcPr>
            <w:tcW w:w="42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051D67C8" w14:textId="77777777" w:rsidR="007106E8" w:rsidRPr="00847710" w:rsidRDefault="007106E8" w:rsidP="007106E8">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42312DD" w14:textId="77777777" w:rsidR="007106E8" w:rsidRPr="00847710" w:rsidRDefault="007106E8" w:rsidP="007106E8">
            <w:pPr>
              <w:spacing w:after="0" w:line="240" w:lineRule="auto"/>
              <w:jc w:val="center"/>
              <w:rPr>
                <w:rFonts w:ascii="Times New Roman" w:eastAsia="Times New Roman" w:hAnsi="Times New Roman" w:cs="Times New Roman"/>
                <w:color w:val="000000"/>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609777E4" w14:textId="77777777" w:rsidR="007106E8" w:rsidRPr="00C86312" w:rsidRDefault="007106E8" w:rsidP="00C8631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51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1F41F06" w14:textId="37AE1CE4" w:rsidR="007106E8" w:rsidRPr="00C86312" w:rsidRDefault="007106E8"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00EE4194" w:rsidRPr="0012317D">
              <w:rPr>
                <w:rFonts w:ascii="Times New Roman" w:eastAsia="Times New Roman" w:hAnsi="Times New Roman" w:cs="Times New Roman"/>
                <w:b/>
                <w:bCs/>
                <w:sz w:val="20"/>
                <w:szCs w:val="20"/>
                <w:lang w:eastAsia="lv-LV"/>
              </w:rPr>
              <w:t>8</w:t>
            </w:r>
          </w:p>
          <w:p w14:paraId="2D56F130" w14:textId="77777777" w:rsidR="007106E8" w:rsidRPr="00C86312" w:rsidRDefault="007106E8" w:rsidP="00C86312">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7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2F6ED4" w14:textId="77777777" w:rsidR="007106E8" w:rsidRPr="00847710" w:rsidRDefault="007106E8" w:rsidP="007106E8">
            <w:pPr>
              <w:spacing w:after="0" w:line="240" w:lineRule="auto"/>
              <w:jc w:val="center"/>
              <w:rPr>
                <w:rFonts w:ascii="Times New Roman" w:eastAsia="Times New Roman" w:hAnsi="Times New Roman" w:cs="Times New Roman"/>
                <w:b/>
                <w:sz w:val="20"/>
                <w:szCs w:val="20"/>
                <w:lang w:eastAsia="lv-LV"/>
              </w:rPr>
            </w:pPr>
          </w:p>
          <w:p w14:paraId="2EBBAE42" w14:textId="798CC5AC" w:rsidR="007106E8" w:rsidRPr="00C86312" w:rsidRDefault="007106E8"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00EE4194" w:rsidRPr="0012317D">
              <w:rPr>
                <w:rFonts w:ascii="Times New Roman" w:eastAsia="Times New Roman" w:hAnsi="Times New Roman" w:cs="Times New Roman"/>
                <w:b/>
                <w:bCs/>
                <w:sz w:val="20"/>
                <w:szCs w:val="20"/>
                <w:lang w:eastAsia="lv-LV"/>
              </w:rPr>
              <w:t>8</w:t>
            </w:r>
          </w:p>
          <w:p w14:paraId="7118DB63" w14:textId="77777777" w:rsidR="007106E8" w:rsidRPr="00847710" w:rsidRDefault="007106E8" w:rsidP="007106E8">
            <w:pPr>
              <w:spacing w:after="0" w:line="240" w:lineRule="auto"/>
              <w:jc w:val="center"/>
              <w:rPr>
                <w:rFonts w:ascii="Times New Roman" w:eastAsia="Times New Roman" w:hAnsi="Times New Roman" w:cs="Times New Roman"/>
                <w:b/>
                <w:sz w:val="20"/>
                <w:szCs w:val="20"/>
                <w:lang w:eastAsia="lv-LV"/>
              </w:rPr>
            </w:pPr>
          </w:p>
        </w:tc>
      </w:tr>
      <w:tr w:rsidR="00C0594C" w:rsidRPr="00847710" w14:paraId="63F3BD5B" w14:textId="77777777" w:rsidTr="00C86312">
        <w:trPr>
          <w:trHeight w:val="797"/>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A2495" w14:textId="77777777"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A310A" w14:textId="77777777"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Primārās diagnostikas algoritmu ieviešanai</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7F5FD" w14:textId="09111D5E"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000000"/>
                <w:sz w:val="20"/>
                <w:szCs w:val="20"/>
              </w:rPr>
              <w:t>68.16</w:t>
            </w:r>
          </w:p>
        </w:tc>
        <w:tc>
          <w:tcPr>
            <w:tcW w:w="1513" w:type="dxa"/>
            <w:tcBorders>
              <w:top w:val="single" w:sz="4" w:space="0" w:color="auto"/>
              <w:left w:val="single" w:sz="4" w:space="0" w:color="auto"/>
              <w:bottom w:val="single" w:sz="4" w:space="0" w:color="auto"/>
              <w:right w:val="single" w:sz="4" w:space="0" w:color="auto"/>
            </w:tcBorders>
            <w:vAlign w:val="center"/>
          </w:tcPr>
          <w:p w14:paraId="28D3B0B9" w14:textId="5AD99CC0" w:rsidR="00C0594C" w:rsidRPr="00C86312" w:rsidRDefault="00C0594C" w:rsidP="00C86312">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1 499 520</w:t>
            </w:r>
          </w:p>
        </w:tc>
        <w:tc>
          <w:tcPr>
            <w:tcW w:w="1735" w:type="dxa"/>
            <w:tcBorders>
              <w:top w:val="single" w:sz="4" w:space="0" w:color="auto"/>
              <w:left w:val="single" w:sz="4" w:space="0" w:color="auto"/>
              <w:bottom w:val="single" w:sz="4" w:space="0" w:color="auto"/>
              <w:right w:val="single" w:sz="4" w:space="0" w:color="auto"/>
            </w:tcBorders>
            <w:vAlign w:val="bottom"/>
          </w:tcPr>
          <w:p w14:paraId="209610A7" w14:textId="6A52AF37"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22 000,00</w:t>
            </w:r>
          </w:p>
        </w:tc>
      </w:tr>
      <w:tr w:rsidR="00C0594C" w:rsidRPr="00847710" w14:paraId="2F196182" w14:textId="77777777" w:rsidTr="00C86312">
        <w:trPr>
          <w:trHeight w:val="111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44A64" w14:textId="77777777"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69B3E" w14:textId="77777777"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Speciālistu konsultāciju izmaksu pieaugums,  atbilstoši noteiktajiem algoritmiem</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E8D36" w14:textId="518E95CC"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000000"/>
                <w:sz w:val="20"/>
                <w:szCs w:val="20"/>
              </w:rPr>
              <w:t>59.12</w:t>
            </w:r>
          </w:p>
        </w:tc>
        <w:tc>
          <w:tcPr>
            <w:tcW w:w="1513" w:type="dxa"/>
            <w:tcBorders>
              <w:top w:val="single" w:sz="4" w:space="0" w:color="auto"/>
              <w:left w:val="single" w:sz="4" w:space="0" w:color="auto"/>
              <w:bottom w:val="single" w:sz="4" w:space="0" w:color="auto"/>
              <w:right w:val="single" w:sz="4" w:space="0" w:color="auto"/>
            </w:tcBorders>
            <w:vAlign w:val="center"/>
          </w:tcPr>
          <w:p w14:paraId="6AD53A5E" w14:textId="40D4B5BF" w:rsidR="00C0594C" w:rsidRPr="00C86312" w:rsidRDefault="00C0594C" w:rsidP="00C86312">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650 320</w:t>
            </w:r>
          </w:p>
        </w:tc>
        <w:tc>
          <w:tcPr>
            <w:tcW w:w="1735" w:type="dxa"/>
            <w:tcBorders>
              <w:top w:val="single" w:sz="4" w:space="0" w:color="auto"/>
              <w:left w:val="single" w:sz="4" w:space="0" w:color="auto"/>
              <w:bottom w:val="single" w:sz="4" w:space="0" w:color="auto"/>
              <w:right w:val="single" w:sz="4" w:space="0" w:color="auto"/>
            </w:tcBorders>
            <w:vAlign w:val="bottom"/>
          </w:tcPr>
          <w:p w14:paraId="0C3B38D4" w14:textId="3B6B1B7F"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11 000,00</w:t>
            </w:r>
          </w:p>
        </w:tc>
      </w:tr>
      <w:tr w:rsidR="00C0594C" w:rsidRPr="00847710" w14:paraId="798CA03E" w14:textId="77777777" w:rsidTr="00C86312">
        <w:trPr>
          <w:trHeight w:val="117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E7A29" w14:textId="77777777"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3.</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1711A" w14:textId="77777777"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Sekundārās diagnostikas un izmeklēšanas  algoritmu ieviešanai</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CD62E" w14:textId="63C19877" w:rsidR="00C0594C" w:rsidRPr="00847710" w:rsidRDefault="00C0594C" w:rsidP="00C0594C">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159.12</w:t>
            </w:r>
          </w:p>
        </w:tc>
        <w:tc>
          <w:tcPr>
            <w:tcW w:w="1513" w:type="dxa"/>
            <w:tcBorders>
              <w:top w:val="single" w:sz="4" w:space="0" w:color="auto"/>
              <w:left w:val="single" w:sz="4" w:space="0" w:color="auto"/>
              <w:bottom w:val="single" w:sz="4" w:space="0" w:color="auto"/>
              <w:right w:val="single" w:sz="4" w:space="0" w:color="auto"/>
            </w:tcBorders>
            <w:vAlign w:val="center"/>
          </w:tcPr>
          <w:p w14:paraId="447A9BCB" w14:textId="76643884" w:rsidR="00C0594C" w:rsidRPr="00C86312" w:rsidRDefault="00C0594C" w:rsidP="00C86312">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2 332 540</w:t>
            </w:r>
          </w:p>
        </w:tc>
        <w:tc>
          <w:tcPr>
            <w:tcW w:w="1735" w:type="dxa"/>
            <w:tcBorders>
              <w:top w:val="single" w:sz="4" w:space="0" w:color="auto"/>
              <w:left w:val="single" w:sz="4" w:space="0" w:color="auto"/>
              <w:bottom w:val="single" w:sz="4" w:space="0" w:color="auto"/>
              <w:right w:val="single" w:sz="4" w:space="0" w:color="auto"/>
            </w:tcBorders>
            <w:vAlign w:val="bottom"/>
          </w:tcPr>
          <w:p w14:paraId="5103303C" w14:textId="170ABDA4"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14 659,00</w:t>
            </w:r>
          </w:p>
        </w:tc>
      </w:tr>
      <w:tr w:rsidR="00C0594C" w:rsidRPr="00847710" w14:paraId="39607301" w14:textId="77777777" w:rsidTr="00C86312">
        <w:trPr>
          <w:trHeight w:val="60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C53A7" w14:textId="77777777"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4.</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1F213" w14:textId="77777777"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Onkoloģisko pacientu skaita un prognozētās ārstēšanas izmaksu pieaugums ambulatori</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0BCE2" w14:textId="2DCE9389" w:rsidR="00C0594C" w:rsidRPr="00847710" w:rsidRDefault="00C0594C" w:rsidP="00C0594C">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356.29</w:t>
            </w:r>
          </w:p>
        </w:tc>
        <w:tc>
          <w:tcPr>
            <w:tcW w:w="1513" w:type="dxa"/>
            <w:tcBorders>
              <w:top w:val="single" w:sz="4" w:space="0" w:color="auto"/>
              <w:left w:val="single" w:sz="4" w:space="0" w:color="auto"/>
              <w:bottom w:val="single" w:sz="4" w:space="0" w:color="auto"/>
              <w:right w:val="single" w:sz="4" w:space="0" w:color="auto"/>
            </w:tcBorders>
            <w:vAlign w:val="center"/>
          </w:tcPr>
          <w:p w14:paraId="6CE1224C" w14:textId="5C0AAC63" w:rsidR="00C0594C" w:rsidRPr="00C86312" w:rsidRDefault="00C0594C" w:rsidP="00C86312">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1 177 895</w:t>
            </w:r>
          </w:p>
        </w:tc>
        <w:tc>
          <w:tcPr>
            <w:tcW w:w="1735" w:type="dxa"/>
            <w:tcBorders>
              <w:top w:val="single" w:sz="4" w:space="0" w:color="auto"/>
              <w:left w:val="single" w:sz="4" w:space="0" w:color="auto"/>
              <w:bottom w:val="single" w:sz="4" w:space="0" w:color="auto"/>
              <w:right w:val="single" w:sz="4" w:space="0" w:color="auto"/>
            </w:tcBorders>
            <w:vAlign w:val="bottom"/>
          </w:tcPr>
          <w:p w14:paraId="1E4AB7C5" w14:textId="121A02A4"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3 306,00</w:t>
            </w:r>
          </w:p>
        </w:tc>
      </w:tr>
      <w:tr w:rsidR="00C0594C" w:rsidRPr="00847710" w14:paraId="388AD7D9" w14:textId="77777777" w:rsidTr="00C86312">
        <w:trPr>
          <w:trHeight w:val="60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8BF2F" w14:textId="77777777"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B5566" w14:textId="77777777"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Onkoloģisko pacientu skaita un prognozētās ārstēšanas izmaksu pieaugums</w:t>
            </w:r>
          </w:p>
          <w:p w14:paraId="01481668" w14:textId="77777777"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stacionārā</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039EB" w14:textId="1162DA59" w:rsidR="00C0594C" w:rsidRPr="00847710" w:rsidRDefault="00C0594C" w:rsidP="00C0594C">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714.71</w:t>
            </w:r>
          </w:p>
        </w:tc>
        <w:tc>
          <w:tcPr>
            <w:tcW w:w="1513" w:type="dxa"/>
            <w:tcBorders>
              <w:top w:val="single" w:sz="4" w:space="0" w:color="auto"/>
              <w:left w:val="single" w:sz="4" w:space="0" w:color="auto"/>
              <w:bottom w:val="single" w:sz="4" w:space="0" w:color="auto"/>
              <w:right w:val="single" w:sz="4" w:space="0" w:color="auto"/>
            </w:tcBorders>
            <w:vAlign w:val="center"/>
          </w:tcPr>
          <w:p w14:paraId="73B83802" w14:textId="0D567339" w:rsidR="00C0594C" w:rsidRPr="00C86312" w:rsidRDefault="00C0594C" w:rsidP="00C86312">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2 462 176</w:t>
            </w:r>
          </w:p>
        </w:tc>
        <w:tc>
          <w:tcPr>
            <w:tcW w:w="1735" w:type="dxa"/>
            <w:tcBorders>
              <w:top w:val="single" w:sz="4" w:space="0" w:color="auto"/>
              <w:left w:val="single" w:sz="4" w:space="0" w:color="auto"/>
              <w:bottom w:val="single" w:sz="4" w:space="0" w:color="auto"/>
              <w:right w:val="single" w:sz="4" w:space="0" w:color="auto"/>
            </w:tcBorders>
            <w:vAlign w:val="bottom"/>
          </w:tcPr>
          <w:p w14:paraId="0A9FCEF0" w14:textId="0AE3FAB0"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3 445,00</w:t>
            </w:r>
          </w:p>
        </w:tc>
      </w:tr>
      <w:tr w:rsidR="00C0594C" w:rsidRPr="00847710" w14:paraId="457095A2" w14:textId="77777777" w:rsidTr="00C86312">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75ED9" w14:textId="77777777"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6.</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E7B76" w14:textId="77777777"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Kompensējamos medikamentus saņēmušo</w:t>
            </w:r>
          </w:p>
          <w:p w14:paraId="3AE2FC10" w14:textId="77777777"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pacientu un līdzekļu pieaugums onkoloģijā</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CD35F" w14:textId="187506A6" w:rsidR="00C0594C" w:rsidRPr="00847710" w:rsidRDefault="00C0594C" w:rsidP="00C0594C">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920.95</w:t>
            </w:r>
          </w:p>
        </w:tc>
        <w:tc>
          <w:tcPr>
            <w:tcW w:w="1513" w:type="dxa"/>
            <w:tcBorders>
              <w:top w:val="single" w:sz="4" w:space="0" w:color="auto"/>
              <w:left w:val="single" w:sz="4" w:space="0" w:color="auto"/>
              <w:bottom w:val="single" w:sz="4" w:space="0" w:color="auto"/>
              <w:right w:val="single" w:sz="4" w:space="0" w:color="auto"/>
            </w:tcBorders>
            <w:vAlign w:val="center"/>
          </w:tcPr>
          <w:p w14:paraId="34563C05" w14:textId="5FFB3FCF" w:rsidR="00C0594C" w:rsidRPr="00C86312" w:rsidRDefault="00C0594C" w:rsidP="00C86312">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4 138 749</w:t>
            </w:r>
          </w:p>
        </w:tc>
        <w:tc>
          <w:tcPr>
            <w:tcW w:w="1735" w:type="dxa"/>
            <w:tcBorders>
              <w:top w:val="single" w:sz="4" w:space="0" w:color="auto"/>
              <w:left w:val="single" w:sz="4" w:space="0" w:color="auto"/>
              <w:bottom w:val="single" w:sz="4" w:space="0" w:color="auto"/>
              <w:right w:val="single" w:sz="4" w:space="0" w:color="auto"/>
            </w:tcBorders>
            <w:vAlign w:val="bottom"/>
          </w:tcPr>
          <w:p w14:paraId="77EAC56D" w14:textId="6714F2C0" w:rsidR="00C0594C" w:rsidRPr="00847710" w:rsidRDefault="00C0594C"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4 494,00</w:t>
            </w:r>
          </w:p>
        </w:tc>
      </w:tr>
      <w:tr w:rsidR="00151356" w:rsidRPr="00847710" w14:paraId="2B114955" w14:textId="77777777" w:rsidTr="00C86312">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0B294285" w14:textId="77777777" w:rsidR="007106E8" w:rsidRPr="00847710" w:rsidRDefault="007106E8" w:rsidP="007106E8">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48E9938D" w14:textId="77777777" w:rsidR="007106E8" w:rsidRPr="00C86312" w:rsidRDefault="007106E8"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999"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43CE5AA5" w14:textId="77777777" w:rsidR="007106E8" w:rsidRPr="00847710" w:rsidRDefault="007106E8" w:rsidP="007106E8">
            <w:pPr>
              <w:spacing w:after="0" w:line="240" w:lineRule="auto"/>
              <w:jc w:val="center"/>
              <w:rPr>
                <w:rFonts w:ascii="Times New Roman" w:eastAsia="Times New Roman" w:hAnsi="Times New Roman" w:cs="Times New Roman"/>
                <w:b/>
                <w:sz w:val="20"/>
                <w:szCs w:val="20"/>
                <w:lang w:eastAsia="lv-LV"/>
              </w:rPr>
            </w:pPr>
          </w:p>
        </w:tc>
        <w:tc>
          <w:tcPr>
            <w:tcW w:w="1513" w:type="dxa"/>
            <w:tcBorders>
              <w:top w:val="single" w:sz="4" w:space="0" w:color="auto"/>
              <w:left w:val="single" w:sz="4" w:space="0" w:color="auto"/>
              <w:bottom w:val="single" w:sz="4" w:space="0" w:color="auto"/>
              <w:right w:val="single" w:sz="4" w:space="0" w:color="auto"/>
            </w:tcBorders>
            <w:shd w:val="clear" w:color="auto" w:fill="FCD5B4"/>
            <w:vAlign w:val="bottom"/>
          </w:tcPr>
          <w:p w14:paraId="327EA1D7" w14:textId="7F314C42" w:rsidR="007106E8" w:rsidRPr="00C86312" w:rsidRDefault="007106E8" w:rsidP="00C86312">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themeColor="text1"/>
                <w:sz w:val="20"/>
                <w:szCs w:val="20"/>
                <w:lang w:eastAsia="lv-LV"/>
              </w:rPr>
              <w:t>12 26</w:t>
            </w:r>
            <w:r w:rsidR="00C0594C" w:rsidRPr="0012317D">
              <w:rPr>
                <w:rFonts w:ascii="Times New Roman" w:eastAsia="Times New Roman" w:hAnsi="Times New Roman" w:cs="Times New Roman"/>
                <w:b/>
                <w:bCs/>
                <w:color w:val="000000" w:themeColor="text1"/>
                <w:sz w:val="20"/>
                <w:szCs w:val="20"/>
                <w:lang w:eastAsia="lv-LV"/>
              </w:rPr>
              <w:t>1</w:t>
            </w:r>
            <w:r w:rsidRPr="0012317D">
              <w:rPr>
                <w:rFonts w:ascii="Times New Roman" w:eastAsia="Times New Roman" w:hAnsi="Times New Roman" w:cs="Times New Roman"/>
                <w:b/>
                <w:bCs/>
                <w:color w:val="000000" w:themeColor="text1"/>
                <w:sz w:val="20"/>
                <w:szCs w:val="20"/>
                <w:lang w:eastAsia="lv-LV"/>
              </w:rPr>
              <w:t xml:space="preserve"> </w:t>
            </w:r>
            <w:r w:rsidR="00C0594C" w:rsidRPr="0012317D">
              <w:rPr>
                <w:rFonts w:ascii="Times New Roman" w:eastAsia="Times New Roman" w:hAnsi="Times New Roman" w:cs="Times New Roman"/>
                <w:b/>
                <w:bCs/>
                <w:color w:val="000000" w:themeColor="text1"/>
                <w:sz w:val="20"/>
                <w:szCs w:val="20"/>
                <w:lang w:eastAsia="lv-LV"/>
              </w:rPr>
              <w:t>200</w:t>
            </w:r>
          </w:p>
        </w:tc>
        <w:tc>
          <w:tcPr>
            <w:tcW w:w="1735" w:type="dxa"/>
            <w:tcBorders>
              <w:top w:val="single" w:sz="4" w:space="0" w:color="auto"/>
              <w:left w:val="single" w:sz="4" w:space="0" w:color="auto"/>
              <w:bottom w:val="single" w:sz="4" w:space="0" w:color="auto"/>
              <w:right w:val="single" w:sz="4" w:space="0" w:color="auto"/>
            </w:tcBorders>
            <w:shd w:val="clear" w:color="auto" w:fill="FCD5B4"/>
            <w:vAlign w:val="bottom"/>
          </w:tcPr>
          <w:p w14:paraId="6AC49E14" w14:textId="72B07ED7" w:rsidR="007106E8" w:rsidRPr="00C86312" w:rsidRDefault="007D4098"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58 904,00</w:t>
            </w:r>
          </w:p>
        </w:tc>
      </w:tr>
    </w:tbl>
    <w:p w14:paraId="615FCA09" w14:textId="77777777" w:rsidR="006B12CC" w:rsidRPr="00847710" w:rsidRDefault="006B12CC" w:rsidP="006B12CC">
      <w:pPr>
        <w:autoSpaceDE w:val="0"/>
        <w:autoSpaceDN w:val="0"/>
        <w:adjustRightInd w:val="0"/>
        <w:spacing w:after="120"/>
        <w:ind w:firstLine="720"/>
        <w:jc w:val="both"/>
        <w:rPr>
          <w:rFonts w:ascii="Times New Roman" w:hAnsi="Times New Roman" w:cs="Times New Roman"/>
          <w:sz w:val="20"/>
          <w:szCs w:val="20"/>
        </w:rPr>
      </w:pPr>
      <w:r w:rsidRPr="00847710">
        <w:rPr>
          <w:rFonts w:ascii="Times New Roman" w:hAnsi="Times New Roman" w:cs="Times New Roman"/>
          <w:sz w:val="20"/>
          <w:szCs w:val="20"/>
        </w:rPr>
        <w:t xml:space="preserve">* pakalpojumu tarifs ar 2017.gada darba samaksu. Darba samaksas pieaugums esošajiem pakalpojumiem nodrošināts no </w:t>
      </w:r>
      <w:r w:rsidRPr="00847710">
        <w:rPr>
          <w:rFonts w:ascii="Times New Roman" w:eastAsia="Times New Roman" w:hAnsi="Times New Roman" w:cs="Times New Roman"/>
          <w:noProof/>
          <w:sz w:val="20"/>
          <w:szCs w:val="20"/>
          <w:lang w:bidi="gu-IN"/>
        </w:rPr>
        <w:t>papildus finansējuma piešķīruma nozarei sasitībā ar 1% palielinājumu sociālajām iemaksām</w:t>
      </w:r>
    </w:p>
    <w:p w14:paraId="1FD5A1A9" w14:textId="77777777" w:rsidR="007106E8" w:rsidRPr="00847710" w:rsidRDefault="007106E8" w:rsidP="00D45321">
      <w:pPr>
        <w:ind w:firstLine="709"/>
        <w:jc w:val="both"/>
        <w:rPr>
          <w:rFonts w:ascii="Times New Roman" w:hAnsi="Times New Roman" w:cs="Times New Roman"/>
          <w:sz w:val="24"/>
          <w:szCs w:val="24"/>
          <w:lang w:eastAsia="lv-LV"/>
        </w:rPr>
      </w:pPr>
    </w:p>
    <w:p w14:paraId="16749AED" w14:textId="646834CE" w:rsidR="00D45321" w:rsidRPr="00847710" w:rsidRDefault="004F5743" w:rsidP="00D45321">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Lai nodrošinātu minēto mērķu sasniegšanu plānots tālāk paplašināt onkoloģijas jomas reformu īstenošanu.</w:t>
      </w:r>
    </w:p>
    <w:p w14:paraId="00356D88" w14:textId="10ACAE37" w:rsidR="003A5334" w:rsidRPr="00C86312" w:rsidRDefault="00D51183" w:rsidP="00C86312">
      <w:pPr>
        <w:pStyle w:val="Heading2"/>
        <w:spacing w:before="0"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2.2.</w:t>
      </w:r>
      <w:r w:rsidR="00CB0EB0" w:rsidRPr="0012317D">
        <w:rPr>
          <w:rFonts w:ascii="Times New Roman" w:hAnsi="Times New Roman" w:cs="Times New Roman"/>
          <w:b/>
          <w:bCs/>
          <w:color w:val="auto"/>
          <w:sz w:val="24"/>
          <w:szCs w:val="24"/>
          <w:u w:val="single"/>
        </w:rPr>
        <w:t xml:space="preserve"> Jaunā</w:t>
      </w:r>
      <w:r w:rsidRPr="0012317D">
        <w:rPr>
          <w:rFonts w:ascii="Times New Roman" w:hAnsi="Times New Roman" w:cs="Times New Roman"/>
          <w:b/>
          <w:bCs/>
          <w:color w:val="auto"/>
          <w:sz w:val="24"/>
          <w:szCs w:val="24"/>
          <w:u w:val="single"/>
        </w:rPr>
        <w:t xml:space="preserve"> reformas iniciatīva </w:t>
      </w:r>
      <w:r w:rsidRPr="0012317D">
        <w:rPr>
          <w:rFonts w:ascii="Times New Roman" w:hAnsi="Times New Roman" w:cs="Times New Roman"/>
          <w:b/>
          <w:bCs/>
          <w:sz w:val="24"/>
          <w:szCs w:val="24"/>
          <w:u w:val="single"/>
        </w:rPr>
        <w:t xml:space="preserve">- </w:t>
      </w:r>
      <w:r w:rsidRPr="0078794A">
        <w:rPr>
          <w:rFonts w:ascii="Times New Roman" w:hAnsi="Times New Roman" w:cs="Times New Roman"/>
          <w:b/>
          <w:bCs/>
          <w:color w:val="auto"/>
          <w:sz w:val="24"/>
          <w:szCs w:val="24"/>
          <w:u w:val="single"/>
        </w:rPr>
        <w:t>p</w:t>
      </w:r>
      <w:r w:rsidR="005A4F14" w:rsidRPr="00BD7921">
        <w:rPr>
          <w:rFonts w:ascii="Times New Roman" w:hAnsi="Times New Roman" w:cs="Times New Roman"/>
          <w:b/>
          <w:bCs/>
          <w:color w:val="auto"/>
          <w:sz w:val="24"/>
          <w:szCs w:val="24"/>
          <w:u w:val="single"/>
        </w:rPr>
        <w:t>ozitronu emisijas tomogrāfija/ datortomogrāfija</w:t>
      </w:r>
    </w:p>
    <w:p w14:paraId="14545106" w14:textId="0D0D55F8" w:rsidR="0048111C" w:rsidRPr="00847710" w:rsidRDefault="0048111C" w:rsidP="0048111C">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Lai gan pakāpeniski pieaug agrīni atklāto gadījumu skaits, tomēr joprojām augsts saglabājas 3.stadijas gadījumu īpatsvars (2009.gadā 18,3%, 2014. gadā 16,5% un 2015.g. </w:t>
      </w:r>
      <w:r w:rsidRPr="00847710">
        <w:rPr>
          <w:rFonts w:ascii="Times New Roman" w:hAnsi="Times New Roman" w:cs="Times New Roman"/>
          <w:sz w:val="24"/>
          <w:szCs w:val="24"/>
          <w:lang w:eastAsia="lv-LV"/>
        </w:rPr>
        <w:lastRenderedPageBreak/>
        <w:t>16,5%), bet 4.stadijā attiecīgi 21,0%, 20,6% un 2015.gadā 20,3%. Jāuzsver, ka agrīna vēža atklāšana ir viens no būtiskiem faktoriem veselības atgūšanā. Pirmā gada letalitāte</w:t>
      </w:r>
      <w:r w:rsidR="007A05F9" w:rsidRPr="00847710">
        <w:rPr>
          <w:rFonts w:ascii="Times New Roman" w:hAnsi="Times New Roman" w:cs="Times New Roman"/>
          <w:sz w:val="24"/>
          <w:szCs w:val="24"/>
          <w:lang w:eastAsia="lv-LV"/>
        </w:rPr>
        <w:t xml:space="preserve"> (mirstība)</w:t>
      </w:r>
      <w:r w:rsidRPr="00847710">
        <w:rPr>
          <w:rFonts w:ascii="Times New Roman" w:hAnsi="Times New Roman" w:cs="Times New Roman"/>
          <w:sz w:val="24"/>
          <w:szCs w:val="24"/>
          <w:lang w:eastAsia="lv-LV"/>
        </w:rPr>
        <w:t xml:space="preserve"> un piecu gadu dzīvildze</w:t>
      </w:r>
      <w:r w:rsidRPr="00847710">
        <w:rPr>
          <w:rFonts w:ascii="Times New Roman" w:hAnsi="Times New Roman" w:cs="Times New Roman"/>
          <w:sz w:val="24"/>
          <w:szCs w:val="24"/>
          <w:vertAlign w:val="superscript"/>
          <w:lang w:eastAsia="lv-LV"/>
        </w:rPr>
        <w:t>10</w:t>
      </w:r>
      <w:r w:rsidRPr="00847710">
        <w:rPr>
          <w:rFonts w:ascii="Times New Roman" w:hAnsi="Times New Roman" w:cs="Times New Roman"/>
          <w:sz w:val="24"/>
          <w:szCs w:val="24"/>
          <w:lang w:eastAsia="lv-LV"/>
        </w:rPr>
        <w:t xml:space="preserve"> ir saistāma ar audzēja stadiju diagnozes noteikšanas brīdī - 2014.gadā vēlīni diagnosticētajiem audzējiem (4.stadijā) pirmā gada letalitāte bija 74,1%, bet agrīni diagnosticētiem audzējiem (1.stadijā) - 4,6%. Savukārt, piecgadu dzīvildze 4.stadijā 2010.gadā diagnosticētajiem audzējiem bija tikai 8,7%, bet 1.stadijā - 81,3%. Tādējādi svarīgi ir biežāk konstatēt saslimstību ar vēzi  1. – 2. stadijā. </w:t>
      </w:r>
    </w:p>
    <w:p w14:paraId="01B517AB" w14:textId="7BB88355" w:rsidR="0048111C" w:rsidRPr="00847710" w:rsidRDefault="0048111C" w:rsidP="0048111C">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Pozitronu emisijas tomogrāfija/datortomogrāfija (turpmāk</w:t>
      </w:r>
      <w:r w:rsidR="00F346C5" w:rsidRPr="00847710">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 xml:space="preserve"> PET/DT) Eiropas un pasaules kontekstā ir modernākā  metode (specifiskums, jutīgums) primāro un sekundāro izmaiņu  precizēšanai vēža diagnostikā, ka arī slimības recidīvu atklāšanā. Metode, </w:t>
      </w:r>
      <w:r w:rsidR="00CF0768" w:rsidRPr="00847710">
        <w:rPr>
          <w:rFonts w:ascii="Times New Roman" w:hAnsi="Times New Roman" w:cs="Times New Roman"/>
          <w:sz w:val="24"/>
          <w:szCs w:val="24"/>
          <w:lang w:eastAsia="lv-LV"/>
        </w:rPr>
        <w:t xml:space="preserve">ar kuras palīdzību </w:t>
      </w:r>
      <w:r w:rsidRPr="00847710">
        <w:rPr>
          <w:rFonts w:ascii="Times New Roman" w:hAnsi="Times New Roman" w:cs="Times New Roman"/>
          <w:sz w:val="24"/>
          <w:szCs w:val="24"/>
          <w:lang w:eastAsia="lv-LV"/>
        </w:rPr>
        <w:t xml:space="preserve">agrīni reģistrē vēža šūnu bioķīmisko aktivitāti atšķirībā no citām kvantitatīvām šūnu izmaiņu metodēm, nepieciešams izmeklējums pirms lutēcija terapijas uzsākšanas. PET/DT ir radioloģisks izmeklējums, izmantojot specifisku radioaktīvo izotopu ievadīšanu, galvenokārt, dažādu orgānu sistēmu ļaundabīgu audzēju diagnostikai, diferenciāldiagnostikai un ārstēšanas  efektivitātes kontrolei. Izmantojot PET/DT </w:t>
      </w:r>
      <w:r w:rsidR="003A5334" w:rsidRPr="00847710">
        <w:rPr>
          <w:rFonts w:ascii="Times New Roman" w:hAnsi="Times New Roman" w:cs="Times New Roman"/>
          <w:sz w:val="24"/>
          <w:szCs w:val="24"/>
          <w:lang w:eastAsia="lv-LV"/>
        </w:rPr>
        <w:t xml:space="preserve">iespējams </w:t>
      </w:r>
      <w:r w:rsidRPr="00847710">
        <w:rPr>
          <w:rFonts w:ascii="Times New Roman" w:hAnsi="Times New Roman" w:cs="Times New Roman"/>
          <w:sz w:val="24"/>
          <w:szCs w:val="24"/>
          <w:lang w:eastAsia="lv-LV"/>
        </w:rPr>
        <w:t xml:space="preserve">biežāk konstatēt saslimstību ar vēzi  1.-2.stadijā, iespējama agrīna vēža recidīva un metastāžu konstatēšana. Izmantojot PET/DT, 30-70% gadījumos pēc audzēju atklāšanas tiek mainīta terapijas stratēģija. </w:t>
      </w:r>
    </w:p>
    <w:p w14:paraId="61B1B611" w14:textId="3FBC4A77" w:rsidR="00D265D7" w:rsidRPr="00847710" w:rsidRDefault="0048111C" w:rsidP="0048111C">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Plānots no valsts budžeta līdzekļiem </w:t>
      </w:r>
      <w:r w:rsidR="00F43208" w:rsidRPr="00847710">
        <w:rPr>
          <w:rFonts w:ascii="Times New Roman" w:hAnsi="Times New Roman" w:cs="Times New Roman"/>
          <w:sz w:val="24"/>
          <w:szCs w:val="24"/>
          <w:lang w:eastAsia="lv-LV"/>
        </w:rPr>
        <w:t xml:space="preserve">ar 2018.gada 1.jūliju </w:t>
      </w:r>
      <w:r w:rsidRPr="00847710">
        <w:rPr>
          <w:rFonts w:ascii="Times New Roman" w:hAnsi="Times New Roman" w:cs="Times New Roman"/>
          <w:sz w:val="24"/>
          <w:szCs w:val="24"/>
          <w:lang w:eastAsia="lv-LV"/>
        </w:rPr>
        <w:t xml:space="preserve">apmaksāt PET/DT izmeklējumus personām ar aizdomām par ļaundabīgu audzēju </w:t>
      </w:r>
      <w:r w:rsidR="003A5334" w:rsidRPr="00847710">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krūts vēzis</w:t>
      </w:r>
      <w:r w:rsidR="001B5E9F" w:rsidRPr="00847710">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bronhu, plaušu vēzis</w:t>
      </w:r>
      <w:r w:rsidR="001B5E9F" w:rsidRPr="00847710">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resnās un taisnās zarnas vēzis</w:t>
      </w:r>
      <w:r w:rsidR="001B5E9F" w:rsidRPr="00847710">
        <w:rPr>
          <w:rFonts w:ascii="Times New Roman" w:hAnsi="Times New Roman" w:cs="Times New Roman"/>
          <w:sz w:val="24"/>
          <w:szCs w:val="24"/>
          <w:lang w:eastAsia="lv-LV"/>
        </w:rPr>
        <w:t xml:space="preserve"> </w:t>
      </w:r>
      <w:r w:rsidR="00240A7A" w:rsidRPr="00847710">
        <w:rPr>
          <w:rFonts w:ascii="Times New Roman" w:hAnsi="Times New Roman" w:cs="Times New Roman"/>
          <w:sz w:val="24"/>
          <w:szCs w:val="24"/>
          <w:lang w:eastAsia="lv-LV"/>
        </w:rPr>
        <w:t>un mela</w:t>
      </w:r>
      <w:r w:rsidRPr="00847710">
        <w:rPr>
          <w:rFonts w:ascii="Times New Roman" w:hAnsi="Times New Roman" w:cs="Times New Roman"/>
          <w:sz w:val="24"/>
          <w:szCs w:val="24"/>
          <w:lang w:eastAsia="lv-LV"/>
        </w:rPr>
        <w:t>nom</w:t>
      </w:r>
      <w:r w:rsidR="003A5334" w:rsidRPr="00847710">
        <w:rPr>
          <w:rFonts w:ascii="Times New Roman" w:hAnsi="Times New Roman" w:cs="Times New Roman"/>
          <w:sz w:val="24"/>
          <w:szCs w:val="24"/>
          <w:lang w:eastAsia="lv-LV"/>
        </w:rPr>
        <w:t>a</w:t>
      </w:r>
      <w:r w:rsidRPr="00847710">
        <w:rPr>
          <w:rFonts w:ascii="Times New Roman" w:hAnsi="Times New Roman" w:cs="Times New Roman"/>
          <w:sz w:val="24"/>
          <w:szCs w:val="24"/>
          <w:lang w:eastAsia="lv-LV"/>
        </w:rPr>
        <w:t>, ja par izmeklējuma nepieciešamību tiks saņemts ārstu konsīlija lēmums</w:t>
      </w:r>
      <w:r w:rsidR="0065299A" w:rsidRPr="00847710">
        <w:rPr>
          <w:rFonts w:ascii="Times New Roman" w:hAnsi="Times New Roman" w:cs="Times New Roman"/>
          <w:sz w:val="24"/>
          <w:szCs w:val="24"/>
          <w:lang w:eastAsia="lv-LV"/>
        </w:rPr>
        <w:t>, pamatojot izmeklējuma nepieciešamību atbilstoši apstiprinātam ārstēšanas algoritmam</w:t>
      </w:r>
      <w:r w:rsidRPr="00847710">
        <w:rPr>
          <w:rFonts w:ascii="Times New Roman" w:hAnsi="Times New Roman" w:cs="Times New Roman"/>
          <w:sz w:val="24"/>
          <w:szCs w:val="24"/>
          <w:lang w:eastAsia="lv-LV"/>
        </w:rPr>
        <w:t>.</w:t>
      </w:r>
    </w:p>
    <w:p w14:paraId="3581999D" w14:textId="5C4B86AC" w:rsidR="006C7E4C" w:rsidRPr="00847710" w:rsidRDefault="00E33AF5" w:rsidP="0048111C">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PET/DT izmeklējums plānots pirmreizēji diagnosticētiem pacientiem ar II un III stadijas audzēju, kopumā vidēji 1 287 pacientiem gadā, līdz ar to ar gadā pieejamo izmeklējumu apjomu (217 pakalpojumi pusgadā * 2), tiks nodrošināti 34% no nepieciešamajiem izmeklējumiem, ko 2019.gadā plānots palielināt, lai nodrošinātu, ka tiek veikti vismaz 50% no nepieciešamajiem izmeklējumiem, tādējādi būtiski risinot problēmu.</w:t>
      </w:r>
    </w:p>
    <w:p w14:paraId="0CA9C307" w14:textId="020879EE" w:rsidR="004B129D" w:rsidRPr="00C86312" w:rsidRDefault="00026045">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DE3C94">
        <w:rPr>
          <w:rFonts w:ascii="Times New Roman" w:hAnsi="Times New Roman" w:cs="Times New Roman"/>
          <w:i/>
          <w:iCs/>
          <w:sz w:val="24"/>
          <w:szCs w:val="24"/>
        </w:rPr>
        <w:t>7</w:t>
      </w:r>
      <w:r w:rsidR="004B129D" w:rsidRPr="57326167">
        <w:rPr>
          <w:rFonts w:ascii="Times New Roman" w:hAnsi="Times New Roman" w:cs="Times New Roman"/>
          <w:i/>
          <w:iCs/>
          <w:sz w:val="24"/>
          <w:szCs w:val="24"/>
        </w:rPr>
        <w:t xml:space="preserve">.tabula </w:t>
      </w:r>
    </w:p>
    <w:p w14:paraId="0797A0FB" w14:textId="0386B3EB" w:rsidR="004B129D" w:rsidRPr="00C86312" w:rsidRDefault="004B129D">
      <w:pPr>
        <w:jc w:val="center"/>
        <w:rPr>
          <w:rFonts w:ascii="Times New Roman" w:hAnsi="Times New Roman" w:cs="Times New Roman"/>
          <w:b/>
          <w:bCs/>
          <w:color w:val="000000"/>
          <w:sz w:val="24"/>
          <w:szCs w:val="24"/>
        </w:rPr>
      </w:pPr>
      <w:r w:rsidRPr="0012317D">
        <w:rPr>
          <w:rFonts w:ascii="Times New Roman" w:hAnsi="Times New Roman" w:cs="Times New Roman"/>
          <w:b/>
          <w:bCs/>
          <w:sz w:val="24"/>
          <w:szCs w:val="24"/>
          <w:lang w:eastAsia="lv-LV"/>
        </w:rPr>
        <w:t>PET/DT izmeklējumu</w:t>
      </w:r>
      <w:r w:rsidRPr="0012317D">
        <w:rPr>
          <w:rFonts w:ascii="Times New Roman" w:hAnsi="Times New Roman" w:cs="Times New Roman"/>
          <w:b/>
          <w:bCs/>
          <w:sz w:val="24"/>
          <w:szCs w:val="24"/>
        </w:rPr>
        <w:t xml:space="preserve"> nodrošināšanai nepieciešamais finansējums</w:t>
      </w:r>
      <w:r w:rsidR="008924C4" w:rsidRPr="0012317D">
        <w:rPr>
          <w:rFonts w:ascii="Times New Roman" w:hAnsi="Times New Roman" w:cs="Times New Roman"/>
          <w:b/>
          <w:bCs/>
          <w:sz w:val="24"/>
          <w:szCs w:val="24"/>
        </w:rPr>
        <w:t xml:space="preserve"> 2018.gada 2.pusgadam</w:t>
      </w:r>
      <w:r w:rsidR="00F43208" w:rsidRPr="0012317D">
        <w:rPr>
          <w:rFonts w:ascii="Times New Roman" w:hAnsi="Times New Roman" w:cs="Times New Roman"/>
          <w:b/>
          <w:bCs/>
          <w:sz w:val="24"/>
          <w:szCs w:val="24"/>
        </w:rPr>
        <w:t>*</w:t>
      </w:r>
    </w:p>
    <w:tbl>
      <w:tblPr>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38"/>
        <w:gridCol w:w="1134"/>
        <w:gridCol w:w="1559"/>
        <w:gridCol w:w="1559"/>
        <w:gridCol w:w="1285"/>
        <w:gridCol w:w="1272"/>
        <w:gridCol w:w="1272"/>
        <w:gridCol w:w="1272"/>
      </w:tblGrid>
      <w:tr w:rsidR="00FB6C80" w:rsidRPr="00847710" w14:paraId="07522FB1" w14:textId="77777777" w:rsidTr="00C86312">
        <w:trPr>
          <w:cantSplit/>
          <w:trHeight w:val="1656"/>
        </w:trPr>
        <w:tc>
          <w:tcPr>
            <w:tcW w:w="426" w:type="dxa"/>
            <w:shd w:val="clear" w:color="auto" w:fill="E36C0A" w:themeFill="accent6" w:themeFillShade="BF"/>
            <w:vAlign w:val="center"/>
            <w:hideMark/>
          </w:tcPr>
          <w:p w14:paraId="01772FC0" w14:textId="77777777" w:rsidR="009529E6" w:rsidRPr="00847710" w:rsidRDefault="009529E6" w:rsidP="00D36B81">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E36C0A" w:themeFill="accent6" w:themeFillShade="BF"/>
            <w:vAlign w:val="center"/>
            <w:hideMark/>
          </w:tcPr>
          <w:p w14:paraId="546F9032" w14:textId="77777777" w:rsidR="009529E6" w:rsidRPr="00847710" w:rsidRDefault="009529E6" w:rsidP="00D36B81">
            <w:pPr>
              <w:spacing w:after="0" w:line="240" w:lineRule="auto"/>
              <w:rPr>
                <w:rFonts w:ascii="Times New Roman" w:eastAsia="Times New Roman" w:hAnsi="Times New Roman" w:cs="Times New Roman"/>
                <w:b/>
                <w:sz w:val="20"/>
                <w:szCs w:val="20"/>
                <w:lang w:eastAsia="lv-LV"/>
              </w:rPr>
            </w:pPr>
          </w:p>
        </w:tc>
        <w:tc>
          <w:tcPr>
            <w:tcW w:w="1134" w:type="dxa"/>
            <w:shd w:val="clear" w:color="auto" w:fill="E36C0A" w:themeFill="accent6" w:themeFillShade="BF"/>
            <w:textDirection w:val="btLr"/>
            <w:vAlign w:val="center"/>
            <w:hideMark/>
          </w:tcPr>
          <w:p w14:paraId="56FBB7E3" w14:textId="77777777" w:rsidR="009529E6" w:rsidRPr="00847710" w:rsidRDefault="009529E6" w:rsidP="00D36B8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11CA7016" w14:textId="77777777" w:rsidR="009529E6" w:rsidRPr="00847710" w:rsidRDefault="009529E6" w:rsidP="00D36B8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1E3AAFB2" w14:textId="77777777" w:rsidR="009529E6" w:rsidRPr="00847710" w:rsidRDefault="009529E6" w:rsidP="00D36B81">
            <w:pPr>
              <w:spacing w:after="0" w:line="240" w:lineRule="auto"/>
              <w:ind w:left="113" w:right="113"/>
              <w:jc w:val="center"/>
              <w:rPr>
                <w:rFonts w:ascii="Times New Roman" w:eastAsia="Times New Roman" w:hAnsi="Times New Roman" w:cs="Times New Roman"/>
                <w:b/>
                <w:bCs/>
                <w:sz w:val="20"/>
                <w:szCs w:val="20"/>
                <w:lang w:eastAsia="lv-LV"/>
              </w:rPr>
            </w:pPr>
          </w:p>
        </w:tc>
        <w:tc>
          <w:tcPr>
            <w:tcW w:w="3118" w:type="dxa"/>
            <w:gridSpan w:val="2"/>
            <w:shd w:val="clear" w:color="auto" w:fill="E36C0A" w:themeFill="accent6" w:themeFillShade="BF"/>
            <w:textDirection w:val="btLr"/>
            <w:vAlign w:val="center"/>
            <w:hideMark/>
          </w:tcPr>
          <w:p w14:paraId="4C72FFE1" w14:textId="77777777" w:rsidR="009529E6" w:rsidRPr="00847710" w:rsidRDefault="009529E6" w:rsidP="00D36B8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A" w:themeFill="accent6" w:themeFillShade="BF"/>
            <w:textDirection w:val="btLr"/>
            <w:vAlign w:val="center"/>
            <w:hideMark/>
          </w:tcPr>
          <w:p w14:paraId="72CF27C3" w14:textId="77777777" w:rsidR="009529E6" w:rsidRPr="00847710" w:rsidRDefault="009529E6" w:rsidP="00D36B8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A" w:themeFill="accent6" w:themeFillShade="BF"/>
            <w:textDirection w:val="btLr"/>
            <w:vAlign w:val="center"/>
          </w:tcPr>
          <w:p w14:paraId="1035598E" w14:textId="77777777" w:rsidR="009529E6" w:rsidRPr="00847710" w:rsidRDefault="009529E6" w:rsidP="00D36B8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A" w:themeFill="accent6" w:themeFillShade="BF"/>
            <w:textDirection w:val="btLr"/>
            <w:vAlign w:val="center"/>
            <w:hideMark/>
          </w:tcPr>
          <w:p w14:paraId="69B95DD9" w14:textId="77777777" w:rsidR="009529E6" w:rsidRPr="00847710" w:rsidRDefault="009529E6" w:rsidP="00D36B8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FB6C80" w:rsidRPr="00847710" w14:paraId="599C3272" w14:textId="77777777" w:rsidTr="00C86312">
        <w:trPr>
          <w:trHeight w:val="640"/>
        </w:trPr>
        <w:tc>
          <w:tcPr>
            <w:tcW w:w="426" w:type="dxa"/>
            <w:shd w:val="clear" w:color="auto" w:fill="FABF8F" w:themeFill="accent6" w:themeFillTint="99"/>
            <w:vAlign w:val="center"/>
          </w:tcPr>
          <w:p w14:paraId="76FC5551" w14:textId="77777777" w:rsidR="009529E6" w:rsidRPr="00847710" w:rsidRDefault="009529E6" w:rsidP="00D36B81">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FABF8F" w:themeFill="accent6" w:themeFillTint="99"/>
            <w:vAlign w:val="center"/>
          </w:tcPr>
          <w:p w14:paraId="4961F139" w14:textId="77777777" w:rsidR="009529E6" w:rsidRPr="00847710" w:rsidRDefault="009529E6" w:rsidP="00D36B81">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ABF8F" w:themeFill="accent6" w:themeFillTint="99"/>
            <w:vAlign w:val="center"/>
          </w:tcPr>
          <w:p w14:paraId="4D6FE7A8" w14:textId="77777777" w:rsidR="009529E6" w:rsidRPr="00847710" w:rsidRDefault="009529E6" w:rsidP="00D36B81">
            <w:pPr>
              <w:spacing w:after="0" w:line="240" w:lineRule="auto"/>
              <w:jc w:val="center"/>
              <w:rPr>
                <w:rFonts w:ascii="Times New Roman" w:eastAsia="Times New Roman" w:hAnsi="Times New Roman" w:cs="Times New Roman"/>
                <w:i/>
                <w:iCs/>
                <w:sz w:val="20"/>
                <w:szCs w:val="20"/>
                <w:lang w:eastAsia="lv-LV"/>
              </w:rPr>
            </w:pPr>
          </w:p>
          <w:p w14:paraId="5916EA9A" w14:textId="77777777" w:rsidR="009529E6" w:rsidRPr="00847710" w:rsidRDefault="009529E6" w:rsidP="00D36B81">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5F32F63A" w14:textId="77777777" w:rsidR="009529E6" w:rsidRPr="00847710" w:rsidRDefault="009529E6" w:rsidP="00D36B8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14:paraId="411CF892" w14:textId="77777777" w:rsidR="009529E6" w:rsidRPr="00847710" w:rsidRDefault="009529E6" w:rsidP="00D36B81">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0F78C94A" w14:textId="77777777" w:rsidR="009529E6" w:rsidRPr="00847710" w:rsidRDefault="009529E6" w:rsidP="00D36B8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14:paraId="27CEE3F7" w14:textId="77777777" w:rsidR="009529E6" w:rsidRPr="00847710" w:rsidRDefault="009529E6" w:rsidP="00D36B81">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BF8F" w:themeFill="accent6" w:themeFillTint="99"/>
            <w:vAlign w:val="center"/>
          </w:tcPr>
          <w:p w14:paraId="470C4A87" w14:textId="77777777" w:rsidR="009529E6" w:rsidRPr="00847710" w:rsidRDefault="009529E6" w:rsidP="00D36B81">
            <w:pPr>
              <w:spacing w:after="0" w:line="240" w:lineRule="auto"/>
              <w:jc w:val="center"/>
              <w:rPr>
                <w:rFonts w:ascii="Times New Roman" w:eastAsia="Times New Roman" w:hAnsi="Times New Roman" w:cs="Times New Roman"/>
                <w:bCs/>
                <w:i/>
                <w:iCs/>
                <w:sz w:val="20"/>
                <w:szCs w:val="20"/>
                <w:lang w:eastAsia="lv-LV"/>
              </w:rPr>
            </w:pPr>
          </w:p>
          <w:p w14:paraId="3D94080B" w14:textId="77777777" w:rsidR="009529E6" w:rsidRPr="00C86312" w:rsidRDefault="009529E6" w:rsidP="00C8631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BF8F" w:themeFill="accent6" w:themeFillTint="99"/>
            <w:vAlign w:val="center"/>
          </w:tcPr>
          <w:p w14:paraId="73055028" w14:textId="77777777" w:rsidR="009529E6" w:rsidRPr="00847710" w:rsidRDefault="009529E6" w:rsidP="00D36B8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BF8F" w:themeFill="accent6" w:themeFillTint="99"/>
            <w:vAlign w:val="center"/>
          </w:tcPr>
          <w:p w14:paraId="2DE0F748" w14:textId="77777777" w:rsidR="009529E6" w:rsidRPr="00847710" w:rsidRDefault="009529E6" w:rsidP="00D36B8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BF8F" w:themeFill="accent6" w:themeFillTint="99"/>
            <w:vAlign w:val="center"/>
          </w:tcPr>
          <w:p w14:paraId="2A7B5C99" w14:textId="77777777" w:rsidR="009529E6" w:rsidRPr="00847710" w:rsidRDefault="009529E6" w:rsidP="00D36B8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rsidR="009529E6" w:rsidRPr="00847710" w14:paraId="2108610E" w14:textId="77777777" w:rsidTr="00C86312">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82996" w14:textId="77777777" w:rsidR="009529E6" w:rsidRPr="00847710" w:rsidRDefault="009529E6" w:rsidP="00D36B8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04817" w14:textId="7652BFB4" w:rsidR="009529E6" w:rsidRPr="00847710" w:rsidRDefault="009529E6" w:rsidP="00D36B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Pozitronu emisijas tomogrāfija/datortomogrāfija (PET/DT)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A8A12" w14:textId="35EA555A" w:rsidR="009529E6" w:rsidRPr="00847710" w:rsidRDefault="009529E6" w:rsidP="00511732">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w:t>
            </w:r>
            <w:r w:rsidR="00FD0087" w:rsidRPr="00847710">
              <w:rPr>
                <w:rFonts w:ascii="Times New Roman" w:hAnsi="Times New Roman" w:cs="Times New Roman"/>
                <w:sz w:val="20"/>
                <w:szCs w:val="20"/>
              </w:rPr>
              <w:t> 085,</w:t>
            </w:r>
            <w:r w:rsidRPr="00847710">
              <w:rPr>
                <w:rFonts w:ascii="Times New Roman" w:hAnsi="Times New Roman" w:cs="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FCE13" w14:textId="77777777" w:rsidR="009529E6" w:rsidRPr="00847710" w:rsidRDefault="009529E6" w:rsidP="00D36B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17A35" w14:textId="77777777" w:rsidR="009529E6" w:rsidRPr="00847710" w:rsidRDefault="009529E6" w:rsidP="00D36B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A0BC8" w14:textId="53F3426E" w:rsidR="009529E6" w:rsidRPr="00847710" w:rsidRDefault="009529E6" w:rsidP="00D36B81">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235 473</w:t>
            </w:r>
          </w:p>
        </w:tc>
        <w:tc>
          <w:tcPr>
            <w:tcW w:w="1272" w:type="dxa"/>
            <w:tcBorders>
              <w:top w:val="single" w:sz="4" w:space="0" w:color="auto"/>
              <w:left w:val="single" w:sz="4" w:space="0" w:color="auto"/>
              <w:bottom w:val="single" w:sz="4" w:space="0" w:color="auto"/>
              <w:right w:val="single" w:sz="4" w:space="0" w:color="auto"/>
            </w:tcBorders>
            <w:vAlign w:val="bottom"/>
          </w:tcPr>
          <w:p w14:paraId="19D2F144" w14:textId="77777777" w:rsidR="009529E6" w:rsidRPr="00C86312" w:rsidRDefault="009529E6" w:rsidP="00C86312">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w:t>
            </w:r>
          </w:p>
        </w:tc>
        <w:tc>
          <w:tcPr>
            <w:tcW w:w="1272" w:type="dxa"/>
            <w:tcBorders>
              <w:top w:val="single" w:sz="4" w:space="0" w:color="auto"/>
              <w:left w:val="single" w:sz="4" w:space="0" w:color="auto"/>
              <w:bottom w:val="single" w:sz="4" w:space="0" w:color="auto"/>
              <w:right w:val="single" w:sz="4" w:space="0" w:color="auto"/>
            </w:tcBorders>
            <w:vAlign w:val="bottom"/>
          </w:tcPr>
          <w:p w14:paraId="4C7E8FF9" w14:textId="4C5C59CF" w:rsidR="009529E6" w:rsidRPr="00C86312" w:rsidRDefault="00200CB0"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62E3B" w14:textId="0E66A919" w:rsidR="009529E6" w:rsidRPr="00C86312" w:rsidRDefault="009529E6"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217</w:t>
            </w:r>
          </w:p>
        </w:tc>
      </w:tr>
      <w:tr w:rsidR="00FB6C80" w:rsidRPr="00847710" w14:paraId="0FA81469" w14:textId="77777777" w:rsidTr="00C86312">
        <w:trPr>
          <w:trHeight w:val="189"/>
        </w:trPr>
        <w:tc>
          <w:tcPr>
            <w:tcW w:w="426" w:type="dxa"/>
            <w:shd w:val="clear" w:color="auto" w:fill="FBD4B4" w:themeFill="accent6" w:themeFillTint="66"/>
            <w:noWrap/>
            <w:vAlign w:val="bottom"/>
            <w:hideMark/>
          </w:tcPr>
          <w:p w14:paraId="598024D6" w14:textId="77777777" w:rsidR="009529E6" w:rsidRPr="00847710" w:rsidRDefault="009529E6" w:rsidP="00D36B81">
            <w:pPr>
              <w:spacing w:after="0" w:line="240" w:lineRule="auto"/>
              <w:jc w:val="right"/>
              <w:rPr>
                <w:rFonts w:ascii="Times New Roman" w:eastAsia="Times New Roman" w:hAnsi="Times New Roman" w:cs="Times New Roman"/>
                <w:sz w:val="20"/>
                <w:szCs w:val="20"/>
                <w:lang w:eastAsia="lv-LV"/>
              </w:rPr>
            </w:pPr>
          </w:p>
        </w:tc>
        <w:tc>
          <w:tcPr>
            <w:tcW w:w="1838" w:type="dxa"/>
            <w:shd w:val="clear" w:color="auto" w:fill="FBD4B4" w:themeFill="accent6" w:themeFillTint="66"/>
            <w:noWrap/>
            <w:vAlign w:val="bottom"/>
            <w:hideMark/>
          </w:tcPr>
          <w:p w14:paraId="2411FBE9" w14:textId="77777777" w:rsidR="009529E6" w:rsidRPr="00847710" w:rsidRDefault="009529E6" w:rsidP="00D36B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hideMark/>
          </w:tcPr>
          <w:p w14:paraId="60F9EF23" w14:textId="7914626F" w:rsidR="009529E6" w:rsidRPr="00847710" w:rsidRDefault="009529E6" w:rsidP="00D36B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w:t>
            </w:r>
            <w:r w:rsidR="00FD0087" w:rsidRPr="00847710">
              <w:rPr>
                <w:rFonts w:ascii="Times New Roman" w:hAnsi="Times New Roman" w:cs="Times New Roman"/>
                <w:sz w:val="20"/>
                <w:szCs w:val="20"/>
              </w:rPr>
              <w:t> 085,</w:t>
            </w:r>
            <w:r w:rsidRPr="00847710">
              <w:rPr>
                <w:rFonts w:ascii="Times New Roman" w:hAnsi="Times New Roman" w:cs="Times New Roman"/>
                <w:sz w:val="20"/>
                <w:szCs w:val="20"/>
              </w:rPr>
              <w:t>13</w:t>
            </w:r>
          </w:p>
        </w:tc>
        <w:tc>
          <w:tcPr>
            <w:tcW w:w="1559" w:type="dxa"/>
            <w:shd w:val="clear" w:color="auto" w:fill="FBD4B4" w:themeFill="accent6" w:themeFillTint="66"/>
            <w:noWrap/>
            <w:vAlign w:val="bottom"/>
            <w:hideMark/>
          </w:tcPr>
          <w:p w14:paraId="6F57F538" w14:textId="77777777" w:rsidR="009529E6" w:rsidRPr="00847710" w:rsidRDefault="009529E6" w:rsidP="00D36B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559" w:type="dxa"/>
            <w:shd w:val="clear" w:color="auto" w:fill="FBD4B4" w:themeFill="accent6" w:themeFillTint="66"/>
            <w:noWrap/>
            <w:vAlign w:val="bottom"/>
            <w:hideMark/>
          </w:tcPr>
          <w:p w14:paraId="1C674794" w14:textId="77777777" w:rsidR="009529E6" w:rsidRPr="00847710" w:rsidRDefault="009529E6" w:rsidP="00D36B81">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285" w:type="dxa"/>
            <w:shd w:val="clear" w:color="auto" w:fill="FBD4B4" w:themeFill="accent6" w:themeFillTint="66"/>
            <w:noWrap/>
            <w:vAlign w:val="bottom"/>
            <w:hideMark/>
          </w:tcPr>
          <w:p w14:paraId="4131B156" w14:textId="4E44DE08" w:rsidR="009529E6" w:rsidRPr="00847710" w:rsidRDefault="009529E6" w:rsidP="00D36B81">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235 473</w:t>
            </w:r>
          </w:p>
        </w:tc>
        <w:tc>
          <w:tcPr>
            <w:tcW w:w="1272" w:type="dxa"/>
            <w:shd w:val="clear" w:color="auto" w:fill="FBD4B4" w:themeFill="accent6" w:themeFillTint="66"/>
            <w:vAlign w:val="bottom"/>
          </w:tcPr>
          <w:p w14:paraId="2A6D0F67" w14:textId="77777777" w:rsidR="009529E6" w:rsidRPr="00C86312" w:rsidRDefault="009529E6" w:rsidP="00C86312">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w:t>
            </w:r>
          </w:p>
        </w:tc>
        <w:tc>
          <w:tcPr>
            <w:tcW w:w="1272" w:type="dxa"/>
            <w:shd w:val="clear" w:color="auto" w:fill="FBD4B4" w:themeFill="accent6" w:themeFillTint="66"/>
            <w:vAlign w:val="bottom"/>
          </w:tcPr>
          <w:p w14:paraId="34F4B01F" w14:textId="06CDAF9E" w:rsidR="009529E6" w:rsidRPr="00C86312" w:rsidRDefault="00200CB0"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272" w:type="dxa"/>
            <w:shd w:val="clear" w:color="auto" w:fill="FBD4B4" w:themeFill="accent6" w:themeFillTint="66"/>
            <w:noWrap/>
            <w:vAlign w:val="bottom"/>
            <w:hideMark/>
          </w:tcPr>
          <w:p w14:paraId="2A15569A" w14:textId="2E87C682" w:rsidR="009529E6" w:rsidRPr="00C86312" w:rsidRDefault="00793052"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21</w:t>
            </w:r>
            <w:r w:rsidR="009529E6" w:rsidRPr="0012317D">
              <w:rPr>
                <w:rFonts w:ascii="Times New Roman" w:hAnsi="Times New Roman" w:cs="Times New Roman"/>
                <w:b/>
                <w:bCs/>
                <w:color w:val="FF0000"/>
                <w:sz w:val="20"/>
                <w:szCs w:val="20"/>
              </w:rPr>
              <w:t>7</w:t>
            </w:r>
          </w:p>
        </w:tc>
      </w:tr>
    </w:tbl>
    <w:p w14:paraId="0C4C3550" w14:textId="1BAAB986" w:rsidR="00821B8B" w:rsidRPr="00847710" w:rsidRDefault="00F43208" w:rsidP="00821B8B">
      <w:pPr>
        <w:ind w:firstLine="709"/>
        <w:jc w:val="both"/>
        <w:rPr>
          <w:rFonts w:ascii="Times New Roman" w:hAnsi="Times New Roman" w:cs="Times New Roman"/>
          <w:sz w:val="20"/>
          <w:szCs w:val="20"/>
          <w:lang w:eastAsia="lv-LV"/>
        </w:rPr>
      </w:pPr>
      <w:r w:rsidRPr="00847710">
        <w:rPr>
          <w:rFonts w:ascii="Times New Roman" w:hAnsi="Times New Roman" w:cs="Times New Roman"/>
          <w:sz w:val="20"/>
          <w:szCs w:val="20"/>
          <w:lang w:eastAsia="lv-LV"/>
        </w:rPr>
        <w:t>* pasākuma īstenošana tiks uzsākta ar 2018.gada 1.jūliju, nepieciešamais finansējums norādīts  6 mēnešiem</w:t>
      </w:r>
    </w:p>
    <w:tbl>
      <w:tblPr>
        <w:tblStyle w:val="TableGrid"/>
        <w:tblW w:w="0" w:type="auto"/>
        <w:tblLook w:val="04A0" w:firstRow="1" w:lastRow="0" w:firstColumn="1" w:lastColumn="0" w:noHBand="0" w:noVBand="1"/>
      </w:tblPr>
      <w:tblGrid>
        <w:gridCol w:w="9089"/>
      </w:tblGrid>
      <w:tr w:rsidR="00821B8B" w:rsidRPr="00847710" w14:paraId="1435A10A" w14:textId="77777777" w:rsidTr="57326167">
        <w:tc>
          <w:tcPr>
            <w:tcW w:w="9089" w:type="dxa"/>
          </w:tcPr>
          <w:p w14:paraId="62A5F85B" w14:textId="16116AE7" w:rsidR="00821B8B" w:rsidRPr="00C86312" w:rsidRDefault="00821B8B" w:rsidP="00C86312">
            <w:pPr>
              <w:spacing w:after="120"/>
              <w:ind w:firstLine="709"/>
              <w:jc w:val="both"/>
              <w:rPr>
                <w:rFonts w:ascii="Times New Roman" w:hAnsi="Times New Roman"/>
                <w:b/>
                <w:bCs/>
                <w:sz w:val="24"/>
                <w:szCs w:val="24"/>
              </w:rPr>
            </w:pPr>
            <w:r w:rsidRPr="0012317D">
              <w:rPr>
                <w:rFonts w:ascii="Times New Roman" w:hAnsi="Times New Roman"/>
                <w:b/>
                <w:bCs/>
                <w:sz w:val="24"/>
                <w:szCs w:val="24"/>
                <w:lang w:eastAsia="lv-LV"/>
              </w:rPr>
              <w:t xml:space="preserve">Reformas rezultāts: PET/DT ieviešana uzlabos ārstēšanas efektivitāti. Izmantojot PET/DT, finanšu līdzekļi tiks izmantoti racionālāk, </w:t>
            </w:r>
            <w:r w:rsidRPr="00901A9F">
              <w:rPr>
                <w:rFonts w:ascii="Times New Roman" w:hAnsi="Times New Roman"/>
                <w:b/>
                <w:bCs/>
                <w:sz w:val="24"/>
                <w:szCs w:val="24"/>
                <w:lang w:eastAsia="lv-LV"/>
              </w:rPr>
              <w:t>ar lielāku efektivitāti, pagarinot pacientu kvalitatīvu dzīvildzi.</w:t>
            </w:r>
          </w:p>
        </w:tc>
      </w:tr>
    </w:tbl>
    <w:p w14:paraId="4EFFB01E" w14:textId="42FAE3D9" w:rsidR="00FA37E8" w:rsidRPr="00847710" w:rsidRDefault="00FA37E8" w:rsidP="00821B8B">
      <w:pPr>
        <w:spacing w:after="120"/>
        <w:jc w:val="both"/>
        <w:rPr>
          <w:rFonts w:ascii="Times New Roman" w:hAnsi="Times New Roman" w:cs="Times New Roman"/>
          <w:b/>
          <w:sz w:val="24"/>
          <w:szCs w:val="24"/>
          <w:lang w:eastAsia="lv-LV"/>
        </w:rPr>
      </w:pPr>
    </w:p>
    <w:p w14:paraId="422DEEC0" w14:textId="6D3BB048" w:rsidR="00CB78E4" w:rsidRPr="00C86312" w:rsidRDefault="00026045" w:rsidP="00C86312">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 xml:space="preserve">2.3. </w:t>
      </w:r>
      <w:r w:rsidR="00CB0EB0" w:rsidRPr="0012317D">
        <w:rPr>
          <w:rFonts w:ascii="Times New Roman" w:hAnsi="Times New Roman" w:cs="Times New Roman"/>
          <w:b/>
          <w:bCs/>
          <w:color w:val="auto"/>
          <w:sz w:val="24"/>
          <w:szCs w:val="24"/>
          <w:u w:val="single"/>
        </w:rPr>
        <w:t>Jaunā reformas iniciatīva - m</w:t>
      </w:r>
      <w:r w:rsidR="00E27D21" w:rsidRPr="0012317D">
        <w:rPr>
          <w:rFonts w:ascii="Times New Roman" w:hAnsi="Times New Roman" w:cs="Times New Roman"/>
          <w:b/>
          <w:bCs/>
          <w:color w:val="auto"/>
          <w:sz w:val="24"/>
          <w:szCs w:val="24"/>
          <w:u w:val="single"/>
        </w:rPr>
        <w:t>edikamentu pieejamības uzlabošana</w:t>
      </w:r>
      <w:r w:rsidRPr="0012317D">
        <w:rPr>
          <w:rFonts w:ascii="Times New Roman" w:hAnsi="Times New Roman" w:cs="Times New Roman"/>
          <w:b/>
          <w:bCs/>
          <w:color w:val="auto"/>
          <w:sz w:val="24"/>
          <w:szCs w:val="24"/>
          <w:u w:val="single"/>
        </w:rPr>
        <w:t xml:space="preserve"> onkoloģiskajiem  pacientiem</w:t>
      </w:r>
    </w:p>
    <w:p w14:paraId="42B725B3" w14:textId="71D6308B" w:rsidR="00E27D21" w:rsidRPr="00847710" w:rsidRDefault="00E27D21" w:rsidP="00984F32">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Ambulatorajai ārstēšanai paredzēto zāļu un medicīnisko ierīču iegādes izdevumu kompensācija ir nepieciešama, lai nodrošinātu pilnvērtīgu pacientu ārstēšanu ambulatorās veselības aprūpes līmenī, kā arī atkarībā  no slimības smaguma novērstu vai samazinātu dzīvības apdraudējumu, uzturētu veselības stāvokli, kontrolētu slimības izpausmes, lai persona nezaudētu darbspēju, un mazinātu nepieciešamību pacientiem ārstēties stacionārā. KZS tiek iekļautas zāles, kas atbilst konkrētās diagnozes starptautiskām ārstēšanas vadlīnijām, kam ir veikta terapeitiskā un ekonomiskā novērtēšanu, pierādot izmaksu efektivitāti un kuru izmaksas atbilst zāļu kompensācijai piešķirtajam finansējumam</w:t>
      </w:r>
      <w:r w:rsidRPr="00847710">
        <w:rPr>
          <w:rStyle w:val="FootnoteReference"/>
          <w:rFonts w:ascii="Times New Roman" w:hAnsi="Times New Roman" w:cs="Times New Roman"/>
          <w:sz w:val="24"/>
          <w:szCs w:val="24"/>
        </w:rPr>
        <w:footnoteReference w:id="29"/>
      </w:r>
      <w:r w:rsidR="002A7DAF" w:rsidRPr="00847710">
        <w:rPr>
          <w:rFonts w:ascii="Times New Roman" w:hAnsi="Times New Roman" w:cs="Times New Roman"/>
          <w:sz w:val="24"/>
          <w:szCs w:val="24"/>
        </w:rPr>
        <w:t>.</w:t>
      </w:r>
    </w:p>
    <w:p w14:paraId="072E2031" w14:textId="411129E0" w:rsidR="00E27D21" w:rsidRPr="00847710" w:rsidRDefault="00E27D21" w:rsidP="00984F32">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Latvijā kompensācijas kārtība jau no pirmsākumiem tiek veidota ierobežotu resursu apstākļos, pat salīdzinājumā ar Baltijas kaimiņvalstīm, kas neatbilst Latvijas pacientu vajadzībām un neļauj efektīvi sasniegt politikas plānošanas dokumentos vairākkārtīgi noteiktos rezultatīvos rādītājus saistībā ar mirstības, stacionēšanas un pacientu finansiālās līdzdalības samazināšanos</w:t>
      </w:r>
      <w:r w:rsidRPr="00847710">
        <w:rPr>
          <w:rFonts w:ascii="Times New Roman" w:hAnsi="Times New Roman" w:cs="Times New Roman"/>
          <w:sz w:val="24"/>
          <w:szCs w:val="24"/>
          <w:vertAlign w:val="superscript"/>
        </w:rPr>
        <w:footnoteReference w:id="30"/>
      </w:r>
      <w:r w:rsidR="002A7DAF" w:rsidRPr="00847710">
        <w:rPr>
          <w:rFonts w:ascii="Times New Roman" w:hAnsi="Times New Roman" w:cs="Times New Roman"/>
          <w:sz w:val="24"/>
          <w:szCs w:val="24"/>
        </w:rPr>
        <w:t>.</w:t>
      </w:r>
    </w:p>
    <w:p w14:paraId="0F95BB51" w14:textId="36336F6E" w:rsidR="00E27D21" w:rsidRPr="00847710" w:rsidRDefault="00E27D21" w:rsidP="00984F32">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Pacientiem, kuru diagnoze nav iekļauta zāļu kompensācijas sistēmā vai arī tiem, kuru diagnoze ir iekļauta</w:t>
      </w:r>
      <w:r w:rsidRPr="00847710">
        <w:rPr>
          <w:rStyle w:val="FootnoteReference"/>
          <w:rFonts w:ascii="Times New Roman" w:hAnsi="Times New Roman" w:cs="Times New Roman"/>
          <w:sz w:val="24"/>
          <w:szCs w:val="24"/>
        </w:rPr>
        <w:footnoteReference w:id="31"/>
      </w:r>
      <w:r w:rsidRPr="00847710">
        <w:rPr>
          <w:rFonts w:ascii="Times New Roman" w:hAnsi="Times New Roman" w:cs="Times New Roman"/>
          <w:sz w:val="24"/>
          <w:szCs w:val="24"/>
        </w:rPr>
        <w:t>, bet kompensējamo zāļu sarakstā nav iekļautas nevienas zāles tās ārstēšanai, var saņemt zāles individuālās kompensācijas ietvaros</w:t>
      </w:r>
      <w:r w:rsidRPr="00847710">
        <w:rPr>
          <w:rStyle w:val="FootnoteReference"/>
          <w:rFonts w:ascii="Times New Roman" w:hAnsi="Times New Roman" w:cs="Times New Roman"/>
          <w:sz w:val="24"/>
          <w:szCs w:val="24"/>
        </w:rPr>
        <w:footnoteReference w:id="32"/>
      </w:r>
      <w:r w:rsidR="002A7DAF" w:rsidRPr="00847710">
        <w:rPr>
          <w:rFonts w:ascii="Times New Roman" w:hAnsi="Times New Roman" w:cs="Times New Roman"/>
          <w:sz w:val="24"/>
          <w:szCs w:val="24"/>
        </w:rPr>
        <w:t>.</w:t>
      </w:r>
    </w:p>
    <w:p w14:paraId="7697ABA2" w14:textId="77777777" w:rsidR="00DE3C94" w:rsidRDefault="00DE3C94">
      <w:pPr>
        <w:rPr>
          <w:rFonts w:ascii="Times New Roman" w:hAnsi="Times New Roman" w:cs="Times New Roman"/>
          <w:i/>
          <w:iCs/>
          <w:sz w:val="24"/>
          <w:szCs w:val="24"/>
        </w:rPr>
      </w:pPr>
      <w:r>
        <w:rPr>
          <w:rFonts w:ascii="Times New Roman" w:hAnsi="Times New Roman" w:cs="Times New Roman"/>
          <w:i/>
          <w:iCs/>
          <w:sz w:val="24"/>
          <w:szCs w:val="24"/>
        </w:rPr>
        <w:br w:type="page"/>
      </w:r>
    </w:p>
    <w:p w14:paraId="7E3FB8C9" w14:textId="1CCCC469" w:rsidR="00E27D21" w:rsidRPr="00C86312" w:rsidRDefault="29B85AB6" w:rsidP="00C86312">
      <w:pPr>
        <w:spacing w:after="120" w:line="240" w:lineRule="auto"/>
        <w:ind w:firstLine="709"/>
        <w:jc w:val="right"/>
        <w:rPr>
          <w:rFonts w:ascii="Times New Roman" w:hAnsi="Times New Roman" w:cs="Times New Roman"/>
          <w:i/>
          <w:iCs/>
          <w:sz w:val="24"/>
          <w:szCs w:val="24"/>
        </w:rPr>
      </w:pPr>
      <w:r w:rsidRPr="57326167">
        <w:rPr>
          <w:rFonts w:ascii="Times New Roman" w:hAnsi="Times New Roman" w:cs="Times New Roman"/>
          <w:i/>
          <w:iCs/>
          <w:sz w:val="24"/>
          <w:szCs w:val="24"/>
        </w:rPr>
        <w:lastRenderedPageBreak/>
        <w:t>4</w:t>
      </w:r>
      <w:r w:rsidR="00E27D21" w:rsidRPr="57326167">
        <w:rPr>
          <w:rFonts w:ascii="Times New Roman" w:hAnsi="Times New Roman" w:cs="Times New Roman"/>
          <w:i/>
          <w:iCs/>
          <w:sz w:val="24"/>
          <w:szCs w:val="24"/>
        </w:rPr>
        <w:t>.attēls</w:t>
      </w:r>
    </w:p>
    <w:p w14:paraId="6DA0F738" w14:textId="77777777" w:rsidR="00E27D21" w:rsidRPr="00C86312" w:rsidRDefault="00E27D21" w:rsidP="00C86312">
      <w:pPr>
        <w:spacing w:after="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Zāļu kompensācija onkoloģisko slimību gadījumā – </w:t>
      </w:r>
    </w:p>
    <w:p w14:paraId="53391774" w14:textId="77777777" w:rsidR="00E27D21" w:rsidRPr="00C86312" w:rsidRDefault="00E27D21" w:rsidP="00C86312">
      <w:pPr>
        <w:spacing w:after="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sz w:val="24"/>
          <w:szCs w:val="24"/>
        </w:rPr>
        <w:t>valsts budžeta finansējums un pacientu skaits</w:t>
      </w:r>
    </w:p>
    <w:p w14:paraId="50459D93" w14:textId="7CFF1515" w:rsidR="00E27D21" w:rsidRPr="00847710" w:rsidRDefault="00E27D21" w:rsidP="009C736B">
      <w:pPr>
        <w:spacing w:after="120" w:line="240" w:lineRule="auto"/>
        <w:jc w:val="center"/>
        <w:rPr>
          <w:rFonts w:ascii="Times New Roman" w:hAnsi="Times New Roman" w:cs="Times New Roman"/>
          <w:i/>
          <w:sz w:val="24"/>
          <w:szCs w:val="24"/>
        </w:rPr>
      </w:pPr>
      <w:r w:rsidRPr="00847710">
        <w:rPr>
          <w:rFonts w:ascii="Times New Roman" w:hAnsi="Times New Roman" w:cs="Times New Roman"/>
          <w:noProof/>
        </w:rPr>
        <w:drawing>
          <wp:inline distT="0" distB="0" distL="0" distR="0" wp14:anchorId="6D2D3D4D" wp14:editId="45A3C8B7">
            <wp:extent cx="6324600" cy="3333750"/>
            <wp:effectExtent l="0" t="0" r="0" b="0"/>
            <wp:docPr id="18" name="Chart 18">
              <a:extLst xmlns:a="http://schemas.openxmlformats.org/drawingml/2006/main">
                <a:ext uri="{FF2B5EF4-FFF2-40B4-BE49-F238E27FC236}">
                  <a16:creationId xmlns:a16="http://schemas.microsoft.com/office/drawing/2014/main" id="{9E94BBDC-67A5-402B-8A1C-1BC6BDC3C4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BAE17A" w14:textId="351549BC" w:rsidR="00E27D21" w:rsidRPr="00847710" w:rsidRDefault="00E27D21" w:rsidP="00E27D21">
      <w:pPr>
        <w:spacing w:after="120" w:line="240" w:lineRule="auto"/>
        <w:ind w:firstLine="709"/>
        <w:jc w:val="both"/>
        <w:rPr>
          <w:rFonts w:ascii="Times New Roman" w:hAnsi="Times New Roman" w:cs="Times New Roman"/>
          <w:sz w:val="24"/>
          <w:szCs w:val="24"/>
        </w:rPr>
      </w:pPr>
      <w:r w:rsidRPr="57326167">
        <w:rPr>
          <w:rFonts w:ascii="Times New Roman" w:hAnsi="Times New Roman" w:cs="Times New Roman"/>
          <w:i/>
          <w:iCs/>
          <w:sz w:val="24"/>
          <w:szCs w:val="24"/>
        </w:rPr>
        <w:t>Avots: NVD</w:t>
      </w:r>
    </w:p>
    <w:p w14:paraId="1C3DD01E" w14:textId="02841DF5" w:rsidR="000D42A5" w:rsidRPr="00847710" w:rsidRDefault="00E27D21" w:rsidP="004E2E01">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Zāļu kompensācijai onkoloģisko slimību gadījumā ir vērojams ikgadējs finansējuma patēriņa un pacientu skaita pieaugums (skat. </w:t>
      </w:r>
      <w:r w:rsidR="29B85AB6" w:rsidRPr="00847710">
        <w:rPr>
          <w:rFonts w:ascii="Times New Roman" w:hAnsi="Times New Roman" w:cs="Times New Roman"/>
          <w:sz w:val="24"/>
          <w:szCs w:val="24"/>
        </w:rPr>
        <w:t>4</w:t>
      </w:r>
      <w:r w:rsidRPr="00847710">
        <w:rPr>
          <w:rFonts w:ascii="Times New Roman" w:hAnsi="Times New Roman" w:cs="Times New Roman"/>
          <w:sz w:val="24"/>
          <w:szCs w:val="24"/>
        </w:rPr>
        <w:t xml:space="preserve">.attēlu), kas ir saistīts ar arvien pieaugošu diagnostikas </w:t>
      </w:r>
      <w:r w:rsidR="002A7DAF" w:rsidRPr="00847710">
        <w:rPr>
          <w:rFonts w:ascii="Times New Roman" w:hAnsi="Times New Roman" w:cs="Times New Roman"/>
          <w:sz w:val="24"/>
          <w:szCs w:val="24"/>
        </w:rPr>
        <w:t xml:space="preserve">iespēju </w:t>
      </w:r>
      <w:r w:rsidRPr="00847710">
        <w:rPr>
          <w:rFonts w:ascii="Times New Roman" w:hAnsi="Times New Roman" w:cs="Times New Roman"/>
          <w:sz w:val="24"/>
          <w:szCs w:val="24"/>
        </w:rPr>
        <w:t xml:space="preserve">pieejamību. Nepietiekama finansējuma apstākļos tiek rasta iespēja nosegt pieaugošo zāļu saņēmēju skaitu, bet pēdējos gados nav bijis iespējams papildināt kompensējamo zāļu sarakstu ar jaunām zālēm, </w:t>
      </w:r>
      <w:r w:rsidR="002A7DAF" w:rsidRPr="00847710">
        <w:rPr>
          <w:rFonts w:ascii="Times New Roman" w:hAnsi="Times New Roman" w:cs="Times New Roman"/>
          <w:sz w:val="24"/>
          <w:szCs w:val="24"/>
        </w:rPr>
        <w:t xml:space="preserve">kas īpaši būtiski ir </w:t>
      </w:r>
      <w:r w:rsidRPr="00847710">
        <w:rPr>
          <w:rFonts w:ascii="Times New Roman" w:hAnsi="Times New Roman" w:cs="Times New Roman"/>
          <w:sz w:val="24"/>
          <w:szCs w:val="24"/>
        </w:rPr>
        <w:t xml:space="preserve"> onkoloģisko slimību pacienti</w:t>
      </w:r>
      <w:r w:rsidR="002A7DAF" w:rsidRPr="00847710">
        <w:rPr>
          <w:rFonts w:ascii="Times New Roman" w:hAnsi="Times New Roman" w:cs="Times New Roman"/>
          <w:sz w:val="24"/>
          <w:szCs w:val="24"/>
        </w:rPr>
        <w:t>em</w:t>
      </w:r>
      <w:r w:rsidRPr="00847710">
        <w:rPr>
          <w:rFonts w:ascii="Times New Roman" w:hAnsi="Times New Roman" w:cs="Times New Roman"/>
          <w:sz w:val="24"/>
          <w:szCs w:val="24"/>
        </w:rPr>
        <w:t xml:space="preserve">. </w:t>
      </w:r>
      <w:r w:rsidR="002A7DAF" w:rsidRPr="00847710">
        <w:rPr>
          <w:rFonts w:ascii="Times New Roman" w:hAnsi="Times New Roman" w:cs="Times New Roman"/>
          <w:sz w:val="24"/>
          <w:szCs w:val="24"/>
        </w:rPr>
        <w:t xml:space="preserve">  Līdzekļu nepietiekamības dēļ t</w:t>
      </w:r>
      <w:r w:rsidRPr="00847710">
        <w:rPr>
          <w:rFonts w:ascii="Times New Roman" w:hAnsi="Times New Roman" w:cs="Times New Roman"/>
          <w:sz w:val="24"/>
          <w:szCs w:val="24"/>
        </w:rPr>
        <w:t xml:space="preserve">ikai nelielai daļai šo pacientu ir iespēja saņemt zāļu kompensāciju, pamatojoties uz individuālu iesniegumu (skat. </w:t>
      </w:r>
      <w:r w:rsidR="29B85AB6" w:rsidRPr="00847710">
        <w:rPr>
          <w:rFonts w:ascii="Times New Roman" w:hAnsi="Times New Roman" w:cs="Times New Roman"/>
          <w:sz w:val="24"/>
          <w:szCs w:val="24"/>
        </w:rPr>
        <w:t>5</w:t>
      </w:r>
      <w:r w:rsidRPr="00847710">
        <w:rPr>
          <w:rFonts w:ascii="Times New Roman" w:hAnsi="Times New Roman" w:cs="Times New Roman"/>
          <w:sz w:val="24"/>
          <w:szCs w:val="24"/>
        </w:rPr>
        <w:t xml:space="preserve">.attēlu). </w:t>
      </w:r>
    </w:p>
    <w:p w14:paraId="217DE518" w14:textId="31CEC4FA" w:rsidR="00847710" w:rsidRPr="00847710" w:rsidRDefault="00847710" w:rsidP="004E2E01">
      <w:pPr>
        <w:spacing w:after="120"/>
        <w:ind w:firstLine="709"/>
        <w:jc w:val="both"/>
        <w:rPr>
          <w:rFonts w:ascii="Times New Roman" w:hAnsi="Times New Roman" w:cs="Times New Roman"/>
          <w:sz w:val="24"/>
          <w:szCs w:val="24"/>
        </w:rPr>
      </w:pPr>
    </w:p>
    <w:p w14:paraId="64678BB3" w14:textId="77777777" w:rsidR="00847710" w:rsidRPr="00847710" w:rsidRDefault="00847710" w:rsidP="004E2E01">
      <w:pPr>
        <w:spacing w:after="120"/>
        <w:ind w:firstLine="709"/>
        <w:jc w:val="both"/>
        <w:rPr>
          <w:rFonts w:ascii="Times New Roman" w:hAnsi="Times New Roman" w:cs="Times New Roman"/>
          <w:i/>
          <w:sz w:val="24"/>
          <w:szCs w:val="24"/>
        </w:rPr>
      </w:pPr>
    </w:p>
    <w:p w14:paraId="1C99D859" w14:textId="40595A76" w:rsidR="00E27D21" w:rsidRPr="00C86312" w:rsidRDefault="0E394FF1" w:rsidP="00C86312">
      <w:pPr>
        <w:spacing w:after="120" w:line="240" w:lineRule="auto"/>
        <w:jc w:val="right"/>
        <w:rPr>
          <w:rFonts w:ascii="Times New Roman" w:hAnsi="Times New Roman" w:cs="Times New Roman"/>
          <w:i/>
          <w:iCs/>
          <w:sz w:val="24"/>
          <w:szCs w:val="24"/>
        </w:rPr>
      </w:pPr>
      <w:r w:rsidRPr="57326167">
        <w:rPr>
          <w:rFonts w:ascii="Times New Roman" w:hAnsi="Times New Roman" w:cs="Times New Roman"/>
          <w:i/>
          <w:iCs/>
          <w:sz w:val="24"/>
          <w:szCs w:val="24"/>
        </w:rPr>
        <w:t>5</w:t>
      </w:r>
      <w:r w:rsidR="00E27D21" w:rsidRPr="57326167">
        <w:rPr>
          <w:rFonts w:ascii="Times New Roman" w:hAnsi="Times New Roman" w:cs="Times New Roman"/>
          <w:i/>
          <w:iCs/>
          <w:sz w:val="24"/>
          <w:szCs w:val="24"/>
        </w:rPr>
        <w:t>.attēls</w:t>
      </w:r>
    </w:p>
    <w:p w14:paraId="550D9716" w14:textId="77777777" w:rsidR="00E27D21" w:rsidRPr="00C86312" w:rsidRDefault="00E27D21" w:rsidP="00C86312">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sz w:val="24"/>
          <w:szCs w:val="24"/>
        </w:rPr>
        <w:t>Zāļu kompensācija individuāliem pacientiem diagnožu grupā “Audzēji”</w:t>
      </w:r>
    </w:p>
    <w:p w14:paraId="056A0F25" w14:textId="54DF9602" w:rsidR="00E27D21" w:rsidRPr="00847710" w:rsidRDefault="00E27D21" w:rsidP="009C736B">
      <w:pPr>
        <w:spacing w:after="120" w:line="240" w:lineRule="auto"/>
        <w:jc w:val="both"/>
        <w:rPr>
          <w:rFonts w:ascii="Times New Roman" w:hAnsi="Times New Roman" w:cs="Times New Roman"/>
          <w:sz w:val="24"/>
          <w:szCs w:val="24"/>
        </w:rPr>
      </w:pPr>
      <w:r w:rsidRPr="00847710">
        <w:rPr>
          <w:rFonts w:ascii="Times New Roman" w:hAnsi="Times New Roman" w:cs="Times New Roman"/>
          <w:noProof/>
        </w:rPr>
        <w:lastRenderedPageBreak/>
        <w:drawing>
          <wp:inline distT="0" distB="0" distL="0" distR="0" wp14:anchorId="7B9596B3" wp14:editId="005CF0B9">
            <wp:extent cx="6191250" cy="2828925"/>
            <wp:effectExtent l="0" t="0" r="0" b="0"/>
            <wp:docPr id="17" name="Chart 17">
              <a:extLst xmlns:a="http://schemas.openxmlformats.org/drawingml/2006/main">
                <a:ext uri="{FF2B5EF4-FFF2-40B4-BE49-F238E27FC236}">
                  <a16:creationId xmlns:a16="http://schemas.microsoft.com/office/drawing/2014/main" id="{A2D50D52-34C6-4502-9032-B7692A8E9F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D3C459" w14:textId="77777777" w:rsidR="00E27D21" w:rsidRPr="00C86312" w:rsidRDefault="00E27D21" w:rsidP="00C86312">
      <w:pPr>
        <w:spacing w:after="120" w:line="240" w:lineRule="auto"/>
        <w:ind w:firstLine="709"/>
        <w:jc w:val="both"/>
        <w:rPr>
          <w:rFonts w:ascii="Times New Roman" w:hAnsi="Times New Roman" w:cs="Times New Roman"/>
          <w:i/>
          <w:iCs/>
          <w:sz w:val="24"/>
          <w:szCs w:val="24"/>
        </w:rPr>
      </w:pPr>
      <w:r w:rsidRPr="57326167">
        <w:rPr>
          <w:rFonts w:ascii="Times New Roman" w:hAnsi="Times New Roman" w:cs="Times New Roman"/>
          <w:i/>
          <w:iCs/>
          <w:sz w:val="24"/>
          <w:szCs w:val="24"/>
        </w:rPr>
        <w:t>Avots: NVD</w:t>
      </w:r>
    </w:p>
    <w:p w14:paraId="6720763A" w14:textId="61AF8A74" w:rsidR="00E27D21" w:rsidRPr="00847710" w:rsidRDefault="00E27D21" w:rsidP="00984F32">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Maksimālais individuālās kompensācijas apmērs gadā ir 14 228,72 eiro, un individuālās kompensācijas gadījumā NVD pieņem lēmumu, pamatojoties uz ārstu kons</w:t>
      </w:r>
      <w:r w:rsidR="002A7DAF" w:rsidRPr="00847710">
        <w:rPr>
          <w:rFonts w:ascii="Times New Roman" w:hAnsi="Times New Roman" w:cs="Times New Roman"/>
          <w:sz w:val="24"/>
          <w:szCs w:val="24"/>
        </w:rPr>
        <w:t>ī</w:t>
      </w:r>
      <w:r w:rsidRPr="00847710">
        <w:rPr>
          <w:rFonts w:ascii="Times New Roman" w:hAnsi="Times New Roman" w:cs="Times New Roman"/>
          <w:sz w:val="24"/>
          <w:szCs w:val="24"/>
        </w:rPr>
        <w:t xml:space="preserve">lija slēdzienu. Zālēm, kuras tiek kompensētas, pamatojoties uz individuālā pacienta iesniegumu un ārstu konsīlija slēdzienu, netiek veikti izmaksu efektivitātes aprēķini, kā arī nav </w:t>
      </w:r>
      <w:r w:rsidR="002A7DAF" w:rsidRPr="00847710">
        <w:rPr>
          <w:rFonts w:ascii="Times New Roman" w:hAnsi="Times New Roman" w:cs="Times New Roman"/>
          <w:sz w:val="24"/>
          <w:szCs w:val="24"/>
        </w:rPr>
        <w:t>juridisks</w:t>
      </w:r>
      <w:r w:rsidRPr="00847710">
        <w:rPr>
          <w:rFonts w:ascii="Times New Roman" w:hAnsi="Times New Roman" w:cs="Times New Roman"/>
          <w:sz w:val="24"/>
          <w:szCs w:val="24"/>
        </w:rPr>
        <w:t xml:space="preserve"> pamats sarunām ar ražotāju par finansiālās līdzdalības līgumiem. Līdz ar to</w:t>
      </w:r>
      <w:r w:rsidR="002A7DAF" w:rsidRPr="00847710">
        <w:rPr>
          <w:rFonts w:ascii="Times New Roman" w:hAnsi="Times New Roman" w:cs="Times New Roman"/>
          <w:sz w:val="24"/>
          <w:szCs w:val="24"/>
        </w:rPr>
        <w:t>,</w:t>
      </w:r>
      <w:r w:rsidRPr="00847710">
        <w:rPr>
          <w:rFonts w:ascii="Times New Roman" w:hAnsi="Times New Roman" w:cs="Times New Roman"/>
          <w:sz w:val="24"/>
          <w:szCs w:val="24"/>
        </w:rPr>
        <w:t xml:space="preserve"> zāļu izmaksas vienam pacientam individuālās kompensācijas gadījumā var ievērojami pārsniegt KZS iekļauto zāļu izmaksas. </w:t>
      </w:r>
    </w:p>
    <w:p w14:paraId="63647E7D" w14:textId="2C375E0D" w:rsidR="00E27D21" w:rsidRPr="00847710" w:rsidRDefault="00E27D21" w:rsidP="00984F32">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Gadījumos, kad individuāli kompensēto zāļu izmaksas pārsniedz valsts apmaksāto summu, pārsniegumu jāmaksā pašam pacientam</w:t>
      </w:r>
      <w:r w:rsidR="002A7DAF" w:rsidRPr="00847710">
        <w:rPr>
          <w:rFonts w:ascii="Times New Roman" w:hAnsi="Times New Roman" w:cs="Times New Roman"/>
          <w:sz w:val="24"/>
          <w:szCs w:val="24"/>
        </w:rPr>
        <w:t xml:space="preserve">, kas vairumā gadījumu </w:t>
      </w:r>
      <w:r w:rsidRPr="00847710">
        <w:rPr>
          <w:rFonts w:ascii="Times New Roman" w:hAnsi="Times New Roman" w:cs="Times New Roman"/>
          <w:sz w:val="24"/>
          <w:szCs w:val="24"/>
        </w:rPr>
        <w:t xml:space="preserve"> neatbilst pacienta finansiālajām iespējām, spiežot pacientu vērsties p</w:t>
      </w:r>
      <w:r w:rsidR="002A7DAF" w:rsidRPr="00847710">
        <w:rPr>
          <w:rFonts w:ascii="Times New Roman" w:hAnsi="Times New Roman" w:cs="Times New Roman"/>
          <w:sz w:val="24"/>
          <w:szCs w:val="24"/>
        </w:rPr>
        <w:t>ēc palīdzības  pie</w:t>
      </w:r>
      <w:r w:rsidRPr="00847710">
        <w:rPr>
          <w:rFonts w:ascii="Times New Roman" w:hAnsi="Times New Roman" w:cs="Times New Roman"/>
          <w:sz w:val="24"/>
          <w:szCs w:val="24"/>
        </w:rPr>
        <w:t xml:space="preserve"> labdarības organizācijām</w:t>
      </w:r>
      <w:r w:rsidRPr="00847710">
        <w:rPr>
          <w:rFonts w:ascii="Times New Roman" w:hAnsi="Times New Roman" w:cs="Times New Roman"/>
          <w:vertAlign w:val="superscript"/>
        </w:rPr>
        <w:footnoteReference w:id="33"/>
      </w:r>
      <w:r w:rsidRPr="00847710">
        <w:rPr>
          <w:rFonts w:ascii="Times New Roman" w:hAnsi="Times New Roman" w:cs="Times New Roman"/>
          <w:sz w:val="24"/>
          <w:szCs w:val="24"/>
        </w:rPr>
        <w:t xml:space="preserve">. </w:t>
      </w:r>
    </w:p>
    <w:p w14:paraId="21555F13" w14:textId="77777777" w:rsidR="00E27D21" w:rsidRPr="00847710" w:rsidRDefault="00E27D21" w:rsidP="00984F32">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Onkoloģisko slimību pacientiem individuālās kompensācijas ietvaros apmaksātas gan tādas zāles, kas ir iesniegtas iekļaušanai KZS, bet kuras netiek iekļautas sarakstā nepietiekamā finansējuma dēļ</w:t>
      </w:r>
      <w:r w:rsidRPr="00847710">
        <w:rPr>
          <w:rFonts w:ascii="Times New Roman" w:hAnsi="Times New Roman" w:cs="Times New Roman"/>
          <w:vertAlign w:val="superscript"/>
        </w:rPr>
        <w:footnoteReference w:id="34"/>
      </w:r>
      <w:r w:rsidRPr="00847710">
        <w:rPr>
          <w:rFonts w:ascii="Times New Roman" w:hAnsi="Times New Roman" w:cs="Times New Roman"/>
          <w:sz w:val="24"/>
          <w:szCs w:val="24"/>
        </w:rPr>
        <w:t>, gan arī tādas zāles, kas ir iekļautas KZS ar stingriem izrakstīšanas ierobežojumiem</w:t>
      </w:r>
      <w:r w:rsidRPr="00847710">
        <w:rPr>
          <w:rFonts w:ascii="Times New Roman" w:hAnsi="Times New Roman" w:cs="Times New Roman"/>
          <w:color w:val="00B050"/>
          <w:sz w:val="24"/>
          <w:szCs w:val="24"/>
        </w:rPr>
        <w:t xml:space="preserve"> </w:t>
      </w:r>
      <w:r w:rsidRPr="00847710">
        <w:rPr>
          <w:rFonts w:ascii="Times New Roman" w:hAnsi="Times New Roman" w:cs="Times New Roman"/>
          <w:sz w:val="24"/>
          <w:szCs w:val="24"/>
        </w:rPr>
        <w:t xml:space="preserve">citu diagnožu ārstēšanai, kaut arī to lietošana būtu nepieciešama plašākam pacientu lokam. </w:t>
      </w:r>
    </w:p>
    <w:p w14:paraId="632D1153" w14:textId="6DE2957B" w:rsidR="00E27D21" w:rsidRPr="00847710" w:rsidRDefault="00E27D21" w:rsidP="00984F32">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Veselības aprūpes pakalpojumu onkoloģijas jomā uzlabošanas plāns 2017.-2020. gadam paredz, ka jaunu klīniski un ekonomiski efektīvu onkoloģisko pacientu ārstēšanai lietojamo zāļu apmaksāšanai būtu papildus nepieciešami 14 583 357 eiro</w:t>
      </w:r>
      <w:r w:rsidRPr="0012317D">
        <w:rPr>
          <w:rFonts w:ascii="Times New Roman" w:hAnsi="Times New Roman" w:cs="Times New Roman"/>
          <w:b/>
          <w:bCs/>
          <w:vertAlign w:val="superscript"/>
        </w:rPr>
        <w:footnoteReference w:id="35"/>
      </w:r>
      <w:r w:rsidRPr="00847710">
        <w:rPr>
          <w:rFonts w:ascii="Times New Roman" w:hAnsi="Times New Roman" w:cs="Times New Roman"/>
          <w:sz w:val="24"/>
          <w:szCs w:val="24"/>
        </w:rPr>
        <w:t>.  Šāds pasākums un finansējums norādīts arī kā viens no VM prioritārajiem pasākumiem. Ņemot vērā, ka plaisa starp Latvijas onkoloģiskajiem pacientiem pieejamo KZS un jaunāko iespējamo ārstēšanos arvien p</w:t>
      </w:r>
      <w:r w:rsidR="002A7DAF" w:rsidRPr="00847710">
        <w:rPr>
          <w:rFonts w:ascii="Times New Roman" w:hAnsi="Times New Roman" w:cs="Times New Roman"/>
          <w:sz w:val="24"/>
          <w:szCs w:val="24"/>
        </w:rPr>
        <w:t>alielinās</w:t>
      </w:r>
      <w:r w:rsidRPr="00847710">
        <w:rPr>
          <w:rFonts w:ascii="Times New Roman" w:hAnsi="Times New Roman" w:cs="Times New Roman"/>
          <w:sz w:val="24"/>
          <w:szCs w:val="24"/>
        </w:rPr>
        <w:t xml:space="preserve">, </w:t>
      </w:r>
      <w:r w:rsidRPr="00847710">
        <w:rPr>
          <w:rFonts w:ascii="Times New Roman" w:hAnsi="Times New Roman" w:cs="Times New Roman"/>
          <w:sz w:val="24"/>
          <w:szCs w:val="24"/>
        </w:rPr>
        <w:lastRenderedPageBreak/>
        <w:t xml:space="preserve">pieaug arī efektīvas ārstēšanas nodrošināšanai nepieciešamais finansējums. Tādējādi 2018.gadam plānotais papildus finansējums </w:t>
      </w:r>
      <w:r w:rsidR="00E07DCA" w:rsidRPr="00847710">
        <w:rPr>
          <w:rFonts w:ascii="Times New Roman" w:hAnsi="Times New Roman" w:cs="Times New Roman"/>
          <w:sz w:val="24"/>
          <w:szCs w:val="24"/>
        </w:rPr>
        <w:t>7 </w:t>
      </w:r>
      <w:r w:rsidRPr="00847710">
        <w:rPr>
          <w:rFonts w:ascii="Times New Roman" w:hAnsi="Times New Roman" w:cs="Times New Roman"/>
          <w:sz w:val="24"/>
          <w:szCs w:val="24"/>
        </w:rPr>
        <w:t>069 39</w:t>
      </w:r>
      <w:r w:rsidR="00691636" w:rsidRPr="00847710">
        <w:rPr>
          <w:rFonts w:ascii="Times New Roman" w:hAnsi="Times New Roman" w:cs="Times New Roman"/>
          <w:sz w:val="24"/>
          <w:szCs w:val="24"/>
        </w:rPr>
        <w:t>0</w:t>
      </w:r>
      <w:r w:rsidRPr="00847710">
        <w:rPr>
          <w:rFonts w:ascii="Times New Roman" w:hAnsi="Times New Roman" w:cs="Times New Roman"/>
          <w:sz w:val="24"/>
          <w:szCs w:val="24"/>
        </w:rPr>
        <w:t xml:space="preserve"> eiro apmērā tikai daļēji ļaus risināt zāļu kompensācijas problēmas onkoloģijā</w:t>
      </w:r>
    </w:p>
    <w:p w14:paraId="52FE8A8C" w14:textId="46352C72" w:rsidR="00E27D21" w:rsidRPr="00847710" w:rsidRDefault="00E27D21" w:rsidP="00984F32">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Identificētās problēmas:</w:t>
      </w:r>
    </w:p>
    <w:p w14:paraId="0A15FE32" w14:textId="77777777" w:rsidR="00E27D21" w:rsidRPr="00847710" w:rsidRDefault="00E27D21" w:rsidP="00315286">
      <w:pPr>
        <w:spacing w:after="0"/>
        <w:ind w:firstLine="709"/>
        <w:jc w:val="both"/>
        <w:rPr>
          <w:rFonts w:ascii="Times New Roman" w:hAnsi="Times New Roman" w:cs="Times New Roman"/>
          <w:sz w:val="24"/>
          <w:szCs w:val="24"/>
        </w:rPr>
      </w:pPr>
      <w:r w:rsidRPr="00847710">
        <w:rPr>
          <w:rFonts w:ascii="Times New Roman" w:hAnsi="Times New Roman" w:cs="Times New Roman"/>
          <w:sz w:val="24"/>
          <w:szCs w:val="24"/>
        </w:rPr>
        <w:t>1. Pat nepaplašinot KZS, pastāvīgi pieaug kompensējamo zāļu lietotāju skaits (esošie pacienti turpina ārstēšanos, jauni uzsāk), bet nav proporcionāla valsts budžeta finansējuma pieauguma.</w:t>
      </w:r>
    </w:p>
    <w:p w14:paraId="08C575C5" w14:textId="77777777" w:rsidR="00E27D21" w:rsidRPr="00847710" w:rsidRDefault="00E27D21" w:rsidP="00315286">
      <w:pPr>
        <w:spacing w:after="0"/>
        <w:ind w:firstLine="709"/>
        <w:jc w:val="both"/>
        <w:rPr>
          <w:rFonts w:ascii="Times New Roman" w:hAnsi="Times New Roman" w:cs="Times New Roman"/>
          <w:sz w:val="24"/>
          <w:szCs w:val="24"/>
        </w:rPr>
      </w:pPr>
      <w:r w:rsidRPr="00847710">
        <w:rPr>
          <w:rFonts w:ascii="Times New Roman" w:hAnsi="Times New Roman" w:cs="Times New Roman"/>
          <w:sz w:val="24"/>
          <w:szCs w:val="24"/>
        </w:rPr>
        <w:t>2. Pastāvīgi nepietiekamā finansējuma dēļ nav iespējams papildināt KZS ar jaunām efektīvām zālēm.</w:t>
      </w:r>
    </w:p>
    <w:p w14:paraId="1A43C37C" w14:textId="77777777" w:rsidR="00E27D21" w:rsidRPr="00847710" w:rsidRDefault="00E27D21" w:rsidP="00315286">
      <w:pPr>
        <w:spacing w:after="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3. Daļai onkoloģisko pacientu KZS iekļautās zāles nesniedz vēlamo rezultātu, līdz ar to izvērtējama KZS papildināšana ar jaunām zālēm, kā arī personalizētās medicīnas principu tālāka ieviešana – papildināt KZS ar zālēm, kas piemērotas noteiktām onkoloģisko pacientu grupām ar noteiktiem pozitīviem biomarķieriem. </w:t>
      </w:r>
    </w:p>
    <w:p w14:paraId="4138DCBC" w14:textId="3BFB9BF0" w:rsidR="00E27D21" w:rsidRPr="00847710" w:rsidRDefault="00E27D21" w:rsidP="00315286">
      <w:pPr>
        <w:spacing w:after="0"/>
        <w:ind w:firstLine="709"/>
        <w:jc w:val="both"/>
        <w:rPr>
          <w:rFonts w:ascii="Times New Roman" w:hAnsi="Times New Roman" w:cs="Times New Roman"/>
          <w:sz w:val="24"/>
          <w:szCs w:val="24"/>
        </w:rPr>
      </w:pPr>
      <w:r w:rsidRPr="00847710">
        <w:rPr>
          <w:rFonts w:ascii="Times New Roman" w:hAnsi="Times New Roman" w:cs="Times New Roman"/>
          <w:sz w:val="24"/>
          <w:szCs w:val="24"/>
        </w:rPr>
        <w:t>Saskaņā ar onkoloģijas plānā paredzēto</w:t>
      </w:r>
      <w:r w:rsidR="007E2BB2" w:rsidRPr="00847710">
        <w:rPr>
          <w:rFonts w:ascii="Times New Roman" w:hAnsi="Times New Roman" w:cs="Times New Roman"/>
          <w:sz w:val="24"/>
          <w:szCs w:val="24"/>
        </w:rPr>
        <w:t>,</w:t>
      </w:r>
      <w:r w:rsidRPr="00847710">
        <w:rPr>
          <w:rFonts w:ascii="Times New Roman" w:hAnsi="Times New Roman" w:cs="Times New Roman"/>
          <w:sz w:val="24"/>
          <w:szCs w:val="24"/>
        </w:rPr>
        <w:t xml:space="preserve"> NVD ir izstrādāts t.s. prioritizācijas rīks, kas dotu iespēju iekļaušanai KZS iesniegtās zāles sarindot prioritārā secībā, ņemot vērā tādus kritērijus kā zāļu klīniskā nepieciešamība, salīdzinošās terapijas pieejamība, efektivitātes radītāji (kopējā dzīvildze, dzīvildze bez progresijas), dzīves kvalitāte,  paredzes marķieri  u.c..  Lai efektīvāk izmantotu papildus budžeta līdzekļus, turpmākās sarunas ar ražotājiem par </w:t>
      </w:r>
      <w:r w:rsidR="0065299A" w:rsidRPr="00847710">
        <w:rPr>
          <w:rFonts w:ascii="Times New Roman" w:hAnsi="Times New Roman" w:cs="Times New Roman"/>
          <w:sz w:val="24"/>
          <w:szCs w:val="24"/>
        </w:rPr>
        <w:t>z</w:t>
      </w:r>
      <w:r w:rsidRPr="00847710">
        <w:rPr>
          <w:rFonts w:ascii="Times New Roman" w:hAnsi="Times New Roman" w:cs="Times New Roman"/>
          <w:sz w:val="24"/>
          <w:szCs w:val="24"/>
        </w:rPr>
        <w:t xml:space="preserve">āļu </w:t>
      </w:r>
      <w:r w:rsidR="0065299A" w:rsidRPr="00847710">
        <w:rPr>
          <w:rFonts w:ascii="Times New Roman" w:hAnsi="Times New Roman" w:cs="Times New Roman"/>
          <w:sz w:val="24"/>
          <w:szCs w:val="24"/>
        </w:rPr>
        <w:t xml:space="preserve">izmaksu </w:t>
      </w:r>
      <w:r w:rsidRPr="00847710">
        <w:rPr>
          <w:rFonts w:ascii="Times New Roman" w:hAnsi="Times New Roman" w:cs="Times New Roman"/>
          <w:sz w:val="24"/>
          <w:szCs w:val="24"/>
        </w:rPr>
        <w:t>efektivitāti, paredzamo ietekmi uz piešķirtajiem budžeta līdzekļiem, iespējamiem līguma nosacījumiem tiks uzsāktas vispirms par zālēm, k</w:t>
      </w:r>
      <w:r w:rsidR="0065299A" w:rsidRPr="00847710">
        <w:rPr>
          <w:rFonts w:ascii="Times New Roman" w:hAnsi="Times New Roman" w:cs="Times New Roman"/>
          <w:sz w:val="24"/>
          <w:szCs w:val="24"/>
        </w:rPr>
        <w:t>urām</w:t>
      </w:r>
      <w:r w:rsidRPr="00847710">
        <w:rPr>
          <w:rFonts w:ascii="Times New Roman" w:hAnsi="Times New Roman" w:cs="Times New Roman"/>
          <w:sz w:val="24"/>
          <w:szCs w:val="24"/>
        </w:rPr>
        <w:t xml:space="preserve"> pierādī</w:t>
      </w:r>
      <w:r w:rsidR="0065299A" w:rsidRPr="00847710">
        <w:rPr>
          <w:rFonts w:ascii="Times New Roman" w:hAnsi="Times New Roman" w:cs="Times New Roman"/>
          <w:sz w:val="24"/>
          <w:szCs w:val="24"/>
        </w:rPr>
        <w:t>ta</w:t>
      </w:r>
      <w:r w:rsidRPr="00847710">
        <w:rPr>
          <w:rFonts w:ascii="Times New Roman" w:hAnsi="Times New Roman" w:cs="Times New Roman"/>
          <w:sz w:val="24"/>
          <w:szCs w:val="24"/>
        </w:rPr>
        <w:t xml:space="preserve"> augstāk</w:t>
      </w:r>
      <w:r w:rsidR="0065299A" w:rsidRPr="00847710">
        <w:rPr>
          <w:rFonts w:ascii="Times New Roman" w:hAnsi="Times New Roman" w:cs="Times New Roman"/>
          <w:sz w:val="24"/>
          <w:szCs w:val="24"/>
        </w:rPr>
        <w:t>a</w:t>
      </w:r>
      <w:r w:rsidRPr="00847710">
        <w:rPr>
          <w:rFonts w:ascii="Times New Roman" w:hAnsi="Times New Roman" w:cs="Times New Roman"/>
          <w:sz w:val="24"/>
          <w:szCs w:val="24"/>
        </w:rPr>
        <w:t xml:space="preserve"> klīnisk</w:t>
      </w:r>
      <w:r w:rsidR="0065299A" w:rsidRPr="00847710">
        <w:rPr>
          <w:rFonts w:ascii="Times New Roman" w:hAnsi="Times New Roman" w:cs="Times New Roman"/>
          <w:sz w:val="24"/>
          <w:szCs w:val="24"/>
        </w:rPr>
        <w:t>ā</w:t>
      </w:r>
      <w:r w:rsidRPr="00847710">
        <w:rPr>
          <w:rFonts w:ascii="Times New Roman" w:hAnsi="Times New Roman" w:cs="Times New Roman"/>
          <w:sz w:val="24"/>
          <w:szCs w:val="24"/>
        </w:rPr>
        <w:t xml:space="preserve"> efektivitāt</w:t>
      </w:r>
      <w:r w:rsidR="0065299A" w:rsidRPr="00847710">
        <w:rPr>
          <w:rFonts w:ascii="Times New Roman" w:hAnsi="Times New Roman" w:cs="Times New Roman"/>
          <w:sz w:val="24"/>
          <w:szCs w:val="24"/>
        </w:rPr>
        <w:t>e</w:t>
      </w:r>
      <w:r w:rsidRPr="00847710">
        <w:rPr>
          <w:rFonts w:ascii="Times New Roman" w:hAnsi="Times New Roman" w:cs="Times New Roman"/>
          <w:sz w:val="24"/>
          <w:szCs w:val="24"/>
        </w:rPr>
        <w:t xml:space="preserve"> un lielāk</w:t>
      </w:r>
      <w:r w:rsidR="008367E2" w:rsidRPr="00847710">
        <w:rPr>
          <w:rFonts w:ascii="Times New Roman" w:hAnsi="Times New Roman" w:cs="Times New Roman"/>
          <w:sz w:val="24"/>
          <w:szCs w:val="24"/>
        </w:rPr>
        <w:t>a</w:t>
      </w:r>
      <w:r w:rsidRPr="00847710">
        <w:rPr>
          <w:rFonts w:ascii="Times New Roman" w:hAnsi="Times New Roman" w:cs="Times New Roman"/>
          <w:sz w:val="24"/>
          <w:szCs w:val="24"/>
        </w:rPr>
        <w:t xml:space="preserve"> klīnisk</w:t>
      </w:r>
      <w:r w:rsidR="008367E2" w:rsidRPr="00847710">
        <w:rPr>
          <w:rFonts w:ascii="Times New Roman" w:hAnsi="Times New Roman" w:cs="Times New Roman"/>
          <w:sz w:val="24"/>
          <w:szCs w:val="24"/>
        </w:rPr>
        <w:t>ā</w:t>
      </w:r>
      <w:r w:rsidRPr="00847710">
        <w:rPr>
          <w:rFonts w:ascii="Times New Roman" w:hAnsi="Times New Roman" w:cs="Times New Roman"/>
          <w:sz w:val="24"/>
          <w:szCs w:val="24"/>
        </w:rPr>
        <w:t xml:space="preserve"> nepieciešamīb</w:t>
      </w:r>
      <w:r w:rsidR="008367E2" w:rsidRPr="00847710">
        <w:rPr>
          <w:rFonts w:ascii="Times New Roman" w:hAnsi="Times New Roman" w:cs="Times New Roman"/>
          <w:sz w:val="24"/>
          <w:szCs w:val="24"/>
        </w:rPr>
        <w:t>a</w:t>
      </w:r>
      <w:r w:rsidRPr="00847710">
        <w:rPr>
          <w:rFonts w:ascii="Times New Roman" w:hAnsi="Times New Roman" w:cs="Times New Roman"/>
          <w:sz w:val="24"/>
          <w:szCs w:val="24"/>
        </w:rPr>
        <w:t xml:space="preserve">. </w:t>
      </w:r>
    </w:p>
    <w:p w14:paraId="21381375" w14:textId="77777777" w:rsidR="006807F5" w:rsidRDefault="00E27D21" w:rsidP="006807F5">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Tādējādi reformas īstenošanai pieejamā finansējuma ietvaros 2018.gadā tiks veikti šādi pasākumi:</w:t>
      </w:r>
    </w:p>
    <w:p w14:paraId="1DEBA882" w14:textId="5DBFC6BC" w:rsidR="001C196E" w:rsidRPr="00C86312" w:rsidRDefault="003A5334" w:rsidP="006807F5">
      <w:pPr>
        <w:spacing w:after="120"/>
        <w:ind w:firstLine="709"/>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DE3C94">
        <w:rPr>
          <w:rFonts w:ascii="Times New Roman" w:hAnsi="Times New Roman" w:cs="Times New Roman"/>
          <w:i/>
          <w:iCs/>
          <w:sz w:val="24"/>
          <w:szCs w:val="24"/>
        </w:rPr>
        <w:t>8</w:t>
      </w:r>
      <w:r w:rsidRPr="57326167">
        <w:rPr>
          <w:rFonts w:ascii="Times New Roman" w:hAnsi="Times New Roman" w:cs="Times New Roman"/>
          <w:i/>
          <w:iCs/>
          <w:sz w:val="24"/>
          <w:szCs w:val="24"/>
        </w:rPr>
        <w:t>.</w:t>
      </w:r>
      <w:r w:rsidR="001C196E" w:rsidRPr="57326167">
        <w:rPr>
          <w:rFonts w:ascii="Times New Roman" w:hAnsi="Times New Roman" w:cs="Times New Roman"/>
          <w:i/>
          <w:iCs/>
          <w:sz w:val="24"/>
          <w:szCs w:val="24"/>
        </w:rPr>
        <w:t>tabula</w:t>
      </w:r>
    </w:p>
    <w:p w14:paraId="4B7E3366" w14:textId="56B87179" w:rsidR="00E27D21" w:rsidRPr="00C86312" w:rsidRDefault="001C196E" w:rsidP="00C86312">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sz w:val="24"/>
          <w:szCs w:val="24"/>
        </w:rPr>
        <w:t>Zāļu kompensācija pacientiem diagnožu grupā “Audzēji”</w:t>
      </w:r>
    </w:p>
    <w:tbl>
      <w:tblPr>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38"/>
        <w:gridCol w:w="1134"/>
        <w:gridCol w:w="1559"/>
        <w:gridCol w:w="1559"/>
        <w:gridCol w:w="1285"/>
        <w:gridCol w:w="1272"/>
        <w:gridCol w:w="1272"/>
        <w:gridCol w:w="1272"/>
      </w:tblGrid>
      <w:tr w:rsidR="00FB6C80" w:rsidRPr="00847710" w14:paraId="40BB6311" w14:textId="77777777" w:rsidTr="00C86312">
        <w:trPr>
          <w:cantSplit/>
          <w:trHeight w:val="1656"/>
        </w:trPr>
        <w:tc>
          <w:tcPr>
            <w:tcW w:w="426" w:type="dxa"/>
            <w:shd w:val="clear" w:color="auto" w:fill="E36C0A" w:themeFill="accent6" w:themeFillShade="BF"/>
            <w:vAlign w:val="center"/>
            <w:hideMark/>
          </w:tcPr>
          <w:p w14:paraId="5E04B002" w14:textId="77777777" w:rsidR="00F952C3" w:rsidRPr="00847710" w:rsidRDefault="00F952C3" w:rsidP="00E14FA6">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E36C0A" w:themeFill="accent6" w:themeFillShade="BF"/>
            <w:vAlign w:val="center"/>
            <w:hideMark/>
          </w:tcPr>
          <w:p w14:paraId="74E11DD5" w14:textId="77777777" w:rsidR="00F952C3" w:rsidRPr="00847710" w:rsidRDefault="00F952C3" w:rsidP="00E14FA6">
            <w:pPr>
              <w:spacing w:after="0" w:line="240" w:lineRule="auto"/>
              <w:rPr>
                <w:rFonts w:ascii="Times New Roman" w:eastAsia="Times New Roman" w:hAnsi="Times New Roman" w:cs="Times New Roman"/>
                <w:b/>
                <w:sz w:val="20"/>
                <w:szCs w:val="20"/>
                <w:lang w:eastAsia="lv-LV"/>
              </w:rPr>
            </w:pPr>
          </w:p>
        </w:tc>
        <w:tc>
          <w:tcPr>
            <w:tcW w:w="1134" w:type="dxa"/>
            <w:shd w:val="clear" w:color="auto" w:fill="E36C0A" w:themeFill="accent6" w:themeFillShade="BF"/>
            <w:textDirection w:val="btLr"/>
            <w:vAlign w:val="center"/>
            <w:hideMark/>
          </w:tcPr>
          <w:p w14:paraId="7B425DCD" w14:textId="77777777" w:rsidR="00F952C3" w:rsidRPr="00847710" w:rsidRDefault="00F952C3"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3C157131" w14:textId="77777777" w:rsidR="00F952C3" w:rsidRPr="00847710" w:rsidRDefault="00F952C3"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1DA4380C" w14:textId="77777777" w:rsidR="00F952C3" w:rsidRPr="00847710" w:rsidRDefault="00F952C3" w:rsidP="00E14FA6">
            <w:pPr>
              <w:spacing w:after="0" w:line="240" w:lineRule="auto"/>
              <w:ind w:left="113" w:right="113"/>
              <w:jc w:val="center"/>
              <w:rPr>
                <w:rFonts w:ascii="Times New Roman" w:eastAsia="Times New Roman" w:hAnsi="Times New Roman" w:cs="Times New Roman"/>
                <w:b/>
                <w:bCs/>
                <w:sz w:val="20"/>
                <w:szCs w:val="20"/>
                <w:lang w:eastAsia="lv-LV"/>
              </w:rPr>
            </w:pPr>
          </w:p>
        </w:tc>
        <w:tc>
          <w:tcPr>
            <w:tcW w:w="3118" w:type="dxa"/>
            <w:gridSpan w:val="2"/>
            <w:shd w:val="clear" w:color="auto" w:fill="E36C0A" w:themeFill="accent6" w:themeFillShade="BF"/>
            <w:textDirection w:val="btLr"/>
            <w:vAlign w:val="center"/>
            <w:hideMark/>
          </w:tcPr>
          <w:p w14:paraId="4006F6A2" w14:textId="77777777" w:rsidR="00F952C3" w:rsidRPr="00847710" w:rsidRDefault="00F952C3"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A" w:themeFill="accent6" w:themeFillShade="BF"/>
            <w:textDirection w:val="btLr"/>
            <w:vAlign w:val="center"/>
            <w:hideMark/>
          </w:tcPr>
          <w:p w14:paraId="66306942" w14:textId="77777777" w:rsidR="00F952C3" w:rsidRPr="00847710" w:rsidRDefault="00F952C3"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A" w:themeFill="accent6" w:themeFillShade="BF"/>
            <w:textDirection w:val="btLr"/>
            <w:vAlign w:val="center"/>
          </w:tcPr>
          <w:p w14:paraId="6A4302F5" w14:textId="77777777" w:rsidR="00F952C3" w:rsidRPr="00847710" w:rsidRDefault="00F952C3"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A" w:themeFill="accent6" w:themeFillShade="BF"/>
            <w:textDirection w:val="btLr"/>
            <w:vAlign w:val="center"/>
            <w:hideMark/>
          </w:tcPr>
          <w:p w14:paraId="27D5661E" w14:textId="77777777" w:rsidR="00F952C3" w:rsidRPr="00847710" w:rsidRDefault="00F952C3"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FB6C80" w:rsidRPr="00847710" w14:paraId="46BD3995" w14:textId="77777777" w:rsidTr="00C86312">
        <w:trPr>
          <w:trHeight w:val="640"/>
        </w:trPr>
        <w:tc>
          <w:tcPr>
            <w:tcW w:w="426" w:type="dxa"/>
            <w:shd w:val="clear" w:color="auto" w:fill="FABF8F" w:themeFill="accent6" w:themeFillTint="99"/>
            <w:vAlign w:val="center"/>
          </w:tcPr>
          <w:p w14:paraId="6FD458AB" w14:textId="77777777" w:rsidR="00F952C3" w:rsidRPr="00847710" w:rsidRDefault="00F952C3" w:rsidP="00E14FA6">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FABF8F" w:themeFill="accent6" w:themeFillTint="99"/>
            <w:vAlign w:val="center"/>
          </w:tcPr>
          <w:p w14:paraId="405A7BA0" w14:textId="77777777" w:rsidR="00F952C3" w:rsidRPr="00847710" w:rsidRDefault="00F952C3" w:rsidP="00E14FA6">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ABF8F" w:themeFill="accent6" w:themeFillTint="99"/>
            <w:vAlign w:val="center"/>
          </w:tcPr>
          <w:p w14:paraId="6A458B5B" w14:textId="77777777" w:rsidR="00F952C3" w:rsidRPr="00847710" w:rsidRDefault="00F952C3" w:rsidP="00E14FA6">
            <w:pPr>
              <w:spacing w:after="0" w:line="240" w:lineRule="auto"/>
              <w:jc w:val="center"/>
              <w:rPr>
                <w:rFonts w:ascii="Times New Roman" w:eastAsia="Times New Roman" w:hAnsi="Times New Roman" w:cs="Times New Roman"/>
                <w:i/>
                <w:iCs/>
                <w:sz w:val="20"/>
                <w:szCs w:val="20"/>
                <w:lang w:eastAsia="lv-LV"/>
              </w:rPr>
            </w:pPr>
          </w:p>
          <w:p w14:paraId="090000EC" w14:textId="77777777" w:rsidR="00F952C3" w:rsidRPr="00847710" w:rsidRDefault="00F952C3" w:rsidP="00E14FA6">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60300F8F" w14:textId="77777777" w:rsidR="00F952C3" w:rsidRPr="00847710" w:rsidRDefault="00F952C3" w:rsidP="00E14FA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14:paraId="2ED1D923" w14:textId="77777777" w:rsidR="00F952C3" w:rsidRPr="00847710" w:rsidRDefault="00F952C3" w:rsidP="00E14FA6">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4383D4AE" w14:textId="77777777" w:rsidR="00F952C3" w:rsidRPr="00847710" w:rsidRDefault="00F952C3" w:rsidP="00E14FA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14:paraId="3382DD32" w14:textId="77777777" w:rsidR="00F952C3" w:rsidRPr="00847710" w:rsidRDefault="00F952C3" w:rsidP="00E14FA6">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BF8F" w:themeFill="accent6" w:themeFillTint="99"/>
            <w:vAlign w:val="center"/>
          </w:tcPr>
          <w:p w14:paraId="3E6C93AB" w14:textId="77777777" w:rsidR="00F952C3" w:rsidRPr="00847710" w:rsidRDefault="00F952C3" w:rsidP="00E14FA6">
            <w:pPr>
              <w:spacing w:after="0" w:line="240" w:lineRule="auto"/>
              <w:jc w:val="center"/>
              <w:rPr>
                <w:rFonts w:ascii="Times New Roman" w:eastAsia="Times New Roman" w:hAnsi="Times New Roman" w:cs="Times New Roman"/>
                <w:bCs/>
                <w:i/>
                <w:iCs/>
                <w:sz w:val="20"/>
                <w:szCs w:val="20"/>
                <w:lang w:eastAsia="lv-LV"/>
              </w:rPr>
            </w:pPr>
          </w:p>
          <w:p w14:paraId="6669CC0E" w14:textId="77777777" w:rsidR="00F952C3" w:rsidRPr="00C86312" w:rsidRDefault="00F952C3" w:rsidP="00C8631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BF8F" w:themeFill="accent6" w:themeFillTint="99"/>
            <w:vAlign w:val="center"/>
          </w:tcPr>
          <w:p w14:paraId="03C61320" w14:textId="77777777" w:rsidR="00F952C3" w:rsidRPr="00847710" w:rsidRDefault="00F952C3" w:rsidP="00E14FA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BF8F" w:themeFill="accent6" w:themeFillTint="99"/>
            <w:vAlign w:val="center"/>
          </w:tcPr>
          <w:p w14:paraId="60D86487" w14:textId="77777777" w:rsidR="00F952C3" w:rsidRPr="00847710" w:rsidRDefault="00F952C3" w:rsidP="00E14FA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BF8F" w:themeFill="accent6" w:themeFillTint="99"/>
            <w:vAlign w:val="center"/>
          </w:tcPr>
          <w:p w14:paraId="689567D5" w14:textId="77777777" w:rsidR="00F952C3" w:rsidRPr="00847710" w:rsidRDefault="00F952C3" w:rsidP="00E14FA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rsidR="00F952C3" w:rsidRPr="00847710" w14:paraId="74151C86" w14:textId="77777777" w:rsidTr="00C86312">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6F5D9" w14:textId="77777777" w:rsidR="00F952C3" w:rsidRPr="00847710" w:rsidRDefault="00F952C3" w:rsidP="00E14FA6">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22752C" w14:textId="77777777" w:rsidR="00F952C3" w:rsidRPr="00847710" w:rsidRDefault="00F952C3" w:rsidP="00E14FA6">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Inovatīvie onkoloģiskie medikamenti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61609" w14:textId="77777777" w:rsidR="00F952C3" w:rsidRPr="00847710" w:rsidRDefault="00F952C3" w:rsidP="00E14FA6">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xml:space="preserve">        20 000.00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85D9E" w14:textId="77777777" w:rsidR="00F952C3" w:rsidRPr="00847710" w:rsidRDefault="00F952C3" w:rsidP="00E14FA6">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C441A" w14:textId="77777777" w:rsidR="00F952C3" w:rsidRPr="00847710" w:rsidRDefault="00F952C3" w:rsidP="00E14FA6">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D5AC7" w14:textId="288D7450" w:rsidR="00F952C3" w:rsidRPr="00847710" w:rsidRDefault="00DD6132" w:rsidP="00E14FA6">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6 </w:t>
            </w:r>
            <w:r w:rsidR="00F952C3" w:rsidRPr="00847710">
              <w:rPr>
                <w:rFonts w:ascii="Times New Roman" w:hAnsi="Times New Roman" w:cs="Times New Roman"/>
                <w:sz w:val="20"/>
                <w:szCs w:val="20"/>
              </w:rPr>
              <w:t>000 000</w:t>
            </w:r>
          </w:p>
        </w:tc>
        <w:tc>
          <w:tcPr>
            <w:tcW w:w="1272" w:type="dxa"/>
            <w:tcBorders>
              <w:top w:val="single" w:sz="4" w:space="0" w:color="auto"/>
              <w:left w:val="single" w:sz="4" w:space="0" w:color="auto"/>
              <w:bottom w:val="single" w:sz="4" w:space="0" w:color="auto"/>
              <w:right w:val="single" w:sz="4" w:space="0" w:color="auto"/>
            </w:tcBorders>
            <w:vAlign w:val="bottom"/>
          </w:tcPr>
          <w:p w14:paraId="3590937B" w14:textId="77777777" w:rsidR="00F952C3" w:rsidRPr="00C86312" w:rsidRDefault="00F952C3" w:rsidP="00C86312">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w:t>
            </w:r>
          </w:p>
        </w:tc>
        <w:tc>
          <w:tcPr>
            <w:tcW w:w="1272" w:type="dxa"/>
            <w:tcBorders>
              <w:top w:val="single" w:sz="4" w:space="0" w:color="auto"/>
              <w:left w:val="single" w:sz="4" w:space="0" w:color="auto"/>
              <w:bottom w:val="single" w:sz="4" w:space="0" w:color="auto"/>
              <w:right w:val="single" w:sz="4" w:space="0" w:color="auto"/>
            </w:tcBorders>
            <w:vAlign w:val="bottom"/>
          </w:tcPr>
          <w:p w14:paraId="0676B406" w14:textId="77777777" w:rsidR="00F952C3" w:rsidRPr="00C86312" w:rsidRDefault="00F952C3"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4F198" w14:textId="55B3F8CD" w:rsidR="00F952C3" w:rsidRPr="00C86312" w:rsidRDefault="00FC053C"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300</w:t>
            </w:r>
          </w:p>
        </w:tc>
      </w:tr>
      <w:tr w:rsidR="00F952C3" w:rsidRPr="00847710" w14:paraId="472D9103" w14:textId="77777777" w:rsidTr="00C86312">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42562" w14:textId="77777777" w:rsidR="00F952C3" w:rsidRPr="00847710" w:rsidRDefault="00F952C3" w:rsidP="00E14FA6">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4AFF3C" w14:textId="77777777" w:rsidR="00F952C3" w:rsidRPr="00847710" w:rsidRDefault="00F952C3" w:rsidP="00E14FA6">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Kompensējamos medikamentus saņēmušo pacientu un līdzekļu pieaugums onkoloģijā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E8A72" w14:textId="77777777" w:rsidR="00F952C3" w:rsidRPr="00847710" w:rsidRDefault="00F952C3" w:rsidP="00E14FA6">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1069.39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215C1" w14:textId="77777777" w:rsidR="00F952C3" w:rsidRPr="00847710" w:rsidRDefault="00F952C3" w:rsidP="00E14FA6">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24 485 563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93486" w14:textId="77777777" w:rsidR="00F952C3" w:rsidRPr="00847710" w:rsidRDefault="00F952C3" w:rsidP="00E14FA6">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24 485 563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0E759" w14:textId="77777777" w:rsidR="00F952C3" w:rsidRPr="00847710" w:rsidRDefault="00F952C3" w:rsidP="00E14FA6">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1 069 390</w:t>
            </w:r>
          </w:p>
        </w:tc>
        <w:tc>
          <w:tcPr>
            <w:tcW w:w="1272" w:type="dxa"/>
            <w:tcBorders>
              <w:top w:val="single" w:sz="4" w:space="0" w:color="auto"/>
              <w:left w:val="single" w:sz="4" w:space="0" w:color="auto"/>
              <w:bottom w:val="single" w:sz="4" w:space="0" w:color="auto"/>
              <w:right w:val="single" w:sz="4" w:space="0" w:color="auto"/>
            </w:tcBorders>
            <w:vAlign w:val="bottom"/>
          </w:tcPr>
          <w:p w14:paraId="41A82609" w14:textId="77777777" w:rsidR="00F952C3" w:rsidRPr="00C86312" w:rsidRDefault="00F952C3" w:rsidP="00C86312">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26 966</w:t>
            </w:r>
          </w:p>
        </w:tc>
        <w:tc>
          <w:tcPr>
            <w:tcW w:w="1272" w:type="dxa"/>
            <w:tcBorders>
              <w:top w:val="single" w:sz="4" w:space="0" w:color="auto"/>
              <w:left w:val="single" w:sz="4" w:space="0" w:color="auto"/>
              <w:bottom w:val="single" w:sz="4" w:space="0" w:color="auto"/>
              <w:right w:val="single" w:sz="4" w:space="0" w:color="auto"/>
            </w:tcBorders>
            <w:vAlign w:val="bottom"/>
          </w:tcPr>
          <w:p w14:paraId="6AC805E7" w14:textId="77777777" w:rsidR="00F952C3" w:rsidRPr="00C86312" w:rsidRDefault="00F952C3"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26 966</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75892" w14:textId="77777777" w:rsidR="00F952C3" w:rsidRPr="00C86312" w:rsidRDefault="00F952C3"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27 966</w:t>
            </w:r>
          </w:p>
        </w:tc>
      </w:tr>
      <w:tr w:rsidR="00FB6C80" w:rsidRPr="00847710" w14:paraId="451C1558" w14:textId="77777777" w:rsidTr="00C86312">
        <w:trPr>
          <w:trHeight w:val="189"/>
        </w:trPr>
        <w:tc>
          <w:tcPr>
            <w:tcW w:w="426" w:type="dxa"/>
            <w:shd w:val="clear" w:color="auto" w:fill="FBD4B4" w:themeFill="accent6" w:themeFillTint="66"/>
            <w:noWrap/>
            <w:vAlign w:val="bottom"/>
            <w:hideMark/>
          </w:tcPr>
          <w:p w14:paraId="3A20EDDE" w14:textId="77777777" w:rsidR="00F952C3" w:rsidRPr="00847710" w:rsidRDefault="00F952C3" w:rsidP="00E14FA6">
            <w:pPr>
              <w:spacing w:after="0" w:line="240" w:lineRule="auto"/>
              <w:jc w:val="right"/>
              <w:rPr>
                <w:rFonts w:ascii="Times New Roman" w:eastAsia="Times New Roman" w:hAnsi="Times New Roman" w:cs="Times New Roman"/>
                <w:sz w:val="20"/>
                <w:szCs w:val="20"/>
                <w:lang w:eastAsia="lv-LV"/>
              </w:rPr>
            </w:pPr>
          </w:p>
        </w:tc>
        <w:tc>
          <w:tcPr>
            <w:tcW w:w="1838" w:type="dxa"/>
            <w:shd w:val="clear" w:color="auto" w:fill="FBD4B4" w:themeFill="accent6" w:themeFillTint="66"/>
            <w:noWrap/>
            <w:vAlign w:val="bottom"/>
            <w:hideMark/>
          </w:tcPr>
          <w:p w14:paraId="1C5225F5" w14:textId="77777777" w:rsidR="00F952C3" w:rsidRPr="00847710" w:rsidRDefault="00F952C3" w:rsidP="00E14FA6">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hideMark/>
          </w:tcPr>
          <w:p w14:paraId="1686E659" w14:textId="77777777" w:rsidR="00F952C3" w:rsidRPr="00847710" w:rsidRDefault="00F952C3" w:rsidP="00E14FA6">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1085,13</w:t>
            </w:r>
          </w:p>
        </w:tc>
        <w:tc>
          <w:tcPr>
            <w:tcW w:w="1559" w:type="dxa"/>
            <w:shd w:val="clear" w:color="auto" w:fill="FBD4B4" w:themeFill="accent6" w:themeFillTint="66"/>
            <w:noWrap/>
            <w:vAlign w:val="bottom"/>
            <w:hideMark/>
          </w:tcPr>
          <w:p w14:paraId="503F9C9A" w14:textId="77777777" w:rsidR="00F952C3" w:rsidRPr="00847710" w:rsidRDefault="00F952C3" w:rsidP="00E14FA6">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24 485 563</w:t>
            </w:r>
          </w:p>
        </w:tc>
        <w:tc>
          <w:tcPr>
            <w:tcW w:w="1559" w:type="dxa"/>
            <w:shd w:val="clear" w:color="auto" w:fill="FBD4B4" w:themeFill="accent6" w:themeFillTint="66"/>
            <w:noWrap/>
            <w:vAlign w:val="bottom"/>
            <w:hideMark/>
          </w:tcPr>
          <w:p w14:paraId="3367A998" w14:textId="77777777" w:rsidR="00F952C3" w:rsidRPr="00847710" w:rsidRDefault="00F952C3" w:rsidP="00E14FA6">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24 485 563</w:t>
            </w:r>
          </w:p>
        </w:tc>
        <w:tc>
          <w:tcPr>
            <w:tcW w:w="1285" w:type="dxa"/>
            <w:shd w:val="clear" w:color="auto" w:fill="FBD4B4" w:themeFill="accent6" w:themeFillTint="66"/>
            <w:noWrap/>
            <w:vAlign w:val="bottom"/>
            <w:hideMark/>
          </w:tcPr>
          <w:p w14:paraId="2AE20A68" w14:textId="745CC535" w:rsidR="00F952C3" w:rsidRPr="00847710" w:rsidRDefault="00C104AE" w:rsidP="00E14FA6">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 xml:space="preserve">7 </w:t>
            </w:r>
            <w:r w:rsidR="00F952C3" w:rsidRPr="00847710">
              <w:rPr>
                <w:rFonts w:ascii="Times New Roman" w:hAnsi="Times New Roman" w:cs="Times New Roman"/>
                <w:sz w:val="20"/>
                <w:szCs w:val="20"/>
              </w:rPr>
              <w:t>069 390</w:t>
            </w:r>
          </w:p>
        </w:tc>
        <w:tc>
          <w:tcPr>
            <w:tcW w:w="1272" w:type="dxa"/>
            <w:shd w:val="clear" w:color="auto" w:fill="FBD4B4" w:themeFill="accent6" w:themeFillTint="66"/>
            <w:vAlign w:val="bottom"/>
          </w:tcPr>
          <w:p w14:paraId="3CB5F79F" w14:textId="77777777" w:rsidR="00F952C3" w:rsidRPr="00C86312" w:rsidRDefault="00F952C3" w:rsidP="00C86312">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26 966</w:t>
            </w:r>
          </w:p>
        </w:tc>
        <w:tc>
          <w:tcPr>
            <w:tcW w:w="1272" w:type="dxa"/>
            <w:shd w:val="clear" w:color="auto" w:fill="FBD4B4" w:themeFill="accent6" w:themeFillTint="66"/>
            <w:vAlign w:val="bottom"/>
          </w:tcPr>
          <w:p w14:paraId="2BE95F50" w14:textId="77777777" w:rsidR="00F952C3" w:rsidRPr="00C86312" w:rsidRDefault="00F952C3"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26 966</w:t>
            </w:r>
          </w:p>
        </w:tc>
        <w:tc>
          <w:tcPr>
            <w:tcW w:w="1272" w:type="dxa"/>
            <w:shd w:val="clear" w:color="auto" w:fill="FBD4B4" w:themeFill="accent6" w:themeFillTint="66"/>
            <w:noWrap/>
            <w:vAlign w:val="bottom"/>
            <w:hideMark/>
          </w:tcPr>
          <w:p w14:paraId="32FA3DA8" w14:textId="2606824F" w:rsidR="00F952C3" w:rsidRPr="00C86312" w:rsidRDefault="00F952C3"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 xml:space="preserve">28 </w:t>
            </w:r>
            <w:r w:rsidR="00FC053C" w:rsidRPr="0012317D">
              <w:rPr>
                <w:rFonts w:ascii="Times New Roman" w:hAnsi="Times New Roman" w:cs="Times New Roman"/>
                <w:b/>
                <w:bCs/>
                <w:color w:val="FF0000"/>
                <w:sz w:val="20"/>
                <w:szCs w:val="20"/>
              </w:rPr>
              <w:t>266</w:t>
            </w:r>
          </w:p>
        </w:tc>
      </w:tr>
    </w:tbl>
    <w:p w14:paraId="08D66341" w14:textId="1C73EEF3" w:rsidR="006008A7" w:rsidRPr="00847710" w:rsidRDefault="006008A7" w:rsidP="006008A7">
      <w:pPr>
        <w:ind w:firstLine="709"/>
        <w:jc w:val="both"/>
        <w:rPr>
          <w:rFonts w:ascii="Times New Roman" w:hAnsi="Times New Roman" w:cs="Times New Roman"/>
          <w:sz w:val="24"/>
          <w:szCs w:val="24"/>
          <w:lang w:eastAsia="lv-LV"/>
        </w:rPr>
      </w:pPr>
    </w:p>
    <w:p w14:paraId="1A18EE3F" w14:textId="410267D4" w:rsidR="00541B64" w:rsidRPr="00847710" w:rsidRDefault="003005BF" w:rsidP="00810D29">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Medikamentu pieejamības uzlabošana ir viena no onkoloģijas jomas reformu sastāvdaļām, kas skatāmas kopumā. </w:t>
      </w:r>
      <w:r w:rsidR="00F026E0" w:rsidRPr="00847710">
        <w:rPr>
          <w:rFonts w:ascii="Times New Roman" w:hAnsi="Times New Roman" w:cs="Times New Roman"/>
          <w:sz w:val="24"/>
          <w:szCs w:val="24"/>
          <w:lang w:eastAsia="lv-LV"/>
        </w:rPr>
        <w:t xml:space="preserve">Kopā ar 2017.gadā uzsākto reformu onkoloģijas “zaļā koridora” ieviešanā un ārstniecības pieejamības uzlabošanā, papildus medikamenti </w:t>
      </w:r>
      <w:r w:rsidRPr="00847710">
        <w:rPr>
          <w:rFonts w:ascii="Times New Roman" w:hAnsi="Times New Roman" w:cs="Times New Roman"/>
          <w:sz w:val="24"/>
          <w:szCs w:val="24"/>
          <w:lang w:eastAsia="lv-LV"/>
        </w:rPr>
        <w:t>tiks nodrošināti 5 </w:t>
      </w:r>
      <w:r w:rsidR="00FC053C" w:rsidRPr="00847710">
        <w:rPr>
          <w:rFonts w:ascii="Times New Roman" w:hAnsi="Times New Roman" w:cs="Times New Roman"/>
          <w:sz w:val="24"/>
          <w:szCs w:val="24"/>
          <w:lang w:eastAsia="lv-LV"/>
        </w:rPr>
        <w:t xml:space="preserve">794 </w:t>
      </w:r>
      <w:r w:rsidRPr="00847710">
        <w:rPr>
          <w:rFonts w:ascii="Times New Roman" w:hAnsi="Times New Roman" w:cs="Times New Roman"/>
          <w:sz w:val="24"/>
          <w:szCs w:val="24"/>
          <w:lang w:eastAsia="lv-LV"/>
        </w:rPr>
        <w:t>pacientiem</w:t>
      </w:r>
      <w:r w:rsidR="00BA63E3" w:rsidRPr="00847710">
        <w:rPr>
          <w:rFonts w:ascii="Times New Roman" w:hAnsi="Times New Roman" w:cs="Times New Roman"/>
          <w:sz w:val="24"/>
          <w:szCs w:val="24"/>
          <w:lang w:eastAsia="lv-LV"/>
        </w:rPr>
        <w:t xml:space="preserve">, nodrošinot būtisku </w:t>
      </w:r>
      <w:r w:rsidR="00BF2046" w:rsidRPr="00847710">
        <w:rPr>
          <w:rFonts w:ascii="Times New Roman" w:hAnsi="Times New Roman" w:cs="Times New Roman"/>
          <w:sz w:val="24"/>
          <w:szCs w:val="24"/>
          <w:lang w:eastAsia="lv-LV"/>
        </w:rPr>
        <w:t xml:space="preserve">medikamentu </w:t>
      </w:r>
      <w:r w:rsidR="00BA63E3" w:rsidRPr="00847710">
        <w:rPr>
          <w:rFonts w:ascii="Times New Roman" w:hAnsi="Times New Roman" w:cs="Times New Roman"/>
          <w:sz w:val="24"/>
          <w:szCs w:val="24"/>
          <w:lang w:eastAsia="lv-LV"/>
        </w:rPr>
        <w:t>pieejamības uzlabošanos.</w:t>
      </w:r>
      <w:r w:rsidRPr="00847710">
        <w:rPr>
          <w:rFonts w:ascii="Times New Roman" w:hAnsi="Times New Roman" w:cs="Times New Roman"/>
          <w:sz w:val="24"/>
          <w:szCs w:val="24"/>
          <w:lang w:eastAsia="lv-LV"/>
        </w:rPr>
        <w:t xml:space="preserve"> </w:t>
      </w:r>
      <w:r w:rsidR="00F952C3" w:rsidRPr="00847710">
        <w:rPr>
          <w:rFonts w:ascii="Times New Roman" w:hAnsi="Times New Roman" w:cs="Times New Roman"/>
          <w:sz w:val="24"/>
          <w:szCs w:val="24"/>
          <w:lang w:eastAsia="lv-LV"/>
        </w:rPr>
        <w:t xml:space="preserve">Tajā skaitā tiks nodrošināta inovatīvo medikamentu terapijas uzsākšana </w:t>
      </w:r>
      <w:r w:rsidR="00FC053C" w:rsidRPr="00847710">
        <w:rPr>
          <w:rFonts w:ascii="Times New Roman" w:hAnsi="Times New Roman" w:cs="Times New Roman"/>
          <w:sz w:val="24"/>
          <w:szCs w:val="24"/>
          <w:lang w:eastAsia="lv-LV"/>
        </w:rPr>
        <w:t xml:space="preserve">300 </w:t>
      </w:r>
      <w:r w:rsidR="00F952C3" w:rsidRPr="00847710">
        <w:rPr>
          <w:rFonts w:ascii="Times New Roman" w:hAnsi="Times New Roman" w:cs="Times New Roman"/>
          <w:sz w:val="24"/>
          <w:szCs w:val="24"/>
          <w:lang w:eastAsia="lv-LV"/>
        </w:rPr>
        <w:t>pacientiem. Kopumā inovatīvās terapijas nodrošinājums nepieciešams 669 pacientiem. Līdz ar to reforma tiks turpināta 2019.gadā, sasniedzot vismaz 50% aptveri.</w:t>
      </w:r>
    </w:p>
    <w:tbl>
      <w:tblPr>
        <w:tblStyle w:val="TableGrid"/>
        <w:tblW w:w="0" w:type="auto"/>
        <w:tblLook w:val="04A0" w:firstRow="1" w:lastRow="0" w:firstColumn="1" w:lastColumn="0" w:noHBand="0" w:noVBand="1"/>
      </w:tblPr>
      <w:tblGrid>
        <w:gridCol w:w="9089"/>
      </w:tblGrid>
      <w:tr w:rsidR="006008A7" w:rsidRPr="00847710" w14:paraId="5D5395E9" w14:textId="77777777" w:rsidTr="57326167">
        <w:tc>
          <w:tcPr>
            <w:tcW w:w="9089" w:type="dxa"/>
          </w:tcPr>
          <w:p w14:paraId="23AA74E7" w14:textId="033BA77F" w:rsidR="006008A7" w:rsidRPr="00C86312" w:rsidRDefault="006008A7" w:rsidP="00C86312">
            <w:pPr>
              <w:spacing w:after="120"/>
              <w:ind w:firstLine="709"/>
              <w:jc w:val="both"/>
              <w:rPr>
                <w:rFonts w:ascii="Times New Roman" w:hAnsi="Times New Roman"/>
                <w:b/>
                <w:bCs/>
                <w:sz w:val="24"/>
                <w:szCs w:val="24"/>
              </w:rPr>
            </w:pPr>
            <w:r w:rsidRPr="0012317D">
              <w:rPr>
                <w:rFonts w:ascii="Times New Roman" w:hAnsi="Times New Roman"/>
                <w:b/>
                <w:bCs/>
                <w:sz w:val="24"/>
                <w:szCs w:val="24"/>
              </w:rPr>
              <w:t>Reformas rezultāts: Tiks mazināta nevienlīdzība zāļu pieejamībā, līdz ar to mazinot invaliditātes, priekšlaicīgas mirstības risku un uzlabojot onkoloģisko pacientu dzīvildzi.</w:t>
            </w:r>
          </w:p>
        </w:tc>
      </w:tr>
    </w:tbl>
    <w:p w14:paraId="45175584" w14:textId="77777777" w:rsidR="00FA37E8" w:rsidRPr="00847710" w:rsidRDefault="00FA37E8" w:rsidP="007E2BB2">
      <w:pPr>
        <w:spacing w:after="120"/>
        <w:ind w:firstLine="709"/>
        <w:jc w:val="both"/>
        <w:rPr>
          <w:rFonts w:ascii="Times New Roman" w:hAnsi="Times New Roman" w:cs="Times New Roman"/>
          <w:b/>
          <w:sz w:val="24"/>
          <w:szCs w:val="24"/>
        </w:rPr>
      </w:pPr>
    </w:p>
    <w:p w14:paraId="52EFB273" w14:textId="14AB9813" w:rsidR="00026045" w:rsidRPr="00C86312" w:rsidRDefault="00026045" w:rsidP="00C86312">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 xml:space="preserve">2.4. </w:t>
      </w:r>
      <w:r w:rsidR="00CB0EB0" w:rsidRPr="0012317D">
        <w:rPr>
          <w:rFonts w:ascii="Times New Roman" w:hAnsi="Times New Roman" w:cs="Times New Roman"/>
          <w:b/>
          <w:bCs/>
          <w:color w:val="auto"/>
          <w:sz w:val="24"/>
          <w:szCs w:val="24"/>
          <w:u w:val="single"/>
        </w:rPr>
        <w:t>Jaunā reformas iniciatīva - s</w:t>
      </w:r>
      <w:r w:rsidR="004E31FB" w:rsidRPr="00901A9F">
        <w:rPr>
          <w:rFonts w:ascii="Times New Roman" w:hAnsi="Times New Roman" w:cs="Times New Roman"/>
          <w:b/>
          <w:bCs/>
          <w:color w:val="auto"/>
          <w:sz w:val="24"/>
          <w:szCs w:val="24"/>
          <w:u w:val="single"/>
        </w:rPr>
        <w:t xml:space="preserve">taru terapijas </w:t>
      </w:r>
      <w:r w:rsidR="00E16275" w:rsidRPr="0078794A">
        <w:rPr>
          <w:rFonts w:ascii="Times New Roman" w:hAnsi="Times New Roman" w:cs="Times New Roman"/>
          <w:b/>
          <w:bCs/>
          <w:color w:val="auto"/>
          <w:sz w:val="24"/>
          <w:szCs w:val="24"/>
          <w:u w:val="single"/>
        </w:rPr>
        <w:t xml:space="preserve">un ķīmijterapijas </w:t>
      </w:r>
      <w:r w:rsidR="004E31FB" w:rsidRPr="00BD7921">
        <w:rPr>
          <w:rFonts w:ascii="Times New Roman" w:hAnsi="Times New Roman" w:cs="Times New Roman"/>
          <w:b/>
          <w:bCs/>
          <w:color w:val="auto"/>
          <w:sz w:val="24"/>
          <w:szCs w:val="24"/>
          <w:u w:val="single"/>
        </w:rPr>
        <w:t>efektivitātes uzlabošana</w:t>
      </w:r>
    </w:p>
    <w:p w14:paraId="7F41A7D4" w14:textId="3D39C596" w:rsidR="004E31FB" w:rsidRPr="00847710" w:rsidRDefault="007F658F" w:rsidP="007F658F">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Staru terapija ir viena no trim pamata ārstēšanas metodēm onkoloģijā. Pēc starptautiskiem onkoloģisko pacientu ārstēšanas protokoliem, staru terapiju saņem ne mazāk kā 60% no primāri ārstētiem pacientiem. Staru terapija var tikt pielietota gan kā vienīgā radikālā neinvazīvā ārstēšanas metode vēža agrīno stadiju gadījumā (priekšdziedzera, plaušu, aknu vēzis), gan kā kombinētas ārstēšanas sastāvdaļa (krūts, </w:t>
      </w:r>
      <w:r w:rsidR="002A7DAF" w:rsidRPr="00847710">
        <w:rPr>
          <w:rFonts w:ascii="Times New Roman" w:hAnsi="Times New Roman" w:cs="Times New Roman"/>
          <w:sz w:val="24"/>
          <w:szCs w:val="24"/>
        </w:rPr>
        <w:t>kuņģa z</w:t>
      </w:r>
      <w:r w:rsidR="0001279B" w:rsidRPr="00847710">
        <w:rPr>
          <w:rFonts w:ascii="Times New Roman" w:hAnsi="Times New Roman" w:cs="Times New Roman"/>
          <w:sz w:val="24"/>
          <w:szCs w:val="24"/>
        </w:rPr>
        <w:t>arnu trakta, ausu kakla, deguna</w:t>
      </w:r>
      <w:r w:rsidRPr="00847710">
        <w:rPr>
          <w:rFonts w:ascii="Times New Roman" w:hAnsi="Times New Roman" w:cs="Times New Roman"/>
          <w:sz w:val="24"/>
          <w:szCs w:val="24"/>
        </w:rPr>
        <w:t xml:space="preserve">, plaušu, </w:t>
      </w:r>
      <w:r w:rsidR="002A7DAF" w:rsidRPr="00847710">
        <w:rPr>
          <w:rFonts w:ascii="Times New Roman" w:hAnsi="Times New Roman" w:cs="Times New Roman"/>
          <w:sz w:val="24"/>
          <w:szCs w:val="24"/>
        </w:rPr>
        <w:t>nervu sistēmas</w:t>
      </w:r>
      <w:r w:rsidRPr="00847710">
        <w:rPr>
          <w:rFonts w:ascii="Times New Roman" w:hAnsi="Times New Roman" w:cs="Times New Roman"/>
          <w:sz w:val="24"/>
          <w:szCs w:val="24"/>
        </w:rPr>
        <w:t xml:space="preserve">, uroloģisko un citu lokalizāciju </w:t>
      </w:r>
      <w:r w:rsidR="002A7DAF" w:rsidRPr="00847710">
        <w:rPr>
          <w:rFonts w:ascii="Times New Roman" w:hAnsi="Times New Roman" w:cs="Times New Roman"/>
          <w:sz w:val="24"/>
          <w:szCs w:val="24"/>
        </w:rPr>
        <w:t>audzējiem</w:t>
      </w:r>
      <w:r w:rsidRPr="00847710">
        <w:rPr>
          <w:rFonts w:ascii="Times New Roman" w:hAnsi="Times New Roman" w:cs="Times New Roman"/>
          <w:sz w:val="24"/>
          <w:szCs w:val="24"/>
        </w:rPr>
        <w:t xml:space="preserve">), gan kā paliatīva un simptomātiska ārstēšana vēlīno stadiju pacientiem. Ar katru gadu palielinās ielaisto </w:t>
      </w:r>
      <w:r w:rsidR="002A7DAF" w:rsidRPr="00847710">
        <w:rPr>
          <w:rFonts w:ascii="Times New Roman" w:hAnsi="Times New Roman" w:cs="Times New Roman"/>
          <w:sz w:val="24"/>
          <w:szCs w:val="24"/>
        </w:rPr>
        <w:t>onkoloģisko saslimšanu</w:t>
      </w:r>
      <w:r w:rsidRPr="00847710">
        <w:rPr>
          <w:rFonts w:ascii="Times New Roman" w:hAnsi="Times New Roman" w:cs="Times New Roman"/>
          <w:sz w:val="24"/>
          <w:szCs w:val="24"/>
        </w:rPr>
        <w:t xml:space="preserve"> skaits, kuru ārstēšanā staru terapija arvien biežāk tiek pielietota, ir efektīva un salīdzinoši lēta, bet ārstēšanas procesā jāievēro rekomendētie staru terapijas gaidīšanas un uzsākšanas laiki.</w:t>
      </w:r>
    </w:p>
    <w:p w14:paraId="4BCC884A" w14:textId="49EC16B2" w:rsidR="007F658F" w:rsidRPr="00847710" w:rsidRDefault="00065285" w:rsidP="007F658F">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Staru terapijas procedūras tiek veiktas gan stacionāra pacientiem, gan ambulatorajiem pacientiem. </w:t>
      </w:r>
      <w:r w:rsidR="00C76F5D" w:rsidRPr="00847710">
        <w:rPr>
          <w:rFonts w:ascii="Times New Roman" w:hAnsi="Times New Roman" w:cs="Times New Roman"/>
          <w:sz w:val="24"/>
          <w:szCs w:val="24"/>
        </w:rPr>
        <w:t>Rīgas Austrumu klīniskā universitātes slimnīca</w:t>
      </w:r>
      <w:r w:rsidR="00FA6BE6" w:rsidRPr="00847710">
        <w:rPr>
          <w:rFonts w:ascii="Times New Roman" w:hAnsi="Times New Roman" w:cs="Times New Roman"/>
          <w:sz w:val="24"/>
          <w:szCs w:val="24"/>
        </w:rPr>
        <w:t xml:space="preserve"> </w:t>
      </w:r>
      <w:r w:rsidR="00C76F5D" w:rsidRPr="00847710">
        <w:rPr>
          <w:rFonts w:ascii="Times New Roman" w:hAnsi="Times New Roman" w:cs="Times New Roman"/>
          <w:sz w:val="24"/>
          <w:szCs w:val="24"/>
        </w:rPr>
        <w:t xml:space="preserve"> </w:t>
      </w:r>
      <w:r w:rsidRPr="00847710">
        <w:rPr>
          <w:rFonts w:ascii="Times New Roman" w:hAnsi="Times New Roman" w:cs="Times New Roman"/>
          <w:sz w:val="24"/>
          <w:szCs w:val="24"/>
        </w:rPr>
        <w:t>ir vienīgā ārstniecības iestāde Latvijā, kur tiek pielietotas tādas saudzējošas staru terapijas apstarošanas metodes kā IMRT, RapidArc, IGRT un ar elpošanu sinhronizēta staru terapija. Savukārt kopumā staru terapija tiek nodrošināta</w:t>
      </w:r>
      <w:r w:rsidR="00982B3C" w:rsidRPr="00847710">
        <w:rPr>
          <w:rFonts w:ascii="Times New Roman" w:hAnsi="Times New Roman" w:cs="Times New Roman"/>
          <w:sz w:val="24"/>
          <w:szCs w:val="24"/>
        </w:rPr>
        <w:t xml:space="preserve"> arī </w:t>
      </w:r>
      <w:r w:rsidR="00F95F1F" w:rsidRPr="00847710">
        <w:rPr>
          <w:rFonts w:ascii="Times New Roman" w:hAnsi="Times New Roman" w:cs="Times New Roman"/>
          <w:sz w:val="24"/>
          <w:szCs w:val="24"/>
          <w:lang w:eastAsia="lv-LV"/>
        </w:rPr>
        <w:t>SIA “Liepājas reģionālā slimnīca”, VSIA “Paula Stradiņa klīniskā universitātes slimnīca” un SIA “Daugavpils reģionālā slimnīca”</w:t>
      </w:r>
      <w:r w:rsidR="00E15148" w:rsidRPr="00847710">
        <w:rPr>
          <w:rFonts w:ascii="Times New Roman" w:hAnsi="Times New Roman" w:cs="Times New Roman"/>
          <w:sz w:val="24"/>
          <w:szCs w:val="24"/>
        </w:rPr>
        <w:t>.</w:t>
      </w:r>
      <w:r w:rsidR="00A023B1" w:rsidRPr="00847710">
        <w:rPr>
          <w:rFonts w:ascii="Times New Roman" w:hAnsi="Times New Roman" w:cs="Times New Roman"/>
          <w:sz w:val="24"/>
          <w:szCs w:val="24"/>
        </w:rPr>
        <w:t xml:space="preserve"> Valstī kopumā laika periodā no 2017.gada 1.janvāra līdz 1.jūlijam ir veiktas 59 606 staru terapijas procedūras, kas ir par 13,5 % vairāk nekā iepriekšējā gada līdzvērtīgā periodā.</w:t>
      </w:r>
      <w:r w:rsidR="001A0018" w:rsidRPr="00847710">
        <w:rPr>
          <w:rFonts w:ascii="Times New Roman" w:hAnsi="Times New Roman" w:cs="Times New Roman"/>
          <w:sz w:val="24"/>
          <w:szCs w:val="24"/>
        </w:rPr>
        <w:t xml:space="preserve"> </w:t>
      </w:r>
      <w:r w:rsidR="008A7A9D" w:rsidRPr="00847710">
        <w:rPr>
          <w:rFonts w:ascii="Times New Roman" w:hAnsi="Times New Roman" w:cs="Times New Roman"/>
          <w:sz w:val="24"/>
          <w:szCs w:val="24"/>
        </w:rPr>
        <w:t xml:space="preserve">Esošās aparatūras tehniskie resursi </w:t>
      </w:r>
      <w:r w:rsidR="00E67C42" w:rsidRPr="00847710">
        <w:rPr>
          <w:rFonts w:ascii="Times New Roman" w:hAnsi="Times New Roman" w:cs="Times New Roman"/>
          <w:sz w:val="24"/>
          <w:szCs w:val="24"/>
        </w:rPr>
        <w:t>un veiktspēja neatbilst reformas veicam</w:t>
      </w:r>
      <w:r w:rsidR="000C1AB2" w:rsidRPr="00847710">
        <w:rPr>
          <w:rFonts w:ascii="Times New Roman" w:hAnsi="Times New Roman" w:cs="Times New Roman"/>
          <w:sz w:val="24"/>
          <w:szCs w:val="24"/>
        </w:rPr>
        <w:t>o</w:t>
      </w:r>
      <w:r w:rsidR="00E67C42" w:rsidRPr="00847710">
        <w:rPr>
          <w:rFonts w:ascii="Times New Roman" w:hAnsi="Times New Roman" w:cs="Times New Roman"/>
          <w:sz w:val="24"/>
          <w:szCs w:val="24"/>
        </w:rPr>
        <w:t xml:space="preserve"> uzdevumu vajadzībām attiecībā uz </w:t>
      </w:r>
      <w:r w:rsidR="008A7A9D" w:rsidRPr="00847710">
        <w:rPr>
          <w:rFonts w:ascii="Times New Roman" w:hAnsi="Times New Roman" w:cs="Times New Roman"/>
          <w:sz w:val="24"/>
          <w:szCs w:val="24"/>
        </w:rPr>
        <w:t>kvalitatīv</w:t>
      </w:r>
      <w:r w:rsidR="000C1AB2" w:rsidRPr="00847710">
        <w:rPr>
          <w:rFonts w:ascii="Times New Roman" w:hAnsi="Times New Roman" w:cs="Times New Roman"/>
          <w:sz w:val="24"/>
          <w:szCs w:val="24"/>
        </w:rPr>
        <w:t>as</w:t>
      </w:r>
      <w:r w:rsidR="008A7A9D" w:rsidRPr="00847710">
        <w:rPr>
          <w:rFonts w:ascii="Times New Roman" w:hAnsi="Times New Roman" w:cs="Times New Roman"/>
          <w:sz w:val="24"/>
          <w:szCs w:val="24"/>
        </w:rPr>
        <w:t xml:space="preserve"> un nepārtraukt</w:t>
      </w:r>
      <w:r w:rsidR="000C1AB2" w:rsidRPr="00847710">
        <w:rPr>
          <w:rFonts w:ascii="Times New Roman" w:hAnsi="Times New Roman" w:cs="Times New Roman"/>
          <w:sz w:val="24"/>
          <w:szCs w:val="24"/>
        </w:rPr>
        <w:t>as</w:t>
      </w:r>
      <w:r w:rsidR="008A7A9D" w:rsidRPr="00847710">
        <w:rPr>
          <w:rFonts w:ascii="Times New Roman" w:hAnsi="Times New Roman" w:cs="Times New Roman"/>
          <w:sz w:val="24"/>
          <w:szCs w:val="24"/>
        </w:rPr>
        <w:t xml:space="preserve"> ārstēšana</w:t>
      </w:r>
      <w:r w:rsidR="00E67C42" w:rsidRPr="00847710">
        <w:rPr>
          <w:rFonts w:ascii="Times New Roman" w:hAnsi="Times New Roman" w:cs="Times New Roman"/>
          <w:sz w:val="24"/>
          <w:szCs w:val="24"/>
        </w:rPr>
        <w:t>s nodrošin</w:t>
      </w:r>
      <w:r w:rsidR="00223B9E" w:rsidRPr="00847710">
        <w:rPr>
          <w:rFonts w:ascii="Times New Roman" w:hAnsi="Times New Roman" w:cs="Times New Roman"/>
          <w:sz w:val="24"/>
          <w:szCs w:val="24"/>
        </w:rPr>
        <w:t>āš</w:t>
      </w:r>
      <w:r w:rsidR="00E67C42" w:rsidRPr="00847710">
        <w:rPr>
          <w:rFonts w:ascii="Times New Roman" w:hAnsi="Times New Roman" w:cs="Times New Roman"/>
          <w:sz w:val="24"/>
          <w:szCs w:val="24"/>
        </w:rPr>
        <w:t>anu</w:t>
      </w:r>
      <w:r w:rsidR="008A7A9D" w:rsidRPr="00847710">
        <w:rPr>
          <w:rFonts w:ascii="Times New Roman" w:hAnsi="Times New Roman" w:cs="Times New Roman"/>
          <w:sz w:val="24"/>
          <w:szCs w:val="24"/>
        </w:rPr>
        <w:t xml:space="preserve">.  </w:t>
      </w:r>
      <w:r w:rsidR="001A0018" w:rsidRPr="00847710">
        <w:rPr>
          <w:rFonts w:ascii="Times New Roman" w:hAnsi="Times New Roman" w:cs="Times New Roman"/>
          <w:sz w:val="24"/>
          <w:szCs w:val="24"/>
        </w:rPr>
        <w:t>Attiecīgi</w:t>
      </w:r>
      <w:r w:rsidR="008A7A9D" w:rsidRPr="00847710">
        <w:rPr>
          <w:rFonts w:ascii="Times New Roman" w:hAnsi="Times New Roman" w:cs="Times New Roman"/>
          <w:sz w:val="24"/>
          <w:szCs w:val="24"/>
        </w:rPr>
        <w:t xml:space="preserve"> mērķtiecīgai pakalpojuma nodrošināšanai un pieejamībai pacientiem, nepieciešams veikt jaunu tehnoloģiju – lineāro paātrinātāju - ieviešanu, kas palielinās pacientu plūsmu un nodrošinās ārstēšanas procesa un izmeklēšanas efektivitāti.</w:t>
      </w:r>
    </w:p>
    <w:p w14:paraId="45AACE8E" w14:textId="77777777" w:rsidR="00BA028F" w:rsidRDefault="00711B35" w:rsidP="00BA028F">
      <w:pPr>
        <w:ind w:firstLine="709"/>
        <w:jc w:val="both"/>
        <w:rPr>
          <w:rFonts w:ascii="Times New Roman" w:hAnsi="Times New Roman" w:cs="Times New Roman"/>
          <w:sz w:val="24"/>
          <w:szCs w:val="24"/>
        </w:rPr>
      </w:pPr>
      <w:r w:rsidRPr="00847710">
        <w:rPr>
          <w:rFonts w:ascii="Times New Roman" w:hAnsi="Times New Roman" w:cs="Times New Roman"/>
          <w:sz w:val="24"/>
          <w:szCs w:val="24"/>
        </w:rPr>
        <w:lastRenderedPageBreak/>
        <w:t xml:space="preserve">Jaunās staru terapijas </w:t>
      </w:r>
      <w:r w:rsidR="008A7A9D" w:rsidRPr="00847710">
        <w:rPr>
          <w:rFonts w:ascii="Times New Roman" w:hAnsi="Times New Roman" w:cs="Times New Roman"/>
          <w:sz w:val="24"/>
          <w:szCs w:val="24"/>
        </w:rPr>
        <w:t>tehnoloģijas</w:t>
      </w:r>
      <w:r w:rsidR="00146973">
        <w:rPr>
          <w:rFonts w:ascii="Times New Roman" w:hAnsi="Times New Roman" w:cs="Times New Roman"/>
          <w:sz w:val="24"/>
          <w:szCs w:val="24"/>
        </w:rPr>
        <w:t xml:space="preserve"> </w:t>
      </w:r>
      <w:r w:rsidR="00101B6C">
        <w:rPr>
          <w:rFonts w:ascii="Times New Roman" w:hAnsi="Times New Roman" w:cs="Times New Roman"/>
          <w:sz w:val="24"/>
          <w:szCs w:val="24"/>
        </w:rPr>
        <w:t>nodrošinās</w:t>
      </w:r>
      <w:r w:rsidR="00293688">
        <w:rPr>
          <w:rFonts w:ascii="Times New Roman" w:hAnsi="Times New Roman" w:cs="Times New Roman"/>
          <w:sz w:val="24"/>
          <w:szCs w:val="24"/>
        </w:rPr>
        <w:t xml:space="preserve"> </w:t>
      </w:r>
      <w:r w:rsidR="00FA1B51">
        <w:rPr>
          <w:rFonts w:ascii="Times New Roman" w:hAnsi="Times New Roman" w:cs="Times New Roman"/>
          <w:sz w:val="24"/>
          <w:szCs w:val="24"/>
        </w:rPr>
        <w:t xml:space="preserve">iespēju apkalpot vairāk pacientus, efektivizējot </w:t>
      </w:r>
      <w:r w:rsidR="00BA028F">
        <w:rPr>
          <w:rFonts w:ascii="Times New Roman" w:hAnsi="Times New Roman" w:cs="Times New Roman"/>
          <w:sz w:val="24"/>
          <w:szCs w:val="24"/>
        </w:rPr>
        <w:t>darbu:</w:t>
      </w:r>
    </w:p>
    <w:p w14:paraId="10C6C6F5" w14:textId="5CB8533A" w:rsidR="00711B35" w:rsidRPr="00847710" w:rsidRDefault="00BA028F" w:rsidP="00711B35">
      <w:pPr>
        <w:ind w:firstLine="709"/>
        <w:jc w:val="both"/>
        <w:rPr>
          <w:rFonts w:ascii="Times New Roman" w:hAnsi="Times New Roman" w:cs="Times New Roman"/>
          <w:sz w:val="24"/>
          <w:szCs w:val="24"/>
        </w:rPr>
      </w:pPr>
      <w:r>
        <w:rPr>
          <w:rFonts w:ascii="Times New Roman" w:hAnsi="Times New Roman" w:cs="Times New Roman"/>
          <w:sz w:val="24"/>
          <w:szCs w:val="24"/>
        </w:rPr>
        <w:t>1.</w:t>
      </w:r>
      <w:r w:rsidR="00711B35" w:rsidRPr="00847710">
        <w:rPr>
          <w:rFonts w:ascii="Times New Roman" w:hAnsi="Times New Roman" w:cs="Times New Roman"/>
          <w:sz w:val="24"/>
          <w:szCs w:val="24"/>
        </w:rPr>
        <w:t xml:space="preserve"> </w:t>
      </w:r>
      <w:r>
        <w:rPr>
          <w:rFonts w:ascii="Times New Roman" w:hAnsi="Times New Roman" w:cs="Times New Roman"/>
          <w:sz w:val="24"/>
          <w:szCs w:val="24"/>
        </w:rPr>
        <w:t>B</w:t>
      </w:r>
      <w:r w:rsidRPr="00847710">
        <w:rPr>
          <w:rFonts w:ascii="Times New Roman" w:hAnsi="Times New Roman" w:cs="Times New Roman"/>
          <w:sz w:val="24"/>
          <w:szCs w:val="24"/>
        </w:rPr>
        <w:t xml:space="preserve">alstoties </w:t>
      </w:r>
      <w:r w:rsidR="00711B35" w:rsidRPr="00847710">
        <w:rPr>
          <w:rFonts w:ascii="Times New Roman" w:hAnsi="Times New Roman" w:cs="Times New Roman"/>
          <w:sz w:val="24"/>
          <w:szCs w:val="24"/>
        </w:rPr>
        <w:t xml:space="preserve">uz to, ka tās ir digitalizētas un pacientu </w:t>
      </w:r>
      <w:r w:rsidR="00FD0087" w:rsidRPr="00847710">
        <w:rPr>
          <w:rFonts w:ascii="Times New Roman" w:hAnsi="Times New Roman" w:cs="Times New Roman"/>
          <w:sz w:val="24"/>
          <w:szCs w:val="24"/>
        </w:rPr>
        <w:t xml:space="preserve">izmeklēšanas rezultāti </w:t>
      </w:r>
      <w:r w:rsidR="003F0F9D" w:rsidRPr="00847710">
        <w:rPr>
          <w:rFonts w:ascii="Times New Roman" w:hAnsi="Times New Roman" w:cs="Times New Roman"/>
          <w:sz w:val="24"/>
          <w:szCs w:val="24"/>
        </w:rPr>
        <w:t xml:space="preserve">ārstējošam ārstam </w:t>
      </w:r>
      <w:r w:rsidR="00711B35" w:rsidRPr="00847710">
        <w:rPr>
          <w:rFonts w:ascii="Times New Roman" w:hAnsi="Times New Roman" w:cs="Times New Roman"/>
          <w:sz w:val="24"/>
          <w:szCs w:val="24"/>
        </w:rPr>
        <w:t xml:space="preserve">tiek pārsūtīti ātrāk, </w:t>
      </w:r>
      <w:r>
        <w:rPr>
          <w:rFonts w:ascii="Times New Roman" w:hAnsi="Times New Roman" w:cs="Times New Roman"/>
          <w:sz w:val="24"/>
          <w:szCs w:val="24"/>
        </w:rPr>
        <w:t xml:space="preserve">jaunās tehnoloģijas </w:t>
      </w:r>
      <w:r w:rsidR="00FD0087" w:rsidRPr="00847710">
        <w:rPr>
          <w:rFonts w:ascii="Times New Roman" w:hAnsi="Times New Roman" w:cs="Times New Roman"/>
          <w:sz w:val="24"/>
          <w:szCs w:val="24"/>
        </w:rPr>
        <w:t>dos iespēju</w:t>
      </w:r>
      <w:r w:rsidR="00711B35" w:rsidRPr="00847710">
        <w:rPr>
          <w:rFonts w:ascii="Times New Roman" w:hAnsi="Times New Roman" w:cs="Times New Roman"/>
          <w:sz w:val="24"/>
          <w:szCs w:val="24"/>
        </w:rPr>
        <w:t xml:space="preserve"> palielināt kopējo pacientu plūsmu par 3-5 %</w:t>
      </w:r>
      <w:r w:rsidR="00324B84" w:rsidRPr="00847710">
        <w:rPr>
          <w:rFonts w:ascii="Times New Roman" w:hAnsi="Times New Roman" w:cs="Times New Roman"/>
          <w:sz w:val="24"/>
          <w:szCs w:val="24"/>
        </w:rPr>
        <w:t>, kas sastādītu 100-</w:t>
      </w:r>
      <w:r w:rsidR="00346A55" w:rsidRPr="00847710">
        <w:rPr>
          <w:rFonts w:ascii="Times New Roman" w:hAnsi="Times New Roman" w:cs="Times New Roman"/>
          <w:sz w:val="24"/>
          <w:szCs w:val="24"/>
        </w:rPr>
        <w:t>15</w:t>
      </w:r>
      <w:r w:rsidR="00324B84" w:rsidRPr="00847710">
        <w:rPr>
          <w:rFonts w:ascii="Times New Roman" w:hAnsi="Times New Roman" w:cs="Times New Roman"/>
          <w:sz w:val="24"/>
          <w:szCs w:val="24"/>
        </w:rPr>
        <w:t xml:space="preserve">0 </w:t>
      </w:r>
      <w:r w:rsidR="00346A55" w:rsidRPr="00847710">
        <w:rPr>
          <w:rFonts w:ascii="Times New Roman" w:hAnsi="Times New Roman" w:cs="Times New Roman"/>
          <w:sz w:val="24"/>
          <w:szCs w:val="24"/>
        </w:rPr>
        <w:t xml:space="preserve">unikālo </w:t>
      </w:r>
      <w:r w:rsidR="00324B84" w:rsidRPr="00847710">
        <w:rPr>
          <w:rFonts w:ascii="Times New Roman" w:hAnsi="Times New Roman" w:cs="Times New Roman"/>
          <w:sz w:val="24"/>
          <w:szCs w:val="24"/>
        </w:rPr>
        <w:t>pacientu</w:t>
      </w:r>
      <w:r w:rsidR="00346A55" w:rsidRPr="00847710">
        <w:rPr>
          <w:rFonts w:ascii="Times New Roman" w:hAnsi="Times New Roman" w:cs="Times New Roman"/>
          <w:sz w:val="24"/>
          <w:szCs w:val="24"/>
        </w:rPr>
        <w:t xml:space="preserve"> pieaugumu</w:t>
      </w:r>
      <w:r w:rsidR="00324B84" w:rsidRPr="00847710">
        <w:rPr>
          <w:rFonts w:ascii="Times New Roman" w:hAnsi="Times New Roman" w:cs="Times New Roman"/>
          <w:sz w:val="24"/>
          <w:szCs w:val="24"/>
        </w:rPr>
        <w:t xml:space="preserve"> gadā.</w:t>
      </w:r>
      <w:r w:rsidR="00346A55" w:rsidRPr="00847710">
        <w:rPr>
          <w:rFonts w:ascii="Times New Roman" w:hAnsi="Times New Roman" w:cs="Times New Roman"/>
          <w:sz w:val="24"/>
          <w:szCs w:val="24"/>
        </w:rPr>
        <w:t xml:space="preserve"> Līdz ar to kopējais unikālo pacientu skaits palielinātos līdz 3000 pacientiem.</w:t>
      </w:r>
      <w:r w:rsidR="00A233E9" w:rsidRPr="00847710">
        <w:rPr>
          <w:rFonts w:ascii="Times New Roman" w:hAnsi="Times New Roman" w:cs="Times New Roman"/>
          <w:sz w:val="24"/>
          <w:szCs w:val="24"/>
        </w:rPr>
        <w:t xml:space="preserve"> Ņemot vērā, ka vidēji pacientam tiek veiktas 14-15 starošanas procedūras, kopējais procedūru skaits pieaugtu par 2 250 procedūrām.</w:t>
      </w:r>
    </w:p>
    <w:p w14:paraId="3420142E" w14:textId="2949F33A" w:rsidR="000E5A8F" w:rsidRPr="00847710" w:rsidRDefault="00BA028F" w:rsidP="00711B35">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0E5A8F" w:rsidRPr="00847710">
        <w:rPr>
          <w:rFonts w:ascii="Times New Roman" w:hAnsi="Times New Roman" w:cs="Times New Roman"/>
          <w:sz w:val="24"/>
          <w:szCs w:val="24"/>
        </w:rPr>
        <w:t xml:space="preserve">Modernizējot vecākos staru terapijas kabinetus galvenais ieguvums būs apstarošanas kvalitāte, kas tiks panākta ar jaunām apstarošanas metodēm (VMAT, IMRT), kas būtiski samazinās apstarošanas laiku par 10% un nodrošinās staru dozas konformalitāti un staru dozas precizitāti 582 pacientiem, kopā </w:t>
      </w:r>
      <w:r w:rsidR="007C56F6">
        <w:rPr>
          <w:rFonts w:ascii="Times New Roman" w:hAnsi="Times New Roman" w:cs="Times New Roman"/>
          <w:sz w:val="24"/>
          <w:szCs w:val="24"/>
        </w:rPr>
        <w:t>8 730</w:t>
      </w:r>
      <w:r w:rsidR="000E5A8F" w:rsidRPr="00847710">
        <w:rPr>
          <w:rFonts w:ascii="Times New Roman" w:hAnsi="Times New Roman" w:cs="Times New Roman"/>
          <w:sz w:val="24"/>
          <w:szCs w:val="24"/>
        </w:rPr>
        <w:t xml:space="preserve"> staru terapijas procedūras. Jaunā paātrinātāja tehniskās iespējas ļaus precīzāk verificēt audzēja atrašanās vietu, analizēt tā kustības attiecībā pret elpošanas kustībām un izvērtēt elpošanas ietekmi uz mērķa apjomu un tā kustību trajektoriju, kas savukārt ļaus paplašināt klīniskās iespējas - veikt standarta staru terapiju un abliatīvo staru terapiju vairākām lokalizācijām un ļaus eskalēt dozu mērķa apjomā un sniegs labākus klīniskos rezultātus- audzēja kontrolei.</w:t>
      </w:r>
    </w:p>
    <w:p w14:paraId="287F0E75" w14:textId="318FB65B" w:rsidR="00B27E0F" w:rsidRPr="00847710" w:rsidRDefault="00B27E0F" w:rsidP="00711B35">
      <w:pPr>
        <w:ind w:firstLine="709"/>
        <w:jc w:val="both"/>
        <w:rPr>
          <w:rFonts w:ascii="Times New Roman" w:hAnsi="Times New Roman" w:cs="Times New Roman"/>
          <w:sz w:val="24"/>
          <w:szCs w:val="24"/>
        </w:rPr>
      </w:pPr>
      <w:r w:rsidRPr="00847710">
        <w:rPr>
          <w:rFonts w:ascii="Times New Roman" w:hAnsi="Times New Roman" w:cs="Times New Roman"/>
          <w:sz w:val="24"/>
          <w:szCs w:val="24"/>
        </w:rPr>
        <w:t>Ne</w:t>
      </w:r>
      <w:r w:rsidR="008A7A9D" w:rsidRPr="00847710">
        <w:rPr>
          <w:rFonts w:ascii="Times New Roman" w:hAnsi="Times New Roman" w:cs="Times New Roman"/>
          <w:sz w:val="24"/>
          <w:szCs w:val="24"/>
        </w:rPr>
        <w:t xml:space="preserve">ieviešot jaunas tehnoloģijas </w:t>
      </w:r>
      <w:r w:rsidRPr="00847710">
        <w:rPr>
          <w:rFonts w:ascii="Times New Roman" w:hAnsi="Times New Roman" w:cs="Times New Roman"/>
          <w:sz w:val="24"/>
          <w:szCs w:val="24"/>
        </w:rPr>
        <w:t xml:space="preserve">staru terapijas </w:t>
      </w:r>
      <w:r w:rsidR="008A7A9D" w:rsidRPr="00847710">
        <w:rPr>
          <w:rFonts w:ascii="Times New Roman" w:hAnsi="Times New Roman" w:cs="Times New Roman"/>
          <w:sz w:val="24"/>
          <w:szCs w:val="24"/>
        </w:rPr>
        <w:t>pakalpojuma nodrošināšanā,</w:t>
      </w:r>
      <w:r w:rsidRPr="00847710">
        <w:rPr>
          <w:rFonts w:ascii="Times New Roman" w:hAnsi="Times New Roman" w:cs="Times New Roman"/>
          <w:sz w:val="24"/>
          <w:szCs w:val="24"/>
        </w:rPr>
        <w:t xml:space="preserve"> turpmāko divu gadu laikā iespēja sniegt staru terapijas pakalpojumus valstī samazināsies par 30-40%, palielinot mirstību līdz papildus 1 200 gadījumiem. </w:t>
      </w:r>
    </w:p>
    <w:p w14:paraId="43AEC7B8" w14:textId="7153908E" w:rsidR="00CF5D1C" w:rsidRPr="00847710" w:rsidRDefault="00A023B1" w:rsidP="00CF5D1C">
      <w:pPr>
        <w:ind w:firstLine="709"/>
        <w:jc w:val="both"/>
        <w:rPr>
          <w:rFonts w:ascii="Times New Roman" w:eastAsia="Times New Roman" w:hAnsi="Times New Roman" w:cs="Times New Roman"/>
          <w:sz w:val="24"/>
          <w:szCs w:val="24"/>
          <w:lang w:eastAsia="lv-LV"/>
        </w:rPr>
      </w:pPr>
      <w:r w:rsidRPr="00847710">
        <w:rPr>
          <w:rFonts w:ascii="Times New Roman" w:hAnsi="Times New Roman" w:cs="Times New Roman"/>
          <w:sz w:val="24"/>
          <w:szCs w:val="24"/>
        </w:rPr>
        <w:t>Kopumā reform</w:t>
      </w:r>
      <w:r w:rsidR="008A7A9D" w:rsidRPr="00847710">
        <w:rPr>
          <w:rFonts w:ascii="Times New Roman" w:hAnsi="Times New Roman" w:cs="Times New Roman"/>
          <w:sz w:val="24"/>
          <w:szCs w:val="24"/>
        </w:rPr>
        <w:t>as</w:t>
      </w:r>
      <w:r w:rsidRPr="00847710">
        <w:rPr>
          <w:rFonts w:ascii="Times New Roman" w:hAnsi="Times New Roman" w:cs="Times New Roman"/>
          <w:sz w:val="24"/>
          <w:szCs w:val="24"/>
        </w:rPr>
        <w:t xml:space="preserve"> ietvaros</w:t>
      </w:r>
      <w:r w:rsidR="00BB7C9A" w:rsidRPr="00847710">
        <w:rPr>
          <w:rFonts w:ascii="Times New Roman" w:hAnsi="Times New Roman" w:cs="Times New Roman"/>
          <w:sz w:val="24"/>
          <w:szCs w:val="24"/>
        </w:rPr>
        <w:t xml:space="preserve"> </w:t>
      </w:r>
      <w:r w:rsidR="00FD30B9" w:rsidRPr="00847710">
        <w:rPr>
          <w:rFonts w:ascii="Times New Roman" w:hAnsi="Times New Roman" w:cs="Times New Roman"/>
          <w:sz w:val="24"/>
          <w:szCs w:val="24"/>
        </w:rPr>
        <w:t xml:space="preserve">2018.gadā </w:t>
      </w:r>
      <w:r w:rsidR="00BB7C9A" w:rsidRPr="00847710">
        <w:rPr>
          <w:rFonts w:ascii="Times New Roman" w:hAnsi="Times New Roman" w:cs="Times New Roman"/>
          <w:sz w:val="24"/>
          <w:szCs w:val="24"/>
        </w:rPr>
        <w:t xml:space="preserve">plānots iegādāties 3 lineāros paātrinātājus </w:t>
      </w:r>
      <w:r w:rsidR="00FD30B9" w:rsidRPr="00847710">
        <w:rPr>
          <w:rFonts w:ascii="Times New Roman" w:hAnsi="Times New Roman" w:cs="Times New Roman"/>
          <w:sz w:val="24"/>
          <w:szCs w:val="24"/>
        </w:rPr>
        <w:t xml:space="preserve">par kopējo summu </w:t>
      </w:r>
      <w:r w:rsidR="008F5EAE" w:rsidRPr="00847710">
        <w:rPr>
          <w:rFonts w:ascii="Times New Roman" w:hAnsi="Times New Roman" w:cs="Times New Roman"/>
          <w:sz w:val="24"/>
          <w:szCs w:val="24"/>
        </w:rPr>
        <w:t>6 6</w:t>
      </w:r>
      <w:r w:rsidR="000D69E2" w:rsidRPr="00847710">
        <w:rPr>
          <w:rFonts w:ascii="Times New Roman" w:hAnsi="Times New Roman" w:cs="Times New Roman"/>
          <w:sz w:val="24"/>
          <w:szCs w:val="24"/>
        </w:rPr>
        <w:t>5</w:t>
      </w:r>
      <w:r w:rsidR="00DF5DBB" w:rsidRPr="00847710">
        <w:rPr>
          <w:rFonts w:ascii="Times New Roman" w:hAnsi="Times New Roman" w:cs="Times New Roman"/>
          <w:sz w:val="24"/>
          <w:szCs w:val="24"/>
        </w:rPr>
        <w:t>4</w:t>
      </w:r>
      <w:r w:rsidR="008F5EAE" w:rsidRPr="00847710">
        <w:rPr>
          <w:rFonts w:ascii="Times New Roman" w:hAnsi="Times New Roman" w:cs="Times New Roman"/>
          <w:sz w:val="24"/>
          <w:szCs w:val="24"/>
        </w:rPr>
        <w:t xml:space="preserve"> </w:t>
      </w:r>
      <w:r w:rsidR="00DF5DBB" w:rsidRPr="00847710">
        <w:rPr>
          <w:rFonts w:ascii="Times New Roman" w:hAnsi="Times New Roman" w:cs="Times New Roman"/>
          <w:sz w:val="24"/>
          <w:szCs w:val="24"/>
        </w:rPr>
        <w:t>999</w:t>
      </w:r>
      <w:r w:rsidR="00FD30B9" w:rsidRPr="00847710">
        <w:rPr>
          <w:rFonts w:ascii="Times New Roman" w:hAnsi="Times New Roman" w:cs="Times New Roman"/>
          <w:sz w:val="24"/>
          <w:szCs w:val="24"/>
        </w:rPr>
        <w:t xml:space="preserve"> euro</w:t>
      </w:r>
      <w:r w:rsidR="00F25738" w:rsidRPr="00847710">
        <w:rPr>
          <w:rFonts w:ascii="Times New Roman" w:hAnsi="Times New Roman" w:cs="Times New Roman"/>
          <w:sz w:val="24"/>
          <w:szCs w:val="24"/>
        </w:rPr>
        <w:t>, 2019.gadā plānojot papildus lineāro paātrinātāju iegādi.</w:t>
      </w:r>
    </w:p>
    <w:p w14:paraId="0106FBB6" w14:textId="5D3EE9F2" w:rsidR="00CF5D1C" w:rsidRPr="00847710" w:rsidRDefault="006B53C8" w:rsidP="00C95E24">
      <w:pPr>
        <w:ind w:firstLine="709"/>
        <w:jc w:val="both"/>
        <w:rPr>
          <w:rFonts w:ascii="Times New Roman" w:eastAsia="Times New Roman" w:hAnsi="Times New Roman" w:cs="Times New Roman"/>
          <w:sz w:val="24"/>
          <w:szCs w:val="24"/>
          <w:lang w:eastAsia="lv-LV"/>
        </w:rPr>
      </w:pPr>
      <w:r w:rsidRPr="00847710">
        <w:rPr>
          <w:rFonts w:ascii="Times New Roman" w:hAnsi="Times New Roman" w:cs="Times New Roman"/>
          <w:sz w:val="24"/>
          <w:szCs w:val="24"/>
        </w:rPr>
        <w:t xml:space="preserve">Saskaņā ar plānoto veselības aprūpes sistēmas reformu, lai nodrošinātu efektīvāku onkoloģisko medikamentu iepirkšanu un izlietošanu, nodrošinot pacientu līdzestību, plānots, ka onkoloģisko slimību ārstēšanai lietojamās parenterāli </w:t>
      </w:r>
      <w:r w:rsidR="00FA6BE6" w:rsidRPr="00847710">
        <w:rPr>
          <w:rFonts w:ascii="Times New Roman" w:hAnsi="Times New Roman" w:cs="Times New Roman"/>
          <w:sz w:val="24"/>
          <w:szCs w:val="24"/>
        </w:rPr>
        <w:t xml:space="preserve">(intravenozi) </w:t>
      </w:r>
      <w:r w:rsidRPr="00847710">
        <w:rPr>
          <w:rFonts w:ascii="Times New Roman" w:hAnsi="Times New Roman" w:cs="Times New Roman"/>
          <w:sz w:val="24"/>
          <w:szCs w:val="24"/>
        </w:rPr>
        <w:t>ievadāmās zāles (izņemot tās, par kuru kompensācijas nodrošināšanu ir noslēgts finansiālas līdzdalības līgums ar zāļu reģistrācijas apliecības īpašnieku vai viņa pilnvarotām personām), kuru iegāde tiek apmaksāta no valsts budžeta līdzekļiem, tiks iepirktas centralizēti</w:t>
      </w:r>
      <w:r w:rsidR="00FA6BE6" w:rsidRPr="00847710">
        <w:rPr>
          <w:rFonts w:ascii="Times New Roman" w:hAnsi="Times New Roman" w:cs="Times New Roman"/>
          <w:sz w:val="24"/>
          <w:szCs w:val="24"/>
        </w:rPr>
        <w:t>. Tādejādi tiks iegūts</w:t>
      </w:r>
      <w:r w:rsidRPr="00847710">
        <w:rPr>
          <w:rFonts w:ascii="Times New Roman" w:hAnsi="Times New Roman" w:cs="Times New Roman"/>
          <w:sz w:val="24"/>
          <w:szCs w:val="24"/>
        </w:rPr>
        <w:t xml:space="preserve"> ietaupījum</w:t>
      </w:r>
      <w:r w:rsidR="00FA6BE6" w:rsidRPr="00847710">
        <w:rPr>
          <w:rFonts w:ascii="Times New Roman" w:hAnsi="Times New Roman" w:cs="Times New Roman"/>
          <w:sz w:val="24"/>
          <w:szCs w:val="24"/>
        </w:rPr>
        <w:t>s</w:t>
      </w:r>
      <w:r w:rsidRPr="00847710">
        <w:rPr>
          <w:rFonts w:ascii="Times New Roman" w:hAnsi="Times New Roman" w:cs="Times New Roman"/>
          <w:sz w:val="24"/>
          <w:szCs w:val="24"/>
        </w:rPr>
        <w:t xml:space="preserve"> uz aptieku uzcenojuma rēķina</w:t>
      </w:r>
      <w:r w:rsidR="00FA6BE6" w:rsidRPr="00847710">
        <w:rPr>
          <w:rFonts w:ascii="Times New Roman" w:hAnsi="Times New Roman" w:cs="Times New Roman"/>
          <w:sz w:val="24"/>
          <w:szCs w:val="24"/>
        </w:rPr>
        <w:t xml:space="preserve"> un</w:t>
      </w:r>
      <w:r w:rsidRPr="00847710">
        <w:rPr>
          <w:rFonts w:ascii="Times New Roman" w:hAnsi="Times New Roman" w:cs="Times New Roman"/>
          <w:sz w:val="24"/>
          <w:szCs w:val="24"/>
        </w:rPr>
        <w:t xml:space="preserve"> novērst</w:t>
      </w:r>
      <w:r w:rsidR="00FA6BE6" w:rsidRPr="00847710">
        <w:rPr>
          <w:rFonts w:ascii="Times New Roman" w:hAnsi="Times New Roman" w:cs="Times New Roman"/>
          <w:sz w:val="24"/>
          <w:szCs w:val="24"/>
        </w:rPr>
        <w:t>i</w:t>
      </w:r>
      <w:r w:rsidRPr="00847710">
        <w:rPr>
          <w:rFonts w:ascii="Times New Roman" w:hAnsi="Times New Roman" w:cs="Times New Roman"/>
          <w:sz w:val="24"/>
          <w:szCs w:val="24"/>
        </w:rPr>
        <w:t xml:space="preserve"> zāļu zudumi pacienta nelīdzestīgas rīcības gadījumā un iepirkuma centralizēšan</w:t>
      </w:r>
      <w:r w:rsidR="00FA6BE6" w:rsidRPr="00847710">
        <w:rPr>
          <w:rFonts w:ascii="Times New Roman" w:hAnsi="Times New Roman" w:cs="Times New Roman"/>
          <w:sz w:val="24"/>
          <w:szCs w:val="24"/>
        </w:rPr>
        <w:t>ā</w:t>
      </w:r>
      <w:r w:rsidRPr="00847710">
        <w:rPr>
          <w:rFonts w:ascii="Times New Roman" w:hAnsi="Times New Roman" w:cs="Times New Roman"/>
          <w:sz w:val="24"/>
          <w:szCs w:val="24"/>
        </w:rPr>
        <w:t>, iegūstot zemākas cenas.</w:t>
      </w:r>
      <w:r w:rsidR="00C95E24" w:rsidRPr="00847710">
        <w:rPr>
          <w:rFonts w:ascii="Times New Roman" w:hAnsi="Times New Roman" w:cs="Times New Roman"/>
          <w:sz w:val="24"/>
          <w:szCs w:val="24"/>
        </w:rPr>
        <w:t xml:space="preserve"> Turklāt šķaidīšanas sistēmu automatizācija novērstu būtiskus zudumus parent</w:t>
      </w:r>
      <w:r w:rsidR="00D502FC" w:rsidRPr="00847710">
        <w:rPr>
          <w:rFonts w:ascii="Times New Roman" w:hAnsi="Times New Roman" w:cs="Times New Roman"/>
          <w:sz w:val="24"/>
          <w:szCs w:val="24"/>
        </w:rPr>
        <w:t>er</w:t>
      </w:r>
      <w:r w:rsidR="00C95E24" w:rsidRPr="00847710">
        <w:rPr>
          <w:rFonts w:ascii="Times New Roman" w:hAnsi="Times New Roman" w:cs="Times New Roman"/>
          <w:sz w:val="24"/>
          <w:szCs w:val="24"/>
        </w:rPr>
        <w:t>āli lietojamo ķīmijterapiju zāļu sagatavošanā, kas savukārt paplašinātu pacientu aptveri. Atbilstoši Rīgas Austrumu klīniskās universitātes slimnīcas ekspertu novērtējumam, iespējamie medikamentu, kas tika iegādāti kompensējamo zāļu sistēmā (turpmāk – KZS), zudumi ir 3-5%, vidēji 4%.</w:t>
      </w:r>
      <w:r w:rsidR="00105497" w:rsidRPr="00847710">
        <w:rPr>
          <w:rFonts w:ascii="Times New Roman" w:hAnsi="Times New Roman" w:cs="Times New Roman"/>
          <w:sz w:val="24"/>
          <w:szCs w:val="24"/>
        </w:rPr>
        <w:t xml:space="preserve"> </w:t>
      </w:r>
      <w:r w:rsidRPr="00847710">
        <w:rPr>
          <w:rFonts w:ascii="Times New Roman" w:hAnsi="Times New Roman" w:cs="Times New Roman"/>
          <w:sz w:val="24"/>
          <w:szCs w:val="24"/>
        </w:rPr>
        <w:t>Lai nodrošinātu reformas īstenošanu, nepieciešams iegādāties specializētas</w:t>
      </w:r>
      <w:r w:rsidR="00FA6BE6" w:rsidRPr="00847710">
        <w:rPr>
          <w:rFonts w:ascii="Times New Roman" w:hAnsi="Times New Roman" w:cs="Times New Roman"/>
          <w:sz w:val="24"/>
          <w:szCs w:val="24"/>
        </w:rPr>
        <w:t xml:space="preserve"> ķīmijterapijas preparātu </w:t>
      </w:r>
      <w:r w:rsidRPr="00847710">
        <w:rPr>
          <w:rFonts w:ascii="Times New Roman" w:hAnsi="Times New Roman" w:cs="Times New Roman"/>
          <w:sz w:val="24"/>
          <w:szCs w:val="24"/>
        </w:rPr>
        <w:t xml:space="preserve"> šķaidīšanas sistēmas</w:t>
      </w:r>
      <w:r w:rsidR="00FA6BE6" w:rsidRPr="00847710">
        <w:rPr>
          <w:rFonts w:ascii="Times New Roman" w:hAnsi="Times New Roman" w:cs="Times New Roman"/>
          <w:sz w:val="24"/>
          <w:szCs w:val="24"/>
        </w:rPr>
        <w:t xml:space="preserve">, kas ļaus </w:t>
      </w:r>
      <w:r w:rsidR="00CF5D1C" w:rsidRPr="00847710">
        <w:rPr>
          <w:rFonts w:ascii="Times New Roman" w:hAnsi="Times New Roman" w:cs="Times New Roman"/>
          <w:sz w:val="24"/>
          <w:szCs w:val="24"/>
        </w:rPr>
        <w:t>parent</w:t>
      </w:r>
      <w:r w:rsidR="00C41464" w:rsidRPr="00847710">
        <w:rPr>
          <w:rFonts w:ascii="Times New Roman" w:hAnsi="Times New Roman" w:cs="Times New Roman"/>
          <w:sz w:val="24"/>
          <w:szCs w:val="24"/>
        </w:rPr>
        <w:t>er</w:t>
      </w:r>
      <w:r w:rsidR="00CF5D1C" w:rsidRPr="00847710">
        <w:rPr>
          <w:rFonts w:ascii="Times New Roman" w:hAnsi="Times New Roman" w:cs="Times New Roman"/>
          <w:sz w:val="24"/>
          <w:szCs w:val="24"/>
        </w:rPr>
        <w:t>āli lietojamo ķīmijterapijas zāļu sagatavošan</w:t>
      </w:r>
      <w:r w:rsidR="00FA6BE6" w:rsidRPr="00847710">
        <w:rPr>
          <w:rFonts w:ascii="Times New Roman" w:hAnsi="Times New Roman" w:cs="Times New Roman"/>
          <w:sz w:val="24"/>
          <w:szCs w:val="24"/>
        </w:rPr>
        <w:t>u</w:t>
      </w:r>
      <w:r w:rsidR="00CF5D1C" w:rsidRPr="00847710">
        <w:rPr>
          <w:rFonts w:ascii="Times New Roman" w:hAnsi="Times New Roman" w:cs="Times New Roman"/>
          <w:sz w:val="24"/>
          <w:szCs w:val="24"/>
        </w:rPr>
        <w:t xml:space="preserve"> nodrošināt ar mazāku ārstniecības personāla skaitu</w:t>
      </w:r>
      <w:r w:rsidR="00E53751" w:rsidRPr="00847710">
        <w:rPr>
          <w:rFonts w:ascii="Times New Roman" w:hAnsi="Times New Roman" w:cs="Times New Roman"/>
          <w:sz w:val="24"/>
          <w:szCs w:val="24"/>
        </w:rPr>
        <w:t>.</w:t>
      </w:r>
      <w:r w:rsidR="00FA6BE6" w:rsidRPr="00847710">
        <w:rPr>
          <w:rFonts w:ascii="Times New Roman" w:hAnsi="Times New Roman" w:cs="Times New Roman"/>
          <w:sz w:val="24"/>
          <w:szCs w:val="24"/>
        </w:rPr>
        <w:t xml:space="preserve"> </w:t>
      </w:r>
      <w:r w:rsidR="00CF5D1C" w:rsidRPr="00847710">
        <w:rPr>
          <w:rFonts w:ascii="Times New Roman" w:hAnsi="Times New Roman" w:cs="Times New Roman"/>
          <w:sz w:val="24"/>
          <w:szCs w:val="24"/>
        </w:rPr>
        <w:t xml:space="preserve">Plānojot pakāpenisku darba samaksas pieaugumu ārstniecības personām, arī 2019.-2021.gada budžeta ietvarā, manuālā darba samazināšana nodrošinātu izmaksu </w:t>
      </w:r>
      <w:r w:rsidR="00CF5D1C" w:rsidRPr="00847710">
        <w:rPr>
          <w:rFonts w:ascii="Times New Roman" w:hAnsi="Times New Roman" w:cs="Times New Roman"/>
          <w:sz w:val="24"/>
          <w:szCs w:val="24"/>
        </w:rPr>
        <w:lastRenderedPageBreak/>
        <w:t xml:space="preserve">optimizāciju, neradot deficītu šķaidīšanas sistēmu iegādes dēļ. Tāpat liela loma šķaidīšanas sistēmu ieviešanai ir ārstniecības personu darba apstākļu uzlabošana, lai nodrošinātu ārstniecības personu darbu bez paaugstināta riska un veselībai kaitīgiem faktoriem. </w:t>
      </w:r>
      <w:r w:rsidR="00FA6BE6" w:rsidRPr="00847710">
        <w:rPr>
          <w:rFonts w:ascii="Times New Roman" w:hAnsi="Times New Roman" w:cs="Times New Roman"/>
          <w:sz w:val="24"/>
          <w:szCs w:val="24"/>
        </w:rPr>
        <w:t>Ieviešot  p</w:t>
      </w:r>
      <w:r w:rsidR="00FA6BE6" w:rsidRPr="00847710">
        <w:rPr>
          <w:rFonts w:ascii="Times New Roman" w:eastAsia="Times New Roman" w:hAnsi="Times New Roman" w:cs="Times New Roman"/>
          <w:sz w:val="24"/>
          <w:szCs w:val="24"/>
          <w:lang w:eastAsia="lv-LV"/>
        </w:rPr>
        <w:t xml:space="preserve">arenterāli lietojamo ķīmijterapijas zāļu sagatavošanu </w:t>
      </w:r>
      <w:r w:rsidR="00FA6BE6" w:rsidRPr="00847710">
        <w:rPr>
          <w:rFonts w:ascii="Times New Roman" w:hAnsi="Times New Roman" w:cs="Times New Roman"/>
          <w:sz w:val="24"/>
          <w:szCs w:val="24"/>
        </w:rPr>
        <w:t xml:space="preserve">Rīgas Austrumu klīniskajā universitātes slimnīcā ar </w:t>
      </w:r>
      <w:r w:rsidR="00FA6BE6" w:rsidRPr="00847710">
        <w:rPr>
          <w:rFonts w:ascii="Times New Roman" w:eastAsia="Times New Roman" w:hAnsi="Times New Roman" w:cs="Times New Roman"/>
          <w:sz w:val="24"/>
          <w:szCs w:val="24"/>
          <w:lang w:eastAsia="lv-LV"/>
        </w:rPr>
        <w:t>speciālu automatizētu šķaidīšanas sistēmu, sistēmas iegādei un atbilstošas infrastruktūras izveidei novirzot  2 319 872 euro.</w:t>
      </w:r>
    </w:p>
    <w:p w14:paraId="51A1D483" w14:textId="339C53D3" w:rsidR="00D649FA" w:rsidRPr="00847710" w:rsidRDefault="00D649FA" w:rsidP="00847710">
      <w:pPr>
        <w:spacing w:after="120"/>
        <w:ind w:firstLine="709"/>
        <w:jc w:val="both"/>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 xml:space="preserve">2017. gada septembrī tika veikta tirgus izpēte un saņemti divi iespējamo pretendentu piedāvājumi par iekārtu nomaiņas izmaksām uz jaunajām. </w:t>
      </w:r>
      <w:r w:rsidR="00831231" w:rsidRPr="00847710">
        <w:rPr>
          <w:rFonts w:ascii="Times New Roman" w:eastAsia="Times New Roman" w:hAnsi="Times New Roman" w:cs="Times New Roman"/>
          <w:sz w:val="24"/>
          <w:szCs w:val="24"/>
          <w:lang w:eastAsia="lv-LV"/>
        </w:rPr>
        <w:t>Realizējot aktivitāti, iepirkumi tiks veikti Publisko iepirkumu likuma noteiktajā kārtībā un faktiskā iekārtu cena būs zināma pēc iepirkuma procedūras veikšanas. Finansējuma ekonomija tiks novirzīta citu reformas pasākumu īstenošanai.</w:t>
      </w:r>
    </w:p>
    <w:p w14:paraId="55B3EA1A" w14:textId="383B1B7A" w:rsidR="00847710" w:rsidRPr="00847710" w:rsidRDefault="00CB7391" w:rsidP="006807F5">
      <w:pPr>
        <w:spacing w:after="120"/>
        <w:ind w:firstLine="709"/>
        <w:jc w:val="both"/>
        <w:rPr>
          <w:rFonts w:ascii="Times New Roman" w:hAnsi="Times New Roman" w:cs="Times New Roman"/>
          <w:i/>
          <w:sz w:val="24"/>
          <w:szCs w:val="24"/>
        </w:rPr>
      </w:pPr>
      <w:r w:rsidRPr="00847710">
        <w:rPr>
          <w:rFonts w:ascii="Times New Roman" w:hAnsi="Times New Roman" w:cs="Times New Roman"/>
          <w:sz w:val="24"/>
          <w:szCs w:val="24"/>
          <w:lang w:eastAsia="lv-LV"/>
        </w:rPr>
        <w:t>Kopējais iespējamais ieguvums no parenterāli ievadāmo onkoloģisko medikamentu centralizācijas reformas, kas ietver pacienta nelīdzestīgas rīcības gadījumu samazinājumu, aptieku uzcenojuma samazinājumu un iepirkuma centralizēšanu sastāda 519 664 euro gadā, līdz ar to ķīmijterapijas zāļu jaucēja iegāde un infrastruktūras izveide atmaksās mazāk nekā 5 gados no paredzēta 10 gadu iekārtu dzīves cikla.</w:t>
      </w:r>
    </w:p>
    <w:p w14:paraId="33A28451" w14:textId="119A6D34" w:rsidR="005C3955" w:rsidRPr="00C86312" w:rsidRDefault="00026045" w:rsidP="00C86312">
      <w:pPr>
        <w:spacing w:after="120" w:line="240" w:lineRule="auto"/>
        <w:ind w:firstLine="709"/>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DE3C94">
        <w:rPr>
          <w:rFonts w:ascii="Times New Roman" w:hAnsi="Times New Roman" w:cs="Times New Roman"/>
          <w:i/>
          <w:iCs/>
          <w:sz w:val="24"/>
          <w:szCs w:val="24"/>
        </w:rPr>
        <w:t>9</w:t>
      </w:r>
      <w:r w:rsidR="005C3955" w:rsidRPr="57326167">
        <w:rPr>
          <w:rFonts w:ascii="Times New Roman" w:hAnsi="Times New Roman" w:cs="Times New Roman"/>
          <w:i/>
          <w:iCs/>
          <w:sz w:val="24"/>
          <w:szCs w:val="24"/>
        </w:rPr>
        <w:t>.tabula</w:t>
      </w:r>
    </w:p>
    <w:p w14:paraId="7CBAF442" w14:textId="04D937FE" w:rsidR="005C3955" w:rsidRPr="00C86312" w:rsidRDefault="002608BF" w:rsidP="00C86312">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color w:val="000000" w:themeColor="text1"/>
          <w:sz w:val="24"/>
          <w:szCs w:val="24"/>
        </w:rPr>
        <w:t>Staru terapijas un ķīmijterapijas efektivitātes uzlabošanai nepieciešamo iekārtu finansējums</w:t>
      </w:r>
    </w:p>
    <w:tbl>
      <w:tblPr>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1276"/>
        <w:gridCol w:w="1275"/>
        <w:gridCol w:w="1129"/>
        <w:gridCol w:w="1285"/>
        <w:gridCol w:w="1272"/>
        <w:gridCol w:w="1272"/>
        <w:gridCol w:w="1272"/>
      </w:tblGrid>
      <w:tr w:rsidR="00FB6C80" w:rsidRPr="00847710" w14:paraId="25737F92" w14:textId="77777777" w:rsidTr="00C86312">
        <w:trPr>
          <w:cantSplit/>
          <w:trHeight w:val="1656"/>
        </w:trPr>
        <w:tc>
          <w:tcPr>
            <w:tcW w:w="426" w:type="dxa"/>
            <w:shd w:val="clear" w:color="auto" w:fill="E36C0A" w:themeFill="accent6" w:themeFillShade="BF"/>
            <w:vAlign w:val="center"/>
            <w:hideMark/>
          </w:tcPr>
          <w:p w14:paraId="2B398A34" w14:textId="77777777" w:rsidR="005C3955" w:rsidRPr="00847710" w:rsidRDefault="005C3955" w:rsidP="00261109">
            <w:pPr>
              <w:spacing w:after="0" w:line="240" w:lineRule="auto"/>
              <w:jc w:val="center"/>
              <w:rPr>
                <w:rFonts w:ascii="Times New Roman" w:eastAsia="Times New Roman" w:hAnsi="Times New Roman" w:cs="Times New Roman"/>
                <w:b/>
                <w:bCs/>
                <w:sz w:val="20"/>
                <w:szCs w:val="20"/>
                <w:lang w:eastAsia="lv-LV"/>
              </w:rPr>
            </w:pPr>
          </w:p>
        </w:tc>
        <w:tc>
          <w:tcPr>
            <w:tcW w:w="2410" w:type="dxa"/>
            <w:shd w:val="clear" w:color="auto" w:fill="E36C0A" w:themeFill="accent6" w:themeFillShade="BF"/>
            <w:vAlign w:val="center"/>
            <w:hideMark/>
          </w:tcPr>
          <w:p w14:paraId="5977BB0A" w14:textId="77777777" w:rsidR="005C3955" w:rsidRPr="00847710" w:rsidRDefault="005C3955" w:rsidP="00261109">
            <w:pPr>
              <w:spacing w:after="0" w:line="240" w:lineRule="auto"/>
              <w:rPr>
                <w:rFonts w:ascii="Times New Roman" w:eastAsia="Times New Roman" w:hAnsi="Times New Roman" w:cs="Times New Roman"/>
                <w:b/>
                <w:sz w:val="20"/>
                <w:szCs w:val="20"/>
                <w:lang w:eastAsia="lv-LV"/>
              </w:rPr>
            </w:pPr>
          </w:p>
        </w:tc>
        <w:tc>
          <w:tcPr>
            <w:tcW w:w="1276" w:type="dxa"/>
            <w:shd w:val="clear" w:color="auto" w:fill="E36C0A" w:themeFill="accent6" w:themeFillShade="BF"/>
            <w:textDirection w:val="btLr"/>
            <w:vAlign w:val="center"/>
            <w:hideMark/>
          </w:tcPr>
          <w:p w14:paraId="614F59C7" w14:textId="2F2317C6" w:rsidR="005C3955" w:rsidRPr="00847710" w:rsidRDefault="005C3955" w:rsidP="0026110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w:t>
            </w:r>
            <w:r w:rsidR="00247CD6" w:rsidRPr="00847710">
              <w:rPr>
                <w:rFonts w:ascii="Times New Roman" w:eastAsia="Times New Roman" w:hAnsi="Times New Roman" w:cs="Times New Roman"/>
                <w:b/>
                <w:bCs/>
                <w:sz w:val="20"/>
                <w:szCs w:val="20"/>
                <w:lang w:eastAsia="lv-LV"/>
              </w:rPr>
              <w:t>iekārtas</w:t>
            </w:r>
          </w:p>
          <w:p w14:paraId="3C341DC1" w14:textId="77777777" w:rsidR="005C3955" w:rsidRPr="00847710" w:rsidRDefault="005C3955" w:rsidP="0026110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3666559F" w14:textId="77777777" w:rsidR="005C3955" w:rsidRPr="00847710" w:rsidRDefault="005C3955" w:rsidP="00261109">
            <w:pPr>
              <w:spacing w:after="0" w:line="240" w:lineRule="auto"/>
              <w:ind w:left="113" w:right="113"/>
              <w:jc w:val="center"/>
              <w:rPr>
                <w:rFonts w:ascii="Times New Roman" w:eastAsia="Times New Roman" w:hAnsi="Times New Roman" w:cs="Times New Roman"/>
                <w:b/>
                <w:bCs/>
                <w:sz w:val="20"/>
                <w:szCs w:val="20"/>
                <w:lang w:eastAsia="lv-LV"/>
              </w:rPr>
            </w:pPr>
          </w:p>
        </w:tc>
        <w:tc>
          <w:tcPr>
            <w:tcW w:w="2404" w:type="dxa"/>
            <w:gridSpan w:val="2"/>
            <w:shd w:val="clear" w:color="auto" w:fill="E36C0A" w:themeFill="accent6" w:themeFillShade="BF"/>
            <w:textDirection w:val="btLr"/>
            <w:vAlign w:val="center"/>
            <w:hideMark/>
          </w:tcPr>
          <w:p w14:paraId="0EEF8CCE" w14:textId="77777777" w:rsidR="005C3955" w:rsidRPr="00847710" w:rsidRDefault="005C3955" w:rsidP="0026110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A" w:themeFill="accent6" w:themeFillShade="BF"/>
            <w:textDirection w:val="btLr"/>
            <w:vAlign w:val="center"/>
            <w:hideMark/>
          </w:tcPr>
          <w:p w14:paraId="16F97EB9" w14:textId="77777777" w:rsidR="005C3955" w:rsidRPr="00847710" w:rsidRDefault="005C3955" w:rsidP="0026110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A" w:themeFill="accent6" w:themeFillShade="BF"/>
            <w:textDirection w:val="btLr"/>
            <w:vAlign w:val="center"/>
          </w:tcPr>
          <w:p w14:paraId="7C7F4869" w14:textId="4E4CCFD0" w:rsidR="005C3955" w:rsidRPr="00847710" w:rsidRDefault="005C3955" w:rsidP="0026110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00D83C94" w:rsidRPr="00847710">
              <w:rPr>
                <w:rFonts w:ascii="Times New Roman" w:eastAsia="Times New Roman" w:hAnsi="Times New Roman" w:cs="Times New Roman"/>
                <w:b/>
                <w:bCs/>
                <w:sz w:val="20"/>
                <w:szCs w:val="20"/>
                <w:lang w:eastAsia="lv-LV"/>
              </w:rPr>
              <w:t>iekārtu</w:t>
            </w:r>
            <w:r w:rsidRPr="00847710">
              <w:rPr>
                <w:rFonts w:ascii="Times New Roman" w:eastAsia="Times New Roman" w:hAnsi="Times New Roman" w:cs="Times New Roman"/>
                <w:b/>
                <w:bCs/>
                <w:sz w:val="20"/>
                <w:szCs w:val="20"/>
                <w:lang w:eastAsia="lv-LV"/>
              </w:rPr>
              <w:t xml:space="preserve"> skaits </w:t>
            </w:r>
          </w:p>
        </w:tc>
        <w:tc>
          <w:tcPr>
            <w:tcW w:w="1272" w:type="dxa"/>
            <w:shd w:val="clear" w:color="auto" w:fill="E36C0A" w:themeFill="accent6" w:themeFillShade="BF"/>
            <w:textDirection w:val="btLr"/>
            <w:vAlign w:val="center"/>
            <w:hideMark/>
          </w:tcPr>
          <w:p w14:paraId="3A09CFBE" w14:textId="5C85C5B9" w:rsidR="005C3955" w:rsidRPr="00847710" w:rsidRDefault="005C3955" w:rsidP="0026110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00D83C94" w:rsidRPr="00847710">
              <w:rPr>
                <w:rFonts w:ascii="Times New Roman" w:eastAsia="Times New Roman" w:hAnsi="Times New Roman" w:cs="Times New Roman"/>
                <w:b/>
                <w:bCs/>
                <w:sz w:val="20"/>
                <w:szCs w:val="20"/>
                <w:lang w:eastAsia="lv-LV"/>
              </w:rPr>
              <w:t>iekārtu</w:t>
            </w:r>
            <w:r w:rsidRPr="00847710">
              <w:rPr>
                <w:rFonts w:ascii="Times New Roman" w:eastAsia="Times New Roman" w:hAnsi="Times New Roman" w:cs="Times New Roman"/>
                <w:b/>
                <w:bCs/>
                <w:sz w:val="20"/>
                <w:szCs w:val="20"/>
                <w:lang w:eastAsia="lv-LV"/>
              </w:rPr>
              <w:t xml:space="preserve"> skaits pēc finansējuma piešķīruma</w:t>
            </w:r>
          </w:p>
        </w:tc>
      </w:tr>
      <w:tr w:rsidR="00FB6C80" w:rsidRPr="00847710" w14:paraId="64F2E844" w14:textId="77777777" w:rsidTr="00C86312">
        <w:trPr>
          <w:trHeight w:val="640"/>
        </w:trPr>
        <w:tc>
          <w:tcPr>
            <w:tcW w:w="426" w:type="dxa"/>
            <w:shd w:val="clear" w:color="auto" w:fill="FABF8F" w:themeFill="accent6" w:themeFillTint="99"/>
            <w:vAlign w:val="center"/>
          </w:tcPr>
          <w:p w14:paraId="5AF1CBD2" w14:textId="77777777" w:rsidR="005C3955" w:rsidRPr="00847710" w:rsidRDefault="005C3955" w:rsidP="00261109">
            <w:pPr>
              <w:spacing w:after="0" w:line="240" w:lineRule="auto"/>
              <w:jc w:val="center"/>
              <w:rPr>
                <w:rFonts w:ascii="Times New Roman" w:eastAsia="Times New Roman" w:hAnsi="Times New Roman" w:cs="Times New Roman"/>
                <w:b/>
                <w:bCs/>
                <w:sz w:val="20"/>
                <w:szCs w:val="20"/>
                <w:lang w:eastAsia="lv-LV"/>
              </w:rPr>
            </w:pPr>
          </w:p>
        </w:tc>
        <w:tc>
          <w:tcPr>
            <w:tcW w:w="2410" w:type="dxa"/>
            <w:shd w:val="clear" w:color="auto" w:fill="FABF8F" w:themeFill="accent6" w:themeFillTint="99"/>
            <w:vAlign w:val="center"/>
          </w:tcPr>
          <w:p w14:paraId="09251195" w14:textId="77777777" w:rsidR="005C3955" w:rsidRPr="00847710" w:rsidRDefault="005C3955" w:rsidP="00261109">
            <w:pPr>
              <w:spacing w:after="0" w:line="240" w:lineRule="auto"/>
              <w:jc w:val="center"/>
              <w:rPr>
                <w:rFonts w:ascii="Times New Roman" w:eastAsia="Times New Roman" w:hAnsi="Times New Roman" w:cs="Times New Roman"/>
                <w:b/>
                <w:sz w:val="20"/>
                <w:szCs w:val="20"/>
                <w:lang w:eastAsia="lv-LV"/>
              </w:rPr>
            </w:pPr>
          </w:p>
        </w:tc>
        <w:tc>
          <w:tcPr>
            <w:tcW w:w="1276" w:type="dxa"/>
            <w:shd w:val="clear" w:color="auto" w:fill="FABF8F" w:themeFill="accent6" w:themeFillTint="99"/>
            <w:vAlign w:val="center"/>
          </w:tcPr>
          <w:p w14:paraId="6E202FE2" w14:textId="77777777" w:rsidR="005C3955" w:rsidRPr="00847710" w:rsidRDefault="005C3955" w:rsidP="00261109">
            <w:pPr>
              <w:spacing w:after="0" w:line="240" w:lineRule="auto"/>
              <w:jc w:val="center"/>
              <w:rPr>
                <w:rFonts w:ascii="Times New Roman" w:eastAsia="Times New Roman" w:hAnsi="Times New Roman" w:cs="Times New Roman"/>
                <w:i/>
                <w:iCs/>
                <w:sz w:val="20"/>
                <w:szCs w:val="20"/>
                <w:lang w:eastAsia="lv-LV"/>
              </w:rPr>
            </w:pPr>
          </w:p>
          <w:p w14:paraId="63D9D820" w14:textId="77777777" w:rsidR="005C3955" w:rsidRPr="00847710" w:rsidRDefault="005C3955" w:rsidP="00261109">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275" w:type="dxa"/>
            <w:shd w:val="clear" w:color="auto" w:fill="FABF8F" w:themeFill="accent6" w:themeFillTint="99"/>
            <w:vAlign w:val="center"/>
          </w:tcPr>
          <w:p w14:paraId="37453A89" w14:textId="77777777" w:rsidR="005C3955" w:rsidRPr="00847710" w:rsidRDefault="005C3955" w:rsidP="00261109">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14:paraId="75E37DB9" w14:textId="77777777" w:rsidR="005C3955" w:rsidRPr="00847710" w:rsidRDefault="005C3955" w:rsidP="00261109">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129" w:type="dxa"/>
            <w:shd w:val="clear" w:color="auto" w:fill="FABF8F" w:themeFill="accent6" w:themeFillTint="99"/>
            <w:vAlign w:val="center"/>
          </w:tcPr>
          <w:p w14:paraId="335B07E3" w14:textId="77777777" w:rsidR="005C3955" w:rsidRPr="00847710" w:rsidRDefault="005C3955" w:rsidP="00261109">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14:paraId="464A55AC" w14:textId="77777777" w:rsidR="005C3955" w:rsidRPr="00847710" w:rsidRDefault="005C3955" w:rsidP="00261109">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BF8F" w:themeFill="accent6" w:themeFillTint="99"/>
            <w:vAlign w:val="center"/>
          </w:tcPr>
          <w:p w14:paraId="2CC588E5" w14:textId="77777777" w:rsidR="005C3955" w:rsidRPr="00847710" w:rsidRDefault="005C3955" w:rsidP="00261109">
            <w:pPr>
              <w:spacing w:after="0" w:line="240" w:lineRule="auto"/>
              <w:jc w:val="center"/>
              <w:rPr>
                <w:rFonts w:ascii="Times New Roman" w:eastAsia="Times New Roman" w:hAnsi="Times New Roman" w:cs="Times New Roman"/>
                <w:bCs/>
                <w:i/>
                <w:iCs/>
                <w:sz w:val="20"/>
                <w:szCs w:val="20"/>
                <w:lang w:eastAsia="lv-LV"/>
              </w:rPr>
            </w:pPr>
          </w:p>
          <w:p w14:paraId="312171C3" w14:textId="77777777" w:rsidR="005C3955" w:rsidRPr="00C86312" w:rsidRDefault="005C3955" w:rsidP="00C8631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BF8F" w:themeFill="accent6" w:themeFillTint="99"/>
            <w:vAlign w:val="center"/>
          </w:tcPr>
          <w:p w14:paraId="6B1624FF" w14:textId="77777777" w:rsidR="005C3955" w:rsidRPr="00847710" w:rsidRDefault="005C3955" w:rsidP="00261109">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BF8F" w:themeFill="accent6" w:themeFillTint="99"/>
            <w:vAlign w:val="center"/>
          </w:tcPr>
          <w:p w14:paraId="4B963EB3" w14:textId="77777777" w:rsidR="005C3955" w:rsidRPr="00847710" w:rsidRDefault="005C3955" w:rsidP="00261109">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BF8F" w:themeFill="accent6" w:themeFillTint="99"/>
            <w:vAlign w:val="center"/>
          </w:tcPr>
          <w:p w14:paraId="5DF040CD" w14:textId="77777777" w:rsidR="005C3955" w:rsidRPr="00847710" w:rsidRDefault="005C3955" w:rsidP="00261109">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rsidR="005C3955" w:rsidRPr="00847710" w14:paraId="2F225C86" w14:textId="77777777" w:rsidTr="00C86312">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552D7" w14:textId="77777777" w:rsidR="005C3955" w:rsidRPr="00847710" w:rsidRDefault="005C3955" w:rsidP="00261109">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07EFA7" w14:textId="52C2A9DC" w:rsidR="005C3955" w:rsidRPr="00847710" w:rsidRDefault="00247CD6" w:rsidP="00261109">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Lineāro paātrinātāju iegāde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1A292" w14:textId="2FE6573F" w:rsidR="005C3955" w:rsidRPr="00847710" w:rsidRDefault="000D69E2" w:rsidP="00247CD6">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2 218 333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6B120" w14:textId="2163477E" w:rsidR="005C3955" w:rsidRPr="00847710" w:rsidRDefault="005C3955" w:rsidP="00261109">
            <w:pPr>
              <w:spacing w:after="0" w:line="240" w:lineRule="auto"/>
              <w:jc w:val="center"/>
              <w:rPr>
                <w:rFonts w:ascii="Times New Roman" w:eastAsia="Times New Roman" w:hAnsi="Times New Roman" w:cs="Times New Roman"/>
                <w:sz w:val="20"/>
                <w:szCs w:val="20"/>
                <w:lang w:eastAsia="lv-LV"/>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5FCA8" w14:textId="201359A8" w:rsidR="005C3955" w:rsidRPr="00847710" w:rsidRDefault="005C3955" w:rsidP="00261109">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A7F51" w14:textId="3FC6DF56" w:rsidR="005C3955" w:rsidRPr="00847710" w:rsidRDefault="000D69E2" w:rsidP="00261109">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6 65</w:t>
            </w:r>
            <w:r w:rsidR="00214950" w:rsidRPr="00847710">
              <w:rPr>
                <w:rFonts w:ascii="Times New Roman" w:hAnsi="Times New Roman" w:cs="Times New Roman"/>
                <w:sz w:val="20"/>
                <w:szCs w:val="20"/>
              </w:rPr>
              <w:t>4</w:t>
            </w:r>
            <w:r w:rsidRPr="00847710">
              <w:rPr>
                <w:rFonts w:ascii="Times New Roman" w:hAnsi="Times New Roman" w:cs="Times New Roman"/>
                <w:sz w:val="20"/>
                <w:szCs w:val="20"/>
              </w:rPr>
              <w:t> </w:t>
            </w:r>
            <w:r w:rsidR="00214950" w:rsidRPr="00847710">
              <w:rPr>
                <w:rFonts w:ascii="Times New Roman" w:hAnsi="Times New Roman" w:cs="Times New Roman"/>
                <w:sz w:val="20"/>
                <w:szCs w:val="20"/>
              </w:rPr>
              <w:t>999</w:t>
            </w:r>
            <w:r w:rsidRPr="00847710">
              <w:rPr>
                <w:rFonts w:ascii="Times New Roman" w:hAnsi="Times New Roman" w:cs="Times New Roman"/>
                <w:sz w:val="20"/>
                <w:szCs w:val="20"/>
              </w:rPr>
              <w:t xml:space="preserve"> </w:t>
            </w:r>
          </w:p>
        </w:tc>
        <w:tc>
          <w:tcPr>
            <w:tcW w:w="1272" w:type="dxa"/>
            <w:tcBorders>
              <w:top w:val="single" w:sz="4" w:space="0" w:color="auto"/>
              <w:left w:val="single" w:sz="4" w:space="0" w:color="auto"/>
              <w:bottom w:val="single" w:sz="4" w:space="0" w:color="auto"/>
              <w:right w:val="single" w:sz="4" w:space="0" w:color="auto"/>
            </w:tcBorders>
            <w:vAlign w:val="bottom"/>
          </w:tcPr>
          <w:p w14:paraId="71B3086F" w14:textId="1DD76D1F" w:rsidR="005C3955" w:rsidRPr="00847710" w:rsidRDefault="005C3955" w:rsidP="00261109">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14:paraId="7C578B7F" w14:textId="55AD732D" w:rsidR="005C3955" w:rsidRPr="00847710" w:rsidRDefault="005C3955" w:rsidP="00261109">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F8D09" w14:textId="438EEC28" w:rsidR="005C3955" w:rsidRPr="00C86312" w:rsidRDefault="00D8173A"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3</w:t>
            </w:r>
          </w:p>
        </w:tc>
      </w:tr>
      <w:tr w:rsidR="000D69E2" w:rsidRPr="00847710" w14:paraId="036CBDEC" w14:textId="77777777" w:rsidTr="00C86312">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FE01C" w14:textId="2AC036AF" w:rsidR="000D69E2" w:rsidRPr="00847710" w:rsidRDefault="00AC59FC" w:rsidP="00261109">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5975633E" w14:textId="3872DCE3" w:rsidR="000D69E2" w:rsidRPr="00847710" w:rsidRDefault="000D69E2" w:rsidP="00261109">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Ķīmij</w:t>
            </w:r>
            <w:r w:rsidR="00AC59FC" w:rsidRPr="00847710">
              <w:rPr>
                <w:rFonts w:ascii="Times New Roman" w:eastAsia="Times New Roman" w:hAnsi="Times New Roman" w:cs="Times New Roman"/>
                <w:sz w:val="20"/>
                <w:szCs w:val="20"/>
                <w:lang w:eastAsia="lv-LV"/>
              </w:rPr>
              <w:t>terapijas zāļu</w:t>
            </w:r>
            <w:r w:rsidRPr="00847710">
              <w:rPr>
                <w:rFonts w:ascii="Times New Roman" w:eastAsia="Times New Roman" w:hAnsi="Times New Roman" w:cs="Times New Roman"/>
                <w:sz w:val="20"/>
                <w:szCs w:val="20"/>
                <w:lang w:eastAsia="lv-LV"/>
              </w:rPr>
              <w:t xml:space="preserve"> jaucēja iegāde un infrastruktūras izveide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D2FE6" w14:textId="6F33D9CD" w:rsidR="000D69E2" w:rsidRPr="00847710" w:rsidRDefault="000D69E2" w:rsidP="00247CD6">
            <w:pPr>
              <w:spacing w:after="0" w:line="240" w:lineRule="auto"/>
              <w:jc w:val="center"/>
              <w:rPr>
                <w:rFonts w:ascii="Times New Roman" w:hAnsi="Times New Roman" w:cs="Times New Roman"/>
                <w:sz w:val="20"/>
                <w:szCs w:val="20"/>
              </w:rPr>
            </w:pPr>
            <w:r w:rsidRPr="00847710">
              <w:rPr>
                <w:rFonts w:ascii="Times New Roman" w:eastAsia="Times New Roman" w:hAnsi="Times New Roman" w:cs="Times New Roman"/>
                <w:sz w:val="20"/>
                <w:szCs w:val="20"/>
                <w:lang w:eastAsia="lv-LV"/>
              </w:rPr>
              <w:t>2 319 872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32D07" w14:textId="77777777" w:rsidR="000D69E2" w:rsidRPr="00847710" w:rsidRDefault="000D69E2" w:rsidP="00261109">
            <w:pPr>
              <w:spacing w:after="0" w:line="240" w:lineRule="auto"/>
              <w:jc w:val="center"/>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307EF" w14:textId="77777777" w:rsidR="000D69E2" w:rsidRPr="00847710" w:rsidRDefault="000D69E2" w:rsidP="00261109">
            <w:pPr>
              <w:spacing w:after="0" w:line="240" w:lineRule="auto"/>
              <w:jc w:val="center"/>
              <w:rPr>
                <w:rFonts w:ascii="Times New Roman" w:hAnsi="Times New Roman"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443FB" w14:textId="483F47DA" w:rsidR="000D69E2" w:rsidRPr="00847710" w:rsidRDefault="000D69E2" w:rsidP="00261109">
            <w:pPr>
              <w:spacing w:after="0" w:line="240" w:lineRule="auto"/>
              <w:jc w:val="center"/>
              <w:rPr>
                <w:rFonts w:ascii="Times New Roman" w:hAnsi="Times New Roman" w:cs="Times New Roman"/>
                <w:sz w:val="20"/>
                <w:szCs w:val="20"/>
              </w:rPr>
            </w:pPr>
            <w:r w:rsidRPr="00847710">
              <w:rPr>
                <w:rFonts w:ascii="Times New Roman" w:eastAsia="Times New Roman" w:hAnsi="Times New Roman" w:cs="Times New Roman"/>
                <w:sz w:val="20"/>
                <w:szCs w:val="20"/>
                <w:lang w:eastAsia="lv-LV"/>
              </w:rPr>
              <w:t>2 319 872</w:t>
            </w:r>
          </w:p>
        </w:tc>
        <w:tc>
          <w:tcPr>
            <w:tcW w:w="1272" w:type="dxa"/>
            <w:tcBorders>
              <w:top w:val="single" w:sz="4" w:space="0" w:color="auto"/>
              <w:left w:val="single" w:sz="4" w:space="0" w:color="auto"/>
              <w:bottom w:val="single" w:sz="4" w:space="0" w:color="auto"/>
              <w:right w:val="single" w:sz="4" w:space="0" w:color="auto"/>
            </w:tcBorders>
            <w:vAlign w:val="bottom"/>
          </w:tcPr>
          <w:p w14:paraId="00B0AACF" w14:textId="77777777" w:rsidR="000D69E2" w:rsidRPr="00847710" w:rsidRDefault="000D69E2" w:rsidP="00261109">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14:paraId="14958AA3" w14:textId="77777777" w:rsidR="000D69E2" w:rsidRPr="00847710" w:rsidDel="000D69E2" w:rsidRDefault="000D69E2" w:rsidP="00261109">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454F9" w14:textId="3C5F6CE1" w:rsidR="000D69E2" w:rsidRPr="00C86312" w:rsidRDefault="000D69E2"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1</w:t>
            </w:r>
          </w:p>
        </w:tc>
      </w:tr>
      <w:tr w:rsidR="00FB6C80" w:rsidRPr="00847710" w14:paraId="63F802CC" w14:textId="77777777" w:rsidTr="00C86312">
        <w:trPr>
          <w:trHeight w:val="189"/>
        </w:trPr>
        <w:tc>
          <w:tcPr>
            <w:tcW w:w="426" w:type="dxa"/>
            <w:shd w:val="clear" w:color="auto" w:fill="FBD4B4" w:themeFill="accent6" w:themeFillTint="66"/>
            <w:noWrap/>
            <w:vAlign w:val="bottom"/>
            <w:hideMark/>
          </w:tcPr>
          <w:p w14:paraId="162AB57C" w14:textId="77777777" w:rsidR="005C3955" w:rsidRPr="00847710" w:rsidRDefault="005C3955" w:rsidP="00261109">
            <w:pPr>
              <w:spacing w:after="0" w:line="240" w:lineRule="auto"/>
              <w:jc w:val="right"/>
              <w:rPr>
                <w:rFonts w:ascii="Times New Roman" w:eastAsia="Times New Roman" w:hAnsi="Times New Roman" w:cs="Times New Roman"/>
                <w:sz w:val="20"/>
                <w:szCs w:val="20"/>
                <w:lang w:eastAsia="lv-LV"/>
              </w:rPr>
            </w:pPr>
          </w:p>
        </w:tc>
        <w:tc>
          <w:tcPr>
            <w:tcW w:w="2410" w:type="dxa"/>
            <w:shd w:val="clear" w:color="auto" w:fill="FBD4B4" w:themeFill="accent6" w:themeFillTint="66"/>
            <w:noWrap/>
            <w:vAlign w:val="bottom"/>
            <w:hideMark/>
          </w:tcPr>
          <w:p w14:paraId="7F810B64" w14:textId="77777777" w:rsidR="005C3955" w:rsidRPr="00847710" w:rsidRDefault="005C3955" w:rsidP="00261109">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276" w:type="dxa"/>
            <w:shd w:val="clear" w:color="auto" w:fill="FBD4B4" w:themeFill="accent6" w:themeFillTint="66"/>
            <w:noWrap/>
            <w:vAlign w:val="bottom"/>
            <w:hideMark/>
          </w:tcPr>
          <w:p w14:paraId="149F081F" w14:textId="73D81EF1" w:rsidR="005C3955" w:rsidRPr="00847710" w:rsidRDefault="005C3955" w:rsidP="00261109">
            <w:pPr>
              <w:spacing w:after="0" w:line="240" w:lineRule="auto"/>
              <w:jc w:val="center"/>
              <w:rPr>
                <w:rFonts w:ascii="Times New Roman" w:eastAsia="Times New Roman" w:hAnsi="Times New Roman" w:cs="Times New Roman"/>
                <w:sz w:val="20"/>
                <w:szCs w:val="20"/>
                <w:lang w:eastAsia="lv-LV"/>
              </w:rPr>
            </w:pPr>
          </w:p>
        </w:tc>
        <w:tc>
          <w:tcPr>
            <w:tcW w:w="1275" w:type="dxa"/>
            <w:shd w:val="clear" w:color="auto" w:fill="FBD4B4" w:themeFill="accent6" w:themeFillTint="66"/>
            <w:noWrap/>
            <w:vAlign w:val="bottom"/>
          </w:tcPr>
          <w:p w14:paraId="34074C6D" w14:textId="54D26E4A" w:rsidR="005C3955" w:rsidRPr="00847710" w:rsidRDefault="005C3955" w:rsidP="00261109">
            <w:pPr>
              <w:spacing w:after="0" w:line="240" w:lineRule="auto"/>
              <w:jc w:val="center"/>
              <w:rPr>
                <w:rFonts w:ascii="Times New Roman" w:eastAsia="Times New Roman" w:hAnsi="Times New Roman" w:cs="Times New Roman"/>
                <w:sz w:val="20"/>
                <w:szCs w:val="20"/>
                <w:lang w:eastAsia="lv-LV"/>
              </w:rPr>
            </w:pPr>
          </w:p>
        </w:tc>
        <w:tc>
          <w:tcPr>
            <w:tcW w:w="1129" w:type="dxa"/>
            <w:shd w:val="clear" w:color="auto" w:fill="FBD4B4" w:themeFill="accent6" w:themeFillTint="66"/>
            <w:noWrap/>
            <w:vAlign w:val="bottom"/>
          </w:tcPr>
          <w:p w14:paraId="170BD029" w14:textId="2C690ADC" w:rsidR="005C3955" w:rsidRPr="00847710" w:rsidRDefault="005C3955" w:rsidP="00261109">
            <w:pPr>
              <w:spacing w:after="0" w:line="240" w:lineRule="auto"/>
              <w:jc w:val="center"/>
              <w:rPr>
                <w:rFonts w:ascii="Times New Roman" w:eastAsia="Times New Roman" w:hAnsi="Times New Roman" w:cs="Times New Roman"/>
                <w:sz w:val="20"/>
                <w:szCs w:val="20"/>
                <w:lang w:eastAsia="lv-LV"/>
              </w:rPr>
            </w:pPr>
          </w:p>
        </w:tc>
        <w:tc>
          <w:tcPr>
            <w:tcW w:w="1285" w:type="dxa"/>
            <w:shd w:val="clear" w:color="auto" w:fill="FBD4B4" w:themeFill="accent6" w:themeFillTint="66"/>
            <w:noWrap/>
            <w:vAlign w:val="bottom"/>
            <w:hideMark/>
          </w:tcPr>
          <w:p w14:paraId="3B3D7136" w14:textId="733733C9" w:rsidR="005C3955" w:rsidRPr="00847710" w:rsidRDefault="00D83C94" w:rsidP="00261109">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8 974 87</w:t>
            </w:r>
            <w:r w:rsidR="00214950" w:rsidRPr="00847710">
              <w:rPr>
                <w:rFonts w:ascii="Times New Roman" w:hAnsi="Times New Roman" w:cs="Times New Roman"/>
                <w:sz w:val="20"/>
                <w:szCs w:val="20"/>
              </w:rPr>
              <w:t>1</w:t>
            </w:r>
          </w:p>
        </w:tc>
        <w:tc>
          <w:tcPr>
            <w:tcW w:w="1272" w:type="dxa"/>
            <w:shd w:val="clear" w:color="auto" w:fill="FBD4B4" w:themeFill="accent6" w:themeFillTint="66"/>
            <w:vAlign w:val="bottom"/>
          </w:tcPr>
          <w:p w14:paraId="3F2D06EC" w14:textId="79A33AD7" w:rsidR="005C3955" w:rsidRPr="00847710" w:rsidRDefault="005C3955" w:rsidP="00261109">
            <w:pPr>
              <w:spacing w:after="0" w:line="240" w:lineRule="auto"/>
              <w:jc w:val="center"/>
              <w:rPr>
                <w:rFonts w:ascii="Times New Roman" w:eastAsia="Times New Roman" w:hAnsi="Times New Roman" w:cs="Times New Roman"/>
                <w:b/>
                <w:color w:val="FF0000"/>
                <w:sz w:val="20"/>
                <w:szCs w:val="20"/>
                <w:lang w:eastAsia="lv-LV"/>
              </w:rPr>
            </w:pPr>
          </w:p>
        </w:tc>
        <w:tc>
          <w:tcPr>
            <w:tcW w:w="1272" w:type="dxa"/>
            <w:shd w:val="clear" w:color="auto" w:fill="FBD4B4" w:themeFill="accent6" w:themeFillTint="66"/>
            <w:vAlign w:val="bottom"/>
          </w:tcPr>
          <w:p w14:paraId="3D6F7190" w14:textId="6C5AFCDA" w:rsidR="005C3955" w:rsidRPr="00847710" w:rsidRDefault="005C3955" w:rsidP="00261109">
            <w:pPr>
              <w:spacing w:after="0" w:line="240" w:lineRule="auto"/>
              <w:jc w:val="center"/>
              <w:rPr>
                <w:rFonts w:ascii="Times New Roman" w:eastAsia="Times New Roman" w:hAnsi="Times New Roman" w:cs="Times New Roman"/>
                <w:b/>
                <w:color w:val="FF0000"/>
                <w:sz w:val="20"/>
                <w:szCs w:val="20"/>
                <w:lang w:eastAsia="lv-LV"/>
              </w:rPr>
            </w:pPr>
          </w:p>
        </w:tc>
        <w:tc>
          <w:tcPr>
            <w:tcW w:w="1272" w:type="dxa"/>
            <w:shd w:val="clear" w:color="auto" w:fill="FBD4B4" w:themeFill="accent6" w:themeFillTint="66"/>
            <w:noWrap/>
            <w:vAlign w:val="bottom"/>
          </w:tcPr>
          <w:p w14:paraId="77647561" w14:textId="3D6DDA0C" w:rsidR="005C3955" w:rsidRPr="00C86312" w:rsidRDefault="00AC59FC"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4</w:t>
            </w:r>
          </w:p>
        </w:tc>
      </w:tr>
    </w:tbl>
    <w:p w14:paraId="45A5DB98" w14:textId="6B8C6714" w:rsidR="006008A7" w:rsidRPr="00847710" w:rsidRDefault="006008A7" w:rsidP="006008A7">
      <w:pPr>
        <w:spacing w:after="120"/>
        <w:ind w:firstLine="709"/>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089"/>
      </w:tblGrid>
      <w:tr w:rsidR="00356139" w:rsidRPr="00847710" w14:paraId="3D3F6E5E" w14:textId="77777777" w:rsidTr="57326167">
        <w:tc>
          <w:tcPr>
            <w:tcW w:w="9089" w:type="dxa"/>
          </w:tcPr>
          <w:p w14:paraId="1419CFA3" w14:textId="3EE008E7" w:rsidR="00356139" w:rsidRPr="00C86312" w:rsidRDefault="00356139" w:rsidP="00C86312">
            <w:pPr>
              <w:spacing w:after="120" w:line="276" w:lineRule="auto"/>
              <w:ind w:firstLine="709"/>
              <w:jc w:val="both"/>
              <w:rPr>
                <w:rFonts w:ascii="Times New Roman" w:eastAsiaTheme="minorEastAsia" w:hAnsi="Times New Roman" w:cstheme="minorBidi"/>
                <w:b/>
                <w:bCs/>
                <w:sz w:val="24"/>
                <w:szCs w:val="24"/>
              </w:rPr>
            </w:pPr>
            <w:r w:rsidRPr="0012317D">
              <w:rPr>
                <w:rFonts w:ascii="Times New Roman" w:hAnsi="Times New Roman"/>
                <w:b/>
                <w:bCs/>
                <w:sz w:val="24"/>
                <w:szCs w:val="24"/>
              </w:rPr>
              <w:t xml:space="preserve">Reformas rezultāts: Tiks nodrošināta uzsāktās onkoloģiskās pieejamības uzlabošanas procesa nepārtrauktība, nodrošinot savlaicīgu un drošu staru terapijas pakalpojumu pacientiem nākamajā ārstēšanas posmā. Ar </w:t>
            </w:r>
            <w:r w:rsidRPr="00901A9F">
              <w:rPr>
                <w:rFonts w:ascii="Times New Roman" w:eastAsia="Times New Roman" w:hAnsi="Times New Roman"/>
                <w:b/>
                <w:bCs/>
                <w:sz w:val="24"/>
                <w:szCs w:val="24"/>
                <w:lang w:eastAsia="lv-LV"/>
              </w:rPr>
              <w:t>speciālu automatizētu šķaidīšanas</w:t>
            </w:r>
            <w:r w:rsidRPr="0078794A">
              <w:rPr>
                <w:rFonts w:ascii="Times New Roman" w:eastAsia="Times New Roman" w:hAnsi="Times New Roman"/>
                <w:b/>
                <w:bCs/>
                <w:sz w:val="24"/>
                <w:szCs w:val="24"/>
                <w:lang w:eastAsia="lv-LV"/>
              </w:rPr>
              <w:t xml:space="preserve"> sistēmu</w:t>
            </w:r>
            <w:r w:rsidRPr="00BD7921">
              <w:rPr>
                <w:rFonts w:ascii="Times New Roman" w:hAnsi="Times New Roman"/>
                <w:b/>
                <w:bCs/>
                <w:sz w:val="24"/>
                <w:szCs w:val="24"/>
              </w:rPr>
              <w:t xml:space="preserve"> ieviešot p</w:t>
            </w:r>
            <w:r w:rsidRPr="00BD7921">
              <w:rPr>
                <w:rFonts w:ascii="Times New Roman" w:eastAsia="Times New Roman" w:hAnsi="Times New Roman"/>
                <w:b/>
                <w:bCs/>
                <w:sz w:val="24"/>
                <w:szCs w:val="24"/>
                <w:lang w:eastAsia="lv-LV"/>
              </w:rPr>
              <w:t xml:space="preserve">arenterāli lietojamo ķīmijterapijas zāļu sagatavošanu </w:t>
            </w:r>
            <w:r w:rsidRPr="00BD7921">
              <w:rPr>
                <w:rFonts w:ascii="Times New Roman" w:hAnsi="Times New Roman"/>
                <w:b/>
                <w:bCs/>
                <w:sz w:val="24"/>
                <w:szCs w:val="24"/>
              </w:rPr>
              <w:t xml:space="preserve">Rīgas Austrumu klīniskajā universitātes slimnīcā, kur ķīmijterapiju saņem vairāk kā 75% valsts onkoloģisko saslimšanu pacientu,  tiks samazinātas darbaspēka izmaksas, </w:t>
            </w:r>
            <w:r w:rsidRPr="00BD7921">
              <w:rPr>
                <w:rFonts w:ascii="Times New Roman" w:hAnsi="Times New Roman"/>
                <w:b/>
                <w:bCs/>
                <w:sz w:val="24"/>
                <w:szCs w:val="24"/>
              </w:rPr>
              <w:lastRenderedPageBreak/>
              <w:t xml:space="preserve">uzlabota ārstniecības personāla </w:t>
            </w:r>
            <w:r w:rsidRPr="00890961">
              <w:rPr>
                <w:rFonts w:ascii="Times New Roman" w:hAnsi="Times New Roman"/>
                <w:b/>
                <w:bCs/>
                <w:sz w:val="24"/>
                <w:szCs w:val="24"/>
              </w:rPr>
              <w:t>un pacientu drošība, kā arī novērsti medikamentu zudumi, kas rodas to manuālas šķaidīšanas procesā, tādējādi palielinot iespējas zāles saņemt lielākam skaitam pacientu.</w:t>
            </w:r>
          </w:p>
        </w:tc>
      </w:tr>
    </w:tbl>
    <w:p w14:paraId="045B4A07" w14:textId="77777777" w:rsidR="00356139" w:rsidRPr="00847710" w:rsidRDefault="00356139" w:rsidP="006008A7">
      <w:pPr>
        <w:spacing w:after="120"/>
        <w:ind w:firstLine="709"/>
        <w:jc w:val="both"/>
        <w:rPr>
          <w:rFonts w:ascii="Times New Roman" w:hAnsi="Times New Roman" w:cs="Times New Roman"/>
          <w:b/>
          <w:sz w:val="24"/>
          <w:szCs w:val="24"/>
        </w:rPr>
      </w:pPr>
    </w:p>
    <w:p w14:paraId="5236BFCA" w14:textId="70CF3D29" w:rsidR="00026045" w:rsidRPr="00C86312" w:rsidRDefault="00026045" w:rsidP="00C86312">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 xml:space="preserve">2.5. </w:t>
      </w:r>
      <w:r w:rsidR="00CB0EB0" w:rsidRPr="0012317D">
        <w:rPr>
          <w:rFonts w:ascii="Times New Roman" w:hAnsi="Times New Roman" w:cs="Times New Roman"/>
          <w:b/>
          <w:bCs/>
          <w:color w:val="auto"/>
          <w:sz w:val="24"/>
          <w:szCs w:val="24"/>
          <w:u w:val="single"/>
        </w:rPr>
        <w:t>Jaunā reformas iniciatīva - v</w:t>
      </w:r>
      <w:r w:rsidR="0054595C" w:rsidRPr="0012317D">
        <w:rPr>
          <w:rFonts w:ascii="Times New Roman" w:hAnsi="Times New Roman" w:cs="Times New Roman"/>
          <w:b/>
          <w:bCs/>
          <w:color w:val="auto"/>
          <w:sz w:val="24"/>
          <w:szCs w:val="24"/>
          <w:u w:val="single"/>
        </w:rPr>
        <w:t xml:space="preserve">alsts patoloģijas centra </w:t>
      </w:r>
      <w:r w:rsidR="007070E1" w:rsidRPr="00901A9F">
        <w:rPr>
          <w:rFonts w:ascii="Times New Roman" w:hAnsi="Times New Roman" w:cs="Times New Roman"/>
          <w:b/>
          <w:bCs/>
          <w:color w:val="auto"/>
          <w:sz w:val="24"/>
          <w:szCs w:val="24"/>
          <w:u w:val="single"/>
        </w:rPr>
        <w:t>izveide</w:t>
      </w:r>
    </w:p>
    <w:p w14:paraId="5C3A403C" w14:textId="6DFF39DC" w:rsidR="0054595C" w:rsidRPr="00847710" w:rsidRDefault="007070E1" w:rsidP="00134F4C">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Veicot Valsts patoloģijas centra </w:t>
      </w:r>
      <w:r w:rsidR="00D135BB" w:rsidRPr="00847710">
        <w:rPr>
          <w:rFonts w:ascii="Times New Roman" w:hAnsi="Times New Roman" w:cs="Times New Roman"/>
          <w:sz w:val="24"/>
          <w:szCs w:val="24"/>
        </w:rPr>
        <w:t xml:space="preserve">(turpmāk – VPC) </w:t>
      </w:r>
      <w:r w:rsidRPr="00847710">
        <w:rPr>
          <w:rFonts w:ascii="Times New Roman" w:hAnsi="Times New Roman" w:cs="Times New Roman"/>
          <w:sz w:val="24"/>
          <w:szCs w:val="24"/>
        </w:rPr>
        <w:t>izveidi</w:t>
      </w:r>
      <w:r w:rsidR="0054595C" w:rsidRPr="00847710">
        <w:rPr>
          <w:rFonts w:ascii="Times New Roman" w:hAnsi="Times New Roman" w:cs="Times New Roman"/>
          <w:sz w:val="24"/>
          <w:szCs w:val="24"/>
        </w:rPr>
        <w:t xml:space="preserve"> ir paredzēts īstenot strukturālās reformas veselības aprūpē, uzlabojot slimību diagnostiku un samazinot diagnosticēšanas laiku, kas būs pieejams visiem Latvijas iedzīvotājiem neatkarīgi no dzīves vietas, kur</w:t>
      </w:r>
      <w:r w:rsidR="00D744DD" w:rsidRPr="00847710">
        <w:rPr>
          <w:rFonts w:ascii="Times New Roman" w:hAnsi="Times New Roman" w:cs="Times New Roman"/>
          <w:sz w:val="24"/>
          <w:szCs w:val="24"/>
        </w:rPr>
        <w:t>u</w:t>
      </w:r>
      <w:r w:rsidR="0054595C" w:rsidRPr="00847710">
        <w:rPr>
          <w:rFonts w:ascii="Times New Roman" w:hAnsi="Times New Roman" w:cs="Times New Roman"/>
          <w:sz w:val="24"/>
          <w:szCs w:val="24"/>
        </w:rPr>
        <w:t xml:space="preserve"> rezultātā palielināsies kvalitatīv</w:t>
      </w:r>
      <w:r w:rsidR="00FF1CB2" w:rsidRPr="00847710">
        <w:rPr>
          <w:rFonts w:ascii="Times New Roman" w:hAnsi="Times New Roman" w:cs="Times New Roman"/>
          <w:sz w:val="24"/>
          <w:szCs w:val="24"/>
        </w:rPr>
        <w:t>i nodzīvoto</w:t>
      </w:r>
      <w:r w:rsidR="0054595C" w:rsidRPr="00847710">
        <w:rPr>
          <w:rFonts w:ascii="Times New Roman" w:hAnsi="Times New Roman" w:cs="Times New Roman"/>
          <w:sz w:val="24"/>
          <w:szCs w:val="24"/>
        </w:rPr>
        <w:t xml:space="preserve"> mūža gadu skaits un samazināsies potenciāli zaudēt</w:t>
      </w:r>
      <w:r w:rsidR="00FF1CB2" w:rsidRPr="00847710">
        <w:rPr>
          <w:rFonts w:ascii="Times New Roman" w:hAnsi="Times New Roman" w:cs="Times New Roman"/>
          <w:sz w:val="24"/>
          <w:szCs w:val="24"/>
        </w:rPr>
        <w:t>o</w:t>
      </w:r>
      <w:r w:rsidR="0054595C" w:rsidRPr="00847710">
        <w:rPr>
          <w:rFonts w:ascii="Times New Roman" w:hAnsi="Times New Roman" w:cs="Times New Roman"/>
          <w:sz w:val="24"/>
          <w:szCs w:val="24"/>
        </w:rPr>
        <w:t xml:space="preserve"> mūž</w:t>
      </w:r>
      <w:r w:rsidR="00D744DD" w:rsidRPr="00847710">
        <w:rPr>
          <w:rFonts w:ascii="Times New Roman" w:hAnsi="Times New Roman" w:cs="Times New Roman"/>
          <w:sz w:val="24"/>
          <w:szCs w:val="24"/>
        </w:rPr>
        <w:t>a</w:t>
      </w:r>
      <w:r w:rsidR="0054595C" w:rsidRPr="00847710">
        <w:rPr>
          <w:rFonts w:ascii="Times New Roman" w:hAnsi="Times New Roman" w:cs="Times New Roman"/>
          <w:sz w:val="24"/>
          <w:szCs w:val="24"/>
        </w:rPr>
        <w:t xml:space="preserve"> gadu skaits, ka arī ļaundabīgo audzēju skaits vēlīnajās stadijā</w:t>
      </w:r>
      <w:r w:rsidR="00D744DD" w:rsidRPr="00847710">
        <w:rPr>
          <w:rFonts w:ascii="Times New Roman" w:hAnsi="Times New Roman" w:cs="Times New Roman"/>
          <w:sz w:val="24"/>
          <w:szCs w:val="24"/>
        </w:rPr>
        <w:t>s</w:t>
      </w:r>
      <w:r w:rsidR="0054595C" w:rsidRPr="00847710">
        <w:rPr>
          <w:rFonts w:ascii="Times New Roman" w:hAnsi="Times New Roman" w:cs="Times New Roman"/>
          <w:sz w:val="24"/>
          <w:szCs w:val="24"/>
        </w:rPr>
        <w:t>. Turklāt, tiks attīstīt</w:t>
      </w:r>
      <w:r w:rsidR="00D744DD" w:rsidRPr="00847710">
        <w:rPr>
          <w:rFonts w:ascii="Times New Roman" w:hAnsi="Times New Roman" w:cs="Times New Roman"/>
          <w:sz w:val="24"/>
          <w:szCs w:val="24"/>
        </w:rPr>
        <w:t>i</w:t>
      </w:r>
      <w:r w:rsidR="0054595C" w:rsidRPr="00847710">
        <w:rPr>
          <w:rFonts w:ascii="Times New Roman" w:hAnsi="Times New Roman" w:cs="Times New Roman"/>
          <w:sz w:val="24"/>
          <w:szCs w:val="24"/>
        </w:rPr>
        <w:t xml:space="preserve"> inovatīvie pakalpojumi eksportam ar augstu pievienotu vērtību. Tajā pašā laikā</w:t>
      </w:r>
      <w:r w:rsidR="002C3C4A" w:rsidRPr="00847710">
        <w:rPr>
          <w:rFonts w:ascii="Times New Roman" w:hAnsi="Times New Roman" w:cs="Times New Roman"/>
          <w:sz w:val="24"/>
          <w:szCs w:val="24"/>
        </w:rPr>
        <w:t>,</w:t>
      </w:r>
      <w:r w:rsidR="0054595C" w:rsidRPr="00847710">
        <w:rPr>
          <w:rFonts w:ascii="Times New Roman" w:hAnsi="Times New Roman" w:cs="Times New Roman"/>
          <w:sz w:val="24"/>
          <w:szCs w:val="24"/>
        </w:rPr>
        <w:t xml:space="preserve"> tiks īstenota inovatīvā pētniecība un modernie studiju kursi augstākajā izglītībā. </w:t>
      </w:r>
    </w:p>
    <w:p w14:paraId="41BF2499" w14:textId="0EB0A47B" w:rsidR="0054595C" w:rsidRPr="00847710" w:rsidRDefault="00D135BB" w:rsidP="00134F4C">
      <w:pPr>
        <w:ind w:firstLine="709"/>
        <w:jc w:val="both"/>
        <w:rPr>
          <w:rFonts w:ascii="Times New Roman" w:hAnsi="Times New Roman" w:cs="Times New Roman"/>
          <w:sz w:val="24"/>
          <w:szCs w:val="24"/>
        </w:rPr>
      </w:pPr>
      <w:r w:rsidRPr="00847710">
        <w:rPr>
          <w:rFonts w:ascii="Times New Roman" w:hAnsi="Times New Roman" w:cs="Times New Roman"/>
          <w:sz w:val="24"/>
          <w:szCs w:val="24"/>
        </w:rPr>
        <w:t>VPC</w:t>
      </w:r>
      <w:r w:rsidR="0054595C" w:rsidRPr="00847710">
        <w:rPr>
          <w:rFonts w:ascii="Times New Roman" w:hAnsi="Times New Roman" w:cs="Times New Roman"/>
          <w:sz w:val="24"/>
          <w:szCs w:val="24"/>
        </w:rPr>
        <w:t xml:space="preserve"> izveide atbilst Nacionālā attīstības plāna 2014.-2020. gadam šādiem rīcības virzieniem</w:t>
      </w:r>
      <w:r w:rsidR="00FF1CB2" w:rsidRPr="00847710">
        <w:rPr>
          <w:rFonts w:ascii="Times New Roman" w:hAnsi="Times New Roman" w:cs="Times New Roman"/>
          <w:sz w:val="24"/>
          <w:szCs w:val="24"/>
        </w:rPr>
        <w:t xml:space="preserve"> </w:t>
      </w:r>
      <w:r w:rsidR="0054595C" w:rsidRPr="00847710">
        <w:rPr>
          <w:rFonts w:ascii="Times New Roman" w:hAnsi="Times New Roman" w:cs="Times New Roman"/>
          <w:sz w:val="24"/>
          <w:szCs w:val="24"/>
        </w:rPr>
        <w:t>-</w:t>
      </w:r>
      <w:r w:rsidR="00FF1CB2" w:rsidRPr="00847710">
        <w:rPr>
          <w:rFonts w:ascii="Times New Roman" w:hAnsi="Times New Roman" w:cs="Times New Roman"/>
          <w:sz w:val="24"/>
          <w:szCs w:val="24"/>
        </w:rPr>
        <w:t xml:space="preserve"> </w:t>
      </w:r>
      <w:r w:rsidR="0054595C" w:rsidRPr="00847710">
        <w:rPr>
          <w:rFonts w:ascii="Times New Roman" w:hAnsi="Times New Roman" w:cs="Times New Roman"/>
          <w:sz w:val="24"/>
          <w:szCs w:val="24"/>
        </w:rPr>
        <w:t xml:space="preserve">“Augstražīga un eksportspējīga ražošana un starptautiski konkurētspējīgi pakalpojumi"; “Attīstīta pētniecība, inovācija un augstākā izglītība" un “Vesels un darbspējīgs cilvēks".  </w:t>
      </w:r>
    </w:p>
    <w:p w14:paraId="1A34989C" w14:textId="2A5841A0" w:rsidR="0054595C" w:rsidRPr="00847710" w:rsidRDefault="0054595C" w:rsidP="00134F4C">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Līdzīgi, </w:t>
      </w:r>
      <w:r w:rsidR="00D135BB" w:rsidRPr="00847710">
        <w:rPr>
          <w:rFonts w:ascii="Times New Roman" w:hAnsi="Times New Roman" w:cs="Times New Roman"/>
          <w:sz w:val="24"/>
          <w:szCs w:val="24"/>
        </w:rPr>
        <w:t>VPC</w:t>
      </w:r>
      <w:r w:rsidRPr="00847710">
        <w:rPr>
          <w:rFonts w:ascii="Times New Roman" w:hAnsi="Times New Roman" w:cs="Times New Roman"/>
          <w:sz w:val="24"/>
          <w:szCs w:val="24"/>
        </w:rPr>
        <w:t xml:space="preserve"> izveide atbilst "Latvijas ilgtspējīgas attīstības stratēģijai līdz 2030. gadam" (Latvija 2030) un "Nacionālo reformu programmu stratēģijas "ES2020".</w:t>
      </w:r>
    </w:p>
    <w:p w14:paraId="0452DE47" w14:textId="62690CB3" w:rsidR="008A57C4" w:rsidRPr="00847710" w:rsidRDefault="00067E81" w:rsidP="00AD0F46">
      <w:pPr>
        <w:ind w:firstLine="709"/>
        <w:jc w:val="both"/>
        <w:rPr>
          <w:rFonts w:ascii="Times New Roman" w:hAnsi="Times New Roman" w:cs="Times New Roman"/>
          <w:sz w:val="24"/>
          <w:szCs w:val="24"/>
        </w:rPr>
      </w:pPr>
      <w:r w:rsidRPr="00847710">
        <w:rPr>
          <w:rFonts w:ascii="Times New Roman" w:hAnsi="Times New Roman" w:cs="Times New Roman"/>
          <w:sz w:val="24"/>
          <w:szCs w:val="24"/>
        </w:rPr>
        <w:t>Būtiskākās problēmas onkoloģijas jomā un saslimšanas ārstēšanas efektivitātē rada vēlīni diagnosticēti audzēji. 33,</w:t>
      </w:r>
      <w:r w:rsidR="00AA624B" w:rsidRPr="00847710">
        <w:rPr>
          <w:rFonts w:ascii="Times New Roman" w:hAnsi="Times New Roman" w:cs="Times New Roman"/>
          <w:sz w:val="24"/>
          <w:szCs w:val="24"/>
        </w:rPr>
        <w:t>9</w:t>
      </w:r>
      <w:r w:rsidRPr="00847710">
        <w:rPr>
          <w:rFonts w:ascii="Times New Roman" w:hAnsi="Times New Roman" w:cs="Times New Roman"/>
          <w:sz w:val="24"/>
          <w:szCs w:val="24"/>
        </w:rPr>
        <w:t>%</w:t>
      </w:r>
      <w:r w:rsidR="00FF1CB2" w:rsidRPr="00847710">
        <w:rPr>
          <w:rFonts w:ascii="Times New Roman" w:hAnsi="Times New Roman" w:cs="Times New Roman"/>
          <w:sz w:val="24"/>
          <w:szCs w:val="24"/>
        </w:rPr>
        <w:t xml:space="preserve"> no jaunatklātajām onkoloģiskajām saslimšanām </w:t>
      </w:r>
      <w:r w:rsidRPr="00847710">
        <w:rPr>
          <w:rFonts w:ascii="Times New Roman" w:hAnsi="Times New Roman" w:cs="Times New Roman"/>
          <w:sz w:val="24"/>
          <w:szCs w:val="24"/>
        </w:rPr>
        <w:t xml:space="preserve">tiek diagnosticētas III un IV stadijā, savukārt vēl </w:t>
      </w:r>
      <w:r w:rsidR="001035AF" w:rsidRPr="00847710">
        <w:rPr>
          <w:rFonts w:ascii="Times New Roman" w:hAnsi="Times New Roman" w:cs="Times New Roman"/>
          <w:sz w:val="24"/>
          <w:szCs w:val="24"/>
        </w:rPr>
        <w:t>20,8</w:t>
      </w:r>
      <w:r w:rsidRPr="00847710">
        <w:rPr>
          <w:rFonts w:ascii="Times New Roman" w:hAnsi="Times New Roman" w:cs="Times New Roman"/>
          <w:sz w:val="24"/>
          <w:szCs w:val="24"/>
        </w:rPr>
        <w:t>% tiek diagnosticētas bez stadijas precizējuma</w:t>
      </w:r>
      <w:r w:rsidRPr="00847710">
        <w:rPr>
          <w:rStyle w:val="FootnoteReference"/>
          <w:rFonts w:ascii="Times New Roman" w:hAnsi="Times New Roman" w:cs="Times New Roman"/>
          <w:sz w:val="24"/>
          <w:szCs w:val="24"/>
        </w:rPr>
        <w:footnoteReference w:id="36"/>
      </w:r>
      <w:r w:rsidRPr="00847710">
        <w:rPr>
          <w:rFonts w:ascii="Times New Roman" w:hAnsi="Times New Roman" w:cs="Times New Roman"/>
          <w:sz w:val="24"/>
          <w:szCs w:val="24"/>
        </w:rPr>
        <w:t xml:space="preserve">. Pacientiem ar III un IV stadiju ir zemāka dzīvildze salīdzinājumā ar pacientiem, kuriem ļaundabīgs audzējs atklāts </w:t>
      </w:r>
      <w:r w:rsidR="00A36A05" w:rsidRPr="00847710">
        <w:rPr>
          <w:rFonts w:ascii="Times New Roman" w:hAnsi="Times New Roman" w:cs="Times New Roman"/>
          <w:sz w:val="24"/>
          <w:szCs w:val="24"/>
        </w:rPr>
        <w:t>agrīnākā</w:t>
      </w:r>
      <w:r w:rsidRPr="00847710">
        <w:rPr>
          <w:rFonts w:ascii="Times New Roman" w:hAnsi="Times New Roman" w:cs="Times New Roman"/>
          <w:sz w:val="24"/>
          <w:szCs w:val="24"/>
        </w:rPr>
        <w:t xml:space="preserve"> stadijā</w:t>
      </w:r>
      <w:r w:rsidR="00A36A05" w:rsidRPr="00847710">
        <w:rPr>
          <w:rFonts w:ascii="Times New Roman" w:hAnsi="Times New Roman" w:cs="Times New Roman"/>
          <w:sz w:val="24"/>
          <w:szCs w:val="24"/>
        </w:rPr>
        <w:t>.</w:t>
      </w:r>
      <w:r w:rsidRPr="00847710">
        <w:rPr>
          <w:rFonts w:ascii="Times New Roman" w:hAnsi="Times New Roman" w:cs="Times New Roman"/>
          <w:sz w:val="24"/>
          <w:szCs w:val="24"/>
        </w:rPr>
        <w:t xml:space="preserve"> </w:t>
      </w:r>
      <w:r w:rsidR="00A36A05" w:rsidRPr="00847710">
        <w:rPr>
          <w:rFonts w:ascii="Times New Roman" w:hAnsi="Times New Roman" w:cs="Times New Roman"/>
          <w:sz w:val="24"/>
          <w:szCs w:val="24"/>
        </w:rPr>
        <w:t>I un II stadijā atklātiem audzējiem 5 gadu dzīvildze tiek sasniegta attiecīgi vidēji 80% un 65% gadījumu, savukārt III stadijā vairs tikai 38% gadījumu un IV stadijā 7% gadījumu. Diagnostikas p</w:t>
      </w:r>
      <w:r w:rsidRPr="00847710">
        <w:rPr>
          <w:rFonts w:ascii="Times New Roman" w:hAnsi="Times New Roman" w:cs="Times New Roman"/>
          <w:sz w:val="24"/>
          <w:szCs w:val="24"/>
        </w:rPr>
        <w:t>roblēmas novēršanai plānots izveidot VPC, attīstot un sniedzot jaunus pakalpojumus.</w:t>
      </w:r>
    </w:p>
    <w:p w14:paraId="608401F0" w14:textId="0AEA6EE6" w:rsidR="0054595C" w:rsidRPr="00847710" w:rsidRDefault="00D135BB" w:rsidP="00134F4C">
      <w:pPr>
        <w:ind w:firstLine="709"/>
        <w:jc w:val="both"/>
        <w:rPr>
          <w:rFonts w:ascii="Times New Roman" w:hAnsi="Times New Roman" w:cs="Times New Roman"/>
          <w:sz w:val="24"/>
          <w:szCs w:val="24"/>
        </w:rPr>
      </w:pPr>
      <w:r w:rsidRPr="00847710">
        <w:rPr>
          <w:rFonts w:ascii="Times New Roman" w:hAnsi="Times New Roman" w:cs="Times New Roman"/>
          <w:sz w:val="24"/>
          <w:szCs w:val="24"/>
        </w:rPr>
        <w:t>VPC</w:t>
      </w:r>
      <w:r w:rsidR="0054595C" w:rsidRPr="00847710">
        <w:rPr>
          <w:rFonts w:ascii="Times New Roman" w:hAnsi="Times New Roman" w:cs="Times New Roman"/>
          <w:sz w:val="24"/>
          <w:szCs w:val="24"/>
        </w:rPr>
        <w:t xml:space="preserve"> paredzēts strādāt </w:t>
      </w:r>
      <w:r w:rsidR="00134F4C" w:rsidRPr="00847710">
        <w:rPr>
          <w:rFonts w:ascii="Times New Roman" w:hAnsi="Times New Roman" w:cs="Times New Roman"/>
          <w:sz w:val="24"/>
          <w:szCs w:val="24"/>
        </w:rPr>
        <w:t xml:space="preserve">vairākos </w:t>
      </w:r>
      <w:r w:rsidR="0054595C" w:rsidRPr="00847710">
        <w:rPr>
          <w:rFonts w:ascii="Times New Roman" w:hAnsi="Times New Roman" w:cs="Times New Roman"/>
          <w:sz w:val="24"/>
          <w:szCs w:val="24"/>
        </w:rPr>
        <w:t>virzienos:</w:t>
      </w:r>
    </w:p>
    <w:p w14:paraId="386ABA9C" w14:textId="5826ACD9" w:rsidR="0054595C" w:rsidRPr="00847710" w:rsidRDefault="0054595C" w:rsidP="00A26CA3">
      <w:pPr>
        <w:ind w:firstLine="709"/>
        <w:jc w:val="both"/>
        <w:rPr>
          <w:rFonts w:ascii="Times New Roman" w:hAnsi="Times New Roman" w:cs="Times New Roman"/>
          <w:sz w:val="24"/>
          <w:szCs w:val="24"/>
        </w:rPr>
      </w:pPr>
      <w:r w:rsidRPr="00847710">
        <w:rPr>
          <w:rFonts w:ascii="Times New Roman" w:hAnsi="Times New Roman" w:cs="Times New Roman"/>
          <w:sz w:val="24"/>
          <w:szCs w:val="24"/>
        </w:rPr>
        <w:t>Tiks ieviestas jaunā</w:t>
      </w:r>
      <w:r w:rsidR="002C3C4A" w:rsidRPr="00847710">
        <w:rPr>
          <w:rFonts w:ascii="Times New Roman" w:hAnsi="Times New Roman" w:cs="Times New Roman"/>
          <w:sz w:val="24"/>
          <w:szCs w:val="24"/>
        </w:rPr>
        <w:t>kā</w:t>
      </w:r>
      <w:r w:rsidRPr="00847710">
        <w:rPr>
          <w:rFonts w:ascii="Times New Roman" w:hAnsi="Times New Roman" w:cs="Times New Roman"/>
          <w:sz w:val="24"/>
          <w:szCs w:val="24"/>
        </w:rPr>
        <w:t xml:space="preserve">s izmeklēšanas metodes, kas ļaus precīzi noteikt slimības diagnozi un izvēlēties atbilstošu ārstēšanu. </w:t>
      </w:r>
      <w:r w:rsidR="00134F4C" w:rsidRPr="00847710">
        <w:rPr>
          <w:rFonts w:ascii="Times New Roman" w:hAnsi="Times New Roman" w:cs="Times New Roman"/>
          <w:sz w:val="24"/>
          <w:szCs w:val="24"/>
        </w:rPr>
        <w:t>Papildus ir paredzēts ieviest jaunās metodes slimību diagnostikai un personalizētās ārstēšanas noteikšanai</w:t>
      </w:r>
      <w:r w:rsidR="002C3C4A" w:rsidRPr="00847710">
        <w:rPr>
          <w:rFonts w:ascii="Times New Roman" w:hAnsi="Times New Roman" w:cs="Times New Roman"/>
          <w:sz w:val="24"/>
          <w:szCs w:val="24"/>
        </w:rPr>
        <w:t xml:space="preserve"> (</w:t>
      </w:r>
      <w:r w:rsidR="00134F4C" w:rsidRPr="00847710">
        <w:rPr>
          <w:rFonts w:ascii="Times New Roman" w:hAnsi="Times New Roman" w:cs="Times New Roman"/>
          <w:sz w:val="24"/>
          <w:szCs w:val="24"/>
        </w:rPr>
        <w:t>hibridizācijas metodes, polimerāzes ķēdes reakcija, jaunās paaudzes sekvencēšanu un digitālu patoloģiju</w:t>
      </w:r>
      <w:r w:rsidR="002C3C4A" w:rsidRPr="00847710">
        <w:rPr>
          <w:rFonts w:ascii="Times New Roman" w:hAnsi="Times New Roman" w:cs="Times New Roman"/>
          <w:sz w:val="24"/>
          <w:szCs w:val="24"/>
        </w:rPr>
        <w:t>)</w:t>
      </w:r>
      <w:r w:rsidR="00134F4C" w:rsidRPr="00847710">
        <w:rPr>
          <w:rFonts w:ascii="Times New Roman" w:hAnsi="Times New Roman" w:cs="Times New Roman"/>
          <w:sz w:val="24"/>
          <w:szCs w:val="24"/>
        </w:rPr>
        <w:t xml:space="preserve">. Šīs metodes tiks ieviestas praksē pēc VPC infrastruktūras modernizācijas. </w:t>
      </w:r>
      <w:r w:rsidRPr="00847710">
        <w:rPr>
          <w:rFonts w:ascii="Times New Roman" w:hAnsi="Times New Roman" w:cs="Times New Roman"/>
          <w:sz w:val="24"/>
          <w:szCs w:val="24"/>
        </w:rPr>
        <w:t>Turklāt, tiks modernizētas esošas metodes, kuru rezultātā pakalpojuma sniegšanas laiks samazināsies vismaz div</w:t>
      </w:r>
      <w:r w:rsidR="002C3C4A" w:rsidRPr="00847710">
        <w:rPr>
          <w:rFonts w:ascii="Times New Roman" w:hAnsi="Times New Roman" w:cs="Times New Roman"/>
          <w:sz w:val="24"/>
          <w:szCs w:val="24"/>
        </w:rPr>
        <w:t>a</w:t>
      </w:r>
      <w:r w:rsidRPr="00847710">
        <w:rPr>
          <w:rFonts w:ascii="Times New Roman" w:hAnsi="Times New Roman" w:cs="Times New Roman"/>
          <w:sz w:val="24"/>
          <w:szCs w:val="24"/>
        </w:rPr>
        <w:t>s reiz</w:t>
      </w:r>
      <w:r w:rsidR="002C3C4A" w:rsidRPr="00847710">
        <w:rPr>
          <w:rFonts w:ascii="Times New Roman" w:hAnsi="Times New Roman" w:cs="Times New Roman"/>
          <w:sz w:val="24"/>
          <w:szCs w:val="24"/>
        </w:rPr>
        <w:t>e</w:t>
      </w:r>
      <w:r w:rsidRPr="00847710">
        <w:rPr>
          <w:rFonts w:ascii="Times New Roman" w:hAnsi="Times New Roman" w:cs="Times New Roman"/>
          <w:sz w:val="24"/>
          <w:szCs w:val="24"/>
        </w:rPr>
        <w:t>s, tā rezultātā pacientiem diagnoze tiks noteikta ātrāk</w:t>
      </w:r>
      <w:r w:rsidR="002C3C4A" w:rsidRPr="00847710">
        <w:rPr>
          <w:rFonts w:ascii="Times New Roman" w:hAnsi="Times New Roman" w:cs="Times New Roman"/>
          <w:sz w:val="24"/>
          <w:szCs w:val="24"/>
        </w:rPr>
        <w:t xml:space="preserve"> -</w:t>
      </w:r>
      <w:r w:rsidRPr="00847710">
        <w:rPr>
          <w:rFonts w:ascii="Times New Roman" w:hAnsi="Times New Roman" w:cs="Times New Roman"/>
          <w:sz w:val="24"/>
          <w:szCs w:val="24"/>
        </w:rPr>
        <w:t xml:space="preserve"> „zaļais koridors” audu diagnostikā</w:t>
      </w:r>
      <w:r w:rsidR="00F62AD3" w:rsidRPr="00847710">
        <w:rPr>
          <w:rFonts w:ascii="Times New Roman" w:hAnsi="Times New Roman" w:cs="Times New Roman"/>
          <w:sz w:val="24"/>
          <w:szCs w:val="24"/>
        </w:rPr>
        <w:t xml:space="preserve"> </w:t>
      </w:r>
      <w:r w:rsidR="000D2BDF" w:rsidRPr="00847710">
        <w:rPr>
          <w:rFonts w:ascii="Times New Roman" w:hAnsi="Times New Roman" w:cs="Times New Roman"/>
          <w:sz w:val="24"/>
          <w:szCs w:val="24"/>
        </w:rPr>
        <w:t xml:space="preserve">(diagnoze tiks </w:t>
      </w:r>
      <w:r w:rsidR="000D2BDF" w:rsidRPr="00847710">
        <w:rPr>
          <w:rFonts w:ascii="Times New Roman" w:hAnsi="Times New Roman" w:cs="Times New Roman"/>
          <w:sz w:val="24"/>
          <w:szCs w:val="24"/>
        </w:rPr>
        <w:lastRenderedPageBreak/>
        <w:t xml:space="preserve">noteikta </w:t>
      </w:r>
      <w:r w:rsidR="00F62AD3" w:rsidRPr="00847710">
        <w:rPr>
          <w:rFonts w:ascii="Times New Roman" w:hAnsi="Times New Roman" w:cs="Times New Roman"/>
          <w:sz w:val="24"/>
          <w:szCs w:val="24"/>
        </w:rPr>
        <w:t>vienas līdz trīs</w:t>
      </w:r>
      <w:r w:rsidR="000D2BDF" w:rsidRPr="00847710">
        <w:rPr>
          <w:rFonts w:ascii="Times New Roman" w:hAnsi="Times New Roman" w:cs="Times New Roman"/>
          <w:sz w:val="24"/>
          <w:szCs w:val="24"/>
        </w:rPr>
        <w:t xml:space="preserve"> darba dienu laikā kas šobrīd aizņem </w:t>
      </w:r>
      <w:r w:rsidR="00F62AD3" w:rsidRPr="00847710">
        <w:rPr>
          <w:rFonts w:ascii="Times New Roman" w:hAnsi="Times New Roman" w:cs="Times New Roman"/>
          <w:sz w:val="24"/>
          <w:szCs w:val="24"/>
        </w:rPr>
        <w:t>trīs līdz deviņas</w:t>
      </w:r>
      <w:r w:rsidR="000D2BDF" w:rsidRPr="00847710">
        <w:rPr>
          <w:rFonts w:ascii="Times New Roman" w:hAnsi="Times New Roman" w:cs="Times New Roman"/>
          <w:sz w:val="24"/>
          <w:szCs w:val="24"/>
        </w:rPr>
        <w:t xml:space="preserve"> darba dienas). Vienlaikus arī būs iespējams precīzāk noteikt efektīvāko medikamentu katra konkrēta pacienta audzēja tipam (personalizēta terapija). Pētījumi rāda, ka plaušu audzēja, melanomas un kolorektālā audzēja personalizēta terapija var pagarināt pacienta dzīvildzi pat līdz 50%) </w:t>
      </w:r>
      <w:r w:rsidR="000D2BDF" w:rsidRPr="00847710">
        <w:rPr>
          <w:rStyle w:val="FootnoteReference"/>
          <w:rFonts w:ascii="Times New Roman" w:hAnsi="Times New Roman" w:cs="Times New Roman"/>
          <w:sz w:val="24"/>
          <w:szCs w:val="24"/>
        </w:rPr>
        <w:footnoteReference w:id="37"/>
      </w:r>
      <w:r w:rsidR="000D2BDF" w:rsidRPr="00847710">
        <w:rPr>
          <w:rFonts w:ascii="Times New Roman" w:hAnsi="Times New Roman" w:cs="Times New Roman"/>
          <w:sz w:val="24"/>
          <w:szCs w:val="24"/>
          <w:vertAlign w:val="superscript"/>
        </w:rPr>
        <w:t>,</w:t>
      </w:r>
      <w:r w:rsidR="000D2BDF" w:rsidRPr="00847710">
        <w:rPr>
          <w:rStyle w:val="FootnoteReference"/>
          <w:rFonts w:ascii="Times New Roman" w:hAnsi="Times New Roman" w:cs="Times New Roman"/>
          <w:sz w:val="24"/>
          <w:szCs w:val="24"/>
        </w:rPr>
        <w:footnoteReference w:id="38"/>
      </w:r>
      <w:r w:rsidR="000D2BDF" w:rsidRPr="00847710">
        <w:rPr>
          <w:rFonts w:ascii="Times New Roman" w:hAnsi="Times New Roman" w:cs="Times New Roman"/>
          <w:sz w:val="24"/>
          <w:szCs w:val="24"/>
        </w:rPr>
        <w:t>.</w:t>
      </w:r>
      <w:r w:rsidR="00A26CA3" w:rsidRPr="00847710">
        <w:rPr>
          <w:rFonts w:ascii="Times New Roman" w:hAnsi="Times New Roman" w:cs="Times New Roman"/>
          <w:sz w:val="24"/>
          <w:szCs w:val="24"/>
        </w:rPr>
        <w:t xml:space="preserve"> Tiek prognozēts, ka arī onkoloģijas pacientu ārstēšanas ilgums valstī samazinās vidēji par 0,5 dien</w:t>
      </w:r>
      <w:r w:rsidR="0007280C" w:rsidRPr="00847710">
        <w:rPr>
          <w:rFonts w:ascii="Times New Roman" w:hAnsi="Times New Roman" w:cs="Times New Roman"/>
          <w:sz w:val="24"/>
          <w:szCs w:val="24"/>
        </w:rPr>
        <w:t>ām</w:t>
      </w:r>
      <w:r w:rsidR="00A26CA3" w:rsidRPr="00847710">
        <w:rPr>
          <w:rStyle w:val="FootnoteReference"/>
          <w:rFonts w:ascii="Times New Roman" w:hAnsi="Times New Roman" w:cs="Times New Roman"/>
          <w:sz w:val="24"/>
          <w:szCs w:val="24"/>
        </w:rPr>
        <w:footnoteReference w:id="39"/>
      </w:r>
      <w:r w:rsidR="00A26CA3" w:rsidRPr="00847710">
        <w:rPr>
          <w:rFonts w:ascii="Times New Roman" w:hAnsi="Times New Roman" w:cs="Times New Roman"/>
          <w:sz w:val="24"/>
          <w:szCs w:val="24"/>
        </w:rPr>
        <w:t xml:space="preserve">. </w:t>
      </w:r>
    </w:p>
    <w:p w14:paraId="1E83F21C" w14:textId="6DEC29A6" w:rsidR="0054595C" w:rsidRPr="00847710" w:rsidRDefault="0054595C" w:rsidP="00134F4C">
      <w:pPr>
        <w:ind w:firstLine="709"/>
        <w:jc w:val="both"/>
        <w:rPr>
          <w:rFonts w:ascii="Times New Roman" w:hAnsi="Times New Roman" w:cs="Times New Roman"/>
          <w:sz w:val="24"/>
          <w:szCs w:val="24"/>
        </w:rPr>
      </w:pPr>
      <w:r w:rsidRPr="00847710">
        <w:rPr>
          <w:rFonts w:ascii="Times New Roman" w:hAnsi="Times New Roman" w:cs="Times New Roman"/>
          <w:sz w:val="24"/>
          <w:szCs w:val="24"/>
        </w:rPr>
        <w:t>Veicot strukturālas reformas patoloģijas nozarē, tiks attīstītas</w:t>
      </w:r>
      <w:r w:rsidR="000D2BDF" w:rsidRPr="00847710">
        <w:rPr>
          <w:rFonts w:ascii="Times New Roman" w:hAnsi="Times New Roman" w:cs="Times New Roman"/>
          <w:sz w:val="24"/>
          <w:szCs w:val="24"/>
        </w:rPr>
        <w:t xml:space="preserve"> arī</w:t>
      </w:r>
      <w:r w:rsidRPr="00847710">
        <w:rPr>
          <w:rFonts w:ascii="Times New Roman" w:hAnsi="Times New Roman" w:cs="Times New Roman"/>
          <w:sz w:val="24"/>
          <w:szCs w:val="24"/>
        </w:rPr>
        <w:t xml:space="preserve"> jaunas eksporta pakalpojumu iespējas ar augstu pievienotu vērtību (</w:t>
      </w:r>
      <w:r w:rsidR="001209F2" w:rsidRPr="00847710">
        <w:rPr>
          <w:rFonts w:ascii="Times New Roman" w:hAnsi="Times New Roman" w:cs="Times New Roman"/>
          <w:sz w:val="24"/>
          <w:szCs w:val="24"/>
        </w:rPr>
        <w:t>pamatā orientējoties</w:t>
      </w:r>
      <w:r w:rsidRPr="00847710">
        <w:rPr>
          <w:rFonts w:ascii="Times New Roman" w:hAnsi="Times New Roman" w:cs="Times New Roman"/>
          <w:sz w:val="24"/>
          <w:szCs w:val="24"/>
        </w:rPr>
        <w:t xml:space="preserve"> uz Skandināvijas valstīm)</w:t>
      </w:r>
      <w:r w:rsidR="000D2BDF" w:rsidRPr="00847710">
        <w:rPr>
          <w:rFonts w:ascii="Times New Roman" w:hAnsi="Times New Roman" w:cs="Times New Roman"/>
          <w:sz w:val="24"/>
          <w:szCs w:val="24"/>
        </w:rPr>
        <w:t>, jo</w:t>
      </w:r>
      <w:r w:rsidR="00805042" w:rsidRPr="00847710">
        <w:rPr>
          <w:rFonts w:ascii="Times New Roman" w:hAnsi="Times New Roman" w:cs="Times New Roman"/>
          <w:sz w:val="24"/>
          <w:szCs w:val="24"/>
        </w:rPr>
        <w:t xml:space="preserve"> </w:t>
      </w:r>
      <w:r w:rsidRPr="00847710">
        <w:rPr>
          <w:rFonts w:ascii="Times New Roman" w:hAnsi="Times New Roman" w:cs="Times New Roman"/>
          <w:sz w:val="24"/>
          <w:szCs w:val="24"/>
        </w:rPr>
        <w:t>pašlaik izteiktāka ir pretēja tendence</w:t>
      </w:r>
      <w:r w:rsidR="00A238BA" w:rsidRPr="00847710">
        <w:rPr>
          <w:rFonts w:ascii="Times New Roman" w:hAnsi="Times New Roman" w:cs="Times New Roman"/>
          <w:sz w:val="24"/>
          <w:szCs w:val="24"/>
        </w:rPr>
        <w:t>,</w:t>
      </w:r>
      <w:r w:rsidR="000D2BDF" w:rsidRPr="00847710">
        <w:rPr>
          <w:rFonts w:ascii="Times New Roman" w:hAnsi="Times New Roman" w:cs="Times New Roman"/>
          <w:sz w:val="24"/>
          <w:szCs w:val="24"/>
        </w:rPr>
        <w:t xml:space="preserve"> kad</w:t>
      </w:r>
      <w:r w:rsidRPr="00847710">
        <w:rPr>
          <w:rFonts w:ascii="Times New Roman" w:hAnsi="Times New Roman" w:cs="Times New Roman"/>
          <w:sz w:val="24"/>
          <w:szCs w:val="24"/>
        </w:rPr>
        <w:t xml:space="preserve"> aizvien vairāk audu materiālu tiek sūtīti izmeklēšanai ārpus valsts.</w:t>
      </w:r>
    </w:p>
    <w:p w14:paraId="5D00469F" w14:textId="15F3B959" w:rsidR="0054595C" w:rsidRPr="00847710" w:rsidRDefault="00887E0A" w:rsidP="00134F4C">
      <w:pPr>
        <w:ind w:firstLine="709"/>
        <w:jc w:val="both"/>
        <w:rPr>
          <w:rFonts w:ascii="Times New Roman" w:hAnsi="Times New Roman" w:cs="Times New Roman"/>
          <w:sz w:val="24"/>
          <w:szCs w:val="24"/>
        </w:rPr>
      </w:pPr>
      <w:r w:rsidRPr="00847710">
        <w:rPr>
          <w:rFonts w:ascii="Times New Roman" w:hAnsi="Times New Roman" w:cs="Times New Roman"/>
          <w:sz w:val="24"/>
          <w:szCs w:val="24"/>
        </w:rPr>
        <w:t>VPC</w:t>
      </w:r>
      <w:r w:rsidR="0054595C" w:rsidRPr="00847710">
        <w:rPr>
          <w:rFonts w:ascii="Times New Roman" w:hAnsi="Times New Roman" w:cs="Times New Roman"/>
          <w:sz w:val="24"/>
          <w:szCs w:val="24"/>
        </w:rPr>
        <w:t xml:space="preserve"> piedalīsies vietējo un starptautisko zinātnisko projektu pieteikšanā un realizācijā. </w:t>
      </w:r>
      <w:r w:rsidR="00A238BA" w:rsidRPr="00847710">
        <w:rPr>
          <w:rFonts w:ascii="Times New Roman" w:hAnsi="Times New Roman" w:cs="Times New Roman"/>
          <w:sz w:val="24"/>
          <w:szCs w:val="24"/>
        </w:rPr>
        <w:t xml:space="preserve">VPC </w:t>
      </w:r>
      <w:r w:rsidR="0054595C" w:rsidRPr="00847710">
        <w:rPr>
          <w:rFonts w:ascii="Times New Roman" w:hAnsi="Times New Roman" w:cs="Times New Roman"/>
          <w:sz w:val="24"/>
          <w:szCs w:val="24"/>
        </w:rPr>
        <w:t>sadarbības partneri</w:t>
      </w:r>
      <w:r w:rsidR="00A238BA" w:rsidRPr="00847710">
        <w:rPr>
          <w:rFonts w:ascii="Times New Roman" w:hAnsi="Times New Roman" w:cs="Times New Roman"/>
          <w:sz w:val="24"/>
          <w:szCs w:val="24"/>
        </w:rPr>
        <w:t xml:space="preserve"> būs</w:t>
      </w:r>
      <w:r w:rsidR="0054595C" w:rsidRPr="00847710">
        <w:rPr>
          <w:rFonts w:ascii="Times New Roman" w:hAnsi="Times New Roman" w:cs="Times New Roman"/>
          <w:sz w:val="24"/>
          <w:szCs w:val="24"/>
        </w:rPr>
        <w:t xml:space="preserve"> gan augstskolas, gan zinātniskie institūti. Ir paredzēts attīstīt arī </w:t>
      </w:r>
      <w:r w:rsidR="0054595C" w:rsidRPr="57326167">
        <w:rPr>
          <w:rFonts w:ascii="Times New Roman" w:hAnsi="Times New Roman" w:cs="Times New Roman"/>
          <w:i/>
          <w:iCs/>
          <w:sz w:val="24"/>
          <w:szCs w:val="24"/>
        </w:rPr>
        <w:t>know-how</w:t>
      </w:r>
      <w:r w:rsidR="0054595C" w:rsidRPr="00847710">
        <w:rPr>
          <w:rFonts w:ascii="Times New Roman" w:hAnsi="Times New Roman" w:cs="Times New Roman"/>
          <w:sz w:val="24"/>
          <w:szCs w:val="24"/>
        </w:rPr>
        <w:t xml:space="preserve"> tehnoloģijas un patentēt t</w:t>
      </w:r>
      <w:r w:rsidR="00A238BA" w:rsidRPr="00847710">
        <w:rPr>
          <w:rFonts w:ascii="Times New Roman" w:hAnsi="Times New Roman" w:cs="Times New Roman"/>
          <w:sz w:val="24"/>
          <w:szCs w:val="24"/>
        </w:rPr>
        <w:t>ā</w:t>
      </w:r>
      <w:r w:rsidR="0054595C" w:rsidRPr="00847710">
        <w:rPr>
          <w:rFonts w:ascii="Times New Roman" w:hAnsi="Times New Roman" w:cs="Times New Roman"/>
          <w:sz w:val="24"/>
          <w:szCs w:val="24"/>
        </w:rPr>
        <w:t xml:space="preserve">s Latvijā, ES un citās valstīs. </w:t>
      </w:r>
    </w:p>
    <w:p w14:paraId="1CBDFB3F" w14:textId="49E67C07" w:rsidR="002346D6" w:rsidRPr="00847710" w:rsidRDefault="00A26CA3" w:rsidP="00A26CA3">
      <w:pPr>
        <w:ind w:firstLine="709"/>
        <w:jc w:val="both"/>
        <w:rPr>
          <w:rFonts w:ascii="Times New Roman" w:hAnsi="Times New Roman" w:cs="Times New Roman"/>
          <w:sz w:val="24"/>
          <w:szCs w:val="24"/>
        </w:rPr>
      </w:pPr>
      <w:r w:rsidRPr="00847710">
        <w:rPr>
          <w:rFonts w:ascii="Times New Roman" w:hAnsi="Times New Roman" w:cs="Times New Roman"/>
          <w:sz w:val="24"/>
          <w:szCs w:val="24"/>
        </w:rPr>
        <w:t>VPC izveidei kopumā plānots finansējums 3 525 000 euro apmērā, kas paredzēts infrastruktūras atjaunošanai</w:t>
      </w:r>
      <w:r w:rsidR="00D91862" w:rsidRPr="00847710">
        <w:rPr>
          <w:rFonts w:ascii="Times New Roman" w:hAnsi="Times New Roman" w:cs="Times New Roman"/>
          <w:sz w:val="24"/>
          <w:szCs w:val="24"/>
        </w:rPr>
        <w:t xml:space="preserve"> un jaunu tehnoloģiju ieviešanai</w:t>
      </w:r>
      <w:r w:rsidRPr="00847710">
        <w:rPr>
          <w:rFonts w:ascii="Times New Roman" w:hAnsi="Times New Roman" w:cs="Times New Roman"/>
          <w:sz w:val="24"/>
          <w:szCs w:val="24"/>
        </w:rPr>
        <w:t>, t.sk. 2018</w:t>
      </w:r>
      <w:r w:rsidR="00E65FA2" w:rsidRPr="00847710">
        <w:rPr>
          <w:rFonts w:ascii="Times New Roman" w:hAnsi="Times New Roman" w:cs="Times New Roman"/>
          <w:sz w:val="24"/>
          <w:szCs w:val="24"/>
        </w:rPr>
        <w:t>.</w:t>
      </w:r>
      <w:r w:rsidRPr="00847710">
        <w:rPr>
          <w:rFonts w:ascii="Times New Roman" w:hAnsi="Times New Roman" w:cs="Times New Roman"/>
          <w:sz w:val="24"/>
          <w:szCs w:val="24"/>
        </w:rPr>
        <w:t xml:space="preserve"> gadā nepieciešams finansējums </w:t>
      </w:r>
      <w:r w:rsidR="00097EA5" w:rsidRPr="00847710">
        <w:rPr>
          <w:rFonts w:ascii="Times New Roman" w:hAnsi="Times New Roman" w:cs="Times New Roman"/>
          <w:sz w:val="24"/>
          <w:szCs w:val="24"/>
        </w:rPr>
        <w:t xml:space="preserve">965 </w:t>
      </w:r>
      <w:r w:rsidR="00944414" w:rsidRPr="00847710">
        <w:rPr>
          <w:rFonts w:ascii="Times New Roman" w:hAnsi="Times New Roman" w:cs="Times New Roman"/>
          <w:sz w:val="24"/>
          <w:szCs w:val="24"/>
        </w:rPr>
        <w:t>6</w:t>
      </w:r>
      <w:r w:rsidR="00944414">
        <w:rPr>
          <w:rFonts w:ascii="Times New Roman" w:hAnsi="Times New Roman" w:cs="Times New Roman"/>
          <w:sz w:val="24"/>
          <w:szCs w:val="24"/>
        </w:rPr>
        <w:t>60</w:t>
      </w:r>
      <w:r w:rsidR="00944414" w:rsidRPr="00847710">
        <w:rPr>
          <w:rFonts w:ascii="Times New Roman" w:hAnsi="Times New Roman" w:cs="Times New Roman"/>
          <w:sz w:val="24"/>
          <w:szCs w:val="24"/>
        </w:rPr>
        <w:t xml:space="preserve"> </w:t>
      </w:r>
      <w:r w:rsidR="00E65FA2" w:rsidRPr="00847710">
        <w:rPr>
          <w:rFonts w:ascii="Times New Roman" w:hAnsi="Times New Roman" w:cs="Times New Roman"/>
          <w:sz w:val="24"/>
          <w:szCs w:val="24"/>
        </w:rPr>
        <w:t xml:space="preserve">euro </w:t>
      </w:r>
      <w:r w:rsidRPr="00847710">
        <w:rPr>
          <w:rFonts w:ascii="Times New Roman" w:hAnsi="Times New Roman" w:cs="Times New Roman"/>
          <w:sz w:val="24"/>
          <w:szCs w:val="24"/>
        </w:rPr>
        <w:t>apmērā</w:t>
      </w:r>
      <w:r w:rsidR="00C92433" w:rsidRPr="00847710">
        <w:rPr>
          <w:rFonts w:ascii="Times New Roman" w:hAnsi="Times New Roman" w:cs="Times New Roman"/>
          <w:sz w:val="24"/>
          <w:szCs w:val="24"/>
        </w:rPr>
        <w:t>.</w:t>
      </w:r>
      <w:r w:rsidRPr="00847710">
        <w:rPr>
          <w:rFonts w:ascii="Times New Roman" w:hAnsi="Times New Roman" w:cs="Times New Roman"/>
          <w:sz w:val="24"/>
          <w:szCs w:val="24"/>
        </w:rPr>
        <w:t xml:space="preserve"> </w:t>
      </w:r>
      <w:r w:rsidR="00C92433" w:rsidRPr="00847710">
        <w:rPr>
          <w:rFonts w:ascii="Times New Roman" w:hAnsi="Times New Roman" w:cs="Times New Roman"/>
          <w:sz w:val="24"/>
          <w:szCs w:val="24"/>
        </w:rPr>
        <w:t>R</w:t>
      </w:r>
      <w:r w:rsidRPr="00847710">
        <w:rPr>
          <w:rFonts w:ascii="Times New Roman" w:hAnsi="Times New Roman" w:cs="Times New Roman"/>
          <w:sz w:val="24"/>
          <w:szCs w:val="24"/>
        </w:rPr>
        <w:t xml:space="preserve">eformas īstenošana </w:t>
      </w:r>
      <w:r w:rsidR="00C92433" w:rsidRPr="00847710">
        <w:rPr>
          <w:rFonts w:ascii="Times New Roman" w:hAnsi="Times New Roman" w:cs="Times New Roman"/>
          <w:sz w:val="24"/>
          <w:szCs w:val="24"/>
        </w:rPr>
        <w:t>un VPC</w:t>
      </w:r>
      <w:r w:rsidR="00B435BE" w:rsidRPr="00847710">
        <w:rPr>
          <w:rFonts w:ascii="Times New Roman" w:hAnsi="Times New Roman" w:cs="Times New Roman"/>
          <w:sz w:val="24"/>
          <w:szCs w:val="24"/>
        </w:rPr>
        <w:t xml:space="preserve"> izveide</w:t>
      </w:r>
      <w:r w:rsidR="00C92433" w:rsidRPr="00847710">
        <w:rPr>
          <w:rFonts w:ascii="Times New Roman" w:hAnsi="Times New Roman" w:cs="Times New Roman"/>
          <w:sz w:val="24"/>
          <w:szCs w:val="24"/>
        </w:rPr>
        <w:t xml:space="preserve"> </w:t>
      </w:r>
      <w:r w:rsidRPr="00847710">
        <w:rPr>
          <w:rFonts w:ascii="Times New Roman" w:hAnsi="Times New Roman" w:cs="Times New Roman"/>
          <w:sz w:val="24"/>
          <w:szCs w:val="24"/>
        </w:rPr>
        <w:t>turpināma arī 2019.gadā</w:t>
      </w:r>
      <w:r w:rsidR="00C92433" w:rsidRPr="00847710">
        <w:rPr>
          <w:rFonts w:ascii="Times New Roman" w:hAnsi="Times New Roman" w:cs="Times New Roman"/>
          <w:sz w:val="24"/>
          <w:szCs w:val="24"/>
        </w:rPr>
        <w:t xml:space="preserve">, VPC darbu </w:t>
      </w:r>
      <w:r w:rsidR="00B435BE" w:rsidRPr="00847710">
        <w:rPr>
          <w:rFonts w:ascii="Times New Roman" w:hAnsi="Times New Roman" w:cs="Times New Roman"/>
          <w:sz w:val="24"/>
          <w:szCs w:val="24"/>
        </w:rPr>
        <w:t xml:space="preserve">ar modernizētu esošo pakalpojumu sniegšanu uzsākot 2018.gada 3-4.ceturksnī, savukārt jaunos pakalpojumus </w:t>
      </w:r>
      <w:r w:rsidR="00C92433" w:rsidRPr="00847710">
        <w:rPr>
          <w:rFonts w:ascii="Times New Roman" w:hAnsi="Times New Roman" w:cs="Times New Roman"/>
          <w:sz w:val="24"/>
          <w:szCs w:val="24"/>
        </w:rPr>
        <w:t>uzsākot</w:t>
      </w:r>
      <w:r w:rsidR="00B435BE" w:rsidRPr="00847710">
        <w:rPr>
          <w:rFonts w:ascii="Times New Roman" w:hAnsi="Times New Roman" w:cs="Times New Roman"/>
          <w:sz w:val="24"/>
          <w:szCs w:val="24"/>
        </w:rPr>
        <w:t xml:space="preserve"> sniegt</w:t>
      </w:r>
      <w:r w:rsidR="00C92433" w:rsidRPr="00847710">
        <w:rPr>
          <w:rFonts w:ascii="Times New Roman" w:hAnsi="Times New Roman" w:cs="Times New Roman"/>
          <w:sz w:val="24"/>
          <w:szCs w:val="24"/>
        </w:rPr>
        <w:t xml:space="preserve"> 2019.gadā.</w:t>
      </w:r>
      <w:r w:rsidR="002346D6" w:rsidRPr="00847710">
        <w:rPr>
          <w:rFonts w:ascii="Times New Roman" w:hAnsi="Times New Roman" w:cs="Times New Roman"/>
          <w:sz w:val="24"/>
          <w:szCs w:val="24"/>
        </w:rPr>
        <w:t xml:space="preserve"> VPC uzturēšanas izdevumi tiks segti no ieņēmumiem par valsts apmaksāto pakalpojumu sniegšanu, maksas pakalpojumu sniegšanu un pakalpojumu eksporta.</w:t>
      </w:r>
    </w:p>
    <w:p w14:paraId="5636D776" w14:textId="6A93B34A" w:rsidR="002346D6" w:rsidRPr="00C86312" w:rsidRDefault="00DE3C94" w:rsidP="00C86312">
      <w:pPr>
        <w:spacing w:after="12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20</w:t>
      </w:r>
      <w:r w:rsidR="002346D6" w:rsidRPr="57326167">
        <w:rPr>
          <w:rFonts w:ascii="Times New Roman" w:hAnsi="Times New Roman" w:cs="Times New Roman"/>
          <w:i/>
          <w:iCs/>
          <w:sz w:val="24"/>
          <w:szCs w:val="24"/>
        </w:rPr>
        <w:t>.tabula</w:t>
      </w:r>
    </w:p>
    <w:p w14:paraId="10F4A5A8" w14:textId="4FBC78C0" w:rsidR="002346D6" w:rsidRPr="00C86312" w:rsidRDefault="002346D6" w:rsidP="00C86312">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color w:val="000000" w:themeColor="text1"/>
          <w:sz w:val="24"/>
          <w:szCs w:val="24"/>
        </w:rPr>
        <w:t>VPC izveides uzsākšanai nepieciešamais finansējums 2018.gadā</w:t>
      </w:r>
    </w:p>
    <w:tbl>
      <w:tblPr>
        <w:tblW w:w="10335" w:type="dxa"/>
        <w:jc w:val="center"/>
        <w:tblLook w:val="04A0" w:firstRow="1" w:lastRow="0" w:firstColumn="1" w:lastColumn="0" w:noHBand="0" w:noVBand="1"/>
      </w:tblPr>
      <w:tblGrid>
        <w:gridCol w:w="4305"/>
        <w:gridCol w:w="2175"/>
        <w:gridCol w:w="2010"/>
        <w:gridCol w:w="1845"/>
      </w:tblGrid>
      <w:tr w:rsidR="00C60994" w:rsidRPr="00847710" w14:paraId="66AA227A" w14:textId="77777777" w:rsidTr="00C86312">
        <w:trPr>
          <w:trHeight w:val="310"/>
          <w:jc w:val="center"/>
        </w:trPr>
        <w:tc>
          <w:tcPr>
            <w:tcW w:w="4305" w:type="dxa"/>
            <w:tcBorders>
              <w:top w:val="single" w:sz="8" w:space="0" w:color="auto"/>
              <w:left w:val="single" w:sz="8" w:space="0" w:color="auto"/>
              <w:bottom w:val="single" w:sz="8" w:space="0" w:color="auto"/>
              <w:right w:val="single" w:sz="8" w:space="0" w:color="auto"/>
            </w:tcBorders>
            <w:shd w:val="clear" w:color="auto" w:fill="E36C0A" w:themeFill="accent6" w:themeFillShade="BF"/>
            <w:noWrap/>
            <w:vAlign w:val="center"/>
            <w:hideMark/>
          </w:tcPr>
          <w:p w14:paraId="0EF0325A" w14:textId="77777777" w:rsidR="00C60994" w:rsidRPr="00847710" w:rsidRDefault="00C60994" w:rsidP="001B3AD3">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Investīciju pozīcija</w:t>
            </w:r>
          </w:p>
        </w:tc>
        <w:tc>
          <w:tcPr>
            <w:tcW w:w="2175"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2FC84FD5" w14:textId="77777777" w:rsidR="00C60994" w:rsidRPr="00847710" w:rsidRDefault="00C60994" w:rsidP="001B3AD3">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Cena</w:t>
            </w:r>
          </w:p>
        </w:tc>
        <w:tc>
          <w:tcPr>
            <w:tcW w:w="2010"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32AB6D81" w14:textId="77777777" w:rsidR="00C60994" w:rsidRPr="00847710" w:rsidRDefault="00C60994" w:rsidP="001B3AD3">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Daudzums</w:t>
            </w:r>
          </w:p>
        </w:tc>
        <w:tc>
          <w:tcPr>
            <w:tcW w:w="1845"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7594C082" w14:textId="77777777" w:rsidR="00C60994" w:rsidRPr="00847710" w:rsidRDefault="00C60994" w:rsidP="001B3AD3">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Summa</w:t>
            </w:r>
          </w:p>
        </w:tc>
      </w:tr>
      <w:tr w:rsidR="00C60994" w:rsidRPr="00847710" w14:paraId="1F9A68BC" w14:textId="77777777" w:rsidTr="00C86312">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7F987DA" w14:textId="77777777" w:rsidR="00C60994" w:rsidRPr="00C86312" w:rsidRDefault="00C60994" w:rsidP="00C86312">
            <w:pPr>
              <w:spacing w:after="0" w:line="240" w:lineRule="auto"/>
              <w:jc w:val="both"/>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t>Ēkas un tās infrastruktūras renovācija, t.sk.</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14:paraId="2ADD6E65" w14:textId="77777777" w:rsidR="00C60994" w:rsidRPr="00C86312" w:rsidRDefault="00C60994" w:rsidP="00C86312">
            <w:pPr>
              <w:spacing w:after="0" w:line="240" w:lineRule="auto"/>
              <w:jc w:val="both"/>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 </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14:paraId="0BE0D503" w14:textId="77777777" w:rsidR="00C60994" w:rsidRPr="00C86312" w:rsidRDefault="00C60994" w:rsidP="00C86312">
            <w:pPr>
              <w:spacing w:after="0" w:line="240" w:lineRule="auto"/>
              <w:jc w:val="both"/>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 </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14:paraId="4B589008" w14:textId="77777777" w:rsidR="00C60994" w:rsidRPr="00C86312" w:rsidRDefault="00C60994" w:rsidP="00C86312">
            <w:pPr>
              <w:spacing w:after="0" w:line="240" w:lineRule="auto"/>
              <w:jc w:val="center"/>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400 000</w:t>
            </w:r>
          </w:p>
        </w:tc>
      </w:tr>
      <w:tr w:rsidR="00C60994" w:rsidRPr="00847710" w14:paraId="47913F07" w14:textId="77777777" w:rsidTr="00C86312">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1B0C85F" w14:textId="77777777" w:rsidR="00C60994" w:rsidRPr="00847710" w:rsidRDefault="00C60994" w:rsidP="001B3AD3">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ēkas tehniskā apsekošana</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14:paraId="76039058"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25000</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14:paraId="01C563C8"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14:paraId="0C9191C1"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25 000</w:t>
            </w:r>
          </w:p>
        </w:tc>
      </w:tr>
      <w:tr w:rsidR="00C60994" w:rsidRPr="00847710" w14:paraId="294ABFC2" w14:textId="77777777" w:rsidTr="00C86312">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A2BDCEE" w14:textId="77777777" w:rsidR="00C60994" w:rsidRPr="00847710" w:rsidRDefault="00C60994" w:rsidP="001B3AD3">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projekta izstrāde</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14:paraId="6FC76881"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250000</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14:paraId="50011918"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14:paraId="552C8DDA"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250 000</w:t>
            </w:r>
          </w:p>
        </w:tc>
      </w:tr>
      <w:tr w:rsidR="00C60994" w:rsidRPr="00847710" w14:paraId="6F6A822F" w14:textId="77777777" w:rsidTr="00C86312">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3AB4DF8" w14:textId="77777777" w:rsidR="00C60994" w:rsidRPr="00847710" w:rsidRDefault="00C60994" w:rsidP="001B3AD3">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celtniecība</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14:paraId="4DDAEA6D"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125000</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14:paraId="62602E70"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14:paraId="1EE26C89"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125 000</w:t>
            </w:r>
          </w:p>
        </w:tc>
      </w:tr>
      <w:tr w:rsidR="00C60994" w:rsidRPr="00847710" w14:paraId="08A2D223" w14:textId="77777777" w:rsidTr="00C86312">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4112AAD" w14:textId="77777777" w:rsidR="00C60994" w:rsidRPr="00C86312" w:rsidRDefault="00C60994" w:rsidP="00C86312">
            <w:pPr>
              <w:spacing w:after="0" w:line="240" w:lineRule="auto"/>
              <w:jc w:val="both"/>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t>Iekārtu iegāde, t.sk.</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14:paraId="019F1461" w14:textId="77777777" w:rsidR="00C60994" w:rsidRPr="00C86312" w:rsidRDefault="00C60994" w:rsidP="00C86312">
            <w:pPr>
              <w:spacing w:after="0" w:line="240" w:lineRule="auto"/>
              <w:jc w:val="both"/>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 </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14:paraId="4EDD856F" w14:textId="77777777" w:rsidR="00C60994" w:rsidRPr="00C86312" w:rsidRDefault="00C60994" w:rsidP="00C86312">
            <w:pPr>
              <w:spacing w:after="0" w:line="240" w:lineRule="auto"/>
              <w:jc w:val="both"/>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 </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14:paraId="2354D602" w14:textId="6A1518B2" w:rsidR="00C60994" w:rsidRPr="00C86312" w:rsidRDefault="00C60994" w:rsidP="00C86312">
            <w:pPr>
              <w:spacing w:after="0" w:line="240" w:lineRule="auto"/>
              <w:jc w:val="center"/>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 xml:space="preserve">565 </w:t>
            </w:r>
            <w:r w:rsidR="00944414" w:rsidRPr="0012317D">
              <w:rPr>
                <w:rFonts w:ascii="Times New Roman" w:eastAsia="Times New Roman" w:hAnsi="Times New Roman" w:cs="Times New Roman"/>
                <w:b/>
                <w:bCs/>
                <w:color w:val="000000"/>
                <w:sz w:val="24"/>
                <w:szCs w:val="24"/>
                <w:lang w:eastAsia="lv-LV"/>
              </w:rPr>
              <w:t>6</w:t>
            </w:r>
            <w:r w:rsidR="00944414">
              <w:rPr>
                <w:rFonts w:ascii="Times New Roman" w:eastAsia="Times New Roman" w:hAnsi="Times New Roman" w:cs="Times New Roman"/>
                <w:b/>
                <w:bCs/>
                <w:color w:val="000000"/>
                <w:sz w:val="24"/>
                <w:szCs w:val="24"/>
                <w:lang w:eastAsia="lv-LV"/>
              </w:rPr>
              <w:t>60</w:t>
            </w:r>
          </w:p>
        </w:tc>
      </w:tr>
      <w:tr w:rsidR="00C60994" w:rsidRPr="00847710" w14:paraId="154DC043" w14:textId="77777777" w:rsidTr="00C86312">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vAlign w:val="center"/>
            <w:hideMark/>
          </w:tcPr>
          <w:p w14:paraId="69644029" w14:textId="77777777" w:rsidR="00C60994" w:rsidRPr="00847710" w:rsidRDefault="00C60994" w:rsidP="001B3AD3">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Automatiz</w:t>
            </w:r>
            <w:r w:rsidRPr="00847710">
              <w:rPr>
                <w:rFonts w:ascii="Times New Roman" w:eastAsia="Times New Roman" w:hAnsi="Times New Roman" w:cs="Times New Roman"/>
                <w:color w:val="212121"/>
                <w:sz w:val="24"/>
                <w:szCs w:val="24"/>
                <w:lang w:eastAsia="lv-LV"/>
              </w:rPr>
              <w:t>ēta hematoksilīna-eozīna krāsošanas iekārta</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14:paraId="45FE4E9E" w14:textId="52207E45" w:rsidR="00C60994" w:rsidRPr="00847710" w:rsidRDefault="0094441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15123</w:t>
            </w:r>
            <w:r>
              <w:rPr>
                <w:rFonts w:ascii="Times New Roman" w:eastAsia="Times New Roman" w:hAnsi="Times New Roman" w:cs="Times New Roman"/>
                <w:color w:val="000000"/>
                <w:sz w:val="24"/>
                <w:szCs w:val="24"/>
                <w:lang w:eastAsia="lv-LV"/>
              </w:rPr>
              <w:t>5</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14:paraId="481AE88D"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14:paraId="4B584B4E" w14:textId="6343C60C"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 xml:space="preserve">151 </w:t>
            </w:r>
            <w:r w:rsidR="00944414" w:rsidRPr="00847710">
              <w:rPr>
                <w:rFonts w:ascii="Times New Roman" w:eastAsia="Times New Roman" w:hAnsi="Times New Roman" w:cs="Times New Roman"/>
                <w:color w:val="000000"/>
                <w:sz w:val="24"/>
                <w:szCs w:val="24"/>
                <w:lang w:eastAsia="lv-LV"/>
              </w:rPr>
              <w:t>23</w:t>
            </w:r>
            <w:r w:rsidR="00944414">
              <w:rPr>
                <w:rFonts w:ascii="Times New Roman" w:eastAsia="Times New Roman" w:hAnsi="Times New Roman" w:cs="Times New Roman"/>
                <w:color w:val="000000"/>
                <w:sz w:val="24"/>
                <w:szCs w:val="24"/>
                <w:lang w:eastAsia="lv-LV"/>
              </w:rPr>
              <w:t>5</w:t>
            </w:r>
          </w:p>
        </w:tc>
      </w:tr>
      <w:tr w:rsidR="00C60994" w:rsidRPr="00847710" w14:paraId="382925CD" w14:textId="77777777" w:rsidTr="00C86312">
        <w:trPr>
          <w:trHeight w:val="630"/>
          <w:jc w:val="center"/>
        </w:trPr>
        <w:tc>
          <w:tcPr>
            <w:tcW w:w="4305" w:type="dxa"/>
            <w:tcBorders>
              <w:top w:val="nil"/>
              <w:left w:val="single" w:sz="8" w:space="0" w:color="auto"/>
              <w:bottom w:val="single" w:sz="8" w:space="0" w:color="auto"/>
              <w:right w:val="single" w:sz="8" w:space="0" w:color="auto"/>
            </w:tcBorders>
            <w:shd w:val="clear" w:color="auto" w:fill="FFFFFF" w:themeFill="background1"/>
            <w:vAlign w:val="center"/>
            <w:hideMark/>
          </w:tcPr>
          <w:p w14:paraId="62D58468" w14:textId="77777777" w:rsidR="00C60994" w:rsidRPr="00847710" w:rsidRDefault="00C60994" w:rsidP="001B3AD3">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lastRenderedPageBreak/>
              <w:t>Autom</w:t>
            </w:r>
            <w:r w:rsidRPr="00847710">
              <w:rPr>
                <w:rFonts w:ascii="Times New Roman" w:eastAsia="Times New Roman" w:hAnsi="Times New Roman" w:cs="Times New Roman"/>
                <w:color w:val="212121"/>
                <w:sz w:val="24"/>
                <w:szCs w:val="24"/>
                <w:lang w:eastAsia="lv-LV"/>
              </w:rPr>
              <w:t>ātizēta imūnhistoķīmiskās un in situ hibridizācijas krāsošanas iekārta</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14:paraId="34458138"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84700</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14:paraId="697B0959"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14:paraId="30228A87"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169 400</w:t>
            </w:r>
          </w:p>
        </w:tc>
      </w:tr>
      <w:tr w:rsidR="00C60994" w:rsidRPr="00847710" w14:paraId="545A310F" w14:textId="77777777" w:rsidTr="00C86312">
        <w:trPr>
          <w:trHeight w:val="630"/>
          <w:jc w:val="center"/>
        </w:trPr>
        <w:tc>
          <w:tcPr>
            <w:tcW w:w="4305" w:type="dxa"/>
            <w:tcBorders>
              <w:top w:val="nil"/>
              <w:left w:val="single" w:sz="8" w:space="0" w:color="auto"/>
              <w:bottom w:val="single" w:sz="8" w:space="0" w:color="auto"/>
              <w:right w:val="single" w:sz="8" w:space="0" w:color="auto"/>
            </w:tcBorders>
            <w:shd w:val="clear" w:color="auto" w:fill="FFFFFF" w:themeFill="background1"/>
            <w:vAlign w:val="center"/>
            <w:hideMark/>
          </w:tcPr>
          <w:p w14:paraId="1D9BEB43" w14:textId="77777777" w:rsidR="00C60994" w:rsidRPr="00847710" w:rsidRDefault="00C60994" w:rsidP="001B3AD3">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Mikrotoms im</w:t>
            </w:r>
            <w:r w:rsidRPr="00847710">
              <w:rPr>
                <w:rFonts w:ascii="Times New Roman" w:eastAsia="Times New Roman" w:hAnsi="Times New Roman" w:cs="Times New Roman"/>
                <w:color w:val="212121"/>
                <w:sz w:val="24"/>
                <w:szCs w:val="24"/>
                <w:lang w:eastAsia="lv-LV"/>
              </w:rPr>
              <w:t>ūnhistoķīmisko mikropreparātu izgatavošanai</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14:paraId="019D2F41"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7018</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14:paraId="062A6FCA"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6</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14:paraId="250F3B14"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42 108</w:t>
            </w:r>
          </w:p>
        </w:tc>
      </w:tr>
      <w:tr w:rsidR="00C60994" w:rsidRPr="00847710" w14:paraId="044AC7D0" w14:textId="77777777" w:rsidTr="00C86312">
        <w:trPr>
          <w:trHeight w:val="630"/>
          <w:jc w:val="center"/>
        </w:trPr>
        <w:tc>
          <w:tcPr>
            <w:tcW w:w="4305" w:type="dxa"/>
            <w:tcBorders>
              <w:top w:val="nil"/>
              <w:left w:val="single" w:sz="8" w:space="0" w:color="auto"/>
              <w:bottom w:val="single" w:sz="8" w:space="0" w:color="auto"/>
              <w:right w:val="single" w:sz="8" w:space="0" w:color="auto"/>
            </w:tcBorders>
            <w:shd w:val="clear" w:color="auto" w:fill="FFFFFF" w:themeFill="background1"/>
            <w:vAlign w:val="center"/>
            <w:hideMark/>
          </w:tcPr>
          <w:p w14:paraId="2318EF3F" w14:textId="77777777" w:rsidR="00C60994" w:rsidRPr="00847710" w:rsidRDefault="00C60994" w:rsidP="001B3AD3">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Digit</w:t>
            </w:r>
            <w:r w:rsidRPr="00847710">
              <w:rPr>
                <w:rFonts w:ascii="Times New Roman" w:eastAsia="Times New Roman" w:hAnsi="Times New Roman" w:cs="Times New Roman"/>
                <w:color w:val="212121"/>
                <w:sz w:val="24"/>
                <w:szCs w:val="24"/>
                <w:lang w:eastAsia="lv-LV"/>
              </w:rPr>
              <w:t>ālais mikroskops imūnhistoķīmisko reakciju un FISH rezultātu izvērtēšanai</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14:paraId="0E9EF724"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18150</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14:paraId="037BDCD9"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3</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14:paraId="41D43039"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54 450</w:t>
            </w:r>
          </w:p>
        </w:tc>
      </w:tr>
      <w:tr w:rsidR="00C60994" w:rsidRPr="00847710" w14:paraId="39F91C98" w14:textId="77777777" w:rsidTr="00C86312">
        <w:trPr>
          <w:trHeight w:val="630"/>
          <w:jc w:val="center"/>
        </w:trPr>
        <w:tc>
          <w:tcPr>
            <w:tcW w:w="4305" w:type="dxa"/>
            <w:tcBorders>
              <w:top w:val="nil"/>
              <w:left w:val="single" w:sz="8" w:space="0" w:color="auto"/>
              <w:bottom w:val="single" w:sz="8" w:space="0" w:color="auto"/>
              <w:right w:val="single" w:sz="8" w:space="0" w:color="auto"/>
            </w:tcBorders>
            <w:shd w:val="clear" w:color="auto" w:fill="FFFFFF" w:themeFill="background1"/>
            <w:vAlign w:val="center"/>
            <w:hideMark/>
          </w:tcPr>
          <w:p w14:paraId="43E02684" w14:textId="77777777" w:rsidR="00C60994" w:rsidRPr="00847710" w:rsidRDefault="00C60994" w:rsidP="001B3AD3">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Mikroskops </w:t>
            </w:r>
            <w:r w:rsidRPr="00847710">
              <w:rPr>
                <w:rFonts w:ascii="Times New Roman" w:eastAsia="Times New Roman" w:hAnsi="Times New Roman" w:cs="Times New Roman"/>
                <w:color w:val="212121"/>
                <w:sz w:val="24"/>
                <w:szCs w:val="24"/>
                <w:lang w:eastAsia="lv-LV"/>
              </w:rPr>
              <w:t>ārstiem patologiem hematoksilīna-eozīna mikropreparātu novērtēšanai</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14:paraId="09327963"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7260</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14:paraId="70677FDD"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7</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14:paraId="4DA12444"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50 820</w:t>
            </w:r>
          </w:p>
        </w:tc>
      </w:tr>
      <w:tr w:rsidR="00C60994" w:rsidRPr="00847710" w14:paraId="2E828432" w14:textId="77777777" w:rsidTr="00C86312">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vAlign w:val="center"/>
            <w:hideMark/>
          </w:tcPr>
          <w:p w14:paraId="24CACF88" w14:textId="77777777" w:rsidR="00C60994" w:rsidRPr="00847710" w:rsidRDefault="00C60994" w:rsidP="001B3AD3">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Kaulu grie</w:t>
            </w:r>
            <w:r w:rsidRPr="00847710">
              <w:rPr>
                <w:rFonts w:ascii="Times New Roman" w:eastAsia="Times New Roman" w:hAnsi="Times New Roman" w:cs="Times New Roman"/>
                <w:color w:val="212121"/>
                <w:sz w:val="24"/>
                <w:szCs w:val="24"/>
                <w:lang w:eastAsia="lv-LV"/>
              </w:rPr>
              <w:t>šanas iekārta</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14:paraId="138865DB"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82280</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14:paraId="72B8470A"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14:paraId="228A4B96"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82 280</w:t>
            </w:r>
          </w:p>
        </w:tc>
      </w:tr>
      <w:tr w:rsidR="00C60994" w:rsidRPr="00847710" w14:paraId="6885FB98" w14:textId="77777777" w:rsidTr="00C86312">
        <w:trPr>
          <w:trHeight w:val="940"/>
          <w:jc w:val="center"/>
        </w:trPr>
        <w:tc>
          <w:tcPr>
            <w:tcW w:w="4305" w:type="dxa"/>
            <w:tcBorders>
              <w:top w:val="nil"/>
              <w:left w:val="single" w:sz="8" w:space="0" w:color="auto"/>
              <w:bottom w:val="single" w:sz="8" w:space="0" w:color="auto"/>
              <w:right w:val="single" w:sz="8" w:space="0" w:color="auto"/>
            </w:tcBorders>
            <w:shd w:val="clear" w:color="auto" w:fill="FFFFFF" w:themeFill="background1"/>
            <w:vAlign w:val="center"/>
            <w:hideMark/>
          </w:tcPr>
          <w:p w14:paraId="60164FAC" w14:textId="77777777" w:rsidR="00C60994" w:rsidRPr="00847710" w:rsidRDefault="00C60994" w:rsidP="001B3AD3">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Ū</w:t>
            </w:r>
            <w:r w:rsidRPr="00847710">
              <w:rPr>
                <w:rFonts w:ascii="Times New Roman" w:eastAsia="Times New Roman" w:hAnsi="Times New Roman" w:cs="Times New Roman"/>
                <w:color w:val="212121"/>
                <w:sz w:val="24"/>
                <w:szCs w:val="24"/>
                <w:lang w:eastAsia="lv-LV"/>
              </w:rPr>
              <w:t>dens vanniņa ar žāvējamo plati hematoksilīna-eozīna, histoķīmisko un imūnhistoķīmisko mikropreparātu izgatavošanai </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14:paraId="52FB6DB3"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1573</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14:paraId="12AC3B4E"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7</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14:paraId="746BD98D"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11 011</w:t>
            </w:r>
          </w:p>
        </w:tc>
      </w:tr>
      <w:tr w:rsidR="00C60994" w:rsidRPr="00847710" w14:paraId="0D8C173F" w14:textId="77777777" w:rsidTr="00C86312">
        <w:trPr>
          <w:trHeight w:val="367"/>
          <w:jc w:val="center"/>
        </w:trPr>
        <w:tc>
          <w:tcPr>
            <w:tcW w:w="4305" w:type="dxa"/>
            <w:tcBorders>
              <w:top w:val="nil"/>
              <w:left w:val="single" w:sz="8" w:space="0" w:color="auto"/>
              <w:bottom w:val="single" w:sz="8" w:space="0" w:color="auto"/>
              <w:right w:val="single" w:sz="8" w:space="0" w:color="auto"/>
            </w:tcBorders>
            <w:shd w:val="clear" w:color="auto" w:fill="FFFFFF" w:themeFill="background1"/>
            <w:vAlign w:val="center"/>
            <w:hideMark/>
          </w:tcPr>
          <w:p w14:paraId="7711DC58" w14:textId="77777777" w:rsidR="00C60994" w:rsidRPr="00847710" w:rsidRDefault="00C60994" w:rsidP="001B3AD3">
            <w:pPr>
              <w:spacing w:after="0" w:line="240" w:lineRule="auto"/>
              <w:jc w:val="right"/>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Reaģentu uzglabāšanas ledusskapis</w:t>
            </w:r>
          </w:p>
        </w:tc>
        <w:tc>
          <w:tcPr>
            <w:tcW w:w="2175" w:type="dxa"/>
            <w:tcBorders>
              <w:top w:val="nil"/>
              <w:left w:val="nil"/>
              <w:bottom w:val="single" w:sz="8" w:space="0" w:color="auto"/>
              <w:right w:val="single" w:sz="8" w:space="0" w:color="auto"/>
            </w:tcBorders>
            <w:shd w:val="clear" w:color="auto" w:fill="FFFFFF" w:themeFill="background1"/>
            <w:noWrap/>
            <w:vAlign w:val="center"/>
            <w:hideMark/>
          </w:tcPr>
          <w:p w14:paraId="033F0BEA"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2178</w:t>
            </w:r>
          </w:p>
        </w:tc>
        <w:tc>
          <w:tcPr>
            <w:tcW w:w="2010" w:type="dxa"/>
            <w:tcBorders>
              <w:top w:val="nil"/>
              <w:left w:val="nil"/>
              <w:bottom w:val="single" w:sz="8" w:space="0" w:color="auto"/>
              <w:right w:val="single" w:sz="8" w:space="0" w:color="auto"/>
            </w:tcBorders>
            <w:shd w:val="clear" w:color="auto" w:fill="FFFFFF" w:themeFill="background1"/>
            <w:noWrap/>
            <w:vAlign w:val="center"/>
            <w:hideMark/>
          </w:tcPr>
          <w:p w14:paraId="24B8D1DF"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w:t>
            </w:r>
          </w:p>
        </w:tc>
        <w:tc>
          <w:tcPr>
            <w:tcW w:w="1845" w:type="dxa"/>
            <w:tcBorders>
              <w:top w:val="nil"/>
              <w:left w:val="nil"/>
              <w:bottom w:val="single" w:sz="8" w:space="0" w:color="auto"/>
              <w:right w:val="single" w:sz="8" w:space="0" w:color="auto"/>
            </w:tcBorders>
            <w:shd w:val="clear" w:color="auto" w:fill="FFFFFF" w:themeFill="background1"/>
            <w:noWrap/>
            <w:vAlign w:val="center"/>
            <w:hideMark/>
          </w:tcPr>
          <w:p w14:paraId="615824E4" w14:textId="77777777" w:rsidR="00C60994" w:rsidRPr="00847710" w:rsidRDefault="00C60994" w:rsidP="001B3AD3">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4 356</w:t>
            </w:r>
          </w:p>
        </w:tc>
      </w:tr>
      <w:tr w:rsidR="00C60994" w:rsidRPr="00847710" w14:paraId="27765B17" w14:textId="77777777" w:rsidTr="00C86312">
        <w:trPr>
          <w:trHeight w:val="310"/>
          <w:jc w:val="center"/>
        </w:trPr>
        <w:tc>
          <w:tcPr>
            <w:tcW w:w="8490" w:type="dxa"/>
            <w:gridSpan w:val="3"/>
            <w:tcBorders>
              <w:top w:val="single" w:sz="8" w:space="0" w:color="auto"/>
              <w:left w:val="single" w:sz="8" w:space="0" w:color="auto"/>
              <w:bottom w:val="single" w:sz="8" w:space="0" w:color="auto"/>
              <w:right w:val="single" w:sz="8" w:space="0" w:color="000000" w:themeColor="text1"/>
            </w:tcBorders>
            <w:shd w:val="clear" w:color="auto" w:fill="FBD4B4" w:themeFill="accent6" w:themeFillTint="66"/>
            <w:noWrap/>
            <w:vAlign w:val="center"/>
            <w:hideMark/>
          </w:tcPr>
          <w:p w14:paraId="52648C40" w14:textId="77777777" w:rsidR="00C60994" w:rsidRPr="00847710" w:rsidRDefault="00C60994" w:rsidP="001B3AD3">
            <w:pPr>
              <w:spacing w:after="0" w:line="240" w:lineRule="auto"/>
              <w:jc w:val="right"/>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KOPĀ</w:t>
            </w:r>
          </w:p>
        </w:tc>
        <w:tc>
          <w:tcPr>
            <w:tcW w:w="1845" w:type="dxa"/>
            <w:tcBorders>
              <w:top w:val="nil"/>
              <w:left w:val="nil"/>
              <w:bottom w:val="single" w:sz="8" w:space="0" w:color="auto"/>
              <w:right w:val="single" w:sz="8" w:space="0" w:color="auto"/>
            </w:tcBorders>
            <w:shd w:val="clear" w:color="auto" w:fill="FBD4B4" w:themeFill="accent6" w:themeFillTint="66"/>
            <w:noWrap/>
            <w:vAlign w:val="center"/>
            <w:hideMark/>
          </w:tcPr>
          <w:p w14:paraId="76654E36" w14:textId="58438C2D" w:rsidR="00C60994" w:rsidRPr="00847710" w:rsidRDefault="00C60994" w:rsidP="001B3AD3">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 xml:space="preserve">965 </w:t>
            </w:r>
            <w:r w:rsidR="00944414" w:rsidRPr="00847710">
              <w:rPr>
                <w:rFonts w:ascii="Times New Roman" w:eastAsia="Times New Roman" w:hAnsi="Times New Roman" w:cs="Times New Roman"/>
                <w:b/>
                <w:bCs/>
                <w:color w:val="000000"/>
                <w:sz w:val="24"/>
                <w:szCs w:val="24"/>
                <w:lang w:eastAsia="lv-LV"/>
              </w:rPr>
              <w:t>6</w:t>
            </w:r>
            <w:r w:rsidR="00944414">
              <w:rPr>
                <w:rFonts w:ascii="Times New Roman" w:eastAsia="Times New Roman" w:hAnsi="Times New Roman" w:cs="Times New Roman"/>
                <w:b/>
                <w:bCs/>
                <w:color w:val="000000"/>
                <w:sz w:val="24"/>
                <w:szCs w:val="24"/>
                <w:lang w:eastAsia="lv-LV"/>
              </w:rPr>
              <w:t>60</w:t>
            </w:r>
          </w:p>
        </w:tc>
      </w:tr>
    </w:tbl>
    <w:p w14:paraId="0C26BFD8" w14:textId="77777777" w:rsidR="00847710" w:rsidRPr="00847710" w:rsidRDefault="00847710" w:rsidP="006008A7">
      <w:pPr>
        <w:ind w:firstLine="709"/>
        <w:jc w:val="both"/>
        <w:rPr>
          <w:rFonts w:ascii="Times New Roman" w:hAnsi="Times New Roman" w:cs="Times New Roman"/>
          <w:sz w:val="24"/>
          <w:szCs w:val="24"/>
          <w:lang w:eastAsia="lv-LV"/>
        </w:rPr>
      </w:pPr>
    </w:p>
    <w:p w14:paraId="624BFBEB" w14:textId="4A8C8713" w:rsidR="00C60994" w:rsidRDefault="001035AF" w:rsidP="006008A7">
      <w:pPr>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Jaunu diagnosticēšanas metožu ieviešana un esošo modernizēšana kopā ar onkoloģijas jomas reformām un ieviesto “zaļo koridoru” atbilstoši SIA “Rīgas Austrumu klīniskās universitātes slimnīca” ekspertu novērtējumam 3 gadu periodā ļautu par 10 procentpunktiem samazināt vēlīni un bez precizētas stadijas diagnosticētus audzējus, tādējādi </w:t>
      </w:r>
      <w:r w:rsidR="0037741B" w:rsidRPr="00847710">
        <w:rPr>
          <w:rFonts w:ascii="Times New Roman" w:hAnsi="Times New Roman" w:cs="Times New Roman"/>
          <w:sz w:val="24"/>
          <w:szCs w:val="24"/>
          <w:lang w:eastAsia="lv-LV"/>
        </w:rPr>
        <w:t>vairāk nekā par 5% palielinot pacientu skaitu ar 5 gadu dzīvild</w:t>
      </w:r>
      <w:r w:rsidR="00596738" w:rsidRPr="00847710">
        <w:rPr>
          <w:rFonts w:ascii="Times New Roman" w:hAnsi="Times New Roman" w:cs="Times New Roman"/>
          <w:sz w:val="24"/>
          <w:szCs w:val="24"/>
          <w:lang w:eastAsia="lv-LV"/>
        </w:rPr>
        <w:t>z</w:t>
      </w:r>
      <w:r w:rsidR="0037741B" w:rsidRPr="00847710">
        <w:rPr>
          <w:rFonts w:ascii="Times New Roman" w:hAnsi="Times New Roman" w:cs="Times New Roman"/>
          <w:sz w:val="24"/>
          <w:szCs w:val="24"/>
          <w:lang w:eastAsia="lv-LV"/>
        </w:rPr>
        <w:t>i</w:t>
      </w:r>
      <w:r w:rsidR="00596738" w:rsidRPr="00847710">
        <w:rPr>
          <w:rFonts w:ascii="Times New Roman" w:hAnsi="Times New Roman" w:cs="Times New Roman"/>
          <w:sz w:val="24"/>
          <w:szCs w:val="24"/>
          <w:lang w:eastAsia="lv-LV"/>
        </w:rPr>
        <w:t xml:space="preserve"> un samazinot mirstību</w:t>
      </w:r>
      <w:r w:rsidR="00E153A7" w:rsidRPr="00847710">
        <w:rPr>
          <w:rFonts w:ascii="Times New Roman" w:hAnsi="Times New Roman" w:cs="Times New Roman"/>
          <w:sz w:val="24"/>
          <w:szCs w:val="24"/>
          <w:lang w:eastAsia="lv-LV"/>
        </w:rPr>
        <w:t xml:space="preserve"> no onkoloģiskām saslimšanām</w:t>
      </w:r>
      <w:r w:rsidR="00596738" w:rsidRPr="00847710">
        <w:rPr>
          <w:rFonts w:ascii="Times New Roman" w:hAnsi="Times New Roman" w:cs="Times New Roman"/>
          <w:sz w:val="24"/>
          <w:szCs w:val="24"/>
          <w:lang w:eastAsia="lv-LV"/>
        </w:rPr>
        <w:t>.</w:t>
      </w:r>
    </w:p>
    <w:p w14:paraId="2B2EFF12" w14:textId="2F2D66BA" w:rsidR="00045D43" w:rsidRDefault="00045D43" w:rsidP="006008A7">
      <w:pPr>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Ieviešot jaunākās izmeklēšanas metodes un </w:t>
      </w:r>
      <w:r w:rsidR="00992F1A">
        <w:rPr>
          <w:rFonts w:ascii="Times New Roman" w:hAnsi="Times New Roman" w:cs="Times New Roman"/>
          <w:sz w:val="24"/>
          <w:szCs w:val="24"/>
          <w:lang w:eastAsia="lv-LV"/>
        </w:rPr>
        <w:t>nodrošinot izmeklējumu veikšanu VPC, nevis pērkot izmeklējumu ārpakalpojumā Lielbritānijā, VPC izveide atmaksāsies 3 gadu periodā.</w:t>
      </w:r>
      <w:r w:rsidR="00BE13B4">
        <w:rPr>
          <w:rFonts w:ascii="Times New Roman" w:hAnsi="Times New Roman" w:cs="Times New Roman"/>
          <w:sz w:val="24"/>
          <w:szCs w:val="24"/>
          <w:lang w:eastAsia="lv-LV"/>
        </w:rPr>
        <w:t xml:space="preserve"> Kopējie izdevumi </w:t>
      </w:r>
      <w:r w:rsidR="00212DB5">
        <w:rPr>
          <w:rFonts w:ascii="Times New Roman" w:hAnsi="Times New Roman" w:cs="Times New Roman"/>
          <w:sz w:val="24"/>
          <w:szCs w:val="24"/>
          <w:lang w:eastAsia="lv-LV"/>
        </w:rPr>
        <w:t>izmeklējumu pērkot ārpakalpojumā ārzemēs 3 gadu laikā sastādīs 7 738 909 euro, savukārt</w:t>
      </w:r>
      <w:r w:rsidR="00CF0A9C">
        <w:rPr>
          <w:rFonts w:ascii="Times New Roman" w:hAnsi="Times New Roman" w:cs="Times New Roman"/>
          <w:sz w:val="24"/>
          <w:szCs w:val="24"/>
          <w:lang w:eastAsia="lv-LV"/>
        </w:rPr>
        <w:t xml:space="preserve"> izmeklējumu veikšanas VPC, izmaksās </w:t>
      </w:r>
      <w:r w:rsidR="006272F2">
        <w:rPr>
          <w:rFonts w:ascii="Times New Roman" w:hAnsi="Times New Roman" w:cs="Times New Roman"/>
          <w:sz w:val="24"/>
          <w:szCs w:val="24"/>
          <w:lang w:eastAsia="lv-LV"/>
        </w:rPr>
        <w:t xml:space="preserve">3 481 286 </w:t>
      </w:r>
      <w:r w:rsidR="00A13A51">
        <w:rPr>
          <w:rFonts w:ascii="Times New Roman" w:hAnsi="Times New Roman" w:cs="Times New Roman"/>
          <w:sz w:val="24"/>
          <w:szCs w:val="24"/>
          <w:lang w:eastAsia="lv-LV"/>
        </w:rPr>
        <w:t>euro. T</w:t>
      </w:r>
      <w:r w:rsidR="006272F2">
        <w:rPr>
          <w:rFonts w:ascii="Times New Roman" w:hAnsi="Times New Roman" w:cs="Times New Roman"/>
          <w:sz w:val="24"/>
          <w:szCs w:val="24"/>
          <w:lang w:eastAsia="lv-LV"/>
        </w:rPr>
        <w:t xml:space="preserve">ādējādi </w:t>
      </w:r>
      <w:r w:rsidR="00A13A51">
        <w:rPr>
          <w:rFonts w:ascii="Times New Roman" w:hAnsi="Times New Roman" w:cs="Times New Roman"/>
          <w:sz w:val="24"/>
          <w:szCs w:val="24"/>
          <w:lang w:eastAsia="lv-LV"/>
        </w:rPr>
        <w:t xml:space="preserve">kopējais ieguvums </w:t>
      </w:r>
      <w:r w:rsidR="00D5382C">
        <w:rPr>
          <w:rFonts w:ascii="Times New Roman" w:hAnsi="Times New Roman" w:cs="Times New Roman"/>
          <w:sz w:val="24"/>
          <w:szCs w:val="24"/>
          <w:lang w:eastAsia="lv-LV"/>
        </w:rPr>
        <w:t xml:space="preserve">3 gadu laikā sastāda 4 257 623 euro, kas pārsniedz </w:t>
      </w:r>
      <w:r w:rsidR="00141A04">
        <w:rPr>
          <w:rFonts w:ascii="Times New Roman" w:hAnsi="Times New Roman" w:cs="Times New Roman"/>
          <w:sz w:val="24"/>
          <w:szCs w:val="24"/>
          <w:lang w:eastAsia="lv-LV"/>
        </w:rPr>
        <w:t>VPC izveides izmaksas.</w:t>
      </w:r>
    </w:p>
    <w:p w14:paraId="370BED73" w14:textId="5B42C285" w:rsidR="00761200" w:rsidRPr="00C86312" w:rsidRDefault="00DE3C94" w:rsidP="007E5696">
      <w:pPr>
        <w:spacing w:after="12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21</w:t>
      </w:r>
      <w:r w:rsidR="00761200" w:rsidRPr="57326167">
        <w:rPr>
          <w:rFonts w:ascii="Times New Roman" w:hAnsi="Times New Roman" w:cs="Times New Roman"/>
          <w:i/>
          <w:iCs/>
          <w:sz w:val="24"/>
          <w:szCs w:val="24"/>
        </w:rPr>
        <w:t>.tabula</w:t>
      </w:r>
    </w:p>
    <w:p w14:paraId="5FA11F41" w14:textId="77777777" w:rsidR="00761200" w:rsidRPr="00C86312" w:rsidRDefault="00761200" w:rsidP="00C86312">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color w:val="000000" w:themeColor="text1"/>
          <w:sz w:val="24"/>
          <w:szCs w:val="24"/>
        </w:rPr>
        <w:t>VPC izveides uzsākšanai nepieciešamais finansējums 2018.gadā</w:t>
      </w:r>
    </w:p>
    <w:tbl>
      <w:tblPr>
        <w:tblW w:w="10210" w:type="dxa"/>
        <w:jc w:val="center"/>
        <w:tblLook w:val="04A0" w:firstRow="1" w:lastRow="0" w:firstColumn="1" w:lastColumn="0" w:noHBand="0" w:noVBand="1"/>
      </w:tblPr>
      <w:tblGrid>
        <w:gridCol w:w="7252"/>
        <w:gridCol w:w="986"/>
        <w:gridCol w:w="986"/>
        <w:gridCol w:w="986"/>
      </w:tblGrid>
      <w:tr w:rsidR="00992F1A" w:rsidRPr="00DB7E95" w14:paraId="37555751" w14:textId="77777777" w:rsidTr="00C86312">
        <w:trPr>
          <w:trHeight w:val="300"/>
          <w:jc w:val="center"/>
        </w:trPr>
        <w:tc>
          <w:tcPr>
            <w:tcW w:w="7252"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14:paraId="4F036B45" w14:textId="70B352AE"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c>
          <w:tcPr>
            <w:tcW w:w="986"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51371A52"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2019</w:t>
            </w:r>
          </w:p>
        </w:tc>
        <w:tc>
          <w:tcPr>
            <w:tcW w:w="986"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49F996FA"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2020</w:t>
            </w:r>
          </w:p>
        </w:tc>
        <w:tc>
          <w:tcPr>
            <w:tcW w:w="986"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0721D0D6"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2021</w:t>
            </w:r>
          </w:p>
        </w:tc>
      </w:tr>
      <w:tr w:rsidR="00992F1A" w:rsidRPr="00DB7E95" w14:paraId="51304B3A"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noWrap/>
            <w:vAlign w:val="bottom"/>
            <w:hideMark/>
          </w:tcPr>
          <w:p w14:paraId="60039365" w14:textId="77777777" w:rsidR="00992F1A" w:rsidRPr="00C86312" w:rsidRDefault="00992F1A" w:rsidP="00992F1A">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Operāciju un biopsiju materiāla imūnhistoķīmija pie limfoproliferatīvajām saslimšanām</w:t>
            </w:r>
          </w:p>
        </w:tc>
        <w:tc>
          <w:tcPr>
            <w:tcW w:w="986" w:type="dxa"/>
            <w:tcBorders>
              <w:top w:val="nil"/>
              <w:left w:val="nil"/>
              <w:bottom w:val="single" w:sz="4" w:space="0" w:color="auto"/>
              <w:right w:val="single" w:sz="4" w:space="0" w:color="auto"/>
            </w:tcBorders>
            <w:shd w:val="clear" w:color="auto" w:fill="auto"/>
            <w:noWrap/>
            <w:vAlign w:val="bottom"/>
            <w:hideMark/>
          </w:tcPr>
          <w:p w14:paraId="043A62C9"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c>
          <w:tcPr>
            <w:tcW w:w="986" w:type="dxa"/>
            <w:tcBorders>
              <w:top w:val="nil"/>
              <w:left w:val="nil"/>
              <w:bottom w:val="single" w:sz="4" w:space="0" w:color="auto"/>
              <w:right w:val="single" w:sz="4" w:space="0" w:color="auto"/>
            </w:tcBorders>
            <w:shd w:val="clear" w:color="auto" w:fill="auto"/>
            <w:noWrap/>
            <w:vAlign w:val="bottom"/>
            <w:hideMark/>
          </w:tcPr>
          <w:p w14:paraId="4EEC6B5F"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c>
          <w:tcPr>
            <w:tcW w:w="986" w:type="dxa"/>
            <w:tcBorders>
              <w:top w:val="nil"/>
              <w:left w:val="nil"/>
              <w:bottom w:val="single" w:sz="4" w:space="0" w:color="auto"/>
              <w:right w:val="single" w:sz="4" w:space="0" w:color="auto"/>
            </w:tcBorders>
            <w:shd w:val="clear" w:color="auto" w:fill="auto"/>
            <w:noWrap/>
            <w:vAlign w:val="bottom"/>
            <w:hideMark/>
          </w:tcPr>
          <w:p w14:paraId="5EDFF7BF"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r>
      <w:tr w:rsidR="00992F1A" w:rsidRPr="00DB7E95" w14:paraId="796539FA"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14:paraId="44C2DF0A"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Izmeklējumu apjoms</w:t>
            </w:r>
          </w:p>
        </w:tc>
        <w:tc>
          <w:tcPr>
            <w:tcW w:w="986" w:type="dxa"/>
            <w:tcBorders>
              <w:top w:val="nil"/>
              <w:left w:val="nil"/>
              <w:bottom w:val="single" w:sz="4" w:space="0" w:color="auto"/>
              <w:right w:val="single" w:sz="4" w:space="0" w:color="auto"/>
            </w:tcBorders>
            <w:shd w:val="clear" w:color="auto" w:fill="auto"/>
            <w:noWrap/>
            <w:vAlign w:val="bottom"/>
            <w:hideMark/>
          </w:tcPr>
          <w:p w14:paraId="02F35CDA"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1322</w:t>
            </w:r>
          </w:p>
        </w:tc>
        <w:tc>
          <w:tcPr>
            <w:tcW w:w="986" w:type="dxa"/>
            <w:tcBorders>
              <w:top w:val="nil"/>
              <w:left w:val="nil"/>
              <w:bottom w:val="single" w:sz="4" w:space="0" w:color="auto"/>
              <w:right w:val="single" w:sz="4" w:space="0" w:color="auto"/>
            </w:tcBorders>
            <w:shd w:val="clear" w:color="auto" w:fill="auto"/>
            <w:noWrap/>
            <w:vAlign w:val="bottom"/>
            <w:hideMark/>
          </w:tcPr>
          <w:p w14:paraId="4D3DBEFB"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1422</w:t>
            </w:r>
          </w:p>
        </w:tc>
        <w:tc>
          <w:tcPr>
            <w:tcW w:w="986" w:type="dxa"/>
            <w:tcBorders>
              <w:top w:val="nil"/>
              <w:left w:val="nil"/>
              <w:bottom w:val="single" w:sz="4" w:space="0" w:color="auto"/>
              <w:right w:val="single" w:sz="4" w:space="0" w:color="auto"/>
            </w:tcBorders>
            <w:shd w:val="clear" w:color="auto" w:fill="auto"/>
            <w:noWrap/>
            <w:vAlign w:val="bottom"/>
            <w:hideMark/>
          </w:tcPr>
          <w:p w14:paraId="54D48E55"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1521</w:t>
            </w:r>
          </w:p>
        </w:tc>
      </w:tr>
      <w:tr w:rsidR="00992F1A" w:rsidRPr="00DB7E95" w14:paraId="3BEE0DFE"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14:paraId="3B6E29A0" w14:textId="7E77CA56"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xml:space="preserve">1 izmeklējuma plānotās izmaksas </w:t>
            </w:r>
            <w:r w:rsidR="00607ED9">
              <w:rPr>
                <w:rFonts w:ascii="Times New Roman" w:eastAsia="Times New Roman" w:hAnsi="Times New Roman" w:cs="Times New Roman"/>
                <w:color w:val="000000"/>
                <w:sz w:val="20"/>
                <w:szCs w:val="20"/>
                <w:lang w:eastAsia="lv-LV"/>
              </w:rPr>
              <w:t>VPC</w:t>
            </w:r>
            <w:r w:rsidRPr="00C86312">
              <w:rPr>
                <w:rFonts w:ascii="Times New Roman" w:eastAsia="Times New Roman" w:hAnsi="Times New Roman" w:cs="Times New Roman"/>
                <w:color w:val="000000"/>
                <w:sz w:val="20"/>
                <w:szCs w:val="20"/>
                <w:lang w:eastAsia="lv-LV"/>
              </w:rPr>
              <w:t>, euro</w:t>
            </w:r>
          </w:p>
        </w:tc>
        <w:tc>
          <w:tcPr>
            <w:tcW w:w="986" w:type="dxa"/>
            <w:tcBorders>
              <w:top w:val="nil"/>
              <w:left w:val="nil"/>
              <w:bottom w:val="single" w:sz="4" w:space="0" w:color="auto"/>
              <w:right w:val="single" w:sz="4" w:space="0" w:color="auto"/>
            </w:tcBorders>
            <w:shd w:val="clear" w:color="auto" w:fill="auto"/>
            <w:noWrap/>
            <w:vAlign w:val="bottom"/>
            <w:hideMark/>
          </w:tcPr>
          <w:p w14:paraId="0C3FB812"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232.71</w:t>
            </w:r>
          </w:p>
        </w:tc>
        <w:tc>
          <w:tcPr>
            <w:tcW w:w="986" w:type="dxa"/>
            <w:tcBorders>
              <w:top w:val="nil"/>
              <w:left w:val="nil"/>
              <w:bottom w:val="single" w:sz="4" w:space="0" w:color="auto"/>
              <w:right w:val="single" w:sz="4" w:space="0" w:color="auto"/>
            </w:tcBorders>
            <w:shd w:val="clear" w:color="auto" w:fill="auto"/>
            <w:noWrap/>
            <w:vAlign w:val="bottom"/>
            <w:hideMark/>
          </w:tcPr>
          <w:p w14:paraId="03852EF5"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232.71</w:t>
            </w:r>
          </w:p>
        </w:tc>
        <w:tc>
          <w:tcPr>
            <w:tcW w:w="986" w:type="dxa"/>
            <w:tcBorders>
              <w:top w:val="nil"/>
              <w:left w:val="nil"/>
              <w:bottom w:val="single" w:sz="4" w:space="0" w:color="auto"/>
              <w:right w:val="single" w:sz="4" w:space="0" w:color="auto"/>
            </w:tcBorders>
            <w:shd w:val="clear" w:color="auto" w:fill="auto"/>
            <w:noWrap/>
            <w:vAlign w:val="bottom"/>
            <w:hideMark/>
          </w:tcPr>
          <w:p w14:paraId="27672B1F"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232.71</w:t>
            </w:r>
          </w:p>
        </w:tc>
      </w:tr>
      <w:tr w:rsidR="00992F1A" w:rsidRPr="00DB7E95" w14:paraId="78B2BA30"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14:paraId="369B98EC" w14:textId="77777777" w:rsidR="00992F1A" w:rsidRPr="00C86312" w:rsidRDefault="00992F1A" w:rsidP="00992F1A">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Summa, euro</w:t>
            </w:r>
          </w:p>
        </w:tc>
        <w:tc>
          <w:tcPr>
            <w:tcW w:w="986" w:type="dxa"/>
            <w:tcBorders>
              <w:top w:val="nil"/>
              <w:left w:val="nil"/>
              <w:bottom w:val="single" w:sz="4" w:space="0" w:color="auto"/>
              <w:right w:val="single" w:sz="4" w:space="0" w:color="auto"/>
            </w:tcBorders>
            <w:shd w:val="clear" w:color="auto" w:fill="auto"/>
            <w:noWrap/>
            <w:vAlign w:val="bottom"/>
            <w:hideMark/>
          </w:tcPr>
          <w:p w14:paraId="0A4672CD"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307643</w:t>
            </w:r>
          </w:p>
        </w:tc>
        <w:tc>
          <w:tcPr>
            <w:tcW w:w="986" w:type="dxa"/>
            <w:tcBorders>
              <w:top w:val="nil"/>
              <w:left w:val="nil"/>
              <w:bottom w:val="single" w:sz="4" w:space="0" w:color="auto"/>
              <w:right w:val="single" w:sz="4" w:space="0" w:color="auto"/>
            </w:tcBorders>
            <w:shd w:val="clear" w:color="auto" w:fill="auto"/>
            <w:noWrap/>
            <w:vAlign w:val="bottom"/>
            <w:hideMark/>
          </w:tcPr>
          <w:p w14:paraId="4BAEC683"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330914</w:t>
            </w:r>
          </w:p>
        </w:tc>
        <w:tc>
          <w:tcPr>
            <w:tcW w:w="986" w:type="dxa"/>
            <w:tcBorders>
              <w:top w:val="nil"/>
              <w:left w:val="nil"/>
              <w:bottom w:val="single" w:sz="4" w:space="0" w:color="auto"/>
              <w:right w:val="single" w:sz="4" w:space="0" w:color="auto"/>
            </w:tcBorders>
            <w:shd w:val="clear" w:color="auto" w:fill="auto"/>
            <w:noWrap/>
            <w:vAlign w:val="bottom"/>
            <w:hideMark/>
          </w:tcPr>
          <w:p w14:paraId="0B027798"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353952</w:t>
            </w:r>
          </w:p>
        </w:tc>
      </w:tr>
      <w:tr w:rsidR="00992F1A" w:rsidRPr="00DB7E95" w14:paraId="76127B58"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tcPr>
          <w:p w14:paraId="7B9DB793" w14:textId="573DE9CA"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6C987138" w14:textId="37E7EB62"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2F3C640F" w14:textId="29C64F96"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3AD770E3" w14:textId="58C21C58"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r>
      <w:tr w:rsidR="00992F1A" w:rsidRPr="00DB7E95" w14:paraId="4A4B2C17"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noWrap/>
            <w:vAlign w:val="bottom"/>
            <w:hideMark/>
          </w:tcPr>
          <w:p w14:paraId="3E12D8BA" w14:textId="77777777" w:rsidR="00992F1A" w:rsidRPr="00C86312" w:rsidRDefault="00992F1A" w:rsidP="00992F1A">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Operāciju un biopsiju materiāla imūnhistoķīmija krūts dziedzera vēža gadījumā</w:t>
            </w:r>
          </w:p>
        </w:tc>
        <w:tc>
          <w:tcPr>
            <w:tcW w:w="986" w:type="dxa"/>
            <w:tcBorders>
              <w:top w:val="nil"/>
              <w:left w:val="nil"/>
              <w:bottom w:val="single" w:sz="4" w:space="0" w:color="auto"/>
              <w:right w:val="single" w:sz="4" w:space="0" w:color="auto"/>
            </w:tcBorders>
            <w:shd w:val="clear" w:color="auto" w:fill="auto"/>
            <w:noWrap/>
            <w:vAlign w:val="bottom"/>
            <w:hideMark/>
          </w:tcPr>
          <w:p w14:paraId="741137DA"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c>
          <w:tcPr>
            <w:tcW w:w="986" w:type="dxa"/>
            <w:tcBorders>
              <w:top w:val="nil"/>
              <w:left w:val="nil"/>
              <w:bottom w:val="single" w:sz="4" w:space="0" w:color="auto"/>
              <w:right w:val="single" w:sz="4" w:space="0" w:color="auto"/>
            </w:tcBorders>
            <w:shd w:val="clear" w:color="auto" w:fill="auto"/>
            <w:noWrap/>
            <w:vAlign w:val="bottom"/>
            <w:hideMark/>
          </w:tcPr>
          <w:p w14:paraId="53988FB2"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c>
          <w:tcPr>
            <w:tcW w:w="986" w:type="dxa"/>
            <w:tcBorders>
              <w:top w:val="nil"/>
              <w:left w:val="nil"/>
              <w:bottom w:val="single" w:sz="4" w:space="0" w:color="auto"/>
              <w:right w:val="single" w:sz="4" w:space="0" w:color="auto"/>
            </w:tcBorders>
            <w:shd w:val="clear" w:color="auto" w:fill="auto"/>
            <w:noWrap/>
            <w:vAlign w:val="bottom"/>
            <w:hideMark/>
          </w:tcPr>
          <w:p w14:paraId="1ECD6FEA"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r>
      <w:tr w:rsidR="00992F1A" w:rsidRPr="00DB7E95" w14:paraId="0241B914"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14:paraId="40E73E28"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Izmeklējumu apjoms</w:t>
            </w:r>
          </w:p>
        </w:tc>
        <w:tc>
          <w:tcPr>
            <w:tcW w:w="986" w:type="dxa"/>
            <w:tcBorders>
              <w:top w:val="nil"/>
              <w:left w:val="nil"/>
              <w:bottom w:val="single" w:sz="4" w:space="0" w:color="auto"/>
              <w:right w:val="single" w:sz="4" w:space="0" w:color="auto"/>
            </w:tcBorders>
            <w:shd w:val="clear" w:color="auto" w:fill="auto"/>
            <w:noWrap/>
            <w:vAlign w:val="bottom"/>
            <w:hideMark/>
          </w:tcPr>
          <w:p w14:paraId="0248492B"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1594</w:t>
            </w:r>
          </w:p>
        </w:tc>
        <w:tc>
          <w:tcPr>
            <w:tcW w:w="986" w:type="dxa"/>
            <w:tcBorders>
              <w:top w:val="nil"/>
              <w:left w:val="nil"/>
              <w:bottom w:val="single" w:sz="4" w:space="0" w:color="auto"/>
              <w:right w:val="single" w:sz="4" w:space="0" w:color="auto"/>
            </w:tcBorders>
            <w:shd w:val="clear" w:color="auto" w:fill="auto"/>
            <w:noWrap/>
            <w:vAlign w:val="bottom"/>
            <w:hideMark/>
          </w:tcPr>
          <w:p w14:paraId="2A2BB8C9"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1683</w:t>
            </w:r>
          </w:p>
        </w:tc>
        <w:tc>
          <w:tcPr>
            <w:tcW w:w="986" w:type="dxa"/>
            <w:tcBorders>
              <w:top w:val="nil"/>
              <w:left w:val="nil"/>
              <w:bottom w:val="single" w:sz="4" w:space="0" w:color="auto"/>
              <w:right w:val="single" w:sz="4" w:space="0" w:color="auto"/>
            </w:tcBorders>
            <w:shd w:val="clear" w:color="auto" w:fill="auto"/>
            <w:noWrap/>
            <w:vAlign w:val="bottom"/>
            <w:hideMark/>
          </w:tcPr>
          <w:p w14:paraId="6A5CB968"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1772</w:t>
            </w:r>
          </w:p>
        </w:tc>
      </w:tr>
      <w:tr w:rsidR="00992F1A" w:rsidRPr="00DB7E95" w14:paraId="5F967618"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14:paraId="2E65F621" w14:textId="306C73A2"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lastRenderedPageBreak/>
              <w:t xml:space="preserve">1 izmeklējuma plānotās izmaksas </w:t>
            </w:r>
            <w:r w:rsidR="00607ED9">
              <w:rPr>
                <w:rFonts w:ascii="Times New Roman" w:eastAsia="Times New Roman" w:hAnsi="Times New Roman" w:cs="Times New Roman"/>
                <w:color w:val="000000"/>
                <w:sz w:val="20"/>
                <w:szCs w:val="20"/>
                <w:lang w:eastAsia="lv-LV"/>
              </w:rPr>
              <w:t>VPC</w:t>
            </w:r>
            <w:r w:rsidRPr="00C86312">
              <w:rPr>
                <w:rFonts w:ascii="Times New Roman" w:eastAsia="Times New Roman" w:hAnsi="Times New Roman" w:cs="Times New Roman"/>
                <w:color w:val="000000"/>
                <w:sz w:val="20"/>
                <w:szCs w:val="20"/>
                <w:lang w:eastAsia="lv-LV"/>
              </w:rPr>
              <w:t>, euro</w:t>
            </w:r>
          </w:p>
        </w:tc>
        <w:tc>
          <w:tcPr>
            <w:tcW w:w="986" w:type="dxa"/>
            <w:tcBorders>
              <w:top w:val="nil"/>
              <w:left w:val="nil"/>
              <w:bottom w:val="single" w:sz="4" w:space="0" w:color="auto"/>
              <w:right w:val="single" w:sz="4" w:space="0" w:color="auto"/>
            </w:tcBorders>
            <w:shd w:val="clear" w:color="auto" w:fill="auto"/>
            <w:noWrap/>
            <w:vAlign w:val="bottom"/>
            <w:hideMark/>
          </w:tcPr>
          <w:p w14:paraId="18A01CDF"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224.12</w:t>
            </w:r>
          </w:p>
        </w:tc>
        <w:tc>
          <w:tcPr>
            <w:tcW w:w="986" w:type="dxa"/>
            <w:tcBorders>
              <w:top w:val="nil"/>
              <w:left w:val="nil"/>
              <w:bottom w:val="single" w:sz="4" w:space="0" w:color="auto"/>
              <w:right w:val="single" w:sz="4" w:space="0" w:color="auto"/>
            </w:tcBorders>
            <w:shd w:val="clear" w:color="auto" w:fill="auto"/>
            <w:noWrap/>
            <w:vAlign w:val="bottom"/>
            <w:hideMark/>
          </w:tcPr>
          <w:p w14:paraId="51804910"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224.12</w:t>
            </w:r>
          </w:p>
        </w:tc>
        <w:tc>
          <w:tcPr>
            <w:tcW w:w="986" w:type="dxa"/>
            <w:tcBorders>
              <w:top w:val="nil"/>
              <w:left w:val="nil"/>
              <w:bottom w:val="single" w:sz="4" w:space="0" w:color="auto"/>
              <w:right w:val="single" w:sz="4" w:space="0" w:color="auto"/>
            </w:tcBorders>
            <w:shd w:val="clear" w:color="auto" w:fill="auto"/>
            <w:noWrap/>
            <w:vAlign w:val="bottom"/>
            <w:hideMark/>
          </w:tcPr>
          <w:p w14:paraId="417FD18A"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224.12</w:t>
            </w:r>
          </w:p>
        </w:tc>
      </w:tr>
      <w:tr w:rsidR="00992F1A" w:rsidRPr="00DB7E95" w14:paraId="51C9071F"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14:paraId="2A3D6431" w14:textId="77777777" w:rsidR="00992F1A" w:rsidRPr="00C86312" w:rsidRDefault="00992F1A" w:rsidP="00992F1A">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Summa, euro</w:t>
            </w:r>
          </w:p>
        </w:tc>
        <w:tc>
          <w:tcPr>
            <w:tcW w:w="986" w:type="dxa"/>
            <w:tcBorders>
              <w:top w:val="nil"/>
              <w:left w:val="nil"/>
              <w:bottom w:val="single" w:sz="4" w:space="0" w:color="auto"/>
              <w:right w:val="single" w:sz="4" w:space="0" w:color="auto"/>
            </w:tcBorders>
            <w:shd w:val="clear" w:color="auto" w:fill="auto"/>
            <w:noWrap/>
            <w:vAlign w:val="bottom"/>
            <w:hideMark/>
          </w:tcPr>
          <w:p w14:paraId="10396DBE"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357247</w:t>
            </w:r>
          </w:p>
        </w:tc>
        <w:tc>
          <w:tcPr>
            <w:tcW w:w="986" w:type="dxa"/>
            <w:tcBorders>
              <w:top w:val="nil"/>
              <w:left w:val="nil"/>
              <w:bottom w:val="single" w:sz="4" w:space="0" w:color="auto"/>
              <w:right w:val="single" w:sz="4" w:space="0" w:color="auto"/>
            </w:tcBorders>
            <w:shd w:val="clear" w:color="auto" w:fill="auto"/>
            <w:noWrap/>
            <w:vAlign w:val="bottom"/>
            <w:hideMark/>
          </w:tcPr>
          <w:p w14:paraId="0633BF82"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377194</w:t>
            </w:r>
          </w:p>
        </w:tc>
        <w:tc>
          <w:tcPr>
            <w:tcW w:w="986" w:type="dxa"/>
            <w:tcBorders>
              <w:top w:val="nil"/>
              <w:left w:val="nil"/>
              <w:bottom w:val="single" w:sz="4" w:space="0" w:color="auto"/>
              <w:right w:val="single" w:sz="4" w:space="0" w:color="auto"/>
            </w:tcBorders>
            <w:shd w:val="clear" w:color="auto" w:fill="auto"/>
            <w:noWrap/>
            <w:vAlign w:val="bottom"/>
            <w:hideMark/>
          </w:tcPr>
          <w:p w14:paraId="0A469B86"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397141</w:t>
            </w:r>
          </w:p>
        </w:tc>
      </w:tr>
      <w:tr w:rsidR="00992F1A" w:rsidRPr="00DB7E95" w14:paraId="213BD70F"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tcPr>
          <w:p w14:paraId="282306E1" w14:textId="22759985"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62CBBEAD" w14:textId="42506D15"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3D5EE3FD" w14:textId="526D3328"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7C5D4563" w14:textId="0B58381C"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r>
      <w:tr w:rsidR="00992F1A" w:rsidRPr="00DB7E95" w14:paraId="5BEC5AED"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noWrap/>
            <w:vAlign w:val="bottom"/>
            <w:hideMark/>
          </w:tcPr>
          <w:p w14:paraId="0FB62A1A" w14:textId="77777777" w:rsidR="00992F1A" w:rsidRPr="00C86312" w:rsidRDefault="00992F1A" w:rsidP="00992F1A">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Operāciju un biopsiju materiāla izmeklēšana ar Fluorescento in situ hibridizācijas (FISH) metodi krūts dziedzera audzēju gadījumā</w:t>
            </w:r>
          </w:p>
        </w:tc>
        <w:tc>
          <w:tcPr>
            <w:tcW w:w="986" w:type="dxa"/>
            <w:tcBorders>
              <w:top w:val="nil"/>
              <w:left w:val="nil"/>
              <w:bottom w:val="single" w:sz="4" w:space="0" w:color="auto"/>
              <w:right w:val="single" w:sz="4" w:space="0" w:color="auto"/>
            </w:tcBorders>
            <w:shd w:val="clear" w:color="auto" w:fill="auto"/>
            <w:noWrap/>
            <w:vAlign w:val="bottom"/>
            <w:hideMark/>
          </w:tcPr>
          <w:p w14:paraId="5A79DE24"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c>
          <w:tcPr>
            <w:tcW w:w="986" w:type="dxa"/>
            <w:tcBorders>
              <w:top w:val="nil"/>
              <w:left w:val="nil"/>
              <w:bottom w:val="single" w:sz="4" w:space="0" w:color="auto"/>
              <w:right w:val="single" w:sz="4" w:space="0" w:color="auto"/>
            </w:tcBorders>
            <w:shd w:val="clear" w:color="auto" w:fill="auto"/>
            <w:noWrap/>
            <w:vAlign w:val="bottom"/>
            <w:hideMark/>
          </w:tcPr>
          <w:p w14:paraId="104BFBD9"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c>
          <w:tcPr>
            <w:tcW w:w="986" w:type="dxa"/>
            <w:tcBorders>
              <w:top w:val="nil"/>
              <w:left w:val="nil"/>
              <w:bottom w:val="single" w:sz="4" w:space="0" w:color="auto"/>
              <w:right w:val="single" w:sz="4" w:space="0" w:color="auto"/>
            </w:tcBorders>
            <w:shd w:val="clear" w:color="auto" w:fill="auto"/>
            <w:noWrap/>
            <w:vAlign w:val="bottom"/>
            <w:hideMark/>
          </w:tcPr>
          <w:p w14:paraId="4E097578"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r>
      <w:tr w:rsidR="00992F1A" w:rsidRPr="00DB7E95" w14:paraId="6D0B2C3A"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14:paraId="15692A3D"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Izmeklējumu apjoms</w:t>
            </w:r>
          </w:p>
        </w:tc>
        <w:tc>
          <w:tcPr>
            <w:tcW w:w="986" w:type="dxa"/>
            <w:tcBorders>
              <w:top w:val="nil"/>
              <w:left w:val="nil"/>
              <w:bottom w:val="single" w:sz="4" w:space="0" w:color="auto"/>
              <w:right w:val="single" w:sz="4" w:space="0" w:color="auto"/>
            </w:tcBorders>
            <w:shd w:val="clear" w:color="auto" w:fill="auto"/>
            <w:noWrap/>
            <w:vAlign w:val="bottom"/>
            <w:hideMark/>
          </w:tcPr>
          <w:p w14:paraId="7E862E76"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875</w:t>
            </w:r>
          </w:p>
        </w:tc>
        <w:tc>
          <w:tcPr>
            <w:tcW w:w="986" w:type="dxa"/>
            <w:tcBorders>
              <w:top w:val="nil"/>
              <w:left w:val="nil"/>
              <w:bottom w:val="single" w:sz="4" w:space="0" w:color="auto"/>
              <w:right w:val="single" w:sz="4" w:space="0" w:color="auto"/>
            </w:tcBorders>
            <w:shd w:val="clear" w:color="auto" w:fill="auto"/>
            <w:noWrap/>
            <w:vAlign w:val="bottom"/>
            <w:hideMark/>
          </w:tcPr>
          <w:p w14:paraId="7CB16FEE"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1019</w:t>
            </w:r>
          </w:p>
        </w:tc>
        <w:tc>
          <w:tcPr>
            <w:tcW w:w="986" w:type="dxa"/>
            <w:tcBorders>
              <w:top w:val="nil"/>
              <w:left w:val="nil"/>
              <w:bottom w:val="single" w:sz="4" w:space="0" w:color="auto"/>
              <w:right w:val="single" w:sz="4" w:space="0" w:color="auto"/>
            </w:tcBorders>
            <w:shd w:val="clear" w:color="auto" w:fill="auto"/>
            <w:noWrap/>
            <w:vAlign w:val="bottom"/>
            <w:hideMark/>
          </w:tcPr>
          <w:p w14:paraId="3E200276"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1163</w:t>
            </w:r>
          </w:p>
        </w:tc>
      </w:tr>
      <w:tr w:rsidR="00992F1A" w:rsidRPr="00DB7E95" w14:paraId="108DDB0C"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14:paraId="60AC9239" w14:textId="09FB3126"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xml:space="preserve">1 izmeklējuma plānotās izmaksas </w:t>
            </w:r>
            <w:r w:rsidR="00607ED9">
              <w:rPr>
                <w:rFonts w:ascii="Times New Roman" w:eastAsia="Times New Roman" w:hAnsi="Times New Roman" w:cs="Times New Roman"/>
                <w:color w:val="000000"/>
                <w:sz w:val="20"/>
                <w:szCs w:val="20"/>
                <w:lang w:eastAsia="lv-LV"/>
              </w:rPr>
              <w:t>VPC</w:t>
            </w:r>
            <w:r w:rsidRPr="00C86312">
              <w:rPr>
                <w:rFonts w:ascii="Times New Roman" w:eastAsia="Times New Roman" w:hAnsi="Times New Roman" w:cs="Times New Roman"/>
                <w:color w:val="000000"/>
                <w:sz w:val="20"/>
                <w:szCs w:val="20"/>
                <w:lang w:eastAsia="lv-LV"/>
              </w:rPr>
              <w:t>, euro</w:t>
            </w:r>
          </w:p>
        </w:tc>
        <w:tc>
          <w:tcPr>
            <w:tcW w:w="986" w:type="dxa"/>
            <w:tcBorders>
              <w:top w:val="nil"/>
              <w:left w:val="nil"/>
              <w:bottom w:val="single" w:sz="4" w:space="0" w:color="auto"/>
              <w:right w:val="single" w:sz="4" w:space="0" w:color="auto"/>
            </w:tcBorders>
            <w:shd w:val="clear" w:color="auto" w:fill="auto"/>
            <w:noWrap/>
            <w:vAlign w:val="bottom"/>
            <w:hideMark/>
          </w:tcPr>
          <w:p w14:paraId="577276F0"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242.71</w:t>
            </w:r>
          </w:p>
        </w:tc>
        <w:tc>
          <w:tcPr>
            <w:tcW w:w="986" w:type="dxa"/>
            <w:tcBorders>
              <w:top w:val="nil"/>
              <w:left w:val="nil"/>
              <w:bottom w:val="single" w:sz="4" w:space="0" w:color="auto"/>
              <w:right w:val="single" w:sz="4" w:space="0" w:color="auto"/>
            </w:tcBorders>
            <w:shd w:val="clear" w:color="auto" w:fill="auto"/>
            <w:noWrap/>
            <w:vAlign w:val="bottom"/>
            <w:hideMark/>
          </w:tcPr>
          <w:p w14:paraId="5D49B40C"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242.71</w:t>
            </w:r>
          </w:p>
        </w:tc>
        <w:tc>
          <w:tcPr>
            <w:tcW w:w="986" w:type="dxa"/>
            <w:tcBorders>
              <w:top w:val="nil"/>
              <w:left w:val="nil"/>
              <w:bottom w:val="single" w:sz="4" w:space="0" w:color="auto"/>
              <w:right w:val="single" w:sz="4" w:space="0" w:color="auto"/>
            </w:tcBorders>
            <w:shd w:val="clear" w:color="auto" w:fill="auto"/>
            <w:noWrap/>
            <w:vAlign w:val="bottom"/>
            <w:hideMark/>
          </w:tcPr>
          <w:p w14:paraId="6F8D088C"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242.71</w:t>
            </w:r>
          </w:p>
        </w:tc>
      </w:tr>
      <w:tr w:rsidR="00992F1A" w:rsidRPr="00DB7E95" w14:paraId="0598F3D5"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14:paraId="2D191C53" w14:textId="77777777" w:rsidR="00992F1A" w:rsidRPr="00C86312" w:rsidRDefault="00992F1A" w:rsidP="00992F1A">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Summa, euro</w:t>
            </w:r>
          </w:p>
        </w:tc>
        <w:tc>
          <w:tcPr>
            <w:tcW w:w="986" w:type="dxa"/>
            <w:tcBorders>
              <w:top w:val="nil"/>
              <w:left w:val="nil"/>
              <w:bottom w:val="single" w:sz="4" w:space="0" w:color="auto"/>
              <w:right w:val="single" w:sz="4" w:space="0" w:color="auto"/>
            </w:tcBorders>
            <w:shd w:val="clear" w:color="auto" w:fill="auto"/>
            <w:noWrap/>
            <w:vAlign w:val="bottom"/>
            <w:hideMark/>
          </w:tcPr>
          <w:p w14:paraId="37606223"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212371</w:t>
            </w:r>
          </w:p>
        </w:tc>
        <w:tc>
          <w:tcPr>
            <w:tcW w:w="986" w:type="dxa"/>
            <w:tcBorders>
              <w:top w:val="nil"/>
              <w:left w:val="nil"/>
              <w:bottom w:val="single" w:sz="4" w:space="0" w:color="auto"/>
              <w:right w:val="single" w:sz="4" w:space="0" w:color="auto"/>
            </w:tcBorders>
            <w:shd w:val="clear" w:color="auto" w:fill="auto"/>
            <w:noWrap/>
            <w:vAlign w:val="bottom"/>
            <w:hideMark/>
          </w:tcPr>
          <w:p w14:paraId="07A1A538"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247321</w:t>
            </w:r>
          </w:p>
        </w:tc>
        <w:tc>
          <w:tcPr>
            <w:tcW w:w="986" w:type="dxa"/>
            <w:tcBorders>
              <w:top w:val="nil"/>
              <w:left w:val="nil"/>
              <w:bottom w:val="single" w:sz="4" w:space="0" w:color="auto"/>
              <w:right w:val="single" w:sz="4" w:space="0" w:color="auto"/>
            </w:tcBorders>
            <w:shd w:val="clear" w:color="auto" w:fill="auto"/>
            <w:noWrap/>
            <w:vAlign w:val="bottom"/>
            <w:hideMark/>
          </w:tcPr>
          <w:p w14:paraId="5F4C1A47"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282272</w:t>
            </w:r>
          </w:p>
        </w:tc>
      </w:tr>
      <w:tr w:rsidR="00992F1A" w:rsidRPr="00DB7E95" w14:paraId="346768BE"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tcPr>
          <w:p w14:paraId="57CEE448" w14:textId="3C986C48"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371876F2" w14:textId="67B8EE3C"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4098051F" w14:textId="40ED3938"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23093C9F" w14:textId="7E348C09"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r>
      <w:tr w:rsidR="00992F1A" w:rsidRPr="00DB7E95" w14:paraId="7D3FD29F"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noWrap/>
            <w:vAlign w:val="bottom"/>
            <w:hideMark/>
          </w:tcPr>
          <w:p w14:paraId="7E2A17B6" w14:textId="77777777" w:rsidR="00992F1A" w:rsidRPr="00C86312" w:rsidRDefault="00992F1A" w:rsidP="00992F1A">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Operāciju un biopsiju materiāla izmeklēšana- gēnu mutāciju noteikšana ar polimerāzes ķēdes reakciju (PCR) visu veidu audzēju gadījumos,īpaši bērniem</w:t>
            </w:r>
          </w:p>
        </w:tc>
        <w:tc>
          <w:tcPr>
            <w:tcW w:w="986" w:type="dxa"/>
            <w:tcBorders>
              <w:top w:val="nil"/>
              <w:left w:val="nil"/>
              <w:bottom w:val="single" w:sz="4" w:space="0" w:color="auto"/>
              <w:right w:val="single" w:sz="4" w:space="0" w:color="auto"/>
            </w:tcBorders>
            <w:shd w:val="clear" w:color="auto" w:fill="auto"/>
            <w:noWrap/>
            <w:vAlign w:val="bottom"/>
            <w:hideMark/>
          </w:tcPr>
          <w:p w14:paraId="2FDCA764"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c>
          <w:tcPr>
            <w:tcW w:w="986" w:type="dxa"/>
            <w:tcBorders>
              <w:top w:val="nil"/>
              <w:left w:val="nil"/>
              <w:bottom w:val="single" w:sz="4" w:space="0" w:color="auto"/>
              <w:right w:val="single" w:sz="4" w:space="0" w:color="auto"/>
            </w:tcBorders>
            <w:shd w:val="clear" w:color="auto" w:fill="auto"/>
            <w:noWrap/>
            <w:vAlign w:val="bottom"/>
            <w:hideMark/>
          </w:tcPr>
          <w:p w14:paraId="3F0E6DFC"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c>
          <w:tcPr>
            <w:tcW w:w="986" w:type="dxa"/>
            <w:tcBorders>
              <w:top w:val="nil"/>
              <w:left w:val="nil"/>
              <w:bottom w:val="single" w:sz="4" w:space="0" w:color="auto"/>
              <w:right w:val="single" w:sz="4" w:space="0" w:color="auto"/>
            </w:tcBorders>
            <w:shd w:val="clear" w:color="auto" w:fill="auto"/>
            <w:noWrap/>
            <w:vAlign w:val="bottom"/>
            <w:hideMark/>
          </w:tcPr>
          <w:p w14:paraId="279E4167"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w:t>
            </w:r>
          </w:p>
        </w:tc>
      </w:tr>
      <w:tr w:rsidR="00992F1A" w:rsidRPr="00DB7E95" w14:paraId="68D01E9E"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14:paraId="14802589"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Izmeklējumu apjoms</w:t>
            </w:r>
          </w:p>
        </w:tc>
        <w:tc>
          <w:tcPr>
            <w:tcW w:w="986" w:type="dxa"/>
            <w:tcBorders>
              <w:top w:val="nil"/>
              <w:left w:val="nil"/>
              <w:bottom w:val="single" w:sz="4" w:space="0" w:color="auto"/>
              <w:right w:val="single" w:sz="4" w:space="0" w:color="auto"/>
            </w:tcBorders>
            <w:shd w:val="clear" w:color="auto" w:fill="auto"/>
            <w:noWrap/>
            <w:vAlign w:val="bottom"/>
            <w:hideMark/>
          </w:tcPr>
          <w:p w14:paraId="132CB158"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875</w:t>
            </w:r>
          </w:p>
        </w:tc>
        <w:tc>
          <w:tcPr>
            <w:tcW w:w="986" w:type="dxa"/>
            <w:tcBorders>
              <w:top w:val="nil"/>
              <w:left w:val="nil"/>
              <w:bottom w:val="single" w:sz="4" w:space="0" w:color="auto"/>
              <w:right w:val="single" w:sz="4" w:space="0" w:color="auto"/>
            </w:tcBorders>
            <w:shd w:val="clear" w:color="auto" w:fill="auto"/>
            <w:noWrap/>
            <w:vAlign w:val="bottom"/>
            <w:hideMark/>
          </w:tcPr>
          <w:p w14:paraId="349C35C4"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1025</w:t>
            </w:r>
          </w:p>
        </w:tc>
        <w:tc>
          <w:tcPr>
            <w:tcW w:w="986" w:type="dxa"/>
            <w:tcBorders>
              <w:top w:val="nil"/>
              <w:left w:val="nil"/>
              <w:bottom w:val="single" w:sz="4" w:space="0" w:color="auto"/>
              <w:right w:val="single" w:sz="4" w:space="0" w:color="auto"/>
            </w:tcBorders>
            <w:shd w:val="clear" w:color="auto" w:fill="auto"/>
            <w:noWrap/>
            <w:vAlign w:val="bottom"/>
            <w:hideMark/>
          </w:tcPr>
          <w:p w14:paraId="67C76DE7"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1174</w:t>
            </w:r>
          </w:p>
        </w:tc>
      </w:tr>
      <w:tr w:rsidR="00992F1A" w:rsidRPr="00DB7E95" w14:paraId="2A0C4A4D"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14:paraId="13337C3A" w14:textId="26133D1B"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 xml:space="preserve">1 izmeklējuma plānotās izmaksas </w:t>
            </w:r>
            <w:r w:rsidR="00607ED9">
              <w:rPr>
                <w:rFonts w:ascii="Times New Roman" w:eastAsia="Times New Roman" w:hAnsi="Times New Roman" w:cs="Times New Roman"/>
                <w:color w:val="000000"/>
                <w:sz w:val="20"/>
                <w:szCs w:val="20"/>
                <w:lang w:eastAsia="lv-LV"/>
              </w:rPr>
              <w:t>VPC</w:t>
            </w:r>
            <w:r w:rsidRPr="00C86312">
              <w:rPr>
                <w:rFonts w:ascii="Times New Roman" w:eastAsia="Times New Roman" w:hAnsi="Times New Roman" w:cs="Times New Roman"/>
                <w:color w:val="000000"/>
                <w:sz w:val="20"/>
                <w:szCs w:val="20"/>
                <w:lang w:eastAsia="lv-LV"/>
              </w:rPr>
              <w:t>, euro</w:t>
            </w:r>
          </w:p>
        </w:tc>
        <w:tc>
          <w:tcPr>
            <w:tcW w:w="986" w:type="dxa"/>
            <w:tcBorders>
              <w:top w:val="nil"/>
              <w:left w:val="nil"/>
              <w:bottom w:val="single" w:sz="4" w:space="0" w:color="auto"/>
              <w:right w:val="single" w:sz="4" w:space="0" w:color="auto"/>
            </w:tcBorders>
            <w:shd w:val="clear" w:color="auto" w:fill="auto"/>
            <w:noWrap/>
            <w:vAlign w:val="bottom"/>
            <w:hideMark/>
          </w:tcPr>
          <w:p w14:paraId="393174F8"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200.14</w:t>
            </w:r>
          </w:p>
        </w:tc>
        <w:tc>
          <w:tcPr>
            <w:tcW w:w="986" w:type="dxa"/>
            <w:tcBorders>
              <w:top w:val="nil"/>
              <w:left w:val="nil"/>
              <w:bottom w:val="single" w:sz="4" w:space="0" w:color="auto"/>
              <w:right w:val="single" w:sz="4" w:space="0" w:color="auto"/>
            </w:tcBorders>
            <w:shd w:val="clear" w:color="auto" w:fill="auto"/>
            <w:noWrap/>
            <w:vAlign w:val="bottom"/>
            <w:hideMark/>
          </w:tcPr>
          <w:p w14:paraId="396114E7"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200.14</w:t>
            </w:r>
          </w:p>
        </w:tc>
        <w:tc>
          <w:tcPr>
            <w:tcW w:w="986" w:type="dxa"/>
            <w:tcBorders>
              <w:top w:val="nil"/>
              <w:left w:val="nil"/>
              <w:bottom w:val="single" w:sz="4" w:space="0" w:color="auto"/>
              <w:right w:val="single" w:sz="4" w:space="0" w:color="auto"/>
            </w:tcBorders>
            <w:shd w:val="clear" w:color="auto" w:fill="auto"/>
            <w:noWrap/>
            <w:vAlign w:val="bottom"/>
            <w:hideMark/>
          </w:tcPr>
          <w:p w14:paraId="5C6BAE58"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200.14</w:t>
            </w:r>
          </w:p>
        </w:tc>
      </w:tr>
      <w:tr w:rsidR="00992F1A" w:rsidRPr="00DB7E95" w14:paraId="4F2DA28B"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14:paraId="348B27C4" w14:textId="77777777" w:rsidR="00992F1A" w:rsidRPr="00C86312" w:rsidRDefault="00992F1A" w:rsidP="00992F1A">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Summa, euro</w:t>
            </w:r>
          </w:p>
        </w:tc>
        <w:tc>
          <w:tcPr>
            <w:tcW w:w="986" w:type="dxa"/>
            <w:tcBorders>
              <w:top w:val="nil"/>
              <w:left w:val="nil"/>
              <w:bottom w:val="single" w:sz="4" w:space="0" w:color="auto"/>
              <w:right w:val="single" w:sz="4" w:space="0" w:color="auto"/>
            </w:tcBorders>
            <w:shd w:val="clear" w:color="auto" w:fill="auto"/>
            <w:noWrap/>
            <w:vAlign w:val="bottom"/>
            <w:hideMark/>
          </w:tcPr>
          <w:p w14:paraId="59816218"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175123</w:t>
            </w:r>
          </w:p>
        </w:tc>
        <w:tc>
          <w:tcPr>
            <w:tcW w:w="986" w:type="dxa"/>
            <w:tcBorders>
              <w:top w:val="nil"/>
              <w:left w:val="nil"/>
              <w:bottom w:val="single" w:sz="4" w:space="0" w:color="auto"/>
              <w:right w:val="single" w:sz="4" w:space="0" w:color="auto"/>
            </w:tcBorders>
            <w:shd w:val="clear" w:color="auto" w:fill="auto"/>
            <w:noWrap/>
            <w:vAlign w:val="bottom"/>
            <w:hideMark/>
          </w:tcPr>
          <w:p w14:paraId="539D0F08"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205144</w:t>
            </w:r>
          </w:p>
        </w:tc>
        <w:tc>
          <w:tcPr>
            <w:tcW w:w="986" w:type="dxa"/>
            <w:tcBorders>
              <w:top w:val="nil"/>
              <w:left w:val="nil"/>
              <w:bottom w:val="single" w:sz="4" w:space="0" w:color="auto"/>
              <w:right w:val="single" w:sz="4" w:space="0" w:color="auto"/>
            </w:tcBorders>
            <w:shd w:val="clear" w:color="auto" w:fill="auto"/>
            <w:noWrap/>
            <w:vAlign w:val="bottom"/>
            <w:hideMark/>
          </w:tcPr>
          <w:p w14:paraId="4B56775A"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234964</w:t>
            </w:r>
          </w:p>
        </w:tc>
      </w:tr>
      <w:tr w:rsidR="00992F1A" w:rsidRPr="00DB7E95" w14:paraId="0837A09A"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tcPr>
          <w:p w14:paraId="24C18916" w14:textId="5392720F"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2FB4DB9F" w14:textId="74FAC632"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485A394E" w14:textId="6FE9BCBE"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4855374F" w14:textId="4F2C41EB"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r>
      <w:tr w:rsidR="00992F1A" w:rsidRPr="00DB7E95" w14:paraId="3258F380"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FDE9D9" w:themeFill="accent6" w:themeFillTint="33"/>
            <w:vAlign w:val="bottom"/>
            <w:hideMark/>
          </w:tcPr>
          <w:p w14:paraId="5918F1AF" w14:textId="26B63ACE" w:rsidR="00992F1A" w:rsidRPr="00C86312" w:rsidRDefault="00992F1A" w:rsidP="00992F1A">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 xml:space="preserve">Plānotās izmaksas </w:t>
            </w:r>
            <w:r w:rsidR="00607ED9">
              <w:rPr>
                <w:rFonts w:ascii="Times New Roman" w:eastAsia="Times New Roman" w:hAnsi="Times New Roman" w:cs="Times New Roman"/>
                <w:b/>
                <w:bCs/>
                <w:color w:val="000000"/>
                <w:sz w:val="20"/>
                <w:szCs w:val="20"/>
                <w:lang w:eastAsia="lv-LV"/>
              </w:rPr>
              <w:t>VPC</w:t>
            </w:r>
            <w:r w:rsidR="00607ED9" w:rsidRPr="00C86312">
              <w:rPr>
                <w:rFonts w:ascii="Times New Roman" w:eastAsia="Times New Roman" w:hAnsi="Times New Roman" w:cs="Times New Roman"/>
                <w:b/>
                <w:bCs/>
                <w:color w:val="000000"/>
                <w:sz w:val="20"/>
                <w:szCs w:val="20"/>
                <w:lang w:eastAsia="lv-LV"/>
              </w:rPr>
              <w:t xml:space="preserve"> </w:t>
            </w:r>
            <w:r w:rsidRPr="00C86312">
              <w:rPr>
                <w:rFonts w:ascii="Times New Roman" w:eastAsia="Times New Roman" w:hAnsi="Times New Roman" w:cs="Times New Roman"/>
                <w:b/>
                <w:bCs/>
                <w:color w:val="000000"/>
                <w:sz w:val="20"/>
                <w:szCs w:val="20"/>
                <w:lang w:eastAsia="lv-LV"/>
              </w:rPr>
              <w:t>kopā, euro</w:t>
            </w:r>
          </w:p>
        </w:tc>
        <w:tc>
          <w:tcPr>
            <w:tcW w:w="986" w:type="dxa"/>
            <w:tcBorders>
              <w:top w:val="nil"/>
              <w:left w:val="nil"/>
              <w:bottom w:val="single" w:sz="4" w:space="0" w:color="auto"/>
              <w:right w:val="single" w:sz="4" w:space="0" w:color="auto"/>
            </w:tcBorders>
            <w:shd w:val="clear" w:color="auto" w:fill="FDE9D9" w:themeFill="accent6" w:themeFillTint="33"/>
            <w:noWrap/>
            <w:vAlign w:val="bottom"/>
            <w:hideMark/>
          </w:tcPr>
          <w:p w14:paraId="2CFCBA31" w14:textId="553C38A6"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1052384</w:t>
            </w:r>
          </w:p>
        </w:tc>
        <w:tc>
          <w:tcPr>
            <w:tcW w:w="986" w:type="dxa"/>
            <w:tcBorders>
              <w:top w:val="nil"/>
              <w:left w:val="nil"/>
              <w:bottom w:val="single" w:sz="4" w:space="0" w:color="auto"/>
              <w:right w:val="single" w:sz="4" w:space="0" w:color="auto"/>
            </w:tcBorders>
            <w:shd w:val="clear" w:color="auto" w:fill="FDE9D9" w:themeFill="accent6" w:themeFillTint="33"/>
            <w:noWrap/>
            <w:vAlign w:val="bottom"/>
            <w:hideMark/>
          </w:tcPr>
          <w:p w14:paraId="767FA7B0" w14:textId="0CD5C16D"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1160573</w:t>
            </w:r>
          </w:p>
        </w:tc>
        <w:tc>
          <w:tcPr>
            <w:tcW w:w="986" w:type="dxa"/>
            <w:tcBorders>
              <w:top w:val="nil"/>
              <w:left w:val="nil"/>
              <w:bottom w:val="single" w:sz="4" w:space="0" w:color="auto"/>
              <w:right w:val="single" w:sz="4" w:space="0" w:color="auto"/>
            </w:tcBorders>
            <w:shd w:val="clear" w:color="auto" w:fill="FDE9D9" w:themeFill="accent6" w:themeFillTint="33"/>
            <w:noWrap/>
            <w:vAlign w:val="bottom"/>
            <w:hideMark/>
          </w:tcPr>
          <w:p w14:paraId="1A510C7E" w14:textId="40402DDC"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1268329</w:t>
            </w:r>
          </w:p>
        </w:tc>
      </w:tr>
      <w:tr w:rsidR="00992F1A" w:rsidRPr="00DB7E95" w14:paraId="005A2474"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tcPr>
          <w:p w14:paraId="1982320B" w14:textId="5DBD9E97" w:rsidR="00992F1A" w:rsidRPr="00C86312" w:rsidRDefault="00992F1A" w:rsidP="00992F1A">
            <w:pPr>
              <w:spacing w:after="0" w:line="240" w:lineRule="auto"/>
              <w:rPr>
                <w:rFonts w:ascii="Times New Roman" w:eastAsia="Times New Roman" w:hAnsi="Times New Roman" w:cs="Times New Roman"/>
                <w:b/>
                <w:bCs/>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32C6A0D8" w14:textId="2BF128F9" w:rsidR="00992F1A" w:rsidRPr="00C86312" w:rsidRDefault="00992F1A" w:rsidP="00992F1A">
            <w:pPr>
              <w:spacing w:after="0" w:line="240" w:lineRule="auto"/>
              <w:rPr>
                <w:rFonts w:ascii="Times New Roman" w:eastAsia="Times New Roman" w:hAnsi="Times New Roman" w:cs="Times New Roman"/>
                <w:b/>
                <w:bCs/>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091557F0" w14:textId="2E7725C8" w:rsidR="00992F1A" w:rsidRPr="00C86312" w:rsidRDefault="00992F1A" w:rsidP="00992F1A">
            <w:pPr>
              <w:spacing w:after="0" w:line="240" w:lineRule="auto"/>
              <w:rPr>
                <w:rFonts w:ascii="Times New Roman" w:eastAsia="Times New Roman" w:hAnsi="Times New Roman" w:cs="Times New Roman"/>
                <w:b/>
                <w:bCs/>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12DB4105" w14:textId="12F725F0" w:rsidR="00992F1A" w:rsidRPr="00C86312" w:rsidRDefault="00992F1A" w:rsidP="00992F1A">
            <w:pPr>
              <w:spacing w:after="0" w:line="240" w:lineRule="auto"/>
              <w:rPr>
                <w:rFonts w:ascii="Times New Roman" w:eastAsia="Times New Roman" w:hAnsi="Times New Roman" w:cs="Times New Roman"/>
                <w:b/>
                <w:bCs/>
                <w:color w:val="000000"/>
                <w:sz w:val="20"/>
                <w:szCs w:val="20"/>
                <w:lang w:eastAsia="lv-LV"/>
              </w:rPr>
            </w:pPr>
          </w:p>
        </w:tc>
      </w:tr>
      <w:tr w:rsidR="00992F1A" w:rsidRPr="00DB7E95" w14:paraId="3AF1D747"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14:paraId="1D351C22"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Izmeklējumu apjoms kopā</w:t>
            </w:r>
          </w:p>
        </w:tc>
        <w:tc>
          <w:tcPr>
            <w:tcW w:w="986" w:type="dxa"/>
            <w:tcBorders>
              <w:top w:val="nil"/>
              <w:left w:val="nil"/>
              <w:bottom w:val="single" w:sz="4" w:space="0" w:color="auto"/>
              <w:right w:val="single" w:sz="4" w:space="0" w:color="auto"/>
            </w:tcBorders>
            <w:shd w:val="clear" w:color="auto" w:fill="auto"/>
            <w:noWrap/>
            <w:vAlign w:val="bottom"/>
            <w:hideMark/>
          </w:tcPr>
          <w:p w14:paraId="1984FB5A"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4666.00</w:t>
            </w:r>
          </w:p>
        </w:tc>
        <w:tc>
          <w:tcPr>
            <w:tcW w:w="986" w:type="dxa"/>
            <w:tcBorders>
              <w:top w:val="nil"/>
              <w:left w:val="nil"/>
              <w:bottom w:val="single" w:sz="4" w:space="0" w:color="auto"/>
              <w:right w:val="single" w:sz="4" w:space="0" w:color="auto"/>
            </w:tcBorders>
            <w:shd w:val="clear" w:color="auto" w:fill="auto"/>
            <w:noWrap/>
            <w:vAlign w:val="bottom"/>
            <w:hideMark/>
          </w:tcPr>
          <w:p w14:paraId="1DAB79FF"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5149.00</w:t>
            </w:r>
          </w:p>
        </w:tc>
        <w:tc>
          <w:tcPr>
            <w:tcW w:w="986" w:type="dxa"/>
            <w:tcBorders>
              <w:top w:val="nil"/>
              <w:left w:val="nil"/>
              <w:bottom w:val="single" w:sz="4" w:space="0" w:color="auto"/>
              <w:right w:val="single" w:sz="4" w:space="0" w:color="auto"/>
            </w:tcBorders>
            <w:shd w:val="clear" w:color="auto" w:fill="auto"/>
            <w:noWrap/>
            <w:vAlign w:val="bottom"/>
            <w:hideMark/>
          </w:tcPr>
          <w:p w14:paraId="5673FE5B"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5630.00</w:t>
            </w:r>
          </w:p>
        </w:tc>
      </w:tr>
      <w:tr w:rsidR="00992F1A" w:rsidRPr="00DB7E95" w14:paraId="338FCC61"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vAlign w:val="bottom"/>
            <w:hideMark/>
          </w:tcPr>
          <w:p w14:paraId="6ADCA00C" w14:textId="77777777"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1 izmeklējuma izmaksas Lielbritānijā, euro</w:t>
            </w:r>
          </w:p>
        </w:tc>
        <w:tc>
          <w:tcPr>
            <w:tcW w:w="986" w:type="dxa"/>
            <w:tcBorders>
              <w:top w:val="nil"/>
              <w:left w:val="nil"/>
              <w:bottom w:val="single" w:sz="4" w:space="0" w:color="auto"/>
              <w:right w:val="single" w:sz="4" w:space="0" w:color="auto"/>
            </w:tcBorders>
            <w:shd w:val="clear" w:color="auto" w:fill="auto"/>
            <w:noWrap/>
            <w:vAlign w:val="bottom"/>
            <w:hideMark/>
          </w:tcPr>
          <w:p w14:paraId="2CF4E3B9"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500.00</w:t>
            </w:r>
          </w:p>
        </w:tc>
        <w:tc>
          <w:tcPr>
            <w:tcW w:w="986" w:type="dxa"/>
            <w:tcBorders>
              <w:top w:val="nil"/>
              <w:left w:val="nil"/>
              <w:bottom w:val="single" w:sz="4" w:space="0" w:color="auto"/>
              <w:right w:val="single" w:sz="4" w:space="0" w:color="auto"/>
            </w:tcBorders>
            <w:shd w:val="clear" w:color="auto" w:fill="auto"/>
            <w:noWrap/>
            <w:vAlign w:val="bottom"/>
            <w:hideMark/>
          </w:tcPr>
          <w:p w14:paraId="49D0F152"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501.00</w:t>
            </w:r>
          </w:p>
        </w:tc>
        <w:tc>
          <w:tcPr>
            <w:tcW w:w="986" w:type="dxa"/>
            <w:tcBorders>
              <w:top w:val="nil"/>
              <w:left w:val="nil"/>
              <w:bottom w:val="single" w:sz="4" w:space="0" w:color="auto"/>
              <w:right w:val="single" w:sz="4" w:space="0" w:color="auto"/>
            </w:tcBorders>
            <w:shd w:val="clear" w:color="auto" w:fill="auto"/>
            <w:noWrap/>
            <w:vAlign w:val="bottom"/>
            <w:hideMark/>
          </w:tcPr>
          <w:p w14:paraId="6FC6AAB5" w14:textId="77777777" w:rsidR="00992F1A" w:rsidRPr="00C86312" w:rsidRDefault="00992F1A" w:rsidP="00992F1A">
            <w:pPr>
              <w:spacing w:after="0" w:line="240" w:lineRule="auto"/>
              <w:jc w:val="right"/>
              <w:rPr>
                <w:rFonts w:ascii="Times New Roman" w:eastAsia="Times New Roman" w:hAnsi="Times New Roman" w:cs="Times New Roman"/>
                <w:color w:val="000000"/>
                <w:sz w:val="20"/>
                <w:szCs w:val="20"/>
                <w:lang w:eastAsia="lv-LV"/>
              </w:rPr>
            </w:pPr>
            <w:r w:rsidRPr="00C86312">
              <w:rPr>
                <w:rFonts w:ascii="Times New Roman" w:eastAsia="Times New Roman" w:hAnsi="Times New Roman" w:cs="Times New Roman"/>
                <w:color w:val="000000"/>
                <w:sz w:val="20"/>
                <w:szCs w:val="20"/>
                <w:lang w:eastAsia="lv-LV"/>
              </w:rPr>
              <w:t>502.00</w:t>
            </w:r>
          </w:p>
        </w:tc>
      </w:tr>
      <w:tr w:rsidR="00992F1A" w:rsidRPr="00EA7C7F" w14:paraId="209BA323"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FDE9D9" w:themeFill="accent6" w:themeFillTint="33"/>
            <w:vAlign w:val="bottom"/>
            <w:hideMark/>
          </w:tcPr>
          <w:p w14:paraId="2EA06AFF" w14:textId="77777777" w:rsidR="00992F1A" w:rsidRPr="00C86312" w:rsidRDefault="00992F1A" w:rsidP="00992F1A">
            <w:pPr>
              <w:spacing w:after="0" w:line="240" w:lineRule="auto"/>
              <w:rPr>
                <w:rFonts w:ascii="Times New Roman" w:eastAsia="Times New Roman" w:hAnsi="Times New Roman" w:cs="Times New Roman"/>
                <w:b/>
                <w:color w:val="000000"/>
                <w:sz w:val="20"/>
                <w:szCs w:val="20"/>
                <w:lang w:eastAsia="lv-LV"/>
              </w:rPr>
            </w:pPr>
            <w:r w:rsidRPr="00C86312">
              <w:rPr>
                <w:rFonts w:ascii="Times New Roman" w:eastAsia="Times New Roman" w:hAnsi="Times New Roman" w:cs="Times New Roman"/>
                <w:b/>
                <w:color w:val="000000"/>
                <w:sz w:val="20"/>
                <w:szCs w:val="20"/>
                <w:lang w:eastAsia="lv-LV"/>
              </w:rPr>
              <w:t>Summa, kopā</w:t>
            </w:r>
          </w:p>
        </w:tc>
        <w:tc>
          <w:tcPr>
            <w:tcW w:w="986" w:type="dxa"/>
            <w:tcBorders>
              <w:top w:val="nil"/>
              <w:left w:val="nil"/>
              <w:bottom w:val="single" w:sz="4" w:space="0" w:color="auto"/>
              <w:right w:val="single" w:sz="4" w:space="0" w:color="auto"/>
            </w:tcBorders>
            <w:shd w:val="clear" w:color="auto" w:fill="FDE9D9" w:themeFill="accent6" w:themeFillTint="33"/>
            <w:noWrap/>
            <w:vAlign w:val="bottom"/>
            <w:hideMark/>
          </w:tcPr>
          <w:p w14:paraId="5B359698"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2333000</w:t>
            </w:r>
          </w:p>
        </w:tc>
        <w:tc>
          <w:tcPr>
            <w:tcW w:w="986" w:type="dxa"/>
            <w:tcBorders>
              <w:top w:val="nil"/>
              <w:left w:val="nil"/>
              <w:bottom w:val="single" w:sz="4" w:space="0" w:color="auto"/>
              <w:right w:val="single" w:sz="4" w:space="0" w:color="auto"/>
            </w:tcBorders>
            <w:shd w:val="clear" w:color="auto" w:fill="FDE9D9" w:themeFill="accent6" w:themeFillTint="33"/>
            <w:noWrap/>
            <w:vAlign w:val="bottom"/>
            <w:hideMark/>
          </w:tcPr>
          <w:p w14:paraId="31DF3CE1"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2579649</w:t>
            </w:r>
          </w:p>
        </w:tc>
        <w:tc>
          <w:tcPr>
            <w:tcW w:w="986" w:type="dxa"/>
            <w:tcBorders>
              <w:top w:val="nil"/>
              <w:left w:val="nil"/>
              <w:bottom w:val="single" w:sz="4" w:space="0" w:color="auto"/>
              <w:right w:val="single" w:sz="4" w:space="0" w:color="auto"/>
            </w:tcBorders>
            <w:shd w:val="clear" w:color="auto" w:fill="FDE9D9" w:themeFill="accent6" w:themeFillTint="33"/>
            <w:noWrap/>
            <w:vAlign w:val="bottom"/>
            <w:hideMark/>
          </w:tcPr>
          <w:p w14:paraId="5C2F60A6" w14:textId="77777777"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2826260</w:t>
            </w:r>
          </w:p>
        </w:tc>
      </w:tr>
      <w:tr w:rsidR="00992F1A" w:rsidRPr="00DB7E95" w14:paraId="6CB23207"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auto"/>
            <w:noWrap/>
            <w:vAlign w:val="bottom"/>
          </w:tcPr>
          <w:p w14:paraId="0DCE3F99" w14:textId="044CB22E"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3C6A87CE" w14:textId="16D8554A"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5DE8BEA7" w14:textId="1144C8CF"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c>
          <w:tcPr>
            <w:tcW w:w="986" w:type="dxa"/>
            <w:tcBorders>
              <w:top w:val="nil"/>
              <w:left w:val="nil"/>
              <w:bottom w:val="single" w:sz="4" w:space="0" w:color="auto"/>
              <w:right w:val="single" w:sz="4" w:space="0" w:color="auto"/>
            </w:tcBorders>
            <w:shd w:val="clear" w:color="auto" w:fill="auto"/>
            <w:noWrap/>
            <w:vAlign w:val="bottom"/>
          </w:tcPr>
          <w:p w14:paraId="44E6FE2F" w14:textId="7DB4844F" w:rsidR="00992F1A" w:rsidRPr="00C86312" w:rsidRDefault="00992F1A" w:rsidP="00992F1A">
            <w:pPr>
              <w:spacing w:after="0" w:line="240" w:lineRule="auto"/>
              <w:rPr>
                <w:rFonts w:ascii="Times New Roman" w:eastAsia="Times New Roman" w:hAnsi="Times New Roman" w:cs="Times New Roman"/>
                <w:color w:val="000000"/>
                <w:sz w:val="20"/>
                <w:szCs w:val="20"/>
                <w:lang w:eastAsia="lv-LV"/>
              </w:rPr>
            </w:pPr>
          </w:p>
        </w:tc>
      </w:tr>
      <w:tr w:rsidR="00992F1A" w:rsidRPr="00DB7E95" w14:paraId="4C1CABF4" w14:textId="77777777" w:rsidTr="00C86312">
        <w:trPr>
          <w:trHeight w:val="300"/>
          <w:jc w:val="center"/>
        </w:trPr>
        <w:tc>
          <w:tcPr>
            <w:tcW w:w="7252" w:type="dxa"/>
            <w:tcBorders>
              <w:top w:val="nil"/>
              <w:left w:val="single" w:sz="4" w:space="0" w:color="auto"/>
              <w:bottom w:val="single" w:sz="4" w:space="0" w:color="auto"/>
              <w:right w:val="single" w:sz="4" w:space="0" w:color="auto"/>
            </w:tcBorders>
            <w:shd w:val="clear" w:color="auto" w:fill="FBD4B4" w:themeFill="accent6" w:themeFillTint="66"/>
            <w:vAlign w:val="bottom"/>
            <w:hideMark/>
          </w:tcPr>
          <w:p w14:paraId="0B363866" w14:textId="25CF01EE" w:rsidR="00992F1A" w:rsidRPr="00C86312" w:rsidRDefault="00992F1A" w:rsidP="00992F1A">
            <w:pPr>
              <w:spacing w:after="0" w:line="240" w:lineRule="auto"/>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 xml:space="preserve">Ieguvums pakalpojumu nodrošinot </w:t>
            </w:r>
            <w:r w:rsidR="00607ED9">
              <w:rPr>
                <w:rFonts w:ascii="Times New Roman" w:eastAsia="Times New Roman" w:hAnsi="Times New Roman" w:cs="Times New Roman"/>
                <w:b/>
                <w:bCs/>
                <w:color w:val="000000"/>
                <w:sz w:val="20"/>
                <w:szCs w:val="20"/>
                <w:lang w:eastAsia="lv-LV"/>
              </w:rPr>
              <w:t>VPC</w:t>
            </w:r>
            <w:r w:rsidRPr="00C86312">
              <w:rPr>
                <w:rFonts w:ascii="Times New Roman" w:eastAsia="Times New Roman" w:hAnsi="Times New Roman" w:cs="Times New Roman"/>
                <w:b/>
                <w:bCs/>
                <w:color w:val="000000"/>
                <w:sz w:val="20"/>
                <w:szCs w:val="20"/>
                <w:lang w:eastAsia="lv-LV"/>
              </w:rPr>
              <w:t>, euro</w:t>
            </w:r>
          </w:p>
        </w:tc>
        <w:tc>
          <w:tcPr>
            <w:tcW w:w="986" w:type="dxa"/>
            <w:tcBorders>
              <w:top w:val="nil"/>
              <w:left w:val="nil"/>
              <w:bottom w:val="single" w:sz="4" w:space="0" w:color="auto"/>
              <w:right w:val="single" w:sz="4" w:space="0" w:color="auto"/>
            </w:tcBorders>
            <w:shd w:val="clear" w:color="auto" w:fill="FBD4B4" w:themeFill="accent6" w:themeFillTint="66"/>
            <w:noWrap/>
            <w:vAlign w:val="bottom"/>
            <w:hideMark/>
          </w:tcPr>
          <w:p w14:paraId="3A1E4C4A" w14:textId="23C69E2B"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1280616</w:t>
            </w:r>
          </w:p>
        </w:tc>
        <w:tc>
          <w:tcPr>
            <w:tcW w:w="986" w:type="dxa"/>
            <w:tcBorders>
              <w:top w:val="nil"/>
              <w:left w:val="nil"/>
              <w:bottom w:val="single" w:sz="4" w:space="0" w:color="auto"/>
              <w:right w:val="single" w:sz="4" w:space="0" w:color="auto"/>
            </w:tcBorders>
            <w:shd w:val="clear" w:color="auto" w:fill="FBD4B4" w:themeFill="accent6" w:themeFillTint="66"/>
            <w:noWrap/>
            <w:vAlign w:val="bottom"/>
            <w:hideMark/>
          </w:tcPr>
          <w:p w14:paraId="3761854E" w14:textId="561A7A2B"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1419076</w:t>
            </w:r>
          </w:p>
        </w:tc>
        <w:tc>
          <w:tcPr>
            <w:tcW w:w="986" w:type="dxa"/>
            <w:tcBorders>
              <w:top w:val="nil"/>
              <w:left w:val="nil"/>
              <w:bottom w:val="single" w:sz="4" w:space="0" w:color="auto"/>
              <w:right w:val="single" w:sz="4" w:space="0" w:color="auto"/>
            </w:tcBorders>
            <w:shd w:val="clear" w:color="auto" w:fill="FBD4B4" w:themeFill="accent6" w:themeFillTint="66"/>
            <w:noWrap/>
            <w:vAlign w:val="bottom"/>
            <w:hideMark/>
          </w:tcPr>
          <w:p w14:paraId="3343D3AF" w14:textId="138D07CE" w:rsidR="00992F1A" w:rsidRPr="00C86312" w:rsidRDefault="00992F1A" w:rsidP="00992F1A">
            <w:pPr>
              <w:spacing w:after="0" w:line="240" w:lineRule="auto"/>
              <w:jc w:val="right"/>
              <w:rPr>
                <w:rFonts w:ascii="Times New Roman" w:eastAsia="Times New Roman" w:hAnsi="Times New Roman" w:cs="Times New Roman"/>
                <w:b/>
                <w:bCs/>
                <w:color w:val="000000"/>
                <w:sz w:val="20"/>
                <w:szCs w:val="20"/>
                <w:lang w:eastAsia="lv-LV"/>
              </w:rPr>
            </w:pPr>
            <w:r w:rsidRPr="00C86312">
              <w:rPr>
                <w:rFonts w:ascii="Times New Roman" w:eastAsia="Times New Roman" w:hAnsi="Times New Roman" w:cs="Times New Roman"/>
                <w:b/>
                <w:bCs/>
                <w:color w:val="000000"/>
                <w:sz w:val="20"/>
                <w:szCs w:val="20"/>
                <w:lang w:eastAsia="lv-LV"/>
              </w:rPr>
              <w:t>1557931</w:t>
            </w:r>
          </w:p>
        </w:tc>
      </w:tr>
    </w:tbl>
    <w:p w14:paraId="365A5E03" w14:textId="77777777" w:rsidR="00992F1A" w:rsidRPr="00847710" w:rsidRDefault="00992F1A" w:rsidP="006008A7">
      <w:pPr>
        <w:ind w:firstLine="709"/>
        <w:jc w:val="both"/>
        <w:rPr>
          <w:rFonts w:ascii="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89"/>
      </w:tblGrid>
      <w:tr w:rsidR="006008A7" w:rsidRPr="00847710" w14:paraId="6B688BE8" w14:textId="77777777" w:rsidTr="57326167">
        <w:tc>
          <w:tcPr>
            <w:tcW w:w="9089" w:type="dxa"/>
          </w:tcPr>
          <w:p w14:paraId="6C8CAA27" w14:textId="7A723355" w:rsidR="006008A7" w:rsidRPr="00C86312" w:rsidRDefault="006008A7" w:rsidP="00C86312">
            <w:pPr>
              <w:spacing w:after="120"/>
              <w:ind w:firstLine="709"/>
              <w:jc w:val="both"/>
              <w:rPr>
                <w:rFonts w:ascii="Times New Roman" w:hAnsi="Times New Roman"/>
                <w:b/>
                <w:bCs/>
                <w:sz w:val="24"/>
                <w:szCs w:val="24"/>
              </w:rPr>
            </w:pPr>
            <w:r w:rsidRPr="0012317D">
              <w:rPr>
                <w:rFonts w:ascii="Times New Roman" w:hAnsi="Times New Roman"/>
                <w:b/>
                <w:bCs/>
                <w:sz w:val="24"/>
                <w:szCs w:val="24"/>
              </w:rPr>
              <w:t xml:space="preserve">Reformas rezultāts : Realizējot </w:t>
            </w:r>
            <w:r w:rsidR="00E65FA2" w:rsidRPr="0012317D">
              <w:rPr>
                <w:rFonts w:ascii="Times New Roman" w:hAnsi="Times New Roman"/>
                <w:b/>
                <w:bCs/>
                <w:sz w:val="24"/>
                <w:szCs w:val="24"/>
              </w:rPr>
              <w:t xml:space="preserve">VPC </w:t>
            </w:r>
            <w:r w:rsidRPr="0012317D">
              <w:rPr>
                <w:rFonts w:ascii="Times New Roman" w:hAnsi="Times New Roman"/>
                <w:b/>
                <w:bCs/>
                <w:sz w:val="24"/>
                <w:szCs w:val="24"/>
              </w:rPr>
              <w:t>modernizācijas projektu,</w:t>
            </w:r>
            <w:r w:rsidRPr="00901A9F">
              <w:rPr>
                <w:rFonts w:ascii="Times New Roman" w:hAnsi="Times New Roman"/>
                <w:b/>
                <w:bCs/>
                <w:sz w:val="24"/>
                <w:szCs w:val="24"/>
              </w:rPr>
              <w:t xml:space="preserve">  un ieviešot jaunās izmeklēšanas metodes ļaundabīgo audzēju diagnostikā un personalizētā ārstēšanā, tiks paātrināts diagnozes noteikšanas laiks kā rezultātā ar personalizētās diagnostikas ieviešanu būs iespēja precīzi noteikt audzēja veidu un piemeklēt ef</w:t>
            </w:r>
            <w:r w:rsidRPr="0078794A">
              <w:rPr>
                <w:rFonts w:ascii="Times New Roman" w:hAnsi="Times New Roman"/>
                <w:b/>
                <w:bCs/>
                <w:sz w:val="24"/>
                <w:szCs w:val="24"/>
              </w:rPr>
              <w:t>ektīvāko ārstēšanas metodi (īpaši medikamentozo terapiju), kas dod būtisku ieguvumu ne tikai pacientu dzīvildzes uzlabošanā, bet arī līdzekļu efektīvā izlietošanā, ārstējot tikai ar mērķtiecīgu terapiju. Attiecīgi prognozējams, ka mirstība no ļaundabīgajie</w:t>
            </w:r>
            <w:r w:rsidRPr="00BD7921">
              <w:rPr>
                <w:rFonts w:ascii="Times New Roman" w:hAnsi="Times New Roman"/>
                <w:b/>
                <w:bCs/>
                <w:sz w:val="24"/>
                <w:szCs w:val="24"/>
              </w:rPr>
              <w:t xml:space="preserve">m audzējiem tiks samazināta vidēji par </w:t>
            </w:r>
            <w:r w:rsidR="00825973" w:rsidRPr="00BD7921">
              <w:rPr>
                <w:rFonts w:ascii="Times New Roman" w:hAnsi="Times New Roman"/>
                <w:b/>
                <w:bCs/>
                <w:sz w:val="24"/>
                <w:szCs w:val="24"/>
              </w:rPr>
              <w:t>8</w:t>
            </w:r>
            <w:r w:rsidRPr="0012317D">
              <w:rPr>
                <w:rFonts w:ascii="Times New Roman" w:hAnsi="Times New Roman"/>
                <w:b/>
                <w:bCs/>
                <w:sz w:val="24"/>
                <w:szCs w:val="24"/>
              </w:rPr>
              <w:t>%.</w:t>
            </w:r>
          </w:p>
        </w:tc>
      </w:tr>
    </w:tbl>
    <w:p w14:paraId="2D2A2234" w14:textId="4AD31A3B" w:rsidR="006008A7" w:rsidRPr="00847710" w:rsidRDefault="006008A7" w:rsidP="000C7F07">
      <w:pPr>
        <w:rPr>
          <w:rStyle w:val="Heading1Char"/>
          <w:rFonts w:ascii="Times New Roman" w:hAnsi="Times New Roman" w:cs="Times New Roman"/>
          <w:b/>
          <w:color w:val="auto"/>
          <w:sz w:val="24"/>
          <w:szCs w:val="24"/>
        </w:rPr>
      </w:pPr>
    </w:p>
    <w:p w14:paraId="6B522730" w14:textId="77777777" w:rsidR="002432EC" w:rsidRPr="00C86312" w:rsidRDefault="002432EC" w:rsidP="00C86312">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2.6. Jaunā reformas iniciatīva – vēža skrīninga programmas reforma</w:t>
      </w:r>
    </w:p>
    <w:p w14:paraId="0D5DDCBC" w14:textId="4A864C13" w:rsidR="00CD02B0" w:rsidRPr="00847710" w:rsidRDefault="009F3011" w:rsidP="00AB7C24">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Būtiska nozīme vēža savlaicīgā</w:t>
      </w:r>
      <w:r w:rsidR="00CD02B0" w:rsidRPr="00847710">
        <w:rPr>
          <w:rStyle w:val="Heading1Char"/>
          <w:rFonts w:ascii="Times New Roman" w:hAnsi="Times New Roman" w:cs="Times New Roman"/>
          <w:color w:val="auto"/>
          <w:sz w:val="24"/>
          <w:szCs w:val="24"/>
        </w:rPr>
        <w:t xml:space="preserve"> atklāšanā ir regulāra vēža profilaktisko pārbaužu veikšana. Profilaktiskās pārbaudes sniedz iespēju gūt pārliecību par veselības stāvokli, savukārt gadījumā, ja tiek atklāta slimība, uzsākt savlaicīgu ārstēšanu. </w:t>
      </w:r>
    </w:p>
    <w:p w14:paraId="64E9DF2D" w14:textId="6E3D9484" w:rsidR="00CD02B0" w:rsidRPr="00847710" w:rsidRDefault="00CD02B0" w:rsidP="00AB7C24">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 xml:space="preserve">Valsts </w:t>
      </w:r>
      <w:r w:rsidR="002432EC" w:rsidRPr="00847710">
        <w:rPr>
          <w:rStyle w:val="Heading1Char"/>
          <w:rFonts w:ascii="Times New Roman" w:hAnsi="Times New Roman" w:cs="Times New Roman"/>
          <w:color w:val="auto"/>
          <w:sz w:val="24"/>
          <w:szCs w:val="24"/>
        </w:rPr>
        <w:t xml:space="preserve">organizētā </w:t>
      </w:r>
      <w:r w:rsidRPr="00847710">
        <w:rPr>
          <w:rStyle w:val="Heading1Char"/>
          <w:rFonts w:ascii="Times New Roman" w:hAnsi="Times New Roman" w:cs="Times New Roman"/>
          <w:color w:val="auto"/>
          <w:sz w:val="24"/>
          <w:szCs w:val="24"/>
        </w:rPr>
        <w:t>vēža skrīninga programmā ir iekļautas trīs agrīnās vēža diagnostikas pārbaudes - dzemdes kakla vēža pārbaude (vienu reizi trijos gados), krūts vēža izmeklējums ar mamogrāfijas metodi (vienu reizi divos gados) un kolorektālā vēža pārbaude jeb slēpto asiņu izmeklējums fēcēs (vienu reizi gadā).</w:t>
      </w:r>
    </w:p>
    <w:p w14:paraId="7B23BB1A" w14:textId="77777777" w:rsidR="00CD02B0" w:rsidRPr="00847710" w:rsidRDefault="00CD02B0" w:rsidP="00AB7C24">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lastRenderedPageBreak/>
        <w:t xml:space="preserve">Uzaicinājuma vēstules dzemdes kakla un krūšu profilaktiskās pārbaudēm tiek nosūtītas izlases kārtībā atbilstoši Iedzīvotāju reģistra datiem. Uzaicinājums dzemdes kakla pārbaudei tiek nosūtīts sievietēm vecumā no 25 līdz 67 gadiem (reizi trijos gados), savukārt krūts vēža pārbaudei (ar mamogrāfijas metodi) sievietēm vecumā no 50 līdz 68 gadiem (reizi divos gados). Uzaicinājuma vēstules tiek nosūtītas uz sievietes deklarēto dzīvesvietas adresi aptuveni trīs mēnešu laikā pēc personas dzimšanas dienas. Savukārt valsts apmaksātu zarnu vēža profilaktisko pārbaudi reizi gadā var veikt sievietes un vīrieši vecumā no 50 līdz 74 gadiem. </w:t>
      </w:r>
    </w:p>
    <w:p w14:paraId="24CDDB05" w14:textId="77777777" w:rsidR="00CD02B0" w:rsidRPr="00847710" w:rsidRDefault="00CD02B0" w:rsidP="00AB7C24">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Šīs pārbaudes veikšanai uzaicinājuma vēstule netiek nosūtīta. Lai veiktu profilaktisko pārbaudi, pacientam ir jāvēršas savā ģimenes ārsta praksē. Minētās vecuma grupas noteiktas pamatojoties uz ārstu profesionālo asociāciju rekomendācijām, kā arī Eiropas Komisijas rekomendācijām par valsts organizētā un apmaksātā krūts dziedzera un dzemdes kakla ļaundabīgo audzēju savlaicīgas atklāšanas programmas ieviešanu dalībvalstīs. Pēc Eiropas Komisijas rekomendācijām, katrai dalībvalstij ieteicams ieviest valsts organizētu vēža skrīningprogrammu, kuras ietvaros vēlams veikt mammogrāfijas izmeklējumu sievietēm vecumā no 50 – 69 gadiem un dzemdes kakla citoloģisko izmeklēšanu sievietēm ne agrāk kā 20 gadu vecumā, bet ne vēlāk kā 30 gadu vecumā.</w:t>
      </w:r>
    </w:p>
    <w:p w14:paraId="08580AFD" w14:textId="77777777" w:rsidR="00CD02B0" w:rsidRPr="00847710" w:rsidRDefault="00CD02B0" w:rsidP="00AB7C24">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Atbilstoši NVD sniegtai informācijai 2017.gada 9 mēnešos dzemdes kakla vēža skrīninga atsaucība sasniedza 38,7%, savukārt krūts vēža skrīninga atsaucība sasniedza 45,9%.</w:t>
      </w:r>
    </w:p>
    <w:p w14:paraId="34AA39EB" w14:textId="77777777" w:rsidR="00CD02B0" w:rsidRPr="00847710" w:rsidRDefault="00CD02B0" w:rsidP="00AB7C24">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 xml:space="preserve">2017.gadā Slimību profilakses un kontroles centrs  sadarbībā ar ārstniecības iestādi īstenoja pilotprojektu par “Par dzemdes kakla un krūts vēža skrīninga aptveri”. Pilotprojekta ietvaros tika   gūts apstiprinājums hipotēzei, ka organizējot, uzaicinot un strādājot individuāli ar mērķa grupas pacientiem ir sasniedzama augstāka valsts organizētā vēža skrīninga aptvere. Pilotprojekta ietvaros tika izvēlētas 6 ģimenes ārsta prakses, kur praksē reģistrēto pacientu valsts organizētā vēža skrīninga aptvere bija zemāka kā valsts vidējā valsts organizētā vēža skrīninga aptvere. Pilotprojekts parādīja, ka būtiska nozīme ir individuālam darbam ar pacientu, individuāli skaidrojot profilakses nozīmi, kā arī organizējot pacienta attiecīgā pakalpojuma saņemšanas iespēju. Pilotprojekta īstenošanas laikā veikto izmeklējumu skaits vēža skrīniga ietvaros pieauga apmēram divas reizes nekā tas bija iepriekšējā gada līdzīgā laika periodā. </w:t>
      </w:r>
    </w:p>
    <w:p w14:paraId="1FA21BDB" w14:textId="15A3078D" w:rsidR="00CD02B0" w:rsidRPr="00847710" w:rsidRDefault="00CD02B0" w:rsidP="00AB7C24">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 xml:space="preserve">Lai uzlabotu valsts organizētā vēža skrīninga atsaucību, tādējādi sekmējot vēža agrīnu diagnostiku, pilotprojekta ietvaros ir plānots iesaistīt ģimenes ārstus, paredzot </w:t>
      </w:r>
      <w:r w:rsidR="0037166B" w:rsidRPr="00847710">
        <w:rPr>
          <w:rStyle w:val="Heading1Char"/>
          <w:rFonts w:ascii="Times New Roman" w:hAnsi="Times New Roman" w:cs="Times New Roman"/>
          <w:color w:val="auto"/>
          <w:sz w:val="24"/>
          <w:szCs w:val="24"/>
        </w:rPr>
        <w:t>papildus</w:t>
      </w:r>
      <w:r w:rsidRPr="00847710">
        <w:rPr>
          <w:rStyle w:val="Heading1Char"/>
          <w:rFonts w:ascii="Times New Roman" w:hAnsi="Times New Roman" w:cs="Times New Roman"/>
          <w:color w:val="auto"/>
          <w:sz w:val="24"/>
          <w:szCs w:val="24"/>
        </w:rPr>
        <w:t xml:space="preserve"> maksājumu par vēža skrīninga atsaucības palielināšanu pie ģimenes ārsta </w:t>
      </w:r>
      <w:r w:rsidR="0037166B" w:rsidRPr="00847710">
        <w:rPr>
          <w:rStyle w:val="Heading1Char"/>
          <w:rFonts w:ascii="Times New Roman" w:hAnsi="Times New Roman" w:cs="Times New Roman"/>
          <w:color w:val="auto"/>
          <w:sz w:val="24"/>
          <w:szCs w:val="24"/>
        </w:rPr>
        <w:t xml:space="preserve">reģistrēto pacientu vidū. Šādā </w:t>
      </w:r>
      <w:r w:rsidRPr="00847710">
        <w:rPr>
          <w:rStyle w:val="Heading1Char"/>
          <w:rFonts w:ascii="Times New Roman" w:hAnsi="Times New Roman" w:cs="Times New Roman"/>
          <w:color w:val="auto"/>
          <w:sz w:val="24"/>
          <w:szCs w:val="24"/>
        </w:rPr>
        <w:t xml:space="preserve">veidā ģimenes ārsts tiks ieinteresēts vairāk rūpēties par saviem pacientiem,  sekot līdz savu pacientu veselībai un izglītot tos par skrīninga veikšanas nepieciešamību. Pilotprojekta ietvaros paredzēts ģimenes ārsta praksei novirzīt 500 euro ceturksnī (250 euro par katru (dzemdes kakla un krūts vēža) skrīningu), ja vēža skrīninga atsaucība ir sasniegusi 50% par dzemdes kakla vēža skrīningu un 60% - par  krūts vēža skrīningu. Rezultāti tiks novērtēti katru ceturksni, izvērtējot izmeklējumu veikušo personu skaits periodā / izsūtīto uzaicinājuma vēstuļu skaits periodā. </w:t>
      </w:r>
      <w:r w:rsidR="0037166B" w:rsidRPr="00847710">
        <w:rPr>
          <w:rStyle w:val="Heading1Char"/>
          <w:rFonts w:ascii="Times New Roman" w:hAnsi="Times New Roman" w:cs="Times New Roman"/>
          <w:color w:val="auto"/>
          <w:sz w:val="24"/>
          <w:szCs w:val="24"/>
        </w:rPr>
        <w:t>Papildus</w:t>
      </w:r>
      <w:r w:rsidRPr="00847710">
        <w:rPr>
          <w:rStyle w:val="Heading1Char"/>
          <w:rFonts w:ascii="Times New Roman" w:hAnsi="Times New Roman" w:cs="Times New Roman"/>
          <w:color w:val="auto"/>
          <w:sz w:val="24"/>
          <w:szCs w:val="24"/>
        </w:rPr>
        <w:t xml:space="preserve"> maksājumu plānots veikt reizi ceturksnī. Plānots pilotprojektā iesaistīt </w:t>
      </w:r>
      <w:r w:rsidRPr="00847710">
        <w:rPr>
          <w:rStyle w:val="Heading1Char"/>
          <w:rFonts w:ascii="Times New Roman" w:hAnsi="Times New Roman" w:cs="Times New Roman"/>
          <w:color w:val="auto"/>
          <w:sz w:val="24"/>
          <w:szCs w:val="24"/>
        </w:rPr>
        <w:lastRenderedPageBreak/>
        <w:t>260 ģimenes ārstu prakses. Nepieciešamā summa 2018.gadā 500 euro ceturksnī * 260 prakses * 3 ceturkšņi = 390 000 euro.</w:t>
      </w:r>
    </w:p>
    <w:p w14:paraId="2A655AC1" w14:textId="0314BA5F" w:rsidR="00E84A31" w:rsidRPr="00847710" w:rsidRDefault="009D3A3F" w:rsidP="00AB7C24">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 xml:space="preserve">Pēc pilotprojekta beigām, tiks turpināta </w:t>
      </w:r>
      <w:r w:rsidR="00E84A31" w:rsidRPr="00847710">
        <w:rPr>
          <w:rStyle w:val="Heading1Char"/>
          <w:rFonts w:ascii="Times New Roman" w:hAnsi="Times New Roman" w:cs="Times New Roman"/>
          <w:color w:val="auto"/>
          <w:sz w:val="24"/>
          <w:szCs w:val="24"/>
        </w:rPr>
        <w:t>ģimenes ārstu</w:t>
      </w:r>
      <w:r w:rsidRPr="00847710">
        <w:rPr>
          <w:rStyle w:val="Heading1Char"/>
          <w:rFonts w:ascii="Times New Roman" w:hAnsi="Times New Roman" w:cs="Times New Roman"/>
          <w:color w:val="auto"/>
          <w:sz w:val="24"/>
          <w:szCs w:val="24"/>
        </w:rPr>
        <w:t xml:space="preserve"> iesaistīšana vēža profilakses nodrošināšanā</w:t>
      </w:r>
      <w:r w:rsidR="00E84A31" w:rsidRPr="00847710">
        <w:rPr>
          <w:rStyle w:val="Heading1Char"/>
          <w:rFonts w:ascii="Times New Roman" w:hAnsi="Times New Roman" w:cs="Times New Roman"/>
          <w:color w:val="auto"/>
          <w:sz w:val="24"/>
          <w:szCs w:val="24"/>
        </w:rPr>
        <w:t>, sasniedzot 75% vēža skrīninga aptveri</w:t>
      </w:r>
      <w:r w:rsidRPr="00847710">
        <w:rPr>
          <w:rStyle w:val="Heading1Char"/>
          <w:rFonts w:ascii="Times New Roman" w:hAnsi="Times New Roman" w:cs="Times New Roman"/>
          <w:color w:val="auto"/>
          <w:sz w:val="24"/>
          <w:szCs w:val="24"/>
        </w:rPr>
        <w:t>.</w:t>
      </w:r>
    </w:p>
    <w:tbl>
      <w:tblPr>
        <w:tblStyle w:val="TableGrid"/>
        <w:tblW w:w="0" w:type="auto"/>
        <w:tblLook w:val="04A0" w:firstRow="1" w:lastRow="0" w:firstColumn="1" w:lastColumn="0" w:noHBand="0" w:noVBand="1"/>
      </w:tblPr>
      <w:tblGrid>
        <w:gridCol w:w="9089"/>
      </w:tblGrid>
      <w:tr w:rsidR="00F57D24" w:rsidRPr="00847710" w14:paraId="32BDDBB8" w14:textId="77777777" w:rsidTr="57326167">
        <w:tc>
          <w:tcPr>
            <w:tcW w:w="9089" w:type="dxa"/>
          </w:tcPr>
          <w:p w14:paraId="67AB53E1" w14:textId="2F3FDA6A" w:rsidR="00F57D24" w:rsidRPr="00C86312" w:rsidRDefault="00F57D24" w:rsidP="00C86312">
            <w:pPr>
              <w:spacing w:after="120" w:line="276" w:lineRule="auto"/>
              <w:ind w:firstLine="709"/>
              <w:jc w:val="both"/>
              <w:rPr>
                <w:rFonts w:ascii="Times New Roman" w:hAnsi="Times New Roman"/>
                <w:b/>
                <w:bCs/>
                <w:sz w:val="24"/>
                <w:szCs w:val="24"/>
              </w:rPr>
            </w:pPr>
            <w:r w:rsidRPr="0012317D">
              <w:rPr>
                <w:rFonts w:ascii="Times New Roman" w:hAnsi="Times New Roman"/>
                <w:b/>
                <w:bCs/>
                <w:sz w:val="24"/>
                <w:szCs w:val="24"/>
              </w:rPr>
              <w:t>Reformas rezultāts</w:t>
            </w:r>
            <w:r w:rsidR="00DB0086" w:rsidRPr="0012317D">
              <w:rPr>
                <w:rFonts w:ascii="Times New Roman" w:hAnsi="Times New Roman"/>
                <w:b/>
                <w:bCs/>
                <w:sz w:val="24"/>
                <w:szCs w:val="24"/>
              </w:rPr>
              <w:t xml:space="preserve">: </w:t>
            </w:r>
            <w:r w:rsidR="00BE6168" w:rsidRPr="00901A9F">
              <w:rPr>
                <w:rFonts w:ascii="Times New Roman" w:hAnsi="Times New Roman"/>
                <w:b/>
                <w:bCs/>
                <w:sz w:val="24"/>
                <w:szCs w:val="24"/>
              </w:rPr>
              <w:t>Nodrošināta k</w:t>
            </w:r>
            <w:r w:rsidR="00DB0086" w:rsidRPr="0078794A">
              <w:rPr>
                <w:rFonts w:ascii="Times New Roman" w:hAnsi="Times New Roman"/>
                <w:b/>
                <w:bCs/>
                <w:sz w:val="24"/>
                <w:szCs w:val="24"/>
              </w:rPr>
              <w:t>rūts un dzemdes kakla vēža agrīna diagnostika un savlaicīga ārstēšanas uzsākša</w:t>
            </w:r>
            <w:r w:rsidR="00DB0086" w:rsidRPr="00BD7921">
              <w:rPr>
                <w:rFonts w:ascii="Times New Roman" w:hAnsi="Times New Roman"/>
                <w:b/>
                <w:bCs/>
                <w:sz w:val="24"/>
                <w:szCs w:val="24"/>
              </w:rPr>
              <w:t xml:space="preserve">na.  Pilotprojekta rezultātā ģimenes ārstu praksēs, kuras piedalās pilotprojektā,  tiks palielināta krūts vēža skrīninga aptvere par 14,1%, savukārt dzemdes kakla skrīninga aptvere par 11,3%. Atbilstoši SPKC datiem 2016.gadā  dzemdes kakla vēzis 12% gadījumos tika uzstādīts valsts organizētā </w:t>
            </w:r>
            <w:r w:rsidR="00DB0086" w:rsidRPr="00890961">
              <w:rPr>
                <w:rFonts w:ascii="Times New Roman" w:hAnsi="Times New Roman"/>
                <w:b/>
                <w:bCs/>
                <w:sz w:val="24"/>
                <w:szCs w:val="24"/>
              </w:rPr>
              <w:t xml:space="preserve">vēža skrīningā ietvaros, savukārt krūts vēzis - 18,6% gadījumos. Pirmā gada letalitāte un piecu gadu dzīvildze ir saistāma ar audzēja stadiju diagnozes noteikšanas brīdī – 2015.gadā vēlīni diagnosticētajiem audzējiem (4.stadijā) pirmā gada letalitāte bija </w:t>
            </w:r>
            <w:r w:rsidR="00DB0086" w:rsidRPr="00583196">
              <w:rPr>
                <w:rFonts w:ascii="Times New Roman" w:hAnsi="Times New Roman"/>
                <w:b/>
                <w:bCs/>
                <w:sz w:val="24"/>
                <w:szCs w:val="24"/>
              </w:rPr>
              <w:t>73,6%, bet agrīni diagnosticētiem audzējiem (1.stadijā) - 4,1%. Savukārt, piecgadu dzīvildze 4. stadijā 2011. gadā diagnosticētajiem audzējiem bija tikai 5,9%, bet 1. stadijā – 80,2%.</w:t>
            </w:r>
          </w:p>
        </w:tc>
      </w:tr>
    </w:tbl>
    <w:p w14:paraId="5E882E91" w14:textId="0D09969E" w:rsidR="00F57D24" w:rsidRPr="00847710" w:rsidRDefault="00F57D24" w:rsidP="00AB7C24">
      <w:pPr>
        <w:ind w:firstLine="709"/>
        <w:jc w:val="both"/>
        <w:rPr>
          <w:rStyle w:val="Heading1Char"/>
          <w:rFonts w:ascii="Times New Roman" w:hAnsi="Times New Roman" w:cs="Times New Roman"/>
          <w:color w:val="auto"/>
          <w:sz w:val="24"/>
          <w:szCs w:val="24"/>
        </w:rPr>
      </w:pPr>
    </w:p>
    <w:p w14:paraId="43E3ED7C" w14:textId="5370EE7D" w:rsidR="00943450" w:rsidRPr="00847710" w:rsidRDefault="00943450" w:rsidP="00AB7C24">
      <w:pPr>
        <w:ind w:firstLine="709"/>
        <w:jc w:val="both"/>
        <w:rPr>
          <w:rStyle w:val="Heading1Char"/>
          <w:rFonts w:ascii="Times New Roman" w:hAnsi="Times New Roman" w:cs="Times New Roman"/>
          <w:color w:val="auto"/>
          <w:sz w:val="24"/>
          <w:szCs w:val="24"/>
        </w:rPr>
      </w:pPr>
      <w:r w:rsidRPr="00847710">
        <w:rPr>
          <w:rStyle w:val="Heading1Char"/>
          <w:rFonts w:ascii="Times New Roman" w:hAnsi="Times New Roman" w:cs="Times New Roman"/>
          <w:color w:val="auto"/>
          <w:sz w:val="24"/>
          <w:szCs w:val="24"/>
        </w:rPr>
        <w:t>Onkoloģijas jomas reformas tika uzsāktas 2017.gadā, ieviešot “zaļo koridoru”, kura ietvaros tika uzsākti vairāki savstarpēji saistīti pasākumi, lai nodrošinātu, ka onkoloģiskās saslimšanas tiktu diagnosticētas agrīnās stadijās un tiktu uzlabota ārstēšanas kvalitāte un efektivitāte. 2018.gadā minēto aktivitāšu ietvaros papildus plānots uzsākt vēža skrīninga pilotprojektu, kas kopā ar 2017.gadā izstrādātajiem primārajiem un sekundārajiem algoritmiem vēl vairāk palielinās agrīni diagnosticēto saslimšanu skaitu. Savukārt pieaugot kopējam diagnosticēto pacientu skaitam un agrīni diagnosticēto pacientu skaitam, palielinās arī pacientu skaits, kam nepieciešama ambulatorā un stacionārā ārstniecība un medikamenti. Lai uzlabotu ārstēšanas pieejamību un kvalitāti, papildus tiks nodrošināts pakalpojumu apjoma pieaugums, efektīvāku, kvalitatīvāku iekārtu iegāde, medikamentu apjoma pieaugums. Tādējādi onkoloģijas reformu ietvarā tiek sasniegts kopējs efekts no visiem pasākumiem un reformas pasākumus nevar skatīt atsevišķi un atrauti vienu no otra. Nenodrošinot atsevišķu aktivitāšu īstenošanu, netiks sasniegti kopējie reformas mērķi.</w:t>
      </w:r>
    </w:p>
    <w:p w14:paraId="38D2F194" w14:textId="3B28F41F" w:rsidR="00FA37E8" w:rsidRPr="00C86312" w:rsidRDefault="005729EA" w:rsidP="00C86312">
      <w:pPr>
        <w:pStyle w:val="Heading2"/>
        <w:numPr>
          <w:ilvl w:val="0"/>
          <w:numId w:val="30"/>
        </w:numPr>
        <w:spacing w:before="0" w:after="200"/>
        <w:jc w:val="center"/>
        <w:rPr>
          <w:rFonts w:ascii="Times New Roman" w:hAnsi="Times New Roman" w:cs="Times New Roman"/>
          <w:b/>
          <w:bCs/>
          <w:color w:val="auto"/>
          <w:sz w:val="24"/>
          <w:szCs w:val="24"/>
        </w:rPr>
      </w:pPr>
      <w:r w:rsidRPr="0012317D">
        <w:rPr>
          <w:rStyle w:val="Heading1Char"/>
          <w:rFonts w:ascii="Times New Roman" w:hAnsi="Times New Roman" w:cs="Times New Roman"/>
          <w:b/>
          <w:bCs/>
          <w:color w:val="auto"/>
          <w:sz w:val="24"/>
          <w:szCs w:val="24"/>
        </w:rPr>
        <w:t>Infekcijas slimību izplatības mazināšana</w:t>
      </w:r>
    </w:p>
    <w:p w14:paraId="7077DBCF" w14:textId="11CBE580" w:rsidR="00AF39BA" w:rsidRPr="00C86312" w:rsidRDefault="00026045" w:rsidP="00C86312">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3.1. Veiktās r</w:t>
      </w:r>
      <w:r w:rsidR="00AF39BA" w:rsidRPr="0078794A">
        <w:rPr>
          <w:rFonts w:ascii="Times New Roman" w:hAnsi="Times New Roman" w:cs="Times New Roman"/>
          <w:b/>
          <w:bCs/>
          <w:color w:val="auto"/>
          <w:sz w:val="24"/>
          <w:szCs w:val="24"/>
          <w:u w:val="single"/>
        </w:rPr>
        <w:t xml:space="preserve">eformas valsts kompensējamo medikamentu nodrošinājumam VHC pacientiem F3-F4 </w:t>
      </w:r>
      <w:r w:rsidR="00A26CA3" w:rsidRPr="00BD7921">
        <w:rPr>
          <w:rFonts w:ascii="Times New Roman" w:hAnsi="Times New Roman" w:cs="Times New Roman"/>
          <w:b/>
          <w:bCs/>
          <w:color w:val="auto"/>
          <w:sz w:val="24"/>
          <w:szCs w:val="24"/>
          <w:u w:val="single"/>
        </w:rPr>
        <w:t xml:space="preserve">aknu bojājuma </w:t>
      </w:r>
      <w:r w:rsidR="00AF39BA" w:rsidRPr="00BD7921">
        <w:rPr>
          <w:rFonts w:ascii="Times New Roman" w:hAnsi="Times New Roman" w:cs="Times New Roman"/>
          <w:b/>
          <w:bCs/>
          <w:color w:val="auto"/>
          <w:sz w:val="24"/>
          <w:szCs w:val="24"/>
          <w:u w:val="single"/>
        </w:rPr>
        <w:t>stadijā</w:t>
      </w:r>
    </w:p>
    <w:p w14:paraId="298A31A8" w14:textId="0D04561E" w:rsidR="00DD0465" w:rsidRPr="00847710" w:rsidRDefault="00DD0465" w:rsidP="00C549D0">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Modelējot </w:t>
      </w:r>
      <w:r w:rsidR="00EF31CE" w:rsidRPr="00847710">
        <w:rPr>
          <w:rFonts w:ascii="Times New Roman" w:hAnsi="Times New Roman" w:cs="Times New Roman"/>
          <w:sz w:val="24"/>
          <w:szCs w:val="24"/>
        </w:rPr>
        <w:t>VHC</w:t>
      </w:r>
      <w:r w:rsidRPr="00847710">
        <w:rPr>
          <w:rFonts w:ascii="Times New Roman" w:hAnsi="Times New Roman" w:cs="Times New Roman"/>
          <w:sz w:val="24"/>
          <w:szCs w:val="24"/>
        </w:rPr>
        <w:t xml:space="preserve"> izplatību sabiedrībā, infektoloģijas speciālistu veiktajā pētījumā tika secināts, ka  VHC antigēns ir konstatējams 1,7% Latvijas iedzīvotāju asinīs. Katru gadu tiek reģistrēti vairāk kā 1000 jaunatklāti VHC infekcijas gadījumi. Lielākajai daļai šo cilvēku ir VHC bezsimptomu forma, kas nozīmē, ka viņiem nav slimības klīnisko izpausmju, bet viņi ir </w:t>
      </w:r>
      <w:r w:rsidRPr="00847710">
        <w:rPr>
          <w:rFonts w:ascii="Times New Roman" w:hAnsi="Times New Roman" w:cs="Times New Roman"/>
          <w:sz w:val="24"/>
          <w:szCs w:val="24"/>
        </w:rPr>
        <w:lastRenderedPageBreak/>
        <w:t>infekciozi, un ilgākā laika periodā šie cilvēki var kļūt par VHC pacientiem ar dažādas pakāpes aknu bojājumiem.</w:t>
      </w:r>
    </w:p>
    <w:p w14:paraId="359FBF7E" w14:textId="57B91B2B" w:rsidR="00DD0465" w:rsidRPr="00847710" w:rsidRDefault="00DD0465" w:rsidP="00C549D0">
      <w:pPr>
        <w:ind w:firstLine="709"/>
        <w:jc w:val="both"/>
        <w:rPr>
          <w:rFonts w:ascii="Times New Roman" w:hAnsi="Times New Roman" w:cs="Times New Roman"/>
          <w:sz w:val="24"/>
          <w:szCs w:val="24"/>
        </w:rPr>
      </w:pPr>
      <w:r w:rsidRPr="00847710">
        <w:rPr>
          <w:rFonts w:ascii="Times New Roman" w:hAnsi="Times New Roman" w:cs="Times New Roman"/>
          <w:sz w:val="24"/>
          <w:szCs w:val="24"/>
        </w:rPr>
        <w:t>Atbilstoši PVO pētījumiem, 33% ar VHC inficētajām personām 30 gadu laikā attīstās aknu ciroze vai aknu ļaundabīgie audzēji, kas ir smagas aknu slimības un ierobežo cilvēka darba spējas, un noved pie letāla iznākuma</w:t>
      </w:r>
      <w:r w:rsidR="00C549D0" w:rsidRPr="00847710">
        <w:rPr>
          <w:rFonts w:ascii="Times New Roman" w:hAnsi="Times New Roman" w:cs="Times New Roman"/>
          <w:sz w:val="24"/>
          <w:szCs w:val="24"/>
        </w:rPr>
        <w:t>.</w:t>
      </w:r>
      <w:r w:rsidRPr="00847710">
        <w:rPr>
          <w:rFonts w:ascii="Times New Roman" w:hAnsi="Times New Roman" w:cs="Times New Roman"/>
          <w:sz w:val="24"/>
          <w:szCs w:val="24"/>
          <w:vertAlign w:val="superscript"/>
        </w:rPr>
        <w:footnoteReference w:id="40"/>
      </w:r>
      <w:r w:rsidR="00381CA6" w:rsidRPr="00847710">
        <w:rPr>
          <w:rFonts w:ascii="Times New Roman" w:hAnsi="Times New Roman" w:cs="Times New Roman"/>
          <w:sz w:val="24"/>
          <w:szCs w:val="24"/>
        </w:rPr>
        <w:t xml:space="preserve"> </w:t>
      </w:r>
      <w:r w:rsidRPr="00847710">
        <w:rPr>
          <w:rFonts w:ascii="Times New Roman" w:hAnsi="Times New Roman" w:cs="Times New Roman"/>
          <w:sz w:val="24"/>
          <w:szCs w:val="24"/>
        </w:rPr>
        <w:t>Tādēļ 2016. gada maijā Pasaules Veselības Asamblejā 194 valstis, tai skaitā Latvija, pieņēma Vispasaules veselības sektora stratēģiju par VHC izplatības ierobežošanu, kurā ir ietverta apņemšanās līdz 2030. gadam likvidēt VHC  kā sabiedrības veselības problēmu un panākt, ka 80% no inficētajām personām saņem ārstēšanu.</w:t>
      </w:r>
    </w:p>
    <w:p w14:paraId="03C7C07D" w14:textId="49B6D454" w:rsidR="007D1420" w:rsidRPr="00847710" w:rsidRDefault="0073690A" w:rsidP="001E7A7F">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Ņemot vērā iepriekš minēto </w:t>
      </w:r>
      <w:r w:rsidR="00AF39BA" w:rsidRPr="00847710">
        <w:rPr>
          <w:rFonts w:ascii="Times New Roman" w:hAnsi="Times New Roman" w:cs="Times New Roman"/>
          <w:sz w:val="24"/>
          <w:szCs w:val="24"/>
        </w:rPr>
        <w:t xml:space="preserve">2017.gadā ir uzsākta reforma </w:t>
      </w:r>
      <w:r w:rsidR="00EF31CE" w:rsidRPr="00847710">
        <w:rPr>
          <w:rFonts w:ascii="Times New Roman" w:hAnsi="Times New Roman" w:cs="Times New Roman"/>
          <w:sz w:val="24"/>
          <w:szCs w:val="24"/>
        </w:rPr>
        <w:t xml:space="preserve">VHC </w:t>
      </w:r>
      <w:r w:rsidR="008C5D88" w:rsidRPr="00847710">
        <w:rPr>
          <w:rFonts w:ascii="Times New Roman" w:hAnsi="Times New Roman" w:cs="Times New Roman"/>
          <w:sz w:val="24"/>
          <w:szCs w:val="24"/>
        </w:rPr>
        <w:t>kompensējamo medikamentu jomā, kuras ietvaros plānots nodrošināt papildus ārstēšanu 203 pacientiem.</w:t>
      </w:r>
      <w:r w:rsidR="007D1420" w:rsidRPr="00847710">
        <w:rPr>
          <w:rFonts w:ascii="Times New Roman" w:hAnsi="Times New Roman" w:cs="Times New Roman"/>
          <w:sz w:val="24"/>
          <w:szCs w:val="24"/>
        </w:rPr>
        <w:t xml:space="preserve"> Minētajā apjomā reforma tiks turpināta arī 2018.gadā.</w:t>
      </w:r>
    </w:p>
    <w:p w14:paraId="2EF91CC8" w14:textId="2DC44A65" w:rsidR="007D1420" w:rsidRPr="00C86312" w:rsidRDefault="0020102F" w:rsidP="00C86312">
      <w:pPr>
        <w:spacing w:after="0" w:line="240" w:lineRule="auto"/>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2</w:t>
      </w:r>
      <w:r w:rsidR="00DE3C94">
        <w:rPr>
          <w:rFonts w:ascii="Times New Roman" w:hAnsi="Times New Roman" w:cs="Times New Roman"/>
          <w:i/>
          <w:iCs/>
          <w:sz w:val="24"/>
          <w:szCs w:val="24"/>
        </w:rPr>
        <w:t>2</w:t>
      </w:r>
      <w:r w:rsidR="007D1420" w:rsidRPr="57326167">
        <w:rPr>
          <w:rFonts w:ascii="Times New Roman" w:hAnsi="Times New Roman" w:cs="Times New Roman"/>
          <w:i/>
          <w:iCs/>
          <w:sz w:val="24"/>
          <w:szCs w:val="24"/>
        </w:rPr>
        <w:t>.tabula</w:t>
      </w:r>
    </w:p>
    <w:p w14:paraId="25D1ED44" w14:textId="77777777" w:rsidR="007D1420" w:rsidRPr="00C86312" w:rsidRDefault="007D1420" w:rsidP="00C86312">
      <w:pPr>
        <w:spacing w:after="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Plānotais valsts kompensējamo medikamentu izlietojums VHC ārstēšanai </w:t>
      </w:r>
    </w:p>
    <w:p w14:paraId="0187FD8F" w14:textId="047BB21C" w:rsidR="007D1420" w:rsidRPr="00847710" w:rsidRDefault="007D1420" w:rsidP="007D1420">
      <w:pPr>
        <w:spacing w:after="0" w:line="240" w:lineRule="auto"/>
        <w:ind w:firstLine="720"/>
        <w:jc w:val="center"/>
        <w:rPr>
          <w:rFonts w:ascii="Times New Roman" w:hAnsi="Times New Roman" w:cs="Times New Roman"/>
          <w:b/>
          <w:sz w:val="24"/>
          <w:szCs w:val="24"/>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840"/>
        <w:gridCol w:w="1554"/>
        <w:gridCol w:w="1276"/>
        <w:gridCol w:w="1417"/>
      </w:tblGrid>
      <w:tr w:rsidR="00E863BE" w:rsidRPr="00847710" w14:paraId="74D2E2EB" w14:textId="77777777" w:rsidTr="00C86312">
        <w:trPr>
          <w:cantSplit/>
          <w:trHeight w:val="1419"/>
          <w:jc w:val="center"/>
        </w:trPr>
        <w:tc>
          <w:tcPr>
            <w:tcW w:w="421" w:type="dxa"/>
            <w:shd w:val="clear" w:color="auto" w:fill="E36C0A" w:themeFill="accent6" w:themeFillShade="BF"/>
            <w:vAlign w:val="center"/>
            <w:hideMark/>
          </w:tcPr>
          <w:p w14:paraId="56DC7F56" w14:textId="77777777" w:rsidR="00E863BE" w:rsidRPr="00847710" w:rsidRDefault="00E863BE" w:rsidP="00C01ED4">
            <w:pPr>
              <w:spacing w:after="0" w:line="240" w:lineRule="auto"/>
              <w:rPr>
                <w:rFonts w:ascii="Times New Roman" w:eastAsia="Times New Roman" w:hAnsi="Times New Roman" w:cs="Times New Roman"/>
                <w:b/>
                <w:bCs/>
                <w:sz w:val="20"/>
                <w:szCs w:val="20"/>
                <w:lang w:eastAsia="lv-LV"/>
              </w:rPr>
            </w:pPr>
          </w:p>
        </w:tc>
        <w:tc>
          <w:tcPr>
            <w:tcW w:w="2840" w:type="dxa"/>
            <w:shd w:val="clear" w:color="auto" w:fill="E36C0A" w:themeFill="accent6" w:themeFillShade="BF"/>
            <w:textDirection w:val="btLr"/>
            <w:vAlign w:val="center"/>
            <w:hideMark/>
          </w:tcPr>
          <w:p w14:paraId="640DE21A" w14:textId="77777777" w:rsidR="00E863BE" w:rsidRPr="00847710" w:rsidRDefault="00E863BE" w:rsidP="00C01ED4">
            <w:pPr>
              <w:spacing w:after="0" w:line="240" w:lineRule="auto"/>
              <w:ind w:left="113" w:right="113"/>
              <w:jc w:val="center"/>
              <w:rPr>
                <w:rFonts w:ascii="Times New Roman" w:eastAsia="Times New Roman" w:hAnsi="Times New Roman" w:cs="Times New Roman"/>
                <w:b/>
                <w:bCs/>
                <w:sz w:val="20"/>
                <w:szCs w:val="20"/>
                <w:lang w:eastAsia="lv-LV"/>
              </w:rPr>
            </w:pPr>
          </w:p>
        </w:tc>
        <w:tc>
          <w:tcPr>
            <w:tcW w:w="1554" w:type="dxa"/>
            <w:shd w:val="clear" w:color="auto" w:fill="E36C0A" w:themeFill="accent6" w:themeFillShade="BF"/>
            <w:textDirection w:val="btLr"/>
            <w:vAlign w:val="center"/>
            <w:hideMark/>
          </w:tcPr>
          <w:p w14:paraId="03A7F3D0" w14:textId="4BC8BDB9" w:rsidR="00E863BE" w:rsidRPr="00847710" w:rsidRDefault="00E863BE"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pakalpojuma vidējās izmaksas</w:t>
            </w:r>
            <w:r w:rsidR="00004FF9" w:rsidRPr="00847710">
              <w:rPr>
                <w:rFonts w:ascii="Times New Roman" w:eastAsia="Times New Roman" w:hAnsi="Times New Roman" w:cs="Times New Roman"/>
                <w:b/>
                <w:bCs/>
                <w:sz w:val="20"/>
                <w:szCs w:val="20"/>
                <w:lang w:eastAsia="lv-LV"/>
              </w:rPr>
              <w:t xml:space="preserve"> *</w:t>
            </w:r>
          </w:p>
        </w:tc>
        <w:tc>
          <w:tcPr>
            <w:tcW w:w="1276" w:type="dxa"/>
            <w:shd w:val="clear" w:color="auto" w:fill="E36C0A" w:themeFill="accent6" w:themeFillShade="BF"/>
            <w:textDirection w:val="btLr"/>
            <w:vAlign w:val="center"/>
          </w:tcPr>
          <w:p w14:paraId="5D412969" w14:textId="77777777" w:rsidR="00E863BE" w:rsidRPr="00847710" w:rsidRDefault="00E863BE"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Papildus piešķiramais finansējums</w:t>
            </w:r>
          </w:p>
          <w:p w14:paraId="27DE797D" w14:textId="77777777" w:rsidR="00E863BE" w:rsidRPr="00847710" w:rsidRDefault="00E863BE" w:rsidP="00C01ED4">
            <w:pPr>
              <w:spacing w:after="0" w:line="240" w:lineRule="auto"/>
              <w:ind w:left="113" w:right="113"/>
              <w:jc w:val="center"/>
              <w:rPr>
                <w:rFonts w:ascii="Times New Roman" w:eastAsia="Times New Roman" w:hAnsi="Times New Roman" w:cs="Times New Roman"/>
                <w:b/>
                <w:bCs/>
                <w:sz w:val="20"/>
                <w:szCs w:val="20"/>
                <w:lang w:eastAsia="lv-LV"/>
              </w:rPr>
            </w:pPr>
          </w:p>
        </w:tc>
        <w:tc>
          <w:tcPr>
            <w:tcW w:w="1417" w:type="dxa"/>
            <w:shd w:val="clear" w:color="auto" w:fill="E36C0A" w:themeFill="accent6" w:themeFillShade="BF"/>
            <w:textDirection w:val="btLr"/>
            <w:vAlign w:val="center"/>
          </w:tcPr>
          <w:p w14:paraId="1CE769CF" w14:textId="77777777" w:rsidR="00E863BE" w:rsidRPr="00847710" w:rsidRDefault="00E863BE"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r>
      <w:tr w:rsidR="00151356" w:rsidRPr="00847710" w14:paraId="07FC336E" w14:textId="77777777" w:rsidTr="00C86312">
        <w:trPr>
          <w:trHeight w:val="505"/>
          <w:jc w:val="center"/>
        </w:trPr>
        <w:tc>
          <w:tcPr>
            <w:tcW w:w="42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59583E77" w14:textId="77777777" w:rsidR="00E863BE" w:rsidRPr="00847710" w:rsidRDefault="00E863BE" w:rsidP="00C01ED4">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961470E" w14:textId="77777777" w:rsidR="00E863BE" w:rsidRPr="00847710" w:rsidRDefault="00E863BE" w:rsidP="00C01ED4">
            <w:pPr>
              <w:spacing w:after="0" w:line="240" w:lineRule="auto"/>
              <w:jc w:val="center"/>
              <w:rPr>
                <w:rFonts w:ascii="Times New Roman" w:eastAsia="Times New Roman" w:hAnsi="Times New Roman" w:cs="Times New Roman"/>
                <w:color w:val="000000"/>
                <w:sz w:val="20"/>
                <w:szCs w:val="20"/>
                <w:lang w:eastAsia="lv-LV"/>
              </w:rPr>
            </w:pPr>
          </w:p>
        </w:tc>
        <w:tc>
          <w:tcPr>
            <w:tcW w:w="155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13EFA62D" w14:textId="77777777" w:rsidR="00E863BE" w:rsidRPr="00C86312" w:rsidRDefault="00E863BE" w:rsidP="00C8631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BC6C7C3" w14:textId="77777777" w:rsidR="00E863BE" w:rsidRPr="00C86312" w:rsidRDefault="00E863BE"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2018</w:t>
            </w:r>
          </w:p>
          <w:p w14:paraId="43EA859E" w14:textId="77777777" w:rsidR="00E863BE" w:rsidRPr="00C86312" w:rsidRDefault="00E863BE" w:rsidP="00C86312">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714C8F4" w14:textId="77777777" w:rsidR="00E863BE" w:rsidRPr="00847710" w:rsidRDefault="00E863BE" w:rsidP="00C01ED4">
            <w:pPr>
              <w:spacing w:after="0" w:line="240" w:lineRule="auto"/>
              <w:jc w:val="center"/>
              <w:rPr>
                <w:rFonts w:ascii="Times New Roman" w:eastAsia="Times New Roman" w:hAnsi="Times New Roman" w:cs="Times New Roman"/>
                <w:b/>
                <w:sz w:val="20"/>
                <w:szCs w:val="20"/>
                <w:lang w:eastAsia="lv-LV"/>
              </w:rPr>
            </w:pPr>
          </w:p>
          <w:p w14:paraId="136E0838" w14:textId="77777777" w:rsidR="00E863BE" w:rsidRPr="00C86312" w:rsidRDefault="00E863BE"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2018</w:t>
            </w:r>
          </w:p>
          <w:p w14:paraId="7F3DFC12" w14:textId="77777777" w:rsidR="00E863BE" w:rsidRPr="00847710" w:rsidRDefault="00E863BE" w:rsidP="00C01ED4">
            <w:pPr>
              <w:spacing w:after="0" w:line="240" w:lineRule="auto"/>
              <w:jc w:val="center"/>
              <w:rPr>
                <w:rFonts w:ascii="Times New Roman" w:eastAsia="Times New Roman" w:hAnsi="Times New Roman" w:cs="Times New Roman"/>
                <w:b/>
                <w:sz w:val="20"/>
                <w:szCs w:val="20"/>
                <w:lang w:eastAsia="lv-LV"/>
              </w:rPr>
            </w:pPr>
          </w:p>
        </w:tc>
      </w:tr>
      <w:tr w:rsidR="00E863BE" w:rsidRPr="00847710" w14:paraId="5480D1E2" w14:textId="77777777" w:rsidTr="00C86312">
        <w:trPr>
          <w:trHeight w:val="27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DC439" w14:textId="77777777" w:rsidR="00E863BE" w:rsidRPr="00847710" w:rsidRDefault="00E863BE" w:rsidP="00C01ED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6DA090" w14:textId="3212F7F0" w:rsidR="00E863BE" w:rsidRPr="00847710" w:rsidRDefault="00E863BE" w:rsidP="00C01ED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Kompensējamie medikamenti C hepatīta ārstēšanai</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596D8" w14:textId="7FFB6970" w:rsidR="00E863BE" w:rsidRPr="00847710" w:rsidRDefault="0006096D" w:rsidP="00C01ED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26</w:t>
            </w:r>
            <w:r w:rsidR="000C3AD4" w:rsidRPr="00847710">
              <w:rPr>
                <w:rFonts w:ascii="Times New Roman" w:eastAsia="Times New Roman" w:hAnsi="Times New Roman" w:cs="Times New Roman"/>
                <w:sz w:val="20"/>
                <w:szCs w:val="20"/>
                <w:lang w:eastAsia="lv-LV"/>
              </w:rPr>
              <w:t> 910.75</w:t>
            </w:r>
          </w:p>
        </w:tc>
        <w:tc>
          <w:tcPr>
            <w:tcW w:w="1276" w:type="dxa"/>
            <w:tcBorders>
              <w:top w:val="single" w:sz="4" w:space="0" w:color="auto"/>
              <w:left w:val="single" w:sz="4" w:space="0" w:color="auto"/>
              <w:bottom w:val="single" w:sz="4" w:space="0" w:color="auto"/>
              <w:right w:val="single" w:sz="4" w:space="0" w:color="auto"/>
            </w:tcBorders>
            <w:vAlign w:val="bottom"/>
          </w:tcPr>
          <w:p w14:paraId="4068B0D7" w14:textId="52B611AA" w:rsidR="00E863BE" w:rsidRPr="00C86312" w:rsidRDefault="00E863BE" w:rsidP="00C86312">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eastAsia="Times New Roman" w:hAnsi="Times New Roman" w:cs="Times New Roman"/>
                <w:sz w:val="20"/>
                <w:szCs w:val="20"/>
                <w:lang w:eastAsia="lv-LV"/>
              </w:rPr>
              <w:t>5 462 88</w:t>
            </w:r>
            <w:r w:rsidR="000C3AD4" w:rsidRPr="00847710">
              <w:rPr>
                <w:rFonts w:ascii="Times New Roman" w:eastAsia="Times New Roman" w:hAnsi="Times New Roman" w:cs="Times New Roman"/>
                <w:sz w:val="20"/>
                <w:szCs w:val="20"/>
                <w:lang w:eastAsia="lv-LV"/>
              </w:rPr>
              <w:t>2</w:t>
            </w:r>
          </w:p>
        </w:tc>
        <w:tc>
          <w:tcPr>
            <w:tcW w:w="1417" w:type="dxa"/>
            <w:tcBorders>
              <w:top w:val="single" w:sz="4" w:space="0" w:color="auto"/>
              <w:left w:val="single" w:sz="4" w:space="0" w:color="auto"/>
              <w:bottom w:val="single" w:sz="4" w:space="0" w:color="auto"/>
              <w:right w:val="single" w:sz="4" w:space="0" w:color="auto"/>
            </w:tcBorders>
            <w:vAlign w:val="bottom"/>
          </w:tcPr>
          <w:p w14:paraId="0B54EFD1" w14:textId="157D477B" w:rsidR="0006096D" w:rsidRPr="00C86312" w:rsidRDefault="0006096D"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203</w:t>
            </w:r>
          </w:p>
        </w:tc>
      </w:tr>
      <w:tr w:rsidR="00151356" w:rsidRPr="00847710" w14:paraId="725B1C69" w14:textId="77777777" w:rsidTr="00C86312">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4073FAC4" w14:textId="77777777" w:rsidR="00E863BE" w:rsidRPr="00847710" w:rsidRDefault="00E863BE" w:rsidP="00C01ED4">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3C67FD2E" w14:textId="77777777" w:rsidR="00E863BE" w:rsidRPr="00C86312" w:rsidRDefault="00E863BE"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1554"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7C68AE97" w14:textId="77777777" w:rsidR="00E863BE" w:rsidRPr="00847710" w:rsidRDefault="00E863BE" w:rsidP="00C01ED4">
            <w:pPr>
              <w:spacing w:after="0" w:line="240" w:lineRule="auto"/>
              <w:jc w:val="center"/>
              <w:rPr>
                <w:rFonts w:ascii="Times New Roman" w:eastAsia="Times New Roman" w:hAnsi="Times New Roman" w:cs="Times New Roman"/>
                <w:b/>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CD5B4"/>
            <w:vAlign w:val="bottom"/>
          </w:tcPr>
          <w:p w14:paraId="56FED1BD" w14:textId="159BF652" w:rsidR="00E863BE" w:rsidRPr="00C86312" w:rsidRDefault="00E863BE" w:rsidP="00C86312">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sz w:val="20"/>
                <w:szCs w:val="20"/>
                <w:lang w:eastAsia="lv-LV"/>
              </w:rPr>
              <w:t>5 462 883</w:t>
            </w:r>
          </w:p>
        </w:tc>
        <w:tc>
          <w:tcPr>
            <w:tcW w:w="1417" w:type="dxa"/>
            <w:tcBorders>
              <w:top w:val="single" w:sz="4" w:space="0" w:color="auto"/>
              <w:left w:val="single" w:sz="4" w:space="0" w:color="auto"/>
              <w:bottom w:val="single" w:sz="4" w:space="0" w:color="auto"/>
              <w:right w:val="single" w:sz="4" w:space="0" w:color="auto"/>
            </w:tcBorders>
            <w:shd w:val="clear" w:color="auto" w:fill="FCD5B4"/>
            <w:vAlign w:val="bottom"/>
          </w:tcPr>
          <w:p w14:paraId="08C1154F" w14:textId="2DD8A197" w:rsidR="00E863BE" w:rsidRPr="00C86312" w:rsidRDefault="0006096D"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203</w:t>
            </w:r>
          </w:p>
        </w:tc>
      </w:tr>
    </w:tbl>
    <w:p w14:paraId="3304E2F3" w14:textId="22ACC4CA" w:rsidR="007D1420" w:rsidRPr="00847710" w:rsidRDefault="009738D4" w:rsidP="00AB7C24">
      <w:pPr>
        <w:ind w:left="60"/>
        <w:jc w:val="both"/>
        <w:rPr>
          <w:rFonts w:ascii="Times New Roman" w:hAnsi="Times New Roman" w:cs="Times New Roman"/>
          <w:sz w:val="24"/>
          <w:szCs w:val="24"/>
        </w:rPr>
      </w:pPr>
      <w:r w:rsidRPr="00847710">
        <w:rPr>
          <w:rFonts w:ascii="Times New Roman" w:hAnsi="Times New Roman" w:cs="Times New Roman"/>
          <w:sz w:val="24"/>
          <w:szCs w:val="24"/>
        </w:rPr>
        <w:t>*</w:t>
      </w:r>
      <w:r w:rsidR="008C5D88" w:rsidRPr="00847710">
        <w:rPr>
          <w:rFonts w:ascii="Times New Roman" w:hAnsi="Times New Roman" w:cs="Times New Roman"/>
          <w:sz w:val="24"/>
          <w:szCs w:val="24"/>
        </w:rPr>
        <w:t xml:space="preserve"> </w:t>
      </w:r>
      <w:r w:rsidR="00004FF9" w:rsidRPr="00847710">
        <w:rPr>
          <w:rFonts w:ascii="Times New Roman" w:hAnsi="Times New Roman" w:cs="Times New Roman"/>
          <w:sz w:val="24"/>
          <w:szCs w:val="24"/>
        </w:rPr>
        <w:t>Ietverot iepriekšējos periodos uzsākto interferona terapiju izmaksas</w:t>
      </w:r>
    </w:p>
    <w:p w14:paraId="0889E854" w14:textId="70C45BB7" w:rsidR="001E7A7F" w:rsidRPr="00847710" w:rsidRDefault="007D1420" w:rsidP="001E7A7F">
      <w:pPr>
        <w:ind w:firstLine="709"/>
        <w:jc w:val="both"/>
        <w:rPr>
          <w:rFonts w:ascii="Times New Roman" w:hAnsi="Times New Roman" w:cs="Times New Roman"/>
          <w:sz w:val="24"/>
          <w:szCs w:val="24"/>
        </w:rPr>
      </w:pPr>
      <w:r w:rsidRPr="00847710">
        <w:rPr>
          <w:rFonts w:ascii="Times New Roman" w:hAnsi="Times New Roman" w:cs="Times New Roman"/>
          <w:sz w:val="24"/>
          <w:szCs w:val="24"/>
        </w:rPr>
        <w:t>J</w:t>
      </w:r>
      <w:r w:rsidR="008C5D88" w:rsidRPr="00847710">
        <w:rPr>
          <w:rFonts w:ascii="Times New Roman" w:hAnsi="Times New Roman" w:cs="Times New Roman"/>
          <w:sz w:val="24"/>
          <w:szCs w:val="24"/>
        </w:rPr>
        <w:t xml:space="preserve">au 2017.gada </w:t>
      </w:r>
      <w:r w:rsidR="00A26CA3" w:rsidRPr="00847710">
        <w:rPr>
          <w:rFonts w:ascii="Times New Roman" w:hAnsi="Times New Roman" w:cs="Times New Roman"/>
          <w:sz w:val="24"/>
          <w:szCs w:val="24"/>
        </w:rPr>
        <w:t>I</w:t>
      </w:r>
      <w:r w:rsidR="0093588C" w:rsidRPr="00847710">
        <w:rPr>
          <w:rFonts w:ascii="Times New Roman" w:hAnsi="Times New Roman" w:cs="Times New Roman"/>
          <w:sz w:val="24"/>
          <w:szCs w:val="24"/>
        </w:rPr>
        <w:t xml:space="preserve"> </w:t>
      </w:r>
      <w:r w:rsidR="008C5D88" w:rsidRPr="00847710">
        <w:rPr>
          <w:rFonts w:ascii="Times New Roman" w:hAnsi="Times New Roman" w:cs="Times New Roman"/>
          <w:sz w:val="24"/>
          <w:szCs w:val="24"/>
        </w:rPr>
        <w:t xml:space="preserve">pusgadā </w:t>
      </w:r>
      <w:r w:rsidR="00805042" w:rsidRPr="00847710">
        <w:rPr>
          <w:rFonts w:ascii="Times New Roman" w:hAnsi="Times New Roman" w:cs="Times New Roman"/>
          <w:sz w:val="24"/>
          <w:szCs w:val="24"/>
        </w:rPr>
        <w:t>Nacionālā veselības dienesta</w:t>
      </w:r>
      <w:r w:rsidR="008C5D88" w:rsidRPr="00847710">
        <w:rPr>
          <w:rFonts w:ascii="Times New Roman" w:hAnsi="Times New Roman" w:cs="Times New Roman"/>
          <w:sz w:val="24"/>
          <w:szCs w:val="24"/>
        </w:rPr>
        <w:t xml:space="preserve"> sekmīgas darbības rezultātā </w:t>
      </w:r>
      <w:r w:rsidR="00476403" w:rsidRPr="00847710">
        <w:rPr>
          <w:rFonts w:ascii="Times New Roman" w:hAnsi="Times New Roman" w:cs="Times New Roman"/>
          <w:sz w:val="24"/>
          <w:szCs w:val="24"/>
        </w:rPr>
        <w:t xml:space="preserve">ārstēšana VHC pacientiem F3-F4 stadijā īstenota 69 % apmērā no gada plānotā pieejamības pieauguma apjoma, </w:t>
      </w:r>
      <w:r w:rsidR="001E7A7F" w:rsidRPr="00847710">
        <w:rPr>
          <w:rFonts w:ascii="Times New Roman" w:hAnsi="Times New Roman" w:cs="Times New Roman"/>
          <w:sz w:val="24"/>
          <w:szCs w:val="24"/>
        </w:rPr>
        <w:t xml:space="preserve"> l</w:t>
      </w:r>
      <w:r w:rsidR="0073690A" w:rsidRPr="00847710">
        <w:rPr>
          <w:rFonts w:ascii="Times New Roman" w:hAnsi="Times New Roman" w:cs="Times New Roman"/>
          <w:sz w:val="24"/>
          <w:szCs w:val="24"/>
        </w:rPr>
        <w:t>īdz ar to nepieciešams turpināt iesākto reformu VHC ārstēšanā, nodrošinot tiešās darbības interferonu nesaturošo preparātu pieejamību pacientiem lielākā apjomā</w:t>
      </w:r>
      <w:r w:rsidR="001E7A7F" w:rsidRPr="00847710">
        <w:rPr>
          <w:rFonts w:ascii="Times New Roman" w:hAnsi="Times New Roman" w:cs="Times New Roman"/>
          <w:sz w:val="24"/>
          <w:szCs w:val="24"/>
        </w:rPr>
        <w:t xml:space="preserve"> un </w:t>
      </w:r>
      <w:r w:rsidR="0073690A" w:rsidRPr="00847710">
        <w:rPr>
          <w:rFonts w:ascii="Times New Roman" w:hAnsi="Times New Roman" w:cs="Times New Roman"/>
          <w:sz w:val="24"/>
          <w:szCs w:val="24"/>
        </w:rPr>
        <w:t xml:space="preserve"> 2018.gadā nodrošinot papildus terapiju </w:t>
      </w:r>
      <w:r w:rsidR="00B6035E" w:rsidRPr="00847710">
        <w:rPr>
          <w:rFonts w:ascii="Times New Roman" w:hAnsi="Times New Roman" w:cs="Times New Roman"/>
          <w:sz w:val="24"/>
          <w:szCs w:val="24"/>
        </w:rPr>
        <w:t>204</w:t>
      </w:r>
      <w:r w:rsidR="0073690A" w:rsidRPr="00847710">
        <w:rPr>
          <w:rFonts w:ascii="Times New Roman" w:hAnsi="Times New Roman" w:cs="Times New Roman"/>
          <w:sz w:val="24"/>
          <w:szCs w:val="24"/>
        </w:rPr>
        <w:t xml:space="preserve"> VHC pacientiem, vispirms nodrošinot papildus ārstēšanu VHC F3-F4 stadijā fiksētajiem 2017.gada pacientiem un iespēju robežās no 2018.gada nodrošinot VHC ārstēša</w:t>
      </w:r>
      <w:r w:rsidR="00667408" w:rsidRPr="00847710">
        <w:rPr>
          <w:rFonts w:ascii="Times New Roman" w:hAnsi="Times New Roman" w:cs="Times New Roman"/>
          <w:sz w:val="24"/>
          <w:szCs w:val="24"/>
        </w:rPr>
        <w:t>nu arī pacientiem ar F2</w:t>
      </w:r>
      <w:r w:rsidR="001E7A7F" w:rsidRPr="00847710">
        <w:rPr>
          <w:rFonts w:ascii="Times New Roman" w:hAnsi="Times New Roman" w:cs="Times New Roman"/>
          <w:sz w:val="24"/>
          <w:szCs w:val="24"/>
        </w:rPr>
        <w:t xml:space="preserve"> aknu bojājuma </w:t>
      </w:r>
      <w:r w:rsidR="00667408" w:rsidRPr="00847710">
        <w:rPr>
          <w:rFonts w:ascii="Times New Roman" w:hAnsi="Times New Roman" w:cs="Times New Roman"/>
          <w:sz w:val="24"/>
          <w:szCs w:val="24"/>
        </w:rPr>
        <w:t xml:space="preserve"> stadiju. </w:t>
      </w:r>
    </w:p>
    <w:p w14:paraId="77851F90" w14:textId="302077B4" w:rsidR="000D42A5" w:rsidRPr="00C86312" w:rsidRDefault="0073690A">
      <w:pPr>
        <w:ind w:firstLine="709"/>
        <w:jc w:val="both"/>
        <w:rPr>
          <w:rFonts w:ascii="Times New Roman" w:hAnsi="Times New Roman" w:cs="Times New Roman"/>
          <w:i/>
          <w:iCs/>
          <w:sz w:val="24"/>
          <w:szCs w:val="24"/>
        </w:rPr>
      </w:pPr>
      <w:r w:rsidRPr="00847710">
        <w:rPr>
          <w:rFonts w:ascii="Times New Roman" w:hAnsi="Times New Roman" w:cs="Times New Roman"/>
          <w:sz w:val="24"/>
          <w:szCs w:val="24"/>
        </w:rPr>
        <w:t xml:space="preserve">50% no VHC pacientiem ir F3-F4 stadijā, kas potenciāli ir darbnespējīgi iedzīvotāji. Tādējādi, veicot ārstēšanu F3-F4 stadijas pacientiem, tie tiek atgriezti darba tirgū, sniedzot ieguldījumu kopējā valsts tautsaimniecībā. Reforma VHC pacientu ārstēšanai tiks turpināta arī </w:t>
      </w:r>
      <w:r w:rsidRPr="00847710">
        <w:rPr>
          <w:rFonts w:ascii="Times New Roman" w:hAnsi="Times New Roman" w:cs="Times New Roman"/>
          <w:sz w:val="24"/>
          <w:szCs w:val="24"/>
        </w:rPr>
        <w:lastRenderedPageBreak/>
        <w:t>2019. un 2020.gadā</w:t>
      </w:r>
      <w:r w:rsidR="001E7A7F" w:rsidRPr="00847710">
        <w:rPr>
          <w:rFonts w:ascii="Times New Roman" w:hAnsi="Times New Roman" w:cs="Times New Roman"/>
          <w:sz w:val="24"/>
          <w:szCs w:val="24"/>
        </w:rPr>
        <w:t>.</w:t>
      </w:r>
      <w:r w:rsidRPr="00847710">
        <w:rPr>
          <w:rFonts w:ascii="Times New Roman" w:hAnsi="Times New Roman" w:cs="Times New Roman"/>
          <w:sz w:val="24"/>
          <w:szCs w:val="24"/>
        </w:rPr>
        <w:t xml:space="preserve"> </w:t>
      </w:r>
      <w:r w:rsidR="007D1420" w:rsidRPr="00847710">
        <w:rPr>
          <w:rFonts w:ascii="Times New Roman" w:hAnsi="Times New Roman" w:cs="Times New Roman"/>
          <w:sz w:val="24"/>
          <w:szCs w:val="24"/>
        </w:rPr>
        <w:t xml:space="preserve">Papildus 2017.gada turpinātajam apjomam, </w:t>
      </w:r>
      <w:r w:rsidR="003435A5" w:rsidRPr="00847710">
        <w:rPr>
          <w:rFonts w:ascii="Times New Roman" w:hAnsi="Times New Roman" w:cs="Times New Roman"/>
          <w:sz w:val="24"/>
          <w:szCs w:val="24"/>
        </w:rPr>
        <w:t xml:space="preserve">2018.gadā </w:t>
      </w:r>
      <w:r w:rsidR="007D1420" w:rsidRPr="00847710">
        <w:rPr>
          <w:rFonts w:ascii="Times New Roman" w:hAnsi="Times New Roman" w:cs="Times New Roman"/>
          <w:sz w:val="24"/>
          <w:szCs w:val="24"/>
        </w:rPr>
        <w:t>tiks nodrošināta vēl 204 pacientu ārstēšana.</w:t>
      </w:r>
    </w:p>
    <w:p w14:paraId="6F323B46" w14:textId="59D8EEA9" w:rsidR="009A090F" w:rsidRPr="00C86312" w:rsidRDefault="0020102F" w:rsidP="00C86312">
      <w:pPr>
        <w:spacing w:after="0" w:line="240" w:lineRule="auto"/>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2</w:t>
      </w:r>
      <w:r w:rsidR="00DE3C94">
        <w:rPr>
          <w:rFonts w:ascii="Times New Roman" w:hAnsi="Times New Roman" w:cs="Times New Roman"/>
          <w:i/>
          <w:iCs/>
          <w:sz w:val="24"/>
          <w:szCs w:val="24"/>
        </w:rPr>
        <w:t>3</w:t>
      </w:r>
      <w:r w:rsidR="009A090F" w:rsidRPr="57326167">
        <w:rPr>
          <w:rFonts w:ascii="Times New Roman" w:hAnsi="Times New Roman" w:cs="Times New Roman"/>
          <w:i/>
          <w:iCs/>
          <w:sz w:val="24"/>
          <w:szCs w:val="24"/>
        </w:rPr>
        <w:t>.tabula</w:t>
      </w:r>
    </w:p>
    <w:p w14:paraId="7518D447" w14:textId="77777777" w:rsidR="009A090F" w:rsidRPr="00C86312" w:rsidRDefault="009A090F" w:rsidP="00C86312">
      <w:pPr>
        <w:spacing w:after="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Plānotais finansējums VHC ārstēšanai </w:t>
      </w:r>
    </w:p>
    <w:p w14:paraId="54949EB4" w14:textId="77777777" w:rsidR="009A090F" w:rsidRPr="00847710" w:rsidRDefault="009A090F" w:rsidP="009A090F">
      <w:pPr>
        <w:spacing w:after="0" w:line="240" w:lineRule="auto"/>
        <w:ind w:firstLine="720"/>
        <w:jc w:val="center"/>
        <w:rPr>
          <w:rFonts w:ascii="Times New Roman" w:hAnsi="Times New Roman" w:cs="Times New Roman"/>
          <w:b/>
          <w:sz w:val="24"/>
          <w:szCs w:val="24"/>
        </w:rPr>
      </w:pPr>
    </w:p>
    <w:tbl>
      <w:tblPr>
        <w:tblW w:w="11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79"/>
        <w:gridCol w:w="1134"/>
        <w:gridCol w:w="1559"/>
        <w:gridCol w:w="1417"/>
        <w:gridCol w:w="1285"/>
        <w:gridCol w:w="1272"/>
        <w:gridCol w:w="1272"/>
        <w:gridCol w:w="1272"/>
      </w:tblGrid>
      <w:tr w:rsidR="009A090F" w:rsidRPr="00847710" w14:paraId="5877EF24" w14:textId="77777777" w:rsidTr="00C86312">
        <w:trPr>
          <w:cantSplit/>
          <w:trHeight w:val="1656"/>
          <w:jc w:val="center"/>
        </w:trPr>
        <w:tc>
          <w:tcPr>
            <w:tcW w:w="450" w:type="dxa"/>
            <w:shd w:val="clear" w:color="auto" w:fill="E36C0A" w:themeFill="accent6" w:themeFillShade="BF"/>
          </w:tcPr>
          <w:p w14:paraId="6499436B" w14:textId="77777777" w:rsidR="009A090F" w:rsidRPr="00847710" w:rsidRDefault="009A090F" w:rsidP="00A37A10">
            <w:pPr>
              <w:spacing w:after="0" w:line="240" w:lineRule="auto"/>
              <w:rPr>
                <w:rFonts w:ascii="Times New Roman" w:eastAsia="Times New Roman" w:hAnsi="Times New Roman" w:cs="Times New Roman"/>
                <w:b/>
                <w:bCs/>
                <w:sz w:val="20"/>
                <w:szCs w:val="20"/>
                <w:lang w:eastAsia="lv-LV"/>
              </w:rPr>
            </w:pPr>
          </w:p>
        </w:tc>
        <w:tc>
          <w:tcPr>
            <w:tcW w:w="1579" w:type="dxa"/>
            <w:shd w:val="clear" w:color="auto" w:fill="E36C0A" w:themeFill="accent6" w:themeFillShade="BF"/>
            <w:vAlign w:val="center"/>
            <w:hideMark/>
          </w:tcPr>
          <w:p w14:paraId="66BC4C84" w14:textId="77777777" w:rsidR="009A090F" w:rsidRPr="00847710" w:rsidRDefault="009A090F" w:rsidP="00A37A10">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A" w:themeFill="accent6" w:themeFillShade="BF"/>
            <w:textDirection w:val="btLr"/>
            <w:vAlign w:val="center"/>
            <w:hideMark/>
          </w:tcPr>
          <w:p w14:paraId="60D04C54" w14:textId="77777777" w:rsidR="009A090F" w:rsidRPr="00847710" w:rsidRDefault="009A090F" w:rsidP="00A37A1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320D0D54" w14:textId="77777777" w:rsidR="009A090F" w:rsidRPr="00847710" w:rsidRDefault="009A090F" w:rsidP="00A37A1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39C52F0D" w14:textId="77777777" w:rsidR="009A090F" w:rsidRPr="00847710" w:rsidRDefault="009A090F" w:rsidP="00A37A10">
            <w:pPr>
              <w:spacing w:after="0" w:line="240" w:lineRule="auto"/>
              <w:ind w:left="113" w:right="113"/>
              <w:jc w:val="center"/>
              <w:rPr>
                <w:rFonts w:ascii="Times New Roman" w:eastAsia="Times New Roman" w:hAnsi="Times New Roman" w:cs="Times New Roman"/>
                <w:b/>
                <w:bCs/>
                <w:sz w:val="20"/>
                <w:szCs w:val="20"/>
                <w:lang w:eastAsia="lv-LV"/>
              </w:rPr>
            </w:pPr>
          </w:p>
        </w:tc>
        <w:tc>
          <w:tcPr>
            <w:tcW w:w="2976" w:type="dxa"/>
            <w:gridSpan w:val="2"/>
            <w:shd w:val="clear" w:color="auto" w:fill="E36C0A" w:themeFill="accent6" w:themeFillShade="BF"/>
            <w:textDirection w:val="btLr"/>
            <w:vAlign w:val="center"/>
            <w:hideMark/>
          </w:tcPr>
          <w:p w14:paraId="5CAACFE6" w14:textId="77777777" w:rsidR="009A090F" w:rsidRPr="00847710" w:rsidRDefault="009A090F" w:rsidP="00A37A1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A" w:themeFill="accent6" w:themeFillShade="BF"/>
            <w:textDirection w:val="btLr"/>
            <w:vAlign w:val="center"/>
            <w:hideMark/>
          </w:tcPr>
          <w:p w14:paraId="1FF6A404" w14:textId="77777777" w:rsidR="009A090F" w:rsidRPr="00847710" w:rsidRDefault="009A090F" w:rsidP="00A37A1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A" w:themeFill="accent6" w:themeFillShade="BF"/>
            <w:textDirection w:val="btLr"/>
            <w:vAlign w:val="center"/>
          </w:tcPr>
          <w:p w14:paraId="53FEF1C9" w14:textId="77777777" w:rsidR="009A090F" w:rsidRPr="00847710" w:rsidRDefault="009A090F" w:rsidP="00A37A1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A" w:themeFill="accent6" w:themeFillShade="BF"/>
            <w:textDirection w:val="btLr"/>
            <w:vAlign w:val="center"/>
            <w:hideMark/>
          </w:tcPr>
          <w:p w14:paraId="768E9F08" w14:textId="77777777" w:rsidR="009A090F" w:rsidRPr="00847710" w:rsidRDefault="009A090F" w:rsidP="00A37A10">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AB6A87" w:rsidRPr="00847710" w14:paraId="1C01D916" w14:textId="77777777" w:rsidTr="00C86312">
        <w:trPr>
          <w:trHeight w:val="640"/>
          <w:jc w:val="center"/>
        </w:trPr>
        <w:tc>
          <w:tcPr>
            <w:tcW w:w="450" w:type="dxa"/>
            <w:shd w:val="clear" w:color="auto" w:fill="FABF8F" w:themeFill="accent6" w:themeFillTint="99"/>
          </w:tcPr>
          <w:p w14:paraId="0C1E0E06" w14:textId="77777777" w:rsidR="009A090F" w:rsidRPr="00847710" w:rsidRDefault="009A090F" w:rsidP="00A37A10">
            <w:pPr>
              <w:spacing w:after="0" w:line="240" w:lineRule="auto"/>
              <w:jc w:val="center"/>
              <w:rPr>
                <w:rFonts w:ascii="Times New Roman" w:eastAsia="Times New Roman" w:hAnsi="Times New Roman" w:cs="Times New Roman"/>
                <w:b/>
                <w:bCs/>
                <w:sz w:val="20"/>
                <w:szCs w:val="20"/>
                <w:lang w:eastAsia="lv-LV"/>
              </w:rPr>
            </w:pPr>
          </w:p>
        </w:tc>
        <w:tc>
          <w:tcPr>
            <w:tcW w:w="1579" w:type="dxa"/>
            <w:shd w:val="clear" w:color="auto" w:fill="FABF8F" w:themeFill="accent6" w:themeFillTint="99"/>
            <w:vAlign w:val="center"/>
          </w:tcPr>
          <w:p w14:paraId="780CBCC4" w14:textId="77777777" w:rsidR="009A090F" w:rsidRPr="00847710" w:rsidRDefault="009A090F" w:rsidP="00A37A10">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1BB29B13" w14:textId="77777777" w:rsidR="009A090F" w:rsidRPr="00847710" w:rsidRDefault="009A090F" w:rsidP="00A37A10">
            <w:pPr>
              <w:spacing w:after="0" w:line="240" w:lineRule="auto"/>
              <w:jc w:val="center"/>
              <w:rPr>
                <w:rFonts w:ascii="Times New Roman" w:eastAsia="Times New Roman" w:hAnsi="Times New Roman" w:cs="Times New Roman"/>
                <w:i/>
                <w:iCs/>
                <w:sz w:val="20"/>
                <w:szCs w:val="20"/>
                <w:lang w:eastAsia="lv-LV"/>
              </w:rPr>
            </w:pPr>
          </w:p>
          <w:p w14:paraId="2DF3E2B9" w14:textId="77777777" w:rsidR="009A090F" w:rsidRPr="00847710" w:rsidRDefault="009A090F" w:rsidP="00A37A10">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004D9D3E" w14:textId="77777777" w:rsidR="009A090F" w:rsidRPr="00847710" w:rsidRDefault="009A090F" w:rsidP="00A37A10">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14:paraId="3C95F252" w14:textId="77777777" w:rsidR="009A090F" w:rsidRPr="00847710" w:rsidRDefault="009A090F" w:rsidP="00A37A10">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417" w:type="dxa"/>
            <w:shd w:val="clear" w:color="auto" w:fill="FABF8F" w:themeFill="accent6" w:themeFillTint="99"/>
            <w:vAlign w:val="center"/>
          </w:tcPr>
          <w:p w14:paraId="5F7E005E" w14:textId="77777777" w:rsidR="009A090F" w:rsidRPr="00847710" w:rsidRDefault="009A090F" w:rsidP="00A37A10">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14:paraId="7FE0F06F" w14:textId="77777777" w:rsidR="009A090F" w:rsidRPr="00847710" w:rsidRDefault="009A090F" w:rsidP="00A37A10">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BF8F" w:themeFill="accent6" w:themeFillTint="99"/>
            <w:vAlign w:val="center"/>
          </w:tcPr>
          <w:p w14:paraId="7374CDCE" w14:textId="77777777" w:rsidR="009A090F" w:rsidRPr="00C86312" w:rsidRDefault="009A090F"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2018</w:t>
            </w:r>
          </w:p>
          <w:p w14:paraId="63083EDC" w14:textId="77777777" w:rsidR="009A090F" w:rsidRPr="00C86312" w:rsidRDefault="009A090F" w:rsidP="00C8631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BF8F" w:themeFill="accent6" w:themeFillTint="99"/>
            <w:vAlign w:val="center"/>
          </w:tcPr>
          <w:p w14:paraId="4E6074D5" w14:textId="77777777" w:rsidR="009A090F" w:rsidRPr="00847710" w:rsidRDefault="009A090F" w:rsidP="00A37A10">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BF8F" w:themeFill="accent6" w:themeFillTint="99"/>
            <w:vAlign w:val="center"/>
          </w:tcPr>
          <w:p w14:paraId="656EF355" w14:textId="77777777" w:rsidR="009A090F" w:rsidRPr="00847710" w:rsidRDefault="009A090F" w:rsidP="00A37A10">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BF8F" w:themeFill="accent6" w:themeFillTint="99"/>
            <w:vAlign w:val="center"/>
          </w:tcPr>
          <w:p w14:paraId="6C79E98E" w14:textId="77777777" w:rsidR="009A090F" w:rsidRPr="00847710" w:rsidRDefault="009A090F" w:rsidP="00A37A10">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rsidR="009A090F" w:rsidRPr="00847710" w14:paraId="68D32F84" w14:textId="77777777" w:rsidTr="00C86312">
        <w:trPr>
          <w:trHeight w:val="525"/>
          <w:jc w:val="center"/>
        </w:trPr>
        <w:tc>
          <w:tcPr>
            <w:tcW w:w="450" w:type="dxa"/>
            <w:tcBorders>
              <w:top w:val="single" w:sz="4" w:space="0" w:color="auto"/>
              <w:left w:val="single" w:sz="4" w:space="0" w:color="auto"/>
              <w:bottom w:val="single" w:sz="4" w:space="0" w:color="auto"/>
              <w:right w:val="single" w:sz="4" w:space="0" w:color="auto"/>
            </w:tcBorders>
          </w:tcPr>
          <w:p w14:paraId="0DF1D512" w14:textId="77777777" w:rsidR="009A090F" w:rsidRPr="00847710" w:rsidRDefault="009A090F" w:rsidP="00A37A10">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579" w:type="dxa"/>
            <w:tcBorders>
              <w:top w:val="single" w:sz="4" w:space="0" w:color="auto"/>
              <w:left w:val="single" w:sz="4" w:space="0" w:color="auto"/>
              <w:bottom w:val="single" w:sz="4" w:space="0" w:color="auto"/>
              <w:right w:val="single" w:sz="4" w:space="0" w:color="auto"/>
            </w:tcBorders>
            <w:vAlign w:val="bottom"/>
            <w:hideMark/>
          </w:tcPr>
          <w:p w14:paraId="1187D03C" w14:textId="77777777" w:rsidR="009A090F" w:rsidRPr="00847710" w:rsidRDefault="009A090F" w:rsidP="00A37A10">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Kompensējamie medikamenti C hepatīta ārstēšanai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C4638" w14:textId="77777777" w:rsidR="009A090F" w:rsidRPr="00847710" w:rsidRDefault="009A090F" w:rsidP="00A37A10">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28 000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EA390" w14:textId="77777777" w:rsidR="009A090F" w:rsidRPr="00847710" w:rsidRDefault="009A090F" w:rsidP="00A37A10">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10 562 883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5C79F" w14:textId="77777777" w:rsidR="009A090F" w:rsidRPr="00847710" w:rsidRDefault="009A090F" w:rsidP="00A37A10">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10 562 883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7DF5B" w14:textId="77777777" w:rsidR="009A090F" w:rsidRPr="00847710" w:rsidRDefault="009A090F" w:rsidP="00A37A10">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5 712 000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60104933" w14:textId="77777777" w:rsidR="009A090F" w:rsidRPr="00C86312" w:rsidRDefault="009A090F"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393</w:t>
            </w:r>
          </w:p>
        </w:tc>
        <w:tc>
          <w:tcPr>
            <w:tcW w:w="1272" w:type="dxa"/>
            <w:tcBorders>
              <w:top w:val="single" w:sz="4" w:space="0" w:color="auto"/>
              <w:left w:val="single" w:sz="4" w:space="0" w:color="auto"/>
              <w:bottom w:val="single" w:sz="4" w:space="0" w:color="auto"/>
              <w:right w:val="single" w:sz="4" w:space="0" w:color="auto"/>
            </w:tcBorders>
            <w:vAlign w:val="bottom"/>
          </w:tcPr>
          <w:p w14:paraId="6BD50AA2" w14:textId="77777777" w:rsidR="009A090F" w:rsidRPr="00C86312" w:rsidRDefault="009A090F"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393</w:t>
            </w:r>
          </w:p>
        </w:tc>
        <w:tc>
          <w:tcPr>
            <w:tcW w:w="1272" w:type="dxa"/>
            <w:tcBorders>
              <w:top w:val="single" w:sz="4" w:space="0" w:color="auto"/>
              <w:left w:val="single" w:sz="4" w:space="0" w:color="auto"/>
              <w:bottom w:val="single" w:sz="4" w:space="0" w:color="auto"/>
              <w:right w:val="single" w:sz="4" w:space="0" w:color="auto"/>
            </w:tcBorders>
            <w:noWrap/>
            <w:vAlign w:val="bottom"/>
          </w:tcPr>
          <w:p w14:paraId="6705E947" w14:textId="77777777" w:rsidR="009A090F" w:rsidRPr="00C86312" w:rsidRDefault="009A090F"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597</w:t>
            </w:r>
          </w:p>
        </w:tc>
      </w:tr>
      <w:tr w:rsidR="00AB6A87" w:rsidRPr="00847710" w14:paraId="070DC114" w14:textId="77777777" w:rsidTr="00C86312">
        <w:trPr>
          <w:trHeight w:val="296"/>
          <w:jc w:val="center"/>
        </w:trPr>
        <w:tc>
          <w:tcPr>
            <w:tcW w:w="450" w:type="dxa"/>
            <w:shd w:val="clear" w:color="auto" w:fill="FBD4B4" w:themeFill="accent6" w:themeFillTint="66"/>
          </w:tcPr>
          <w:p w14:paraId="08D2DC48" w14:textId="77777777" w:rsidR="009A090F" w:rsidRPr="00847710" w:rsidRDefault="009A090F" w:rsidP="00A37A10">
            <w:pPr>
              <w:spacing w:after="0" w:line="240" w:lineRule="auto"/>
              <w:rPr>
                <w:rFonts w:ascii="Times New Roman" w:eastAsia="Times New Roman" w:hAnsi="Times New Roman" w:cs="Times New Roman"/>
                <w:sz w:val="20"/>
                <w:szCs w:val="20"/>
                <w:lang w:eastAsia="lv-LV"/>
              </w:rPr>
            </w:pPr>
          </w:p>
        </w:tc>
        <w:tc>
          <w:tcPr>
            <w:tcW w:w="1579" w:type="dxa"/>
            <w:shd w:val="clear" w:color="auto" w:fill="FBD4B4" w:themeFill="accent6" w:themeFillTint="66"/>
            <w:vAlign w:val="bottom"/>
          </w:tcPr>
          <w:p w14:paraId="1C597D44" w14:textId="77777777" w:rsidR="009A090F" w:rsidRPr="00847710" w:rsidRDefault="009A090F" w:rsidP="00A37A10">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tcPr>
          <w:p w14:paraId="30275BA4" w14:textId="77777777" w:rsidR="009A090F" w:rsidRPr="00847710" w:rsidRDefault="009A090F" w:rsidP="00A37A10">
            <w:pPr>
              <w:spacing w:after="0" w:line="240" w:lineRule="auto"/>
              <w:jc w:val="center"/>
              <w:rPr>
                <w:rFonts w:ascii="Times New Roman" w:eastAsia="Times New Roman" w:hAnsi="Times New Roman" w:cs="Times New Roman"/>
                <w:sz w:val="20"/>
                <w:szCs w:val="20"/>
                <w:lang w:eastAsia="lv-LV"/>
              </w:rPr>
            </w:pPr>
          </w:p>
        </w:tc>
        <w:tc>
          <w:tcPr>
            <w:tcW w:w="1559" w:type="dxa"/>
            <w:shd w:val="clear" w:color="auto" w:fill="FBD4B4" w:themeFill="accent6" w:themeFillTint="66"/>
            <w:noWrap/>
            <w:vAlign w:val="bottom"/>
          </w:tcPr>
          <w:p w14:paraId="70F3766C" w14:textId="77777777" w:rsidR="009A090F" w:rsidRPr="00847710" w:rsidRDefault="009A090F" w:rsidP="00A37A10">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10 562 883</w:t>
            </w:r>
          </w:p>
        </w:tc>
        <w:tc>
          <w:tcPr>
            <w:tcW w:w="1417" w:type="dxa"/>
            <w:shd w:val="clear" w:color="auto" w:fill="FBD4B4" w:themeFill="accent6" w:themeFillTint="66"/>
            <w:noWrap/>
            <w:vAlign w:val="bottom"/>
          </w:tcPr>
          <w:p w14:paraId="4712F0E4" w14:textId="77777777" w:rsidR="009A090F" w:rsidRPr="00847710" w:rsidRDefault="009A090F" w:rsidP="00A37A10">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10 562 883</w:t>
            </w:r>
          </w:p>
        </w:tc>
        <w:tc>
          <w:tcPr>
            <w:tcW w:w="1285" w:type="dxa"/>
            <w:shd w:val="clear" w:color="auto" w:fill="FBD4B4" w:themeFill="accent6" w:themeFillTint="66"/>
            <w:noWrap/>
            <w:vAlign w:val="bottom"/>
          </w:tcPr>
          <w:p w14:paraId="3CB024C8" w14:textId="77777777" w:rsidR="009A090F" w:rsidRPr="00847710" w:rsidRDefault="009A090F" w:rsidP="00A37A10">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5 712 000</w:t>
            </w:r>
          </w:p>
        </w:tc>
        <w:tc>
          <w:tcPr>
            <w:tcW w:w="1272" w:type="dxa"/>
            <w:shd w:val="clear" w:color="auto" w:fill="FBD4B4" w:themeFill="accent6" w:themeFillTint="66"/>
            <w:vAlign w:val="bottom"/>
          </w:tcPr>
          <w:p w14:paraId="4C7FF136" w14:textId="77777777" w:rsidR="009A090F" w:rsidRPr="00C86312" w:rsidRDefault="009A090F"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393</w:t>
            </w:r>
          </w:p>
        </w:tc>
        <w:tc>
          <w:tcPr>
            <w:tcW w:w="1272" w:type="dxa"/>
            <w:shd w:val="clear" w:color="auto" w:fill="FBD4B4" w:themeFill="accent6" w:themeFillTint="66"/>
            <w:vAlign w:val="bottom"/>
          </w:tcPr>
          <w:p w14:paraId="63557550" w14:textId="77777777" w:rsidR="009A090F" w:rsidRPr="00C86312" w:rsidRDefault="009A090F"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393</w:t>
            </w:r>
          </w:p>
        </w:tc>
        <w:tc>
          <w:tcPr>
            <w:tcW w:w="1272" w:type="dxa"/>
            <w:shd w:val="clear" w:color="auto" w:fill="FBD4B4" w:themeFill="accent6" w:themeFillTint="66"/>
            <w:noWrap/>
            <w:vAlign w:val="bottom"/>
          </w:tcPr>
          <w:p w14:paraId="60826FF4" w14:textId="77777777" w:rsidR="009A090F" w:rsidRPr="00C86312" w:rsidRDefault="009A090F"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597</w:t>
            </w:r>
          </w:p>
        </w:tc>
      </w:tr>
    </w:tbl>
    <w:p w14:paraId="5FE35F65" w14:textId="77777777" w:rsidR="009A090F" w:rsidRPr="00847710" w:rsidRDefault="009A090F" w:rsidP="001E7A7F">
      <w:pPr>
        <w:ind w:firstLine="709"/>
        <w:jc w:val="both"/>
        <w:rPr>
          <w:rFonts w:ascii="Times New Roman" w:hAnsi="Times New Roman" w:cs="Times New Roman"/>
          <w:sz w:val="24"/>
          <w:szCs w:val="24"/>
        </w:rPr>
      </w:pPr>
    </w:p>
    <w:p w14:paraId="15980305" w14:textId="1B4F57BF" w:rsidR="0074506F" w:rsidRPr="00847710" w:rsidRDefault="007E3357" w:rsidP="00C549D0">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Ņemot vērā to, ka no 2016.gada ir uzsākta VHC ārstēšana, izmatojot jaunākās paaudzes medikamentus, kas ir ievērojami dārgāki, bet tajā pat laikā nodrošina praktiski visu VHC pacientu atbrīvošanu no VHC vīrusa, no 2016.gada liels uzsvars tiek likts VHC diagnostikai un dinamiskajai novērošanai. Tādēļ, salīdzinot ar </w:t>
      </w:r>
      <w:r w:rsidR="001879A0" w:rsidRPr="00847710">
        <w:rPr>
          <w:rFonts w:ascii="Times New Roman" w:hAnsi="Times New Roman" w:cs="Times New Roman"/>
          <w:sz w:val="24"/>
          <w:szCs w:val="24"/>
        </w:rPr>
        <w:t>situāciju pirms reformas uzsākšanas,</w:t>
      </w:r>
      <w:r w:rsidRPr="00847710">
        <w:rPr>
          <w:rFonts w:ascii="Times New Roman" w:hAnsi="Times New Roman" w:cs="Times New Roman"/>
          <w:sz w:val="24"/>
          <w:szCs w:val="24"/>
        </w:rPr>
        <w:t xml:space="preserve"> </w:t>
      </w:r>
      <w:r w:rsidR="004724BF" w:rsidRPr="00847710">
        <w:rPr>
          <w:rFonts w:ascii="Times New Roman" w:hAnsi="Times New Roman" w:cs="Times New Roman"/>
          <w:sz w:val="24"/>
          <w:szCs w:val="24"/>
        </w:rPr>
        <w:t>ņemot vērā piemērojamās manipulācijas vidējais manupilāciju tari</w:t>
      </w:r>
      <w:r w:rsidR="00AC1A03" w:rsidRPr="00847710">
        <w:rPr>
          <w:rFonts w:ascii="Times New Roman" w:hAnsi="Times New Roman" w:cs="Times New Roman"/>
          <w:sz w:val="24"/>
          <w:szCs w:val="24"/>
        </w:rPr>
        <w:t>f</w:t>
      </w:r>
      <w:r w:rsidR="004724BF" w:rsidRPr="00847710">
        <w:rPr>
          <w:rFonts w:ascii="Times New Roman" w:hAnsi="Times New Roman" w:cs="Times New Roman"/>
          <w:sz w:val="24"/>
          <w:szCs w:val="24"/>
        </w:rPr>
        <w:t>s ir pieaudzis no 68 euro uz 100.40 euro</w:t>
      </w:r>
      <w:r w:rsidR="008C20BA" w:rsidRPr="00847710">
        <w:rPr>
          <w:rFonts w:ascii="Times New Roman" w:hAnsi="Times New Roman" w:cs="Times New Roman"/>
          <w:sz w:val="24"/>
          <w:szCs w:val="24"/>
        </w:rPr>
        <w:t>, savukārt izmeklējumu skaits audzis no 3 938 līdz 10 468.</w:t>
      </w:r>
      <w:r w:rsidRPr="00847710">
        <w:rPr>
          <w:rFonts w:ascii="Times New Roman" w:hAnsi="Times New Roman" w:cs="Times New Roman"/>
          <w:sz w:val="24"/>
          <w:szCs w:val="24"/>
        </w:rPr>
        <w:t xml:space="preserve"> </w:t>
      </w:r>
      <w:r w:rsidR="00D31F3B" w:rsidRPr="00847710">
        <w:rPr>
          <w:rFonts w:ascii="Times New Roman" w:hAnsi="Times New Roman" w:cs="Times New Roman"/>
          <w:sz w:val="24"/>
          <w:szCs w:val="24"/>
        </w:rPr>
        <w:t>Lai nodrošinātu sekmīgu reformas turpināšanu nepieciešams nodrošināt arī atbilstošu diagnostisko izmeklējumu pieaugumu.</w:t>
      </w:r>
      <w:r w:rsidRPr="00847710">
        <w:rPr>
          <w:rFonts w:ascii="Times New Roman" w:hAnsi="Times New Roman" w:cs="Times New Roman"/>
          <w:sz w:val="24"/>
          <w:szCs w:val="24"/>
        </w:rPr>
        <w:t xml:space="preserve"> Tādēļ, lai nodrošinātu Nacionālās references laboratorijas darbību un 10 468 VHC </w:t>
      </w:r>
      <w:r w:rsidR="008C20BA" w:rsidRPr="00847710">
        <w:rPr>
          <w:rFonts w:ascii="Times New Roman" w:hAnsi="Times New Roman" w:cs="Times New Roman"/>
          <w:sz w:val="24"/>
          <w:szCs w:val="24"/>
        </w:rPr>
        <w:t>izmeklējumu</w:t>
      </w:r>
      <w:r w:rsidRPr="00847710">
        <w:rPr>
          <w:rFonts w:ascii="Times New Roman" w:hAnsi="Times New Roman" w:cs="Times New Roman"/>
          <w:sz w:val="24"/>
          <w:szCs w:val="24"/>
        </w:rPr>
        <w:t xml:space="preserve"> apstiprinošo diagnostiku, tipēšanu un ārstēšanas efektivitātes monitoringu, nepieciešams papildus finansējums </w:t>
      </w:r>
      <w:r w:rsidR="0066732C" w:rsidRPr="0012317D">
        <w:rPr>
          <w:rFonts w:ascii="Times New Roman" w:hAnsi="Times New Roman" w:cs="Times New Roman"/>
          <w:b/>
          <w:bCs/>
          <w:sz w:val="24"/>
          <w:szCs w:val="24"/>
        </w:rPr>
        <w:t>783 203</w:t>
      </w:r>
      <w:r w:rsidRPr="00901A9F">
        <w:rPr>
          <w:rFonts w:ascii="Times New Roman" w:hAnsi="Times New Roman" w:cs="Times New Roman"/>
          <w:b/>
          <w:bCs/>
          <w:sz w:val="24"/>
          <w:szCs w:val="24"/>
        </w:rPr>
        <w:t xml:space="preserve"> euro</w:t>
      </w:r>
      <w:r w:rsidRPr="00847710">
        <w:rPr>
          <w:rFonts w:ascii="Times New Roman" w:hAnsi="Times New Roman" w:cs="Times New Roman"/>
          <w:sz w:val="24"/>
          <w:szCs w:val="24"/>
        </w:rPr>
        <w:t xml:space="preserve"> apmērā.</w:t>
      </w:r>
    </w:p>
    <w:p w14:paraId="1FEBEB4C" w14:textId="313D9D47" w:rsidR="009A090F" w:rsidRPr="00C86312" w:rsidRDefault="0020102F" w:rsidP="00C86312">
      <w:pPr>
        <w:spacing w:after="0" w:line="240" w:lineRule="auto"/>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2</w:t>
      </w:r>
      <w:r w:rsidR="00DE3C94">
        <w:rPr>
          <w:rFonts w:ascii="Times New Roman" w:hAnsi="Times New Roman" w:cs="Times New Roman"/>
          <w:i/>
          <w:iCs/>
          <w:sz w:val="24"/>
          <w:szCs w:val="24"/>
        </w:rPr>
        <w:t>4</w:t>
      </w:r>
      <w:r w:rsidR="009A090F" w:rsidRPr="57326167">
        <w:rPr>
          <w:rFonts w:ascii="Times New Roman" w:hAnsi="Times New Roman" w:cs="Times New Roman"/>
          <w:i/>
          <w:iCs/>
          <w:sz w:val="24"/>
          <w:szCs w:val="24"/>
        </w:rPr>
        <w:t>.tabula</w:t>
      </w:r>
    </w:p>
    <w:p w14:paraId="38AE9807" w14:textId="13B62782" w:rsidR="009A090F" w:rsidRPr="00C86312" w:rsidRDefault="009A090F" w:rsidP="00C86312">
      <w:pPr>
        <w:spacing w:after="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Plānotais finansējums VHC </w:t>
      </w:r>
      <w:r w:rsidR="00C575E8" w:rsidRPr="00901A9F">
        <w:rPr>
          <w:rFonts w:ascii="Times New Roman" w:hAnsi="Times New Roman" w:cs="Times New Roman"/>
          <w:b/>
          <w:bCs/>
          <w:sz w:val="24"/>
          <w:szCs w:val="24"/>
        </w:rPr>
        <w:t xml:space="preserve">izmeklējumu nodrošināšanai </w:t>
      </w:r>
    </w:p>
    <w:p w14:paraId="1D0B2115" w14:textId="77777777" w:rsidR="009A090F" w:rsidRPr="00847710" w:rsidRDefault="009A090F" w:rsidP="009A090F">
      <w:pPr>
        <w:spacing w:after="0" w:line="240" w:lineRule="auto"/>
        <w:ind w:firstLine="720"/>
        <w:jc w:val="center"/>
        <w:rPr>
          <w:rFonts w:ascii="Times New Roman" w:hAnsi="Times New Roman" w:cs="Times New Roman"/>
          <w:b/>
          <w:sz w:val="24"/>
          <w:szCs w:val="24"/>
        </w:rPr>
      </w:pPr>
    </w:p>
    <w:tbl>
      <w:tblPr>
        <w:tblW w:w="9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540"/>
        <w:gridCol w:w="1540"/>
        <w:gridCol w:w="1540"/>
      </w:tblGrid>
      <w:tr w:rsidR="009A090F" w:rsidRPr="00847710" w14:paraId="6C816873" w14:textId="77777777" w:rsidTr="00C86312">
        <w:trPr>
          <w:trHeight w:val="300"/>
        </w:trPr>
        <w:tc>
          <w:tcPr>
            <w:tcW w:w="5300" w:type="dxa"/>
            <w:shd w:val="clear" w:color="auto" w:fill="E36C0A" w:themeFill="accent6" w:themeFillShade="BF"/>
            <w:noWrap/>
            <w:vAlign w:val="bottom"/>
            <w:hideMark/>
          </w:tcPr>
          <w:p w14:paraId="6468301E" w14:textId="77777777" w:rsidR="009A090F" w:rsidRPr="00847710" w:rsidRDefault="009A090F" w:rsidP="009A090F">
            <w:pPr>
              <w:spacing w:after="0" w:line="240" w:lineRule="auto"/>
              <w:rPr>
                <w:rFonts w:ascii="Times New Roman" w:eastAsia="Times New Roman" w:hAnsi="Times New Roman" w:cs="Times New Roman"/>
                <w:sz w:val="24"/>
                <w:szCs w:val="24"/>
                <w:lang w:eastAsia="lv-LV"/>
              </w:rPr>
            </w:pPr>
          </w:p>
        </w:tc>
        <w:tc>
          <w:tcPr>
            <w:tcW w:w="1540" w:type="dxa"/>
            <w:shd w:val="clear" w:color="auto" w:fill="E36C0A" w:themeFill="accent6" w:themeFillShade="BF"/>
            <w:noWrap/>
            <w:vAlign w:val="bottom"/>
            <w:hideMark/>
          </w:tcPr>
          <w:p w14:paraId="0C0AD7F4" w14:textId="77777777" w:rsidR="009A090F" w:rsidRPr="00847710" w:rsidRDefault="009A090F" w:rsidP="00AB7C24">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Pirms reformas uzsākšanas</w:t>
            </w:r>
          </w:p>
        </w:tc>
        <w:tc>
          <w:tcPr>
            <w:tcW w:w="1540" w:type="dxa"/>
            <w:shd w:val="clear" w:color="auto" w:fill="E36C0A" w:themeFill="accent6" w:themeFillShade="BF"/>
            <w:noWrap/>
            <w:vAlign w:val="bottom"/>
            <w:hideMark/>
          </w:tcPr>
          <w:p w14:paraId="170B5215" w14:textId="77777777" w:rsidR="009A090F" w:rsidRPr="00847710" w:rsidRDefault="009A090F" w:rsidP="009A090F">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2018.gada plāns</w:t>
            </w:r>
          </w:p>
        </w:tc>
        <w:tc>
          <w:tcPr>
            <w:tcW w:w="1540" w:type="dxa"/>
            <w:shd w:val="clear" w:color="auto" w:fill="E36C0A" w:themeFill="accent6" w:themeFillShade="BF"/>
            <w:noWrap/>
            <w:vAlign w:val="bottom"/>
            <w:hideMark/>
          </w:tcPr>
          <w:p w14:paraId="2858AA13" w14:textId="77777777" w:rsidR="009A090F" w:rsidRPr="00847710" w:rsidRDefault="009A090F" w:rsidP="009A090F">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Starpība</w:t>
            </w:r>
          </w:p>
        </w:tc>
      </w:tr>
      <w:tr w:rsidR="009A090F" w:rsidRPr="00847710" w14:paraId="1F2A54A8" w14:textId="77777777" w:rsidTr="00C86312">
        <w:trPr>
          <w:trHeight w:val="300"/>
        </w:trPr>
        <w:tc>
          <w:tcPr>
            <w:tcW w:w="5300" w:type="dxa"/>
            <w:shd w:val="clear" w:color="auto" w:fill="auto"/>
            <w:noWrap/>
            <w:vAlign w:val="bottom"/>
            <w:hideMark/>
          </w:tcPr>
          <w:p w14:paraId="3B9103E8" w14:textId="425BA5D9" w:rsidR="009A090F" w:rsidRPr="00847710" w:rsidRDefault="000465B1" w:rsidP="009A090F">
            <w:pPr>
              <w:spacing w:after="0"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Vidējais mani</w:t>
            </w:r>
            <w:r w:rsidR="009A090F" w:rsidRPr="00847710">
              <w:rPr>
                <w:rFonts w:ascii="Times New Roman" w:eastAsia="Times New Roman" w:hAnsi="Times New Roman" w:cs="Times New Roman"/>
                <w:color w:val="000000"/>
                <w:lang w:eastAsia="lv-LV"/>
              </w:rPr>
              <w:t>pulāciju tarifs</w:t>
            </w:r>
          </w:p>
        </w:tc>
        <w:tc>
          <w:tcPr>
            <w:tcW w:w="1540" w:type="dxa"/>
            <w:shd w:val="clear" w:color="auto" w:fill="auto"/>
            <w:noWrap/>
            <w:vAlign w:val="bottom"/>
            <w:hideMark/>
          </w:tcPr>
          <w:p w14:paraId="454FA622" w14:textId="77777777" w:rsidR="009A090F" w:rsidRPr="00847710" w:rsidRDefault="009A090F" w:rsidP="00AB7C24">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68.00</w:t>
            </w:r>
          </w:p>
        </w:tc>
        <w:tc>
          <w:tcPr>
            <w:tcW w:w="1540" w:type="dxa"/>
            <w:shd w:val="clear" w:color="auto" w:fill="auto"/>
            <w:noWrap/>
            <w:vAlign w:val="bottom"/>
            <w:hideMark/>
          </w:tcPr>
          <w:p w14:paraId="1BA551CD" w14:textId="77777777" w:rsidR="009A090F" w:rsidRPr="00847710" w:rsidRDefault="009A090F" w:rsidP="0015331A">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100.40</w:t>
            </w:r>
          </w:p>
        </w:tc>
        <w:tc>
          <w:tcPr>
            <w:tcW w:w="1540" w:type="dxa"/>
            <w:shd w:val="clear" w:color="auto" w:fill="auto"/>
            <w:noWrap/>
            <w:vAlign w:val="bottom"/>
          </w:tcPr>
          <w:p w14:paraId="303FEB15" w14:textId="1856AFDE" w:rsidR="009A090F" w:rsidRPr="00847710" w:rsidRDefault="009A090F" w:rsidP="0015331A">
            <w:pPr>
              <w:spacing w:after="0" w:line="240" w:lineRule="auto"/>
              <w:jc w:val="center"/>
              <w:rPr>
                <w:rFonts w:ascii="Times New Roman" w:eastAsia="Times New Roman" w:hAnsi="Times New Roman" w:cs="Times New Roman"/>
                <w:color w:val="000000"/>
                <w:lang w:eastAsia="lv-LV"/>
              </w:rPr>
            </w:pPr>
          </w:p>
        </w:tc>
      </w:tr>
      <w:tr w:rsidR="009A090F" w:rsidRPr="00847710" w14:paraId="76342D39" w14:textId="77777777" w:rsidTr="00C86312">
        <w:trPr>
          <w:trHeight w:val="300"/>
        </w:trPr>
        <w:tc>
          <w:tcPr>
            <w:tcW w:w="5300" w:type="dxa"/>
            <w:shd w:val="clear" w:color="auto" w:fill="auto"/>
            <w:noWrap/>
            <w:vAlign w:val="bottom"/>
            <w:hideMark/>
          </w:tcPr>
          <w:p w14:paraId="35FE6435" w14:textId="77777777" w:rsidR="009A090F" w:rsidRPr="00847710" w:rsidRDefault="009A090F" w:rsidP="009A090F">
            <w:pPr>
              <w:spacing w:after="0"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Manipulāciju skaits</w:t>
            </w:r>
          </w:p>
        </w:tc>
        <w:tc>
          <w:tcPr>
            <w:tcW w:w="1540" w:type="dxa"/>
            <w:shd w:val="clear" w:color="auto" w:fill="auto"/>
            <w:noWrap/>
            <w:vAlign w:val="bottom"/>
            <w:hideMark/>
          </w:tcPr>
          <w:p w14:paraId="7B57216A" w14:textId="77777777" w:rsidR="009A090F" w:rsidRPr="00847710" w:rsidRDefault="009A090F" w:rsidP="00AB7C24">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3 938</w:t>
            </w:r>
          </w:p>
        </w:tc>
        <w:tc>
          <w:tcPr>
            <w:tcW w:w="1540" w:type="dxa"/>
            <w:shd w:val="clear" w:color="auto" w:fill="auto"/>
            <w:noWrap/>
            <w:vAlign w:val="bottom"/>
            <w:hideMark/>
          </w:tcPr>
          <w:p w14:paraId="58A9C961" w14:textId="77777777" w:rsidR="009A090F" w:rsidRPr="00847710" w:rsidRDefault="009A090F" w:rsidP="0015331A">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10 468</w:t>
            </w:r>
          </w:p>
        </w:tc>
        <w:tc>
          <w:tcPr>
            <w:tcW w:w="1540" w:type="dxa"/>
            <w:shd w:val="clear" w:color="auto" w:fill="auto"/>
            <w:noWrap/>
            <w:vAlign w:val="bottom"/>
          </w:tcPr>
          <w:p w14:paraId="049F8168" w14:textId="50A5837B" w:rsidR="009A090F" w:rsidRPr="00847710" w:rsidRDefault="009A090F" w:rsidP="0015331A">
            <w:pPr>
              <w:spacing w:after="0" w:line="240" w:lineRule="auto"/>
              <w:jc w:val="center"/>
              <w:rPr>
                <w:rFonts w:ascii="Times New Roman" w:eastAsia="Times New Roman" w:hAnsi="Times New Roman" w:cs="Times New Roman"/>
                <w:color w:val="000000"/>
                <w:lang w:eastAsia="lv-LV"/>
              </w:rPr>
            </w:pPr>
          </w:p>
        </w:tc>
      </w:tr>
      <w:tr w:rsidR="009A090F" w:rsidRPr="00847710" w14:paraId="2B0A769C" w14:textId="77777777" w:rsidTr="00C86312">
        <w:trPr>
          <w:trHeight w:val="300"/>
        </w:trPr>
        <w:tc>
          <w:tcPr>
            <w:tcW w:w="5300" w:type="dxa"/>
            <w:shd w:val="clear" w:color="auto" w:fill="FBD4B4" w:themeFill="accent6" w:themeFillTint="66"/>
            <w:noWrap/>
            <w:vAlign w:val="bottom"/>
            <w:hideMark/>
          </w:tcPr>
          <w:p w14:paraId="4AB7D79F" w14:textId="77777777" w:rsidR="009A090F" w:rsidRPr="00C86312" w:rsidRDefault="009A090F" w:rsidP="00543703">
            <w:pPr>
              <w:spacing w:after="0" w:line="240" w:lineRule="auto"/>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Finansējums, euro</w:t>
            </w:r>
          </w:p>
        </w:tc>
        <w:tc>
          <w:tcPr>
            <w:tcW w:w="1540" w:type="dxa"/>
            <w:shd w:val="clear" w:color="auto" w:fill="FBD4B4" w:themeFill="accent6" w:themeFillTint="66"/>
            <w:noWrap/>
            <w:vAlign w:val="bottom"/>
            <w:hideMark/>
          </w:tcPr>
          <w:p w14:paraId="09D7C89B" w14:textId="4BF6CDA4" w:rsidR="009A090F" w:rsidRPr="00C86312" w:rsidRDefault="009A090F" w:rsidP="00C86312">
            <w:pPr>
              <w:spacing w:after="0" w:line="240" w:lineRule="auto"/>
              <w:jc w:val="center"/>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267</w:t>
            </w:r>
            <w:r w:rsidR="00817C12" w:rsidRPr="00901A9F">
              <w:rPr>
                <w:rFonts w:ascii="Times New Roman" w:eastAsia="Times New Roman" w:hAnsi="Times New Roman" w:cs="Times New Roman"/>
                <w:b/>
                <w:bCs/>
                <w:color w:val="000000"/>
                <w:lang w:eastAsia="lv-LV"/>
              </w:rPr>
              <w:t xml:space="preserve"> </w:t>
            </w:r>
            <w:r w:rsidRPr="0078794A">
              <w:rPr>
                <w:rFonts w:ascii="Times New Roman" w:eastAsia="Times New Roman" w:hAnsi="Times New Roman" w:cs="Times New Roman"/>
                <w:b/>
                <w:bCs/>
                <w:color w:val="000000"/>
                <w:lang w:eastAsia="lv-LV"/>
              </w:rPr>
              <w:t>7</w:t>
            </w:r>
            <w:r w:rsidR="00EF7888" w:rsidRPr="00BD7921">
              <w:rPr>
                <w:rFonts w:ascii="Times New Roman" w:eastAsia="Times New Roman" w:hAnsi="Times New Roman" w:cs="Times New Roman"/>
                <w:b/>
                <w:bCs/>
                <w:color w:val="000000"/>
                <w:lang w:eastAsia="lv-LV"/>
              </w:rPr>
              <w:t>84</w:t>
            </w:r>
          </w:p>
        </w:tc>
        <w:tc>
          <w:tcPr>
            <w:tcW w:w="1540" w:type="dxa"/>
            <w:shd w:val="clear" w:color="auto" w:fill="FBD4B4" w:themeFill="accent6" w:themeFillTint="66"/>
            <w:noWrap/>
            <w:vAlign w:val="bottom"/>
            <w:hideMark/>
          </w:tcPr>
          <w:p w14:paraId="36378D9E" w14:textId="1E21CE73" w:rsidR="009A090F" w:rsidRPr="00C86312" w:rsidRDefault="009A090F" w:rsidP="00C86312">
            <w:pPr>
              <w:spacing w:after="0" w:line="240" w:lineRule="auto"/>
              <w:jc w:val="center"/>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1</w:t>
            </w:r>
            <w:r w:rsidR="00817C12" w:rsidRPr="00901A9F">
              <w:rPr>
                <w:rFonts w:ascii="Times New Roman" w:eastAsia="Times New Roman" w:hAnsi="Times New Roman" w:cs="Times New Roman"/>
                <w:b/>
                <w:bCs/>
                <w:color w:val="000000"/>
                <w:lang w:eastAsia="lv-LV"/>
              </w:rPr>
              <w:t> </w:t>
            </w:r>
            <w:r w:rsidRPr="0078794A">
              <w:rPr>
                <w:rFonts w:ascii="Times New Roman" w:eastAsia="Times New Roman" w:hAnsi="Times New Roman" w:cs="Times New Roman"/>
                <w:b/>
                <w:bCs/>
                <w:color w:val="000000"/>
                <w:lang w:eastAsia="lv-LV"/>
              </w:rPr>
              <w:t>0</w:t>
            </w:r>
            <w:r w:rsidR="0066732C" w:rsidRPr="00BD7921">
              <w:rPr>
                <w:rFonts w:ascii="Times New Roman" w:eastAsia="Times New Roman" w:hAnsi="Times New Roman" w:cs="Times New Roman"/>
                <w:b/>
                <w:bCs/>
                <w:color w:val="000000"/>
                <w:lang w:eastAsia="lv-LV"/>
              </w:rPr>
              <w:t>50</w:t>
            </w:r>
            <w:r w:rsidR="00817C12" w:rsidRPr="00BD7921">
              <w:rPr>
                <w:rFonts w:ascii="Times New Roman" w:eastAsia="Times New Roman" w:hAnsi="Times New Roman" w:cs="Times New Roman"/>
                <w:b/>
                <w:bCs/>
                <w:color w:val="000000"/>
                <w:lang w:eastAsia="lv-LV"/>
              </w:rPr>
              <w:t xml:space="preserve"> </w:t>
            </w:r>
            <w:r w:rsidR="0066732C" w:rsidRPr="00BD7921">
              <w:rPr>
                <w:rFonts w:ascii="Times New Roman" w:eastAsia="Times New Roman" w:hAnsi="Times New Roman" w:cs="Times New Roman"/>
                <w:b/>
                <w:bCs/>
                <w:color w:val="000000"/>
                <w:lang w:eastAsia="lv-LV"/>
              </w:rPr>
              <w:t>987</w:t>
            </w:r>
          </w:p>
        </w:tc>
        <w:tc>
          <w:tcPr>
            <w:tcW w:w="1540" w:type="dxa"/>
            <w:shd w:val="clear" w:color="auto" w:fill="FBD4B4" w:themeFill="accent6" w:themeFillTint="66"/>
            <w:noWrap/>
            <w:vAlign w:val="bottom"/>
            <w:hideMark/>
          </w:tcPr>
          <w:p w14:paraId="0C40BFCB" w14:textId="5136B465" w:rsidR="009A090F" w:rsidRPr="00C86312" w:rsidRDefault="0066732C" w:rsidP="00C86312">
            <w:pPr>
              <w:spacing w:after="0" w:line="240" w:lineRule="auto"/>
              <w:jc w:val="center"/>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783</w:t>
            </w:r>
            <w:r w:rsidR="00EF7888" w:rsidRPr="00901A9F">
              <w:rPr>
                <w:rFonts w:ascii="Times New Roman" w:eastAsia="Times New Roman" w:hAnsi="Times New Roman" w:cs="Times New Roman"/>
                <w:b/>
                <w:bCs/>
                <w:color w:val="000000"/>
                <w:lang w:eastAsia="lv-LV"/>
              </w:rPr>
              <w:t xml:space="preserve"> </w:t>
            </w:r>
            <w:r w:rsidRPr="0078794A">
              <w:rPr>
                <w:rFonts w:ascii="Times New Roman" w:eastAsia="Times New Roman" w:hAnsi="Times New Roman" w:cs="Times New Roman"/>
                <w:b/>
                <w:bCs/>
                <w:color w:val="000000"/>
                <w:lang w:eastAsia="lv-LV"/>
              </w:rPr>
              <w:t>203</w:t>
            </w:r>
          </w:p>
        </w:tc>
      </w:tr>
    </w:tbl>
    <w:p w14:paraId="672F8AC8" w14:textId="77777777" w:rsidR="00C575E8" w:rsidRPr="00847710" w:rsidRDefault="00C575E8" w:rsidP="00C575E8">
      <w:pPr>
        <w:spacing w:after="120"/>
        <w:ind w:firstLine="709"/>
        <w:jc w:val="both"/>
        <w:rPr>
          <w:rFonts w:ascii="Times New Roman" w:eastAsia="Times New Roman" w:hAnsi="Times New Roman" w:cs="Times New Roman"/>
          <w:sz w:val="24"/>
          <w:szCs w:val="24"/>
        </w:rPr>
      </w:pPr>
    </w:p>
    <w:p w14:paraId="6E9FBECC" w14:textId="3F883394" w:rsidR="00C575E8" w:rsidRPr="00847710" w:rsidRDefault="00C575E8" w:rsidP="00C575E8">
      <w:pPr>
        <w:spacing w:after="120"/>
        <w:ind w:firstLine="709"/>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 xml:space="preserve">Papildus infekcijas slimību izplatības risks pastāv asins pagatavojumu izplatīšanas jomā. Lai uzlabotu veselības aprūpes pakalpojumu kvalitāti un pacientu drošību asins pagatavojumu </w:t>
      </w:r>
      <w:r w:rsidRPr="00847710">
        <w:rPr>
          <w:rFonts w:ascii="Times New Roman" w:eastAsia="Times New Roman" w:hAnsi="Times New Roman" w:cs="Times New Roman"/>
          <w:sz w:val="24"/>
          <w:szCs w:val="24"/>
        </w:rPr>
        <w:lastRenderedPageBreak/>
        <w:t xml:space="preserve">jomā, nepieciešams uzlabot vīrusu molekulārās izmeklēšanas analītiskās jūtības testus sagatavojamo asins preparātu izmeklēšanā Valsts asinsdonoru centrā (turpmāk tekstā – VADC). Šobrīd VADC vīrusu molekulārie izmeklējumi tiek veikti 24  asins paraugu kopā, kurā veidojas pārāk liels atšķaidījums, tādēļ ne vienmēr vīrusa klātbūtni iespējams pierādīt. Ņemot vērā valstī esošo nopietno epidemioloģisko situāciju  saslimstībā ar vīrushepatītiem B, C,  kā arī HIV, ir nepieciešams ieviest jaunu, speciālu testēšanas metodi  samazinot  asins paraugu atšķaidījumu līdz 6 asins paraugiem kopā, kas attiecīgi potenciālā asiņu recipienta (saņēmēja) inficēšanas risku samazina par 16,7%. VADC gadā veic apmēram 55 000 izmeklējumus 3 vīrusiem –hepatīts B, VHC un HIV. </w:t>
      </w:r>
    </w:p>
    <w:p w14:paraId="016778D9" w14:textId="77777777" w:rsidR="00C575E8" w:rsidRPr="00847710" w:rsidRDefault="00C575E8" w:rsidP="00C575E8">
      <w:pPr>
        <w:spacing w:after="120"/>
        <w:ind w:firstLine="709"/>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 xml:space="preserve">Ņemot vērā epidemioloģisko situāciju Latvijā, atklāto un apstiprināto pozitīvo virusoloģiskā skrīninga (seroloģijas testi) rezultātu skaitu, ir jāuzlabo asins komponentu drošums, papildus seroloģijas skrīninga metodēm pielietojot laboratorijās arī molekulārā skrīninga metodi (NAT, MP6), kā papildu filtru donoru atlasei. NAT metode palīdz uzlabot vīrusu infekciju diagnostiku, saīsināt infekciju atklāšanas periodu un samazināt nedrošu komponentu pārliešanas iespējamību valstī. </w:t>
      </w:r>
    </w:p>
    <w:p w14:paraId="7993BD1F" w14:textId="77777777" w:rsidR="00C575E8" w:rsidRPr="00847710" w:rsidRDefault="00C575E8" w:rsidP="00C575E8">
      <w:pPr>
        <w:spacing w:after="120"/>
        <w:ind w:firstLine="709"/>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NAT tehnoloģija ir augsti jutīga un specifiska, tā pamatojas uz vīrusu DNS vai RNS mērķa reģionu amplifikāciju un, to pielietojot, ir iespējams atklāt vīrusa klātbūtni organismā ātrāk nekā lietojot seroloģiskā skrīninga metodes, ievērojami sašaurinot HIV, HCV un HBV infekcijas atklāšanas periodu. NAT metode ir vienīgā, ar kuras palīdzību var diagnosticēt HCV RNS agrīnajā periodā.</w:t>
      </w:r>
    </w:p>
    <w:p w14:paraId="33CB597B" w14:textId="77777777" w:rsidR="00C575E8" w:rsidRPr="00847710" w:rsidRDefault="00C575E8" w:rsidP="00C575E8">
      <w:pPr>
        <w:spacing w:after="120"/>
        <w:ind w:firstLine="709"/>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Saskaņā ar VADC statistikas datiem pieaug ne tikai seropozitīvo donoru skaits, bet arī seronegatīvo donoru skaits, kuriem tika konstatēta infekciju esamība, veicot vīrusu izraisītāju (HIV, HBV vai HCV) testēšanu, pielietojot NAT tehnoloģiju “seroloģiskā loga periodā”. Statistikas dati norāda uz tendenci atklāt vīrusu klātbūtni regulāriem donoriem.</w:t>
      </w:r>
    </w:p>
    <w:p w14:paraId="1B34956F" w14:textId="77777777" w:rsidR="00C575E8" w:rsidRPr="00847710" w:rsidRDefault="00C575E8" w:rsidP="00C575E8">
      <w:pPr>
        <w:spacing w:after="120"/>
        <w:ind w:firstLine="709"/>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Statistikas dati par seroloģijas testiem kopumā:</w:t>
      </w:r>
    </w:p>
    <w:p w14:paraId="4B557D51" w14:textId="77777777" w:rsidR="00C575E8" w:rsidRPr="00847710" w:rsidRDefault="00C575E8" w:rsidP="00C575E8">
      <w:pPr>
        <w:pStyle w:val="ListParagraph"/>
        <w:numPr>
          <w:ilvl w:val="0"/>
          <w:numId w:val="31"/>
        </w:numPr>
        <w:spacing w:after="120"/>
        <w:jc w:val="both"/>
        <w:rPr>
          <w:rFonts w:ascii="Times New Roman" w:eastAsia="Times New Roman" w:hAnsi="Times New Roman"/>
          <w:sz w:val="24"/>
          <w:szCs w:val="24"/>
          <w:lang w:val="lv-LV"/>
        </w:rPr>
      </w:pPr>
      <w:r w:rsidRPr="00847710">
        <w:rPr>
          <w:rFonts w:ascii="Times New Roman" w:eastAsia="Times New Roman" w:hAnsi="Times New Roman"/>
          <w:sz w:val="24"/>
          <w:szCs w:val="24"/>
          <w:lang w:val="lv-LV"/>
        </w:rPr>
        <w:t>2013. gads – 269 primāri pozitīvie paraugi, no kuriem 7 tika apstiprinātas infekcijas (2.6 %);</w:t>
      </w:r>
    </w:p>
    <w:p w14:paraId="29B57CE5" w14:textId="77777777" w:rsidR="00C575E8" w:rsidRPr="00847710" w:rsidRDefault="00C575E8" w:rsidP="00C575E8">
      <w:pPr>
        <w:pStyle w:val="ListParagraph"/>
        <w:numPr>
          <w:ilvl w:val="0"/>
          <w:numId w:val="31"/>
        </w:numPr>
        <w:spacing w:after="120"/>
        <w:jc w:val="both"/>
        <w:rPr>
          <w:rFonts w:ascii="Times New Roman" w:eastAsia="Times New Roman" w:hAnsi="Times New Roman"/>
          <w:sz w:val="24"/>
          <w:szCs w:val="24"/>
          <w:lang w:val="lv-LV"/>
        </w:rPr>
      </w:pPr>
      <w:r w:rsidRPr="00847710">
        <w:rPr>
          <w:rFonts w:ascii="Times New Roman" w:eastAsia="Times New Roman" w:hAnsi="Times New Roman"/>
          <w:sz w:val="24"/>
          <w:szCs w:val="24"/>
          <w:lang w:val="lv-LV"/>
        </w:rPr>
        <w:t xml:space="preserve">2014. gads – 350 primāri pozitīvie paraugi, no kuriem 14 tika apstiprinātas infekcijas (4 %); </w:t>
      </w:r>
    </w:p>
    <w:p w14:paraId="32852952" w14:textId="77777777" w:rsidR="00C575E8" w:rsidRPr="00847710" w:rsidRDefault="00C575E8" w:rsidP="00C575E8">
      <w:pPr>
        <w:pStyle w:val="ListParagraph"/>
        <w:numPr>
          <w:ilvl w:val="0"/>
          <w:numId w:val="31"/>
        </w:numPr>
        <w:spacing w:after="120"/>
        <w:jc w:val="both"/>
        <w:rPr>
          <w:rFonts w:ascii="Times New Roman" w:eastAsia="Times New Roman" w:hAnsi="Times New Roman"/>
          <w:sz w:val="24"/>
          <w:szCs w:val="24"/>
          <w:lang w:val="lv-LV"/>
        </w:rPr>
      </w:pPr>
      <w:r w:rsidRPr="00847710">
        <w:rPr>
          <w:rFonts w:ascii="Times New Roman" w:eastAsia="Times New Roman" w:hAnsi="Times New Roman"/>
          <w:sz w:val="24"/>
          <w:szCs w:val="24"/>
          <w:lang w:val="lv-LV"/>
        </w:rPr>
        <w:t>2015. gads – 399 primāri pozitīvie paraugi, no kuriem 13 tika apstiprinātas infekcijas (3.25 %);</w:t>
      </w:r>
    </w:p>
    <w:p w14:paraId="398EF73F" w14:textId="77777777" w:rsidR="00C575E8" w:rsidRPr="00847710" w:rsidRDefault="00C575E8" w:rsidP="00C575E8">
      <w:pPr>
        <w:pStyle w:val="ListParagraph"/>
        <w:numPr>
          <w:ilvl w:val="0"/>
          <w:numId w:val="31"/>
        </w:numPr>
        <w:spacing w:after="120"/>
        <w:jc w:val="both"/>
        <w:rPr>
          <w:rFonts w:ascii="Times New Roman" w:eastAsia="Times New Roman" w:hAnsi="Times New Roman"/>
          <w:sz w:val="24"/>
          <w:szCs w:val="24"/>
          <w:lang w:val="lv-LV"/>
        </w:rPr>
      </w:pPr>
      <w:r w:rsidRPr="00847710">
        <w:rPr>
          <w:rFonts w:ascii="Times New Roman" w:eastAsia="Times New Roman" w:hAnsi="Times New Roman"/>
          <w:sz w:val="24"/>
          <w:szCs w:val="24"/>
          <w:lang w:val="lv-LV"/>
        </w:rPr>
        <w:t>2016. gads – 581 primāri pozitīvie paraugi (ieskaitot no arhīva pārtestētus paraugus), no kuriem 132 tika apstiprinātas infekcijas (ieskaitot no arhīva pārtestētus paraugus) (22.7%);</w:t>
      </w:r>
    </w:p>
    <w:p w14:paraId="3CAFF82A" w14:textId="77777777" w:rsidR="00C575E8" w:rsidRPr="00847710" w:rsidRDefault="00C575E8" w:rsidP="00CC1CE0">
      <w:pPr>
        <w:pStyle w:val="ListParagraph"/>
        <w:numPr>
          <w:ilvl w:val="0"/>
          <w:numId w:val="31"/>
        </w:numPr>
        <w:spacing w:after="120"/>
        <w:jc w:val="both"/>
        <w:rPr>
          <w:rFonts w:ascii="Times New Roman" w:eastAsia="Times New Roman" w:hAnsi="Times New Roman"/>
          <w:sz w:val="24"/>
          <w:szCs w:val="24"/>
          <w:lang w:val="lv-LV"/>
        </w:rPr>
      </w:pPr>
      <w:r w:rsidRPr="00847710">
        <w:rPr>
          <w:rFonts w:ascii="Times New Roman" w:eastAsia="Times New Roman" w:hAnsi="Times New Roman"/>
          <w:sz w:val="24"/>
          <w:szCs w:val="24"/>
          <w:lang w:val="lv-LV"/>
        </w:rPr>
        <w:t>2016. gadā tika konstatēti 11 (vienpadsmit) gadījumi, kad “seroloģiskā loga periodā” tika atklāta vīrusu infekcija agrīnā fāzē. 10 (desmit) gadījumos tie bija regulārie donori.</w:t>
      </w:r>
    </w:p>
    <w:p w14:paraId="45D039A6" w14:textId="77777777" w:rsidR="00C575E8" w:rsidRPr="00847710" w:rsidRDefault="00C575E8">
      <w:pPr>
        <w:spacing w:after="120"/>
        <w:ind w:firstLine="709"/>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lastRenderedPageBreak/>
        <w:t>NAT tehnoloģijas pielietošana VADC praksē seroloģiski negatīviem donoriem palielina asins komponentu drošumu, samazinot infekciju (HIV, HBV vai HCV) pārnešanas risku asins komponentu recipientiem.</w:t>
      </w:r>
    </w:p>
    <w:p w14:paraId="1946335B" w14:textId="003BB6F2" w:rsidR="00865058" w:rsidRPr="00847710" w:rsidRDefault="00C575E8" w:rsidP="00AB7C24">
      <w:pPr>
        <w:spacing w:after="120" w:line="240" w:lineRule="auto"/>
        <w:ind w:firstLine="720"/>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Lai reformas ietvaros uzlabotu vīrusu molekulārās izmeklēšanas analītiskās jūtības rādītājus papildus nepieciešami 579 </w:t>
      </w:r>
      <w:r w:rsidR="00CE57CD" w:rsidRPr="00847710">
        <w:rPr>
          <w:rFonts w:ascii="Times New Roman" w:eastAsia="Times New Roman" w:hAnsi="Times New Roman" w:cs="Times New Roman"/>
          <w:sz w:val="24"/>
          <w:szCs w:val="24"/>
        </w:rPr>
        <w:t>656</w:t>
      </w:r>
      <w:r w:rsidRPr="00847710">
        <w:rPr>
          <w:rFonts w:ascii="Times New Roman" w:eastAsia="Times New Roman" w:hAnsi="Times New Roman" w:cs="Times New Roman"/>
          <w:sz w:val="24"/>
          <w:szCs w:val="24"/>
        </w:rPr>
        <w:t xml:space="preserve"> euro, ņemot vērā, ka vienas donācijas testēšanas izmaksas pieaug par 10,5</w:t>
      </w:r>
      <w:r w:rsidR="0062086D" w:rsidRPr="00847710">
        <w:rPr>
          <w:rFonts w:ascii="Times New Roman" w:eastAsia="Times New Roman" w:hAnsi="Times New Roman" w:cs="Times New Roman"/>
          <w:sz w:val="24"/>
          <w:szCs w:val="24"/>
        </w:rPr>
        <w:t>4</w:t>
      </w:r>
      <w:r w:rsidRPr="00847710">
        <w:rPr>
          <w:rFonts w:ascii="Times New Roman" w:eastAsia="Times New Roman" w:hAnsi="Times New Roman" w:cs="Times New Roman"/>
          <w:sz w:val="24"/>
          <w:szCs w:val="24"/>
        </w:rPr>
        <w:t xml:space="preserve"> euro</w:t>
      </w:r>
      <w:r w:rsidR="0062086D" w:rsidRPr="00847710">
        <w:rPr>
          <w:rFonts w:ascii="Times New Roman" w:eastAsia="Times New Roman" w:hAnsi="Times New Roman" w:cs="Times New Roman"/>
          <w:sz w:val="24"/>
          <w:szCs w:val="24"/>
        </w:rPr>
        <w:t xml:space="preserve"> ar PVN.</w:t>
      </w:r>
    </w:p>
    <w:p w14:paraId="7D7C72EE" w14:textId="001A76F0" w:rsidR="00E40559" w:rsidRPr="00C86312" w:rsidRDefault="0020102F" w:rsidP="00C86312">
      <w:pPr>
        <w:spacing w:after="120" w:line="240" w:lineRule="auto"/>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2</w:t>
      </w:r>
      <w:r w:rsidR="00DE3C94">
        <w:rPr>
          <w:rFonts w:ascii="Times New Roman" w:hAnsi="Times New Roman" w:cs="Times New Roman"/>
          <w:i/>
          <w:iCs/>
          <w:sz w:val="24"/>
          <w:szCs w:val="24"/>
        </w:rPr>
        <w:t>5</w:t>
      </w:r>
      <w:r w:rsidR="00E40559" w:rsidRPr="57326167">
        <w:rPr>
          <w:rFonts w:ascii="Times New Roman" w:hAnsi="Times New Roman" w:cs="Times New Roman"/>
          <w:i/>
          <w:iCs/>
          <w:sz w:val="24"/>
          <w:szCs w:val="24"/>
        </w:rPr>
        <w:t>.tabula</w:t>
      </w:r>
    </w:p>
    <w:p w14:paraId="2FEDA7DD" w14:textId="77777777" w:rsidR="00E40559" w:rsidRPr="00C86312" w:rsidRDefault="00E40559" w:rsidP="00C86312">
      <w:pPr>
        <w:spacing w:after="12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Izdevumu aprēķins vīrusu molekulārās izmeklēšana</w:t>
      </w:r>
      <w:r w:rsidRPr="00901A9F">
        <w:rPr>
          <w:rFonts w:ascii="Times New Roman" w:hAnsi="Times New Roman" w:cs="Times New Roman"/>
          <w:b/>
          <w:bCs/>
          <w:sz w:val="24"/>
          <w:szCs w:val="24"/>
        </w:rPr>
        <w:t>s analītiskās jūtības rādītāju uzlabošanai</w:t>
      </w:r>
    </w:p>
    <w:tbl>
      <w:tblPr>
        <w:tblW w:w="8217" w:type="dxa"/>
        <w:jc w:val="center"/>
        <w:tblLayout w:type="fixed"/>
        <w:tblLook w:val="04A0" w:firstRow="1" w:lastRow="0" w:firstColumn="1" w:lastColumn="0" w:noHBand="0" w:noVBand="1"/>
      </w:tblPr>
      <w:tblGrid>
        <w:gridCol w:w="1516"/>
        <w:gridCol w:w="1456"/>
        <w:gridCol w:w="1701"/>
        <w:gridCol w:w="1843"/>
        <w:gridCol w:w="1701"/>
      </w:tblGrid>
      <w:tr w:rsidR="00E40559" w:rsidRPr="00847710" w14:paraId="3D62BE29" w14:textId="77777777" w:rsidTr="00C86312">
        <w:trPr>
          <w:trHeight w:val="389"/>
          <w:jc w:val="center"/>
        </w:trPr>
        <w:tc>
          <w:tcPr>
            <w:tcW w:w="1516"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4B4D927D" w14:textId="77777777" w:rsidR="00E40559" w:rsidRPr="00C86312" w:rsidRDefault="00E40559">
            <w:pPr>
              <w:jc w:val="center"/>
              <w:rPr>
                <w:rFonts w:ascii="Times New Roman" w:hAnsi="Times New Roman" w:cs="Times New Roman"/>
                <w:b/>
                <w:bCs/>
                <w:color w:val="000000"/>
                <w:sz w:val="20"/>
                <w:szCs w:val="20"/>
              </w:rPr>
            </w:pPr>
            <w:r w:rsidRPr="0012317D">
              <w:rPr>
                <w:rFonts w:ascii="Times New Roman" w:hAnsi="Times New Roman" w:cs="Times New Roman"/>
                <w:b/>
                <w:bCs/>
                <w:color w:val="000000"/>
                <w:sz w:val="20"/>
                <w:szCs w:val="20"/>
              </w:rPr>
              <w:t>Nosaukums</w:t>
            </w:r>
          </w:p>
        </w:tc>
        <w:tc>
          <w:tcPr>
            <w:tcW w:w="145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9F9B101" w14:textId="77777777" w:rsidR="00E40559" w:rsidRPr="00C86312" w:rsidRDefault="00E40559">
            <w:pPr>
              <w:jc w:val="center"/>
              <w:rPr>
                <w:rFonts w:ascii="Times New Roman" w:hAnsi="Times New Roman" w:cs="Times New Roman"/>
                <w:b/>
                <w:bCs/>
                <w:color w:val="000000"/>
                <w:sz w:val="20"/>
                <w:szCs w:val="20"/>
              </w:rPr>
            </w:pPr>
            <w:r w:rsidRPr="0012317D">
              <w:rPr>
                <w:rFonts w:ascii="Times New Roman" w:hAnsi="Times New Roman" w:cs="Times New Roman"/>
                <w:b/>
                <w:bCs/>
                <w:color w:val="000000"/>
                <w:sz w:val="20"/>
                <w:szCs w:val="20"/>
              </w:rPr>
              <w:t>Daudzums</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B086D45" w14:textId="77777777" w:rsidR="00E40559" w:rsidRPr="00C86312" w:rsidRDefault="00E40559">
            <w:pPr>
              <w:jc w:val="center"/>
              <w:rPr>
                <w:rFonts w:ascii="Times New Roman" w:hAnsi="Times New Roman" w:cs="Times New Roman"/>
                <w:b/>
                <w:bCs/>
                <w:color w:val="000000" w:themeColor="text1"/>
                <w:sz w:val="20"/>
                <w:szCs w:val="20"/>
              </w:rPr>
            </w:pPr>
            <w:r w:rsidRPr="0012317D">
              <w:rPr>
                <w:rFonts w:ascii="Times New Roman" w:hAnsi="Times New Roman" w:cs="Times New Roman"/>
                <w:b/>
                <w:bCs/>
                <w:color w:val="000000"/>
                <w:sz w:val="20"/>
                <w:szCs w:val="20"/>
              </w:rPr>
              <w:t xml:space="preserve">Cena bez PVN, </w:t>
            </w:r>
            <w:r w:rsidRPr="57326167">
              <w:rPr>
                <w:rFonts w:ascii="Times New Roman" w:hAnsi="Times New Roman" w:cs="Times New Roman"/>
                <w:b/>
                <w:bCs/>
                <w:i/>
                <w:iCs/>
                <w:color w:val="000000"/>
                <w:sz w:val="20"/>
                <w:szCs w:val="20"/>
              </w:rPr>
              <w:t>euro</w:t>
            </w:r>
          </w:p>
        </w:tc>
        <w:tc>
          <w:tcPr>
            <w:tcW w:w="1843"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D54DE4A" w14:textId="77777777" w:rsidR="00E40559" w:rsidRPr="00C86312" w:rsidRDefault="00E40559">
            <w:pPr>
              <w:jc w:val="center"/>
              <w:rPr>
                <w:rFonts w:ascii="Times New Roman" w:hAnsi="Times New Roman" w:cs="Times New Roman"/>
                <w:b/>
                <w:bCs/>
                <w:color w:val="000000" w:themeColor="text1"/>
                <w:sz w:val="20"/>
                <w:szCs w:val="20"/>
              </w:rPr>
            </w:pPr>
            <w:r w:rsidRPr="0012317D">
              <w:rPr>
                <w:rFonts w:ascii="Times New Roman" w:hAnsi="Times New Roman" w:cs="Times New Roman"/>
                <w:b/>
                <w:bCs/>
                <w:color w:val="000000"/>
                <w:sz w:val="20"/>
                <w:szCs w:val="20"/>
              </w:rPr>
              <w:t xml:space="preserve">Kopā izdevumi bez PVN, </w:t>
            </w:r>
            <w:r w:rsidRPr="57326167">
              <w:rPr>
                <w:rFonts w:ascii="Times New Roman" w:hAnsi="Times New Roman" w:cs="Times New Roman"/>
                <w:b/>
                <w:bCs/>
                <w:i/>
                <w:iCs/>
                <w:color w:val="000000"/>
                <w:sz w:val="20"/>
                <w:szCs w:val="20"/>
              </w:rPr>
              <w:t xml:space="preserve">euro  </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BE077DB" w14:textId="77777777" w:rsidR="00E40559" w:rsidRPr="00C86312" w:rsidRDefault="00E40559">
            <w:pPr>
              <w:jc w:val="center"/>
              <w:rPr>
                <w:rFonts w:ascii="Times New Roman" w:hAnsi="Times New Roman" w:cs="Times New Roman"/>
                <w:b/>
                <w:bCs/>
                <w:color w:val="000000" w:themeColor="text1"/>
                <w:sz w:val="20"/>
                <w:szCs w:val="20"/>
              </w:rPr>
            </w:pPr>
            <w:r w:rsidRPr="0012317D">
              <w:rPr>
                <w:rFonts w:ascii="Times New Roman" w:hAnsi="Times New Roman" w:cs="Times New Roman"/>
                <w:b/>
                <w:bCs/>
                <w:color w:val="000000"/>
                <w:sz w:val="20"/>
                <w:szCs w:val="20"/>
              </w:rPr>
              <w:t xml:space="preserve">Izdevumi ar PVN, </w:t>
            </w:r>
            <w:r w:rsidRPr="57326167">
              <w:rPr>
                <w:rFonts w:ascii="Times New Roman" w:hAnsi="Times New Roman" w:cs="Times New Roman"/>
                <w:b/>
                <w:bCs/>
                <w:i/>
                <w:iCs/>
                <w:color w:val="000000"/>
                <w:sz w:val="20"/>
                <w:szCs w:val="20"/>
              </w:rPr>
              <w:t xml:space="preserve">euro  </w:t>
            </w:r>
          </w:p>
        </w:tc>
      </w:tr>
      <w:tr w:rsidR="00E40559" w:rsidRPr="00847710" w14:paraId="52255543" w14:textId="77777777" w:rsidTr="00C86312">
        <w:trPr>
          <w:trHeight w:val="600"/>
          <w:jc w:val="center"/>
        </w:trPr>
        <w:tc>
          <w:tcPr>
            <w:tcW w:w="1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10260E2E" w14:textId="77777777" w:rsidR="00E40559" w:rsidRPr="00847710" w:rsidRDefault="00E40559" w:rsidP="00E40559">
            <w:pPr>
              <w:rPr>
                <w:rFonts w:ascii="Times New Roman" w:hAnsi="Times New Roman" w:cs="Times New Roman"/>
                <w:color w:val="000000"/>
                <w:sz w:val="20"/>
                <w:szCs w:val="20"/>
              </w:rPr>
            </w:pPr>
            <w:r w:rsidRPr="00847710">
              <w:rPr>
                <w:rFonts w:ascii="Times New Roman" w:hAnsi="Times New Roman" w:cs="Times New Roman"/>
                <w:color w:val="000000"/>
                <w:sz w:val="20"/>
                <w:szCs w:val="20"/>
              </w:rPr>
              <w:t>Izmantojot   minipulus  no 24 (MP24)   asins paraugiem</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14:paraId="1EFAA1AD" w14:textId="00F04D1D" w:rsidR="00E40559" w:rsidRPr="00847710" w:rsidRDefault="00E40559" w:rsidP="00E40559">
            <w:pPr>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55</w:t>
            </w:r>
            <w:r w:rsidR="009954BF" w:rsidRPr="00847710">
              <w:rPr>
                <w:rFonts w:ascii="Times New Roman" w:hAnsi="Times New Roman" w:cs="Times New Roman"/>
                <w:color w:val="000000"/>
                <w:sz w:val="20"/>
                <w:szCs w:val="20"/>
              </w:rPr>
              <w:t xml:space="preserve"> </w:t>
            </w:r>
            <w:r w:rsidRPr="00847710">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0192EB6" w14:textId="6C064520" w:rsidR="00E40559" w:rsidRPr="00847710" w:rsidRDefault="00E40559" w:rsidP="00E40559">
            <w:pPr>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10.96</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3121ACD2" w14:textId="7927D34F" w:rsidR="00E40559" w:rsidRPr="00847710" w:rsidRDefault="00E40559" w:rsidP="00E40559">
            <w:pPr>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602</w:t>
            </w:r>
            <w:r w:rsidR="009954BF" w:rsidRPr="00847710">
              <w:rPr>
                <w:rFonts w:ascii="Times New Roman" w:hAnsi="Times New Roman" w:cs="Times New Roman"/>
                <w:color w:val="000000"/>
                <w:sz w:val="20"/>
                <w:szCs w:val="20"/>
              </w:rPr>
              <w:t xml:space="preserve"> </w:t>
            </w:r>
            <w:r w:rsidRPr="00847710">
              <w:rPr>
                <w:rFonts w:ascii="Times New Roman" w:hAnsi="Times New Roman" w:cs="Times New Roman"/>
                <w:color w:val="000000"/>
                <w:sz w:val="20"/>
                <w:szCs w:val="20"/>
              </w:rPr>
              <w:t>800.00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3EFD0AC" w14:textId="406A51FA" w:rsidR="00E40559" w:rsidRPr="00847710" w:rsidRDefault="00E40559" w:rsidP="00E40559">
            <w:pPr>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675</w:t>
            </w:r>
            <w:r w:rsidR="009954BF" w:rsidRPr="00847710">
              <w:rPr>
                <w:rFonts w:ascii="Times New Roman" w:hAnsi="Times New Roman" w:cs="Times New Roman"/>
                <w:color w:val="000000"/>
                <w:sz w:val="20"/>
                <w:szCs w:val="20"/>
              </w:rPr>
              <w:t xml:space="preserve"> </w:t>
            </w:r>
            <w:r w:rsidRPr="00847710">
              <w:rPr>
                <w:rFonts w:ascii="Times New Roman" w:hAnsi="Times New Roman" w:cs="Times New Roman"/>
                <w:color w:val="000000"/>
                <w:sz w:val="20"/>
                <w:szCs w:val="20"/>
              </w:rPr>
              <w:t>136.00</w:t>
            </w:r>
          </w:p>
        </w:tc>
      </w:tr>
      <w:tr w:rsidR="00E40559" w:rsidRPr="00847710" w14:paraId="3565DCE8" w14:textId="77777777" w:rsidTr="00C86312">
        <w:trPr>
          <w:trHeight w:val="600"/>
          <w:jc w:val="center"/>
        </w:trPr>
        <w:tc>
          <w:tcPr>
            <w:tcW w:w="1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7D44D210" w14:textId="77777777" w:rsidR="00E40559" w:rsidRPr="00847710" w:rsidRDefault="00E40559" w:rsidP="00E40559">
            <w:pPr>
              <w:rPr>
                <w:rFonts w:ascii="Times New Roman" w:hAnsi="Times New Roman" w:cs="Times New Roman"/>
                <w:color w:val="000000"/>
                <w:sz w:val="20"/>
                <w:szCs w:val="20"/>
              </w:rPr>
            </w:pPr>
            <w:r w:rsidRPr="00847710">
              <w:rPr>
                <w:rFonts w:ascii="Times New Roman" w:hAnsi="Times New Roman" w:cs="Times New Roman"/>
                <w:color w:val="000000"/>
                <w:sz w:val="20"/>
                <w:szCs w:val="20"/>
              </w:rPr>
              <w:t>Izmantojot   minipulus  no 6 (MP6)  asins paraugiem</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14:paraId="543BB123" w14:textId="1F51E25F" w:rsidR="00E40559" w:rsidRPr="00847710" w:rsidRDefault="00E40559" w:rsidP="00E40559">
            <w:pPr>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55</w:t>
            </w:r>
            <w:r w:rsidR="009954BF" w:rsidRPr="00847710">
              <w:rPr>
                <w:rFonts w:ascii="Times New Roman" w:hAnsi="Times New Roman" w:cs="Times New Roman"/>
                <w:color w:val="000000"/>
                <w:sz w:val="20"/>
                <w:szCs w:val="20"/>
              </w:rPr>
              <w:t xml:space="preserve"> </w:t>
            </w:r>
            <w:r w:rsidRPr="00847710">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1077957" w14:textId="7901CA0E" w:rsidR="00E40559" w:rsidRPr="00847710" w:rsidRDefault="00E40559" w:rsidP="00E40559">
            <w:pPr>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20.3</w:t>
            </w:r>
            <w:r w:rsidR="00186A5D" w:rsidRPr="00847710">
              <w:rPr>
                <w:rFonts w:ascii="Times New Roman" w:hAnsi="Times New Roman" w:cs="Times New Roman"/>
                <w:color w:val="000000"/>
                <w:sz w:val="20"/>
                <w:szCs w:val="20"/>
              </w:rPr>
              <w:t>7</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66C6A81D" w14:textId="123C0ED6" w:rsidR="00E40559" w:rsidRPr="00847710" w:rsidRDefault="00E40559" w:rsidP="00E40559">
            <w:pPr>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1</w:t>
            </w:r>
            <w:r w:rsidR="009954BF" w:rsidRPr="00847710">
              <w:rPr>
                <w:rFonts w:ascii="Times New Roman" w:hAnsi="Times New Roman" w:cs="Times New Roman"/>
                <w:color w:val="000000"/>
                <w:sz w:val="20"/>
                <w:szCs w:val="20"/>
              </w:rPr>
              <w:t> </w:t>
            </w:r>
            <w:r w:rsidRPr="00847710">
              <w:rPr>
                <w:rFonts w:ascii="Times New Roman" w:hAnsi="Times New Roman" w:cs="Times New Roman"/>
                <w:color w:val="000000"/>
                <w:sz w:val="20"/>
                <w:szCs w:val="20"/>
              </w:rPr>
              <w:t>1</w:t>
            </w:r>
            <w:r w:rsidR="00186A5D" w:rsidRPr="00847710">
              <w:rPr>
                <w:rFonts w:ascii="Times New Roman" w:hAnsi="Times New Roman" w:cs="Times New Roman"/>
                <w:color w:val="000000"/>
                <w:sz w:val="20"/>
                <w:szCs w:val="20"/>
              </w:rPr>
              <w:t>20 350.00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E2C5280" w14:textId="74FB9563" w:rsidR="00E40559" w:rsidRPr="00847710" w:rsidRDefault="00E40559" w:rsidP="00E40559">
            <w:pPr>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1</w:t>
            </w:r>
            <w:r w:rsidR="009954BF" w:rsidRPr="00847710">
              <w:rPr>
                <w:rFonts w:ascii="Times New Roman" w:hAnsi="Times New Roman" w:cs="Times New Roman"/>
                <w:color w:val="000000"/>
                <w:sz w:val="20"/>
                <w:szCs w:val="20"/>
              </w:rPr>
              <w:t> </w:t>
            </w:r>
            <w:r w:rsidRPr="00847710">
              <w:rPr>
                <w:rFonts w:ascii="Times New Roman" w:hAnsi="Times New Roman" w:cs="Times New Roman"/>
                <w:color w:val="000000"/>
                <w:sz w:val="20"/>
                <w:szCs w:val="20"/>
              </w:rPr>
              <w:t>254</w:t>
            </w:r>
            <w:r w:rsidR="009954BF" w:rsidRPr="00847710">
              <w:rPr>
                <w:rFonts w:ascii="Times New Roman" w:hAnsi="Times New Roman" w:cs="Times New Roman"/>
                <w:color w:val="000000"/>
                <w:sz w:val="20"/>
                <w:szCs w:val="20"/>
              </w:rPr>
              <w:t xml:space="preserve"> </w:t>
            </w:r>
            <w:r w:rsidR="00186A5D" w:rsidRPr="00847710">
              <w:rPr>
                <w:rFonts w:ascii="Times New Roman" w:hAnsi="Times New Roman" w:cs="Times New Roman"/>
                <w:color w:val="000000"/>
                <w:sz w:val="20"/>
                <w:szCs w:val="20"/>
              </w:rPr>
              <w:t>792</w:t>
            </w:r>
            <w:r w:rsidRPr="00847710">
              <w:rPr>
                <w:rFonts w:ascii="Times New Roman" w:hAnsi="Times New Roman" w:cs="Times New Roman"/>
                <w:color w:val="000000"/>
                <w:sz w:val="20"/>
                <w:szCs w:val="20"/>
              </w:rPr>
              <w:t>.00</w:t>
            </w:r>
          </w:p>
        </w:tc>
      </w:tr>
      <w:tr w:rsidR="00E40559" w:rsidRPr="00847710" w14:paraId="034C1899" w14:textId="77777777" w:rsidTr="00C86312">
        <w:trPr>
          <w:trHeight w:val="405"/>
          <w:jc w:val="center"/>
        </w:trPr>
        <w:tc>
          <w:tcPr>
            <w:tcW w:w="1516"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1FD8730B" w14:textId="77777777" w:rsidR="00E40559" w:rsidRPr="00847710" w:rsidRDefault="00E40559" w:rsidP="00E40559">
            <w:pPr>
              <w:rPr>
                <w:rFonts w:ascii="Times New Roman" w:hAnsi="Times New Roman" w:cs="Times New Roman"/>
                <w:b/>
                <w:bCs/>
                <w:color w:val="000000"/>
                <w:sz w:val="20"/>
                <w:szCs w:val="20"/>
              </w:rPr>
            </w:pPr>
            <w:r w:rsidRPr="00847710">
              <w:rPr>
                <w:rFonts w:ascii="Times New Roman" w:hAnsi="Times New Roman" w:cs="Times New Roman"/>
                <w:b/>
                <w:bCs/>
                <w:color w:val="000000"/>
                <w:sz w:val="20"/>
                <w:szCs w:val="20"/>
              </w:rPr>
              <w:t>Izdevumu pieaugums</w:t>
            </w:r>
          </w:p>
        </w:tc>
        <w:tc>
          <w:tcPr>
            <w:tcW w:w="1456" w:type="dxa"/>
            <w:tcBorders>
              <w:top w:val="nil"/>
              <w:left w:val="nil"/>
              <w:bottom w:val="single" w:sz="4" w:space="0" w:color="auto"/>
              <w:right w:val="single" w:sz="4" w:space="0" w:color="auto"/>
            </w:tcBorders>
            <w:shd w:val="clear" w:color="auto" w:fill="FBD4B4" w:themeFill="accent6" w:themeFillTint="66"/>
            <w:noWrap/>
            <w:vAlign w:val="bottom"/>
            <w:hideMark/>
          </w:tcPr>
          <w:p w14:paraId="4DC240C4" w14:textId="77777777" w:rsidR="00E40559" w:rsidRPr="00847710" w:rsidRDefault="00E40559" w:rsidP="00E40559">
            <w:pPr>
              <w:rPr>
                <w:rFonts w:ascii="Times New Roman" w:hAnsi="Times New Roman" w:cs="Times New Roman"/>
                <w:b/>
                <w:bCs/>
                <w:color w:val="000000"/>
                <w:sz w:val="20"/>
                <w:szCs w:val="20"/>
              </w:rPr>
            </w:pPr>
            <w:r w:rsidRPr="00847710">
              <w:rPr>
                <w:rFonts w:ascii="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FBD4B4" w:themeFill="accent6" w:themeFillTint="66"/>
            <w:noWrap/>
            <w:vAlign w:val="bottom"/>
            <w:hideMark/>
          </w:tcPr>
          <w:p w14:paraId="303B7BE4" w14:textId="77777777" w:rsidR="00E40559" w:rsidRPr="00847710" w:rsidRDefault="00E40559" w:rsidP="00E40559">
            <w:pPr>
              <w:rPr>
                <w:rFonts w:ascii="Times New Roman" w:hAnsi="Times New Roman" w:cs="Times New Roman"/>
                <w:b/>
                <w:bCs/>
                <w:color w:val="000000"/>
                <w:sz w:val="20"/>
                <w:szCs w:val="20"/>
              </w:rPr>
            </w:pPr>
            <w:r w:rsidRPr="00847710">
              <w:rPr>
                <w:rFonts w:ascii="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750CA7C0" w14:textId="77777777" w:rsidR="00E40559" w:rsidRPr="00847710" w:rsidRDefault="00E40559" w:rsidP="00E40559">
            <w:pPr>
              <w:rPr>
                <w:rFonts w:ascii="Times New Roman" w:hAnsi="Times New Roman" w:cs="Times New Roman"/>
                <w:b/>
                <w:bCs/>
                <w:color w:val="000000"/>
                <w:sz w:val="20"/>
                <w:szCs w:val="20"/>
              </w:rPr>
            </w:pPr>
            <w:r w:rsidRPr="00847710">
              <w:rPr>
                <w:rFonts w:ascii="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auto" w:fill="FBD4B4" w:themeFill="accent6" w:themeFillTint="66"/>
            <w:noWrap/>
            <w:vAlign w:val="bottom"/>
            <w:hideMark/>
          </w:tcPr>
          <w:p w14:paraId="018C6D5C" w14:textId="2A2E3979" w:rsidR="00E40559" w:rsidRPr="00847710" w:rsidRDefault="00E40559" w:rsidP="00E40559">
            <w:pPr>
              <w:jc w:val="right"/>
              <w:rPr>
                <w:rFonts w:ascii="Times New Roman" w:hAnsi="Times New Roman" w:cs="Times New Roman"/>
                <w:b/>
                <w:bCs/>
                <w:color w:val="000000"/>
                <w:sz w:val="20"/>
                <w:szCs w:val="20"/>
              </w:rPr>
            </w:pPr>
            <w:r w:rsidRPr="00847710">
              <w:rPr>
                <w:rFonts w:ascii="Times New Roman" w:hAnsi="Times New Roman" w:cs="Times New Roman"/>
                <w:b/>
                <w:bCs/>
                <w:color w:val="000000"/>
                <w:sz w:val="20"/>
                <w:szCs w:val="20"/>
              </w:rPr>
              <w:t>579</w:t>
            </w:r>
            <w:r w:rsidR="009954BF" w:rsidRPr="00847710">
              <w:rPr>
                <w:rFonts w:ascii="Times New Roman" w:hAnsi="Times New Roman" w:cs="Times New Roman"/>
                <w:b/>
                <w:bCs/>
                <w:color w:val="000000"/>
                <w:sz w:val="20"/>
                <w:szCs w:val="20"/>
              </w:rPr>
              <w:t xml:space="preserve"> </w:t>
            </w:r>
            <w:r w:rsidR="00186A5D" w:rsidRPr="00847710">
              <w:rPr>
                <w:rFonts w:ascii="Times New Roman" w:hAnsi="Times New Roman" w:cs="Times New Roman"/>
                <w:b/>
                <w:bCs/>
                <w:color w:val="000000"/>
                <w:sz w:val="20"/>
                <w:szCs w:val="20"/>
              </w:rPr>
              <w:t>656</w:t>
            </w:r>
            <w:r w:rsidRPr="00847710">
              <w:rPr>
                <w:rFonts w:ascii="Times New Roman" w:hAnsi="Times New Roman" w:cs="Times New Roman"/>
                <w:b/>
                <w:bCs/>
                <w:color w:val="000000"/>
                <w:sz w:val="20"/>
                <w:szCs w:val="20"/>
              </w:rPr>
              <w:t>.00</w:t>
            </w:r>
          </w:p>
        </w:tc>
      </w:tr>
    </w:tbl>
    <w:p w14:paraId="579FB5DD" w14:textId="77777777" w:rsidR="007B79DA" w:rsidRPr="00847710" w:rsidRDefault="007B79DA" w:rsidP="00AB7C24">
      <w:pPr>
        <w:spacing w:after="120"/>
        <w:ind w:firstLine="709"/>
        <w:jc w:val="both"/>
        <w:rPr>
          <w:rFonts w:ascii="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89"/>
      </w:tblGrid>
      <w:tr w:rsidR="000465B1" w:rsidRPr="00847710" w14:paraId="23529889" w14:textId="77777777" w:rsidTr="57326167">
        <w:tc>
          <w:tcPr>
            <w:tcW w:w="9089" w:type="dxa"/>
          </w:tcPr>
          <w:p w14:paraId="6B7C86F7" w14:textId="2029BD97" w:rsidR="00D724BA" w:rsidRPr="00C86312" w:rsidRDefault="000465B1" w:rsidP="00C86312">
            <w:pPr>
              <w:spacing w:after="120"/>
              <w:ind w:firstLine="709"/>
              <w:jc w:val="both"/>
              <w:rPr>
                <w:rFonts w:ascii="Times New Roman" w:hAnsi="Times New Roman"/>
                <w:b/>
                <w:bCs/>
                <w:sz w:val="24"/>
                <w:szCs w:val="24"/>
              </w:rPr>
            </w:pPr>
            <w:r w:rsidRPr="0012317D">
              <w:rPr>
                <w:rFonts w:ascii="Times New Roman" w:hAnsi="Times New Roman"/>
                <w:b/>
                <w:bCs/>
                <w:sz w:val="24"/>
                <w:szCs w:val="24"/>
              </w:rPr>
              <w:t xml:space="preserve">Reformas rezultāts: Tiks turpināta 2017. gadā uzsāktā reforma </w:t>
            </w:r>
            <w:r w:rsidR="00D15EE5" w:rsidRPr="00901A9F">
              <w:rPr>
                <w:rFonts w:ascii="Times New Roman" w:hAnsi="Times New Roman"/>
                <w:b/>
                <w:bCs/>
                <w:sz w:val="24"/>
                <w:szCs w:val="24"/>
              </w:rPr>
              <w:t>ar</w:t>
            </w:r>
            <w:r w:rsidRPr="0078794A">
              <w:rPr>
                <w:rFonts w:ascii="Times New Roman" w:hAnsi="Times New Roman"/>
                <w:b/>
                <w:bCs/>
                <w:sz w:val="24"/>
                <w:szCs w:val="24"/>
              </w:rPr>
              <w:t xml:space="preserve"> jaunākās paaudzes ārstēšanu un laboratorisko diagnostiku nodrošinot </w:t>
            </w:r>
            <w:r w:rsidR="00D15EE5" w:rsidRPr="00BD7921">
              <w:rPr>
                <w:rFonts w:ascii="Times New Roman" w:hAnsi="Times New Roman"/>
                <w:b/>
                <w:bCs/>
                <w:sz w:val="24"/>
                <w:szCs w:val="24"/>
              </w:rPr>
              <w:t xml:space="preserve">to papildus </w:t>
            </w:r>
            <w:r w:rsidRPr="004D4B58">
              <w:rPr>
                <w:rFonts w:ascii="Times New Roman" w:hAnsi="Times New Roman"/>
                <w:b/>
                <w:sz w:val="24"/>
                <w:szCs w:val="24"/>
              </w:rPr>
              <w:t>vēl</w:t>
            </w:r>
            <w:r w:rsidRPr="00890961">
              <w:rPr>
                <w:rFonts w:ascii="Times New Roman" w:hAnsi="Times New Roman"/>
                <w:b/>
                <w:bCs/>
                <w:sz w:val="24"/>
                <w:szCs w:val="24"/>
              </w:rPr>
              <w:t xml:space="preserve"> 204 VHC pacientiem, tādejādi samazinot saslimšanas radītos epidemioloģiskos draudus valstī un pakāpeniski paplašinot pacientu aptveri uzsākot ārstēšanu jau F2 aknu bojājuma stadijā, kas nodrošina pamatā darbaspējīgā vecuma cilvēku pilnīgu izveseļošanos un</w:t>
            </w:r>
            <w:r w:rsidRPr="00583196">
              <w:rPr>
                <w:rFonts w:ascii="Times New Roman" w:hAnsi="Times New Roman"/>
                <w:b/>
                <w:bCs/>
                <w:sz w:val="24"/>
                <w:szCs w:val="24"/>
              </w:rPr>
              <w:t xml:space="preserve"> atgriešanos sabiedrībā un darba tirgū.</w:t>
            </w:r>
            <w:r w:rsidR="00260730" w:rsidRPr="00301B7F">
              <w:rPr>
                <w:rFonts w:ascii="Times New Roman" w:hAnsi="Times New Roman"/>
                <w:b/>
                <w:bCs/>
                <w:sz w:val="24"/>
                <w:szCs w:val="24"/>
              </w:rPr>
              <w:t xml:space="preserve"> Savukārt ieviešot jauno testēšanas metodi, tiek mazināts HIV infekciju izplatības risks un sekojoši to ārstēšanās izdevumi.</w:t>
            </w:r>
            <w:r w:rsidR="00D24A2B" w:rsidRPr="007B2D1B">
              <w:rPr>
                <w:rFonts w:ascii="Times New Roman" w:hAnsi="Times New Roman"/>
                <w:b/>
                <w:bCs/>
                <w:sz w:val="24"/>
                <w:szCs w:val="24"/>
              </w:rPr>
              <w:t xml:space="preserve"> </w:t>
            </w:r>
          </w:p>
        </w:tc>
      </w:tr>
    </w:tbl>
    <w:p w14:paraId="056179D1" w14:textId="406C0EEF" w:rsidR="00AD04F8" w:rsidRPr="00C86312" w:rsidRDefault="00865058" w:rsidP="00C86312">
      <w:pPr>
        <w:pStyle w:val="Heading2"/>
        <w:spacing w:before="0" w:after="120"/>
        <w:jc w:val="center"/>
        <w:rPr>
          <w:rFonts w:ascii="Times New Roman" w:hAnsi="Times New Roman" w:cs="Times New Roman"/>
          <w:b/>
          <w:bCs/>
          <w:color w:val="auto"/>
          <w:sz w:val="24"/>
          <w:szCs w:val="24"/>
          <w:u w:val="single"/>
        </w:rPr>
      </w:pPr>
      <w:r w:rsidRPr="00847710">
        <w:rPr>
          <w:rFonts w:ascii="Times New Roman" w:hAnsi="Times New Roman" w:cs="Times New Roman"/>
          <w:b/>
          <w:sz w:val="24"/>
          <w:szCs w:val="24"/>
        </w:rPr>
        <w:br/>
      </w:r>
      <w:r w:rsidR="00CB0EB0" w:rsidRPr="0012317D">
        <w:rPr>
          <w:rFonts w:ascii="Times New Roman" w:hAnsi="Times New Roman" w:cs="Times New Roman"/>
          <w:b/>
          <w:bCs/>
          <w:color w:val="auto"/>
          <w:sz w:val="24"/>
          <w:szCs w:val="24"/>
          <w:u w:val="single"/>
        </w:rPr>
        <w:t xml:space="preserve">3.2. Jaunā reformas iniciatīva - </w:t>
      </w:r>
      <w:r w:rsidR="00237A86" w:rsidRPr="00901A9F">
        <w:rPr>
          <w:rFonts w:ascii="Times New Roman" w:hAnsi="Times New Roman" w:cs="Times New Roman"/>
          <w:b/>
          <w:bCs/>
          <w:color w:val="auto"/>
          <w:sz w:val="24"/>
          <w:szCs w:val="24"/>
          <w:u w:val="single"/>
        </w:rPr>
        <w:t xml:space="preserve">epidemioloģiskās situācijas uzlabošana paplašinot ārstēšanas iespējas </w:t>
      </w:r>
      <w:r w:rsidR="00AD04F8" w:rsidRPr="0078794A">
        <w:rPr>
          <w:rFonts w:ascii="Times New Roman" w:hAnsi="Times New Roman" w:cs="Times New Roman"/>
          <w:b/>
          <w:bCs/>
          <w:color w:val="auto"/>
          <w:sz w:val="24"/>
          <w:szCs w:val="24"/>
          <w:u w:val="single"/>
        </w:rPr>
        <w:t>HIV/AIDS pacientiem</w:t>
      </w:r>
    </w:p>
    <w:p w14:paraId="7E0934E5" w14:textId="2A438D22" w:rsidR="00AD04F8" w:rsidRPr="00847710" w:rsidRDefault="00AD04F8" w:rsidP="00D95C8E">
      <w:pPr>
        <w:shd w:val="clear" w:color="auto" w:fill="FFFFFF" w:themeFill="background1"/>
        <w:spacing w:after="120"/>
        <w:ind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HIV infekcijas izplatība ir globāla mēroga problēma, kam ir sociāli ekonomiskas sekas un kas negatīvi ietekmē visas sabiedrības veselību, katra indivīda drošību, iekļaušanos sabiedrībā un darba tirgū, kā arī ietekmē valsts labklājību kopumā.</w:t>
      </w:r>
    </w:p>
    <w:p w14:paraId="6B6F4CAA" w14:textId="69D8D7CD" w:rsidR="00847710" w:rsidRPr="00847710" w:rsidRDefault="00AD04F8" w:rsidP="006807F5">
      <w:pPr>
        <w:spacing w:after="120"/>
        <w:ind w:firstLine="709"/>
        <w:jc w:val="both"/>
        <w:rPr>
          <w:rFonts w:ascii="Times New Roman" w:hAnsi="Times New Roman" w:cs="Times New Roman"/>
          <w:i/>
          <w:iCs/>
          <w:sz w:val="24"/>
          <w:szCs w:val="24"/>
        </w:rPr>
      </w:pPr>
      <w:r w:rsidRPr="00847710">
        <w:rPr>
          <w:rFonts w:ascii="Times New Roman" w:hAnsi="Times New Roman" w:cs="Times New Roman"/>
          <w:color w:val="000000" w:themeColor="text1"/>
          <w:sz w:val="24"/>
          <w:szCs w:val="24"/>
        </w:rPr>
        <w:t xml:space="preserve">Latvija ir to ES valstu vidū, kur HIV infekcijas izplatības rādītāji ir vieni no visaugstākajiem ES. SPKC dati rāda, ka 2015.gadā Latvijā tika reģistrēti 19,8 HIV infekcijas gadījumi uz 100 000 iedzīvotājiem, salīdzinoši pēc jaunākajiem publicētajiem Eiropas slimību </w:t>
      </w:r>
      <w:r w:rsidRPr="00847710">
        <w:rPr>
          <w:rFonts w:ascii="Times New Roman" w:hAnsi="Times New Roman" w:cs="Times New Roman"/>
          <w:color w:val="000000" w:themeColor="text1"/>
          <w:sz w:val="24"/>
          <w:szCs w:val="24"/>
        </w:rPr>
        <w:lastRenderedPageBreak/>
        <w:t>kontroles centra (ECDC) datiem ES/EEZ valstīs 2015.gadā vidēji reģistrēti 5,8 HIV infekcijas gadījumi uz 100 000 iedzīvotājiem (dati par HIV epidemioloģisko situāciju 2016.gadā ES/EEZ valstīs tiks publicēti 2017.gada beigās).</w:t>
      </w:r>
    </w:p>
    <w:p w14:paraId="3A57BF17" w14:textId="21C70749" w:rsidR="001066D0" w:rsidRPr="00C86312" w:rsidRDefault="0E394FF1" w:rsidP="00C86312">
      <w:pPr>
        <w:spacing w:after="0" w:line="240" w:lineRule="auto"/>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6</w:t>
      </w:r>
      <w:r w:rsidR="001066D0" w:rsidRPr="57326167">
        <w:rPr>
          <w:rFonts w:ascii="Times New Roman" w:hAnsi="Times New Roman" w:cs="Times New Roman"/>
          <w:i/>
          <w:iCs/>
          <w:sz w:val="24"/>
          <w:szCs w:val="24"/>
        </w:rPr>
        <w:t>.attēls</w:t>
      </w:r>
    </w:p>
    <w:p w14:paraId="2819D961" w14:textId="780386D0" w:rsidR="001066D0" w:rsidRPr="00C86312" w:rsidRDefault="001066D0" w:rsidP="00C86312">
      <w:pPr>
        <w:spacing w:after="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HIV  un AIDS saslimšanas gadījumi, 2015.</w:t>
      </w:r>
      <w:r w:rsidRPr="0012317D">
        <w:rPr>
          <w:rFonts w:ascii="Times New Roman" w:hAnsi="Times New Roman" w:cs="Times New Roman"/>
          <w:b/>
          <w:bCs/>
          <w:sz w:val="24"/>
          <w:szCs w:val="24"/>
          <w:vertAlign w:val="superscript"/>
        </w:rPr>
        <w:footnoteReference w:id="41"/>
      </w:r>
    </w:p>
    <w:p w14:paraId="02B51A43" w14:textId="77777777" w:rsidR="001066D0" w:rsidRPr="00847710" w:rsidRDefault="001066D0" w:rsidP="001066D0">
      <w:pPr>
        <w:shd w:val="clear" w:color="auto" w:fill="FFFFFF"/>
        <w:spacing w:after="0" w:line="240" w:lineRule="auto"/>
        <w:ind w:firstLine="720"/>
        <w:jc w:val="both"/>
        <w:rPr>
          <w:rFonts w:ascii="Times New Roman" w:hAnsi="Times New Roman" w:cs="Times New Roman"/>
          <w:color w:val="000000" w:themeColor="text1"/>
          <w:sz w:val="24"/>
        </w:rPr>
      </w:pPr>
    </w:p>
    <w:p w14:paraId="78BD1C68" w14:textId="3C206056" w:rsidR="001066D0" w:rsidRPr="00847710" w:rsidRDefault="001066D0" w:rsidP="001066D0">
      <w:pPr>
        <w:shd w:val="clear" w:color="auto" w:fill="FFFFFF"/>
        <w:jc w:val="center"/>
        <w:rPr>
          <w:rFonts w:ascii="Times New Roman" w:hAnsi="Times New Roman" w:cs="Times New Roman"/>
          <w:color w:val="000000" w:themeColor="text1"/>
          <w:sz w:val="24"/>
        </w:rPr>
      </w:pPr>
      <w:r w:rsidRPr="00847710">
        <w:rPr>
          <w:rFonts w:ascii="Times New Roman" w:hAnsi="Times New Roman" w:cs="Times New Roman"/>
          <w:noProof/>
          <w:color w:val="000000" w:themeColor="text1"/>
          <w:sz w:val="24"/>
        </w:rPr>
        <w:drawing>
          <wp:inline distT="0" distB="0" distL="0" distR="0" wp14:anchorId="2AE2CDBE" wp14:editId="15931C88">
            <wp:extent cx="2409825" cy="4524375"/>
            <wp:effectExtent l="0" t="0" r="9525" b="9525"/>
            <wp:docPr id="4" name="Chart 4">
              <a:extLst xmlns:a="http://schemas.openxmlformats.org/drawingml/2006/main">
                <a:ext uri="{FF2B5EF4-FFF2-40B4-BE49-F238E27FC236}">
                  <a16:creationId xmlns:a16="http://schemas.microsoft.com/office/drawing/2014/main" id="{FFCDDA27-D919-4426-B8AB-2ADDB17236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847710">
        <w:rPr>
          <w:rFonts w:ascii="Times New Roman" w:hAnsi="Times New Roman" w:cs="Times New Roman"/>
          <w:noProof/>
          <w:color w:val="000000" w:themeColor="text1"/>
          <w:sz w:val="24"/>
        </w:rPr>
        <w:drawing>
          <wp:inline distT="0" distB="0" distL="0" distR="0" wp14:anchorId="59FBB349" wp14:editId="605C64FD">
            <wp:extent cx="2314575" cy="4543425"/>
            <wp:effectExtent l="0" t="0" r="9525" b="9525"/>
            <wp:docPr id="1" name="Chart 1">
              <a:extLst xmlns:a="http://schemas.openxmlformats.org/drawingml/2006/main">
                <a:ext uri="{FF2B5EF4-FFF2-40B4-BE49-F238E27FC236}">
                  <a16:creationId xmlns:a16="http://schemas.microsoft.com/office/drawing/2014/main" id="{AD1E1158-AD2B-44CA-BDB4-56F6B66799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910509" w14:textId="77777777" w:rsidR="00016DF0" w:rsidRPr="00847710" w:rsidRDefault="00016DF0" w:rsidP="00B6035E">
      <w:pPr>
        <w:spacing w:after="120"/>
        <w:ind w:firstLine="567"/>
        <w:jc w:val="both"/>
        <w:rPr>
          <w:rFonts w:ascii="Times New Roman" w:hAnsi="Times New Roman" w:cs="Times New Roman"/>
          <w:sz w:val="24"/>
          <w:szCs w:val="24"/>
        </w:rPr>
      </w:pPr>
      <w:r w:rsidRPr="00847710">
        <w:rPr>
          <w:rFonts w:ascii="Times New Roman" w:hAnsi="Times New Roman" w:cs="Times New Roman"/>
          <w:color w:val="000000" w:themeColor="text1"/>
          <w:sz w:val="24"/>
          <w:szCs w:val="24"/>
        </w:rPr>
        <w:t xml:space="preserve">Ņemot vērā pieejamos veselības aprūpes budžeta līdzekļus, atbilstoši “Racionālas farmakoterapijas rekomendācijām no valsts budžeta līdzekļiem apmaksātai antiretrovirālai terapijai HIV/AIDS infekcijas ārstēšanai”, HIV inficēto personu ārstēšana tiek uzsākta no 350 CD4 šūnām ml. Savukārt PVO un cita starptautiskās organizācijas iesaka HIV inficēto personu ārstēšanu uzsākt nekavējoties, līdz ar infekcijas atklāšanu. </w:t>
      </w:r>
      <w:r w:rsidRPr="00847710">
        <w:rPr>
          <w:rFonts w:ascii="Times New Roman" w:hAnsi="Times New Roman" w:cs="Times New Roman"/>
          <w:sz w:val="24"/>
          <w:szCs w:val="24"/>
        </w:rPr>
        <w:t>2016.gada septembrī ar PVO Eiropas Reģionālās Komitejas atbalstu tika apstiprināts “PVO rīcības plāns veselības nozarē Eiropas reģionam, reaģējot uz HIV”</w:t>
      </w:r>
      <w:r w:rsidRPr="00847710">
        <w:rPr>
          <w:rStyle w:val="FootnoteReference"/>
          <w:rFonts w:ascii="Times New Roman" w:hAnsi="Times New Roman" w:cs="Times New Roman"/>
          <w:sz w:val="24"/>
          <w:szCs w:val="24"/>
        </w:rPr>
        <w:footnoteReference w:id="42"/>
      </w:r>
      <w:r w:rsidRPr="00847710">
        <w:rPr>
          <w:rFonts w:ascii="Times New Roman" w:hAnsi="Times New Roman" w:cs="Times New Roman"/>
          <w:sz w:val="24"/>
          <w:szCs w:val="24"/>
        </w:rPr>
        <w:t xml:space="preserve">, kurā tika izvirzīts mērķis līdz 2030.gadam izbeigt HIV epidēmiju </w:t>
      </w:r>
      <w:r w:rsidRPr="00847710">
        <w:rPr>
          <w:rFonts w:ascii="Times New Roman" w:hAnsi="Times New Roman" w:cs="Times New Roman"/>
          <w:sz w:val="24"/>
          <w:szCs w:val="24"/>
        </w:rPr>
        <w:lastRenderedPageBreak/>
        <w:t xml:space="preserve">panākot to, ka 90% no HIV inficētām personām zina savu statusu, 90% no personām, kam atklāta HIV infekcija saņem ārstēšanu un 90% no tām personām, kas saņem ārstēšanu, tā ir efektīva. </w:t>
      </w:r>
      <w:r w:rsidRPr="00847710">
        <w:rPr>
          <w:rFonts w:ascii="Times New Roman" w:hAnsi="Times New Roman" w:cs="Times New Roman"/>
          <w:color w:val="000000" w:themeColor="text1"/>
          <w:sz w:val="24"/>
          <w:szCs w:val="24"/>
        </w:rPr>
        <w:t>Šobrīd Latvija ir vienīgā ES valsts, kur HIV ārstēšanu uzsāk tik novēloti - no 350 CD4 šūnām ml.</w:t>
      </w:r>
    </w:p>
    <w:p w14:paraId="677AF113" w14:textId="0ED78843" w:rsidR="00016DF0" w:rsidRPr="00847710" w:rsidRDefault="00016DF0" w:rsidP="00D95C8E">
      <w:pPr>
        <w:shd w:val="clear" w:color="auto" w:fill="FFFFFF" w:themeFill="background1"/>
        <w:spacing w:after="120"/>
        <w:ind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Palielinoties HIV inficēto pacientu skaitam un pacientu skaitam AIDS stadijā, ar katru gadu palielinās HIV infekcijas ārstēšanai paredzēto zāļu izmaksas, jo palielinās personu skaits, kam nepieciešama ārstēšana. Latvijā ir visaugstākais AIDS jaunatklāto gadījumu skaits ES. Kopumā personu skaits ar AIDS katru gadu palielinās. Kopš 2007.gada HIV inficēto personu AIDS stadijā skaits ir gandrīz trīskāršojies no 630 personām līdz 1873 personām 2017.gadā. Jāņem vērā, ka pacientu ārstēšana AIDS stadijā prasa lielus papildus veselības aprūpes resursus. Pēdējo gadu laikā viena HIV pac</w:t>
      </w:r>
      <w:r w:rsidR="009D17CE">
        <w:rPr>
          <w:rFonts w:ascii="Times New Roman" w:hAnsi="Times New Roman" w:cs="Times New Roman"/>
          <w:color w:val="000000" w:themeColor="text1"/>
          <w:sz w:val="24"/>
          <w:szCs w:val="24"/>
        </w:rPr>
        <w:t>ienta izmaksas ir dubultojušas,</w:t>
      </w:r>
      <w:r w:rsidRPr="00847710">
        <w:rPr>
          <w:rFonts w:ascii="Times New Roman" w:hAnsi="Times New Roman" w:cs="Times New Roman"/>
          <w:color w:val="000000" w:themeColor="text1"/>
          <w:sz w:val="24"/>
          <w:szCs w:val="24"/>
        </w:rPr>
        <w:t xml:space="preserve"> jo ir jāsniedz palīdzība personām ar grūti ārstējamām blakus slimībām, tai skaitā tuberkulozi (TB) un multirezistento TB. 17,4% no TB pacientiem ir HIV inficētas personas. Vidēji ES šis rādītājs ir 4,6%. Bez tam šīm personām dēļ smagiem veselības traucējumiem ir ierobežotas darbaspējas.</w:t>
      </w:r>
    </w:p>
    <w:p w14:paraId="727F58B1" w14:textId="740B742F" w:rsidR="00016DF0" w:rsidRPr="00847710" w:rsidRDefault="00016DF0" w:rsidP="00D95C8E">
      <w:pPr>
        <w:shd w:val="clear" w:color="auto" w:fill="FFFFFF" w:themeFill="background1"/>
        <w:spacing w:after="120"/>
        <w:ind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Saskaņā ar NVD datiem līdz 2017.gada 1.septembrim no zāļu iegādes kompensācijas sistēmas budžeta līdzekļiem ārstēšanu saņēma 2081 pacients ar HIV infekciju. 2017.gadā HIV/AIDS ārstēšanai ti</w:t>
      </w:r>
      <w:r w:rsidR="009E4C98" w:rsidRPr="00847710">
        <w:rPr>
          <w:rFonts w:ascii="Times New Roman" w:hAnsi="Times New Roman" w:cs="Times New Roman"/>
          <w:color w:val="000000" w:themeColor="text1"/>
          <w:sz w:val="24"/>
          <w:szCs w:val="24"/>
        </w:rPr>
        <w:t>ka ieplānoti 9,65 miljoni eiro.</w:t>
      </w:r>
    </w:p>
    <w:p w14:paraId="0A6F993D" w14:textId="23DC92D0" w:rsidR="00016DF0" w:rsidRPr="00C86312" w:rsidRDefault="77305291" w:rsidP="00C86312">
      <w:pPr>
        <w:shd w:val="clear" w:color="auto" w:fill="FFFFFF" w:themeFill="background1"/>
        <w:spacing w:after="0" w:line="240" w:lineRule="auto"/>
        <w:jc w:val="right"/>
        <w:rPr>
          <w:rFonts w:ascii="Times New Roman" w:hAnsi="Times New Roman" w:cs="Times New Roman"/>
          <w:i/>
          <w:iCs/>
          <w:color w:val="000000" w:themeColor="text1"/>
          <w:sz w:val="24"/>
          <w:szCs w:val="24"/>
        </w:rPr>
      </w:pPr>
      <w:r w:rsidRPr="57326167">
        <w:rPr>
          <w:rFonts w:ascii="Times New Roman" w:hAnsi="Times New Roman" w:cs="Times New Roman"/>
          <w:i/>
          <w:iCs/>
          <w:color w:val="000000" w:themeColor="text1"/>
          <w:sz w:val="24"/>
          <w:szCs w:val="24"/>
        </w:rPr>
        <w:t>7</w:t>
      </w:r>
      <w:r w:rsidR="00016DF0" w:rsidRPr="57326167">
        <w:rPr>
          <w:rFonts w:ascii="Times New Roman" w:hAnsi="Times New Roman" w:cs="Times New Roman"/>
          <w:i/>
          <w:iCs/>
          <w:color w:val="000000" w:themeColor="text1"/>
          <w:sz w:val="24"/>
          <w:szCs w:val="24"/>
        </w:rPr>
        <w:t xml:space="preserve">.attēls </w:t>
      </w:r>
    </w:p>
    <w:p w14:paraId="64269CB8" w14:textId="6FAF00F5" w:rsidR="00016DF0" w:rsidRPr="00C86312" w:rsidRDefault="0099326E" w:rsidP="00C86312">
      <w:pPr>
        <w:shd w:val="clear" w:color="auto" w:fill="FFFFFF" w:themeFill="background1"/>
        <w:spacing w:after="0" w:line="240" w:lineRule="auto"/>
        <w:jc w:val="center"/>
        <w:rPr>
          <w:rFonts w:ascii="Times New Roman" w:hAnsi="Times New Roman" w:cs="Times New Roman"/>
          <w:b/>
          <w:bCs/>
          <w:color w:val="000000" w:themeColor="text1"/>
          <w:sz w:val="24"/>
          <w:szCs w:val="24"/>
        </w:rPr>
      </w:pPr>
      <w:r w:rsidRPr="0012317D">
        <w:rPr>
          <w:rFonts w:ascii="Times New Roman" w:hAnsi="Times New Roman" w:cs="Times New Roman"/>
          <w:b/>
          <w:bCs/>
          <w:color w:val="000000" w:themeColor="text1"/>
          <w:sz w:val="24"/>
          <w:szCs w:val="24"/>
        </w:rPr>
        <w:t xml:space="preserve">Pretvīrusu </w:t>
      </w:r>
      <w:r w:rsidR="00016DF0" w:rsidRPr="0078794A">
        <w:rPr>
          <w:rFonts w:ascii="Times New Roman" w:hAnsi="Times New Roman" w:cs="Times New Roman"/>
          <w:b/>
          <w:bCs/>
          <w:color w:val="000000" w:themeColor="text1"/>
          <w:sz w:val="24"/>
          <w:szCs w:val="24"/>
        </w:rPr>
        <w:t xml:space="preserve"> terapiju saņēmušo pacienta skaita un izmaksu dinamika</w:t>
      </w:r>
    </w:p>
    <w:p w14:paraId="38571DB4" w14:textId="20245D15" w:rsidR="00016DF0" w:rsidRPr="00847710" w:rsidRDefault="006A169C" w:rsidP="00D95C8E">
      <w:pPr>
        <w:shd w:val="clear" w:color="auto" w:fill="FFFFFF" w:themeFill="background1"/>
        <w:spacing w:after="0" w:line="240" w:lineRule="auto"/>
        <w:jc w:val="center"/>
        <w:rPr>
          <w:rFonts w:ascii="Times New Roman" w:hAnsi="Times New Roman" w:cs="Times New Roman"/>
          <w:color w:val="000000" w:themeColor="text1"/>
          <w:sz w:val="24"/>
          <w:szCs w:val="24"/>
        </w:rPr>
      </w:pPr>
      <w:r w:rsidRPr="0012317D">
        <w:rPr>
          <w:rFonts w:ascii="Times New Roman" w:hAnsi="Times New Roman" w:cs="Times New Roman"/>
          <w:b/>
          <w:bCs/>
          <w:color w:val="000000" w:themeColor="text1"/>
          <w:sz w:val="24"/>
          <w:szCs w:val="24"/>
        </w:rPr>
        <w:t>(2011.-2016.)</w:t>
      </w:r>
    </w:p>
    <w:p w14:paraId="011B5A96" w14:textId="77777777" w:rsidR="00016DF0" w:rsidRPr="00847710" w:rsidRDefault="00016DF0" w:rsidP="00016DF0">
      <w:pPr>
        <w:shd w:val="clear" w:color="auto" w:fill="FFFFFF"/>
        <w:jc w:val="center"/>
        <w:rPr>
          <w:rFonts w:ascii="Times New Roman" w:hAnsi="Times New Roman" w:cs="Times New Roman"/>
          <w:color w:val="000000" w:themeColor="text1"/>
          <w:sz w:val="24"/>
        </w:rPr>
      </w:pPr>
      <w:r w:rsidRPr="00847710">
        <w:rPr>
          <w:rFonts w:ascii="Times New Roman" w:hAnsi="Times New Roman" w:cs="Times New Roman"/>
          <w:noProof/>
          <w:color w:val="000000" w:themeColor="text1"/>
          <w:sz w:val="24"/>
        </w:rPr>
        <w:drawing>
          <wp:inline distT="0" distB="0" distL="0" distR="0" wp14:anchorId="4DBAA322" wp14:editId="3CE19A0D">
            <wp:extent cx="4867275" cy="3419475"/>
            <wp:effectExtent l="0" t="0" r="9525" b="9525"/>
            <wp:docPr id="6" name="Chart 6">
              <a:extLst xmlns:a="http://schemas.openxmlformats.org/drawingml/2006/main">
                <a:ext uri="{FF2B5EF4-FFF2-40B4-BE49-F238E27FC236}">
                  <a16:creationId xmlns:a16="http://schemas.microsoft.com/office/drawing/2014/main" id="{2903E2D3-771D-4598-9D10-F189557F2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6ED7F4" w14:textId="77777777" w:rsidR="00016DF0" w:rsidRPr="00847710" w:rsidRDefault="00016DF0" w:rsidP="00D95C8E">
      <w:pPr>
        <w:shd w:val="clear" w:color="auto" w:fill="FFFFFF" w:themeFill="background1"/>
        <w:ind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lastRenderedPageBreak/>
        <w:t>HIV savlaicīga ārstēšana ir vissvarīgākais profilakses pasākums, lai samazinātu HIV izplatību sabiedrībā. Pētījumos</w:t>
      </w:r>
      <w:r w:rsidRPr="00847710">
        <w:rPr>
          <w:rFonts w:ascii="Times New Roman" w:hAnsi="Times New Roman" w:cs="Times New Roman"/>
          <w:color w:val="000000" w:themeColor="text1"/>
          <w:sz w:val="24"/>
          <w:szCs w:val="24"/>
          <w:vertAlign w:val="superscript"/>
        </w:rPr>
        <w:footnoteReference w:id="43"/>
      </w:r>
      <w:r w:rsidRPr="00847710">
        <w:rPr>
          <w:rFonts w:ascii="Times New Roman" w:hAnsi="Times New Roman" w:cs="Times New Roman"/>
          <w:color w:val="000000" w:themeColor="text1"/>
          <w:sz w:val="24"/>
          <w:szCs w:val="24"/>
        </w:rPr>
        <w:t xml:space="preserve"> ir pierādīts, ka uzsākot agrīnu HIV ārstēšanu un samazinot vīrusa šūnu skaitu cilvēka organismā līdz minimumam, HIV inficētais vairs nevar inficēt apkārtējos, tādējādi samazinot infekcijas izplatības risku par 20%. Pētījumi</w:t>
      </w:r>
      <w:r w:rsidRPr="00847710">
        <w:rPr>
          <w:rFonts w:ascii="Times New Roman" w:hAnsi="Times New Roman" w:cs="Times New Roman"/>
          <w:color w:val="000000" w:themeColor="text1"/>
          <w:sz w:val="24"/>
          <w:szCs w:val="24"/>
          <w:vertAlign w:val="superscript"/>
        </w:rPr>
        <w:footnoteReference w:id="44"/>
      </w:r>
      <w:r w:rsidRPr="00847710">
        <w:rPr>
          <w:rFonts w:ascii="Times New Roman" w:hAnsi="Times New Roman" w:cs="Times New Roman"/>
          <w:color w:val="000000" w:themeColor="text1"/>
          <w:sz w:val="24"/>
          <w:szCs w:val="24"/>
        </w:rPr>
        <w:t xml:space="preserve"> arī pierāda, ka bez ARV terapijas 100 inficēti cilvēki gada laikā inficē vēl 12 cilvēkus. Tādēļ viens no svarīgākajiem pasākumiem HIV izplatības samazināšanā ir nodrošināt pēc iespējas agrīnāku HIV inficēto personu ārstēšanu, nodrošinot ārstēšanu apmēram 90% no HIV  inficētām personām. Latvijā šobrīd ARV terapiju saņem ap 38% no HIV inficētām personām. Latvijā 2017.gada 1.septembrī bija 5431 dzīvas HIV inficētas personas, no kurām 2081 saņēma ARV. Līdz ar to varam secināt, ka pastāv risks, ka gada laikā var tikt inficētas vairāk kā 400 jaunas personas, kas arī atbilst pašreizējām saslimstības tendencēm. Papildus jāņem vērā, ka šobrīd HIV infekcija Latvijā izplatās heteroseksuālā ceļā, kas nozīmē, ka pieaug risks ar HIV inficēties sievietēm reproduktīvā vecumā, kā rezultātā ir risks pārnest infekciju no mātes jaundzimušajam. Katru gadu Latvijā tiek atklāti vairāki HIV infekcijas gadījumi bērniem, kas ir inficējušies no mātes.</w:t>
      </w:r>
    </w:p>
    <w:p w14:paraId="645F6C9A" w14:textId="3CF80924" w:rsidR="00DB633F" w:rsidRPr="00847710" w:rsidRDefault="00016DF0" w:rsidP="00D95C8E">
      <w:pPr>
        <w:shd w:val="clear" w:color="auto" w:fill="FFFFFF" w:themeFill="background1"/>
        <w:ind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 2017.gada 31.oktobrī</w:t>
      </w:r>
      <w:r w:rsidRPr="00847710">
        <w:rPr>
          <w:rFonts w:ascii="Times New Roman" w:hAnsi="Times New Roman" w:cs="Times New Roman"/>
          <w:color w:val="000000" w:themeColor="text1"/>
          <w:sz w:val="24"/>
        </w:rPr>
        <w:tab/>
      </w:r>
      <w:r w:rsidRPr="00847710">
        <w:rPr>
          <w:rFonts w:ascii="Times New Roman" w:hAnsi="Times New Roman" w:cs="Times New Roman"/>
          <w:color w:val="000000" w:themeColor="text1"/>
          <w:sz w:val="24"/>
          <w:szCs w:val="24"/>
        </w:rPr>
        <w:t xml:space="preserve"> ar Ministru kabineta rīkojums Nr.630 (prot. Nr.53 27.§) tika apstiprināts rīcības plāns “HIV infekcijas, seksuālās transmisijas infekciju, B un C hepatīta izplatības ierobežošanas rīcības plāns 2018.–2020. gadam”. Tā ietvaros no 2018.gada ir paredzēts uzlabot HIV ambulatorai ārstēšanai nepieciešamo zāļu pieejamību, nodrošinot HIV terapiju no CD4 500 šūnām. 2018.gadā tiek plānots nodrošināt HIV terapijas uzsākšanu 200 jauniem pacientiem, nodrošināt ārstēšanu vismaz 500 HIV/AIDS pacientiem ar pavadošajām saslimšanām. Lai nodrošinātu finanšu resursu deficīta segšanu uz HIV pacientu pieauguma rēķina tiek plānots 2018.gadā ārstēt 800 HIV pacientus, 2019.gadā - 1320 pacientus, 2020.gadā - 1840 pacientus. 2018.gadā HIV/AIDS terapijas nodrošināšanai nepieciešami 4 203 000 e</w:t>
      </w:r>
      <w:r w:rsidR="00A21D66" w:rsidRPr="00847710">
        <w:rPr>
          <w:rFonts w:ascii="Times New Roman" w:hAnsi="Times New Roman" w:cs="Times New Roman"/>
          <w:color w:val="000000" w:themeColor="text1"/>
          <w:sz w:val="24"/>
          <w:szCs w:val="24"/>
        </w:rPr>
        <w:t>u</w:t>
      </w:r>
      <w:r w:rsidRPr="00847710">
        <w:rPr>
          <w:rFonts w:ascii="Times New Roman" w:hAnsi="Times New Roman" w:cs="Times New Roman"/>
          <w:color w:val="000000" w:themeColor="text1"/>
          <w:sz w:val="24"/>
          <w:szCs w:val="24"/>
        </w:rPr>
        <w:t xml:space="preserve">ro, paredzot </w:t>
      </w:r>
      <w:r w:rsidR="00A21D66" w:rsidRPr="00847710">
        <w:rPr>
          <w:rFonts w:ascii="Times New Roman" w:hAnsi="Times New Roman" w:cs="Times New Roman"/>
          <w:color w:val="000000" w:themeColor="text1"/>
          <w:sz w:val="24"/>
          <w:szCs w:val="24"/>
        </w:rPr>
        <w:t xml:space="preserve">vienam </w:t>
      </w:r>
      <w:r w:rsidRPr="00847710">
        <w:rPr>
          <w:rFonts w:ascii="Times New Roman" w:hAnsi="Times New Roman" w:cs="Times New Roman"/>
          <w:color w:val="000000" w:themeColor="text1"/>
          <w:sz w:val="24"/>
          <w:szCs w:val="24"/>
        </w:rPr>
        <w:t xml:space="preserve">HIV pacientam ārstēšanas izmaksas 4 100 </w:t>
      </w:r>
      <w:r w:rsidR="00A21D66" w:rsidRPr="00847710">
        <w:rPr>
          <w:rFonts w:ascii="Times New Roman" w:hAnsi="Times New Roman" w:cs="Times New Roman"/>
          <w:color w:val="000000" w:themeColor="text1"/>
          <w:sz w:val="24"/>
          <w:szCs w:val="24"/>
        </w:rPr>
        <w:t xml:space="preserve">euro </w:t>
      </w:r>
      <w:r w:rsidRPr="00847710">
        <w:rPr>
          <w:rFonts w:ascii="Times New Roman" w:hAnsi="Times New Roman" w:cs="Times New Roman"/>
          <w:color w:val="000000" w:themeColor="text1"/>
          <w:sz w:val="24"/>
          <w:szCs w:val="24"/>
        </w:rPr>
        <w:t xml:space="preserve">gadā. </w:t>
      </w:r>
    </w:p>
    <w:p w14:paraId="09873C09" w14:textId="77777777" w:rsidR="00847710" w:rsidRPr="00847710" w:rsidRDefault="00847710">
      <w:pPr>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br w:type="page"/>
      </w:r>
    </w:p>
    <w:p w14:paraId="4A8015B3" w14:textId="1D5C926B" w:rsidR="00585C92" w:rsidRPr="00847710" w:rsidRDefault="00DB633F" w:rsidP="00DB633F">
      <w:pPr>
        <w:shd w:val="clear" w:color="auto" w:fill="FFFFFF" w:themeFill="background1"/>
        <w:ind w:firstLine="720"/>
        <w:jc w:val="right"/>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lastRenderedPageBreak/>
        <w:t>2</w:t>
      </w:r>
      <w:r w:rsidR="00DE3C94">
        <w:rPr>
          <w:rFonts w:ascii="Times New Roman" w:hAnsi="Times New Roman" w:cs="Times New Roman"/>
          <w:i/>
          <w:iCs/>
          <w:color w:val="000000" w:themeColor="text1"/>
          <w:sz w:val="24"/>
          <w:szCs w:val="24"/>
        </w:rPr>
        <w:t>6</w:t>
      </w:r>
      <w:r w:rsidR="00585C92" w:rsidRPr="57326167">
        <w:rPr>
          <w:rFonts w:ascii="Times New Roman" w:hAnsi="Times New Roman" w:cs="Times New Roman"/>
          <w:i/>
          <w:iCs/>
          <w:color w:val="000000" w:themeColor="text1"/>
          <w:sz w:val="24"/>
          <w:szCs w:val="24"/>
        </w:rPr>
        <w:t>.tabula</w:t>
      </w:r>
    </w:p>
    <w:p w14:paraId="3BD647CB" w14:textId="7A19CAA5" w:rsidR="00016DF0" w:rsidRPr="00C86312" w:rsidRDefault="00016DF0" w:rsidP="00C86312">
      <w:pPr>
        <w:shd w:val="clear" w:color="auto" w:fill="FFFFFF" w:themeFill="background1"/>
        <w:spacing w:after="0"/>
        <w:jc w:val="center"/>
        <w:rPr>
          <w:rFonts w:ascii="Times New Roman" w:hAnsi="Times New Roman" w:cs="Times New Roman"/>
          <w:b/>
          <w:bCs/>
          <w:color w:val="000000" w:themeColor="text1"/>
          <w:sz w:val="24"/>
          <w:szCs w:val="24"/>
        </w:rPr>
      </w:pPr>
      <w:r w:rsidRPr="0012317D">
        <w:rPr>
          <w:rFonts w:ascii="Times New Roman" w:hAnsi="Times New Roman" w:cs="Times New Roman"/>
          <w:b/>
          <w:bCs/>
          <w:color w:val="000000" w:themeColor="text1"/>
          <w:sz w:val="24"/>
          <w:szCs w:val="24"/>
        </w:rPr>
        <w:t xml:space="preserve">Plānotais ārstēto HIV/AIDS pacientu skaits un to ārstēšanas izmaksas </w:t>
      </w:r>
    </w:p>
    <w:p w14:paraId="268D11DC" w14:textId="2F5F2C05" w:rsidR="00016DF0" w:rsidRPr="00C86312" w:rsidRDefault="00020012" w:rsidP="00C86312">
      <w:pPr>
        <w:shd w:val="clear" w:color="auto" w:fill="FFFFFF" w:themeFill="background1"/>
        <w:spacing w:after="0"/>
        <w:jc w:val="center"/>
        <w:rPr>
          <w:rFonts w:ascii="Times New Roman" w:hAnsi="Times New Roman" w:cs="Times New Roman"/>
          <w:b/>
          <w:bCs/>
          <w:color w:val="000000" w:themeColor="text1"/>
          <w:sz w:val="24"/>
          <w:szCs w:val="24"/>
        </w:rPr>
      </w:pPr>
      <w:r w:rsidRPr="0012317D">
        <w:rPr>
          <w:rFonts w:ascii="Times New Roman" w:hAnsi="Times New Roman" w:cs="Times New Roman"/>
          <w:b/>
          <w:bCs/>
          <w:color w:val="000000" w:themeColor="text1"/>
          <w:sz w:val="24"/>
          <w:szCs w:val="24"/>
        </w:rPr>
        <w:t>2</w:t>
      </w:r>
      <w:r w:rsidR="00016DF0" w:rsidRPr="00901A9F">
        <w:rPr>
          <w:rFonts w:ascii="Times New Roman" w:hAnsi="Times New Roman" w:cs="Times New Roman"/>
          <w:b/>
          <w:bCs/>
          <w:color w:val="000000" w:themeColor="text1"/>
          <w:sz w:val="24"/>
          <w:szCs w:val="24"/>
        </w:rPr>
        <w:t>018.gadam</w:t>
      </w:r>
    </w:p>
    <w:tbl>
      <w:tblPr>
        <w:tblW w:w="11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39"/>
        <w:gridCol w:w="1134"/>
        <w:gridCol w:w="1275"/>
        <w:gridCol w:w="1418"/>
        <w:gridCol w:w="1276"/>
        <w:gridCol w:w="1134"/>
        <w:gridCol w:w="1042"/>
        <w:gridCol w:w="1272"/>
      </w:tblGrid>
      <w:tr w:rsidR="001C773D" w:rsidRPr="00847710" w14:paraId="59630365" w14:textId="77777777" w:rsidTr="00C86312">
        <w:trPr>
          <w:cantSplit/>
          <w:trHeight w:val="1656"/>
          <w:jc w:val="center"/>
        </w:trPr>
        <w:tc>
          <w:tcPr>
            <w:tcW w:w="450" w:type="dxa"/>
            <w:shd w:val="clear" w:color="auto" w:fill="E36C0A" w:themeFill="accent6" w:themeFillShade="BF"/>
          </w:tcPr>
          <w:p w14:paraId="07172FC6" w14:textId="77777777" w:rsidR="001C773D" w:rsidRPr="00847710" w:rsidRDefault="001C773D" w:rsidP="00DD0254">
            <w:pPr>
              <w:spacing w:after="0" w:line="240" w:lineRule="auto"/>
              <w:rPr>
                <w:rFonts w:ascii="Times New Roman" w:eastAsia="Times New Roman" w:hAnsi="Times New Roman" w:cs="Times New Roman"/>
                <w:b/>
                <w:bCs/>
                <w:sz w:val="20"/>
                <w:szCs w:val="20"/>
                <w:lang w:eastAsia="lv-LV"/>
              </w:rPr>
            </w:pPr>
          </w:p>
        </w:tc>
        <w:tc>
          <w:tcPr>
            <w:tcW w:w="2239" w:type="dxa"/>
            <w:shd w:val="clear" w:color="auto" w:fill="E36C0A" w:themeFill="accent6" w:themeFillShade="BF"/>
            <w:vAlign w:val="center"/>
            <w:hideMark/>
          </w:tcPr>
          <w:p w14:paraId="1F907CE6" w14:textId="77777777" w:rsidR="001C773D" w:rsidRPr="00847710" w:rsidRDefault="001C773D" w:rsidP="00DD0254">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A" w:themeFill="accent6" w:themeFillShade="BF"/>
            <w:textDirection w:val="btLr"/>
            <w:vAlign w:val="center"/>
            <w:hideMark/>
          </w:tcPr>
          <w:p w14:paraId="05143F5A" w14:textId="77777777" w:rsidR="001C773D" w:rsidRPr="00847710" w:rsidRDefault="001C773D" w:rsidP="00DD025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74CF1138" w14:textId="77777777" w:rsidR="001C773D" w:rsidRPr="00847710" w:rsidRDefault="001C773D" w:rsidP="00DD025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46D49405" w14:textId="77777777" w:rsidR="001C773D" w:rsidRPr="00847710" w:rsidRDefault="001C773D" w:rsidP="00DD0254">
            <w:pPr>
              <w:spacing w:after="0" w:line="240" w:lineRule="auto"/>
              <w:ind w:left="113" w:right="113"/>
              <w:jc w:val="center"/>
              <w:rPr>
                <w:rFonts w:ascii="Times New Roman" w:eastAsia="Times New Roman" w:hAnsi="Times New Roman" w:cs="Times New Roman"/>
                <w:b/>
                <w:bCs/>
                <w:sz w:val="20"/>
                <w:szCs w:val="20"/>
                <w:lang w:eastAsia="lv-LV"/>
              </w:rPr>
            </w:pPr>
          </w:p>
        </w:tc>
        <w:tc>
          <w:tcPr>
            <w:tcW w:w="2693" w:type="dxa"/>
            <w:gridSpan w:val="2"/>
            <w:shd w:val="clear" w:color="auto" w:fill="E36C0A" w:themeFill="accent6" w:themeFillShade="BF"/>
            <w:textDirection w:val="btLr"/>
            <w:vAlign w:val="center"/>
            <w:hideMark/>
          </w:tcPr>
          <w:p w14:paraId="643F5543" w14:textId="77777777" w:rsidR="001C773D" w:rsidRPr="00847710" w:rsidRDefault="001C773D" w:rsidP="00DD025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76" w:type="dxa"/>
            <w:shd w:val="clear" w:color="auto" w:fill="E36C0A" w:themeFill="accent6" w:themeFillShade="BF"/>
            <w:textDirection w:val="btLr"/>
            <w:vAlign w:val="center"/>
            <w:hideMark/>
          </w:tcPr>
          <w:p w14:paraId="6CB6D62F" w14:textId="77777777" w:rsidR="001C773D" w:rsidRPr="00847710" w:rsidRDefault="001C773D" w:rsidP="00DD025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176" w:type="dxa"/>
            <w:gridSpan w:val="2"/>
            <w:shd w:val="clear" w:color="auto" w:fill="E36C0A" w:themeFill="accent6" w:themeFillShade="BF"/>
            <w:textDirection w:val="btLr"/>
            <w:vAlign w:val="center"/>
          </w:tcPr>
          <w:p w14:paraId="3D43CA07" w14:textId="77777777" w:rsidR="001C773D" w:rsidRPr="00847710" w:rsidRDefault="001C773D" w:rsidP="00DD025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A" w:themeFill="accent6" w:themeFillShade="BF"/>
            <w:textDirection w:val="btLr"/>
            <w:vAlign w:val="center"/>
            <w:hideMark/>
          </w:tcPr>
          <w:p w14:paraId="6CAA393E" w14:textId="77777777" w:rsidR="001C773D" w:rsidRPr="00847710" w:rsidRDefault="001C773D" w:rsidP="00DD025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AB6A87" w:rsidRPr="00847710" w14:paraId="5E2E97C4" w14:textId="77777777" w:rsidTr="00C86312">
        <w:trPr>
          <w:trHeight w:val="640"/>
          <w:jc w:val="center"/>
        </w:trPr>
        <w:tc>
          <w:tcPr>
            <w:tcW w:w="450" w:type="dxa"/>
            <w:shd w:val="clear" w:color="auto" w:fill="FABF8F" w:themeFill="accent6" w:themeFillTint="99"/>
          </w:tcPr>
          <w:p w14:paraId="46862DE8" w14:textId="77777777" w:rsidR="001C773D" w:rsidRPr="00847710" w:rsidRDefault="001C773D" w:rsidP="00DD0254">
            <w:pPr>
              <w:spacing w:after="0" w:line="240" w:lineRule="auto"/>
              <w:jc w:val="center"/>
              <w:rPr>
                <w:rFonts w:ascii="Times New Roman" w:eastAsia="Times New Roman" w:hAnsi="Times New Roman" w:cs="Times New Roman"/>
                <w:b/>
                <w:bCs/>
                <w:sz w:val="20"/>
                <w:szCs w:val="20"/>
                <w:lang w:eastAsia="lv-LV"/>
              </w:rPr>
            </w:pPr>
          </w:p>
        </w:tc>
        <w:tc>
          <w:tcPr>
            <w:tcW w:w="2239" w:type="dxa"/>
            <w:shd w:val="clear" w:color="auto" w:fill="FABF8F" w:themeFill="accent6" w:themeFillTint="99"/>
            <w:vAlign w:val="center"/>
          </w:tcPr>
          <w:p w14:paraId="249BEC8F" w14:textId="77777777" w:rsidR="001C773D" w:rsidRPr="00847710" w:rsidRDefault="001C773D" w:rsidP="00DD0254">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0CCEE42C" w14:textId="77777777" w:rsidR="001C773D" w:rsidRPr="00847710" w:rsidRDefault="001C773D" w:rsidP="00DD0254">
            <w:pPr>
              <w:spacing w:after="0" w:line="240" w:lineRule="auto"/>
              <w:jc w:val="center"/>
              <w:rPr>
                <w:rFonts w:ascii="Times New Roman" w:eastAsia="Times New Roman" w:hAnsi="Times New Roman" w:cs="Times New Roman"/>
                <w:i/>
                <w:iCs/>
                <w:sz w:val="20"/>
                <w:szCs w:val="20"/>
                <w:lang w:eastAsia="lv-LV"/>
              </w:rPr>
            </w:pPr>
          </w:p>
          <w:p w14:paraId="781424A1" w14:textId="77777777" w:rsidR="001C773D" w:rsidRPr="00847710" w:rsidRDefault="001C773D" w:rsidP="00DD0254">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275" w:type="dxa"/>
            <w:shd w:val="clear" w:color="auto" w:fill="FABF8F" w:themeFill="accent6" w:themeFillTint="99"/>
            <w:vAlign w:val="center"/>
          </w:tcPr>
          <w:p w14:paraId="37CE1A9E" w14:textId="77777777" w:rsidR="001C773D" w:rsidRPr="00847710" w:rsidRDefault="001C773D" w:rsidP="00DD025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14:paraId="78DFE90D" w14:textId="77777777" w:rsidR="001C773D" w:rsidRPr="00847710" w:rsidRDefault="001C773D" w:rsidP="00DD0254">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418" w:type="dxa"/>
            <w:shd w:val="clear" w:color="auto" w:fill="FABF8F" w:themeFill="accent6" w:themeFillTint="99"/>
            <w:vAlign w:val="center"/>
          </w:tcPr>
          <w:p w14:paraId="40FC86C4" w14:textId="77777777" w:rsidR="001C773D" w:rsidRPr="00847710" w:rsidRDefault="001C773D" w:rsidP="00DD025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14:paraId="32CAEE89" w14:textId="77777777" w:rsidR="001C773D" w:rsidRPr="00847710" w:rsidRDefault="001C773D" w:rsidP="00DD0254">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76" w:type="dxa"/>
            <w:shd w:val="clear" w:color="auto" w:fill="FABF8F" w:themeFill="accent6" w:themeFillTint="99"/>
            <w:vAlign w:val="center"/>
          </w:tcPr>
          <w:p w14:paraId="2E2DD5BD" w14:textId="77777777" w:rsidR="001C773D" w:rsidRPr="00C86312" w:rsidRDefault="001C773D"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2018</w:t>
            </w:r>
          </w:p>
          <w:p w14:paraId="2F6D7094" w14:textId="77777777" w:rsidR="001C773D" w:rsidRPr="00C86312" w:rsidRDefault="001C773D" w:rsidP="00C8631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FABF8F" w:themeFill="accent6" w:themeFillTint="99"/>
            <w:vAlign w:val="center"/>
          </w:tcPr>
          <w:p w14:paraId="1484AB18" w14:textId="77777777" w:rsidR="001C773D" w:rsidRPr="00847710" w:rsidRDefault="001C773D" w:rsidP="00DD025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042" w:type="dxa"/>
            <w:shd w:val="clear" w:color="auto" w:fill="FABF8F" w:themeFill="accent6" w:themeFillTint="99"/>
            <w:vAlign w:val="center"/>
          </w:tcPr>
          <w:p w14:paraId="40A47C94" w14:textId="77777777" w:rsidR="001C773D" w:rsidRPr="00847710" w:rsidRDefault="001C773D" w:rsidP="00DD025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BF8F" w:themeFill="accent6" w:themeFillTint="99"/>
            <w:vAlign w:val="center"/>
          </w:tcPr>
          <w:p w14:paraId="014C10D6" w14:textId="77777777" w:rsidR="001C773D" w:rsidRPr="00847710" w:rsidRDefault="001C773D" w:rsidP="00DD025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rsidR="000D2789" w:rsidRPr="00847710" w14:paraId="1AF9D029" w14:textId="77777777" w:rsidTr="00C86312">
        <w:trPr>
          <w:trHeight w:val="525"/>
          <w:jc w:val="center"/>
        </w:trPr>
        <w:tc>
          <w:tcPr>
            <w:tcW w:w="450" w:type="dxa"/>
            <w:tcBorders>
              <w:top w:val="single" w:sz="4" w:space="0" w:color="auto"/>
              <w:left w:val="single" w:sz="4" w:space="0" w:color="auto"/>
              <w:bottom w:val="single" w:sz="4" w:space="0" w:color="auto"/>
              <w:right w:val="single" w:sz="4" w:space="0" w:color="auto"/>
            </w:tcBorders>
          </w:tcPr>
          <w:p w14:paraId="3C81129F" w14:textId="77777777" w:rsidR="000D2789" w:rsidRPr="00847710" w:rsidRDefault="000D2789" w:rsidP="000D2789">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2239" w:type="dxa"/>
            <w:tcBorders>
              <w:top w:val="single" w:sz="4" w:space="0" w:color="auto"/>
              <w:left w:val="single" w:sz="4" w:space="0" w:color="auto"/>
              <w:bottom w:val="single" w:sz="4" w:space="0" w:color="auto"/>
              <w:right w:val="single" w:sz="4" w:space="0" w:color="auto"/>
            </w:tcBorders>
            <w:vAlign w:val="bottom"/>
            <w:hideMark/>
          </w:tcPr>
          <w:p w14:paraId="3EB42997" w14:textId="16868532" w:rsidR="000D2789" w:rsidRPr="00847710" w:rsidRDefault="000D2789" w:rsidP="000D2789">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HIV terapija (no CD4 500 šūnām)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C58CE" w14:textId="16A93448" w:rsidR="000D2789" w:rsidRPr="00847710" w:rsidRDefault="007E2BB2"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4 100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78D3D" w14:textId="0FD8F1F5" w:rsidR="000D2789" w:rsidRPr="00847710" w:rsidRDefault="006F635A"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20BB0" w14:textId="1F117576" w:rsidR="000D2789" w:rsidRPr="00847710" w:rsidRDefault="006F635A"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7576C" w14:textId="18A85668" w:rsidR="000D2789" w:rsidRPr="00847710" w:rsidRDefault="000D2789"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820 000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501A712" w14:textId="67100820" w:rsidR="000D2789" w:rsidRPr="00C86312" w:rsidRDefault="006F635A"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w:t>
            </w:r>
          </w:p>
        </w:tc>
        <w:tc>
          <w:tcPr>
            <w:tcW w:w="1042" w:type="dxa"/>
            <w:tcBorders>
              <w:top w:val="single" w:sz="4" w:space="0" w:color="auto"/>
              <w:left w:val="single" w:sz="4" w:space="0" w:color="auto"/>
              <w:bottom w:val="single" w:sz="4" w:space="0" w:color="auto"/>
              <w:right w:val="single" w:sz="4" w:space="0" w:color="auto"/>
            </w:tcBorders>
            <w:vAlign w:val="bottom"/>
          </w:tcPr>
          <w:p w14:paraId="6B733966" w14:textId="29BE3BD8" w:rsidR="000D2789" w:rsidRPr="00C86312" w:rsidRDefault="000A7972"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w:t>
            </w:r>
          </w:p>
        </w:tc>
        <w:tc>
          <w:tcPr>
            <w:tcW w:w="1272" w:type="dxa"/>
            <w:tcBorders>
              <w:top w:val="single" w:sz="4" w:space="0" w:color="auto"/>
              <w:left w:val="single" w:sz="4" w:space="0" w:color="auto"/>
              <w:bottom w:val="single" w:sz="4" w:space="0" w:color="auto"/>
              <w:right w:val="single" w:sz="4" w:space="0" w:color="auto"/>
            </w:tcBorders>
            <w:noWrap/>
            <w:vAlign w:val="bottom"/>
          </w:tcPr>
          <w:p w14:paraId="3E6DF26B" w14:textId="6BF7E716" w:rsidR="000D2789" w:rsidRPr="00C86312" w:rsidRDefault="000D2789"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200</w:t>
            </w:r>
          </w:p>
        </w:tc>
      </w:tr>
      <w:tr w:rsidR="000D2789" w:rsidRPr="00847710" w14:paraId="47015304" w14:textId="77777777" w:rsidTr="00C86312">
        <w:trPr>
          <w:trHeight w:val="525"/>
          <w:jc w:val="center"/>
        </w:trPr>
        <w:tc>
          <w:tcPr>
            <w:tcW w:w="450" w:type="dxa"/>
            <w:tcBorders>
              <w:top w:val="single" w:sz="4" w:space="0" w:color="auto"/>
              <w:left w:val="single" w:sz="4" w:space="0" w:color="auto"/>
              <w:bottom w:val="single" w:sz="4" w:space="0" w:color="auto"/>
              <w:right w:val="single" w:sz="4" w:space="0" w:color="auto"/>
            </w:tcBorders>
          </w:tcPr>
          <w:p w14:paraId="2254A351" w14:textId="152BA6FC" w:rsidR="000D2789" w:rsidRPr="00847710" w:rsidRDefault="000D2789" w:rsidP="000D2789">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2239" w:type="dxa"/>
            <w:tcBorders>
              <w:top w:val="single" w:sz="4" w:space="0" w:color="auto"/>
              <w:left w:val="single" w:sz="4" w:space="0" w:color="auto"/>
              <w:bottom w:val="single" w:sz="4" w:space="0" w:color="auto"/>
              <w:right w:val="single" w:sz="4" w:space="0" w:color="auto"/>
            </w:tcBorders>
            <w:vAlign w:val="bottom"/>
          </w:tcPr>
          <w:p w14:paraId="240A1A6B" w14:textId="41B08437" w:rsidR="000D2789" w:rsidRPr="00847710" w:rsidRDefault="000D2789" w:rsidP="000D2789">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HIV terapija (pacientu skaita pieaugums)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432FE" w14:textId="2EA8C8D0" w:rsidR="000D2789" w:rsidRPr="00847710" w:rsidRDefault="007E2BB2"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4 100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515FC" w14:textId="5A2C7C16" w:rsidR="000D2789" w:rsidRPr="00847710" w:rsidRDefault="008E6745"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9 651 065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94AF9" w14:textId="09E5C8AF" w:rsidR="000D2789" w:rsidRPr="00847710" w:rsidRDefault="008E6745"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9 651 065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E17E9" w14:textId="39BCDB52" w:rsidR="000D2789" w:rsidRPr="00847710" w:rsidRDefault="000D2789"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3 280 000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1981D3C" w14:textId="78FCAE3A" w:rsidR="000D2789" w:rsidRPr="00C86312" w:rsidRDefault="006F635A"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w:t>
            </w:r>
            <w:r w:rsidR="000A7972" w:rsidRPr="00901A9F">
              <w:rPr>
                <w:rFonts w:ascii="Times New Roman" w:eastAsia="Times New Roman" w:hAnsi="Times New Roman" w:cs="Times New Roman"/>
                <w:b/>
                <w:bCs/>
                <w:sz w:val="20"/>
                <w:szCs w:val="20"/>
                <w:lang w:eastAsia="lv-LV"/>
              </w:rPr>
              <w:t xml:space="preserve"> </w:t>
            </w:r>
            <w:r w:rsidRPr="0078794A">
              <w:rPr>
                <w:rFonts w:ascii="Times New Roman" w:eastAsia="Times New Roman" w:hAnsi="Times New Roman" w:cs="Times New Roman"/>
                <w:b/>
                <w:bCs/>
                <w:sz w:val="20"/>
                <w:szCs w:val="20"/>
                <w:lang w:eastAsia="lv-LV"/>
              </w:rPr>
              <w:t>832</w:t>
            </w:r>
          </w:p>
        </w:tc>
        <w:tc>
          <w:tcPr>
            <w:tcW w:w="1042" w:type="dxa"/>
            <w:tcBorders>
              <w:top w:val="single" w:sz="4" w:space="0" w:color="auto"/>
              <w:left w:val="single" w:sz="4" w:space="0" w:color="auto"/>
              <w:bottom w:val="single" w:sz="4" w:space="0" w:color="auto"/>
              <w:right w:val="single" w:sz="4" w:space="0" w:color="auto"/>
            </w:tcBorders>
            <w:vAlign w:val="bottom"/>
          </w:tcPr>
          <w:p w14:paraId="73A66D98" w14:textId="5ACF7C9F" w:rsidR="000D2789" w:rsidRPr="00C86312" w:rsidRDefault="000A7972"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2 8</w:t>
            </w:r>
            <w:r w:rsidR="006F635A" w:rsidRPr="00901A9F">
              <w:rPr>
                <w:rFonts w:ascii="Times New Roman" w:eastAsia="Times New Roman" w:hAnsi="Times New Roman" w:cs="Times New Roman"/>
                <w:b/>
                <w:bCs/>
                <w:color w:val="FF0000"/>
                <w:sz w:val="20"/>
                <w:szCs w:val="20"/>
                <w:lang w:eastAsia="lv-LV"/>
              </w:rPr>
              <w:t>32</w:t>
            </w:r>
          </w:p>
        </w:tc>
        <w:tc>
          <w:tcPr>
            <w:tcW w:w="1272" w:type="dxa"/>
            <w:tcBorders>
              <w:top w:val="single" w:sz="4" w:space="0" w:color="auto"/>
              <w:left w:val="single" w:sz="4" w:space="0" w:color="auto"/>
              <w:bottom w:val="single" w:sz="4" w:space="0" w:color="auto"/>
              <w:right w:val="single" w:sz="4" w:space="0" w:color="auto"/>
            </w:tcBorders>
            <w:noWrap/>
            <w:vAlign w:val="bottom"/>
          </w:tcPr>
          <w:p w14:paraId="52C76883" w14:textId="4B6E3640" w:rsidR="000D2789" w:rsidRPr="00C86312" w:rsidRDefault="00FB04BF" w:rsidP="00C86312">
            <w:pPr>
              <w:spacing w:after="0" w:line="240" w:lineRule="auto"/>
              <w:jc w:val="center"/>
              <w:rPr>
                <w:rFonts w:ascii="Times New Roman" w:eastAsia="Times New Roman" w:hAnsi="Times New Roman" w:cs="Times New Roman"/>
                <w:b/>
                <w:bCs/>
                <w:color w:val="FF0000"/>
                <w:sz w:val="20"/>
                <w:szCs w:val="20"/>
                <w:highlight w:val="yellow"/>
                <w:lang w:eastAsia="lv-LV"/>
              </w:rPr>
            </w:pPr>
            <w:r w:rsidRPr="0012317D">
              <w:rPr>
                <w:rFonts w:ascii="Times New Roman" w:hAnsi="Times New Roman" w:cs="Times New Roman"/>
                <w:b/>
                <w:bCs/>
                <w:color w:val="FF0000"/>
                <w:sz w:val="20"/>
                <w:szCs w:val="20"/>
              </w:rPr>
              <w:t>3 632</w:t>
            </w:r>
          </w:p>
        </w:tc>
      </w:tr>
      <w:tr w:rsidR="000D2789" w:rsidRPr="00847710" w14:paraId="06C2AEB2" w14:textId="77777777" w:rsidTr="00C86312">
        <w:trPr>
          <w:trHeight w:val="525"/>
          <w:jc w:val="center"/>
        </w:trPr>
        <w:tc>
          <w:tcPr>
            <w:tcW w:w="450" w:type="dxa"/>
            <w:tcBorders>
              <w:top w:val="single" w:sz="4" w:space="0" w:color="auto"/>
              <w:left w:val="single" w:sz="4" w:space="0" w:color="auto"/>
              <w:bottom w:val="single" w:sz="4" w:space="0" w:color="auto"/>
              <w:right w:val="single" w:sz="4" w:space="0" w:color="auto"/>
            </w:tcBorders>
          </w:tcPr>
          <w:p w14:paraId="7CB36DD6" w14:textId="121175BE" w:rsidR="000D2789" w:rsidRPr="00847710" w:rsidRDefault="000D2789" w:rsidP="000D2789">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w:t>
            </w:r>
          </w:p>
        </w:tc>
        <w:tc>
          <w:tcPr>
            <w:tcW w:w="2239" w:type="dxa"/>
            <w:tcBorders>
              <w:top w:val="single" w:sz="4" w:space="0" w:color="auto"/>
              <w:left w:val="single" w:sz="4" w:space="0" w:color="auto"/>
              <w:bottom w:val="single" w:sz="4" w:space="0" w:color="auto"/>
              <w:right w:val="single" w:sz="4" w:space="0" w:color="auto"/>
            </w:tcBorders>
            <w:vAlign w:val="bottom"/>
          </w:tcPr>
          <w:p w14:paraId="0A89ACBF" w14:textId="7200E357" w:rsidR="000D2789" w:rsidRPr="00847710" w:rsidRDefault="000D2789" w:rsidP="000D2789">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Oportūnistisko slimību ārstēšana pacientiem ar HIV/AIDS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4D48E" w14:textId="1C0B8C67" w:rsidR="000D2789" w:rsidRPr="00847710" w:rsidRDefault="008E6745"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206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B3C20" w14:textId="19F60F2E" w:rsidR="000D2789" w:rsidRPr="00847710" w:rsidRDefault="000A7972"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E9116" w14:textId="21B9BAD0" w:rsidR="000D2789" w:rsidRPr="00847710" w:rsidRDefault="000A7972"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0BD54" w14:textId="0D0EE412" w:rsidR="000D2789" w:rsidRPr="00847710" w:rsidRDefault="000D2789"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103 000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0C0C2B" w14:textId="7C2DFFC7" w:rsidR="000D2789" w:rsidRPr="00C86312" w:rsidRDefault="000A7972"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w:t>
            </w:r>
          </w:p>
        </w:tc>
        <w:tc>
          <w:tcPr>
            <w:tcW w:w="1042" w:type="dxa"/>
            <w:tcBorders>
              <w:top w:val="single" w:sz="4" w:space="0" w:color="auto"/>
              <w:left w:val="single" w:sz="4" w:space="0" w:color="auto"/>
              <w:bottom w:val="single" w:sz="4" w:space="0" w:color="auto"/>
              <w:right w:val="single" w:sz="4" w:space="0" w:color="auto"/>
            </w:tcBorders>
            <w:vAlign w:val="bottom"/>
          </w:tcPr>
          <w:p w14:paraId="083BA07F" w14:textId="232511C1" w:rsidR="000D2789" w:rsidRPr="00C86312" w:rsidRDefault="000A7972" w:rsidP="00C86312">
            <w:pPr>
              <w:spacing w:after="0" w:line="240" w:lineRule="auto"/>
              <w:jc w:val="center"/>
              <w:rPr>
                <w:rFonts w:ascii="Times New Roman" w:eastAsia="Times New Roman" w:hAnsi="Times New Roman" w:cs="Times New Roman"/>
                <w:b/>
                <w:bCs/>
                <w:color w:val="FF0000"/>
                <w:sz w:val="20"/>
                <w:szCs w:val="20"/>
                <w:highlight w:val="yellow"/>
                <w:lang w:eastAsia="lv-LV"/>
              </w:rPr>
            </w:pPr>
            <w:r w:rsidRPr="0012317D">
              <w:rPr>
                <w:rFonts w:ascii="Times New Roman" w:eastAsia="Times New Roman" w:hAnsi="Times New Roman" w:cs="Times New Roman"/>
                <w:b/>
                <w:bCs/>
                <w:color w:val="FF0000"/>
                <w:sz w:val="20"/>
                <w:szCs w:val="20"/>
                <w:lang w:eastAsia="lv-LV"/>
              </w:rPr>
              <w:t>-</w:t>
            </w:r>
          </w:p>
        </w:tc>
        <w:tc>
          <w:tcPr>
            <w:tcW w:w="1272" w:type="dxa"/>
            <w:tcBorders>
              <w:top w:val="single" w:sz="4" w:space="0" w:color="auto"/>
              <w:left w:val="single" w:sz="4" w:space="0" w:color="auto"/>
              <w:bottom w:val="single" w:sz="4" w:space="0" w:color="auto"/>
              <w:right w:val="single" w:sz="4" w:space="0" w:color="auto"/>
            </w:tcBorders>
            <w:noWrap/>
            <w:vAlign w:val="bottom"/>
          </w:tcPr>
          <w:p w14:paraId="7288D790" w14:textId="7CB9EA77" w:rsidR="000D2789" w:rsidRPr="00C86312" w:rsidRDefault="000D2789"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500</w:t>
            </w:r>
          </w:p>
        </w:tc>
      </w:tr>
      <w:tr w:rsidR="00AB6A87" w:rsidRPr="00847710" w14:paraId="68621AD4" w14:textId="77777777" w:rsidTr="00C86312">
        <w:trPr>
          <w:trHeight w:val="296"/>
          <w:jc w:val="center"/>
        </w:trPr>
        <w:tc>
          <w:tcPr>
            <w:tcW w:w="450" w:type="dxa"/>
            <w:shd w:val="clear" w:color="auto" w:fill="FBD4B4" w:themeFill="accent6" w:themeFillTint="66"/>
          </w:tcPr>
          <w:p w14:paraId="75B48E0B" w14:textId="77777777" w:rsidR="00865058" w:rsidRPr="00847710" w:rsidRDefault="00865058" w:rsidP="00865058">
            <w:pPr>
              <w:spacing w:after="0" w:line="240" w:lineRule="auto"/>
              <w:rPr>
                <w:rFonts w:ascii="Times New Roman" w:eastAsia="Times New Roman" w:hAnsi="Times New Roman" w:cs="Times New Roman"/>
                <w:sz w:val="20"/>
                <w:szCs w:val="20"/>
                <w:lang w:eastAsia="lv-LV"/>
              </w:rPr>
            </w:pPr>
          </w:p>
        </w:tc>
        <w:tc>
          <w:tcPr>
            <w:tcW w:w="2239" w:type="dxa"/>
            <w:shd w:val="clear" w:color="auto" w:fill="FBD4B4" w:themeFill="accent6" w:themeFillTint="66"/>
            <w:vAlign w:val="bottom"/>
          </w:tcPr>
          <w:p w14:paraId="2ABA42B8" w14:textId="77777777" w:rsidR="00865058" w:rsidRPr="00847710" w:rsidRDefault="00865058" w:rsidP="00865058">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tcPr>
          <w:p w14:paraId="469E5719" w14:textId="77777777" w:rsidR="00865058" w:rsidRPr="00847710" w:rsidRDefault="00865058" w:rsidP="00865058">
            <w:pPr>
              <w:spacing w:after="0" w:line="240" w:lineRule="auto"/>
              <w:jc w:val="center"/>
              <w:rPr>
                <w:rFonts w:ascii="Times New Roman" w:eastAsia="Times New Roman" w:hAnsi="Times New Roman" w:cs="Times New Roman"/>
                <w:sz w:val="20"/>
                <w:szCs w:val="20"/>
                <w:lang w:eastAsia="lv-LV"/>
              </w:rPr>
            </w:pPr>
          </w:p>
        </w:tc>
        <w:tc>
          <w:tcPr>
            <w:tcW w:w="1275" w:type="dxa"/>
            <w:shd w:val="clear" w:color="auto" w:fill="FBD4B4" w:themeFill="accent6" w:themeFillTint="66"/>
            <w:noWrap/>
            <w:vAlign w:val="bottom"/>
          </w:tcPr>
          <w:p w14:paraId="43803425" w14:textId="3152C1F2" w:rsidR="00865058" w:rsidRPr="00847710" w:rsidRDefault="00865058" w:rsidP="00865058">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9 651 065</w:t>
            </w:r>
          </w:p>
        </w:tc>
        <w:tc>
          <w:tcPr>
            <w:tcW w:w="1418" w:type="dxa"/>
            <w:shd w:val="clear" w:color="auto" w:fill="FBD4B4" w:themeFill="accent6" w:themeFillTint="66"/>
            <w:noWrap/>
            <w:vAlign w:val="bottom"/>
          </w:tcPr>
          <w:p w14:paraId="285D5605" w14:textId="4EE728B2" w:rsidR="00865058" w:rsidRPr="00847710" w:rsidRDefault="00865058" w:rsidP="00865058">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9 651 065</w:t>
            </w:r>
          </w:p>
        </w:tc>
        <w:tc>
          <w:tcPr>
            <w:tcW w:w="1276" w:type="dxa"/>
            <w:shd w:val="clear" w:color="auto" w:fill="FBD4B4" w:themeFill="accent6" w:themeFillTint="66"/>
            <w:noWrap/>
            <w:vAlign w:val="bottom"/>
          </w:tcPr>
          <w:p w14:paraId="1FB9CAD8" w14:textId="6F1597AC" w:rsidR="00865058" w:rsidRPr="00847710" w:rsidRDefault="00865058" w:rsidP="00865058">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4 203 000</w:t>
            </w:r>
          </w:p>
        </w:tc>
        <w:tc>
          <w:tcPr>
            <w:tcW w:w="1134" w:type="dxa"/>
            <w:shd w:val="clear" w:color="auto" w:fill="FBD4B4" w:themeFill="accent6" w:themeFillTint="66"/>
            <w:vAlign w:val="bottom"/>
          </w:tcPr>
          <w:p w14:paraId="35A78FD2" w14:textId="741A30B7" w:rsidR="00865058" w:rsidRPr="00C86312" w:rsidRDefault="00865058"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2 832</w:t>
            </w:r>
          </w:p>
        </w:tc>
        <w:tc>
          <w:tcPr>
            <w:tcW w:w="1042" w:type="dxa"/>
            <w:shd w:val="clear" w:color="auto" w:fill="FBD4B4" w:themeFill="accent6" w:themeFillTint="66"/>
            <w:vAlign w:val="bottom"/>
          </w:tcPr>
          <w:p w14:paraId="78452C79" w14:textId="496ED451" w:rsidR="00865058" w:rsidRPr="00C86312" w:rsidRDefault="00865058"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2 832</w:t>
            </w:r>
          </w:p>
        </w:tc>
        <w:tc>
          <w:tcPr>
            <w:tcW w:w="1272" w:type="dxa"/>
            <w:shd w:val="clear" w:color="auto" w:fill="FBD4B4" w:themeFill="accent6" w:themeFillTint="66"/>
            <w:noWrap/>
            <w:vAlign w:val="bottom"/>
          </w:tcPr>
          <w:p w14:paraId="10C81F36" w14:textId="022F0EDA" w:rsidR="00865058" w:rsidRPr="00C86312" w:rsidRDefault="00FB04BF" w:rsidP="00C86312">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4 332</w:t>
            </w:r>
          </w:p>
        </w:tc>
      </w:tr>
    </w:tbl>
    <w:p w14:paraId="020CC0E7" w14:textId="77777777" w:rsidR="004119EB" w:rsidRPr="00847710" w:rsidRDefault="004119EB" w:rsidP="004119EB">
      <w:pPr>
        <w:ind w:firstLine="709"/>
        <w:jc w:val="both"/>
        <w:rPr>
          <w:rFonts w:ascii="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89"/>
      </w:tblGrid>
      <w:tr w:rsidR="004119EB" w:rsidRPr="00847710" w14:paraId="456BB481" w14:textId="77777777" w:rsidTr="57326167">
        <w:tc>
          <w:tcPr>
            <w:tcW w:w="9089" w:type="dxa"/>
          </w:tcPr>
          <w:p w14:paraId="3E51064E" w14:textId="475E97EE" w:rsidR="004119EB" w:rsidRPr="00C86312" w:rsidRDefault="008B4BDF">
            <w:pPr>
              <w:pStyle w:val="ListParagraph"/>
              <w:shd w:val="clear" w:color="auto" w:fill="FFFFFF" w:themeFill="background1"/>
              <w:ind w:left="0" w:firstLine="709"/>
              <w:jc w:val="both"/>
              <w:rPr>
                <w:rFonts w:ascii="Times New Roman" w:hAnsi="Times New Roman"/>
                <w:b/>
                <w:bCs/>
                <w:color w:val="000000" w:themeColor="text1"/>
                <w:sz w:val="24"/>
                <w:szCs w:val="24"/>
                <w:lang w:val="lv-LV"/>
              </w:rPr>
            </w:pPr>
            <w:r w:rsidRPr="0012317D">
              <w:rPr>
                <w:rFonts w:ascii="Times New Roman" w:hAnsi="Times New Roman"/>
                <w:b/>
                <w:bCs/>
                <w:color w:val="000000" w:themeColor="text1"/>
                <w:sz w:val="24"/>
                <w:szCs w:val="24"/>
                <w:lang w:val="lv-LV"/>
              </w:rPr>
              <w:t>Reformas rezultāts: Veicot reformu HIV pacientu ārstēšanas jomā un nodrošinot agrīnāku HIV inficēto personu ārstēšanu, tas ir , uzsākot ārstēšanu no 500 CD4 šūnām ml un katru gadu palielinot HIV inficēto personu skaitu, kas saņem ārstēšanu, samazinās HIV i</w:t>
            </w:r>
            <w:r w:rsidRPr="00901A9F">
              <w:rPr>
                <w:rFonts w:ascii="Times New Roman" w:hAnsi="Times New Roman"/>
                <w:b/>
                <w:bCs/>
                <w:color w:val="000000" w:themeColor="text1"/>
                <w:sz w:val="24"/>
                <w:szCs w:val="24"/>
                <w:lang w:val="lv-LV"/>
              </w:rPr>
              <w:t>nfekcijas izplatības riski un uzlabojas valsts epidemioloģiskā situācija un draudi sabiedrības veselībai, tiek efektīvāk izmantoti līdzekļi HIV pacientu ārstēšanai, jo tiek novērsta AIDS stadijas attīstība un novērsta HIV pavadošo slimību, tai skaitā tuber</w:t>
            </w:r>
            <w:r w:rsidRPr="0078794A">
              <w:rPr>
                <w:rFonts w:ascii="Times New Roman" w:hAnsi="Times New Roman"/>
                <w:b/>
                <w:bCs/>
                <w:color w:val="000000" w:themeColor="text1"/>
                <w:sz w:val="24"/>
                <w:szCs w:val="24"/>
                <w:lang w:val="lv-LV"/>
              </w:rPr>
              <w:t>kulozes izplatība,  tiek samazināti personu invaliditātes un darbnespējas riski.</w:t>
            </w:r>
          </w:p>
        </w:tc>
      </w:tr>
    </w:tbl>
    <w:p w14:paraId="5F96B4B1" w14:textId="77777777" w:rsidR="00FA37E8" w:rsidRPr="00847710" w:rsidRDefault="00FA37E8" w:rsidP="008079FC">
      <w:pPr>
        <w:pStyle w:val="ListParagraph"/>
        <w:shd w:val="clear" w:color="auto" w:fill="FFFFFF"/>
        <w:ind w:left="0" w:firstLine="709"/>
        <w:jc w:val="both"/>
        <w:rPr>
          <w:rFonts w:ascii="Times New Roman" w:hAnsi="Times New Roman"/>
          <w:b/>
          <w:color w:val="000000" w:themeColor="text1"/>
          <w:sz w:val="24"/>
          <w:lang w:val="lv-LV"/>
        </w:rPr>
      </w:pPr>
    </w:p>
    <w:p w14:paraId="5FF33BBC" w14:textId="1C191752" w:rsidR="005729EA" w:rsidRPr="00C86312" w:rsidRDefault="005729EA" w:rsidP="00C86312">
      <w:pPr>
        <w:pStyle w:val="Heading2"/>
        <w:numPr>
          <w:ilvl w:val="0"/>
          <w:numId w:val="30"/>
        </w:numPr>
        <w:spacing w:before="0" w:after="200"/>
        <w:jc w:val="center"/>
        <w:rPr>
          <w:rStyle w:val="Heading1Char"/>
          <w:rFonts w:ascii="Times New Roman" w:hAnsi="Times New Roman" w:cs="Times New Roman"/>
          <w:b/>
          <w:bCs/>
          <w:color w:val="auto"/>
          <w:sz w:val="24"/>
          <w:szCs w:val="24"/>
        </w:rPr>
      </w:pPr>
      <w:r w:rsidRPr="0012317D">
        <w:rPr>
          <w:rStyle w:val="Heading1Char"/>
          <w:rFonts w:ascii="Times New Roman" w:hAnsi="Times New Roman" w:cs="Times New Roman"/>
          <w:b/>
          <w:bCs/>
          <w:color w:val="auto"/>
          <w:sz w:val="24"/>
          <w:szCs w:val="24"/>
        </w:rPr>
        <w:t>Primārās veselības aprūpes sistēmas kvalitātes un pieejamības uzlabošana</w:t>
      </w:r>
    </w:p>
    <w:p w14:paraId="3CB04C6D" w14:textId="2EC55431" w:rsidR="00D85887" w:rsidRPr="00C86312" w:rsidRDefault="00D85887" w:rsidP="00C86312">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4.1. Jaunā reformas iniciatīva - ģ</w:t>
      </w:r>
      <w:r w:rsidR="00632FF0" w:rsidRPr="00901A9F">
        <w:rPr>
          <w:rFonts w:ascii="Times New Roman" w:hAnsi="Times New Roman" w:cs="Times New Roman"/>
          <w:b/>
          <w:bCs/>
          <w:color w:val="auto"/>
          <w:sz w:val="24"/>
          <w:szCs w:val="24"/>
          <w:u w:val="single"/>
        </w:rPr>
        <w:t>imenes ārstu kvalitātes sistēmas reforma</w:t>
      </w:r>
    </w:p>
    <w:p w14:paraId="67F79D89" w14:textId="7B99F3E8" w:rsidR="00ED74D4" w:rsidRPr="00847710" w:rsidRDefault="00ED74D4" w:rsidP="00F24472">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1978. gada Alma-Atas konferencē PVO  identificēja primāro veselības aprūpi kā visefektīvāko ceļu, lai iedzīvotājiem nodrošinātu veselības aprūpes pamatpakalpojumus. Kopš tā laika PVO un Pasaules Ģimenes ārstu organizācija </w:t>
      </w:r>
      <w:r w:rsidRPr="57326167">
        <w:rPr>
          <w:rFonts w:ascii="Times New Roman" w:hAnsi="Times New Roman" w:cs="Times New Roman"/>
          <w:i/>
          <w:iCs/>
          <w:sz w:val="24"/>
          <w:szCs w:val="24"/>
          <w:lang w:eastAsia="lv-LV"/>
        </w:rPr>
        <w:t>(WONCA)</w:t>
      </w:r>
      <w:r w:rsidRPr="00847710">
        <w:rPr>
          <w:rFonts w:ascii="Times New Roman" w:hAnsi="Times New Roman" w:cs="Times New Roman"/>
          <w:sz w:val="24"/>
          <w:szCs w:val="24"/>
          <w:lang w:eastAsia="lv-LV"/>
        </w:rPr>
        <w:t xml:space="preserve"> dažādās pasaules līmeņasanāksmēs ir akcentējušas primāro veselības aprūpi un ģimenes ārsta lomu indivīda un sabiedrības veselības jomā. </w:t>
      </w:r>
    </w:p>
    <w:p w14:paraId="216376C0" w14:textId="715E7C56" w:rsidR="00ED74D4" w:rsidRPr="00847710" w:rsidRDefault="00ED74D4" w:rsidP="00ED74D4">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Ģimenes ārsts spēj apvienot uz pacientu orientētu attieksmi, prasmes un visaptverošas zināšanas, kas nodrošina ikviena pacienta ārstēšanu, veselības saglabāšanu un slimību profilaksi, neskatoties uz to, vai radusies veselības problēma ir bioloģiska, psiholoģiska vai sociāla. Ģimenes ārsti darbojas kā pacienta veselības advokāti visos ar veselību saistītajos </w:t>
      </w:r>
      <w:r w:rsidRPr="00847710">
        <w:rPr>
          <w:rFonts w:ascii="Times New Roman" w:hAnsi="Times New Roman" w:cs="Times New Roman"/>
          <w:sz w:val="24"/>
          <w:szCs w:val="24"/>
          <w:lang w:eastAsia="lv-LV"/>
        </w:rPr>
        <w:lastRenderedPageBreak/>
        <w:t>jautājumos – gan koordinējot konsultācijas pie speciālistiem, gan nosūtot uz ārstēšanos slimnīcā, gan nodrošinot mājas aprūpi un iesaistot par sociālo palīdzību atbildīgos darbiniekus, ja tas ir nepieciešams.</w:t>
      </w:r>
      <w:r w:rsidRPr="00847710">
        <w:rPr>
          <w:rStyle w:val="FootnoteReference"/>
          <w:rFonts w:ascii="Times New Roman" w:hAnsi="Times New Roman" w:cs="Times New Roman"/>
          <w:sz w:val="28"/>
          <w:szCs w:val="28"/>
        </w:rPr>
        <w:footnoteReference w:id="45"/>
      </w:r>
    </w:p>
    <w:p w14:paraId="7FCF5F64" w14:textId="755EAD55" w:rsidR="00ED74D4" w:rsidRPr="00847710" w:rsidRDefault="00ED74D4" w:rsidP="00ED74D4">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Ģimenes ārsta darbība ir primārās veselības aprūpes pamats, kas balstās uz šādiem galvenajiem principiem - brīva pakalpojumu pieejamība,  ilglaicīga un nepārtraukta pacientu aprūpe, vispusīga un koordinēta pacientu aprūpe, sta un pacienta sadarbība pacienta veselības veicināšanā, slimību profilaksē un ārstnieciskajā  procesā</w:t>
      </w:r>
      <w:r w:rsidRPr="00847710">
        <w:rPr>
          <w:rStyle w:val="FootnoteReference"/>
          <w:rFonts w:ascii="Times New Roman" w:hAnsi="Times New Roman" w:cs="Times New Roman"/>
          <w:sz w:val="28"/>
          <w:szCs w:val="28"/>
        </w:rPr>
        <w:footnoteReference w:id="46"/>
      </w:r>
      <w:r w:rsidR="00D85887" w:rsidRPr="00847710">
        <w:rPr>
          <w:rFonts w:ascii="Times New Roman" w:hAnsi="Times New Roman" w:cs="Times New Roman"/>
          <w:sz w:val="24"/>
          <w:szCs w:val="24"/>
          <w:lang w:eastAsia="lv-LV"/>
        </w:rPr>
        <w:t>.</w:t>
      </w:r>
      <w:r w:rsidRPr="00847710">
        <w:rPr>
          <w:rFonts w:ascii="Times New Roman" w:hAnsi="Times New Roman" w:cs="Times New Roman"/>
          <w:sz w:val="24"/>
          <w:szCs w:val="24"/>
          <w:lang w:eastAsia="lv-LV"/>
        </w:rPr>
        <w:t xml:space="preserve"> </w:t>
      </w:r>
    </w:p>
    <w:p w14:paraId="47393DA6" w14:textId="32E3044C" w:rsidR="004B5171" w:rsidRPr="00847710" w:rsidRDefault="00ED74D4" w:rsidP="00847710">
      <w:pPr>
        <w:pStyle w:val="ListParagraph"/>
        <w:spacing w:after="0"/>
        <w:ind w:left="0" w:firstLine="709"/>
        <w:contextualSpacing w:val="0"/>
        <w:jc w:val="both"/>
        <w:rPr>
          <w:rFonts w:ascii="Times New Roman" w:hAnsi="Times New Roman"/>
          <w:sz w:val="24"/>
          <w:szCs w:val="24"/>
          <w:lang w:val="lv-LV" w:eastAsia="lv-LV"/>
        </w:rPr>
      </w:pPr>
      <w:r w:rsidRPr="00847710">
        <w:rPr>
          <w:rFonts w:ascii="Times New Roman" w:hAnsi="Times New Roman"/>
          <w:sz w:val="24"/>
          <w:szCs w:val="24"/>
          <w:lang w:val="lv-LV" w:eastAsia="lv-LV"/>
        </w:rPr>
        <w:t>Atbilstoši EHCI (Euro Health Consumer Index) datiem, Latvija 2015.gadā bija priekšpēdējā vietā attiecībā uz ģimenes ārsta pieejamību</w:t>
      </w:r>
      <w:r w:rsidRPr="00847710">
        <w:rPr>
          <w:rFonts w:ascii="Times New Roman" w:hAnsi="Times New Roman"/>
          <w:sz w:val="24"/>
          <w:szCs w:val="24"/>
          <w:vertAlign w:val="superscript"/>
          <w:lang w:val="lv-LV"/>
        </w:rPr>
        <w:footnoteReference w:id="47"/>
      </w:r>
      <w:r w:rsidR="00D85887" w:rsidRPr="00847710">
        <w:rPr>
          <w:rFonts w:ascii="Times New Roman" w:hAnsi="Times New Roman"/>
          <w:sz w:val="24"/>
          <w:szCs w:val="24"/>
          <w:lang w:val="lv-LV" w:eastAsia="lv-LV"/>
        </w:rPr>
        <w:t>.</w:t>
      </w:r>
      <w:r w:rsidR="004B5171" w:rsidRPr="00847710">
        <w:rPr>
          <w:rFonts w:ascii="Times New Roman" w:hAnsi="Times New Roman"/>
          <w:sz w:val="24"/>
          <w:szCs w:val="24"/>
          <w:lang w:val="lv-LV" w:eastAsia="lv-LV"/>
        </w:rPr>
        <w:t xml:space="preserve"> </w:t>
      </w:r>
      <w:r w:rsidR="004D4B58">
        <w:rPr>
          <w:rFonts w:ascii="Times New Roman" w:hAnsi="Times New Roman"/>
          <w:sz w:val="24"/>
          <w:szCs w:val="24"/>
          <w:lang w:val="lv-LV" w:eastAsia="lv-LV"/>
        </w:rPr>
        <w:t>Par nepietiekošu</w:t>
      </w:r>
      <w:r w:rsidR="004B5171" w:rsidRPr="00847710">
        <w:rPr>
          <w:rFonts w:ascii="Times New Roman" w:hAnsi="Times New Roman"/>
          <w:sz w:val="24"/>
          <w:szCs w:val="24"/>
          <w:lang w:val="lv-LV" w:eastAsia="lv-LV"/>
        </w:rPr>
        <w:t xml:space="preserve"> </w:t>
      </w:r>
      <w:r w:rsidR="0036244A">
        <w:rPr>
          <w:rFonts w:ascii="Times New Roman" w:hAnsi="Times New Roman"/>
          <w:sz w:val="24"/>
          <w:szCs w:val="24"/>
          <w:lang w:val="lv-LV" w:eastAsia="lv-LV"/>
        </w:rPr>
        <w:t>ģimenes ārsta pieejamību liecina arī</w:t>
      </w:r>
      <w:r w:rsidR="004D4B58" w:rsidRPr="00847710">
        <w:rPr>
          <w:rFonts w:ascii="Times New Roman" w:hAnsi="Times New Roman"/>
          <w:sz w:val="24"/>
          <w:szCs w:val="24"/>
          <w:lang w:val="lv-LV" w:eastAsia="lv-LV"/>
        </w:rPr>
        <w:t xml:space="preserve"> </w:t>
      </w:r>
      <w:r w:rsidR="004B5171" w:rsidRPr="00847710">
        <w:rPr>
          <w:rFonts w:ascii="Times New Roman" w:hAnsi="Times New Roman"/>
          <w:sz w:val="24"/>
          <w:szCs w:val="24"/>
          <w:lang w:val="lv-LV" w:eastAsia="lv-LV"/>
        </w:rPr>
        <w:t xml:space="preserve">Neatliekamās medicīniskās palīdzības (turpmāk –NMP) dienesta </w:t>
      </w:r>
      <w:r w:rsidR="0036244A">
        <w:rPr>
          <w:rFonts w:ascii="Times New Roman" w:hAnsi="Times New Roman"/>
          <w:sz w:val="24"/>
          <w:szCs w:val="24"/>
          <w:lang w:val="lv-LV" w:eastAsia="lv-LV"/>
        </w:rPr>
        <w:t>dati -</w:t>
      </w:r>
      <w:r w:rsidR="004B5171" w:rsidRPr="00847710">
        <w:rPr>
          <w:rFonts w:ascii="Times New Roman" w:hAnsi="Times New Roman"/>
          <w:sz w:val="24"/>
          <w:szCs w:val="24"/>
          <w:lang w:val="lv-LV" w:eastAsia="lv-LV"/>
        </w:rPr>
        <w:t xml:space="preserve"> 2017.gada 9 mēnešos ģimenes ārstiem tika nosūtīti  655 ziņojumi par pacientiem, kuri vairāk nekā 5 reizes mēnesī izsaukuši NMP brigādi un 101 229 ziņojumi pacientiem, pie kuriem bijusi izsaukta NMP brigāde, bet pacients nav nogādāts slimnīcā. Nepamatotu izsaukumu</w:t>
      </w:r>
      <w:r w:rsidR="004B5171" w:rsidRPr="00847710">
        <w:rPr>
          <w:rStyle w:val="FootnoteReference"/>
          <w:rFonts w:ascii="Times New Roman" w:hAnsi="Times New Roman"/>
          <w:sz w:val="24"/>
          <w:szCs w:val="24"/>
          <w:lang w:val="lv-LV" w:eastAsia="lv-LV"/>
        </w:rPr>
        <w:footnoteReference w:id="48"/>
      </w:r>
      <w:r w:rsidR="004B5171" w:rsidRPr="00847710">
        <w:rPr>
          <w:rFonts w:ascii="Times New Roman" w:hAnsi="Times New Roman"/>
          <w:sz w:val="24"/>
          <w:szCs w:val="24"/>
          <w:lang w:val="lv-LV" w:eastAsia="lv-LV"/>
        </w:rPr>
        <w:t xml:space="preserve"> īpatsvaram pēdējo 3 gadu laikā ir tendence pieaugt, un 2016.gadā tas sasniedza </w:t>
      </w:r>
      <w:r w:rsidR="0068380B" w:rsidRPr="00847710">
        <w:rPr>
          <w:rFonts w:ascii="Times New Roman" w:hAnsi="Times New Roman"/>
          <w:sz w:val="24"/>
          <w:szCs w:val="24"/>
          <w:lang w:val="lv-LV" w:eastAsia="lv-LV"/>
        </w:rPr>
        <w:t>30</w:t>
      </w:r>
      <w:r w:rsidR="004B5171" w:rsidRPr="00847710">
        <w:rPr>
          <w:rFonts w:ascii="Times New Roman" w:hAnsi="Times New Roman"/>
          <w:sz w:val="24"/>
          <w:szCs w:val="24"/>
          <w:lang w:val="lv-LV" w:eastAsia="lv-LV"/>
        </w:rPr>
        <w:t xml:space="preserve">% no visiem izsaukumiem. 2017.gada pirmajā pusgadā </w:t>
      </w:r>
      <w:r w:rsidR="00F72CA5">
        <w:rPr>
          <w:rFonts w:ascii="Times New Roman" w:hAnsi="Times New Roman"/>
          <w:sz w:val="24"/>
          <w:szCs w:val="24"/>
          <w:lang w:val="lv-LV" w:eastAsia="lv-LV"/>
        </w:rPr>
        <w:t>sekundāro izsaukumu skaits</w:t>
      </w:r>
      <w:r w:rsidR="00F72CA5" w:rsidRPr="00847710">
        <w:rPr>
          <w:rFonts w:ascii="Times New Roman" w:hAnsi="Times New Roman"/>
          <w:sz w:val="24"/>
          <w:szCs w:val="24"/>
          <w:lang w:val="lv-LV" w:eastAsia="lv-LV"/>
        </w:rPr>
        <w:t xml:space="preserve"> </w:t>
      </w:r>
      <w:r w:rsidR="004B5171" w:rsidRPr="00847710">
        <w:rPr>
          <w:rFonts w:ascii="Times New Roman" w:hAnsi="Times New Roman"/>
          <w:sz w:val="24"/>
          <w:szCs w:val="24"/>
          <w:lang w:val="lv-LV" w:eastAsia="lv-LV"/>
        </w:rPr>
        <w:t xml:space="preserve">sasniedza 31,9% no visiem izsaukumiem. Vidēji diennaktī NMP brigādes dodas uz aptuveni 1 200 izsaukumiem, no kuriem aptuveni </w:t>
      </w:r>
      <w:r w:rsidR="007076E3" w:rsidRPr="00847710">
        <w:rPr>
          <w:rFonts w:ascii="Times New Roman" w:hAnsi="Times New Roman"/>
          <w:sz w:val="24"/>
          <w:szCs w:val="24"/>
          <w:lang w:val="lv-LV" w:eastAsia="lv-LV"/>
        </w:rPr>
        <w:t xml:space="preserve">370 - </w:t>
      </w:r>
      <w:r w:rsidR="004B5171" w:rsidRPr="00847710">
        <w:rPr>
          <w:rFonts w:ascii="Times New Roman" w:hAnsi="Times New Roman"/>
          <w:sz w:val="24"/>
          <w:szCs w:val="24"/>
          <w:lang w:val="lv-LV" w:eastAsia="lv-LV"/>
        </w:rPr>
        <w:t xml:space="preserve">400 pēc rezultāta no NMP dienesta darba specifikas viedokļa klasificējami kā NMP dienestam nepamatoti jeb tādi, kuros NMP nebija nepieciešama. Šādus izsaukumus novirzot primārās un ambulatorās veselības aprūpes sniedzējiem, ieguvumi būtu vairāki – pacients saņemtu atbilstošu un izmaksu efektīvu pakalpojumu, efektīvi un atbilstoši tiktu izmantoti NMP dienesta resursi, palielinot iespēju uzlabot izsaukumu apkalpošanas operativitāti dzīvībai un veselībai kritiskās situācijās. </w:t>
      </w:r>
      <w:r w:rsidR="00875074">
        <w:rPr>
          <w:rFonts w:ascii="Times New Roman" w:hAnsi="Times New Roman"/>
          <w:sz w:val="24"/>
          <w:szCs w:val="24"/>
          <w:lang w:val="lv-LV" w:eastAsia="lv-LV"/>
        </w:rPr>
        <w:t>L</w:t>
      </w:r>
      <w:r w:rsidR="00875074" w:rsidRPr="00C7460F">
        <w:rPr>
          <w:rFonts w:ascii="Times New Roman" w:hAnsi="Times New Roman"/>
          <w:sz w:val="24"/>
          <w:szCs w:val="24"/>
          <w:lang w:val="lv-LV" w:eastAsia="lv-LV"/>
        </w:rPr>
        <w:t>ielākā daļa jeb 70% sekundāro izsaukumu ir ārpus ģimenes ārstu darba laika – darba dienās no plkst. 18:00 līdz 8:00 un brīvdienās. Darba dienās laikā no plkst. 08:00 līdz 18:00 sekundāro izsaukumu īpatsvars ir 25,5,%, bet ārpus ģimenes ārstu darba laika tas palielinās pat līdz 42% no kopējā izpildīto i</w:t>
      </w:r>
      <w:r w:rsidR="00875074">
        <w:rPr>
          <w:rFonts w:ascii="Times New Roman" w:hAnsi="Times New Roman"/>
          <w:sz w:val="24"/>
          <w:szCs w:val="24"/>
          <w:lang w:val="lv-LV" w:eastAsia="lv-LV"/>
        </w:rPr>
        <w:t>zsaukumu skaita</w:t>
      </w:r>
      <w:r w:rsidR="00875074" w:rsidRPr="00C7460F">
        <w:rPr>
          <w:rFonts w:ascii="Times New Roman" w:hAnsi="Times New Roman"/>
          <w:sz w:val="24"/>
          <w:szCs w:val="24"/>
          <w:lang w:val="lv-LV" w:eastAsia="lv-LV"/>
        </w:rPr>
        <w:t xml:space="preserve">. 80% sekundāro izsaukumu ir pie pacientiem ar hroniskām saslimšanām. Sekundāro izsaukumu iemesli visbiežāk ir paaugstināts asinsspiediens un akūtas respiratoras saslimšanas bez sarežģījumiem un mugurkaula spondiloze. Pacienti ar minētajām saslimšanām sastāda 48% no kopējā sekundāro izsaukumu skaita. </w:t>
      </w:r>
      <w:r w:rsidR="00D629E6">
        <w:rPr>
          <w:rFonts w:ascii="Times New Roman" w:hAnsi="Times New Roman"/>
          <w:sz w:val="24"/>
          <w:szCs w:val="24"/>
          <w:lang w:val="lv-LV" w:eastAsia="lv-LV"/>
        </w:rPr>
        <w:t>Viens no iemesliem</w:t>
      </w:r>
      <w:r w:rsidR="00875074" w:rsidRPr="00C7460F">
        <w:rPr>
          <w:rFonts w:ascii="Times New Roman" w:hAnsi="Times New Roman"/>
          <w:sz w:val="24"/>
          <w:szCs w:val="24"/>
          <w:lang w:val="lv-LV" w:eastAsia="lv-LV"/>
        </w:rPr>
        <w:t xml:space="preserve"> NMP izsaukšanai bieži vien tiek </w:t>
      </w:r>
      <w:r w:rsidR="00D629E6">
        <w:rPr>
          <w:rFonts w:ascii="Times New Roman" w:hAnsi="Times New Roman"/>
          <w:sz w:val="24"/>
          <w:szCs w:val="24"/>
          <w:lang w:val="lv-LV" w:eastAsia="lv-LV"/>
        </w:rPr>
        <w:t>minēts</w:t>
      </w:r>
      <w:r w:rsidR="00875074" w:rsidRPr="00C7460F">
        <w:rPr>
          <w:rFonts w:ascii="Times New Roman" w:hAnsi="Times New Roman"/>
          <w:sz w:val="24"/>
          <w:szCs w:val="24"/>
          <w:lang w:val="lv-LV" w:eastAsia="lv-LV"/>
        </w:rPr>
        <w:t>, ka ģimenes ārsts nav sazvanāms, nav pieejams vai licis izsaukt NMP</w:t>
      </w:r>
      <w:r w:rsidR="00D629E6">
        <w:rPr>
          <w:rFonts w:ascii="Times New Roman" w:hAnsi="Times New Roman"/>
          <w:sz w:val="24"/>
          <w:szCs w:val="24"/>
          <w:lang w:val="lv-LV" w:eastAsia="lv-LV"/>
        </w:rPr>
        <w:t xml:space="preserve">. </w:t>
      </w:r>
      <w:r w:rsidR="004B5171" w:rsidRPr="00847710">
        <w:rPr>
          <w:rFonts w:ascii="Times New Roman" w:hAnsi="Times New Roman"/>
          <w:sz w:val="24"/>
          <w:szCs w:val="24"/>
          <w:lang w:val="lv-LV" w:eastAsia="lv-LV"/>
        </w:rPr>
        <w:t xml:space="preserve">Pagarinot </w:t>
      </w:r>
      <w:r w:rsidR="004B5171" w:rsidRPr="00847710">
        <w:rPr>
          <w:rFonts w:ascii="Times New Roman" w:hAnsi="Times New Roman"/>
          <w:sz w:val="24"/>
          <w:szCs w:val="24"/>
          <w:lang w:val="lv-LV"/>
        </w:rPr>
        <w:t>ģimenes ārsta  prakšu darba laiku un palielinot pieejamību primārai veselības aprūpei – viens no pasākumiem situācijas uzlabošanai.</w:t>
      </w:r>
    </w:p>
    <w:p w14:paraId="0E2E084E" w14:textId="13754741" w:rsidR="000678E1" w:rsidRPr="00847710" w:rsidRDefault="000678E1" w:rsidP="00847710">
      <w:pPr>
        <w:spacing w:after="120"/>
        <w:ind w:firstLine="720"/>
        <w:jc w:val="both"/>
        <w:rPr>
          <w:rFonts w:ascii="Times New Roman" w:hAnsi="Times New Roman" w:cs="Times New Roman"/>
          <w:sz w:val="24"/>
          <w:szCs w:val="24"/>
          <w:lang w:eastAsia="lv-LV"/>
        </w:rPr>
      </w:pPr>
      <w:bookmarkStart w:id="4" w:name="_Hlk500708888"/>
      <w:r w:rsidRPr="000678E1">
        <w:rPr>
          <w:rFonts w:ascii="Times New Roman" w:hAnsi="Times New Roman" w:cs="Times New Roman"/>
          <w:sz w:val="24"/>
          <w:szCs w:val="24"/>
          <w:lang w:eastAsia="lv-LV"/>
        </w:rPr>
        <w:t xml:space="preserve">2016.gadā bija 6 383 782 apmeklējumi pie ģimenes ārsta. 42,8 % no visiem apmeklējumiem ir hronisku pacientu aprūpe (t.sk., hronisku slimību diagnostika). Apmeklējums saistībā ar profilakses veikšanu 2016.gadā veido tikai 15% no visiem apmeklējumiem pie </w:t>
      </w:r>
      <w:r w:rsidRPr="000678E1">
        <w:rPr>
          <w:rFonts w:ascii="Times New Roman" w:hAnsi="Times New Roman" w:cs="Times New Roman"/>
          <w:sz w:val="24"/>
          <w:szCs w:val="24"/>
          <w:lang w:eastAsia="lv-LV"/>
        </w:rPr>
        <w:lastRenderedPageBreak/>
        <w:t>ģimenes ārsta</w:t>
      </w:r>
      <w:r w:rsidR="006937DB">
        <w:rPr>
          <w:rFonts w:ascii="Times New Roman" w:hAnsi="Times New Roman" w:cs="Times New Roman"/>
          <w:sz w:val="24"/>
          <w:szCs w:val="24"/>
          <w:lang w:eastAsia="lv-LV"/>
        </w:rPr>
        <w:t xml:space="preserve">. 60% </w:t>
      </w:r>
      <w:r w:rsidR="00D215A7">
        <w:rPr>
          <w:rFonts w:ascii="Times New Roman" w:hAnsi="Times New Roman" w:cs="Times New Roman"/>
          <w:sz w:val="24"/>
          <w:szCs w:val="24"/>
          <w:lang w:eastAsia="lv-LV"/>
        </w:rPr>
        <w:t>profila</w:t>
      </w:r>
      <w:r w:rsidR="0024092A">
        <w:rPr>
          <w:rFonts w:ascii="Times New Roman" w:hAnsi="Times New Roman" w:cs="Times New Roman"/>
          <w:sz w:val="24"/>
          <w:szCs w:val="24"/>
          <w:lang w:eastAsia="lv-LV"/>
        </w:rPr>
        <w:t xml:space="preserve">ktiski apskatītajiem pacientiem tiek </w:t>
      </w:r>
      <w:r w:rsidR="00DA104C">
        <w:rPr>
          <w:rFonts w:ascii="Times New Roman" w:hAnsi="Times New Roman" w:cs="Times New Roman"/>
          <w:sz w:val="24"/>
          <w:szCs w:val="24"/>
          <w:lang w:eastAsia="lv-LV"/>
        </w:rPr>
        <w:t xml:space="preserve">atrastas </w:t>
      </w:r>
      <w:r w:rsidR="00FC54A2">
        <w:rPr>
          <w:rFonts w:ascii="Times New Roman" w:hAnsi="Times New Roman" w:cs="Times New Roman"/>
          <w:sz w:val="24"/>
          <w:szCs w:val="24"/>
          <w:lang w:eastAsia="lv-LV"/>
        </w:rPr>
        <w:t>veselības aprūpes problēmas un uzsākta savlaicīga ārstēšana.</w:t>
      </w:r>
    </w:p>
    <w:p w14:paraId="4822AF7F" w14:textId="42B8A6DA" w:rsidR="00ED74D4" w:rsidRPr="00847710" w:rsidRDefault="00ED74D4" w:rsidP="00847710">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Lai uzlabotu ģimenes ārstu kapacitāti un nodrošinātu pacientu pieejamību primārai veselības aprūpei, plānots palielināt finansējumu kapitācijas naudā  par </w:t>
      </w:r>
      <w:r w:rsidR="00A406EF" w:rsidRPr="00847710">
        <w:rPr>
          <w:rFonts w:ascii="Times New Roman" w:hAnsi="Times New Roman" w:cs="Times New Roman"/>
          <w:sz w:val="24"/>
          <w:szCs w:val="24"/>
          <w:lang w:eastAsia="lv-LV"/>
        </w:rPr>
        <w:t>205</w:t>
      </w:r>
      <w:r w:rsidR="00D85887" w:rsidRPr="00847710">
        <w:rPr>
          <w:rFonts w:ascii="Times New Roman" w:hAnsi="Times New Roman" w:cs="Times New Roman"/>
          <w:sz w:val="24"/>
          <w:szCs w:val="24"/>
          <w:lang w:eastAsia="lv-LV"/>
        </w:rPr>
        <w:t>,</w:t>
      </w:r>
      <w:r w:rsidR="00A406EF" w:rsidRPr="00847710">
        <w:rPr>
          <w:rFonts w:ascii="Times New Roman" w:hAnsi="Times New Roman" w:cs="Times New Roman"/>
          <w:sz w:val="24"/>
          <w:szCs w:val="24"/>
          <w:lang w:eastAsia="lv-LV"/>
        </w:rPr>
        <w:t>10</w:t>
      </w:r>
      <w:r w:rsidRPr="00847710">
        <w:rPr>
          <w:rFonts w:ascii="Times New Roman" w:hAnsi="Times New Roman" w:cs="Times New Roman"/>
          <w:sz w:val="24"/>
          <w:szCs w:val="24"/>
          <w:lang w:eastAsia="lv-LV"/>
        </w:rPr>
        <w:t xml:space="preserve"> euro mēnesī uz praksi, nosakot 3 rezultatīvos rādītājus</w:t>
      </w:r>
      <w:bookmarkEnd w:id="4"/>
      <w:r w:rsidRPr="00847710">
        <w:rPr>
          <w:rFonts w:ascii="Times New Roman" w:hAnsi="Times New Roman" w:cs="Times New Roman"/>
          <w:sz w:val="24"/>
          <w:szCs w:val="24"/>
          <w:lang w:eastAsia="lv-LV"/>
        </w:rPr>
        <w:t>:</w:t>
      </w:r>
    </w:p>
    <w:p w14:paraId="75B3865B" w14:textId="16C1FB95" w:rsidR="00ED74D4" w:rsidRPr="00847710" w:rsidRDefault="00ED74D4" w:rsidP="00E22F86">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ģimenes ārsts veic regulāru savā pacientu sarakstā reģistrēto personu veselības stāvokļa novērtēšanu, nodrošinot, ka gadā veikta novērtēšana ne mazāk kā pusei no visiem ģimenes ārsta pacientu sarakstā reģistrētiem pacientiem;</w:t>
      </w:r>
    </w:p>
    <w:p w14:paraId="03364E7E" w14:textId="011FAF62" w:rsidR="00ED74D4" w:rsidRPr="00847710" w:rsidRDefault="00ED74D4" w:rsidP="00E22F86">
      <w:pPr>
        <w:pStyle w:val="ListParagraph"/>
        <w:numPr>
          <w:ilvl w:val="0"/>
          <w:numId w:val="3"/>
        </w:numPr>
        <w:jc w:val="both"/>
        <w:rPr>
          <w:rFonts w:ascii="Times New Roman" w:hAnsi="Times New Roman"/>
          <w:sz w:val="24"/>
          <w:szCs w:val="24"/>
          <w:lang w:val="lv-LV"/>
        </w:rPr>
      </w:pPr>
      <w:r w:rsidRPr="00847710">
        <w:rPr>
          <w:rFonts w:ascii="Times New Roman" w:hAnsi="Times New Roman"/>
          <w:sz w:val="24"/>
          <w:szCs w:val="24"/>
          <w:lang w:val="lv-LV"/>
        </w:rPr>
        <w:t>nodrošināt ģimenes ārsta konsultāciju pieejamību piecu dienu laikā;</w:t>
      </w:r>
    </w:p>
    <w:p w14:paraId="4604BCA0" w14:textId="38AC65E0" w:rsidR="000C109B" w:rsidRPr="00847710" w:rsidRDefault="00ED74D4" w:rsidP="000C109B">
      <w:pPr>
        <w:pStyle w:val="ListParagraph"/>
        <w:numPr>
          <w:ilvl w:val="0"/>
          <w:numId w:val="3"/>
        </w:numPr>
        <w:jc w:val="both"/>
        <w:rPr>
          <w:rFonts w:ascii="Times New Roman" w:hAnsi="Times New Roman"/>
          <w:sz w:val="24"/>
          <w:szCs w:val="24"/>
          <w:lang w:val="lv-LV" w:eastAsia="lv-LV"/>
        </w:rPr>
      </w:pPr>
      <w:r w:rsidRPr="00847710">
        <w:rPr>
          <w:rFonts w:ascii="Times New Roman" w:hAnsi="Times New Roman"/>
          <w:sz w:val="24"/>
          <w:szCs w:val="24"/>
          <w:lang w:val="lv-LV"/>
        </w:rPr>
        <w:t>nodrošināt ģimenes ārsta prakses darbību gan rīta, gan vakara stundās, nosakot,</w:t>
      </w:r>
      <w:r w:rsidRPr="00847710">
        <w:rPr>
          <w:rFonts w:ascii="Times New Roman" w:hAnsi="Times New Roman"/>
          <w:sz w:val="24"/>
          <w:szCs w:val="24"/>
          <w:lang w:val="lv-LV" w:eastAsia="lv-LV"/>
        </w:rPr>
        <w:t xml:space="preserve"> ka vienu reizi nedēļā pacientu pieņemšanas laiks ir no plkst. 8.00 un vienu reizi nedēļā pacientu pieņemšanas laiks ir līdz plkst. 19.00.</w:t>
      </w:r>
    </w:p>
    <w:p w14:paraId="6DB8C5FC" w14:textId="1307936E" w:rsidR="00E07DCA" w:rsidRPr="00847710" w:rsidRDefault="00A4123F" w:rsidP="00E07DCA">
      <w:pPr>
        <w:spacing w:after="120"/>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Atbilstoši spēkā esošajiem normatīviem regulējumiem</w:t>
      </w:r>
      <w:r w:rsidRPr="00847710">
        <w:rPr>
          <w:rStyle w:val="FootnoteReference"/>
          <w:rFonts w:ascii="Times New Roman" w:hAnsi="Times New Roman" w:cs="Times New Roman"/>
          <w:sz w:val="24"/>
          <w:szCs w:val="24"/>
          <w:lang w:eastAsia="lv-LV"/>
        </w:rPr>
        <w:footnoteReference w:id="49"/>
      </w:r>
      <w:r w:rsidRPr="00847710">
        <w:rPr>
          <w:rFonts w:ascii="Times New Roman" w:hAnsi="Times New Roman" w:cs="Times New Roman"/>
          <w:sz w:val="24"/>
          <w:szCs w:val="24"/>
          <w:lang w:eastAsia="lv-LV"/>
        </w:rPr>
        <w:t>, ģimenes ārstam katru gadu ir jāveic pie ģimenes ārsta reģistrēto pieaugušo pacientu profilaktiskā apskate. Pieaugušo profilaktiskā apskate ir iekļauta ģimenes</w:t>
      </w:r>
      <w:r w:rsidR="0085137B" w:rsidRPr="00847710">
        <w:rPr>
          <w:rFonts w:ascii="Times New Roman" w:hAnsi="Times New Roman" w:cs="Times New Roman"/>
          <w:sz w:val="24"/>
          <w:szCs w:val="24"/>
          <w:lang w:eastAsia="lv-LV"/>
        </w:rPr>
        <w:t xml:space="preserve"> ārsta kapitācijas naudā. 2016.</w:t>
      </w:r>
      <w:r w:rsidRPr="00847710">
        <w:rPr>
          <w:rFonts w:ascii="Times New Roman" w:hAnsi="Times New Roman" w:cs="Times New Roman"/>
          <w:sz w:val="24"/>
          <w:szCs w:val="24"/>
          <w:lang w:eastAsia="lv-LV"/>
        </w:rPr>
        <w:t>gadā tikai 26,27% pieaugušajiem pacientiem ir veikta profilaktiskā apskate, savukārt tikai 32,67% ģimenes ārsti ir sasnieguši gada  darbības rādītāja “Veselības stāvokļa novērtējums pieaugušajiem” apakšējo robežu. Palielinot kapitācijas naudu, tiktu nodrošināts, ka vismaz 50% pie ģimenes ārsta reģistrētiem pacientiem visās ģimenes ārstu praksēs tiktu veikts veselības stāvokļa novērtējums.</w:t>
      </w:r>
      <w:r w:rsidR="00DE56E4">
        <w:rPr>
          <w:rFonts w:ascii="Times New Roman" w:hAnsi="Times New Roman" w:cs="Times New Roman"/>
          <w:sz w:val="24"/>
          <w:szCs w:val="24"/>
          <w:lang w:eastAsia="lv-LV"/>
        </w:rPr>
        <w:t xml:space="preserve"> </w:t>
      </w:r>
    </w:p>
    <w:p w14:paraId="01C48864" w14:textId="77777777" w:rsidR="00676138" w:rsidRPr="00847710" w:rsidRDefault="00676138" w:rsidP="008B067D">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2016.gada 1.oktobrī uzsāktajā onkoloģisko slimību ātrākā diagnostikas un sekmīgākas ārstēšanas reformā būtiska loma ir ģimenes ārstam, kurš veic pacientu atlasi ļaundabīgo audzēju primārai diagnostikai. Ģimenes ārsta uzdevums ir atlasīt pacientus ar noteiktu simptomātiku un veikt primāro pārbaudi un izmeklēšanu ļaundabīgā audzēja diagnostikai.  Plānots, ka, veicot līdzīgu simptomu primāro pārbaudi un izmeklēšanu, ļaundabīgais audzējs apstiprinās katram otrajam pacientam no primāri izmeklētiem pacientiem. Līdz ar to plānots, ka ļaundabīgā audzēja primāro diagnostiku 2018.gadā veiks 22 000 pacientiem. Palielinot pacientu skaitu, kuriem ģimenes ārsts reizi gadā veiks veselības stāvokļa novērtēšanu, palielinās pacientu skaits, kuriem tiks diagnosticēts ļaundabīgais audzējs agrīnā stadijā. </w:t>
      </w:r>
    </w:p>
    <w:p w14:paraId="6BB1163A" w14:textId="77777777" w:rsidR="00604864" w:rsidRPr="00847710" w:rsidRDefault="00676138" w:rsidP="008B067D">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Atbilstoši vadlīnijām</w:t>
      </w:r>
      <w:r w:rsidRPr="00847710">
        <w:rPr>
          <w:rStyle w:val="FootnoteReference"/>
          <w:rFonts w:ascii="Times New Roman" w:hAnsi="Times New Roman" w:cs="Times New Roman"/>
          <w:sz w:val="24"/>
          <w:szCs w:val="24"/>
        </w:rPr>
        <w:footnoteReference w:id="50"/>
      </w:r>
      <w:r w:rsidRPr="00847710">
        <w:rPr>
          <w:rFonts w:ascii="Times New Roman" w:hAnsi="Times New Roman" w:cs="Times New Roman"/>
          <w:sz w:val="24"/>
          <w:szCs w:val="24"/>
        </w:rPr>
        <w:t xml:space="preserve"> ir noteiktas indikatordiagnozes, pacienti, ar kurām pārsvarā būtu  jāārstē ambulatori, sadalot kompetenci starp primārās un sekundārās veselības aprūpes speciālistiem. 2016.gadā pacienti ar šīm diagnozēm tika hospitalizēti 14 219 reizes</w:t>
      </w:r>
      <w:r w:rsidRPr="00847710">
        <w:rPr>
          <w:rStyle w:val="FootnoteReference"/>
          <w:rFonts w:ascii="Times New Roman" w:hAnsi="Times New Roman" w:cs="Times New Roman"/>
          <w:sz w:val="24"/>
          <w:szCs w:val="24"/>
        </w:rPr>
        <w:footnoteReference w:id="51"/>
      </w:r>
      <w:r w:rsidRPr="00847710">
        <w:rPr>
          <w:rFonts w:ascii="Times New Roman" w:hAnsi="Times New Roman" w:cs="Times New Roman"/>
          <w:sz w:val="24"/>
          <w:szCs w:val="24"/>
        </w:rPr>
        <w:t xml:space="preserve">. </w:t>
      </w:r>
    </w:p>
    <w:p w14:paraId="6F1713E3" w14:textId="77777777" w:rsidR="00DE3C94" w:rsidRDefault="00DE3C94" w:rsidP="00DA3A33">
      <w:pPr>
        <w:spacing w:after="120"/>
        <w:ind w:firstLine="567"/>
        <w:jc w:val="right"/>
        <w:rPr>
          <w:rFonts w:ascii="Times New Roman" w:hAnsi="Times New Roman" w:cs="Times New Roman"/>
          <w:i/>
          <w:iCs/>
          <w:sz w:val="24"/>
          <w:szCs w:val="24"/>
        </w:rPr>
      </w:pPr>
    </w:p>
    <w:p w14:paraId="37E51171" w14:textId="77777777" w:rsidR="00DE3C94" w:rsidRDefault="00DE3C94" w:rsidP="00DA3A33">
      <w:pPr>
        <w:spacing w:after="120"/>
        <w:ind w:firstLine="567"/>
        <w:jc w:val="right"/>
        <w:rPr>
          <w:rFonts w:ascii="Times New Roman" w:hAnsi="Times New Roman" w:cs="Times New Roman"/>
          <w:i/>
          <w:iCs/>
          <w:sz w:val="24"/>
          <w:szCs w:val="24"/>
        </w:rPr>
      </w:pPr>
    </w:p>
    <w:p w14:paraId="3C54D34C" w14:textId="77777777" w:rsidR="00DE3C94" w:rsidRDefault="00DE3C94" w:rsidP="00DA3A33">
      <w:pPr>
        <w:spacing w:after="120"/>
        <w:ind w:firstLine="567"/>
        <w:jc w:val="right"/>
        <w:rPr>
          <w:rFonts w:ascii="Times New Roman" w:hAnsi="Times New Roman" w:cs="Times New Roman"/>
          <w:i/>
          <w:iCs/>
          <w:sz w:val="24"/>
          <w:szCs w:val="24"/>
        </w:rPr>
      </w:pPr>
    </w:p>
    <w:p w14:paraId="3845E176" w14:textId="1CF69F95" w:rsidR="00FE5123" w:rsidRPr="00DA3A33" w:rsidRDefault="00DB633F" w:rsidP="00DA3A33">
      <w:pPr>
        <w:spacing w:after="120"/>
        <w:ind w:firstLine="567"/>
        <w:jc w:val="right"/>
        <w:rPr>
          <w:rFonts w:ascii="Times New Roman" w:hAnsi="Times New Roman" w:cs="Times New Roman"/>
          <w:i/>
          <w:iCs/>
          <w:sz w:val="24"/>
          <w:szCs w:val="24"/>
        </w:rPr>
      </w:pPr>
      <w:r w:rsidRPr="57326167">
        <w:rPr>
          <w:rFonts w:ascii="Times New Roman" w:hAnsi="Times New Roman" w:cs="Times New Roman"/>
          <w:i/>
          <w:iCs/>
          <w:sz w:val="24"/>
          <w:szCs w:val="24"/>
        </w:rPr>
        <w:t>2</w:t>
      </w:r>
      <w:r w:rsidR="00DE3C94">
        <w:rPr>
          <w:rFonts w:ascii="Times New Roman" w:hAnsi="Times New Roman" w:cs="Times New Roman"/>
          <w:i/>
          <w:iCs/>
          <w:sz w:val="24"/>
          <w:szCs w:val="24"/>
        </w:rPr>
        <w:t>7</w:t>
      </w:r>
      <w:r w:rsidRPr="57326167">
        <w:rPr>
          <w:rFonts w:ascii="Times New Roman" w:hAnsi="Times New Roman" w:cs="Times New Roman"/>
          <w:i/>
          <w:iCs/>
          <w:sz w:val="24"/>
          <w:szCs w:val="24"/>
        </w:rPr>
        <w:t>.t</w:t>
      </w:r>
      <w:r w:rsidR="00422449" w:rsidRPr="57326167">
        <w:rPr>
          <w:rFonts w:ascii="Times New Roman" w:hAnsi="Times New Roman" w:cs="Times New Roman"/>
          <w:i/>
          <w:iCs/>
          <w:sz w:val="24"/>
          <w:szCs w:val="24"/>
        </w:rPr>
        <w:t>abula</w:t>
      </w:r>
    </w:p>
    <w:p w14:paraId="4785DB7C" w14:textId="40595A76" w:rsidR="00422449" w:rsidRPr="00DA3A33" w:rsidRDefault="00422449" w:rsidP="00DA3A33">
      <w:pPr>
        <w:spacing w:after="120"/>
        <w:ind w:firstLine="567"/>
        <w:jc w:val="center"/>
        <w:rPr>
          <w:rFonts w:ascii="Times New Roman" w:hAnsi="Times New Roman" w:cs="Times New Roman"/>
          <w:b/>
          <w:bCs/>
          <w:sz w:val="24"/>
          <w:szCs w:val="24"/>
        </w:rPr>
      </w:pPr>
      <w:r w:rsidRPr="0012317D">
        <w:rPr>
          <w:rFonts w:ascii="Times New Roman" w:hAnsi="Times New Roman" w:cs="Times New Roman"/>
          <w:b/>
          <w:bCs/>
          <w:sz w:val="24"/>
          <w:szCs w:val="24"/>
        </w:rPr>
        <w:t>Hospitalizēto pacientu skaits ar indikatordiagnozēm 2016.gadā</w:t>
      </w:r>
    </w:p>
    <w:tbl>
      <w:tblPr>
        <w:tblW w:w="8364" w:type="dxa"/>
        <w:jc w:val="center"/>
        <w:tblLook w:val="04A0" w:firstRow="1" w:lastRow="0" w:firstColumn="1" w:lastColumn="0" w:noHBand="0" w:noVBand="1"/>
      </w:tblPr>
      <w:tblGrid>
        <w:gridCol w:w="1985"/>
        <w:gridCol w:w="2835"/>
        <w:gridCol w:w="3544"/>
      </w:tblGrid>
      <w:tr w:rsidR="008B067D" w:rsidRPr="008463B6" w14:paraId="4273783E" w14:textId="77777777" w:rsidTr="00DA3A33">
        <w:trPr>
          <w:trHeight w:val="831"/>
          <w:jc w:val="center"/>
        </w:trPr>
        <w:tc>
          <w:tcPr>
            <w:tcW w:w="1985" w:type="dxa"/>
            <w:vMerge w:val="restart"/>
            <w:tcBorders>
              <w:top w:val="single" w:sz="8" w:space="0" w:color="AEAAAA"/>
              <w:left w:val="single" w:sz="8" w:space="0" w:color="AEAAAA"/>
              <w:bottom w:val="single" w:sz="8" w:space="0" w:color="AEAAAA"/>
              <w:right w:val="single" w:sz="8" w:space="0" w:color="AEAAAA"/>
            </w:tcBorders>
            <w:shd w:val="clear" w:color="auto" w:fill="E36C0A" w:themeFill="accent6" w:themeFillShade="BF"/>
            <w:vAlign w:val="center"/>
            <w:hideMark/>
          </w:tcPr>
          <w:p w14:paraId="6248E507" w14:textId="77777777" w:rsidR="00676138" w:rsidRPr="008463B6" w:rsidRDefault="00676138" w:rsidP="00F52C98">
            <w:pPr>
              <w:spacing w:after="0" w:line="240" w:lineRule="auto"/>
              <w:jc w:val="center"/>
              <w:rPr>
                <w:rFonts w:ascii="Times New Roman" w:eastAsia="Times New Roman" w:hAnsi="Times New Roman" w:cs="Times New Roman"/>
                <w:b/>
                <w:bCs/>
                <w:sz w:val="20"/>
                <w:szCs w:val="16"/>
                <w:lang w:eastAsia="lv-LV"/>
              </w:rPr>
            </w:pPr>
            <w:r w:rsidRPr="008463B6">
              <w:rPr>
                <w:rFonts w:ascii="Times New Roman" w:eastAsia="Times New Roman" w:hAnsi="Times New Roman" w:cs="Times New Roman"/>
                <w:b/>
                <w:bCs/>
                <w:sz w:val="20"/>
                <w:szCs w:val="16"/>
                <w:lang w:eastAsia="lv-LV"/>
              </w:rPr>
              <w:t>Izrakstīšanas pamata diagnožu grupas kodi pēc SSK-10</w:t>
            </w:r>
          </w:p>
        </w:tc>
        <w:tc>
          <w:tcPr>
            <w:tcW w:w="2835" w:type="dxa"/>
            <w:vMerge w:val="restart"/>
            <w:tcBorders>
              <w:top w:val="single" w:sz="8" w:space="0" w:color="AEAAAA"/>
              <w:left w:val="single" w:sz="8" w:space="0" w:color="AEAAAA"/>
              <w:bottom w:val="single" w:sz="8" w:space="0" w:color="AEAAAA"/>
              <w:right w:val="single" w:sz="8" w:space="0" w:color="AEAAAA"/>
            </w:tcBorders>
            <w:shd w:val="clear" w:color="auto" w:fill="E36C0A" w:themeFill="accent6" w:themeFillShade="BF"/>
            <w:vAlign w:val="center"/>
            <w:hideMark/>
          </w:tcPr>
          <w:p w14:paraId="2187374E" w14:textId="77777777" w:rsidR="00676138" w:rsidRPr="008463B6" w:rsidRDefault="00676138" w:rsidP="00F52C98">
            <w:pPr>
              <w:spacing w:after="0" w:line="240" w:lineRule="auto"/>
              <w:jc w:val="center"/>
              <w:rPr>
                <w:rFonts w:ascii="Times New Roman" w:eastAsia="Times New Roman" w:hAnsi="Times New Roman" w:cs="Times New Roman"/>
                <w:b/>
                <w:bCs/>
                <w:sz w:val="20"/>
                <w:szCs w:val="16"/>
                <w:lang w:eastAsia="lv-LV"/>
              </w:rPr>
            </w:pPr>
            <w:r w:rsidRPr="008463B6">
              <w:rPr>
                <w:rFonts w:ascii="Times New Roman" w:eastAsia="Times New Roman" w:hAnsi="Times New Roman" w:cs="Times New Roman"/>
                <w:b/>
                <w:bCs/>
                <w:sz w:val="20"/>
                <w:szCs w:val="16"/>
                <w:lang w:eastAsia="lv-LV"/>
              </w:rPr>
              <w:t>Diagnozes grupas nosaukums</w:t>
            </w:r>
          </w:p>
        </w:tc>
        <w:tc>
          <w:tcPr>
            <w:tcW w:w="3544" w:type="dxa"/>
            <w:vMerge w:val="restart"/>
            <w:tcBorders>
              <w:top w:val="nil"/>
              <w:left w:val="single" w:sz="8" w:space="0" w:color="AEAAAA"/>
              <w:bottom w:val="single" w:sz="8" w:space="0" w:color="AEAAAA"/>
              <w:right w:val="nil"/>
            </w:tcBorders>
            <w:shd w:val="clear" w:color="auto" w:fill="E36C0A" w:themeFill="accent6" w:themeFillShade="BF"/>
            <w:vAlign w:val="center"/>
            <w:hideMark/>
          </w:tcPr>
          <w:p w14:paraId="5B61652E" w14:textId="77777777" w:rsidR="00676138" w:rsidRPr="008463B6" w:rsidRDefault="00676138" w:rsidP="00F52C98">
            <w:pPr>
              <w:spacing w:after="0" w:line="240" w:lineRule="auto"/>
              <w:jc w:val="center"/>
              <w:rPr>
                <w:rFonts w:ascii="Times New Roman" w:eastAsia="Times New Roman" w:hAnsi="Times New Roman" w:cs="Times New Roman"/>
                <w:b/>
                <w:bCs/>
                <w:sz w:val="20"/>
                <w:szCs w:val="16"/>
                <w:lang w:eastAsia="lv-LV"/>
              </w:rPr>
            </w:pPr>
            <w:r w:rsidRPr="008463B6">
              <w:rPr>
                <w:rFonts w:ascii="Times New Roman" w:eastAsia="Times New Roman" w:hAnsi="Times New Roman" w:cs="Times New Roman"/>
                <w:b/>
                <w:bCs/>
                <w:sz w:val="20"/>
                <w:szCs w:val="16"/>
                <w:lang w:eastAsia="lv-LV"/>
              </w:rPr>
              <w:t xml:space="preserve">Hospitalizēto pacientu skaits 2016.gadā </w:t>
            </w:r>
          </w:p>
        </w:tc>
      </w:tr>
      <w:tr w:rsidR="00676138" w:rsidRPr="008463B6" w14:paraId="4375B29D" w14:textId="77777777" w:rsidTr="00847710">
        <w:trPr>
          <w:trHeight w:val="509"/>
          <w:jc w:val="center"/>
        </w:trPr>
        <w:tc>
          <w:tcPr>
            <w:tcW w:w="1985" w:type="dxa"/>
            <w:vMerge/>
            <w:tcBorders>
              <w:top w:val="single" w:sz="8" w:space="0" w:color="AEAAAA"/>
              <w:left w:val="single" w:sz="8" w:space="0" w:color="AEAAAA"/>
              <w:bottom w:val="single" w:sz="8" w:space="0" w:color="AEAAAA"/>
              <w:right w:val="single" w:sz="8" w:space="0" w:color="AEAAAA"/>
            </w:tcBorders>
            <w:shd w:val="clear" w:color="auto" w:fill="E36C0A" w:themeFill="accent6" w:themeFillShade="BF"/>
            <w:vAlign w:val="center"/>
            <w:hideMark/>
          </w:tcPr>
          <w:p w14:paraId="62D8B6E4" w14:textId="77777777" w:rsidR="00676138" w:rsidRPr="008463B6" w:rsidRDefault="00676138" w:rsidP="00F52C98">
            <w:pPr>
              <w:spacing w:after="0" w:line="240" w:lineRule="auto"/>
              <w:rPr>
                <w:rFonts w:ascii="Times New Roman" w:eastAsia="Times New Roman" w:hAnsi="Times New Roman" w:cs="Times New Roman"/>
                <w:b/>
                <w:bCs/>
                <w:color w:val="FFFFFF"/>
                <w:sz w:val="20"/>
                <w:szCs w:val="16"/>
                <w:lang w:eastAsia="lv-LV"/>
              </w:rPr>
            </w:pPr>
          </w:p>
        </w:tc>
        <w:tc>
          <w:tcPr>
            <w:tcW w:w="2835" w:type="dxa"/>
            <w:vMerge/>
            <w:tcBorders>
              <w:top w:val="single" w:sz="8" w:space="0" w:color="AEAAAA"/>
              <w:left w:val="single" w:sz="8" w:space="0" w:color="AEAAAA"/>
              <w:bottom w:val="single" w:sz="8" w:space="0" w:color="AEAAAA"/>
              <w:right w:val="single" w:sz="8" w:space="0" w:color="AEAAAA"/>
            </w:tcBorders>
            <w:shd w:val="clear" w:color="auto" w:fill="E36C0A" w:themeFill="accent6" w:themeFillShade="BF"/>
            <w:vAlign w:val="center"/>
            <w:hideMark/>
          </w:tcPr>
          <w:p w14:paraId="2EED36E6" w14:textId="77777777" w:rsidR="00676138" w:rsidRPr="008463B6" w:rsidRDefault="00676138" w:rsidP="00F52C98">
            <w:pPr>
              <w:spacing w:after="0" w:line="240" w:lineRule="auto"/>
              <w:rPr>
                <w:rFonts w:ascii="Times New Roman" w:eastAsia="Times New Roman" w:hAnsi="Times New Roman" w:cs="Times New Roman"/>
                <w:b/>
                <w:bCs/>
                <w:color w:val="FFFFFF"/>
                <w:sz w:val="20"/>
                <w:szCs w:val="16"/>
                <w:lang w:eastAsia="lv-LV"/>
              </w:rPr>
            </w:pPr>
          </w:p>
        </w:tc>
        <w:tc>
          <w:tcPr>
            <w:tcW w:w="3544" w:type="dxa"/>
            <w:vMerge/>
            <w:tcBorders>
              <w:top w:val="nil"/>
              <w:left w:val="single" w:sz="8" w:space="0" w:color="AEAAAA"/>
              <w:bottom w:val="single" w:sz="8" w:space="0" w:color="AEAAAA"/>
              <w:right w:val="nil"/>
            </w:tcBorders>
            <w:shd w:val="clear" w:color="auto" w:fill="E36C0A" w:themeFill="accent6" w:themeFillShade="BF"/>
            <w:vAlign w:val="center"/>
            <w:hideMark/>
          </w:tcPr>
          <w:p w14:paraId="5D5FE8E0" w14:textId="77777777" w:rsidR="00676138" w:rsidRPr="008463B6" w:rsidRDefault="00676138" w:rsidP="00F52C98">
            <w:pPr>
              <w:spacing w:after="0" w:line="240" w:lineRule="auto"/>
              <w:rPr>
                <w:rFonts w:ascii="Times New Roman" w:eastAsia="Times New Roman" w:hAnsi="Times New Roman" w:cs="Times New Roman"/>
                <w:b/>
                <w:bCs/>
                <w:color w:val="FFFFFF"/>
                <w:sz w:val="20"/>
                <w:szCs w:val="16"/>
                <w:lang w:eastAsia="lv-LV"/>
              </w:rPr>
            </w:pPr>
          </w:p>
        </w:tc>
      </w:tr>
      <w:tr w:rsidR="00676138" w:rsidRPr="008463B6" w14:paraId="03E004A7" w14:textId="77777777" w:rsidTr="00DA3A33">
        <w:trPr>
          <w:trHeight w:val="46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14:paraId="155217B1"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E10</w:t>
            </w:r>
          </w:p>
        </w:tc>
        <w:tc>
          <w:tcPr>
            <w:tcW w:w="2835" w:type="dxa"/>
            <w:tcBorders>
              <w:top w:val="nil"/>
              <w:left w:val="nil"/>
              <w:bottom w:val="single" w:sz="8" w:space="0" w:color="AEAAAA"/>
              <w:right w:val="single" w:sz="8" w:space="0" w:color="AEAAAA"/>
            </w:tcBorders>
            <w:shd w:val="clear" w:color="auto" w:fill="auto"/>
            <w:vAlign w:val="center"/>
            <w:hideMark/>
          </w:tcPr>
          <w:p w14:paraId="09638EF0"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Isulīnatkarīgs cukura diabēts</w:t>
            </w:r>
          </w:p>
        </w:tc>
        <w:tc>
          <w:tcPr>
            <w:tcW w:w="3544" w:type="dxa"/>
            <w:tcBorders>
              <w:top w:val="nil"/>
              <w:left w:val="nil"/>
              <w:bottom w:val="single" w:sz="8" w:space="0" w:color="AEAAAA"/>
              <w:right w:val="single" w:sz="8" w:space="0" w:color="AEAAAA"/>
            </w:tcBorders>
            <w:shd w:val="clear" w:color="auto" w:fill="auto"/>
            <w:vAlign w:val="center"/>
            <w:hideMark/>
          </w:tcPr>
          <w:p w14:paraId="4B6F320D" w14:textId="77777777" w:rsidR="00676138" w:rsidRPr="008463B6" w:rsidRDefault="00676138" w:rsidP="00F52C98">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1107</w:t>
            </w:r>
          </w:p>
        </w:tc>
      </w:tr>
      <w:tr w:rsidR="00676138" w:rsidRPr="008463B6" w14:paraId="5E7EB3A1" w14:textId="77777777" w:rsidTr="00DA3A33">
        <w:trPr>
          <w:trHeight w:val="46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14:paraId="441F2BAC"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E11</w:t>
            </w:r>
          </w:p>
        </w:tc>
        <w:tc>
          <w:tcPr>
            <w:tcW w:w="2835" w:type="dxa"/>
            <w:tcBorders>
              <w:top w:val="nil"/>
              <w:left w:val="nil"/>
              <w:bottom w:val="single" w:sz="8" w:space="0" w:color="AEAAAA"/>
              <w:right w:val="single" w:sz="8" w:space="0" w:color="AEAAAA"/>
            </w:tcBorders>
            <w:shd w:val="clear" w:color="auto" w:fill="auto"/>
            <w:vAlign w:val="center"/>
            <w:hideMark/>
          </w:tcPr>
          <w:p w14:paraId="7ADB3761"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Insulīnneatkarīgs cukura diabēts</w:t>
            </w:r>
          </w:p>
        </w:tc>
        <w:tc>
          <w:tcPr>
            <w:tcW w:w="3544" w:type="dxa"/>
            <w:tcBorders>
              <w:top w:val="nil"/>
              <w:left w:val="nil"/>
              <w:bottom w:val="single" w:sz="8" w:space="0" w:color="AEAAAA"/>
              <w:right w:val="single" w:sz="8" w:space="0" w:color="AEAAAA"/>
            </w:tcBorders>
            <w:shd w:val="clear" w:color="auto" w:fill="auto"/>
            <w:vAlign w:val="center"/>
            <w:hideMark/>
          </w:tcPr>
          <w:p w14:paraId="46E87288" w14:textId="77777777" w:rsidR="00676138" w:rsidRPr="008463B6" w:rsidRDefault="00676138" w:rsidP="00F52C98">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1275</w:t>
            </w:r>
          </w:p>
        </w:tc>
      </w:tr>
      <w:tr w:rsidR="00676138" w:rsidRPr="008463B6" w14:paraId="623716FA" w14:textId="77777777" w:rsidTr="00DA3A33">
        <w:trPr>
          <w:trHeight w:val="46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14:paraId="3DBE1ABA"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I10</w:t>
            </w:r>
          </w:p>
        </w:tc>
        <w:tc>
          <w:tcPr>
            <w:tcW w:w="2835" w:type="dxa"/>
            <w:tcBorders>
              <w:top w:val="nil"/>
              <w:left w:val="nil"/>
              <w:bottom w:val="single" w:sz="8" w:space="0" w:color="AEAAAA"/>
              <w:right w:val="single" w:sz="8" w:space="0" w:color="AEAAAA"/>
            </w:tcBorders>
            <w:shd w:val="clear" w:color="auto" w:fill="auto"/>
            <w:vAlign w:val="center"/>
            <w:hideMark/>
          </w:tcPr>
          <w:p w14:paraId="41143959"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Esenciāla (primāra) hipertensija</w:t>
            </w:r>
          </w:p>
        </w:tc>
        <w:tc>
          <w:tcPr>
            <w:tcW w:w="3544" w:type="dxa"/>
            <w:tcBorders>
              <w:top w:val="nil"/>
              <w:left w:val="nil"/>
              <w:bottom w:val="single" w:sz="8" w:space="0" w:color="AEAAAA"/>
              <w:right w:val="single" w:sz="8" w:space="0" w:color="AEAAAA"/>
            </w:tcBorders>
            <w:shd w:val="clear" w:color="auto" w:fill="auto"/>
            <w:vAlign w:val="center"/>
            <w:hideMark/>
          </w:tcPr>
          <w:p w14:paraId="3FE8D4C3" w14:textId="77777777" w:rsidR="00676138" w:rsidRPr="008463B6" w:rsidRDefault="00676138" w:rsidP="00F52C98">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6509</w:t>
            </w:r>
          </w:p>
        </w:tc>
      </w:tr>
      <w:tr w:rsidR="00676138" w:rsidRPr="008463B6" w14:paraId="10B4121A" w14:textId="77777777" w:rsidTr="00DA3A33">
        <w:trPr>
          <w:trHeight w:val="31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14:paraId="7679625D"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I11</w:t>
            </w:r>
          </w:p>
        </w:tc>
        <w:tc>
          <w:tcPr>
            <w:tcW w:w="2835" w:type="dxa"/>
            <w:tcBorders>
              <w:top w:val="nil"/>
              <w:left w:val="nil"/>
              <w:bottom w:val="single" w:sz="8" w:space="0" w:color="AEAAAA"/>
              <w:right w:val="single" w:sz="8" w:space="0" w:color="AEAAAA"/>
            </w:tcBorders>
            <w:shd w:val="clear" w:color="auto" w:fill="auto"/>
            <w:vAlign w:val="center"/>
            <w:hideMark/>
          </w:tcPr>
          <w:p w14:paraId="29BF790E"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Hipertensīva sirds slimība</w:t>
            </w:r>
          </w:p>
        </w:tc>
        <w:tc>
          <w:tcPr>
            <w:tcW w:w="3544" w:type="dxa"/>
            <w:tcBorders>
              <w:top w:val="nil"/>
              <w:left w:val="nil"/>
              <w:bottom w:val="single" w:sz="8" w:space="0" w:color="AEAAAA"/>
              <w:right w:val="single" w:sz="8" w:space="0" w:color="AEAAAA"/>
            </w:tcBorders>
            <w:shd w:val="clear" w:color="auto" w:fill="auto"/>
            <w:vAlign w:val="center"/>
            <w:hideMark/>
          </w:tcPr>
          <w:p w14:paraId="3193DDE3" w14:textId="77777777" w:rsidR="00676138" w:rsidRPr="008463B6" w:rsidRDefault="00676138" w:rsidP="00F52C98">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2477</w:t>
            </w:r>
          </w:p>
        </w:tc>
      </w:tr>
      <w:tr w:rsidR="00676138" w:rsidRPr="008463B6" w14:paraId="4C2AB1F4" w14:textId="77777777" w:rsidTr="00DA3A33">
        <w:trPr>
          <w:trHeight w:val="31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14:paraId="6727319B"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I12</w:t>
            </w:r>
          </w:p>
        </w:tc>
        <w:tc>
          <w:tcPr>
            <w:tcW w:w="2835" w:type="dxa"/>
            <w:tcBorders>
              <w:top w:val="nil"/>
              <w:left w:val="nil"/>
              <w:bottom w:val="single" w:sz="8" w:space="0" w:color="AEAAAA"/>
              <w:right w:val="single" w:sz="8" w:space="0" w:color="AEAAAA"/>
            </w:tcBorders>
            <w:shd w:val="clear" w:color="auto" w:fill="auto"/>
            <w:vAlign w:val="center"/>
            <w:hideMark/>
          </w:tcPr>
          <w:p w14:paraId="65A6F00E"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Hipertensīva  nefropātija</w:t>
            </w:r>
          </w:p>
        </w:tc>
        <w:tc>
          <w:tcPr>
            <w:tcW w:w="3544" w:type="dxa"/>
            <w:tcBorders>
              <w:top w:val="nil"/>
              <w:left w:val="nil"/>
              <w:bottom w:val="single" w:sz="8" w:space="0" w:color="AEAAAA"/>
              <w:right w:val="single" w:sz="8" w:space="0" w:color="AEAAAA"/>
            </w:tcBorders>
            <w:shd w:val="clear" w:color="auto" w:fill="auto"/>
            <w:vAlign w:val="center"/>
            <w:hideMark/>
          </w:tcPr>
          <w:p w14:paraId="505446BD" w14:textId="77777777" w:rsidR="00676138" w:rsidRPr="008463B6" w:rsidRDefault="00676138" w:rsidP="00F52C98">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116</w:t>
            </w:r>
          </w:p>
        </w:tc>
      </w:tr>
      <w:tr w:rsidR="00676138" w:rsidRPr="008463B6" w14:paraId="1DED43B2" w14:textId="77777777" w:rsidTr="00DA3A33">
        <w:trPr>
          <w:trHeight w:val="46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14:paraId="1CF9A9B2"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I13</w:t>
            </w:r>
          </w:p>
        </w:tc>
        <w:tc>
          <w:tcPr>
            <w:tcW w:w="2835" w:type="dxa"/>
            <w:tcBorders>
              <w:top w:val="nil"/>
              <w:left w:val="nil"/>
              <w:bottom w:val="single" w:sz="8" w:space="0" w:color="AEAAAA"/>
              <w:right w:val="single" w:sz="8" w:space="0" w:color="AEAAAA"/>
            </w:tcBorders>
            <w:shd w:val="clear" w:color="auto" w:fill="auto"/>
            <w:vAlign w:val="center"/>
            <w:hideMark/>
          </w:tcPr>
          <w:p w14:paraId="30EFD327"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Hipertensīva  kardionefropātija</w:t>
            </w:r>
          </w:p>
        </w:tc>
        <w:tc>
          <w:tcPr>
            <w:tcW w:w="3544" w:type="dxa"/>
            <w:tcBorders>
              <w:top w:val="nil"/>
              <w:left w:val="nil"/>
              <w:bottom w:val="single" w:sz="8" w:space="0" w:color="AEAAAA"/>
              <w:right w:val="single" w:sz="8" w:space="0" w:color="AEAAAA"/>
            </w:tcBorders>
            <w:shd w:val="clear" w:color="auto" w:fill="auto"/>
            <w:vAlign w:val="center"/>
            <w:hideMark/>
          </w:tcPr>
          <w:p w14:paraId="7B844F90" w14:textId="77777777" w:rsidR="00676138" w:rsidRPr="008463B6" w:rsidRDefault="00676138" w:rsidP="00F52C98">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37</w:t>
            </w:r>
          </w:p>
        </w:tc>
      </w:tr>
      <w:tr w:rsidR="00676138" w:rsidRPr="008463B6" w14:paraId="4746E5B8" w14:textId="77777777" w:rsidTr="00DA3A33">
        <w:trPr>
          <w:trHeight w:val="31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14:paraId="324ACB39"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I15</w:t>
            </w:r>
          </w:p>
        </w:tc>
        <w:tc>
          <w:tcPr>
            <w:tcW w:w="2835" w:type="dxa"/>
            <w:tcBorders>
              <w:top w:val="nil"/>
              <w:left w:val="nil"/>
              <w:bottom w:val="single" w:sz="8" w:space="0" w:color="AEAAAA"/>
              <w:right w:val="single" w:sz="8" w:space="0" w:color="AEAAAA"/>
            </w:tcBorders>
            <w:shd w:val="clear" w:color="auto" w:fill="auto"/>
            <w:noWrap/>
            <w:vAlign w:val="center"/>
            <w:hideMark/>
          </w:tcPr>
          <w:p w14:paraId="7A630F16"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Sekundāra hipertensija</w:t>
            </w:r>
          </w:p>
        </w:tc>
        <w:tc>
          <w:tcPr>
            <w:tcW w:w="3544" w:type="dxa"/>
            <w:tcBorders>
              <w:top w:val="nil"/>
              <w:left w:val="nil"/>
              <w:bottom w:val="single" w:sz="8" w:space="0" w:color="AEAAAA"/>
              <w:right w:val="single" w:sz="8" w:space="0" w:color="AEAAAA"/>
            </w:tcBorders>
            <w:shd w:val="clear" w:color="auto" w:fill="auto"/>
            <w:vAlign w:val="center"/>
            <w:hideMark/>
          </w:tcPr>
          <w:p w14:paraId="4546C6D6" w14:textId="77777777" w:rsidR="00676138" w:rsidRPr="008463B6" w:rsidRDefault="00676138" w:rsidP="00F52C98">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90</w:t>
            </w:r>
          </w:p>
        </w:tc>
      </w:tr>
      <w:tr w:rsidR="00676138" w:rsidRPr="008463B6" w14:paraId="799F2E1E" w14:textId="77777777" w:rsidTr="00DA3A33">
        <w:trPr>
          <w:trHeight w:val="31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14:paraId="05E7A5DB"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J45</w:t>
            </w:r>
          </w:p>
        </w:tc>
        <w:tc>
          <w:tcPr>
            <w:tcW w:w="2835" w:type="dxa"/>
            <w:tcBorders>
              <w:top w:val="nil"/>
              <w:left w:val="nil"/>
              <w:bottom w:val="single" w:sz="8" w:space="0" w:color="AEAAAA"/>
              <w:right w:val="single" w:sz="8" w:space="0" w:color="AEAAAA"/>
            </w:tcBorders>
            <w:shd w:val="clear" w:color="auto" w:fill="auto"/>
            <w:noWrap/>
            <w:vAlign w:val="center"/>
            <w:hideMark/>
          </w:tcPr>
          <w:p w14:paraId="22D26627"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Astma</w:t>
            </w:r>
          </w:p>
        </w:tc>
        <w:tc>
          <w:tcPr>
            <w:tcW w:w="3544" w:type="dxa"/>
            <w:tcBorders>
              <w:top w:val="nil"/>
              <w:left w:val="nil"/>
              <w:bottom w:val="single" w:sz="8" w:space="0" w:color="AEAAAA"/>
              <w:right w:val="single" w:sz="8" w:space="0" w:color="AEAAAA"/>
            </w:tcBorders>
            <w:shd w:val="clear" w:color="auto" w:fill="auto"/>
            <w:vAlign w:val="center"/>
            <w:hideMark/>
          </w:tcPr>
          <w:p w14:paraId="7CA5A45B" w14:textId="77777777" w:rsidR="00676138" w:rsidRPr="008463B6" w:rsidRDefault="00676138" w:rsidP="00F52C98">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2598</w:t>
            </w:r>
          </w:p>
        </w:tc>
      </w:tr>
      <w:tr w:rsidR="00676138" w:rsidRPr="008463B6" w14:paraId="1558787A" w14:textId="77777777" w:rsidTr="00DA3A33">
        <w:trPr>
          <w:trHeight w:val="315"/>
          <w:jc w:val="center"/>
        </w:trPr>
        <w:tc>
          <w:tcPr>
            <w:tcW w:w="1985" w:type="dxa"/>
            <w:tcBorders>
              <w:top w:val="nil"/>
              <w:left w:val="single" w:sz="8" w:space="0" w:color="AEAAAA"/>
              <w:bottom w:val="single" w:sz="8" w:space="0" w:color="AEAAAA"/>
              <w:right w:val="single" w:sz="8" w:space="0" w:color="AEAAAA"/>
            </w:tcBorders>
            <w:shd w:val="clear" w:color="auto" w:fill="auto"/>
            <w:noWrap/>
            <w:vAlign w:val="center"/>
            <w:hideMark/>
          </w:tcPr>
          <w:p w14:paraId="6AB926DD" w14:textId="77777777" w:rsidR="00676138" w:rsidRPr="008463B6" w:rsidRDefault="00676138" w:rsidP="00F52C98">
            <w:pPr>
              <w:spacing w:after="0" w:line="240" w:lineRule="auto"/>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J46</w:t>
            </w:r>
          </w:p>
        </w:tc>
        <w:tc>
          <w:tcPr>
            <w:tcW w:w="2835" w:type="dxa"/>
            <w:tcBorders>
              <w:top w:val="nil"/>
              <w:left w:val="nil"/>
              <w:bottom w:val="single" w:sz="8" w:space="0" w:color="AEAAAA"/>
              <w:right w:val="single" w:sz="8" w:space="0" w:color="AEAAAA"/>
            </w:tcBorders>
            <w:shd w:val="clear" w:color="auto" w:fill="auto"/>
            <w:noWrap/>
            <w:vAlign w:val="center"/>
            <w:hideMark/>
          </w:tcPr>
          <w:p w14:paraId="5C14D0C3" w14:textId="77777777" w:rsidR="00676138" w:rsidRPr="008463B6" w:rsidRDefault="00676138" w:rsidP="57326167">
            <w:pPr>
              <w:spacing w:after="0" w:line="240" w:lineRule="auto"/>
              <w:rPr>
                <w:rFonts w:ascii="Times New Roman" w:eastAsia="Times New Roman" w:hAnsi="Times New Roman" w:cs="Times New Roman"/>
                <w:i/>
                <w:iCs/>
                <w:color w:val="000000" w:themeColor="text1"/>
                <w:sz w:val="20"/>
                <w:szCs w:val="16"/>
                <w:lang w:eastAsia="lv-LV"/>
              </w:rPr>
            </w:pPr>
            <w:r w:rsidRPr="008463B6">
              <w:rPr>
                <w:rFonts w:ascii="Times New Roman" w:eastAsia="Times New Roman" w:hAnsi="Times New Roman" w:cs="Times New Roman"/>
                <w:i/>
                <w:iCs/>
                <w:color w:val="000000"/>
                <w:sz w:val="20"/>
                <w:szCs w:val="16"/>
                <w:lang w:eastAsia="lv-LV"/>
              </w:rPr>
              <w:t>Status asthmaticus</w:t>
            </w:r>
          </w:p>
        </w:tc>
        <w:tc>
          <w:tcPr>
            <w:tcW w:w="3544" w:type="dxa"/>
            <w:tcBorders>
              <w:top w:val="nil"/>
              <w:left w:val="nil"/>
              <w:bottom w:val="single" w:sz="8" w:space="0" w:color="AEAAAA"/>
              <w:right w:val="single" w:sz="8" w:space="0" w:color="AEAAAA"/>
            </w:tcBorders>
            <w:shd w:val="clear" w:color="auto" w:fill="auto"/>
            <w:vAlign w:val="center"/>
            <w:hideMark/>
          </w:tcPr>
          <w:p w14:paraId="2599B8EF" w14:textId="77777777" w:rsidR="00676138" w:rsidRPr="008463B6" w:rsidRDefault="00676138" w:rsidP="00F52C98">
            <w:pPr>
              <w:spacing w:after="0" w:line="240" w:lineRule="auto"/>
              <w:jc w:val="center"/>
              <w:rPr>
                <w:rFonts w:ascii="Times New Roman" w:eastAsia="Times New Roman" w:hAnsi="Times New Roman" w:cs="Times New Roman"/>
                <w:color w:val="000000"/>
                <w:sz w:val="20"/>
                <w:szCs w:val="16"/>
                <w:lang w:eastAsia="lv-LV"/>
              </w:rPr>
            </w:pPr>
            <w:r w:rsidRPr="008463B6">
              <w:rPr>
                <w:rFonts w:ascii="Times New Roman" w:eastAsia="Times New Roman" w:hAnsi="Times New Roman" w:cs="Times New Roman"/>
                <w:color w:val="000000"/>
                <w:sz w:val="20"/>
                <w:szCs w:val="16"/>
                <w:lang w:eastAsia="lv-LV"/>
              </w:rPr>
              <w:t>10</w:t>
            </w:r>
          </w:p>
        </w:tc>
      </w:tr>
      <w:tr w:rsidR="008B067D" w:rsidRPr="008463B6" w14:paraId="508FFD6B" w14:textId="77777777" w:rsidTr="00DA3A33">
        <w:trPr>
          <w:trHeight w:val="315"/>
          <w:jc w:val="center"/>
        </w:trPr>
        <w:tc>
          <w:tcPr>
            <w:tcW w:w="4820" w:type="dxa"/>
            <w:gridSpan w:val="2"/>
            <w:tcBorders>
              <w:top w:val="single" w:sz="8" w:space="0" w:color="AEAAAA"/>
              <w:left w:val="single" w:sz="8" w:space="0" w:color="AEAAAA"/>
              <w:bottom w:val="single" w:sz="8" w:space="0" w:color="AEAAAA"/>
              <w:right w:val="single" w:sz="8" w:space="0" w:color="AEAAAA"/>
            </w:tcBorders>
            <w:shd w:val="clear" w:color="auto" w:fill="FBD4B4" w:themeFill="accent6" w:themeFillTint="66"/>
            <w:noWrap/>
            <w:vAlign w:val="center"/>
            <w:hideMark/>
          </w:tcPr>
          <w:p w14:paraId="7E129704" w14:textId="77777777" w:rsidR="00676138" w:rsidRPr="008463B6" w:rsidRDefault="00676138" w:rsidP="00847710">
            <w:pPr>
              <w:spacing w:after="0" w:line="240" w:lineRule="auto"/>
              <w:jc w:val="right"/>
              <w:rPr>
                <w:rFonts w:ascii="Times New Roman" w:eastAsia="Times New Roman" w:hAnsi="Times New Roman" w:cs="Times New Roman"/>
                <w:b/>
                <w:bCs/>
                <w:sz w:val="20"/>
                <w:szCs w:val="16"/>
                <w:lang w:eastAsia="lv-LV"/>
              </w:rPr>
            </w:pPr>
            <w:r w:rsidRPr="008463B6">
              <w:rPr>
                <w:rFonts w:ascii="Times New Roman" w:eastAsia="Times New Roman" w:hAnsi="Times New Roman" w:cs="Times New Roman"/>
                <w:b/>
                <w:bCs/>
                <w:sz w:val="20"/>
                <w:szCs w:val="16"/>
                <w:lang w:eastAsia="lv-LV"/>
              </w:rPr>
              <w:t>Kopā</w:t>
            </w:r>
          </w:p>
        </w:tc>
        <w:tc>
          <w:tcPr>
            <w:tcW w:w="3544" w:type="dxa"/>
            <w:tcBorders>
              <w:top w:val="nil"/>
              <w:left w:val="nil"/>
              <w:bottom w:val="single" w:sz="8" w:space="0" w:color="AEAAAA"/>
              <w:right w:val="single" w:sz="8" w:space="0" w:color="AEAAAA"/>
            </w:tcBorders>
            <w:shd w:val="clear" w:color="auto" w:fill="FBD4B4" w:themeFill="accent6" w:themeFillTint="66"/>
            <w:vAlign w:val="center"/>
            <w:hideMark/>
          </w:tcPr>
          <w:p w14:paraId="2A386539" w14:textId="77777777" w:rsidR="00676138" w:rsidRPr="008463B6" w:rsidRDefault="00676138" w:rsidP="00F52C98">
            <w:pPr>
              <w:spacing w:after="0" w:line="240" w:lineRule="auto"/>
              <w:jc w:val="center"/>
              <w:rPr>
                <w:rFonts w:ascii="Times New Roman" w:eastAsia="Times New Roman" w:hAnsi="Times New Roman" w:cs="Times New Roman"/>
                <w:b/>
                <w:bCs/>
                <w:sz w:val="20"/>
                <w:szCs w:val="16"/>
                <w:lang w:eastAsia="lv-LV"/>
              </w:rPr>
            </w:pPr>
            <w:r w:rsidRPr="008463B6">
              <w:rPr>
                <w:rFonts w:ascii="Times New Roman" w:eastAsia="Times New Roman" w:hAnsi="Times New Roman" w:cs="Times New Roman"/>
                <w:b/>
                <w:bCs/>
                <w:sz w:val="20"/>
                <w:szCs w:val="16"/>
                <w:lang w:eastAsia="lv-LV"/>
              </w:rPr>
              <w:t>14 219</w:t>
            </w:r>
          </w:p>
        </w:tc>
      </w:tr>
    </w:tbl>
    <w:p w14:paraId="3EF9D72D" w14:textId="77777777" w:rsidR="00676138" w:rsidRPr="00847710" w:rsidRDefault="00676138" w:rsidP="00676138">
      <w:pPr>
        <w:spacing w:after="120"/>
        <w:ind w:firstLine="567"/>
        <w:jc w:val="both"/>
        <w:rPr>
          <w:rFonts w:ascii="Times New Roman" w:hAnsi="Times New Roman" w:cs="Times New Roman"/>
          <w:sz w:val="24"/>
          <w:szCs w:val="24"/>
        </w:rPr>
      </w:pPr>
      <w:r w:rsidRPr="00847710">
        <w:rPr>
          <w:rFonts w:ascii="Times New Roman" w:hAnsi="Times New Roman" w:cs="Times New Roman"/>
          <w:sz w:val="24"/>
          <w:szCs w:val="24"/>
        </w:rPr>
        <w:t xml:space="preserve"> </w:t>
      </w:r>
    </w:p>
    <w:p w14:paraId="11C0A301" w14:textId="55BB69BF" w:rsidR="00676138" w:rsidRPr="00847710" w:rsidRDefault="00676138" w:rsidP="00676138">
      <w:pPr>
        <w:spacing w:after="120"/>
        <w:ind w:firstLine="567"/>
        <w:jc w:val="both"/>
        <w:rPr>
          <w:rFonts w:ascii="Times New Roman" w:hAnsi="Times New Roman" w:cs="Times New Roman"/>
          <w:sz w:val="24"/>
          <w:szCs w:val="24"/>
        </w:rPr>
      </w:pPr>
      <w:r w:rsidRPr="00847710">
        <w:rPr>
          <w:rFonts w:ascii="Times New Roman" w:hAnsi="Times New Roman" w:cs="Times New Roman"/>
          <w:sz w:val="24"/>
          <w:szCs w:val="24"/>
        </w:rPr>
        <w:t xml:space="preserve">Nodrošinot ģimenes ārsta veselības stāvokļa novērtēšanu pie ģimenes ārsta reģistrētiem pacientiem, turpmākajā laika periodā plānots panākt hospitalizāciju skaita ar indikatordiagnozēm samazinājumu par 25%. </w:t>
      </w:r>
    </w:p>
    <w:p w14:paraId="050C97E9" w14:textId="6253EB2E" w:rsidR="000C109B" w:rsidRPr="00847710" w:rsidRDefault="00A4123F" w:rsidP="00A4123F">
      <w:pPr>
        <w:spacing w:after="120"/>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Liela nozīme primārās veselības aprūpē ir ģimenes ārstu komandai, tas ir, ģimenes ārsta praksē strādājošām ģimenes ārsta māsām un ārstu palīgiem, kas kopā ar ģimenes ārstu nodrošina aprūpes regularitāti, savlaicīgumu un efektivitāti. Lai nodrošinātu ģimenes ārstu, ārstu palīgu un medmāsu pieejamību, ģimenes ārstu komandai nepieciešams piesaistīt otrās māsas. Pašlaik spēkā esošais   normatīvais regulējums</w:t>
      </w:r>
      <w:r w:rsidRPr="00847710">
        <w:rPr>
          <w:rStyle w:val="FootnoteReference"/>
          <w:rFonts w:ascii="Times New Roman" w:hAnsi="Times New Roman" w:cs="Times New Roman"/>
          <w:sz w:val="24"/>
          <w:szCs w:val="24"/>
          <w:lang w:eastAsia="lv-LV"/>
        </w:rPr>
        <w:footnoteReference w:id="52"/>
      </w:r>
      <w:r w:rsidRPr="00847710">
        <w:rPr>
          <w:rFonts w:ascii="Times New Roman" w:hAnsi="Times New Roman" w:cs="Times New Roman"/>
          <w:sz w:val="24"/>
          <w:szCs w:val="24"/>
          <w:lang w:eastAsia="lv-LV"/>
        </w:rPr>
        <w:t xml:space="preserve"> pieļauj ģimenes ārsta praksei  piesaistīt otro māsu (ārsta palīgu), ja tā ir nodrošināta ar iekārtotu darba vietu un māsas vai ārsta palīga pacientu patstāvīgais pieņemšanas laiks ir ne mazāks par 10 stundām nedēļā. Līdz ar to otrās māsas (ārsta palīga) darbības nodrošināšanai, ģimenes ārstam ir jānodrošina papildus resursi</w:t>
      </w:r>
      <w:r w:rsidR="004F6377" w:rsidRPr="00847710">
        <w:rPr>
          <w:rFonts w:ascii="Times New Roman" w:hAnsi="Times New Roman" w:cs="Times New Roman"/>
          <w:sz w:val="24"/>
          <w:szCs w:val="24"/>
          <w:lang w:eastAsia="lv-LV"/>
        </w:rPr>
        <w:t>.</w:t>
      </w:r>
    </w:p>
    <w:p w14:paraId="37449AC2" w14:textId="34CA2124" w:rsidR="005536E3" w:rsidRPr="005536E3" w:rsidRDefault="00F4260B" w:rsidP="005536E3">
      <w:pPr>
        <w:ind w:firstLine="720"/>
        <w:jc w:val="both"/>
        <w:rPr>
          <w:rFonts w:ascii="Times New Roman" w:eastAsia="Times New Roman" w:hAnsi="Times New Roman" w:cs="Times New Roman"/>
          <w:b/>
          <w:bCs/>
          <w:sz w:val="24"/>
          <w:szCs w:val="24"/>
          <w:lang w:bidi="gu-IN"/>
        </w:rPr>
      </w:pPr>
      <w:r w:rsidRPr="00847710">
        <w:rPr>
          <w:rFonts w:ascii="Times New Roman" w:hAnsi="Times New Roman" w:cs="Times New Roman"/>
          <w:sz w:val="24"/>
          <w:szCs w:val="24"/>
          <w:lang w:eastAsia="lv-LV"/>
        </w:rPr>
        <w:t>Mērķa</w:t>
      </w:r>
      <w:r w:rsidR="00D62BF6" w:rsidRPr="00847710">
        <w:rPr>
          <w:rFonts w:ascii="Times New Roman" w:hAnsi="Times New Roman" w:cs="Times New Roman"/>
          <w:sz w:val="24"/>
          <w:szCs w:val="24"/>
          <w:lang w:eastAsia="lv-LV"/>
        </w:rPr>
        <w:t xml:space="preserve"> kritēriju iestrādei ģimenes ārstu kapitācijas naudas maksājumā papildus nepieciešams finansējums </w:t>
      </w:r>
      <w:r w:rsidR="006033D8" w:rsidRPr="00847710">
        <w:rPr>
          <w:rFonts w:ascii="Times New Roman" w:hAnsi="Times New Roman" w:cs="Times New Roman"/>
          <w:sz w:val="24"/>
          <w:szCs w:val="24"/>
          <w:lang w:eastAsia="lv-LV"/>
        </w:rPr>
        <w:t xml:space="preserve">3 131 715 </w:t>
      </w:r>
      <w:r w:rsidR="00D62BF6" w:rsidRPr="00847710">
        <w:rPr>
          <w:rFonts w:ascii="Times New Roman" w:hAnsi="Times New Roman" w:cs="Times New Roman"/>
          <w:sz w:val="24"/>
          <w:szCs w:val="24"/>
          <w:lang w:eastAsia="lv-LV"/>
        </w:rPr>
        <w:t>euro apmērā.</w:t>
      </w:r>
      <w:r w:rsidR="00BB49CB" w:rsidRPr="00847710">
        <w:rPr>
          <w:rFonts w:ascii="Times New Roman" w:hAnsi="Times New Roman" w:cs="Times New Roman"/>
          <w:sz w:val="24"/>
          <w:szCs w:val="24"/>
          <w:lang w:eastAsia="lv-LV"/>
        </w:rPr>
        <w:t xml:space="preserve"> Mēneša kapitācijas nauda tiks palielināta par 205.10 euro, tādējādi </w:t>
      </w:r>
      <w:r w:rsidR="00BB49CB" w:rsidRPr="00847710">
        <w:rPr>
          <w:rFonts w:ascii="Times New Roman" w:eastAsia="Times New Roman" w:hAnsi="Times New Roman" w:cs="Times New Roman"/>
          <w:noProof/>
          <w:sz w:val="24"/>
          <w:szCs w:val="24"/>
          <w:lang w:bidi="gu-IN"/>
        </w:rPr>
        <w:t>nodrošinot kapitācijas naudas pieaugumu par 0,129892 (1.601602 - 1.47171) euro mēnesī</w:t>
      </w:r>
      <w:r w:rsidR="0018564B" w:rsidRPr="00847710">
        <w:rPr>
          <w:rStyle w:val="FootnoteReference"/>
          <w:rFonts w:ascii="Times New Roman" w:eastAsia="Times New Roman" w:hAnsi="Times New Roman" w:cs="Times New Roman"/>
          <w:noProof/>
          <w:sz w:val="24"/>
          <w:szCs w:val="24"/>
          <w:lang w:bidi="gu-IN"/>
        </w:rPr>
        <w:footnoteReference w:id="53"/>
      </w:r>
      <w:r w:rsidR="00BB49CB" w:rsidRPr="00847710">
        <w:rPr>
          <w:rFonts w:ascii="Times New Roman" w:eastAsia="Times New Roman" w:hAnsi="Times New Roman" w:cs="Times New Roman"/>
          <w:noProof/>
          <w:sz w:val="24"/>
          <w:szCs w:val="24"/>
          <w:lang w:bidi="gu-IN"/>
        </w:rPr>
        <w:t>. Atbilstoši kapitācijas pieaugumam aprēķināta kapitācijas naudas palielinājuma ietekme uz valsts budžetu ņemot par pamatu kopējo reģistrēto pacientu skaitu uz 20.08.2017. – 2 009 179 pacienti. Attiecīgi kapitācijas pieaugums mēnesī uz 1 pacientu 0,129892 x kopējais reģistrēto pacientu skaitu 2 009 179 x 12 mēnešiem</w:t>
      </w:r>
      <w:r w:rsidR="00E04AAF" w:rsidRPr="00847710">
        <w:rPr>
          <w:rFonts w:ascii="Times New Roman" w:eastAsia="Times New Roman" w:hAnsi="Times New Roman" w:cs="Times New Roman"/>
          <w:noProof/>
          <w:sz w:val="24"/>
          <w:szCs w:val="24"/>
          <w:lang w:bidi="gu-IN"/>
        </w:rPr>
        <w:t xml:space="preserve"> </w:t>
      </w:r>
      <w:r w:rsidR="00BB49CB" w:rsidRPr="00847710">
        <w:rPr>
          <w:rFonts w:ascii="Times New Roman" w:eastAsia="Times New Roman" w:hAnsi="Times New Roman" w:cs="Times New Roman"/>
          <w:noProof/>
          <w:sz w:val="24"/>
          <w:szCs w:val="24"/>
          <w:lang w:bidi="gu-IN"/>
        </w:rPr>
        <w:t xml:space="preserve">=  </w:t>
      </w:r>
      <w:r w:rsidR="00BB49CB" w:rsidRPr="0012317D">
        <w:rPr>
          <w:rFonts w:ascii="Times New Roman" w:eastAsia="Times New Roman" w:hAnsi="Times New Roman" w:cs="Times New Roman"/>
          <w:b/>
          <w:bCs/>
          <w:sz w:val="24"/>
          <w:szCs w:val="24"/>
          <w:lang w:bidi="gu-IN"/>
        </w:rPr>
        <w:t>3 131 715 euro.</w:t>
      </w:r>
    </w:p>
    <w:tbl>
      <w:tblPr>
        <w:tblW w:w="9062" w:type="dxa"/>
        <w:tblLook w:val="04A0" w:firstRow="1" w:lastRow="0" w:firstColumn="1" w:lastColumn="0" w:noHBand="0" w:noVBand="1"/>
      </w:tblPr>
      <w:tblGrid>
        <w:gridCol w:w="9062"/>
      </w:tblGrid>
      <w:tr w:rsidR="00AD318E" w:rsidRPr="00AD318E" w14:paraId="508AB66C" w14:textId="77777777" w:rsidTr="00D362F4">
        <w:trPr>
          <w:trHeight w:val="315"/>
        </w:trPr>
        <w:tc>
          <w:tcPr>
            <w:tcW w:w="9062" w:type="dxa"/>
            <w:tcBorders>
              <w:top w:val="single" w:sz="8" w:space="0" w:color="auto"/>
              <w:left w:val="single" w:sz="8" w:space="0" w:color="auto"/>
              <w:bottom w:val="nil"/>
              <w:right w:val="single" w:sz="8" w:space="0" w:color="auto"/>
            </w:tcBorders>
            <w:shd w:val="clear" w:color="auto" w:fill="auto"/>
            <w:noWrap/>
            <w:vAlign w:val="bottom"/>
            <w:hideMark/>
          </w:tcPr>
          <w:p w14:paraId="62397001" w14:textId="77777777" w:rsidR="00AD318E" w:rsidRPr="00AD318E" w:rsidRDefault="00AD318E" w:rsidP="00AD318E">
            <w:pPr>
              <w:spacing w:after="0" w:line="240" w:lineRule="auto"/>
              <w:rPr>
                <w:rFonts w:ascii="Times New Roman" w:eastAsia="Times New Roman" w:hAnsi="Times New Roman" w:cs="Times New Roman"/>
                <w:b/>
                <w:bCs/>
                <w:color w:val="000000"/>
                <w:sz w:val="24"/>
                <w:szCs w:val="24"/>
                <w:lang w:eastAsia="lv-LV"/>
              </w:rPr>
            </w:pPr>
            <w:r w:rsidRPr="00AD318E">
              <w:rPr>
                <w:rFonts w:ascii="Times New Roman" w:eastAsia="Times New Roman" w:hAnsi="Times New Roman" w:cs="Times New Roman"/>
                <w:b/>
                <w:bCs/>
                <w:color w:val="000000"/>
                <w:sz w:val="24"/>
                <w:szCs w:val="24"/>
                <w:lang w:eastAsia="lv-LV"/>
              </w:rPr>
              <w:t>Reformas rezultāts:</w:t>
            </w:r>
          </w:p>
        </w:tc>
      </w:tr>
      <w:tr w:rsidR="00AD318E" w:rsidRPr="00AD318E" w14:paraId="326F9EA1" w14:textId="77777777" w:rsidTr="00D362F4">
        <w:trPr>
          <w:trHeight w:val="660"/>
        </w:trPr>
        <w:tc>
          <w:tcPr>
            <w:tcW w:w="9062" w:type="dxa"/>
            <w:tcBorders>
              <w:top w:val="nil"/>
              <w:left w:val="single" w:sz="8" w:space="0" w:color="auto"/>
              <w:bottom w:val="nil"/>
              <w:right w:val="single" w:sz="8" w:space="0" w:color="auto"/>
            </w:tcBorders>
            <w:shd w:val="clear" w:color="auto" w:fill="auto"/>
            <w:vAlign w:val="bottom"/>
            <w:hideMark/>
          </w:tcPr>
          <w:p w14:paraId="748521D3" w14:textId="08C5A74A" w:rsidR="00AD318E" w:rsidRPr="00AD318E" w:rsidRDefault="00AD318E" w:rsidP="00AD318E">
            <w:pPr>
              <w:spacing w:after="0" w:line="240" w:lineRule="auto"/>
              <w:rPr>
                <w:rFonts w:ascii="Times New Roman" w:eastAsia="Times New Roman" w:hAnsi="Times New Roman" w:cs="Times New Roman"/>
                <w:b/>
                <w:bCs/>
                <w:color w:val="000000"/>
                <w:sz w:val="24"/>
                <w:szCs w:val="24"/>
                <w:lang w:eastAsia="lv-LV"/>
              </w:rPr>
            </w:pPr>
            <w:r w:rsidRPr="00AD318E">
              <w:rPr>
                <w:rFonts w:ascii="Times New Roman" w:eastAsia="Times New Roman" w:hAnsi="Times New Roman" w:cs="Times New Roman"/>
                <w:b/>
                <w:bCs/>
                <w:color w:val="000000"/>
                <w:sz w:val="24"/>
                <w:szCs w:val="24"/>
                <w:lang w:eastAsia="lv-LV"/>
              </w:rPr>
              <w:t>603 515 pacienti</w:t>
            </w:r>
            <w:r w:rsidR="0056229C">
              <w:rPr>
                <w:rFonts w:ascii="Times New Roman" w:eastAsia="Times New Roman" w:hAnsi="Times New Roman" w:cs="Times New Roman"/>
                <w:b/>
                <w:bCs/>
                <w:color w:val="000000"/>
                <w:sz w:val="24"/>
                <w:szCs w:val="24"/>
                <w:lang w:eastAsia="lv-LV"/>
              </w:rPr>
              <w:t>em</w:t>
            </w:r>
            <w:r w:rsidRPr="00AD318E">
              <w:rPr>
                <w:rFonts w:ascii="Times New Roman" w:eastAsia="Times New Roman" w:hAnsi="Times New Roman" w:cs="Times New Roman"/>
                <w:b/>
                <w:bCs/>
                <w:color w:val="000000"/>
                <w:sz w:val="24"/>
                <w:szCs w:val="24"/>
                <w:lang w:eastAsia="lv-LV"/>
              </w:rPr>
              <w:t xml:space="preserve"> veselības stāvokļa novērtēšanas laikā ir konstatētas veselības problēmas un uzsākta savlaicīga ārstēšana</w:t>
            </w:r>
            <w:r w:rsidR="00C15AC1">
              <w:rPr>
                <w:rFonts w:ascii="Times New Roman" w:eastAsia="Times New Roman" w:hAnsi="Times New Roman" w:cs="Times New Roman"/>
                <w:b/>
                <w:bCs/>
                <w:color w:val="000000"/>
                <w:sz w:val="24"/>
                <w:szCs w:val="24"/>
                <w:lang w:eastAsia="lv-LV"/>
              </w:rPr>
              <w:t>;</w:t>
            </w:r>
          </w:p>
        </w:tc>
      </w:tr>
      <w:tr w:rsidR="00AD318E" w:rsidRPr="00AD318E" w14:paraId="5518E8C7" w14:textId="77777777" w:rsidTr="00D362F4">
        <w:trPr>
          <w:trHeight w:val="315"/>
        </w:trPr>
        <w:tc>
          <w:tcPr>
            <w:tcW w:w="9062" w:type="dxa"/>
            <w:tcBorders>
              <w:top w:val="nil"/>
              <w:left w:val="single" w:sz="8" w:space="0" w:color="auto"/>
              <w:bottom w:val="nil"/>
              <w:right w:val="single" w:sz="8" w:space="0" w:color="auto"/>
            </w:tcBorders>
            <w:shd w:val="clear" w:color="auto" w:fill="auto"/>
            <w:noWrap/>
            <w:vAlign w:val="bottom"/>
            <w:hideMark/>
          </w:tcPr>
          <w:p w14:paraId="7F254D71" w14:textId="0668D6FA" w:rsidR="00AD318E" w:rsidRPr="00AD318E" w:rsidRDefault="00AD318E" w:rsidP="00AD318E">
            <w:pPr>
              <w:spacing w:after="0" w:line="240" w:lineRule="auto"/>
              <w:rPr>
                <w:rFonts w:ascii="Times New Roman" w:eastAsia="Times New Roman" w:hAnsi="Times New Roman" w:cs="Times New Roman"/>
                <w:b/>
                <w:bCs/>
                <w:color w:val="000000"/>
                <w:sz w:val="24"/>
                <w:szCs w:val="24"/>
                <w:lang w:eastAsia="lv-LV"/>
              </w:rPr>
            </w:pPr>
            <w:r w:rsidRPr="00AD318E">
              <w:rPr>
                <w:rFonts w:ascii="Times New Roman" w:eastAsia="Times New Roman" w:hAnsi="Times New Roman" w:cs="Times New Roman"/>
                <w:b/>
                <w:bCs/>
                <w:color w:val="000000"/>
                <w:sz w:val="24"/>
                <w:szCs w:val="24"/>
                <w:lang w:eastAsia="lv-LV"/>
              </w:rPr>
              <w:t xml:space="preserve">11 000 pacientiem </w:t>
            </w:r>
            <w:r w:rsidR="009B53CB">
              <w:rPr>
                <w:rFonts w:ascii="Times New Roman" w:eastAsia="Times New Roman" w:hAnsi="Times New Roman" w:cs="Times New Roman"/>
                <w:b/>
                <w:bCs/>
                <w:color w:val="000000"/>
                <w:sz w:val="24"/>
                <w:szCs w:val="24"/>
                <w:lang w:eastAsia="lv-LV"/>
              </w:rPr>
              <w:t xml:space="preserve">pēc </w:t>
            </w:r>
            <w:r w:rsidR="009B53CB" w:rsidRPr="00AD318E">
              <w:rPr>
                <w:rFonts w:ascii="Times New Roman" w:eastAsia="Times New Roman" w:hAnsi="Times New Roman" w:cs="Times New Roman"/>
                <w:b/>
                <w:bCs/>
                <w:color w:val="000000"/>
                <w:sz w:val="24"/>
                <w:szCs w:val="24"/>
                <w:lang w:eastAsia="lv-LV"/>
              </w:rPr>
              <w:t>ļaundabīgo audzēju primār</w:t>
            </w:r>
            <w:r w:rsidR="00751FD5">
              <w:rPr>
                <w:rFonts w:ascii="Times New Roman" w:eastAsia="Times New Roman" w:hAnsi="Times New Roman" w:cs="Times New Roman"/>
                <w:b/>
                <w:bCs/>
                <w:color w:val="000000"/>
                <w:sz w:val="24"/>
                <w:szCs w:val="24"/>
                <w:lang w:eastAsia="lv-LV"/>
              </w:rPr>
              <w:t>ās</w:t>
            </w:r>
            <w:r w:rsidR="009B53CB" w:rsidRPr="00AD318E">
              <w:rPr>
                <w:rFonts w:ascii="Times New Roman" w:eastAsia="Times New Roman" w:hAnsi="Times New Roman" w:cs="Times New Roman"/>
                <w:b/>
                <w:bCs/>
                <w:color w:val="000000"/>
                <w:sz w:val="24"/>
                <w:szCs w:val="24"/>
                <w:lang w:eastAsia="lv-LV"/>
              </w:rPr>
              <w:t xml:space="preserve"> diagnostik</w:t>
            </w:r>
            <w:r w:rsidR="00751FD5">
              <w:rPr>
                <w:rFonts w:ascii="Times New Roman" w:eastAsia="Times New Roman" w:hAnsi="Times New Roman" w:cs="Times New Roman"/>
                <w:b/>
                <w:bCs/>
                <w:color w:val="000000"/>
                <w:sz w:val="24"/>
                <w:szCs w:val="24"/>
                <w:lang w:eastAsia="lv-LV"/>
              </w:rPr>
              <w:t>as,</w:t>
            </w:r>
            <w:r w:rsidR="009B53CB">
              <w:rPr>
                <w:rFonts w:ascii="Times New Roman" w:eastAsia="Times New Roman" w:hAnsi="Times New Roman" w:cs="Times New Roman"/>
                <w:b/>
                <w:bCs/>
                <w:color w:val="000000"/>
                <w:sz w:val="24"/>
                <w:szCs w:val="24"/>
                <w:lang w:eastAsia="lv-LV"/>
              </w:rPr>
              <w:t xml:space="preserve"> </w:t>
            </w:r>
            <w:r w:rsidR="00C15AC1">
              <w:rPr>
                <w:rFonts w:ascii="Times New Roman" w:eastAsia="Times New Roman" w:hAnsi="Times New Roman" w:cs="Times New Roman"/>
                <w:b/>
                <w:bCs/>
                <w:color w:val="000000"/>
                <w:sz w:val="24"/>
                <w:szCs w:val="24"/>
                <w:lang w:eastAsia="lv-LV"/>
              </w:rPr>
              <w:t xml:space="preserve">savlaicīgi </w:t>
            </w:r>
            <w:r w:rsidRPr="00AD318E">
              <w:rPr>
                <w:rFonts w:ascii="Times New Roman" w:eastAsia="Times New Roman" w:hAnsi="Times New Roman" w:cs="Times New Roman"/>
                <w:b/>
                <w:bCs/>
                <w:color w:val="000000"/>
                <w:sz w:val="24"/>
                <w:szCs w:val="24"/>
                <w:lang w:eastAsia="lv-LV"/>
              </w:rPr>
              <w:t xml:space="preserve">tiks uzsākta ļaundabīgo audzēju </w:t>
            </w:r>
            <w:r w:rsidR="00751FD5">
              <w:rPr>
                <w:rFonts w:ascii="Times New Roman" w:eastAsia="Times New Roman" w:hAnsi="Times New Roman" w:cs="Times New Roman"/>
                <w:b/>
                <w:bCs/>
                <w:color w:val="000000"/>
                <w:sz w:val="24"/>
                <w:szCs w:val="24"/>
                <w:lang w:eastAsia="lv-LV"/>
              </w:rPr>
              <w:t>sekundārā</w:t>
            </w:r>
            <w:r w:rsidR="00751FD5" w:rsidRPr="00AD318E">
              <w:rPr>
                <w:rFonts w:ascii="Times New Roman" w:eastAsia="Times New Roman" w:hAnsi="Times New Roman" w:cs="Times New Roman"/>
                <w:b/>
                <w:bCs/>
                <w:color w:val="000000"/>
                <w:sz w:val="24"/>
                <w:szCs w:val="24"/>
                <w:lang w:eastAsia="lv-LV"/>
              </w:rPr>
              <w:t xml:space="preserve"> </w:t>
            </w:r>
            <w:r w:rsidRPr="00AD318E">
              <w:rPr>
                <w:rFonts w:ascii="Times New Roman" w:eastAsia="Times New Roman" w:hAnsi="Times New Roman" w:cs="Times New Roman"/>
                <w:b/>
                <w:bCs/>
                <w:color w:val="000000"/>
                <w:sz w:val="24"/>
                <w:szCs w:val="24"/>
                <w:lang w:eastAsia="lv-LV"/>
              </w:rPr>
              <w:t>diagnostika</w:t>
            </w:r>
            <w:r w:rsidR="00751FD5">
              <w:rPr>
                <w:rFonts w:ascii="Times New Roman" w:eastAsia="Times New Roman" w:hAnsi="Times New Roman" w:cs="Times New Roman"/>
                <w:b/>
                <w:bCs/>
                <w:color w:val="000000"/>
                <w:sz w:val="24"/>
                <w:szCs w:val="24"/>
                <w:lang w:eastAsia="lv-LV"/>
              </w:rPr>
              <w:t xml:space="preserve"> un ārstēšana</w:t>
            </w:r>
            <w:r w:rsidR="00C15AC1">
              <w:rPr>
                <w:rFonts w:ascii="Times New Roman" w:eastAsia="Times New Roman" w:hAnsi="Times New Roman" w:cs="Times New Roman"/>
                <w:b/>
                <w:bCs/>
                <w:color w:val="000000"/>
                <w:sz w:val="24"/>
                <w:szCs w:val="24"/>
                <w:lang w:eastAsia="lv-LV"/>
              </w:rPr>
              <w:t>;</w:t>
            </w:r>
          </w:p>
        </w:tc>
      </w:tr>
      <w:tr w:rsidR="00AD318E" w:rsidRPr="00AD318E" w14:paraId="1B4C89E3" w14:textId="77777777" w:rsidTr="00D362F4">
        <w:trPr>
          <w:trHeight w:val="315"/>
        </w:trPr>
        <w:tc>
          <w:tcPr>
            <w:tcW w:w="9062" w:type="dxa"/>
            <w:tcBorders>
              <w:top w:val="nil"/>
              <w:left w:val="single" w:sz="8" w:space="0" w:color="auto"/>
              <w:bottom w:val="nil"/>
              <w:right w:val="single" w:sz="8" w:space="0" w:color="auto"/>
            </w:tcBorders>
            <w:shd w:val="clear" w:color="auto" w:fill="auto"/>
            <w:noWrap/>
            <w:vAlign w:val="bottom"/>
            <w:hideMark/>
          </w:tcPr>
          <w:p w14:paraId="37A6F688" w14:textId="3077B85A" w:rsidR="00AD318E" w:rsidRPr="00AD318E" w:rsidRDefault="00AD318E" w:rsidP="00AD318E">
            <w:pPr>
              <w:spacing w:after="0" w:line="240" w:lineRule="auto"/>
              <w:rPr>
                <w:rFonts w:ascii="Times New Roman" w:eastAsia="Times New Roman" w:hAnsi="Times New Roman" w:cs="Times New Roman"/>
                <w:b/>
                <w:bCs/>
                <w:color w:val="000000"/>
                <w:sz w:val="24"/>
                <w:szCs w:val="24"/>
                <w:lang w:eastAsia="lv-LV"/>
              </w:rPr>
            </w:pPr>
            <w:r w:rsidRPr="00AD318E">
              <w:rPr>
                <w:rFonts w:ascii="Times New Roman" w:eastAsia="Times New Roman" w:hAnsi="Times New Roman" w:cs="Times New Roman"/>
                <w:b/>
                <w:bCs/>
                <w:color w:val="000000"/>
                <w:sz w:val="24"/>
                <w:szCs w:val="24"/>
                <w:lang w:eastAsia="lv-LV"/>
              </w:rPr>
              <w:t xml:space="preserve">Par 20 % tiks samazināta NMP dienesta nepamatoti </w:t>
            </w:r>
            <w:r w:rsidR="00C15AC1">
              <w:rPr>
                <w:rFonts w:ascii="Times New Roman" w:eastAsia="Times New Roman" w:hAnsi="Times New Roman" w:cs="Times New Roman"/>
                <w:b/>
                <w:bCs/>
                <w:color w:val="000000"/>
                <w:sz w:val="24"/>
                <w:szCs w:val="24"/>
                <w:lang w:eastAsia="lv-LV"/>
              </w:rPr>
              <w:t>izsaukumu skaits</w:t>
            </w:r>
          </w:p>
        </w:tc>
      </w:tr>
      <w:tr w:rsidR="00AD318E" w:rsidRPr="00AD318E" w14:paraId="14BA96C1" w14:textId="77777777" w:rsidTr="00D362F4">
        <w:trPr>
          <w:trHeight w:val="330"/>
        </w:trPr>
        <w:tc>
          <w:tcPr>
            <w:tcW w:w="9062" w:type="dxa"/>
            <w:tcBorders>
              <w:top w:val="nil"/>
              <w:left w:val="single" w:sz="8" w:space="0" w:color="auto"/>
              <w:bottom w:val="single" w:sz="8" w:space="0" w:color="auto"/>
              <w:right w:val="single" w:sz="8" w:space="0" w:color="auto"/>
            </w:tcBorders>
            <w:shd w:val="clear" w:color="auto" w:fill="auto"/>
            <w:noWrap/>
            <w:vAlign w:val="bottom"/>
            <w:hideMark/>
          </w:tcPr>
          <w:p w14:paraId="62529212" w14:textId="77777777" w:rsidR="00AD318E" w:rsidRPr="00AD318E" w:rsidRDefault="00AD318E" w:rsidP="00AD318E">
            <w:pPr>
              <w:spacing w:after="0" w:line="240" w:lineRule="auto"/>
              <w:rPr>
                <w:rFonts w:ascii="Times New Roman" w:eastAsia="Times New Roman" w:hAnsi="Times New Roman" w:cs="Times New Roman"/>
                <w:b/>
                <w:bCs/>
                <w:color w:val="000000"/>
                <w:sz w:val="24"/>
                <w:szCs w:val="24"/>
                <w:lang w:eastAsia="lv-LV"/>
              </w:rPr>
            </w:pPr>
            <w:r w:rsidRPr="00AD318E">
              <w:rPr>
                <w:rFonts w:ascii="Times New Roman" w:eastAsia="Times New Roman" w:hAnsi="Times New Roman" w:cs="Times New Roman"/>
                <w:b/>
                <w:bCs/>
                <w:color w:val="000000"/>
                <w:sz w:val="24"/>
                <w:szCs w:val="24"/>
                <w:lang w:eastAsia="lv-LV"/>
              </w:rPr>
              <w:t>Ilgtermiņā par 25 % tiks samazināts novēršamo hospitalizāciju skaits</w:t>
            </w:r>
          </w:p>
        </w:tc>
      </w:tr>
    </w:tbl>
    <w:p w14:paraId="3D846920" w14:textId="77777777" w:rsidR="00AD318E" w:rsidRPr="00847710" w:rsidRDefault="00AD318E" w:rsidP="00D362F4">
      <w:pPr>
        <w:jc w:val="both"/>
        <w:rPr>
          <w:rFonts w:ascii="Times New Roman" w:hAnsi="Times New Roman" w:cs="Times New Roman"/>
          <w:sz w:val="24"/>
          <w:szCs w:val="24"/>
          <w:lang w:eastAsia="lv-LV"/>
        </w:rPr>
      </w:pPr>
    </w:p>
    <w:p w14:paraId="6A9F58D4" w14:textId="77815270" w:rsidR="00B5217B" w:rsidRPr="00847710" w:rsidRDefault="00B5217B" w:rsidP="008E374D">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Papildus mērķa kritēriju iekļaušanai kapitācijas naudā un kapitācijas naudas palielinājumam, plānots </w:t>
      </w:r>
      <w:r w:rsidR="00BB49CB" w:rsidRPr="00847710">
        <w:rPr>
          <w:rFonts w:ascii="Times New Roman" w:hAnsi="Times New Roman" w:cs="Times New Roman"/>
          <w:sz w:val="24"/>
          <w:szCs w:val="24"/>
          <w:lang w:eastAsia="lv-LV"/>
        </w:rPr>
        <w:t>pārskatīt ģimenes ārstu kvalitātes sistēmu.</w:t>
      </w:r>
    </w:p>
    <w:p w14:paraId="5201187D" w14:textId="067ED458" w:rsidR="008F4619" w:rsidRPr="008F4619" w:rsidRDefault="008E374D" w:rsidP="008F4619">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Kvalitātes kritēriji, pēc kuriem pašreiz tiek vērtēti ģimenes ārstu gada darbība, tika noteikti 2013.gadā. </w:t>
      </w:r>
      <w:r w:rsidR="00C62A48">
        <w:rPr>
          <w:rFonts w:ascii="Times New Roman" w:hAnsi="Times New Roman" w:cs="Times New Roman"/>
          <w:sz w:val="24"/>
          <w:szCs w:val="24"/>
          <w:lang w:eastAsia="lv-LV"/>
        </w:rPr>
        <w:t>P</w:t>
      </w:r>
      <w:r w:rsidRPr="00847710">
        <w:rPr>
          <w:rFonts w:ascii="Times New Roman" w:hAnsi="Times New Roman" w:cs="Times New Roman"/>
          <w:sz w:val="24"/>
          <w:szCs w:val="24"/>
          <w:lang w:eastAsia="lv-LV"/>
        </w:rPr>
        <w:t xml:space="preserve">ašreizējie kvalitātes kritēriji </w:t>
      </w:r>
      <w:r w:rsidR="00C62A48">
        <w:rPr>
          <w:rFonts w:ascii="Times New Roman" w:hAnsi="Times New Roman" w:cs="Times New Roman"/>
          <w:sz w:val="24"/>
          <w:szCs w:val="24"/>
          <w:lang w:eastAsia="lv-LV"/>
        </w:rPr>
        <w:t>ir saistīti ar kapitācijas naudu</w:t>
      </w:r>
      <w:r w:rsidR="0008611C">
        <w:rPr>
          <w:rFonts w:ascii="Times New Roman" w:hAnsi="Times New Roman" w:cs="Times New Roman"/>
          <w:sz w:val="24"/>
          <w:szCs w:val="24"/>
          <w:lang w:eastAsia="lv-LV"/>
        </w:rPr>
        <w:t xml:space="preserve"> un pēc ģimenes ārstu vērtējuma </w:t>
      </w:r>
      <w:r w:rsidRPr="00847710">
        <w:rPr>
          <w:rFonts w:ascii="Times New Roman" w:hAnsi="Times New Roman" w:cs="Times New Roman"/>
          <w:sz w:val="24"/>
          <w:szCs w:val="24"/>
          <w:lang w:eastAsia="lv-LV"/>
        </w:rPr>
        <w:t>nav efektīvi un noteiktais finansējuma apjoms un lielais kritēriju klāsts nav motivējošs  kvalitātes kritēriju izpildē, par ko liecina ģimenes ārstu skaits, kuri izpildījuši kritēriju robežvērtības</w:t>
      </w:r>
      <w:r w:rsidRPr="00847710">
        <w:rPr>
          <w:rStyle w:val="FootnoteReference"/>
          <w:rFonts w:ascii="Times New Roman" w:hAnsi="Times New Roman" w:cs="Times New Roman"/>
          <w:sz w:val="28"/>
          <w:szCs w:val="28"/>
        </w:rPr>
        <w:footnoteReference w:id="54"/>
      </w:r>
      <w:r w:rsidR="00D85887" w:rsidRPr="00847710">
        <w:rPr>
          <w:rFonts w:ascii="Times New Roman" w:hAnsi="Times New Roman" w:cs="Times New Roman"/>
          <w:sz w:val="24"/>
          <w:szCs w:val="24"/>
          <w:lang w:eastAsia="lv-LV"/>
        </w:rPr>
        <w:t>.</w:t>
      </w:r>
    </w:p>
    <w:p w14:paraId="7927A86E" w14:textId="2C8935B6" w:rsidR="00E42A83" w:rsidRPr="00847710" w:rsidRDefault="00455048" w:rsidP="00FE6F82">
      <w:pPr>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Lai motivētu ģimenes ārsta </w:t>
      </w:r>
      <w:r w:rsidR="0036062A">
        <w:rPr>
          <w:rFonts w:ascii="Times New Roman" w:hAnsi="Times New Roman" w:cs="Times New Roman"/>
          <w:sz w:val="24"/>
          <w:szCs w:val="24"/>
          <w:lang w:eastAsia="lv-LV"/>
        </w:rPr>
        <w:t>iesaisti kvalitātes kritēriju izpildē un līdz ar to nodrošinot pie ģimenes ārsta reģistrēto pacientu savlaic</w:t>
      </w:r>
      <w:r w:rsidR="00625901">
        <w:rPr>
          <w:rFonts w:ascii="Times New Roman" w:hAnsi="Times New Roman" w:cs="Times New Roman"/>
          <w:sz w:val="24"/>
          <w:szCs w:val="24"/>
          <w:lang w:eastAsia="lv-LV"/>
        </w:rPr>
        <w:t>īgu diagnostiku, ārstēšanu un hronisko pacientu uzraudzību</w:t>
      </w:r>
      <w:r w:rsidR="00E42A83">
        <w:rPr>
          <w:rFonts w:ascii="Times New Roman" w:hAnsi="Times New Roman" w:cs="Times New Roman"/>
          <w:sz w:val="24"/>
          <w:szCs w:val="24"/>
          <w:lang w:eastAsia="lv-LV"/>
        </w:rPr>
        <w:t xml:space="preserve">, </w:t>
      </w:r>
      <w:r w:rsidR="00FE6F82">
        <w:rPr>
          <w:rFonts w:ascii="Times New Roman" w:hAnsi="Times New Roman" w:cs="Times New Roman"/>
          <w:sz w:val="24"/>
          <w:szCs w:val="24"/>
          <w:lang w:eastAsia="lv-LV"/>
        </w:rPr>
        <w:t xml:space="preserve">tiks </w:t>
      </w:r>
      <w:r w:rsidR="00A411C6">
        <w:rPr>
          <w:rFonts w:ascii="Times New Roman" w:hAnsi="Times New Roman" w:cs="Times New Roman"/>
          <w:sz w:val="24"/>
          <w:szCs w:val="24"/>
          <w:lang w:eastAsia="lv-LV"/>
        </w:rPr>
        <w:t>uzlabo</w:t>
      </w:r>
      <w:r w:rsidR="00FE6F82">
        <w:rPr>
          <w:rFonts w:ascii="Times New Roman" w:hAnsi="Times New Roman" w:cs="Times New Roman"/>
          <w:sz w:val="24"/>
          <w:szCs w:val="24"/>
          <w:lang w:eastAsia="lv-LV"/>
        </w:rPr>
        <w:t>ta</w:t>
      </w:r>
      <w:r w:rsidR="00A411C6">
        <w:rPr>
          <w:rFonts w:ascii="Times New Roman" w:hAnsi="Times New Roman" w:cs="Times New Roman"/>
          <w:sz w:val="24"/>
          <w:szCs w:val="24"/>
          <w:lang w:eastAsia="lv-LV"/>
        </w:rPr>
        <w:t xml:space="preserve"> uzskaites un novērtēšanas metodoloģij</w:t>
      </w:r>
      <w:r w:rsidR="00830701">
        <w:rPr>
          <w:rFonts w:ascii="Times New Roman" w:hAnsi="Times New Roman" w:cs="Times New Roman"/>
          <w:sz w:val="24"/>
          <w:szCs w:val="24"/>
          <w:lang w:eastAsia="lv-LV"/>
        </w:rPr>
        <w:t>u</w:t>
      </w:r>
      <w:r w:rsidR="00FE6F82">
        <w:rPr>
          <w:rFonts w:ascii="Times New Roman" w:hAnsi="Times New Roman" w:cs="Times New Roman"/>
          <w:sz w:val="24"/>
          <w:szCs w:val="24"/>
          <w:lang w:eastAsia="lv-LV"/>
        </w:rPr>
        <w:t xml:space="preserve">, tādējādi paaugstinot pakalpojuma sniegšanas kvalitāti, kas balstīta uz sekojošu uzlaboto </w:t>
      </w:r>
      <w:r w:rsidR="00E42A83" w:rsidRPr="00847710">
        <w:rPr>
          <w:rFonts w:ascii="Times New Roman" w:hAnsi="Times New Roman" w:cs="Times New Roman"/>
          <w:sz w:val="24"/>
          <w:szCs w:val="24"/>
          <w:lang w:eastAsia="lv-LV"/>
        </w:rPr>
        <w:t>kvalitātes kritēriju</w:t>
      </w:r>
      <w:r w:rsidR="00FE6F82">
        <w:rPr>
          <w:rFonts w:ascii="Times New Roman" w:hAnsi="Times New Roman" w:cs="Times New Roman"/>
          <w:sz w:val="24"/>
          <w:szCs w:val="24"/>
          <w:lang w:eastAsia="lv-LV"/>
        </w:rPr>
        <w:t xml:space="preserve"> kopuma attiecībā uz </w:t>
      </w:r>
      <w:r w:rsidR="00E42A83" w:rsidRPr="00847710">
        <w:rPr>
          <w:rFonts w:ascii="Times New Roman" w:hAnsi="Times New Roman" w:cs="Times New Roman"/>
          <w:sz w:val="24"/>
          <w:szCs w:val="24"/>
          <w:lang w:eastAsia="lv-LV"/>
        </w:rPr>
        <w:t>gada darbības rādītāj</w:t>
      </w:r>
      <w:r w:rsidR="00FE6F82">
        <w:rPr>
          <w:rFonts w:ascii="Times New Roman" w:hAnsi="Times New Roman" w:cs="Times New Roman"/>
          <w:sz w:val="24"/>
          <w:szCs w:val="24"/>
          <w:lang w:eastAsia="lv-LV"/>
        </w:rPr>
        <w:t>iem</w:t>
      </w:r>
      <w:r w:rsidR="00E42A83" w:rsidRPr="00847710">
        <w:rPr>
          <w:rFonts w:ascii="Times New Roman" w:hAnsi="Times New Roman" w:cs="Times New Roman"/>
          <w:sz w:val="24"/>
          <w:szCs w:val="24"/>
          <w:lang w:eastAsia="lv-LV"/>
        </w:rPr>
        <w:t xml:space="preserve"> šādās jomās:</w:t>
      </w:r>
    </w:p>
    <w:p w14:paraId="01758BCF" w14:textId="77777777" w:rsidR="00E42A83" w:rsidRPr="00847710" w:rsidRDefault="00E42A83" w:rsidP="00E42A83">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1. Veselības pārbaudes un profilakse:</w:t>
      </w:r>
    </w:p>
    <w:p w14:paraId="158143D1" w14:textId="77777777" w:rsidR="00E42A83" w:rsidRPr="00847710" w:rsidRDefault="00E42A83" w:rsidP="00E42A83">
      <w:pPr>
        <w:pStyle w:val="ListParagraph"/>
        <w:numPr>
          <w:ilvl w:val="1"/>
          <w:numId w:val="10"/>
        </w:numPr>
        <w:jc w:val="both"/>
        <w:rPr>
          <w:rFonts w:ascii="Times New Roman" w:hAnsi="Times New Roman"/>
          <w:sz w:val="24"/>
          <w:szCs w:val="24"/>
          <w:lang w:val="lv-LV" w:eastAsia="lv-LV"/>
        </w:rPr>
      </w:pPr>
      <w:r w:rsidRPr="00847710">
        <w:rPr>
          <w:rFonts w:ascii="Times New Roman" w:hAnsi="Times New Roman"/>
          <w:sz w:val="24"/>
          <w:szCs w:val="24"/>
          <w:lang w:val="lv-LV" w:eastAsia="lv-LV"/>
        </w:rPr>
        <w:t>no jauna reģistrēta pacienta veselības stāvokļa novērtēšana;</w:t>
      </w:r>
    </w:p>
    <w:p w14:paraId="1B136493" w14:textId="77777777" w:rsidR="00E42A83" w:rsidRPr="00847710" w:rsidRDefault="00E42A83" w:rsidP="00E42A83">
      <w:pPr>
        <w:pStyle w:val="ListParagraph"/>
        <w:numPr>
          <w:ilvl w:val="1"/>
          <w:numId w:val="10"/>
        </w:numPr>
        <w:jc w:val="both"/>
        <w:rPr>
          <w:rFonts w:ascii="Times New Roman" w:hAnsi="Times New Roman"/>
          <w:sz w:val="24"/>
          <w:szCs w:val="24"/>
          <w:lang w:val="lv-LV" w:eastAsia="lv-LV"/>
        </w:rPr>
      </w:pPr>
      <w:r w:rsidRPr="00847710">
        <w:rPr>
          <w:rFonts w:ascii="Times New Roman" w:hAnsi="Times New Roman"/>
          <w:sz w:val="24"/>
          <w:szCs w:val="24"/>
          <w:lang w:val="lv-LV" w:eastAsia="lv-LV"/>
        </w:rPr>
        <w:t>bērnu vakcinācijas aptvere;</w:t>
      </w:r>
    </w:p>
    <w:p w14:paraId="52060A7E" w14:textId="77777777" w:rsidR="00E42A83" w:rsidRPr="00847710" w:rsidRDefault="00E42A83" w:rsidP="00E42A83">
      <w:pPr>
        <w:pStyle w:val="ListParagraph"/>
        <w:numPr>
          <w:ilvl w:val="1"/>
          <w:numId w:val="10"/>
        </w:numPr>
        <w:jc w:val="both"/>
        <w:rPr>
          <w:rFonts w:ascii="Times New Roman" w:hAnsi="Times New Roman"/>
          <w:sz w:val="24"/>
          <w:szCs w:val="24"/>
          <w:lang w:val="lv-LV" w:eastAsia="lv-LV"/>
        </w:rPr>
      </w:pPr>
      <w:r w:rsidRPr="00847710">
        <w:rPr>
          <w:rFonts w:ascii="Times New Roman" w:hAnsi="Times New Roman"/>
          <w:sz w:val="24"/>
          <w:szCs w:val="24"/>
          <w:lang w:val="lv-LV" w:eastAsia="lv-LV"/>
        </w:rPr>
        <w:t>veikto slēpto asiņu testu aptvere pie ģimenes ārsta reģistrētajiem pacientiem;</w:t>
      </w:r>
    </w:p>
    <w:p w14:paraId="4CCD76FA" w14:textId="77777777" w:rsidR="00E42A83" w:rsidRPr="00847710" w:rsidRDefault="00E42A83" w:rsidP="00E42A83">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2. Pacientu ar hroniskām saslimšanām aprūpe:</w:t>
      </w:r>
    </w:p>
    <w:p w14:paraId="015A25E6" w14:textId="77777777" w:rsidR="00E42A83" w:rsidRPr="00847710" w:rsidRDefault="00E42A83" w:rsidP="00E42A83">
      <w:pPr>
        <w:pStyle w:val="ListParagraph"/>
        <w:numPr>
          <w:ilvl w:val="1"/>
          <w:numId w:val="11"/>
        </w:numPr>
        <w:jc w:val="both"/>
        <w:rPr>
          <w:rFonts w:ascii="Times New Roman" w:hAnsi="Times New Roman"/>
          <w:sz w:val="24"/>
          <w:szCs w:val="24"/>
          <w:lang w:val="lv-LV" w:eastAsia="lv-LV"/>
        </w:rPr>
      </w:pPr>
      <w:r w:rsidRPr="00847710">
        <w:rPr>
          <w:rFonts w:ascii="Times New Roman" w:hAnsi="Times New Roman"/>
          <w:sz w:val="24"/>
          <w:szCs w:val="24"/>
          <w:lang w:val="lv-LV" w:eastAsia="lv-LV"/>
        </w:rPr>
        <w:t>cukura diabēta pacientu aprūpe:</w:t>
      </w:r>
    </w:p>
    <w:p w14:paraId="7A6C8A32" w14:textId="77777777" w:rsidR="00E42A83" w:rsidRPr="00847710" w:rsidRDefault="00E42A83" w:rsidP="00E42A83">
      <w:pPr>
        <w:pStyle w:val="ListParagraph"/>
        <w:numPr>
          <w:ilvl w:val="1"/>
          <w:numId w:val="11"/>
        </w:numPr>
        <w:jc w:val="both"/>
        <w:rPr>
          <w:rFonts w:ascii="Times New Roman" w:hAnsi="Times New Roman"/>
          <w:sz w:val="24"/>
          <w:szCs w:val="24"/>
          <w:lang w:val="lv-LV" w:eastAsia="lv-LV"/>
        </w:rPr>
      </w:pPr>
      <w:r w:rsidRPr="00847710">
        <w:rPr>
          <w:rFonts w:ascii="Times New Roman" w:hAnsi="Times New Roman"/>
          <w:sz w:val="24"/>
          <w:szCs w:val="24"/>
          <w:lang w:val="lv-LV" w:eastAsia="lv-LV"/>
        </w:rPr>
        <w:t>glikohemoglobīna mērījumi 2.tipa cukura diabēta pacientiem;</w:t>
      </w:r>
    </w:p>
    <w:p w14:paraId="30FE8F5C" w14:textId="77777777" w:rsidR="00E42A83" w:rsidRPr="00847710" w:rsidRDefault="00E42A83" w:rsidP="00E42A83">
      <w:pPr>
        <w:pStyle w:val="ListParagraph"/>
        <w:numPr>
          <w:ilvl w:val="1"/>
          <w:numId w:val="11"/>
        </w:numPr>
        <w:jc w:val="both"/>
        <w:rPr>
          <w:rFonts w:ascii="Times New Roman" w:hAnsi="Times New Roman"/>
          <w:sz w:val="24"/>
          <w:szCs w:val="24"/>
          <w:lang w:val="lv-LV" w:eastAsia="lv-LV"/>
        </w:rPr>
      </w:pPr>
      <w:r w:rsidRPr="00847710">
        <w:rPr>
          <w:rFonts w:ascii="Times New Roman" w:hAnsi="Times New Roman"/>
          <w:sz w:val="24"/>
          <w:szCs w:val="24"/>
          <w:lang w:val="lv-LV" w:eastAsia="lv-LV"/>
        </w:rPr>
        <w:t>mikroalbuminūrijas noteikšana kvantitatīvi 2.tipa cukura diabēta pacientiem;</w:t>
      </w:r>
    </w:p>
    <w:p w14:paraId="30CE90B8" w14:textId="77777777" w:rsidR="00E42A83" w:rsidRPr="00847710" w:rsidRDefault="00E42A83" w:rsidP="00E42A83">
      <w:pPr>
        <w:pStyle w:val="ListParagraph"/>
        <w:numPr>
          <w:ilvl w:val="1"/>
          <w:numId w:val="11"/>
        </w:numPr>
        <w:jc w:val="both"/>
        <w:rPr>
          <w:rFonts w:ascii="Times New Roman" w:hAnsi="Times New Roman"/>
          <w:sz w:val="24"/>
          <w:szCs w:val="24"/>
          <w:lang w:val="lv-LV" w:eastAsia="lv-LV"/>
        </w:rPr>
      </w:pPr>
      <w:r w:rsidRPr="00847710">
        <w:rPr>
          <w:rFonts w:ascii="Times New Roman" w:hAnsi="Times New Roman"/>
          <w:sz w:val="24"/>
          <w:szCs w:val="24"/>
          <w:lang w:val="lv-LV" w:eastAsia="lv-LV"/>
        </w:rPr>
        <w:t>pacientu ar arteriālo hipertensiju un pacientu ar koronāro sirds slimību aprūpe – ZBL holesterīna noteikšana;</w:t>
      </w:r>
    </w:p>
    <w:p w14:paraId="7F92A394" w14:textId="77777777" w:rsidR="00E42A83" w:rsidRPr="00847710" w:rsidRDefault="00E42A83" w:rsidP="00E42A83">
      <w:pPr>
        <w:pStyle w:val="ListParagraph"/>
        <w:numPr>
          <w:ilvl w:val="1"/>
          <w:numId w:val="11"/>
        </w:numPr>
        <w:jc w:val="both"/>
        <w:rPr>
          <w:rFonts w:ascii="Times New Roman" w:hAnsi="Times New Roman"/>
          <w:sz w:val="24"/>
          <w:szCs w:val="24"/>
          <w:lang w:val="lv-LV" w:eastAsia="lv-LV"/>
        </w:rPr>
      </w:pPr>
      <w:r w:rsidRPr="00847710">
        <w:rPr>
          <w:rFonts w:ascii="Times New Roman" w:hAnsi="Times New Roman"/>
          <w:sz w:val="24"/>
          <w:szCs w:val="24"/>
          <w:lang w:val="lv-LV" w:eastAsia="lv-LV"/>
        </w:rPr>
        <w:t>pacientu ar bronhiālo astmu aprūpe – izelpas maksimuma plūsmas mērīšana bronhiālās astmas pacientiem;</w:t>
      </w:r>
    </w:p>
    <w:p w14:paraId="379A6292" w14:textId="77777777" w:rsidR="00E42A83" w:rsidRPr="00847710" w:rsidRDefault="00E42A83" w:rsidP="00E42A83">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3. Ģimenes ārstu veikto manipulāciju un papildu pakalpojumu daudzveidība.</w:t>
      </w:r>
    </w:p>
    <w:p w14:paraId="32B35C3F" w14:textId="2C5C9072" w:rsidR="004A07C4" w:rsidRPr="004A07C4" w:rsidRDefault="00405193" w:rsidP="00C47B7A">
      <w:pPr>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Ar pārskatīto un uzlaboto kvalitātes kritēriju pielietošanu </w:t>
      </w:r>
      <w:r w:rsidR="00036134">
        <w:rPr>
          <w:rFonts w:ascii="Times New Roman" w:hAnsi="Times New Roman" w:cs="Times New Roman"/>
          <w:sz w:val="24"/>
          <w:szCs w:val="24"/>
          <w:lang w:eastAsia="lv-LV"/>
        </w:rPr>
        <w:t xml:space="preserve">tiks panākts, ka </w:t>
      </w:r>
      <w:r w:rsidR="00BA14CB">
        <w:rPr>
          <w:rFonts w:ascii="Times New Roman" w:hAnsi="Times New Roman" w:cs="Times New Roman"/>
          <w:sz w:val="24"/>
          <w:szCs w:val="24"/>
          <w:lang w:eastAsia="lv-LV"/>
        </w:rPr>
        <w:t>lielāks ģimenes ārstu skaits iesaistīsies kvalitātes programmas izpildē</w:t>
      </w:r>
      <w:r w:rsidR="006E3035">
        <w:rPr>
          <w:rFonts w:ascii="Times New Roman" w:hAnsi="Times New Roman" w:cs="Times New Roman"/>
          <w:sz w:val="24"/>
          <w:szCs w:val="24"/>
          <w:lang w:eastAsia="lv-LV"/>
        </w:rPr>
        <w:t>, tādējādi panākot, ka vairāk pacienti</w:t>
      </w:r>
      <w:r w:rsidR="0021627C">
        <w:rPr>
          <w:rFonts w:ascii="Times New Roman" w:hAnsi="Times New Roman" w:cs="Times New Roman"/>
          <w:sz w:val="24"/>
          <w:szCs w:val="24"/>
          <w:lang w:eastAsia="lv-LV"/>
        </w:rPr>
        <w:t xml:space="preserve"> saņems kvalitatīvu primāro veselības aprūpes</w:t>
      </w:r>
      <w:r w:rsidR="00323BF0">
        <w:rPr>
          <w:rFonts w:ascii="Times New Roman" w:hAnsi="Times New Roman" w:cs="Times New Roman"/>
          <w:sz w:val="24"/>
          <w:szCs w:val="24"/>
          <w:lang w:eastAsia="lv-LV"/>
        </w:rPr>
        <w:t xml:space="preserve"> </w:t>
      </w:r>
      <w:r w:rsidR="00F34D67">
        <w:rPr>
          <w:rFonts w:ascii="Times New Roman" w:hAnsi="Times New Roman" w:cs="Times New Roman"/>
          <w:sz w:val="24"/>
          <w:szCs w:val="24"/>
          <w:lang w:eastAsia="lv-LV"/>
        </w:rPr>
        <w:t>aprūpi</w:t>
      </w:r>
      <w:r w:rsidR="00AB5C93">
        <w:rPr>
          <w:rFonts w:ascii="Times New Roman" w:hAnsi="Times New Roman" w:cs="Times New Roman"/>
          <w:sz w:val="24"/>
          <w:szCs w:val="24"/>
          <w:lang w:eastAsia="lv-LV"/>
        </w:rPr>
        <w:t>.</w:t>
      </w:r>
    </w:p>
    <w:p w14:paraId="407F0AD9" w14:textId="20F8ED68" w:rsidR="00D362F4" w:rsidRPr="00D362F4" w:rsidRDefault="00DE3C94" w:rsidP="00D362F4">
      <w:pPr>
        <w:ind w:firstLine="720"/>
        <w:jc w:val="right"/>
        <w:rPr>
          <w:rFonts w:ascii="Times New Roman" w:hAnsi="Times New Roman" w:cs="Times New Roman"/>
          <w:i/>
          <w:iCs/>
          <w:sz w:val="24"/>
          <w:szCs w:val="24"/>
        </w:rPr>
      </w:pPr>
      <w:r>
        <w:rPr>
          <w:rFonts w:ascii="Times New Roman" w:hAnsi="Times New Roman" w:cs="Times New Roman"/>
          <w:i/>
          <w:iCs/>
          <w:sz w:val="24"/>
          <w:szCs w:val="24"/>
        </w:rPr>
        <w:t>28</w:t>
      </w:r>
      <w:r w:rsidR="00D362F4" w:rsidRPr="57326167">
        <w:rPr>
          <w:rFonts w:ascii="Times New Roman" w:hAnsi="Times New Roman" w:cs="Times New Roman"/>
          <w:i/>
          <w:iCs/>
          <w:sz w:val="24"/>
          <w:szCs w:val="24"/>
        </w:rPr>
        <w:t>.</w:t>
      </w:r>
      <w:r w:rsidR="00D362F4">
        <w:rPr>
          <w:rFonts w:ascii="Times New Roman" w:hAnsi="Times New Roman" w:cs="Times New Roman"/>
          <w:i/>
          <w:iCs/>
          <w:sz w:val="24"/>
          <w:szCs w:val="24"/>
        </w:rPr>
        <w:t>tabula</w:t>
      </w:r>
      <w:r w:rsidR="00D362F4" w:rsidRPr="57326167">
        <w:rPr>
          <w:rFonts w:ascii="Times New Roman" w:hAnsi="Times New Roman" w:cs="Times New Roman"/>
          <w:i/>
          <w:iCs/>
          <w:sz w:val="24"/>
          <w:szCs w:val="24"/>
        </w:rPr>
        <w:t xml:space="preserve"> </w:t>
      </w:r>
    </w:p>
    <w:p w14:paraId="64CFF07C" w14:textId="1761EAF7" w:rsidR="00D362F4" w:rsidRPr="00847710" w:rsidRDefault="00D362F4" w:rsidP="00D362F4">
      <w:pPr>
        <w:jc w:val="center"/>
        <w:rPr>
          <w:rFonts w:ascii="Times New Roman" w:hAnsi="Times New Roman" w:cs="Times New Roman"/>
          <w:color w:val="000000"/>
          <w:sz w:val="24"/>
          <w:szCs w:val="24"/>
        </w:rPr>
      </w:pPr>
      <w:r>
        <w:rPr>
          <w:rFonts w:ascii="Times New Roman" w:hAnsi="Times New Roman" w:cs="Times New Roman"/>
          <w:b/>
          <w:bCs/>
          <w:sz w:val="24"/>
          <w:szCs w:val="24"/>
        </w:rPr>
        <w:t>Ģimenes ārstu kvalitātes kritēriju plānotā izpilde</w:t>
      </w:r>
    </w:p>
    <w:tbl>
      <w:tblPr>
        <w:tblW w:w="10490" w:type="dxa"/>
        <w:jc w:val="center"/>
        <w:tblLook w:val="04A0" w:firstRow="1" w:lastRow="0" w:firstColumn="1" w:lastColumn="0" w:noHBand="0" w:noVBand="1"/>
      </w:tblPr>
      <w:tblGrid>
        <w:gridCol w:w="1701"/>
        <w:gridCol w:w="4820"/>
        <w:gridCol w:w="1843"/>
        <w:gridCol w:w="2126"/>
      </w:tblGrid>
      <w:tr w:rsidR="004E009A" w:rsidRPr="00D362F4" w14:paraId="6C2AB9B1" w14:textId="77777777" w:rsidTr="00D362F4">
        <w:trPr>
          <w:trHeight w:val="1110"/>
          <w:jc w:val="center"/>
        </w:trPr>
        <w:tc>
          <w:tcPr>
            <w:tcW w:w="6521" w:type="dxa"/>
            <w:gridSpan w:val="2"/>
            <w:tcBorders>
              <w:top w:val="single" w:sz="8" w:space="0" w:color="auto"/>
              <w:left w:val="single" w:sz="8" w:space="0" w:color="auto"/>
              <w:bottom w:val="single" w:sz="4" w:space="0" w:color="auto"/>
              <w:right w:val="single" w:sz="4" w:space="0" w:color="auto"/>
            </w:tcBorders>
            <w:shd w:val="clear" w:color="auto" w:fill="E36C0A" w:themeFill="accent6" w:themeFillShade="BF"/>
            <w:noWrap/>
            <w:vAlign w:val="center"/>
            <w:hideMark/>
          </w:tcPr>
          <w:p w14:paraId="57064180" w14:textId="77777777" w:rsidR="004E009A" w:rsidRPr="00D362F4" w:rsidRDefault="004E009A" w:rsidP="004E009A">
            <w:pPr>
              <w:spacing w:after="0" w:line="240" w:lineRule="auto"/>
              <w:jc w:val="center"/>
              <w:rPr>
                <w:rFonts w:ascii="Times New Roman" w:eastAsia="Times New Roman" w:hAnsi="Times New Roman" w:cs="Times New Roman"/>
                <w:b/>
                <w:color w:val="000000"/>
                <w:sz w:val="20"/>
                <w:szCs w:val="20"/>
                <w:lang w:eastAsia="lv-LV"/>
              </w:rPr>
            </w:pPr>
            <w:r w:rsidRPr="00D362F4">
              <w:rPr>
                <w:rFonts w:ascii="Times New Roman" w:eastAsia="Times New Roman" w:hAnsi="Times New Roman" w:cs="Times New Roman"/>
                <w:b/>
                <w:color w:val="000000"/>
                <w:sz w:val="20"/>
                <w:szCs w:val="20"/>
                <w:lang w:eastAsia="lv-LV"/>
              </w:rPr>
              <w:t>Ģimenes ārsta gada darbības rādītāji</w:t>
            </w:r>
          </w:p>
        </w:tc>
        <w:tc>
          <w:tcPr>
            <w:tcW w:w="1843" w:type="dxa"/>
            <w:tcBorders>
              <w:top w:val="single" w:sz="8" w:space="0" w:color="auto"/>
              <w:left w:val="nil"/>
              <w:bottom w:val="single" w:sz="4" w:space="0" w:color="auto"/>
              <w:right w:val="single" w:sz="4" w:space="0" w:color="auto"/>
            </w:tcBorders>
            <w:shd w:val="clear" w:color="auto" w:fill="E36C0A" w:themeFill="accent6" w:themeFillShade="BF"/>
            <w:vAlign w:val="bottom"/>
            <w:hideMark/>
          </w:tcPr>
          <w:p w14:paraId="260BBAEC" w14:textId="77777777" w:rsidR="004E009A" w:rsidRPr="00D362F4" w:rsidRDefault="004E009A" w:rsidP="004E009A">
            <w:pPr>
              <w:spacing w:after="0" w:line="240" w:lineRule="auto"/>
              <w:jc w:val="center"/>
              <w:rPr>
                <w:rFonts w:ascii="Times New Roman" w:eastAsia="Times New Roman" w:hAnsi="Times New Roman" w:cs="Times New Roman"/>
                <w:b/>
                <w:color w:val="000000"/>
                <w:sz w:val="20"/>
                <w:szCs w:val="20"/>
                <w:lang w:eastAsia="lv-LV"/>
              </w:rPr>
            </w:pPr>
            <w:r w:rsidRPr="00D362F4">
              <w:rPr>
                <w:rFonts w:ascii="Times New Roman" w:eastAsia="Times New Roman" w:hAnsi="Times New Roman" w:cs="Times New Roman"/>
                <w:b/>
                <w:color w:val="000000"/>
                <w:sz w:val="20"/>
                <w:szCs w:val="20"/>
                <w:lang w:eastAsia="lv-LV"/>
              </w:rPr>
              <w:t>Prakšu skaits, kuras izpildījušas rādītājus 2016.gadā</w:t>
            </w:r>
          </w:p>
        </w:tc>
        <w:tc>
          <w:tcPr>
            <w:tcW w:w="2126" w:type="dxa"/>
            <w:tcBorders>
              <w:top w:val="single" w:sz="8" w:space="0" w:color="auto"/>
              <w:left w:val="nil"/>
              <w:bottom w:val="single" w:sz="4" w:space="0" w:color="auto"/>
              <w:right w:val="single" w:sz="8" w:space="0" w:color="auto"/>
            </w:tcBorders>
            <w:shd w:val="clear" w:color="auto" w:fill="E36C0A" w:themeFill="accent6" w:themeFillShade="BF"/>
            <w:vAlign w:val="bottom"/>
            <w:hideMark/>
          </w:tcPr>
          <w:p w14:paraId="2B0EA708" w14:textId="7A2C1B1E" w:rsidR="004E009A" w:rsidRPr="00D362F4" w:rsidRDefault="004E009A" w:rsidP="004E009A">
            <w:pPr>
              <w:spacing w:after="0" w:line="240" w:lineRule="auto"/>
              <w:jc w:val="center"/>
              <w:rPr>
                <w:rFonts w:ascii="Times New Roman" w:eastAsia="Times New Roman" w:hAnsi="Times New Roman" w:cs="Times New Roman"/>
                <w:b/>
                <w:color w:val="000000"/>
                <w:sz w:val="20"/>
                <w:szCs w:val="20"/>
                <w:lang w:eastAsia="lv-LV"/>
              </w:rPr>
            </w:pPr>
            <w:r w:rsidRPr="00D362F4">
              <w:rPr>
                <w:rFonts w:ascii="Times New Roman" w:eastAsia="Times New Roman" w:hAnsi="Times New Roman" w:cs="Times New Roman"/>
                <w:b/>
                <w:color w:val="000000"/>
                <w:sz w:val="20"/>
                <w:szCs w:val="20"/>
                <w:lang w:eastAsia="lv-LV"/>
              </w:rPr>
              <w:t>Plānotais prakšu skaits 2018.gadā</w:t>
            </w:r>
            <w:r w:rsidR="00B26800">
              <w:rPr>
                <w:rStyle w:val="FootnoteReference"/>
                <w:rFonts w:ascii="Times New Roman" w:eastAsia="Times New Roman" w:hAnsi="Times New Roman" w:cs="Times New Roman"/>
                <w:b/>
                <w:color w:val="000000"/>
                <w:sz w:val="20"/>
                <w:szCs w:val="20"/>
                <w:lang w:eastAsia="lv-LV"/>
              </w:rPr>
              <w:footnoteReference w:id="55"/>
            </w:r>
          </w:p>
        </w:tc>
      </w:tr>
      <w:tr w:rsidR="004E009A" w:rsidRPr="004E009A" w14:paraId="1D0D2066" w14:textId="77777777" w:rsidTr="00D362F4">
        <w:trPr>
          <w:trHeight w:val="510"/>
          <w:jc w:val="center"/>
        </w:trPr>
        <w:tc>
          <w:tcPr>
            <w:tcW w:w="1701" w:type="dxa"/>
            <w:vMerge w:val="restart"/>
            <w:tcBorders>
              <w:top w:val="nil"/>
              <w:left w:val="single" w:sz="8" w:space="0" w:color="auto"/>
              <w:bottom w:val="single" w:sz="4" w:space="0" w:color="auto"/>
              <w:right w:val="single" w:sz="4" w:space="0" w:color="auto"/>
            </w:tcBorders>
            <w:shd w:val="clear" w:color="auto" w:fill="auto"/>
            <w:vAlign w:val="center"/>
            <w:hideMark/>
          </w:tcPr>
          <w:p w14:paraId="3E22A8B2"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Veselības pārbaudes un profilakse</w:t>
            </w:r>
          </w:p>
        </w:tc>
        <w:tc>
          <w:tcPr>
            <w:tcW w:w="4820" w:type="dxa"/>
            <w:tcBorders>
              <w:top w:val="nil"/>
              <w:left w:val="nil"/>
              <w:bottom w:val="single" w:sz="4" w:space="0" w:color="auto"/>
              <w:right w:val="single" w:sz="4" w:space="0" w:color="auto"/>
            </w:tcBorders>
            <w:shd w:val="clear" w:color="auto" w:fill="auto"/>
            <w:vAlign w:val="bottom"/>
            <w:hideMark/>
          </w:tcPr>
          <w:p w14:paraId="52AE95FF" w14:textId="77777777" w:rsidR="004E009A" w:rsidRPr="004E009A" w:rsidRDefault="004E009A" w:rsidP="004E009A">
            <w:pPr>
              <w:spacing w:after="0" w:line="240" w:lineRule="auto"/>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 xml:space="preserve">No jauna reģistrēta pacienta veselības stāvokļa novērtēšana </w:t>
            </w:r>
          </w:p>
        </w:tc>
        <w:tc>
          <w:tcPr>
            <w:tcW w:w="1843" w:type="dxa"/>
            <w:tcBorders>
              <w:top w:val="nil"/>
              <w:left w:val="nil"/>
              <w:bottom w:val="single" w:sz="4" w:space="0" w:color="auto"/>
              <w:right w:val="single" w:sz="4" w:space="0" w:color="auto"/>
            </w:tcBorders>
            <w:shd w:val="clear" w:color="auto" w:fill="auto"/>
            <w:noWrap/>
            <w:vAlign w:val="bottom"/>
            <w:hideMark/>
          </w:tcPr>
          <w:p w14:paraId="0EBD2F9B"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646</w:t>
            </w:r>
          </w:p>
        </w:tc>
        <w:tc>
          <w:tcPr>
            <w:tcW w:w="2126" w:type="dxa"/>
            <w:tcBorders>
              <w:top w:val="nil"/>
              <w:left w:val="nil"/>
              <w:bottom w:val="single" w:sz="4" w:space="0" w:color="auto"/>
              <w:right w:val="single" w:sz="8" w:space="0" w:color="auto"/>
            </w:tcBorders>
            <w:shd w:val="clear" w:color="auto" w:fill="auto"/>
            <w:noWrap/>
            <w:vAlign w:val="bottom"/>
            <w:hideMark/>
          </w:tcPr>
          <w:p w14:paraId="0AD80A3B"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800</w:t>
            </w:r>
          </w:p>
        </w:tc>
      </w:tr>
      <w:tr w:rsidR="004E009A" w:rsidRPr="004E009A" w14:paraId="6434DF48" w14:textId="77777777" w:rsidTr="00D362F4">
        <w:trPr>
          <w:trHeight w:val="255"/>
          <w:jc w:val="center"/>
        </w:trPr>
        <w:tc>
          <w:tcPr>
            <w:tcW w:w="1701" w:type="dxa"/>
            <w:vMerge/>
            <w:tcBorders>
              <w:top w:val="nil"/>
              <w:left w:val="single" w:sz="8" w:space="0" w:color="auto"/>
              <w:bottom w:val="single" w:sz="4" w:space="0" w:color="auto"/>
              <w:right w:val="single" w:sz="4" w:space="0" w:color="auto"/>
            </w:tcBorders>
            <w:vAlign w:val="center"/>
            <w:hideMark/>
          </w:tcPr>
          <w:p w14:paraId="1BA0ADEB" w14:textId="77777777" w:rsidR="004E009A" w:rsidRPr="004E009A" w:rsidRDefault="004E009A" w:rsidP="004E009A">
            <w:pPr>
              <w:spacing w:after="0" w:line="240" w:lineRule="auto"/>
              <w:rPr>
                <w:rFonts w:ascii="Times New Roman" w:eastAsia="Times New Roman" w:hAnsi="Times New Roman" w:cs="Times New Roman"/>
                <w:color w:val="000000"/>
                <w:sz w:val="20"/>
                <w:szCs w:val="20"/>
                <w:lang w:eastAsia="lv-LV"/>
              </w:rPr>
            </w:pPr>
          </w:p>
        </w:tc>
        <w:tc>
          <w:tcPr>
            <w:tcW w:w="4820" w:type="dxa"/>
            <w:tcBorders>
              <w:top w:val="nil"/>
              <w:left w:val="nil"/>
              <w:bottom w:val="single" w:sz="4" w:space="0" w:color="auto"/>
              <w:right w:val="single" w:sz="4" w:space="0" w:color="auto"/>
            </w:tcBorders>
            <w:shd w:val="clear" w:color="auto" w:fill="auto"/>
            <w:noWrap/>
            <w:vAlign w:val="bottom"/>
            <w:hideMark/>
          </w:tcPr>
          <w:p w14:paraId="7E3CC112" w14:textId="77777777" w:rsidR="004E009A" w:rsidRPr="004E009A" w:rsidRDefault="004E009A" w:rsidP="004E009A">
            <w:pPr>
              <w:spacing w:after="0" w:line="240" w:lineRule="auto"/>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 xml:space="preserve">Bērnu vakcinācijas aptvere </w:t>
            </w:r>
          </w:p>
        </w:tc>
        <w:tc>
          <w:tcPr>
            <w:tcW w:w="1843" w:type="dxa"/>
            <w:tcBorders>
              <w:top w:val="nil"/>
              <w:left w:val="nil"/>
              <w:bottom w:val="single" w:sz="4" w:space="0" w:color="auto"/>
              <w:right w:val="single" w:sz="4" w:space="0" w:color="auto"/>
            </w:tcBorders>
            <w:shd w:val="clear" w:color="auto" w:fill="auto"/>
            <w:noWrap/>
            <w:vAlign w:val="bottom"/>
            <w:hideMark/>
          </w:tcPr>
          <w:p w14:paraId="7BC7D249"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330</w:t>
            </w:r>
          </w:p>
        </w:tc>
        <w:tc>
          <w:tcPr>
            <w:tcW w:w="2126" w:type="dxa"/>
            <w:tcBorders>
              <w:top w:val="nil"/>
              <w:left w:val="nil"/>
              <w:bottom w:val="single" w:sz="4" w:space="0" w:color="auto"/>
              <w:right w:val="single" w:sz="8" w:space="0" w:color="auto"/>
            </w:tcBorders>
            <w:shd w:val="clear" w:color="auto" w:fill="auto"/>
            <w:noWrap/>
            <w:vAlign w:val="bottom"/>
            <w:hideMark/>
          </w:tcPr>
          <w:p w14:paraId="3BDB3960"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700</w:t>
            </w:r>
          </w:p>
        </w:tc>
      </w:tr>
      <w:tr w:rsidR="004E009A" w:rsidRPr="004E009A" w14:paraId="32FFD470" w14:textId="77777777" w:rsidTr="00D362F4">
        <w:trPr>
          <w:trHeight w:val="510"/>
          <w:jc w:val="center"/>
        </w:trPr>
        <w:tc>
          <w:tcPr>
            <w:tcW w:w="1701" w:type="dxa"/>
            <w:vMerge/>
            <w:tcBorders>
              <w:top w:val="nil"/>
              <w:left w:val="single" w:sz="8" w:space="0" w:color="auto"/>
              <w:bottom w:val="single" w:sz="4" w:space="0" w:color="auto"/>
              <w:right w:val="single" w:sz="4" w:space="0" w:color="auto"/>
            </w:tcBorders>
            <w:vAlign w:val="center"/>
            <w:hideMark/>
          </w:tcPr>
          <w:p w14:paraId="5B66AAF7" w14:textId="77777777" w:rsidR="004E009A" w:rsidRPr="004E009A" w:rsidRDefault="004E009A" w:rsidP="004E009A">
            <w:pPr>
              <w:spacing w:after="0" w:line="240" w:lineRule="auto"/>
              <w:rPr>
                <w:rFonts w:ascii="Times New Roman" w:eastAsia="Times New Roman" w:hAnsi="Times New Roman" w:cs="Times New Roman"/>
                <w:color w:val="000000"/>
                <w:sz w:val="20"/>
                <w:szCs w:val="20"/>
                <w:lang w:eastAsia="lv-LV"/>
              </w:rPr>
            </w:pPr>
          </w:p>
        </w:tc>
        <w:tc>
          <w:tcPr>
            <w:tcW w:w="4820" w:type="dxa"/>
            <w:tcBorders>
              <w:top w:val="nil"/>
              <w:left w:val="nil"/>
              <w:bottom w:val="single" w:sz="4" w:space="0" w:color="auto"/>
              <w:right w:val="single" w:sz="4" w:space="0" w:color="auto"/>
            </w:tcBorders>
            <w:shd w:val="clear" w:color="auto" w:fill="auto"/>
            <w:vAlign w:val="bottom"/>
            <w:hideMark/>
          </w:tcPr>
          <w:p w14:paraId="0CB9AF75" w14:textId="77777777" w:rsidR="004E009A" w:rsidRPr="004E009A" w:rsidRDefault="004E009A" w:rsidP="004E009A">
            <w:pPr>
              <w:spacing w:after="0" w:line="240" w:lineRule="auto"/>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Pacientiem vecumā no 50 līdz 74 gadiem veikts slēpto asiņu tests</w:t>
            </w:r>
          </w:p>
        </w:tc>
        <w:tc>
          <w:tcPr>
            <w:tcW w:w="1843" w:type="dxa"/>
            <w:tcBorders>
              <w:top w:val="nil"/>
              <w:left w:val="nil"/>
              <w:bottom w:val="single" w:sz="4" w:space="0" w:color="auto"/>
              <w:right w:val="single" w:sz="4" w:space="0" w:color="auto"/>
            </w:tcBorders>
            <w:shd w:val="clear" w:color="auto" w:fill="auto"/>
            <w:noWrap/>
            <w:vAlign w:val="bottom"/>
            <w:hideMark/>
          </w:tcPr>
          <w:p w14:paraId="4A8CDA4B"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483</w:t>
            </w:r>
          </w:p>
        </w:tc>
        <w:tc>
          <w:tcPr>
            <w:tcW w:w="2126" w:type="dxa"/>
            <w:tcBorders>
              <w:top w:val="nil"/>
              <w:left w:val="nil"/>
              <w:bottom w:val="single" w:sz="4" w:space="0" w:color="auto"/>
              <w:right w:val="single" w:sz="8" w:space="0" w:color="auto"/>
            </w:tcBorders>
            <w:shd w:val="clear" w:color="auto" w:fill="auto"/>
            <w:noWrap/>
            <w:vAlign w:val="bottom"/>
            <w:hideMark/>
          </w:tcPr>
          <w:p w14:paraId="189F5154"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600</w:t>
            </w:r>
          </w:p>
        </w:tc>
      </w:tr>
      <w:tr w:rsidR="004E009A" w:rsidRPr="004E009A" w14:paraId="621E7C41" w14:textId="77777777" w:rsidTr="00D362F4">
        <w:trPr>
          <w:trHeight w:val="765"/>
          <w:jc w:val="center"/>
        </w:trPr>
        <w:tc>
          <w:tcPr>
            <w:tcW w:w="1701" w:type="dxa"/>
            <w:vMerge w:val="restart"/>
            <w:tcBorders>
              <w:top w:val="nil"/>
              <w:left w:val="single" w:sz="8" w:space="0" w:color="auto"/>
              <w:bottom w:val="single" w:sz="4" w:space="0" w:color="auto"/>
              <w:right w:val="single" w:sz="4" w:space="0" w:color="auto"/>
            </w:tcBorders>
            <w:shd w:val="clear" w:color="auto" w:fill="auto"/>
            <w:vAlign w:val="center"/>
            <w:hideMark/>
          </w:tcPr>
          <w:p w14:paraId="1B85AD1F"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 xml:space="preserve">Pacientu ar hroniskām saslimšanām aprūpe </w:t>
            </w:r>
          </w:p>
        </w:tc>
        <w:tc>
          <w:tcPr>
            <w:tcW w:w="4820" w:type="dxa"/>
            <w:tcBorders>
              <w:top w:val="nil"/>
              <w:left w:val="nil"/>
              <w:bottom w:val="single" w:sz="4" w:space="0" w:color="auto"/>
              <w:right w:val="single" w:sz="4" w:space="0" w:color="auto"/>
            </w:tcBorders>
            <w:shd w:val="clear" w:color="auto" w:fill="auto"/>
            <w:vAlign w:val="bottom"/>
            <w:hideMark/>
          </w:tcPr>
          <w:p w14:paraId="724F4F55" w14:textId="77777777" w:rsidR="004E009A" w:rsidRPr="004E009A" w:rsidRDefault="004E009A" w:rsidP="004E009A">
            <w:pPr>
              <w:spacing w:after="0" w:line="240" w:lineRule="auto"/>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Cukura diabēta pacientu uzraudzība, veicot glikohemoglobīna (glikētā Hb) mērījumi 2. tipa cukura diabēta slimniekiem</w:t>
            </w:r>
          </w:p>
        </w:tc>
        <w:tc>
          <w:tcPr>
            <w:tcW w:w="1843" w:type="dxa"/>
            <w:tcBorders>
              <w:top w:val="nil"/>
              <w:left w:val="nil"/>
              <w:bottom w:val="single" w:sz="4" w:space="0" w:color="auto"/>
              <w:right w:val="single" w:sz="4" w:space="0" w:color="auto"/>
            </w:tcBorders>
            <w:shd w:val="clear" w:color="auto" w:fill="auto"/>
            <w:noWrap/>
            <w:vAlign w:val="bottom"/>
            <w:hideMark/>
          </w:tcPr>
          <w:p w14:paraId="67A35E3F"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636</w:t>
            </w:r>
          </w:p>
        </w:tc>
        <w:tc>
          <w:tcPr>
            <w:tcW w:w="2126" w:type="dxa"/>
            <w:tcBorders>
              <w:top w:val="nil"/>
              <w:left w:val="nil"/>
              <w:bottom w:val="single" w:sz="4" w:space="0" w:color="auto"/>
              <w:right w:val="single" w:sz="8" w:space="0" w:color="auto"/>
            </w:tcBorders>
            <w:shd w:val="clear" w:color="auto" w:fill="auto"/>
            <w:noWrap/>
            <w:vAlign w:val="bottom"/>
            <w:hideMark/>
          </w:tcPr>
          <w:p w14:paraId="01638629"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800</w:t>
            </w:r>
          </w:p>
        </w:tc>
      </w:tr>
      <w:tr w:rsidR="004E009A" w:rsidRPr="004E009A" w14:paraId="5C8CC59B" w14:textId="77777777" w:rsidTr="00D362F4">
        <w:trPr>
          <w:trHeight w:val="885"/>
          <w:jc w:val="center"/>
        </w:trPr>
        <w:tc>
          <w:tcPr>
            <w:tcW w:w="1701" w:type="dxa"/>
            <w:vMerge/>
            <w:tcBorders>
              <w:top w:val="nil"/>
              <w:left w:val="single" w:sz="8" w:space="0" w:color="auto"/>
              <w:bottom w:val="single" w:sz="4" w:space="0" w:color="auto"/>
              <w:right w:val="single" w:sz="4" w:space="0" w:color="auto"/>
            </w:tcBorders>
            <w:vAlign w:val="center"/>
            <w:hideMark/>
          </w:tcPr>
          <w:p w14:paraId="4691ADA5" w14:textId="77777777" w:rsidR="004E009A" w:rsidRPr="004E009A" w:rsidRDefault="004E009A" w:rsidP="004E009A">
            <w:pPr>
              <w:spacing w:after="0" w:line="240" w:lineRule="auto"/>
              <w:rPr>
                <w:rFonts w:ascii="Times New Roman" w:eastAsia="Times New Roman" w:hAnsi="Times New Roman" w:cs="Times New Roman"/>
                <w:color w:val="000000"/>
                <w:sz w:val="20"/>
                <w:szCs w:val="20"/>
                <w:lang w:eastAsia="lv-LV"/>
              </w:rPr>
            </w:pPr>
          </w:p>
        </w:tc>
        <w:tc>
          <w:tcPr>
            <w:tcW w:w="4820" w:type="dxa"/>
            <w:tcBorders>
              <w:top w:val="nil"/>
              <w:left w:val="nil"/>
              <w:bottom w:val="single" w:sz="4" w:space="0" w:color="auto"/>
              <w:right w:val="single" w:sz="4" w:space="0" w:color="auto"/>
            </w:tcBorders>
            <w:shd w:val="clear" w:color="auto" w:fill="auto"/>
            <w:vAlign w:val="bottom"/>
            <w:hideMark/>
          </w:tcPr>
          <w:p w14:paraId="5DBF64B0" w14:textId="77777777" w:rsidR="004E009A" w:rsidRPr="004E009A" w:rsidRDefault="004E009A" w:rsidP="004E009A">
            <w:pPr>
              <w:spacing w:after="0" w:line="240" w:lineRule="auto"/>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Cukura diabēta pacientu uzraudzība, veicot mikroalbuminūrijas noteikšanu kvantitatīvi 2. tipa cukura diabēta pacientiem</w:t>
            </w:r>
          </w:p>
        </w:tc>
        <w:tc>
          <w:tcPr>
            <w:tcW w:w="1843" w:type="dxa"/>
            <w:tcBorders>
              <w:top w:val="nil"/>
              <w:left w:val="nil"/>
              <w:bottom w:val="single" w:sz="4" w:space="0" w:color="auto"/>
              <w:right w:val="single" w:sz="4" w:space="0" w:color="auto"/>
            </w:tcBorders>
            <w:shd w:val="clear" w:color="auto" w:fill="auto"/>
            <w:noWrap/>
            <w:vAlign w:val="bottom"/>
            <w:hideMark/>
          </w:tcPr>
          <w:p w14:paraId="1286944C"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524</w:t>
            </w:r>
          </w:p>
        </w:tc>
        <w:tc>
          <w:tcPr>
            <w:tcW w:w="2126" w:type="dxa"/>
            <w:tcBorders>
              <w:top w:val="nil"/>
              <w:left w:val="nil"/>
              <w:bottom w:val="single" w:sz="4" w:space="0" w:color="auto"/>
              <w:right w:val="single" w:sz="8" w:space="0" w:color="auto"/>
            </w:tcBorders>
            <w:shd w:val="clear" w:color="auto" w:fill="auto"/>
            <w:noWrap/>
            <w:vAlign w:val="bottom"/>
            <w:hideMark/>
          </w:tcPr>
          <w:p w14:paraId="4FF3F1B6"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700</w:t>
            </w:r>
          </w:p>
        </w:tc>
      </w:tr>
      <w:tr w:rsidR="004E009A" w:rsidRPr="004E009A" w14:paraId="298DFC0B" w14:textId="77777777" w:rsidTr="00D362F4">
        <w:trPr>
          <w:trHeight w:val="795"/>
          <w:jc w:val="center"/>
        </w:trPr>
        <w:tc>
          <w:tcPr>
            <w:tcW w:w="1701" w:type="dxa"/>
            <w:vMerge/>
            <w:tcBorders>
              <w:top w:val="nil"/>
              <w:left w:val="single" w:sz="8" w:space="0" w:color="auto"/>
              <w:bottom w:val="single" w:sz="4" w:space="0" w:color="auto"/>
              <w:right w:val="single" w:sz="4" w:space="0" w:color="auto"/>
            </w:tcBorders>
            <w:vAlign w:val="center"/>
            <w:hideMark/>
          </w:tcPr>
          <w:p w14:paraId="1F85BA21" w14:textId="77777777" w:rsidR="004E009A" w:rsidRPr="004E009A" w:rsidRDefault="004E009A" w:rsidP="004E009A">
            <w:pPr>
              <w:spacing w:after="0" w:line="240" w:lineRule="auto"/>
              <w:rPr>
                <w:rFonts w:ascii="Times New Roman" w:eastAsia="Times New Roman" w:hAnsi="Times New Roman" w:cs="Times New Roman"/>
                <w:color w:val="000000"/>
                <w:sz w:val="20"/>
                <w:szCs w:val="20"/>
                <w:lang w:eastAsia="lv-LV"/>
              </w:rPr>
            </w:pPr>
          </w:p>
        </w:tc>
        <w:tc>
          <w:tcPr>
            <w:tcW w:w="4820" w:type="dxa"/>
            <w:tcBorders>
              <w:top w:val="nil"/>
              <w:left w:val="nil"/>
              <w:bottom w:val="single" w:sz="4" w:space="0" w:color="auto"/>
              <w:right w:val="single" w:sz="4" w:space="0" w:color="auto"/>
            </w:tcBorders>
            <w:shd w:val="clear" w:color="auto" w:fill="auto"/>
            <w:vAlign w:val="bottom"/>
            <w:hideMark/>
          </w:tcPr>
          <w:p w14:paraId="68425043" w14:textId="77777777" w:rsidR="004E009A" w:rsidRPr="004E009A" w:rsidRDefault="004E009A" w:rsidP="004E009A">
            <w:pPr>
              <w:spacing w:after="0" w:line="240" w:lineRule="auto"/>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Pacientu ar arteriālo hipertensiju un pacientu ar koronāro sirds slimību aprūpe- zema blīvuma holesterīna līmeņa noteikšana</w:t>
            </w:r>
          </w:p>
        </w:tc>
        <w:tc>
          <w:tcPr>
            <w:tcW w:w="1843" w:type="dxa"/>
            <w:tcBorders>
              <w:top w:val="nil"/>
              <w:left w:val="nil"/>
              <w:bottom w:val="single" w:sz="4" w:space="0" w:color="auto"/>
              <w:right w:val="single" w:sz="4" w:space="0" w:color="auto"/>
            </w:tcBorders>
            <w:shd w:val="clear" w:color="auto" w:fill="auto"/>
            <w:noWrap/>
            <w:vAlign w:val="bottom"/>
            <w:hideMark/>
          </w:tcPr>
          <w:p w14:paraId="530E1718"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228</w:t>
            </w:r>
          </w:p>
        </w:tc>
        <w:tc>
          <w:tcPr>
            <w:tcW w:w="2126" w:type="dxa"/>
            <w:tcBorders>
              <w:top w:val="nil"/>
              <w:left w:val="nil"/>
              <w:bottom w:val="single" w:sz="4" w:space="0" w:color="auto"/>
              <w:right w:val="single" w:sz="8" w:space="0" w:color="auto"/>
            </w:tcBorders>
            <w:shd w:val="clear" w:color="auto" w:fill="auto"/>
            <w:noWrap/>
            <w:vAlign w:val="bottom"/>
            <w:hideMark/>
          </w:tcPr>
          <w:p w14:paraId="5E98DE1E"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500</w:t>
            </w:r>
          </w:p>
        </w:tc>
      </w:tr>
      <w:tr w:rsidR="004E009A" w:rsidRPr="004E009A" w14:paraId="0FF82D6C" w14:textId="77777777" w:rsidTr="00D362F4">
        <w:trPr>
          <w:trHeight w:val="765"/>
          <w:jc w:val="center"/>
        </w:trPr>
        <w:tc>
          <w:tcPr>
            <w:tcW w:w="1701" w:type="dxa"/>
            <w:vMerge/>
            <w:tcBorders>
              <w:top w:val="nil"/>
              <w:left w:val="single" w:sz="8" w:space="0" w:color="auto"/>
              <w:bottom w:val="single" w:sz="4" w:space="0" w:color="auto"/>
              <w:right w:val="single" w:sz="4" w:space="0" w:color="auto"/>
            </w:tcBorders>
            <w:vAlign w:val="center"/>
            <w:hideMark/>
          </w:tcPr>
          <w:p w14:paraId="470AEEFD" w14:textId="77777777" w:rsidR="004E009A" w:rsidRPr="004E009A" w:rsidRDefault="004E009A" w:rsidP="004E009A">
            <w:pPr>
              <w:spacing w:after="0" w:line="240" w:lineRule="auto"/>
              <w:rPr>
                <w:rFonts w:ascii="Times New Roman" w:eastAsia="Times New Roman" w:hAnsi="Times New Roman" w:cs="Times New Roman"/>
                <w:color w:val="000000"/>
                <w:sz w:val="20"/>
                <w:szCs w:val="20"/>
                <w:lang w:eastAsia="lv-LV"/>
              </w:rPr>
            </w:pPr>
          </w:p>
        </w:tc>
        <w:tc>
          <w:tcPr>
            <w:tcW w:w="4820" w:type="dxa"/>
            <w:tcBorders>
              <w:top w:val="nil"/>
              <w:left w:val="nil"/>
              <w:bottom w:val="single" w:sz="4" w:space="0" w:color="auto"/>
              <w:right w:val="single" w:sz="4" w:space="0" w:color="auto"/>
            </w:tcBorders>
            <w:shd w:val="clear" w:color="auto" w:fill="auto"/>
            <w:vAlign w:val="bottom"/>
            <w:hideMark/>
          </w:tcPr>
          <w:p w14:paraId="097F3435" w14:textId="77777777" w:rsidR="004E009A" w:rsidRPr="004E009A" w:rsidRDefault="004E009A" w:rsidP="004E009A">
            <w:pPr>
              <w:spacing w:after="0" w:line="240" w:lineRule="auto"/>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Pacientu ar bronhiālo astmu veselības aprūpe-izelpas maksimuma plūsmas mērīšana bronhiālās astmas pacientiem</w:t>
            </w:r>
          </w:p>
        </w:tc>
        <w:tc>
          <w:tcPr>
            <w:tcW w:w="1843" w:type="dxa"/>
            <w:tcBorders>
              <w:top w:val="nil"/>
              <w:left w:val="nil"/>
              <w:bottom w:val="single" w:sz="4" w:space="0" w:color="auto"/>
              <w:right w:val="single" w:sz="4" w:space="0" w:color="auto"/>
            </w:tcBorders>
            <w:shd w:val="clear" w:color="auto" w:fill="auto"/>
            <w:noWrap/>
            <w:vAlign w:val="bottom"/>
            <w:hideMark/>
          </w:tcPr>
          <w:p w14:paraId="700295FD"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289</w:t>
            </w:r>
          </w:p>
        </w:tc>
        <w:tc>
          <w:tcPr>
            <w:tcW w:w="2126" w:type="dxa"/>
            <w:tcBorders>
              <w:top w:val="nil"/>
              <w:left w:val="nil"/>
              <w:bottom w:val="single" w:sz="4" w:space="0" w:color="auto"/>
              <w:right w:val="single" w:sz="8" w:space="0" w:color="auto"/>
            </w:tcBorders>
            <w:shd w:val="clear" w:color="auto" w:fill="auto"/>
            <w:noWrap/>
            <w:vAlign w:val="bottom"/>
            <w:hideMark/>
          </w:tcPr>
          <w:p w14:paraId="2E4108B7"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500</w:t>
            </w:r>
          </w:p>
        </w:tc>
      </w:tr>
      <w:tr w:rsidR="004E009A" w:rsidRPr="004E009A" w14:paraId="584B0537" w14:textId="77777777" w:rsidTr="00D362F4">
        <w:trPr>
          <w:trHeight w:val="675"/>
          <w:jc w:val="center"/>
        </w:trPr>
        <w:tc>
          <w:tcPr>
            <w:tcW w:w="6521" w:type="dxa"/>
            <w:gridSpan w:val="2"/>
            <w:tcBorders>
              <w:top w:val="single" w:sz="4" w:space="0" w:color="auto"/>
              <w:left w:val="single" w:sz="8" w:space="0" w:color="auto"/>
              <w:bottom w:val="single" w:sz="8" w:space="0" w:color="auto"/>
              <w:right w:val="single" w:sz="4" w:space="0" w:color="auto"/>
            </w:tcBorders>
            <w:shd w:val="clear" w:color="auto" w:fill="auto"/>
            <w:hideMark/>
          </w:tcPr>
          <w:p w14:paraId="3EF35303" w14:textId="77777777" w:rsidR="004E009A" w:rsidRPr="004E009A" w:rsidRDefault="004E009A" w:rsidP="004E009A">
            <w:pPr>
              <w:spacing w:after="0" w:line="240" w:lineRule="auto"/>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Ģimenes ārsta veikto papildu manipulāciju un papildu pakalpojumu daudzveidība</w:t>
            </w:r>
          </w:p>
        </w:tc>
        <w:tc>
          <w:tcPr>
            <w:tcW w:w="1843" w:type="dxa"/>
            <w:tcBorders>
              <w:top w:val="nil"/>
              <w:left w:val="nil"/>
              <w:bottom w:val="single" w:sz="8" w:space="0" w:color="auto"/>
              <w:right w:val="single" w:sz="4" w:space="0" w:color="auto"/>
            </w:tcBorders>
            <w:shd w:val="clear" w:color="auto" w:fill="auto"/>
            <w:noWrap/>
            <w:vAlign w:val="bottom"/>
            <w:hideMark/>
          </w:tcPr>
          <w:p w14:paraId="17C47E92"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454</w:t>
            </w:r>
          </w:p>
        </w:tc>
        <w:tc>
          <w:tcPr>
            <w:tcW w:w="2126" w:type="dxa"/>
            <w:tcBorders>
              <w:top w:val="nil"/>
              <w:left w:val="nil"/>
              <w:bottom w:val="single" w:sz="8" w:space="0" w:color="auto"/>
              <w:right w:val="single" w:sz="8" w:space="0" w:color="auto"/>
            </w:tcBorders>
            <w:shd w:val="clear" w:color="auto" w:fill="auto"/>
            <w:noWrap/>
            <w:vAlign w:val="bottom"/>
            <w:hideMark/>
          </w:tcPr>
          <w:p w14:paraId="683870C4" w14:textId="77777777" w:rsidR="004E009A" w:rsidRPr="004E009A" w:rsidRDefault="004E009A" w:rsidP="004E009A">
            <w:pPr>
              <w:spacing w:after="0" w:line="240" w:lineRule="auto"/>
              <w:jc w:val="center"/>
              <w:rPr>
                <w:rFonts w:ascii="Times New Roman" w:eastAsia="Times New Roman" w:hAnsi="Times New Roman" w:cs="Times New Roman"/>
                <w:color w:val="000000"/>
                <w:sz w:val="20"/>
                <w:szCs w:val="20"/>
                <w:lang w:eastAsia="lv-LV"/>
              </w:rPr>
            </w:pPr>
            <w:r w:rsidRPr="004E009A">
              <w:rPr>
                <w:rFonts w:ascii="Times New Roman" w:eastAsia="Times New Roman" w:hAnsi="Times New Roman" w:cs="Times New Roman"/>
                <w:color w:val="000000"/>
                <w:sz w:val="20"/>
                <w:szCs w:val="20"/>
                <w:lang w:eastAsia="lv-LV"/>
              </w:rPr>
              <w:t>700</w:t>
            </w:r>
          </w:p>
        </w:tc>
      </w:tr>
    </w:tbl>
    <w:p w14:paraId="4876239C" w14:textId="77777777" w:rsidR="00D362F4" w:rsidRDefault="00D362F4" w:rsidP="008E374D">
      <w:pPr>
        <w:ind w:firstLine="720"/>
        <w:jc w:val="both"/>
        <w:rPr>
          <w:rFonts w:ascii="Times New Roman" w:hAnsi="Times New Roman" w:cs="Times New Roman"/>
          <w:sz w:val="24"/>
          <w:szCs w:val="24"/>
          <w:lang w:eastAsia="lv-LV"/>
        </w:rPr>
      </w:pPr>
    </w:p>
    <w:p w14:paraId="76DBB458" w14:textId="69541DCC" w:rsidR="00FD7006" w:rsidRDefault="00FD7006" w:rsidP="008E374D">
      <w:pPr>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Ģimenes ārstu kvalitātes kritēriju izpilde tiks monitorēta</w:t>
      </w:r>
      <w:r w:rsidR="00C201FD">
        <w:rPr>
          <w:rFonts w:ascii="Times New Roman" w:hAnsi="Times New Roman" w:cs="Times New Roman"/>
          <w:sz w:val="24"/>
          <w:szCs w:val="24"/>
          <w:lang w:eastAsia="lv-LV"/>
        </w:rPr>
        <w:t xml:space="preserve"> un apmaksa par kvalitātes kritēriju izpildi tiks</w:t>
      </w:r>
      <w:r w:rsidR="002330A6">
        <w:rPr>
          <w:rFonts w:ascii="Times New Roman" w:hAnsi="Times New Roman" w:cs="Times New Roman"/>
          <w:sz w:val="24"/>
          <w:szCs w:val="24"/>
          <w:lang w:eastAsia="lv-LV"/>
        </w:rPr>
        <w:t xml:space="preserve"> veikta</w:t>
      </w:r>
      <w:r w:rsidR="00C201FD">
        <w:rPr>
          <w:rFonts w:ascii="Times New Roman" w:hAnsi="Times New Roman" w:cs="Times New Roman"/>
          <w:sz w:val="24"/>
          <w:szCs w:val="24"/>
          <w:lang w:eastAsia="lv-LV"/>
        </w:rPr>
        <w:t xml:space="preserve"> tikai ģimenes ārstu praksēm ar izpildītiem kvalitātes kritērijiem. </w:t>
      </w:r>
    </w:p>
    <w:p w14:paraId="4DF74FB5" w14:textId="577677B8" w:rsidR="008E374D" w:rsidRPr="00847710" w:rsidRDefault="008E374D" w:rsidP="008E374D">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Primārās veselības aprūpes pakalpojumu kvalitātes uzlabošana ir prioritāte un visi ģimenes ārsta komandas dalībnieki ir jāiesaista kvalitātes nodrošināšanā un uzlabošanā. </w:t>
      </w:r>
    </w:p>
    <w:p w14:paraId="599A95E9" w14:textId="34BAEA3C" w:rsidR="009F003B" w:rsidRPr="00847710" w:rsidRDefault="008E374D">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Minētās kvalitātes sistēmas ieviešanai plānotais finansējums ir </w:t>
      </w:r>
      <w:r w:rsidR="006A37D6" w:rsidRPr="00847710">
        <w:rPr>
          <w:rFonts w:ascii="Times New Roman" w:hAnsi="Times New Roman" w:cs="Times New Roman"/>
          <w:sz w:val="24"/>
          <w:szCs w:val="24"/>
          <w:lang w:eastAsia="lv-LV"/>
        </w:rPr>
        <w:t xml:space="preserve">3 729 </w:t>
      </w:r>
      <w:r w:rsidR="00C32E70" w:rsidRPr="00847710">
        <w:rPr>
          <w:rFonts w:ascii="Times New Roman" w:hAnsi="Times New Roman" w:cs="Times New Roman"/>
          <w:sz w:val="24"/>
          <w:szCs w:val="24"/>
          <w:lang w:eastAsia="lv-LV"/>
        </w:rPr>
        <w:t>362</w:t>
      </w:r>
      <w:r w:rsidRPr="00847710">
        <w:rPr>
          <w:rFonts w:ascii="Times New Roman" w:hAnsi="Times New Roman" w:cs="Times New Roman"/>
          <w:sz w:val="24"/>
          <w:szCs w:val="24"/>
          <w:lang w:eastAsia="lv-LV"/>
        </w:rPr>
        <w:t xml:space="preserve"> euro gadā</w:t>
      </w:r>
      <w:r w:rsidR="00CE1E27" w:rsidRPr="00847710">
        <w:rPr>
          <w:rFonts w:ascii="Times New Roman" w:hAnsi="Times New Roman" w:cs="Times New Roman"/>
          <w:sz w:val="24"/>
          <w:szCs w:val="24"/>
          <w:lang w:eastAsia="lv-LV"/>
        </w:rPr>
        <w:t xml:space="preserve">, </w:t>
      </w:r>
      <w:r w:rsidR="00711F19" w:rsidRPr="00847710">
        <w:rPr>
          <w:rFonts w:ascii="Times New Roman" w:hAnsi="Times New Roman" w:cs="Times New Roman"/>
          <w:sz w:val="24"/>
          <w:szCs w:val="24"/>
          <w:lang w:eastAsia="lv-LV"/>
        </w:rPr>
        <w:t xml:space="preserve">1 322 ģimenes ārsta praksēm, </w:t>
      </w:r>
      <w:r w:rsidR="005F764C" w:rsidRPr="00847710">
        <w:rPr>
          <w:rFonts w:ascii="Times New Roman" w:hAnsi="Times New Roman" w:cs="Times New Roman"/>
          <w:sz w:val="24"/>
          <w:szCs w:val="24"/>
          <w:lang w:eastAsia="lv-LV"/>
        </w:rPr>
        <w:t>vidēji uz vienu ģimenes ārsta praksi 2</w:t>
      </w:r>
      <w:r w:rsidR="009B1C41" w:rsidRPr="00847710">
        <w:rPr>
          <w:rFonts w:ascii="Times New Roman" w:hAnsi="Times New Roman" w:cs="Times New Roman"/>
          <w:sz w:val="24"/>
          <w:szCs w:val="24"/>
          <w:lang w:eastAsia="lv-LV"/>
        </w:rPr>
        <w:t xml:space="preserve"> </w:t>
      </w:r>
      <w:r w:rsidR="0018564B" w:rsidRPr="00847710">
        <w:rPr>
          <w:rFonts w:ascii="Times New Roman" w:hAnsi="Times New Roman" w:cs="Times New Roman"/>
          <w:sz w:val="24"/>
          <w:szCs w:val="24"/>
          <w:lang w:eastAsia="lv-LV"/>
        </w:rPr>
        <w:t> 82</w:t>
      </w:r>
      <w:r w:rsidR="00C32E70" w:rsidRPr="00847710">
        <w:rPr>
          <w:rFonts w:ascii="Times New Roman" w:hAnsi="Times New Roman" w:cs="Times New Roman"/>
          <w:sz w:val="24"/>
          <w:szCs w:val="24"/>
          <w:lang w:eastAsia="lv-LV"/>
        </w:rPr>
        <w:t>1</w:t>
      </w:r>
      <w:r w:rsidR="0018564B" w:rsidRPr="00847710">
        <w:rPr>
          <w:rFonts w:ascii="Times New Roman" w:hAnsi="Times New Roman" w:cs="Times New Roman"/>
          <w:sz w:val="24"/>
          <w:szCs w:val="24"/>
          <w:lang w:eastAsia="lv-LV"/>
        </w:rPr>
        <w:t xml:space="preserve"> </w:t>
      </w:r>
      <w:r w:rsidR="005F764C" w:rsidRPr="00847710">
        <w:rPr>
          <w:rFonts w:ascii="Times New Roman" w:hAnsi="Times New Roman" w:cs="Times New Roman"/>
          <w:sz w:val="24"/>
          <w:szCs w:val="24"/>
          <w:lang w:eastAsia="lv-LV"/>
        </w:rPr>
        <w:t>euro</w:t>
      </w:r>
      <w:r w:rsidR="00FC0B57" w:rsidRPr="00847710">
        <w:rPr>
          <w:rFonts w:ascii="Times New Roman" w:hAnsi="Times New Roman" w:cs="Times New Roman"/>
          <w:sz w:val="24"/>
          <w:szCs w:val="24"/>
          <w:lang w:eastAsia="lv-LV"/>
        </w:rPr>
        <w:t xml:space="preserve"> gadā</w:t>
      </w:r>
      <w:r w:rsidR="005F764C" w:rsidRPr="00847710">
        <w:rPr>
          <w:rFonts w:ascii="Times New Roman" w:hAnsi="Times New Roman" w:cs="Times New Roman"/>
          <w:sz w:val="24"/>
          <w:szCs w:val="24"/>
          <w:lang w:eastAsia="lv-LV"/>
        </w:rPr>
        <w:t xml:space="preserve">, </w:t>
      </w:r>
      <w:r w:rsidR="00CE1E27" w:rsidRPr="00847710">
        <w:rPr>
          <w:rFonts w:ascii="Times New Roman" w:hAnsi="Times New Roman" w:cs="Times New Roman"/>
          <w:sz w:val="24"/>
          <w:szCs w:val="24"/>
          <w:lang w:eastAsia="lv-LV"/>
        </w:rPr>
        <w:t>kas</w:t>
      </w:r>
      <w:r w:rsidR="006033D8" w:rsidRPr="00847710">
        <w:rPr>
          <w:rFonts w:ascii="Times New Roman" w:hAnsi="Times New Roman" w:cs="Times New Roman"/>
          <w:sz w:val="24"/>
          <w:szCs w:val="24"/>
          <w:lang w:eastAsia="lv-LV"/>
        </w:rPr>
        <w:t xml:space="preserve"> </w:t>
      </w:r>
      <w:r w:rsidR="003C73B6" w:rsidRPr="00847710">
        <w:rPr>
          <w:rFonts w:ascii="Times New Roman" w:hAnsi="Times New Roman" w:cs="Times New Roman"/>
          <w:sz w:val="24"/>
          <w:szCs w:val="24"/>
          <w:lang w:eastAsia="lv-LV"/>
        </w:rPr>
        <w:t>tiks novirzīts sākot ar 2018</w:t>
      </w:r>
      <w:r w:rsidR="006033D8" w:rsidRPr="00847710">
        <w:rPr>
          <w:rFonts w:ascii="Times New Roman" w:hAnsi="Times New Roman" w:cs="Times New Roman"/>
          <w:sz w:val="24"/>
          <w:szCs w:val="24"/>
          <w:lang w:eastAsia="lv-LV"/>
        </w:rPr>
        <w:t>.gadu</w:t>
      </w:r>
      <w:r w:rsidR="003C73B6" w:rsidRPr="00847710">
        <w:rPr>
          <w:rFonts w:ascii="Times New Roman" w:hAnsi="Times New Roman" w:cs="Times New Roman"/>
          <w:sz w:val="24"/>
          <w:szCs w:val="24"/>
          <w:lang w:eastAsia="lv-LV"/>
        </w:rPr>
        <w:t>, vērtējot rādītāju izpildi 1 reizi ceturksnī.</w:t>
      </w:r>
      <w:r w:rsidR="00CE1E27" w:rsidRPr="00847710">
        <w:rPr>
          <w:rFonts w:ascii="Times New Roman" w:hAnsi="Times New Roman" w:cs="Times New Roman"/>
          <w:sz w:val="24"/>
          <w:szCs w:val="24"/>
          <w:lang w:eastAsia="lv-LV"/>
        </w:rPr>
        <w:t xml:space="preserve"> Līdz ar to 2018.gadam nepieciešams finansējums </w:t>
      </w:r>
      <w:r w:rsidR="00CE1E27" w:rsidRPr="0012317D">
        <w:rPr>
          <w:rFonts w:ascii="Times New Roman" w:hAnsi="Times New Roman" w:cs="Times New Roman"/>
          <w:b/>
          <w:bCs/>
          <w:sz w:val="24"/>
          <w:szCs w:val="24"/>
          <w:lang w:eastAsia="lv-LV"/>
        </w:rPr>
        <w:t>2 </w:t>
      </w:r>
      <w:r w:rsidR="004113BC" w:rsidRPr="00901A9F">
        <w:rPr>
          <w:rFonts w:ascii="Times New Roman" w:hAnsi="Times New Roman" w:cs="Times New Roman"/>
          <w:b/>
          <w:bCs/>
          <w:sz w:val="24"/>
          <w:szCs w:val="24"/>
          <w:lang w:eastAsia="lv-LV"/>
        </w:rPr>
        <w:t>79</w:t>
      </w:r>
      <w:r w:rsidR="00C32E70" w:rsidRPr="0078794A">
        <w:rPr>
          <w:rFonts w:ascii="Times New Roman" w:hAnsi="Times New Roman" w:cs="Times New Roman"/>
          <w:b/>
          <w:bCs/>
          <w:sz w:val="24"/>
          <w:szCs w:val="24"/>
          <w:lang w:eastAsia="lv-LV"/>
        </w:rPr>
        <w:t>7</w:t>
      </w:r>
      <w:r w:rsidR="004113BC" w:rsidRPr="00BD7921">
        <w:rPr>
          <w:rFonts w:ascii="Times New Roman" w:hAnsi="Times New Roman" w:cs="Times New Roman"/>
          <w:b/>
          <w:bCs/>
          <w:sz w:val="24"/>
          <w:szCs w:val="24"/>
          <w:lang w:eastAsia="lv-LV"/>
        </w:rPr>
        <w:t> </w:t>
      </w:r>
      <w:r w:rsidR="00C32E70" w:rsidRPr="004D4B58">
        <w:rPr>
          <w:rFonts w:ascii="Times New Roman" w:hAnsi="Times New Roman" w:cs="Times New Roman"/>
          <w:b/>
          <w:sz w:val="24"/>
          <w:szCs w:val="24"/>
          <w:lang w:eastAsia="lv-LV"/>
        </w:rPr>
        <w:t>022</w:t>
      </w:r>
      <w:r w:rsidR="00CE1E27" w:rsidRPr="00890961">
        <w:rPr>
          <w:rFonts w:ascii="Times New Roman" w:hAnsi="Times New Roman" w:cs="Times New Roman"/>
          <w:b/>
          <w:bCs/>
          <w:sz w:val="24"/>
          <w:szCs w:val="24"/>
          <w:lang w:eastAsia="lv-LV"/>
        </w:rPr>
        <w:t xml:space="preserve"> euro</w:t>
      </w:r>
      <w:r w:rsidR="005A48EE" w:rsidRPr="00847710">
        <w:rPr>
          <w:rFonts w:ascii="Times New Roman" w:hAnsi="Times New Roman" w:cs="Times New Roman"/>
          <w:sz w:val="24"/>
          <w:szCs w:val="24"/>
          <w:lang w:eastAsia="lv-LV"/>
        </w:rPr>
        <w:t xml:space="preserve"> apmērā 3 ceturkšņu kvalitātes kritēriju izpilde</w:t>
      </w:r>
      <w:r w:rsidR="00AE4D12" w:rsidRPr="00847710">
        <w:rPr>
          <w:rFonts w:ascii="Times New Roman" w:hAnsi="Times New Roman" w:cs="Times New Roman"/>
          <w:sz w:val="24"/>
          <w:szCs w:val="24"/>
          <w:lang w:eastAsia="lv-LV"/>
        </w:rPr>
        <w:t>i.</w:t>
      </w:r>
      <w:r w:rsidR="002E4B50" w:rsidRPr="00847710">
        <w:rPr>
          <w:rFonts w:ascii="Times New Roman" w:hAnsi="Times New Roman" w:cs="Times New Roman"/>
          <w:sz w:val="24"/>
          <w:szCs w:val="24"/>
          <w:lang w:eastAsia="lv-LV"/>
        </w:rPr>
        <w:t xml:space="preserve"> </w:t>
      </w:r>
    </w:p>
    <w:p w14:paraId="5AE86B3C" w14:textId="1DC62DC3" w:rsidR="005954A6" w:rsidRPr="00847710" w:rsidRDefault="00FC0B57" w:rsidP="00F34185">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K</w:t>
      </w:r>
      <w:r w:rsidR="005954A6" w:rsidRPr="00847710">
        <w:rPr>
          <w:rFonts w:ascii="Times New Roman" w:hAnsi="Times New Roman" w:cs="Times New Roman"/>
          <w:sz w:val="24"/>
          <w:szCs w:val="24"/>
          <w:lang w:eastAsia="lv-LV"/>
        </w:rPr>
        <w:t>opumā ģimenes ārstu kvalitātes sistēma</w:t>
      </w:r>
      <w:r w:rsidR="00E356C4" w:rsidRPr="00847710">
        <w:rPr>
          <w:rFonts w:ascii="Times New Roman" w:hAnsi="Times New Roman" w:cs="Times New Roman"/>
          <w:sz w:val="24"/>
          <w:szCs w:val="24"/>
          <w:lang w:eastAsia="lv-LV"/>
        </w:rPr>
        <w:t>s re</w:t>
      </w:r>
      <w:r w:rsidR="00835B5A" w:rsidRPr="00847710">
        <w:rPr>
          <w:rFonts w:ascii="Times New Roman" w:hAnsi="Times New Roman" w:cs="Times New Roman"/>
          <w:sz w:val="24"/>
          <w:szCs w:val="24"/>
          <w:lang w:eastAsia="lv-LV"/>
        </w:rPr>
        <w:t>fo</w:t>
      </w:r>
      <w:r w:rsidR="00E356C4" w:rsidRPr="00847710">
        <w:rPr>
          <w:rFonts w:ascii="Times New Roman" w:hAnsi="Times New Roman" w:cs="Times New Roman"/>
          <w:sz w:val="24"/>
          <w:szCs w:val="24"/>
          <w:lang w:eastAsia="lv-LV"/>
        </w:rPr>
        <w:t>rmai</w:t>
      </w:r>
      <w:r w:rsidR="005954A6" w:rsidRPr="00847710">
        <w:rPr>
          <w:rFonts w:ascii="Times New Roman" w:hAnsi="Times New Roman" w:cs="Times New Roman"/>
          <w:sz w:val="24"/>
          <w:szCs w:val="24"/>
          <w:lang w:eastAsia="lv-LV"/>
        </w:rPr>
        <w:t xml:space="preserve"> 2018.gadā papildus plānots novirzīt 5 928 </w:t>
      </w:r>
      <w:r w:rsidR="00C32E70" w:rsidRPr="00847710">
        <w:rPr>
          <w:rFonts w:ascii="Times New Roman" w:hAnsi="Times New Roman" w:cs="Times New Roman"/>
          <w:sz w:val="24"/>
          <w:szCs w:val="24"/>
          <w:lang w:eastAsia="lv-LV"/>
        </w:rPr>
        <w:t>737</w:t>
      </w:r>
      <w:r w:rsidR="005954A6" w:rsidRPr="00847710">
        <w:rPr>
          <w:rFonts w:ascii="Times New Roman" w:hAnsi="Times New Roman" w:cs="Times New Roman"/>
          <w:sz w:val="24"/>
          <w:szCs w:val="24"/>
          <w:lang w:eastAsia="lv-LV"/>
        </w:rPr>
        <w:t xml:space="preserve"> euro.</w:t>
      </w:r>
    </w:p>
    <w:tbl>
      <w:tblPr>
        <w:tblStyle w:val="TableGrid"/>
        <w:tblW w:w="0" w:type="auto"/>
        <w:tblLook w:val="04A0" w:firstRow="1" w:lastRow="0" w:firstColumn="1" w:lastColumn="0" w:noHBand="0" w:noVBand="1"/>
      </w:tblPr>
      <w:tblGrid>
        <w:gridCol w:w="9089"/>
      </w:tblGrid>
      <w:tr w:rsidR="005C1FEA" w:rsidRPr="00847710" w14:paraId="3856AE8E" w14:textId="77777777" w:rsidTr="57326167">
        <w:tc>
          <w:tcPr>
            <w:tcW w:w="9089" w:type="dxa"/>
          </w:tcPr>
          <w:p w14:paraId="6F85654B" w14:textId="0ED85A0E" w:rsidR="00DE572C" w:rsidRPr="00DE572C" w:rsidRDefault="005C1FEA" w:rsidP="00DE572C">
            <w:pPr>
              <w:ind w:firstLine="720"/>
              <w:jc w:val="both"/>
              <w:rPr>
                <w:rFonts w:ascii="Times New Roman" w:hAnsi="Times New Roman"/>
                <w:b/>
                <w:bCs/>
                <w:sz w:val="24"/>
                <w:szCs w:val="24"/>
                <w:lang w:eastAsia="lv-LV"/>
              </w:rPr>
            </w:pPr>
            <w:r w:rsidRPr="0012317D">
              <w:rPr>
                <w:rFonts w:ascii="Times New Roman" w:hAnsi="Times New Roman"/>
                <w:b/>
                <w:bCs/>
                <w:sz w:val="24"/>
                <w:szCs w:val="24"/>
                <w:lang w:eastAsia="lv-LV"/>
              </w:rPr>
              <w:t xml:space="preserve">Reformas rezultāts: tiks veikta ģimenes </w:t>
            </w:r>
            <w:r w:rsidRPr="00901A9F">
              <w:rPr>
                <w:rFonts w:ascii="Times New Roman" w:hAnsi="Times New Roman"/>
                <w:b/>
                <w:bCs/>
                <w:sz w:val="24"/>
                <w:szCs w:val="24"/>
                <w:lang w:eastAsia="lv-LV"/>
              </w:rPr>
              <w:t>ārstu darba kvalitātes rādītāju pārskatīšana un uz pacientu un darba rezultātu vērst</w:t>
            </w:r>
            <w:r w:rsidR="00835B5A" w:rsidRPr="0078794A">
              <w:rPr>
                <w:rFonts w:ascii="Times New Roman" w:hAnsi="Times New Roman"/>
                <w:b/>
                <w:bCs/>
                <w:sz w:val="24"/>
                <w:szCs w:val="24"/>
                <w:lang w:eastAsia="lv-LV"/>
              </w:rPr>
              <w:t>as</w:t>
            </w:r>
            <w:r w:rsidRPr="00BD7921">
              <w:rPr>
                <w:rFonts w:ascii="Times New Roman" w:hAnsi="Times New Roman"/>
                <w:b/>
                <w:bCs/>
                <w:sz w:val="24"/>
                <w:szCs w:val="24"/>
                <w:lang w:eastAsia="lv-LV"/>
              </w:rPr>
              <w:t xml:space="preserve"> motivācijas sistēmas izveide, kas sekmēs tieši primārās veselības aprūpes  kā veselības aprūpes sistēmas pamata attīstību, it īpaši plānotā dalītā veselības aprūpes paka</w:t>
            </w:r>
            <w:r w:rsidRPr="00890961">
              <w:rPr>
                <w:rFonts w:ascii="Times New Roman" w:hAnsi="Times New Roman"/>
                <w:b/>
                <w:bCs/>
                <w:sz w:val="24"/>
                <w:szCs w:val="24"/>
                <w:lang w:eastAsia="lv-LV"/>
              </w:rPr>
              <w:t>lpojumu klāsta kontekstā, kas projektā paredzēts jaunajā veselības aprūpes finansēšanas likumā.</w:t>
            </w:r>
          </w:p>
          <w:p w14:paraId="58E3DB08" w14:textId="23DA3A26" w:rsidR="005C1FEA" w:rsidRPr="0086477B" w:rsidRDefault="004B7EB6" w:rsidP="00AF697D">
            <w:pPr>
              <w:ind w:firstLine="720"/>
              <w:jc w:val="both"/>
              <w:rPr>
                <w:rFonts w:ascii="Times New Roman" w:hAnsi="Times New Roman"/>
                <w:b/>
                <w:bCs/>
                <w:sz w:val="24"/>
                <w:szCs w:val="24"/>
                <w:lang w:eastAsia="lv-LV"/>
              </w:rPr>
            </w:pPr>
            <w:r>
              <w:rPr>
                <w:rFonts w:ascii="Times New Roman" w:hAnsi="Times New Roman"/>
                <w:b/>
                <w:bCs/>
                <w:sz w:val="24"/>
                <w:szCs w:val="24"/>
                <w:lang w:eastAsia="lv-LV"/>
              </w:rPr>
              <w:t>Piesaistot lielāku skaitu</w:t>
            </w:r>
            <w:r w:rsidR="007B78BB">
              <w:rPr>
                <w:rFonts w:ascii="Times New Roman" w:hAnsi="Times New Roman"/>
                <w:b/>
                <w:bCs/>
                <w:sz w:val="24"/>
                <w:szCs w:val="24"/>
                <w:lang w:eastAsia="lv-LV"/>
              </w:rPr>
              <w:t xml:space="preserve"> ģimenes ārstu kvalitātes programmas realizācijā,  2018.gadā </w:t>
            </w:r>
            <w:r w:rsidR="00B22F53">
              <w:rPr>
                <w:rFonts w:ascii="Times New Roman" w:hAnsi="Times New Roman"/>
                <w:b/>
                <w:bCs/>
                <w:sz w:val="24"/>
                <w:szCs w:val="24"/>
                <w:lang w:eastAsia="lv-LV"/>
              </w:rPr>
              <w:t xml:space="preserve">tiks veikta no jauna reģistrēta pacienta </w:t>
            </w:r>
            <w:r w:rsidR="008D2D14">
              <w:rPr>
                <w:rFonts w:ascii="Times New Roman" w:hAnsi="Times New Roman"/>
                <w:b/>
                <w:bCs/>
                <w:sz w:val="24"/>
                <w:szCs w:val="24"/>
                <w:lang w:eastAsia="lv-LV"/>
              </w:rPr>
              <w:t xml:space="preserve">veselības stāvokļa izvērtēšana </w:t>
            </w:r>
            <w:r w:rsidR="00F75408">
              <w:rPr>
                <w:rFonts w:ascii="Times New Roman" w:hAnsi="Times New Roman"/>
                <w:b/>
                <w:bCs/>
                <w:sz w:val="24"/>
                <w:szCs w:val="24"/>
                <w:lang w:eastAsia="lv-LV"/>
              </w:rPr>
              <w:t>96 003 pacientiem, 87 0</w:t>
            </w:r>
            <w:r w:rsidR="00042EFE">
              <w:rPr>
                <w:rFonts w:ascii="Times New Roman" w:hAnsi="Times New Roman"/>
                <w:b/>
                <w:bCs/>
                <w:sz w:val="24"/>
                <w:szCs w:val="24"/>
                <w:lang w:eastAsia="lv-LV"/>
              </w:rPr>
              <w:t>11</w:t>
            </w:r>
            <w:r w:rsidR="00F75408">
              <w:rPr>
                <w:rFonts w:ascii="Times New Roman" w:hAnsi="Times New Roman"/>
                <w:b/>
                <w:bCs/>
                <w:sz w:val="24"/>
                <w:szCs w:val="24"/>
                <w:lang w:eastAsia="lv-LV"/>
              </w:rPr>
              <w:t xml:space="preserve"> pacientiem tiks veikt</w:t>
            </w:r>
            <w:r w:rsidR="00042EFE">
              <w:rPr>
                <w:rFonts w:ascii="Times New Roman" w:hAnsi="Times New Roman"/>
                <w:b/>
                <w:bCs/>
                <w:sz w:val="24"/>
                <w:szCs w:val="24"/>
                <w:lang w:eastAsia="lv-LV"/>
              </w:rPr>
              <w:t>s slēpto tests</w:t>
            </w:r>
            <w:r w:rsidR="00F75408">
              <w:rPr>
                <w:rFonts w:ascii="Times New Roman" w:hAnsi="Times New Roman"/>
                <w:b/>
                <w:bCs/>
                <w:sz w:val="24"/>
                <w:szCs w:val="24"/>
                <w:lang w:eastAsia="lv-LV"/>
              </w:rPr>
              <w:t xml:space="preserve"> </w:t>
            </w:r>
            <w:r w:rsidR="00AA11CE">
              <w:rPr>
                <w:rFonts w:ascii="Times New Roman" w:hAnsi="Times New Roman"/>
                <w:b/>
                <w:bCs/>
                <w:sz w:val="24"/>
                <w:szCs w:val="24"/>
                <w:lang w:eastAsia="lv-LV"/>
              </w:rPr>
              <w:t xml:space="preserve">vēža skrīninga ietvaros, </w:t>
            </w:r>
            <w:r w:rsidR="0010191A">
              <w:rPr>
                <w:rFonts w:ascii="Times New Roman" w:hAnsi="Times New Roman"/>
                <w:b/>
                <w:bCs/>
                <w:sz w:val="24"/>
                <w:szCs w:val="24"/>
                <w:lang w:eastAsia="lv-LV"/>
              </w:rPr>
              <w:t xml:space="preserve">tiks nodrošināta hronisko pacientu </w:t>
            </w:r>
            <w:r w:rsidR="00CA0635">
              <w:rPr>
                <w:rFonts w:ascii="Times New Roman" w:hAnsi="Times New Roman"/>
                <w:b/>
                <w:bCs/>
                <w:sz w:val="24"/>
                <w:szCs w:val="24"/>
                <w:lang w:eastAsia="lv-LV"/>
              </w:rPr>
              <w:t>u</w:t>
            </w:r>
            <w:r w:rsidR="0010191A">
              <w:rPr>
                <w:rFonts w:ascii="Times New Roman" w:hAnsi="Times New Roman"/>
                <w:b/>
                <w:bCs/>
                <w:sz w:val="24"/>
                <w:szCs w:val="24"/>
                <w:lang w:eastAsia="lv-LV"/>
              </w:rPr>
              <w:t xml:space="preserve">zraudzība </w:t>
            </w:r>
            <w:r w:rsidR="00B833DE">
              <w:rPr>
                <w:rFonts w:ascii="Times New Roman" w:hAnsi="Times New Roman"/>
                <w:b/>
                <w:bCs/>
                <w:sz w:val="24"/>
                <w:szCs w:val="24"/>
                <w:lang w:eastAsia="lv-LV"/>
              </w:rPr>
              <w:t>161 641</w:t>
            </w:r>
            <w:r w:rsidR="00D11171">
              <w:rPr>
                <w:rFonts w:ascii="Times New Roman" w:hAnsi="Times New Roman"/>
                <w:b/>
                <w:bCs/>
                <w:sz w:val="24"/>
                <w:szCs w:val="24"/>
                <w:lang w:eastAsia="lv-LV"/>
              </w:rPr>
              <w:t xml:space="preserve"> pacientiem.</w:t>
            </w:r>
          </w:p>
        </w:tc>
      </w:tr>
    </w:tbl>
    <w:p w14:paraId="70733F98" w14:textId="77777777" w:rsidR="005C1FEA" w:rsidRPr="00847710" w:rsidRDefault="005C1FEA" w:rsidP="005C1FEA">
      <w:pPr>
        <w:ind w:firstLine="709"/>
        <w:jc w:val="both"/>
        <w:rPr>
          <w:rFonts w:ascii="Times New Roman" w:hAnsi="Times New Roman" w:cs="Times New Roman"/>
          <w:b/>
          <w:sz w:val="24"/>
          <w:szCs w:val="24"/>
        </w:rPr>
      </w:pPr>
    </w:p>
    <w:p w14:paraId="7020F8E1" w14:textId="6DEBD319" w:rsidR="00D85887" w:rsidRPr="00DA3A33" w:rsidRDefault="00D85887" w:rsidP="00DA3A33">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4.2. Jaunā reformas iniciatīva - b</w:t>
      </w:r>
      <w:r w:rsidR="005E1FB0" w:rsidRPr="00901A9F">
        <w:rPr>
          <w:rFonts w:ascii="Times New Roman" w:hAnsi="Times New Roman" w:cs="Times New Roman"/>
          <w:b/>
          <w:bCs/>
          <w:color w:val="auto"/>
          <w:sz w:val="24"/>
          <w:szCs w:val="24"/>
          <w:u w:val="single"/>
        </w:rPr>
        <w:t>ērnu zobārstniecības pieejamības uzlabošana</w:t>
      </w:r>
    </w:p>
    <w:p w14:paraId="5B375739" w14:textId="0B024629" w:rsidR="00847710" w:rsidRDefault="00B2238F" w:rsidP="00DA3A33">
      <w:pPr>
        <w:ind w:firstLine="720"/>
        <w:jc w:val="both"/>
        <w:rPr>
          <w:rFonts w:ascii="Times New Roman" w:hAnsi="Times New Roman" w:cs="Times New Roman"/>
          <w:i/>
          <w:iCs/>
          <w:sz w:val="24"/>
          <w:szCs w:val="24"/>
        </w:rPr>
      </w:pPr>
      <w:r w:rsidRPr="00847710">
        <w:rPr>
          <w:rFonts w:ascii="Times New Roman" w:hAnsi="Times New Roman" w:cs="Times New Roman"/>
          <w:sz w:val="24"/>
          <w:szCs w:val="24"/>
          <w:lang w:eastAsia="lv-LV"/>
        </w:rPr>
        <w:t>Tā</w:t>
      </w:r>
      <w:r w:rsidR="00D939AC" w:rsidRPr="00847710">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kā valsts noteiktais tarifs lielākajā daļā gadījumu nenosedz pat attiecīgajā manipulācijā pielietoto materiālu izmaksas</w:t>
      </w:r>
      <w:r w:rsidR="007E76D9" w:rsidRPr="00847710">
        <w:rPr>
          <w:rFonts w:ascii="Times New Roman" w:hAnsi="Times New Roman" w:cs="Times New Roman"/>
          <w:sz w:val="24"/>
          <w:szCs w:val="24"/>
          <w:lang w:eastAsia="lv-LV"/>
        </w:rPr>
        <w:t>, zobārstniecībā ir izveidojusies situācija, kad zobārsti nav ieinteresēti sniegt valsts apmaksātus zobārstniecības pakalpojumus bērniem</w:t>
      </w:r>
      <w:r w:rsidRPr="00847710">
        <w:rPr>
          <w:rFonts w:ascii="Times New Roman" w:hAnsi="Times New Roman" w:cs="Times New Roman"/>
          <w:sz w:val="24"/>
          <w:szCs w:val="24"/>
          <w:lang w:eastAsia="lv-LV"/>
        </w:rPr>
        <w:t>.</w:t>
      </w:r>
      <w:r w:rsidR="007E76D9" w:rsidRPr="00847710">
        <w:rPr>
          <w:rFonts w:ascii="Times New Roman" w:hAnsi="Times New Roman" w:cs="Times New Roman"/>
          <w:sz w:val="24"/>
          <w:szCs w:val="24"/>
          <w:lang w:eastAsia="lv-LV"/>
        </w:rPr>
        <w:t xml:space="preserve"> 2017.gadā līgumus par no valsts budžeta līdzekļiem apmaksātu zobārstniecības pakalpojumu sniegšanu bērniem ir noslēgušas par </w:t>
      </w:r>
      <w:r w:rsidR="00D14AA5">
        <w:rPr>
          <w:rFonts w:ascii="Times New Roman" w:hAnsi="Times New Roman" w:cs="Times New Roman"/>
          <w:sz w:val="24"/>
          <w:szCs w:val="24"/>
          <w:lang w:eastAsia="lv-LV"/>
        </w:rPr>
        <w:t>17,4</w:t>
      </w:r>
      <w:r w:rsidR="007E76D9" w:rsidRPr="00847710">
        <w:rPr>
          <w:rFonts w:ascii="Times New Roman" w:hAnsi="Times New Roman" w:cs="Times New Roman"/>
          <w:sz w:val="24"/>
          <w:szCs w:val="24"/>
          <w:lang w:eastAsia="lv-LV"/>
        </w:rPr>
        <w:t xml:space="preserve">% mazāk ārstniecības iestādes nekā 2014.gadā. </w:t>
      </w:r>
      <w:r w:rsidR="00D14AA5">
        <w:rPr>
          <w:rFonts w:ascii="Times New Roman" w:hAnsi="Times New Roman" w:cs="Times New Roman"/>
          <w:sz w:val="24"/>
          <w:szCs w:val="24"/>
          <w:lang w:eastAsia="lv-LV"/>
        </w:rPr>
        <w:t xml:space="preserve">2014. gadā ar Nacionālo veselības dienestu līgumu par no valsts budžeta apmaksātu zobārstniecības pakalpojumu sniegšanu bija noslēgušas 300 ārstniecības iestādes, savukārt uz 2017.gada 1.septembri līgumā ar Nacionālo veselības dienestu bija 248 iestādes. </w:t>
      </w:r>
      <w:r w:rsidR="007E76D9" w:rsidRPr="00847710">
        <w:rPr>
          <w:rFonts w:ascii="Times New Roman" w:hAnsi="Times New Roman" w:cs="Times New Roman"/>
          <w:sz w:val="24"/>
          <w:szCs w:val="24"/>
          <w:lang w:eastAsia="lv-LV"/>
        </w:rPr>
        <w:t>Tādejādi, nepārskatot zobārstniecības tarifus, šī tendence turpinās pieaugt un ar katru gadu valsts apmaksātu zobārstniecības pakalpojumu pieejamība bērniem samazināsies (2015. gadā ir bijuši 545 865 apmeklējumi zobārstniecībā, kas ir par 37 590 apmeklējumiem mazāk nekā 2014. gadā, bet 2014. gadā bijuši 583 455 apmeklējumi zobārstniecībā, kas ir par 4</w:t>
      </w:r>
      <w:r w:rsidR="005E5F54" w:rsidRPr="00847710">
        <w:rPr>
          <w:rFonts w:ascii="Times New Roman" w:hAnsi="Times New Roman" w:cs="Times New Roman"/>
          <w:sz w:val="24"/>
          <w:szCs w:val="24"/>
          <w:lang w:eastAsia="lv-LV"/>
        </w:rPr>
        <w:t xml:space="preserve"> </w:t>
      </w:r>
      <w:r w:rsidR="007E76D9" w:rsidRPr="00847710">
        <w:rPr>
          <w:rFonts w:ascii="Times New Roman" w:hAnsi="Times New Roman" w:cs="Times New Roman"/>
          <w:sz w:val="24"/>
          <w:szCs w:val="24"/>
          <w:lang w:eastAsia="lv-LV"/>
        </w:rPr>
        <w:t>575 apmeklējumiem mazāk nekā 2013. gadā)</w:t>
      </w:r>
      <w:r w:rsidR="00B26800">
        <w:rPr>
          <w:rFonts w:ascii="Times New Roman" w:hAnsi="Times New Roman" w:cs="Times New Roman"/>
          <w:sz w:val="24"/>
          <w:szCs w:val="24"/>
          <w:lang w:eastAsia="lv-LV"/>
        </w:rPr>
        <w:t>.</w:t>
      </w:r>
    </w:p>
    <w:p w14:paraId="6B61616C" w14:textId="688897E0" w:rsidR="005E5F54" w:rsidRPr="0086477B" w:rsidRDefault="3840C1C8">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8</w:t>
      </w:r>
      <w:r w:rsidR="005E5F54" w:rsidRPr="57326167">
        <w:rPr>
          <w:rFonts w:ascii="Times New Roman" w:hAnsi="Times New Roman" w:cs="Times New Roman"/>
          <w:i/>
          <w:iCs/>
          <w:sz w:val="24"/>
          <w:szCs w:val="24"/>
        </w:rPr>
        <w:t>.</w:t>
      </w:r>
      <w:r w:rsidR="008B11BB" w:rsidRPr="57326167">
        <w:rPr>
          <w:rFonts w:ascii="Times New Roman" w:hAnsi="Times New Roman" w:cs="Times New Roman"/>
          <w:i/>
          <w:iCs/>
          <w:sz w:val="24"/>
          <w:szCs w:val="24"/>
        </w:rPr>
        <w:t>attēls</w:t>
      </w:r>
      <w:r w:rsidR="005E5F54" w:rsidRPr="57326167">
        <w:rPr>
          <w:rFonts w:ascii="Times New Roman" w:hAnsi="Times New Roman" w:cs="Times New Roman"/>
          <w:i/>
          <w:iCs/>
          <w:sz w:val="24"/>
          <w:szCs w:val="24"/>
        </w:rPr>
        <w:t xml:space="preserve"> </w:t>
      </w:r>
    </w:p>
    <w:p w14:paraId="11E36E9D" w14:textId="0B0D48D9" w:rsidR="005E5F54" w:rsidRPr="00847710" w:rsidRDefault="00DD0B05" w:rsidP="005E5F54">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Apmeklējumu skaits bērnu zobārstniecībā</w:t>
      </w:r>
    </w:p>
    <w:p w14:paraId="1FCF1BD7" w14:textId="77777777" w:rsidR="007E76D9" w:rsidRPr="00847710" w:rsidRDefault="007E76D9" w:rsidP="005E5F54">
      <w:pPr>
        <w:spacing w:after="0"/>
        <w:jc w:val="center"/>
        <w:rPr>
          <w:rFonts w:ascii="Times New Roman" w:hAnsi="Times New Roman" w:cs="Times New Roman"/>
          <w:sz w:val="24"/>
          <w:szCs w:val="24"/>
        </w:rPr>
      </w:pPr>
      <w:r w:rsidRPr="00847710">
        <w:rPr>
          <w:rFonts w:ascii="Times New Roman" w:hAnsi="Times New Roman" w:cs="Times New Roman"/>
          <w:noProof/>
          <w:sz w:val="24"/>
          <w:szCs w:val="24"/>
        </w:rPr>
        <w:drawing>
          <wp:inline distT="0" distB="0" distL="0" distR="0" wp14:anchorId="676BBF13" wp14:editId="0BE14E27">
            <wp:extent cx="5274310" cy="1519745"/>
            <wp:effectExtent l="0" t="0" r="2540" b="4445"/>
            <wp:docPr id="3" name="Chart 3">
              <a:extLst xmlns:a="http://schemas.openxmlformats.org/drawingml/2006/main">
                <a:ext uri="{FF2B5EF4-FFF2-40B4-BE49-F238E27FC236}">
                  <a16:creationId xmlns:a16="http://schemas.microsoft.com/office/drawing/2014/main" id="{333B1B84-6141-42A7-8F3F-F8C3B9DC3F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69042F" w14:textId="77777777" w:rsidR="007E76D9" w:rsidRPr="00847710" w:rsidRDefault="007E76D9" w:rsidP="007E76D9">
      <w:pPr>
        <w:ind w:firstLine="720"/>
        <w:jc w:val="both"/>
        <w:rPr>
          <w:rFonts w:ascii="Times New Roman" w:hAnsi="Times New Roman" w:cs="Times New Roman"/>
          <w:sz w:val="20"/>
          <w:szCs w:val="20"/>
          <w:lang w:eastAsia="lv-LV"/>
        </w:rPr>
      </w:pPr>
      <w:r w:rsidRPr="00847710">
        <w:rPr>
          <w:rFonts w:ascii="Times New Roman" w:hAnsi="Times New Roman" w:cs="Times New Roman"/>
          <w:sz w:val="20"/>
          <w:szCs w:val="20"/>
          <w:lang w:eastAsia="lv-LV"/>
        </w:rPr>
        <w:t>Avots: NVD</w:t>
      </w:r>
    </w:p>
    <w:p w14:paraId="66A06381" w14:textId="77777777" w:rsidR="00D14AA5" w:rsidRDefault="00D14AA5" w:rsidP="007E76D9">
      <w:pPr>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Atbilstoši Nacionālā veselības dienesta datiem, rindā uz zobārstniecības pakalpojumiem uz 2017.gada 1.oktobri bija 35 728 bērni.</w:t>
      </w:r>
    </w:p>
    <w:p w14:paraId="7CDD0150" w14:textId="77777777" w:rsidR="007E76D9" w:rsidRPr="00847710" w:rsidRDefault="007E76D9" w:rsidP="007E76D9">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Pieejamības izmaiņas valsts apmaksāto bērnu zobārstniecības pakalpojumu skaitā samazina  zobārstniecības aptveri, attiecīgi zobārstu un zobu higiēnistu apmeklējušo bērnu vecumā līdz 18 gadiem īpatsvars no 2014. gada līdz 2016. gadam ir samazinājies. Zobārstniecības aptvere 2016.gadā 52,93%; 2015.gadā 55,02 %, 2014. gadā - 57,72%.</w:t>
      </w:r>
    </w:p>
    <w:p w14:paraId="4D8BEE05" w14:textId="44A52234" w:rsidR="00437384" w:rsidRPr="0086477B" w:rsidRDefault="0091373C">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2</w:t>
      </w:r>
      <w:r w:rsidR="00DE3C94">
        <w:rPr>
          <w:rFonts w:ascii="Times New Roman" w:hAnsi="Times New Roman" w:cs="Times New Roman"/>
          <w:i/>
          <w:iCs/>
          <w:sz w:val="24"/>
          <w:szCs w:val="24"/>
        </w:rPr>
        <w:t>9</w:t>
      </w:r>
      <w:r w:rsidR="00437384" w:rsidRPr="57326167">
        <w:rPr>
          <w:rFonts w:ascii="Times New Roman" w:hAnsi="Times New Roman" w:cs="Times New Roman"/>
          <w:i/>
          <w:iCs/>
          <w:sz w:val="24"/>
          <w:szCs w:val="24"/>
        </w:rPr>
        <w:t>.tabula</w:t>
      </w:r>
    </w:p>
    <w:p w14:paraId="50E90ABA" w14:textId="4EEAD2D3" w:rsidR="007E76D9" w:rsidRPr="00847710" w:rsidRDefault="007E76D9" w:rsidP="007E76D9">
      <w:pPr>
        <w:jc w:val="center"/>
        <w:rPr>
          <w:rFonts w:ascii="Times New Roman" w:hAnsi="Times New Roman" w:cs="Times New Roman"/>
          <w:sz w:val="24"/>
          <w:szCs w:val="24"/>
        </w:rPr>
      </w:pPr>
      <w:r w:rsidRPr="00847710">
        <w:rPr>
          <w:rFonts w:ascii="Times New Roman" w:hAnsi="Times New Roman" w:cs="Times New Roman"/>
          <w:b/>
          <w:bCs/>
          <w:color w:val="000000"/>
          <w:sz w:val="24"/>
          <w:szCs w:val="24"/>
        </w:rPr>
        <w:t>Bērnu aptvere NVD teritoriālās nodaļās 2015-2016.gadā</w:t>
      </w:r>
    </w:p>
    <w:tbl>
      <w:tblPr>
        <w:tblStyle w:val="TableGrid"/>
        <w:tblW w:w="7513" w:type="dxa"/>
        <w:tblInd w:w="846" w:type="dxa"/>
        <w:tblLook w:val="04A0" w:firstRow="1" w:lastRow="0" w:firstColumn="1" w:lastColumn="0" w:noHBand="0" w:noVBand="1"/>
      </w:tblPr>
      <w:tblGrid>
        <w:gridCol w:w="576"/>
        <w:gridCol w:w="2259"/>
        <w:gridCol w:w="1276"/>
        <w:gridCol w:w="1275"/>
        <w:gridCol w:w="2127"/>
      </w:tblGrid>
      <w:tr w:rsidR="007E76D9" w:rsidRPr="00847710" w14:paraId="777C288C" w14:textId="77777777" w:rsidTr="57326167">
        <w:tc>
          <w:tcPr>
            <w:tcW w:w="576" w:type="dxa"/>
            <w:shd w:val="clear" w:color="auto" w:fill="E36C0A" w:themeFill="accent6" w:themeFillShade="BF"/>
          </w:tcPr>
          <w:p w14:paraId="174D598A" w14:textId="77777777" w:rsidR="007E76D9" w:rsidRPr="00847710" w:rsidRDefault="007E76D9" w:rsidP="00ED74D4">
            <w:pPr>
              <w:jc w:val="both"/>
              <w:rPr>
                <w:rFonts w:ascii="Times New Roman" w:hAnsi="Times New Roman"/>
                <w:sz w:val="24"/>
                <w:szCs w:val="24"/>
              </w:rPr>
            </w:pPr>
            <w:r w:rsidRPr="00847710">
              <w:rPr>
                <w:rFonts w:ascii="Times New Roman" w:hAnsi="Times New Roman"/>
                <w:sz w:val="24"/>
                <w:szCs w:val="24"/>
              </w:rPr>
              <w:t>Nr. p.k.</w:t>
            </w:r>
          </w:p>
        </w:tc>
        <w:tc>
          <w:tcPr>
            <w:tcW w:w="2259" w:type="dxa"/>
            <w:shd w:val="clear" w:color="auto" w:fill="E36C0A" w:themeFill="accent6" w:themeFillShade="BF"/>
          </w:tcPr>
          <w:p w14:paraId="0D70C00E" w14:textId="77777777" w:rsidR="007E76D9" w:rsidRPr="00847710" w:rsidRDefault="007E76D9" w:rsidP="00ED74D4">
            <w:pPr>
              <w:jc w:val="both"/>
              <w:rPr>
                <w:rFonts w:ascii="Times New Roman" w:hAnsi="Times New Roman"/>
                <w:sz w:val="24"/>
                <w:szCs w:val="24"/>
              </w:rPr>
            </w:pPr>
            <w:r w:rsidRPr="00847710">
              <w:rPr>
                <w:rFonts w:ascii="Times New Roman" w:hAnsi="Times New Roman"/>
                <w:color w:val="000000"/>
                <w:sz w:val="24"/>
                <w:szCs w:val="24"/>
              </w:rPr>
              <w:t>Teritoriālā nodaļa</w:t>
            </w:r>
          </w:p>
        </w:tc>
        <w:tc>
          <w:tcPr>
            <w:tcW w:w="1276" w:type="dxa"/>
            <w:shd w:val="clear" w:color="auto" w:fill="E36C0A" w:themeFill="accent6" w:themeFillShade="BF"/>
          </w:tcPr>
          <w:p w14:paraId="3984800D" w14:textId="77777777" w:rsidR="007E76D9" w:rsidRPr="00847710" w:rsidRDefault="007E76D9" w:rsidP="00ED74D4">
            <w:pPr>
              <w:jc w:val="both"/>
              <w:rPr>
                <w:rFonts w:ascii="Times New Roman" w:hAnsi="Times New Roman"/>
                <w:sz w:val="24"/>
                <w:szCs w:val="24"/>
              </w:rPr>
            </w:pPr>
            <w:r w:rsidRPr="00847710">
              <w:rPr>
                <w:rFonts w:ascii="Times New Roman" w:hAnsi="Times New Roman"/>
                <w:color w:val="000000"/>
                <w:sz w:val="24"/>
                <w:szCs w:val="24"/>
              </w:rPr>
              <w:t>2015.gads</w:t>
            </w:r>
          </w:p>
        </w:tc>
        <w:tc>
          <w:tcPr>
            <w:tcW w:w="1275" w:type="dxa"/>
            <w:shd w:val="clear" w:color="auto" w:fill="E36C0A" w:themeFill="accent6" w:themeFillShade="BF"/>
          </w:tcPr>
          <w:p w14:paraId="2B313795" w14:textId="77777777" w:rsidR="007E76D9" w:rsidRPr="00847710" w:rsidRDefault="007E76D9" w:rsidP="00ED74D4">
            <w:pPr>
              <w:jc w:val="both"/>
              <w:rPr>
                <w:rFonts w:ascii="Times New Roman" w:hAnsi="Times New Roman"/>
                <w:sz w:val="24"/>
                <w:szCs w:val="24"/>
              </w:rPr>
            </w:pPr>
            <w:r w:rsidRPr="00847710">
              <w:rPr>
                <w:rFonts w:ascii="Times New Roman" w:hAnsi="Times New Roman"/>
                <w:color w:val="000000"/>
                <w:sz w:val="24"/>
                <w:szCs w:val="24"/>
              </w:rPr>
              <w:t>2016.gads</w:t>
            </w:r>
          </w:p>
        </w:tc>
        <w:tc>
          <w:tcPr>
            <w:tcW w:w="2127" w:type="dxa"/>
            <w:shd w:val="clear" w:color="auto" w:fill="E36C0A" w:themeFill="accent6" w:themeFillShade="BF"/>
          </w:tcPr>
          <w:p w14:paraId="1A2E2633" w14:textId="77777777" w:rsidR="007E76D9" w:rsidRPr="00847710" w:rsidRDefault="007E76D9" w:rsidP="00ED74D4">
            <w:pPr>
              <w:jc w:val="both"/>
              <w:rPr>
                <w:rFonts w:ascii="Times New Roman" w:hAnsi="Times New Roman"/>
                <w:sz w:val="24"/>
                <w:szCs w:val="24"/>
              </w:rPr>
            </w:pPr>
            <w:r w:rsidRPr="00847710">
              <w:rPr>
                <w:rFonts w:ascii="Times New Roman" w:hAnsi="Times New Roman"/>
                <w:color w:val="000000"/>
                <w:sz w:val="24"/>
                <w:szCs w:val="24"/>
              </w:rPr>
              <w:t>Atšķirība starp 2015 un 2016.gadu</w:t>
            </w:r>
          </w:p>
        </w:tc>
      </w:tr>
      <w:tr w:rsidR="007E76D9" w:rsidRPr="00847710" w14:paraId="1C6C238B" w14:textId="77777777" w:rsidTr="0086477B">
        <w:tc>
          <w:tcPr>
            <w:tcW w:w="576" w:type="dxa"/>
          </w:tcPr>
          <w:p w14:paraId="712C81A3" w14:textId="77777777" w:rsidR="007E76D9" w:rsidRPr="00847710" w:rsidRDefault="007E76D9" w:rsidP="00ED74D4">
            <w:pPr>
              <w:jc w:val="both"/>
              <w:rPr>
                <w:rFonts w:ascii="Times New Roman" w:hAnsi="Times New Roman"/>
                <w:sz w:val="24"/>
                <w:szCs w:val="24"/>
              </w:rPr>
            </w:pPr>
            <w:r w:rsidRPr="00847710">
              <w:rPr>
                <w:rFonts w:ascii="Times New Roman" w:hAnsi="Times New Roman"/>
                <w:sz w:val="24"/>
                <w:szCs w:val="24"/>
              </w:rPr>
              <w:t>1.</w:t>
            </w:r>
          </w:p>
        </w:tc>
        <w:tc>
          <w:tcPr>
            <w:tcW w:w="2259" w:type="dxa"/>
            <w:vAlign w:val="bottom"/>
          </w:tcPr>
          <w:p w14:paraId="537630F1" w14:textId="77777777" w:rsidR="007E76D9" w:rsidRPr="00847710" w:rsidRDefault="007E76D9" w:rsidP="00ED74D4">
            <w:pPr>
              <w:jc w:val="both"/>
              <w:rPr>
                <w:rFonts w:ascii="Times New Roman" w:hAnsi="Times New Roman"/>
                <w:sz w:val="24"/>
                <w:szCs w:val="24"/>
              </w:rPr>
            </w:pPr>
            <w:r w:rsidRPr="00847710">
              <w:rPr>
                <w:rFonts w:ascii="Times New Roman" w:hAnsi="Times New Roman"/>
                <w:color w:val="000000"/>
                <w:sz w:val="24"/>
                <w:szCs w:val="24"/>
              </w:rPr>
              <w:t>Kurzemes nodaļa</w:t>
            </w:r>
          </w:p>
        </w:tc>
        <w:tc>
          <w:tcPr>
            <w:tcW w:w="1276" w:type="dxa"/>
            <w:vAlign w:val="bottom"/>
          </w:tcPr>
          <w:p w14:paraId="78406896" w14:textId="32CC255B" w:rsidR="007E76D9" w:rsidRPr="00847710" w:rsidRDefault="007E76D9" w:rsidP="00AB7C24">
            <w:pPr>
              <w:jc w:val="center"/>
              <w:rPr>
                <w:rFonts w:ascii="Times New Roman" w:hAnsi="Times New Roman"/>
                <w:sz w:val="24"/>
                <w:szCs w:val="24"/>
              </w:rPr>
            </w:pPr>
            <w:r w:rsidRPr="00847710">
              <w:rPr>
                <w:rFonts w:ascii="Times New Roman" w:hAnsi="Times New Roman"/>
                <w:color w:val="000000"/>
                <w:sz w:val="24"/>
                <w:szCs w:val="24"/>
              </w:rPr>
              <w:t>54</w:t>
            </w:r>
            <w:r w:rsidR="00CB0FC4" w:rsidRPr="00847710">
              <w:rPr>
                <w:rFonts w:ascii="Times New Roman" w:hAnsi="Times New Roman"/>
                <w:color w:val="000000"/>
                <w:sz w:val="24"/>
                <w:szCs w:val="24"/>
              </w:rPr>
              <w:t>,</w:t>
            </w:r>
            <w:r w:rsidRPr="00847710">
              <w:rPr>
                <w:rFonts w:ascii="Times New Roman" w:hAnsi="Times New Roman"/>
                <w:color w:val="000000"/>
                <w:sz w:val="24"/>
                <w:szCs w:val="24"/>
              </w:rPr>
              <w:t>21%</w:t>
            </w:r>
          </w:p>
        </w:tc>
        <w:tc>
          <w:tcPr>
            <w:tcW w:w="1275" w:type="dxa"/>
            <w:vAlign w:val="bottom"/>
          </w:tcPr>
          <w:p w14:paraId="59F936EE" w14:textId="5CC1E607" w:rsidR="007E76D9" w:rsidRPr="00847710" w:rsidRDefault="007E76D9" w:rsidP="00AB7C24">
            <w:pPr>
              <w:jc w:val="center"/>
              <w:rPr>
                <w:rFonts w:ascii="Times New Roman" w:hAnsi="Times New Roman"/>
                <w:sz w:val="24"/>
                <w:szCs w:val="24"/>
              </w:rPr>
            </w:pPr>
            <w:r w:rsidRPr="00847710">
              <w:rPr>
                <w:rFonts w:ascii="Times New Roman" w:hAnsi="Times New Roman"/>
                <w:color w:val="000000"/>
                <w:sz w:val="24"/>
                <w:szCs w:val="24"/>
              </w:rPr>
              <w:t>49</w:t>
            </w:r>
            <w:r w:rsidR="00CB0FC4" w:rsidRPr="00847710">
              <w:rPr>
                <w:rFonts w:ascii="Times New Roman" w:hAnsi="Times New Roman"/>
                <w:color w:val="000000"/>
                <w:sz w:val="24"/>
                <w:szCs w:val="24"/>
              </w:rPr>
              <w:t>,</w:t>
            </w:r>
            <w:r w:rsidRPr="00847710">
              <w:rPr>
                <w:rFonts w:ascii="Times New Roman" w:hAnsi="Times New Roman"/>
                <w:color w:val="000000"/>
                <w:sz w:val="24"/>
                <w:szCs w:val="24"/>
              </w:rPr>
              <w:t>10%</w:t>
            </w:r>
          </w:p>
        </w:tc>
        <w:tc>
          <w:tcPr>
            <w:tcW w:w="2127" w:type="dxa"/>
            <w:vAlign w:val="bottom"/>
          </w:tcPr>
          <w:p w14:paraId="48BD2CCA" w14:textId="15A28FCF" w:rsidR="007E76D9" w:rsidRPr="00847710" w:rsidRDefault="007E76D9" w:rsidP="00AB7C24">
            <w:pPr>
              <w:jc w:val="center"/>
              <w:rPr>
                <w:rFonts w:ascii="Times New Roman" w:hAnsi="Times New Roman"/>
                <w:sz w:val="24"/>
                <w:szCs w:val="24"/>
              </w:rPr>
            </w:pPr>
            <w:r w:rsidRPr="00847710">
              <w:rPr>
                <w:rFonts w:ascii="Times New Roman" w:hAnsi="Times New Roman"/>
                <w:sz w:val="24"/>
                <w:szCs w:val="24"/>
              </w:rPr>
              <w:t>-5</w:t>
            </w:r>
            <w:r w:rsidR="00CB0FC4" w:rsidRPr="00847710">
              <w:rPr>
                <w:rFonts w:ascii="Times New Roman" w:hAnsi="Times New Roman"/>
                <w:sz w:val="24"/>
                <w:szCs w:val="24"/>
              </w:rPr>
              <w:t>,</w:t>
            </w:r>
            <w:r w:rsidRPr="00847710">
              <w:rPr>
                <w:rFonts w:ascii="Times New Roman" w:hAnsi="Times New Roman"/>
                <w:sz w:val="24"/>
                <w:szCs w:val="24"/>
              </w:rPr>
              <w:t>11%</w:t>
            </w:r>
          </w:p>
        </w:tc>
      </w:tr>
      <w:tr w:rsidR="007E76D9" w:rsidRPr="00847710" w14:paraId="371C51F5" w14:textId="77777777" w:rsidTr="0086477B">
        <w:tc>
          <w:tcPr>
            <w:tcW w:w="576" w:type="dxa"/>
          </w:tcPr>
          <w:p w14:paraId="7B9C3D05" w14:textId="77777777" w:rsidR="007E76D9" w:rsidRPr="00847710" w:rsidRDefault="007E76D9" w:rsidP="00ED74D4">
            <w:pPr>
              <w:jc w:val="both"/>
              <w:rPr>
                <w:rFonts w:ascii="Times New Roman" w:hAnsi="Times New Roman"/>
                <w:sz w:val="24"/>
                <w:szCs w:val="24"/>
              </w:rPr>
            </w:pPr>
            <w:r w:rsidRPr="00847710">
              <w:rPr>
                <w:rFonts w:ascii="Times New Roman" w:hAnsi="Times New Roman"/>
                <w:sz w:val="24"/>
                <w:szCs w:val="24"/>
              </w:rPr>
              <w:t>2.</w:t>
            </w:r>
          </w:p>
        </w:tc>
        <w:tc>
          <w:tcPr>
            <w:tcW w:w="2259" w:type="dxa"/>
            <w:vAlign w:val="bottom"/>
          </w:tcPr>
          <w:p w14:paraId="33DDEB7E" w14:textId="77777777" w:rsidR="007E76D9" w:rsidRPr="00847710" w:rsidRDefault="007E76D9" w:rsidP="00ED74D4">
            <w:pPr>
              <w:jc w:val="both"/>
              <w:rPr>
                <w:rFonts w:ascii="Times New Roman" w:hAnsi="Times New Roman"/>
                <w:sz w:val="24"/>
                <w:szCs w:val="24"/>
              </w:rPr>
            </w:pPr>
            <w:r w:rsidRPr="00847710">
              <w:rPr>
                <w:rFonts w:ascii="Times New Roman" w:hAnsi="Times New Roman"/>
                <w:color w:val="000000"/>
                <w:sz w:val="24"/>
                <w:szCs w:val="24"/>
              </w:rPr>
              <w:t>Latgales nodaļa</w:t>
            </w:r>
          </w:p>
        </w:tc>
        <w:tc>
          <w:tcPr>
            <w:tcW w:w="1276" w:type="dxa"/>
            <w:vAlign w:val="bottom"/>
          </w:tcPr>
          <w:p w14:paraId="63A01238" w14:textId="1873B5F1" w:rsidR="007E76D9" w:rsidRPr="00847710" w:rsidRDefault="007E76D9" w:rsidP="00AB7C24">
            <w:pPr>
              <w:jc w:val="center"/>
              <w:rPr>
                <w:rFonts w:ascii="Times New Roman" w:hAnsi="Times New Roman"/>
                <w:sz w:val="24"/>
                <w:szCs w:val="24"/>
              </w:rPr>
            </w:pPr>
            <w:r w:rsidRPr="00847710">
              <w:rPr>
                <w:rFonts w:ascii="Times New Roman" w:hAnsi="Times New Roman"/>
                <w:color w:val="000000"/>
                <w:sz w:val="24"/>
                <w:szCs w:val="24"/>
              </w:rPr>
              <w:t>59</w:t>
            </w:r>
            <w:r w:rsidR="00CB0FC4" w:rsidRPr="00847710">
              <w:rPr>
                <w:rFonts w:ascii="Times New Roman" w:hAnsi="Times New Roman"/>
                <w:color w:val="000000"/>
                <w:sz w:val="24"/>
                <w:szCs w:val="24"/>
              </w:rPr>
              <w:t>,</w:t>
            </w:r>
            <w:r w:rsidRPr="00847710">
              <w:rPr>
                <w:rFonts w:ascii="Times New Roman" w:hAnsi="Times New Roman"/>
                <w:color w:val="000000"/>
                <w:sz w:val="24"/>
                <w:szCs w:val="24"/>
              </w:rPr>
              <w:t>75%</w:t>
            </w:r>
          </w:p>
        </w:tc>
        <w:tc>
          <w:tcPr>
            <w:tcW w:w="1275" w:type="dxa"/>
            <w:vAlign w:val="bottom"/>
          </w:tcPr>
          <w:p w14:paraId="0EE7D932" w14:textId="2A17ABCE" w:rsidR="007E76D9" w:rsidRPr="00847710" w:rsidRDefault="007E76D9" w:rsidP="00AB7C24">
            <w:pPr>
              <w:jc w:val="center"/>
              <w:rPr>
                <w:rFonts w:ascii="Times New Roman" w:hAnsi="Times New Roman"/>
                <w:sz w:val="24"/>
                <w:szCs w:val="24"/>
              </w:rPr>
            </w:pPr>
            <w:r w:rsidRPr="00847710">
              <w:rPr>
                <w:rFonts w:ascii="Times New Roman" w:hAnsi="Times New Roman"/>
                <w:color w:val="000000"/>
                <w:sz w:val="24"/>
                <w:szCs w:val="24"/>
              </w:rPr>
              <w:t>60</w:t>
            </w:r>
            <w:r w:rsidR="00CB0FC4" w:rsidRPr="00847710">
              <w:rPr>
                <w:rFonts w:ascii="Times New Roman" w:hAnsi="Times New Roman"/>
                <w:color w:val="000000"/>
                <w:sz w:val="24"/>
                <w:szCs w:val="24"/>
              </w:rPr>
              <w:t>,</w:t>
            </w:r>
            <w:r w:rsidRPr="00847710">
              <w:rPr>
                <w:rFonts w:ascii="Times New Roman" w:hAnsi="Times New Roman"/>
                <w:color w:val="000000"/>
                <w:sz w:val="24"/>
                <w:szCs w:val="24"/>
              </w:rPr>
              <w:t>04%</w:t>
            </w:r>
          </w:p>
        </w:tc>
        <w:tc>
          <w:tcPr>
            <w:tcW w:w="2127" w:type="dxa"/>
            <w:vAlign w:val="bottom"/>
          </w:tcPr>
          <w:p w14:paraId="6F840763" w14:textId="6926BBB9" w:rsidR="007E76D9" w:rsidRPr="00847710" w:rsidRDefault="007E76D9" w:rsidP="00AB7C24">
            <w:pPr>
              <w:jc w:val="center"/>
              <w:rPr>
                <w:rFonts w:ascii="Times New Roman" w:hAnsi="Times New Roman"/>
                <w:sz w:val="24"/>
                <w:szCs w:val="24"/>
              </w:rPr>
            </w:pPr>
            <w:r w:rsidRPr="00847710">
              <w:rPr>
                <w:rFonts w:ascii="Times New Roman" w:hAnsi="Times New Roman"/>
                <w:sz w:val="24"/>
                <w:szCs w:val="24"/>
              </w:rPr>
              <w:t>0</w:t>
            </w:r>
            <w:r w:rsidR="00CB0FC4" w:rsidRPr="00847710">
              <w:rPr>
                <w:rFonts w:ascii="Times New Roman" w:hAnsi="Times New Roman"/>
                <w:sz w:val="24"/>
                <w:szCs w:val="24"/>
              </w:rPr>
              <w:t>,</w:t>
            </w:r>
            <w:r w:rsidRPr="00847710">
              <w:rPr>
                <w:rFonts w:ascii="Times New Roman" w:hAnsi="Times New Roman"/>
                <w:sz w:val="24"/>
                <w:szCs w:val="24"/>
              </w:rPr>
              <w:t>29%</w:t>
            </w:r>
          </w:p>
        </w:tc>
      </w:tr>
      <w:tr w:rsidR="007E76D9" w:rsidRPr="00847710" w14:paraId="30B47FFB" w14:textId="77777777" w:rsidTr="0086477B">
        <w:tc>
          <w:tcPr>
            <w:tcW w:w="576" w:type="dxa"/>
          </w:tcPr>
          <w:p w14:paraId="5480FA8C" w14:textId="77777777" w:rsidR="007E76D9" w:rsidRPr="00847710" w:rsidRDefault="007E76D9" w:rsidP="00ED74D4">
            <w:pPr>
              <w:jc w:val="both"/>
              <w:rPr>
                <w:rFonts w:ascii="Times New Roman" w:hAnsi="Times New Roman"/>
                <w:sz w:val="24"/>
                <w:szCs w:val="24"/>
              </w:rPr>
            </w:pPr>
            <w:r w:rsidRPr="00847710">
              <w:rPr>
                <w:rFonts w:ascii="Times New Roman" w:hAnsi="Times New Roman"/>
                <w:sz w:val="24"/>
                <w:szCs w:val="24"/>
              </w:rPr>
              <w:t>3.</w:t>
            </w:r>
          </w:p>
        </w:tc>
        <w:tc>
          <w:tcPr>
            <w:tcW w:w="2259" w:type="dxa"/>
            <w:vAlign w:val="bottom"/>
          </w:tcPr>
          <w:p w14:paraId="73189ED4" w14:textId="77777777" w:rsidR="007E76D9" w:rsidRPr="00847710" w:rsidRDefault="007E76D9" w:rsidP="00ED74D4">
            <w:pPr>
              <w:jc w:val="both"/>
              <w:rPr>
                <w:rFonts w:ascii="Times New Roman" w:hAnsi="Times New Roman"/>
                <w:sz w:val="24"/>
                <w:szCs w:val="24"/>
              </w:rPr>
            </w:pPr>
            <w:r w:rsidRPr="00847710">
              <w:rPr>
                <w:rFonts w:ascii="Times New Roman" w:hAnsi="Times New Roman"/>
                <w:color w:val="000000"/>
                <w:sz w:val="24"/>
                <w:szCs w:val="24"/>
              </w:rPr>
              <w:t>Rīgas nodaļa</w:t>
            </w:r>
          </w:p>
        </w:tc>
        <w:tc>
          <w:tcPr>
            <w:tcW w:w="1276" w:type="dxa"/>
            <w:vAlign w:val="bottom"/>
          </w:tcPr>
          <w:p w14:paraId="12922048" w14:textId="0DFCA9C3" w:rsidR="007E76D9" w:rsidRPr="00847710" w:rsidRDefault="007E76D9" w:rsidP="00AB7C24">
            <w:pPr>
              <w:jc w:val="center"/>
              <w:rPr>
                <w:rFonts w:ascii="Times New Roman" w:hAnsi="Times New Roman"/>
                <w:sz w:val="24"/>
                <w:szCs w:val="24"/>
              </w:rPr>
            </w:pPr>
            <w:r w:rsidRPr="00847710">
              <w:rPr>
                <w:rFonts w:ascii="Times New Roman" w:hAnsi="Times New Roman"/>
                <w:color w:val="000000"/>
                <w:sz w:val="24"/>
                <w:szCs w:val="24"/>
              </w:rPr>
              <w:t>52</w:t>
            </w:r>
            <w:r w:rsidR="00CB0FC4" w:rsidRPr="00847710">
              <w:rPr>
                <w:rFonts w:ascii="Times New Roman" w:hAnsi="Times New Roman"/>
                <w:color w:val="000000"/>
                <w:sz w:val="24"/>
                <w:szCs w:val="24"/>
              </w:rPr>
              <w:t>,</w:t>
            </w:r>
            <w:r w:rsidRPr="00847710">
              <w:rPr>
                <w:rFonts w:ascii="Times New Roman" w:hAnsi="Times New Roman"/>
                <w:color w:val="000000"/>
                <w:sz w:val="24"/>
                <w:szCs w:val="24"/>
              </w:rPr>
              <w:t>33%</w:t>
            </w:r>
          </w:p>
        </w:tc>
        <w:tc>
          <w:tcPr>
            <w:tcW w:w="1275" w:type="dxa"/>
            <w:vAlign w:val="bottom"/>
          </w:tcPr>
          <w:p w14:paraId="0AED27FA" w14:textId="3109537D" w:rsidR="007E76D9" w:rsidRPr="00847710" w:rsidRDefault="007E76D9" w:rsidP="00AB7C24">
            <w:pPr>
              <w:jc w:val="center"/>
              <w:rPr>
                <w:rFonts w:ascii="Times New Roman" w:hAnsi="Times New Roman"/>
                <w:sz w:val="24"/>
                <w:szCs w:val="24"/>
              </w:rPr>
            </w:pPr>
            <w:r w:rsidRPr="00847710">
              <w:rPr>
                <w:rFonts w:ascii="Times New Roman" w:hAnsi="Times New Roman"/>
                <w:color w:val="000000"/>
                <w:sz w:val="24"/>
                <w:szCs w:val="24"/>
              </w:rPr>
              <w:t>51</w:t>
            </w:r>
            <w:r w:rsidR="00CB0FC4" w:rsidRPr="00847710">
              <w:rPr>
                <w:rFonts w:ascii="Times New Roman" w:hAnsi="Times New Roman"/>
                <w:color w:val="000000"/>
                <w:sz w:val="24"/>
                <w:szCs w:val="24"/>
              </w:rPr>
              <w:t>,</w:t>
            </w:r>
            <w:r w:rsidRPr="00847710">
              <w:rPr>
                <w:rFonts w:ascii="Times New Roman" w:hAnsi="Times New Roman"/>
                <w:color w:val="000000"/>
                <w:sz w:val="24"/>
                <w:szCs w:val="24"/>
              </w:rPr>
              <w:t>60%</w:t>
            </w:r>
          </w:p>
        </w:tc>
        <w:tc>
          <w:tcPr>
            <w:tcW w:w="2127" w:type="dxa"/>
            <w:vAlign w:val="bottom"/>
          </w:tcPr>
          <w:p w14:paraId="47234FAD" w14:textId="4DD4BE59" w:rsidR="007E76D9" w:rsidRPr="00847710" w:rsidRDefault="007E76D9" w:rsidP="00AB7C24">
            <w:pPr>
              <w:jc w:val="center"/>
              <w:rPr>
                <w:rFonts w:ascii="Times New Roman" w:hAnsi="Times New Roman"/>
                <w:sz w:val="24"/>
                <w:szCs w:val="24"/>
              </w:rPr>
            </w:pPr>
            <w:r w:rsidRPr="00847710">
              <w:rPr>
                <w:rFonts w:ascii="Times New Roman" w:hAnsi="Times New Roman"/>
                <w:sz w:val="24"/>
                <w:szCs w:val="24"/>
              </w:rPr>
              <w:t>-0</w:t>
            </w:r>
            <w:r w:rsidR="00CB0FC4" w:rsidRPr="00847710">
              <w:rPr>
                <w:rFonts w:ascii="Times New Roman" w:hAnsi="Times New Roman"/>
                <w:sz w:val="24"/>
                <w:szCs w:val="24"/>
              </w:rPr>
              <w:t>,</w:t>
            </w:r>
            <w:r w:rsidRPr="00847710">
              <w:rPr>
                <w:rFonts w:ascii="Times New Roman" w:hAnsi="Times New Roman"/>
                <w:sz w:val="24"/>
                <w:szCs w:val="24"/>
              </w:rPr>
              <w:t>73%</w:t>
            </w:r>
          </w:p>
        </w:tc>
      </w:tr>
      <w:tr w:rsidR="007E76D9" w:rsidRPr="00847710" w14:paraId="6B90F768" w14:textId="77777777" w:rsidTr="0086477B">
        <w:tc>
          <w:tcPr>
            <w:tcW w:w="576" w:type="dxa"/>
          </w:tcPr>
          <w:p w14:paraId="179E9BC0" w14:textId="77777777" w:rsidR="007E76D9" w:rsidRPr="00847710" w:rsidRDefault="007E76D9" w:rsidP="00ED74D4">
            <w:pPr>
              <w:jc w:val="both"/>
              <w:rPr>
                <w:rFonts w:ascii="Times New Roman" w:hAnsi="Times New Roman"/>
                <w:sz w:val="24"/>
                <w:szCs w:val="24"/>
              </w:rPr>
            </w:pPr>
            <w:r w:rsidRPr="00847710">
              <w:rPr>
                <w:rFonts w:ascii="Times New Roman" w:hAnsi="Times New Roman"/>
                <w:sz w:val="24"/>
                <w:szCs w:val="24"/>
              </w:rPr>
              <w:t>4.</w:t>
            </w:r>
          </w:p>
        </w:tc>
        <w:tc>
          <w:tcPr>
            <w:tcW w:w="2259" w:type="dxa"/>
            <w:vAlign w:val="bottom"/>
          </w:tcPr>
          <w:p w14:paraId="3AC9C6E1" w14:textId="77777777" w:rsidR="007E76D9" w:rsidRPr="00847710" w:rsidRDefault="007E76D9" w:rsidP="00ED74D4">
            <w:pPr>
              <w:jc w:val="both"/>
              <w:rPr>
                <w:rFonts w:ascii="Times New Roman" w:hAnsi="Times New Roman"/>
                <w:sz w:val="24"/>
                <w:szCs w:val="24"/>
              </w:rPr>
            </w:pPr>
            <w:r w:rsidRPr="00847710">
              <w:rPr>
                <w:rFonts w:ascii="Times New Roman" w:hAnsi="Times New Roman"/>
                <w:color w:val="000000"/>
                <w:sz w:val="24"/>
                <w:szCs w:val="24"/>
              </w:rPr>
              <w:t>Vidzemes nodaļa</w:t>
            </w:r>
          </w:p>
        </w:tc>
        <w:tc>
          <w:tcPr>
            <w:tcW w:w="1276" w:type="dxa"/>
            <w:vAlign w:val="bottom"/>
          </w:tcPr>
          <w:p w14:paraId="69DF6D11" w14:textId="7597314C" w:rsidR="007E76D9" w:rsidRPr="00847710" w:rsidRDefault="007E76D9" w:rsidP="00AB7C24">
            <w:pPr>
              <w:jc w:val="center"/>
              <w:rPr>
                <w:rFonts w:ascii="Times New Roman" w:hAnsi="Times New Roman"/>
                <w:sz w:val="24"/>
                <w:szCs w:val="24"/>
              </w:rPr>
            </w:pPr>
            <w:r w:rsidRPr="00847710">
              <w:rPr>
                <w:rFonts w:ascii="Times New Roman" w:hAnsi="Times New Roman"/>
                <w:color w:val="000000"/>
                <w:sz w:val="24"/>
                <w:szCs w:val="24"/>
              </w:rPr>
              <w:t>63</w:t>
            </w:r>
            <w:r w:rsidR="00CB0FC4" w:rsidRPr="00847710">
              <w:rPr>
                <w:rFonts w:ascii="Times New Roman" w:hAnsi="Times New Roman"/>
                <w:color w:val="000000"/>
                <w:sz w:val="24"/>
                <w:szCs w:val="24"/>
              </w:rPr>
              <w:t>,</w:t>
            </w:r>
            <w:r w:rsidRPr="00847710">
              <w:rPr>
                <w:rFonts w:ascii="Times New Roman" w:hAnsi="Times New Roman"/>
                <w:color w:val="000000"/>
                <w:sz w:val="24"/>
                <w:szCs w:val="24"/>
              </w:rPr>
              <w:t>57%</w:t>
            </w:r>
          </w:p>
        </w:tc>
        <w:tc>
          <w:tcPr>
            <w:tcW w:w="1275" w:type="dxa"/>
            <w:vAlign w:val="bottom"/>
          </w:tcPr>
          <w:p w14:paraId="3B682262" w14:textId="444B3010" w:rsidR="007E76D9" w:rsidRPr="00847710" w:rsidRDefault="007E76D9" w:rsidP="00AB7C24">
            <w:pPr>
              <w:jc w:val="center"/>
              <w:rPr>
                <w:rFonts w:ascii="Times New Roman" w:hAnsi="Times New Roman"/>
                <w:sz w:val="24"/>
                <w:szCs w:val="24"/>
              </w:rPr>
            </w:pPr>
            <w:r w:rsidRPr="00847710">
              <w:rPr>
                <w:rFonts w:ascii="Times New Roman" w:hAnsi="Times New Roman"/>
                <w:color w:val="000000"/>
                <w:sz w:val="24"/>
                <w:szCs w:val="24"/>
              </w:rPr>
              <w:t>58</w:t>
            </w:r>
            <w:r w:rsidR="00CB0FC4" w:rsidRPr="00847710">
              <w:rPr>
                <w:rFonts w:ascii="Times New Roman" w:hAnsi="Times New Roman"/>
                <w:color w:val="000000"/>
                <w:sz w:val="24"/>
                <w:szCs w:val="24"/>
              </w:rPr>
              <w:t>,</w:t>
            </w:r>
            <w:r w:rsidRPr="00847710">
              <w:rPr>
                <w:rFonts w:ascii="Times New Roman" w:hAnsi="Times New Roman"/>
                <w:color w:val="000000"/>
                <w:sz w:val="24"/>
                <w:szCs w:val="24"/>
              </w:rPr>
              <w:t>57%</w:t>
            </w:r>
          </w:p>
        </w:tc>
        <w:tc>
          <w:tcPr>
            <w:tcW w:w="2127" w:type="dxa"/>
            <w:vAlign w:val="bottom"/>
          </w:tcPr>
          <w:p w14:paraId="24FBD116" w14:textId="245A2D27" w:rsidR="007E76D9" w:rsidRPr="00847710" w:rsidRDefault="007E76D9" w:rsidP="00AB7C24">
            <w:pPr>
              <w:jc w:val="center"/>
              <w:rPr>
                <w:rFonts w:ascii="Times New Roman" w:hAnsi="Times New Roman"/>
                <w:sz w:val="24"/>
                <w:szCs w:val="24"/>
              </w:rPr>
            </w:pPr>
            <w:r w:rsidRPr="00847710">
              <w:rPr>
                <w:rFonts w:ascii="Times New Roman" w:hAnsi="Times New Roman"/>
                <w:sz w:val="24"/>
                <w:szCs w:val="24"/>
              </w:rPr>
              <w:t>-5</w:t>
            </w:r>
            <w:r w:rsidR="00CB0FC4" w:rsidRPr="00847710">
              <w:rPr>
                <w:rFonts w:ascii="Times New Roman" w:hAnsi="Times New Roman"/>
                <w:sz w:val="24"/>
                <w:szCs w:val="24"/>
              </w:rPr>
              <w:t>,</w:t>
            </w:r>
            <w:r w:rsidRPr="00847710">
              <w:rPr>
                <w:rFonts w:ascii="Times New Roman" w:hAnsi="Times New Roman"/>
                <w:sz w:val="24"/>
                <w:szCs w:val="24"/>
              </w:rPr>
              <w:t>%</w:t>
            </w:r>
          </w:p>
        </w:tc>
      </w:tr>
      <w:tr w:rsidR="007E76D9" w:rsidRPr="00847710" w14:paraId="75D60A4B" w14:textId="77777777" w:rsidTr="0086477B">
        <w:tc>
          <w:tcPr>
            <w:tcW w:w="576" w:type="dxa"/>
          </w:tcPr>
          <w:p w14:paraId="33703663" w14:textId="77777777" w:rsidR="007E76D9" w:rsidRPr="00847710" w:rsidRDefault="007E76D9" w:rsidP="00ED74D4">
            <w:pPr>
              <w:jc w:val="both"/>
              <w:rPr>
                <w:rFonts w:ascii="Times New Roman" w:hAnsi="Times New Roman"/>
                <w:sz w:val="24"/>
                <w:szCs w:val="24"/>
              </w:rPr>
            </w:pPr>
            <w:r w:rsidRPr="00847710">
              <w:rPr>
                <w:rFonts w:ascii="Times New Roman" w:hAnsi="Times New Roman"/>
                <w:sz w:val="24"/>
                <w:szCs w:val="24"/>
              </w:rPr>
              <w:t>5.</w:t>
            </w:r>
          </w:p>
        </w:tc>
        <w:tc>
          <w:tcPr>
            <w:tcW w:w="2259" w:type="dxa"/>
            <w:vAlign w:val="bottom"/>
          </w:tcPr>
          <w:p w14:paraId="72E33320" w14:textId="77777777" w:rsidR="007E76D9" w:rsidRPr="00847710" w:rsidRDefault="007E76D9" w:rsidP="00ED74D4">
            <w:pPr>
              <w:jc w:val="both"/>
              <w:rPr>
                <w:rFonts w:ascii="Times New Roman" w:hAnsi="Times New Roman"/>
                <w:sz w:val="24"/>
                <w:szCs w:val="24"/>
              </w:rPr>
            </w:pPr>
            <w:r w:rsidRPr="00847710">
              <w:rPr>
                <w:rFonts w:ascii="Times New Roman" w:hAnsi="Times New Roman"/>
                <w:color w:val="000000"/>
                <w:sz w:val="24"/>
                <w:szCs w:val="24"/>
              </w:rPr>
              <w:t>Zemgales nodaļa</w:t>
            </w:r>
          </w:p>
        </w:tc>
        <w:tc>
          <w:tcPr>
            <w:tcW w:w="1276" w:type="dxa"/>
            <w:vAlign w:val="bottom"/>
          </w:tcPr>
          <w:p w14:paraId="112D578D" w14:textId="3282F787" w:rsidR="007E76D9" w:rsidRPr="00847710" w:rsidRDefault="007E76D9" w:rsidP="00AB7C24">
            <w:pPr>
              <w:jc w:val="center"/>
              <w:rPr>
                <w:rFonts w:ascii="Times New Roman" w:hAnsi="Times New Roman"/>
                <w:sz w:val="24"/>
                <w:szCs w:val="24"/>
              </w:rPr>
            </w:pPr>
            <w:r w:rsidRPr="00847710">
              <w:rPr>
                <w:rFonts w:ascii="Times New Roman" w:hAnsi="Times New Roman"/>
                <w:color w:val="000000"/>
                <w:sz w:val="24"/>
                <w:szCs w:val="24"/>
              </w:rPr>
              <w:t>49</w:t>
            </w:r>
            <w:r w:rsidR="00CB0FC4" w:rsidRPr="00847710">
              <w:rPr>
                <w:rFonts w:ascii="Times New Roman" w:hAnsi="Times New Roman"/>
                <w:color w:val="000000"/>
                <w:sz w:val="24"/>
                <w:szCs w:val="24"/>
              </w:rPr>
              <w:t>,</w:t>
            </w:r>
            <w:r w:rsidRPr="00847710">
              <w:rPr>
                <w:rFonts w:ascii="Times New Roman" w:hAnsi="Times New Roman"/>
                <w:color w:val="000000"/>
                <w:sz w:val="24"/>
                <w:szCs w:val="24"/>
              </w:rPr>
              <w:t>16%</w:t>
            </w:r>
          </w:p>
        </w:tc>
        <w:tc>
          <w:tcPr>
            <w:tcW w:w="1275" w:type="dxa"/>
            <w:vAlign w:val="bottom"/>
          </w:tcPr>
          <w:p w14:paraId="138478B1" w14:textId="655EBF05" w:rsidR="007E76D9" w:rsidRPr="00847710" w:rsidRDefault="007E76D9" w:rsidP="00AB7C24">
            <w:pPr>
              <w:jc w:val="center"/>
              <w:rPr>
                <w:rFonts w:ascii="Times New Roman" w:hAnsi="Times New Roman"/>
                <w:sz w:val="24"/>
                <w:szCs w:val="24"/>
              </w:rPr>
            </w:pPr>
            <w:r w:rsidRPr="00847710">
              <w:rPr>
                <w:rFonts w:ascii="Times New Roman" w:hAnsi="Times New Roman"/>
                <w:color w:val="000000"/>
                <w:sz w:val="24"/>
                <w:szCs w:val="24"/>
              </w:rPr>
              <w:t>47</w:t>
            </w:r>
            <w:r w:rsidR="00CB0FC4" w:rsidRPr="00847710">
              <w:rPr>
                <w:rFonts w:ascii="Times New Roman" w:hAnsi="Times New Roman"/>
                <w:color w:val="000000"/>
                <w:sz w:val="24"/>
                <w:szCs w:val="24"/>
              </w:rPr>
              <w:t>,</w:t>
            </w:r>
            <w:r w:rsidRPr="00847710">
              <w:rPr>
                <w:rFonts w:ascii="Times New Roman" w:hAnsi="Times New Roman"/>
                <w:color w:val="000000"/>
                <w:sz w:val="24"/>
                <w:szCs w:val="24"/>
              </w:rPr>
              <w:t>78%</w:t>
            </w:r>
          </w:p>
        </w:tc>
        <w:tc>
          <w:tcPr>
            <w:tcW w:w="2127" w:type="dxa"/>
            <w:vAlign w:val="bottom"/>
          </w:tcPr>
          <w:p w14:paraId="5C16E82E" w14:textId="7ED31FDE" w:rsidR="007E76D9" w:rsidRPr="00847710" w:rsidRDefault="007E76D9" w:rsidP="00AB7C24">
            <w:pPr>
              <w:jc w:val="center"/>
              <w:rPr>
                <w:rFonts w:ascii="Times New Roman" w:hAnsi="Times New Roman"/>
                <w:sz w:val="24"/>
                <w:szCs w:val="24"/>
              </w:rPr>
            </w:pPr>
            <w:r w:rsidRPr="00847710">
              <w:rPr>
                <w:rFonts w:ascii="Times New Roman" w:hAnsi="Times New Roman"/>
                <w:sz w:val="24"/>
                <w:szCs w:val="24"/>
              </w:rPr>
              <w:t>-1</w:t>
            </w:r>
            <w:r w:rsidR="00F34185" w:rsidRPr="00847710">
              <w:rPr>
                <w:rFonts w:ascii="Times New Roman" w:hAnsi="Times New Roman"/>
                <w:sz w:val="24"/>
                <w:szCs w:val="24"/>
              </w:rPr>
              <w:t>,</w:t>
            </w:r>
            <w:r w:rsidRPr="00847710">
              <w:rPr>
                <w:rFonts w:ascii="Times New Roman" w:hAnsi="Times New Roman"/>
                <w:sz w:val="24"/>
                <w:szCs w:val="24"/>
              </w:rPr>
              <w:t>38%</w:t>
            </w:r>
          </w:p>
        </w:tc>
      </w:tr>
      <w:tr w:rsidR="007E76D9" w:rsidRPr="00847710" w14:paraId="605DA39B" w14:textId="77777777" w:rsidTr="0086477B">
        <w:tc>
          <w:tcPr>
            <w:tcW w:w="576" w:type="dxa"/>
            <w:shd w:val="clear" w:color="auto" w:fill="FBD4B4" w:themeFill="accent6" w:themeFillTint="66"/>
          </w:tcPr>
          <w:p w14:paraId="2F55DA6E" w14:textId="77777777" w:rsidR="007E76D9" w:rsidRPr="00847710" w:rsidRDefault="007E76D9" w:rsidP="00ED74D4">
            <w:pPr>
              <w:jc w:val="both"/>
              <w:rPr>
                <w:rFonts w:ascii="Times New Roman" w:hAnsi="Times New Roman"/>
                <w:sz w:val="24"/>
                <w:szCs w:val="24"/>
              </w:rPr>
            </w:pPr>
          </w:p>
        </w:tc>
        <w:tc>
          <w:tcPr>
            <w:tcW w:w="2259" w:type="dxa"/>
            <w:shd w:val="clear" w:color="auto" w:fill="FBD4B4" w:themeFill="accent6" w:themeFillTint="66"/>
          </w:tcPr>
          <w:p w14:paraId="0BA9791E" w14:textId="77777777" w:rsidR="007E76D9" w:rsidRPr="00847710" w:rsidRDefault="007E76D9" w:rsidP="00ED74D4">
            <w:pPr>
              <w:jc w:val="both"/>
              <w:rPr>
                <w:rFonts w:ascii="Times New Roman" w:hAnsi="Times New Roman"/>
                <w:sz w:val="24"/>
                <w:szCs w:val="24"/>
              </w:rPr>
            </w:pPr>
            <w:r w:rsidRPr="00847710">
              <w:rPr>
                <w:rFonts w:ascii="Times New Roman" w:hAnsi="Times New Roman"/>
                <w:b/>
                <w:bCs/>
                <w:color w:val="000000"/>
                <w:sz w:val="24"/>
                <w:szCs w:val="24"/>
              </w:rPr>
              <w:t>VALSTĪ</w:t>
            </w:r>
          </w:p>
        </w:tc>
        <w:tc>
          <w:tcPr>
            <w:tcW w:w="1276" w:type="dxa"/>
            <w:shd w:val="clear" w:color="auto" w:fill="FBD4B4" w:themeFill="accent6" w:themeFillTint="66"/>
            <w:vAlign w:val="bottom"/>
          </w:tcPr>
          <w:p w14:paraId="7F982E7D" w14:textId="047A8DED" w:rsidR="007E76D9" w:rsidRPr="00847710" w:rsidRDefault="007E76D9" w:rsidP="00AB7C24">
            <w:pPr>
              <w:jc w:val="center"/>
              <w:rPr>
                <w:rFonts w:ascii="Times New Roman" w:hAnsi="Times New Roman"/>
                <w:sz w:val="24"/>
                <w:szCs w:val="24"/>
              </w:rPr>
            </w:pPr>
            <w:r w:rsidRPr="00847710">
              <w:rPr>
                <w:rFonts w:ascii="Times New Roman" w:hAnsi="Times New Roman"/>
                <w:b/>
                <w:bCs/>
                <w:color w:val="000000"/>
                <w:sz w:val="24"/>
                <w:szCs w:val="24"/>
              </w:rPr>
              <w:t>55</w:t>
            </w:r>
            <w:r w:rsidR="00CB0FC4" w:rsidRPr="00847710">
              <w:rPr>
                <w:rFonts w:ascii="Times New Roman" w:hAnsi="Times New Roman"/>
                <w:b/>
                <w:bCs/>
                <w:color w:val="000000"/>
                <w:sz w:val="24"/>
                <w:szCs w:val="24"/>
              </w:rPr>
              <w:t>,</w:t>
            </w:r>
            <w:r w:rsidRPr="00847710">
              <w:rPr>
                <w:rFonts w:ascii="Times New Roman" w:hAnsi="Times New Roman"/>
                <w:b/>
                <w:bCs/>
                <w:color w:val="000000"/>
                <w:sz w:val="24"/>
                <w:szCs w:val="24"/>
              </w:rPr>
              <w:t>02%</w:t>
            </w:r>
          </w:p>
        </w:tc>
        <w:tc>
          <w:tcPr>
            <w:tcW w:w="1275" w:type="dxa"/>
            <w:shd w:val="clear" w:color="auto" w:fill="FBD4B4" w:themeFill="accent6" w:themeFillTint="66"/>
            <w:vAlign w:val="bottom"/>
          </w:tcPr>
          <w:p w14:paraId="0C3C7344" w14:textId="6CA35D64" w:rsidR="007E76D9" w:rsidRPr="00847710" w:rsidRDefault="007E76D9" w:rsidP="00AB7C24">
            <w:pPr>
              <w:jc w:val="center"/>
              <w:rPr>
                <w:rFonts w:ascii="Times New Roman" w:hAnsi="Times New Roman"/>
                <w:sz w:val="24"/>
                <w:szCs w:val="24"/>
              </w:rPr>
            </w:pPr>
            <w:r w:rsidRPr="00847710">
              <w:rPr>
                <w:rFonts w:ascii="Times New Roman" w:hAnsi="Times New Roman"/>
                <w:b/>
                <w:bCs/>
                <w:color w:val="000000"/>
                <w:sz w:val="24"/>
                <w:szCs w:val="24"/>
              </w:rPr>
              <w:t>52</w:t>
            </w:r>
            <w:r w:rsidR="00CB0FC4" w:rsidRPr="00847710">
              <w:rPr>
                <w:rFonts w:ascii="Times New Roman" w:hAnsi="Times New Roman"/>
                <w:b/>
                <w:bCs/>
                <w:color w:val="000000"/>
                <w:sz w:val="24"/>
                <w:szCs w:val="24"/>
              </w:rPr>
              <w:t>,</w:t>
            </w:r>
            <w:r w:rsidRPr="00847710">
              <w:rPr>
                <w:rFonts w:ascii="Times New Roman" w:hAnsi="Times New Roman"/>
                <w:b/>
                <w:bCs/>
                <w:color w:val="000000"/>
                <w:sz w:val="24"/>
                <w:szCs w:val="24"/>
              </w:rPr>
              <w:t>93%</w:t>
            </w:r>
          </w:p>
        </w:tc>
        <w:tc>
          <w:tcPr>
            <w:tcW w:w="2127" w:type="dxa"/>
            <w:shd w:val="clear" w:color="auto" w:fill="FBD4B4" w:themeFill="accent6" w:themeFillTint="66"/>
            <w:vAlign w:val="bottom"/>
          </w:tcPr>
          <w:p w14:paraId="061EA2F1" w14:textId="5242AA2E" w:rsidR="007E76D9" w:rsidRPr="00847710" w:rsidRDefault="007E76D9" w:rsidP="00AB7C24">
            <w:pPr>
              <w:jc w:val="center"/>
              <w:rPr>
                <w:rFonts w:ascii="Times New Roman" w:hAnsi="Times New Roman"/>
                <w:sz w:val="24"/>
                <w:szCs w:val="24"/>
              </w:rPr>
            </w:pPr>
            <w:r w:rsidRPr="00847710">
              <w:rPr>
                <w:rFonts w:ascii="Times New Roman" w:hAnsi="Times New Roman"/>
                <w:b/>
                <w:bCs/>
                <w:sz w:val="24"/>
                <w:szCs w:val="24"/>
              </w:rPr>
              <w:t>-2</w:t>
            </w:r>
            <w:r w:rsidR="00F34185" w:rsidRPr="00847710">
              <w:rPr>
                <w:rFonts w:ascii="Times New Roman" w:hAnsi="Times New Roman"/>
                <w:b/>
                <w:bCs/>
                <w:sz w:val="24"/>
                <w:szCs w:val="24"/>
              </w:rPr>
              <w:t>,</w:t>
            </w:r>
            <w:r w:rsidRPr="00847710">
              <w:rPr>
                <w:rFonts w:ascii="Times New Roman" w:hAnsi="Times New Roman"/>
                <w:b/>
                <w:bCs/>
                <w:sz w:val="24"/>
                <w:szCs w:val="24"/>
              </w:rPr>
              <w:t>09%</w:t>
            </w:r>
          </w:p>
        </w:tc>
      </w:tr>
    </w:tbl>
    <w:p w14:paraId="431B154A" w14:textId="6CE86118" w:rsidR="606321C4" w:rsidRPr="00847710" w:rsidRDefault="007E76D9" w:rsidP="00847710">
      <w:pPr>
        <w:jc w:val="both"/>
        <w:rPr>
          <w:rFonts w:ascii="Times New Roman" w:hAnsi="Times New Roman" w:cs="Times New Roman"/>
          <w:sz w:val="20"/>
          <w:szCs w:val="20"/>
          <w:lang w:eastAsia="lv-LV"/>
        </w:rPr>
      </w:pPr>
      <w:r w:rsidRPr="00847710">
        <w:rPr>
          <w:rFonts w:ascii="Times New Roman" w:hAnsi="Times New Roman" w:cs="Times New Roman"/>
          <w:sz w:val="20"/>
          <w:szCs w:val="20"/>
          <w:lang w:eastAsia="lv-LV"/>
        </w:rPr>
        <w:t>Avots: NVD</w:t>
      </w:r>
    </w:p>
    <w:p w14:paraId="53819095" w14:textId="759A6E3F" w:rsidR="3CD44DA9" w:rsidRPr="00847710" w:rsidRDefault="4A1F80A4" w:rsidP="00820900">
      <w:pPr>
        <w:spacing w:after="120"/>
        <w:ind w:firstLine="720"/>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Mutes veselībai ir tieša ietekme uz dzīves kvalitāti gan bērna</w:t>
      </w:r>
      <w:r w:rsidRPr="00847710">
        <w:rPr>
          <w:rStyle w:val="FootnoteReference"/>
          <w:rFonts w:ascii="Times New Roman" w:hAnsi="Times New Roman" w:cs="Times New Roman"/>
          <w:sz w:val="24"/>
          <w:szCs w:val="24"/>
        </w:rPr>
        <w:footnoteReference w:id="56"/>
      </w:r>
      <w:r w:rsidRPr="00847710">
        <w:rPr>
          <w:rFonts w:ascii="Times New Roman" w:eastAsia="Times New Roman" w:hAnsi="Times New Roman" w:cs="Times New Roman"/>
          <w:sz w:val="24"/>
          <w:szCs w:val="24"/>
        </w:rPr>
        <w:t xml:space="preserve"> vecumā, gan pieaugušiem un veciem cilvēkiem</w:t>
      </w:r>
      <w:r w:rsidRPr="00847710">
        <w:rPr>
          <w:rStyle w:val="FootnoteReference"/>
          <w:rFonts w:ascii="Times New Roman" w:hAnsi="Times New Roman" w:cs="Times New Roman"/>
          <w:sz w:val="24"/>
          <w:szCs w:val="24"/>
        </w:rPr>
        <w:footnoteReference w:id="57"/>
      </w:r>
      <w:r w:rsidRPr="00847710">
        <w:rPr>
          <w:rFonts w:ascii="Times New Roman" w:eastAsia="Times New Roman" w:hAnsi="Times New Roman" w:cs="Times New Roman"/>
          <w:sz w:val="24"/>
          <w:szCs w:val="24"/>
        </w:rPr>
        <w:t xml:space="preserve"> . Mutes veselības problēmas ir viens no biežākajiem pieaugušo darba nespējas cēloņiem</w:t>
      </w:r>
      <w:r w:rsidRPr="00847710">
        <w:rPr>
          <w:rStyle w:val="FootnoteReference"/>
          <w:rFonts w:ascii="Times New Roman" w:hAnsi="Times New Roman" w:cs="Times New Roman"/>
          <w:sz w:val="24"/>
          <w:szCs w:val="24"/>
        </w:rPr>
        <w:footnoteReference w:id="58"/>
      </w:r>
      <w:r w:rsidRPr="00847710">
        <w:rPr>
          <w:rFonts w:ascii="Times New Roman" w:eastAsia="Times New Roman" w:hAnsi="Times New Roman" w:cs="Times New Roman"/>
          <w:sz w:val="24"/>
          <w:szCs w:val="24"/>
        </w:rPr>
        <w:t>.</w:t>
      </w:r>
    </w:p>
    <w:p w14:paraId="3DD63651" w14:textId="5ADFA75A" w:rsidR="3CD44DA9" w:rsidRPr="00847710" w:rsidRDefault="4A1F80A4" w:rsidP="00820900">
      <w:pPr>
        <w:spacing w:after="120"/>
        <w:ind w:firstLine="720"/>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Atbilstoši Latvijā veiktajiem pētījumiem, kariess skar gandrīz visus Latvijas bērnus, 12 gadu vecumā vidēji bojāti vairāk kā 9 zobi, sasniedzot izplatību emaljas kariesa līmenī – 98,5%, kariesa ar kavitāti līmenī – 79,8%, bet izteiktas dentīna kavitātes līmenī – 71,9%</w:t>
      </w:r>
      <w:r w:rsidRPr="00847710">
        <w:rPr>
          <w:rStyle w:val="FootnoteReference"/>
          <w:rFonts w:ascii="Times New Roman" w:hAnsi="Times New Roman" w:cs="Times New Roman"/>
          <w:sz w:val="24"/>
          <w:szCs w:val="24"/>
        </w:rPr>
        <w:footnoteReference w:id="59"/>
      </w:r>
      <w:r w:rsidRPr="00847710">
        <w:rPr>
          <w:rFonts w:ascii="Times New Roman" w:eastAsia="Times New Roman" w:hAnsi="Times New Roman" w:cs="Times New Roman"/>
          <w:sz w:val="24"/>
          <w:szCs w:val="24"/>
        </w:rPr>
        <w:t>. Kariesa izplatība ir augsta jau 2-3 gadus veco bērnu populācijā – 31%</w:t>
      </w:r>
      <w:r w:rsidRPr="00847710">
        <w:rPr>
          <w:rStyle w:val="FootnoteReference"/>
          <w:rFonts w:ascii="Times New Roman" w:hAnsi="Times New Roman" w:cs="Times New Roman"/>
          <w:sz w:val="24"/>
          <w:szCs w:val="24"/>
        </w:rPr>
        <w:footnoteReference w:id="60"/>
      </w:r>
      <w:r w:rsidRPr="00847710">
        <w:rPr>
          <w:rFonts w:ascii="Times New Roman" w:eastAsia="Times New Roman" w:hAnsi="Times New Roman" w:cs="Times New Roman"/>
          <w:sz w:val="24"/>
          <w:szCs w:val="24"/>
        </w:rPr>
        <w:t xml:space="preserve">. </w:t>
      </w:r>
    </w:p>
    <w:p w14:paraId="78A18EA0" w14:textId="51241CE2" w:rsidR="3CD44DA9" w:rsidRPr="00847710" w:rsidRDefault="4A1F80A4" w:rsidP="00820900">
      <w:pPr>
        <w:spacing w:after="120"/>
        <w:ind w:firstLine="720"/>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Kariesa sekas ir infekcija žokļa kaulā, kas ir sasaistāma ar cukura diabētu, kardiovaskulāro un pulmonoloģisko saslimšanas risku</w:t>
      </w:r>
      <w:r w:rsidRPr="00847710">
        <w:rPr>
          <w:rStyle w:val="FootnoteReference"/>
          <w:rFonts w:ascii="Times New Roman" w:hAnsi="Times New Roman" w:cs="Times New Roman"/>
          <w:sz w:val="24"/>
          <w:szCs w:val="24"/>
        </w:rPr>
        <w:footnoteReference w:id="61"/>
      </w:r>
      <w:r w:rsidRPr="00847710">
        <w:rPr>
          <w:rFonts w:ascii="Times New Roman" w:eastAsia="Times New Roman" w:hAnsi="Times New Roman" w:cs="Times New Roman"/>
          <w:sz w:val="24"/>
          <w:szCs w:val="24"/>
        </w:rPr>
        <w:t xml:space="preserve">, kā arī var izsaukt gremošanas orgānu slimības. </w:t>
      </w:r>
    </w:p>
    <w:p w14:paraId="53304232" w14:textId="07111F12" w:rsidR="3CD44DA9" w:rsidRDefault="4A1F80A4" w:rsidP="00820900">
      <w:pPr>
        <w:spacing w:after="120"/>
        <w:ind w:firstLine="720"/>
        <w:jc w:val="both"/>
        <w:rPr>
          <w:rFonts w:ascii="Times New Roman" w:eastAsia="Times New Roman" w:hAnsi="Times New Roman" w:cs="Times New Roman"/>
          <w:sz w:val="24"/>
          <w:szCs w:val="24"/>
        </w:rPr>
      </w:pPr>
      <w:r w:rsidRPr="00847710">
        <w:rPr>
          <w:rFonts w:ascii="Times New Roman" w:eastAsia="Times New Roman" w:hAnsi="Times New Roman" w:cs="Times New Roman"/>
          <w:sz w:val="24"/>
          <w:szCs w:val="24"/>
        </w:rPr>
        <w:t xml:space="preserve">Atbilstoši Centrālās Statistikas pārvaldes datiem Latvijā 2016.gadā vecumā no 3 līdz 17 gadiem ieskaitot bija 287 529 bērni.  Pieņemot, ka vecuma grupā no 3-11 gadiem kariesa izplatība sasniedz 31%, savukārt 12-17 gadu vecuma grupā – 98,5%, un pieņemot, ka 5 % gadījumā ir risks saslimt ar cukura diabētu, kardiovaskulāro, pulmonoloģisko vai gremošanas orgānu slimībām, ar šīm slimībām risks saslimt ir </w:t>
      </w:r>
      <w:r w:rsidR="000E4651" w:rsidRPr="00847710">
        <w:rPr>
          <w:rFonts w:ascii="Times New Roman" w:eastAsia="Times New Roman" w:hAnsi="Times New Roman" w:cs="Times New Roman"/>
          <w:sz w:val="24"/>
          <w:szCs w:val="24"/>
        </w:rPr>
        <w:t>805</w:t>
      </w:r>
      <w:r w:rsidR="000E4651">
        <w:rPr>
          <w:rFonts w:ascii="Times New Roman" w:eastAsia="Times New Roman" w:hAnsi="Times New Roman" w:cs="Times New Roman"/>
          <w:sz w:val="24"/>
          <w:szCs w:val="24"/>
        </w:rPr>
        <w:t>8</w:t>
      </w:r>
      <w:r w:rsidR="000E4651" w:rsidRPr="00847710">
        <w:rPr>
          <w:rFonts w:ascii="Times New Roman" w:eastAsia="Times New Roman" w:hAnsi="Times New Roman" w:cs="Times New Roman"/>
          <w:sz w:val="24"/>
          <w:szCs w:val="24"/>
        </w:rPr>
        <w:t xml:space="preserve"> </w:t>
      </w:r>
      <w:r w:rsidRPr="00847710">
        <w:rPr>
          <w:rFonts w:ascii="Times New Roman" w:eastAsia="Times New Roman" w:hAnsi="Times New Roman" w:cs="Times New Roman"/>
          <w:sz w:val="24"/>
          <w:szCs w:val="24"/>
        </w:rPr>
        <w:t xml:space="preserve">bērniem. Viena pacienta vidējās ārstēšanas izmaksas šajās slimību grupās ir 540,14 euro gadā (503,50 euro stacionārā, savukārt 36,64 euro sekundārā ambulatorā veselības aprūpē). Tādējādi, ja netiek savlaicīgi veikta zobu profilakse un ārstēšana,  katru gadu sekundārai veselības aprūpei būtu jāparedz 4 352 </w:t>
      </w:r>
      <w:r w:rsidR="000E4651">
        <w:rPr>
          <w:rFonts w:ascii="Times New Roman" w:eastAsia="Times New Roman" w:hAnsi="Times New Roman" w:cs="Times New Roman"/>
          <w:sz w:val="24"/>
          <w:szCs w:val="24"/>
        </w:rPr>
        <w:t>448</w:t>
      </w:r>
      <w:r w:rsidR="000E4651" w:rsidRPr="00847710">
        <w:rPr>
          <w:rFonts w:ascii="Times New Roman" w:eastAsia="Times New Roman" w:hAnsi="Times New Roman" w:cs="Times New Roman"/>
          <w:sz w:val="24"/>
          <w:szCs w:val="24"/>
        </w:rPr>
        <w:t xml:space="preserve"> </w:t>
      </w:r>
      <w:r w:rsidRPr="00847710">
        <w:rPr>
          <w:rFonts w:ascii="Times New Roman" w:eastAsia="Times New Roman" w:hAnsi="Times New Roman" w:cs="Times New Roman"/>
          <w:sz w:val="24"/>
          <w:szCs w:val="24"/>
        </w:rPr>
        <w:t>euro tādu slimību ārstēšanai, kuru cēlonis ir neārstēti zobi un neveikta zobu profilakse.</w:t>
      </w:r>
    </w:p>
    <w:p w14:paraId="6A8432E5" w14:textId="25EFBC55" w:rsidR="000B4E81" w:rsidRDefault="000B4E81" w:rsidP="00820900">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ka zobārstniecības aptvere 2016.gadā sasniedza tikai 52,93%, faktiski zobārsta pakalpojumi </w:t>
      </w:r>
      <w:r w:rsidR="00662A07">
        <w:rPr>
          <w:rFonts w:ascii="Times New Roman" w:eastAsia="Times New Roman" w:hAnsi="Times New Roman" w:cs="Times New Roman"/>
          <w:sz w:val="24"/>
          <w:szCs w:val="24"/>
        </w:rPr>
        <w:t xml:space="preserve">bija </w:t>
      </w:r>
      <w:r>
        <w:rPr>
          <w:rFonts w:ascii="Times New Roman" w:eastAsia="Times New Roman" w:hAnsi="Times New Roman" w:cs="Times New Roman"/>
          <w:sz w:val="24"/>
          <w:szCs w:val="24"/>
        </w:rPr>
        <w:t>pieejami 152 189 bērniem vecumā līdz 17 gadiem, vidējam apmeklējumu skaitam sasniedzot 3,43 apmeklējumus.</w:t>
      </w:r>
      <w:r w:rsidR="00662A07">
        <w:rPr>
          <w:rFonts w:ascii="Times New Roman" w:eastAsia="Times New Roman" w:hAnsi="Times New Roman" w:cs="Times New Roman"/>
          <w:sz w:val="24"/>
          <w:szCs w:val="24"/>
        </w:rPr>
        <w:t xml:space="preserve"> Lai nodrošinātu, ka mutes veselība nepasliktinās, atbilstoši speciālistu vērtējumam, gadā jāsasniedz vismaz 4 apmeklējumi. Savukārt, lai nodrošinātu bērnu aptveri vismaz līmenī, kas atbilst vidējai kariesa izplatībai, tā jāpalielina līdz 65%, tādējādi novēršot mutes veselības izraisīto problēmu sekas. Tādējādi turpinot reformu 2019.gadā, plānots palielināt pakalpojumu apjomu par 40%, nodrošinot, ka:</w:t>
      </w:r>
    </w:p>
    <w:p w14:paraId="2F660FC0" w14:textId="60786804" w:rsidR="00662A07" w:rsidRPr="00BF2CA1" w:rsidRDefault="00662A07" w:rsidP="0086477B">
      <w:pPr>
        <w:pStyle w:val="ListParagraph"/>
        <w:numPr>
          <w:ilvl w:val="0"/>
          <w:numId w:val="37"/>
        </w:numPr>
        <w:spacing w:after="120"/>
        <w:jc w:val="both"/>
        <w:rPr>
          <w:rFonts w:ascii="Times New Roman" w:eastAsia="Times New Roman" w:hAnsi="Times New Roman"/>
          <w:sz w:val="24"/>
          <w:szCs w:val="24"/>
        </w:rPr>
      </w:pPr>
      <w:r w:rsidRPr="0086477B">
        <w:rPr>
          <w:rFonts w:ascii="Times New Roman" w:eastAsia="Times New Roman" w:hAnsi="Times New Roman"/>
          <w:sz w:val="24"/>
          <w:szCs w:val="24"/>
          <w:lang w:val="lv-LV"/>
        </w:rPr>
        <w:t>Zobārstniecības pakalpojumus saņem 65% no bērnu skaita jeb 186 </w:t>
      </w:r>
      <w:r w:rsidR="00120199" w:rsidRPr="00BF2CA1">
        <w:rPr>
          <w:rFonts w:ascii="Times New Roman" w:eastAsia="Times New Roman" w:hAnsi="Times New Roman"/>
          <w:sz w:val="24"/>
          <w:szCs w:val="24"/>
          <w:lang w:val="lv-LV"/>
        </w:rPr>
        <w:t>89</w:t>
      </w:r>
      <w:r w:rsidRPr="0086477B">
        <w:rPr>
          <w:rFonts w:ascii="Times New Roman" w:eastAsia="Times New Roman" w:hAnsi="Times New Roman"/>
          <w:sz w:val="24"/>
          <w:szCs w:val="24"/>
          <w:lang w:val="lv-LV"/>
        </w:rPr>
        <w:t>4 bērni</w:t>
      </w:r>
      <w:r w:rsidR="00120199" w:rsidRPr="00BF2CA1">
        <w:rPr>
          <w:rFonts w:ascii="Times New Roman" w:eastAsia="Times New Roman" w:hAnsi="Times New Roman"/>
          <w:sz w:val="24"/>
          <w:szCs w:val="24"/>
          <w:lang w:val="lv-LV"/>
        </w:rPr>
        <w:t>, par 34 705 vairāk nekā 2016.gadā</w:t>
      </w:r>
      <w:r w:rsidRPr="0086477B">
        <w:rPr>
          <w:rFonts w:ascii="Times New Roman" w:eastAsia="Times New Roman" w:hAnsi="Times New Roman"/>
          <w:sz w:val="24"/>
          <w:szCs w:val="24"/>
          <w:lang w:val="lv-LV"/>
        </w:rPr>
        <w:t>;</w:t>
      </w:r>
    </w:p>
    <w:p w14:paraId="4E842822" w14:textId="1F908A81" w:rsidR="00662A07" w:rsidRPr="00BF2CA1" w:rsidRDefault="00662A07" w:rsidP="0086477B">
      <w:pPr>
        <w:pStyle w:val="ListParagraph"/>
        <w:numPr>
          <w:ilvl w:val="0"/>
          <w:numId w:val="37"/>
        </w:numPr>
        <w:spacing w:after="120"/>
        <w:jc w:val="both"/>
        <w:rPr>
          <w:rFonts w:ascii="Times New Roman" w:eastAsia="Times New Roman" w:hAnsi="Times New Roman"/>
          <w:sz w:val="24"/>
          <w:szCs w:val="24"/>
        </w:rPr>
      </w:pPr>
      <w:r w:rsidRPr="00BF2CA1">
        <w:rPr>
          <w:rFonts w:ascii="Times New Roman" w:eastAsia="Times New Roman" w:hAnsi="Times New Roman"/>
          <w:sz w:val="24"/>
          <w:szCs w:val="24"/>
          <w:lang w:val="lv-LV"/>
        </w:rPr>
        <w:t>Vidējais apmeklējumu skaits pie zobārsta sasniedz 4 reizes.</w:t>
      </w:r>
    </w:p>
    <w:p w14:paraId="071E3475" w14:textId="0D15405D" w:rsidR="00662A07" w:rsidRPr="0086477B" w:rsidRDefault="00662A07" w:rsidP="0086477B">
      <w:pPr>
        <w:spacing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Rezultātā tiks sasniegts rindas samazinājums</w:t>
      </w:r>
      <w:r w:rsidR="00120199">
        <w:rPr>
          <w:rFonts w:ascii="Times New Roman" w:eastAsia="Times New Roman" w:hAnsi="Times New Roman" w:cs="Times New Roman"/>
          <w:sz w:val="24"/>
          <w:szCs w:val="24"/>
        </w:rPr>
        <w:t xml:space="preserve"> vismaz 40% apmērā un samazināts risks saslimt </w:t>
      </w:r>
      <w:r w:rsidR="00120199" w:rsidRPr="00847710">
        <w:rPr>
          <w:rFonts w:ascii="Times New Roman" w:eastAsia="Times New Roman" w:hAnsi="Times New Roman" w:cs="Times New Roman"/>
          <w:sz w:val="24"/>
          <w:szCs w:val="24"/>
        </w:rPr>
        <w:t>cukura diabētu, kardiovaskulāro, pulmonoloģisko vai gremošanas orgānu slimībām</w:t>
      </w:r>
      <w:r w:rsidR="00120199">
        <w:rPr>
          <w:rFonts w:ascii="Times New Roman" w:eastAsia="Times New Roman" w:hAnsi="Times New Roman" w:cs="Times New Roman"/>
          <w:sz w:val="24"/>
          <w:szCs w:val="24"/>
        </w:rPr>
        <w:t xml:space="preserve"> 8 058 bērniem.</w:t>
      </w:r>
    </w:p>
    <w:p w14:paraId="66A37177" w14:textId="025127A6" w:rsidR="001C784B" w:rsidRPr="00847710" w:rsidRDefault="704497EF" w:rsidP="00820900">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Tāpat b</w:t>
      </w:r>
      <w:r w:rsidR="007E76D9" w:rsidRPr="00847710">
        <w:rPr>
          <w:rFonts w:ascii="Times New Roman" w:hAnsi="Times New Roman" w:cs="Times New Roman"/>
          <w:sz w:val="24"/>
          <w:szCs w:val="24"/>
          <w:lang w:eastAsia="lv-LV"/>
        </w:rPr>
        <w:t>ūtisk</w:t>
      </w:r>
      <w:r w:rsidRPr="00847710">
        <w:rPr>
          <w:rFonts w:ascii="Times New Roman" w:hAnsi="Times New Roman" w:cs="Times New Roman"/>
          <w:sz w:val="24"/>
          <w:szCs w:val="24"/>
          <w:lang w:eastAsia="lv-LV"/>
        </w:rPr>
        <w:t>as</w:t>
      </w:r>
      <w:r w:rsidR="007E76D9" w:rsidRPr="00847710">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ir</w:t>
      </w:r>
      <w:r w:rsidR="007E76D9" w:rsidRPr="00847710">
        <w:rPr>
          <w:rFonts w:ascii="Times New Roman" w:hAnsi="Times New Roman" w:cs="Times New Roman"/>
          <w:sz w:val="24"/>
          <w:szCs w:val="24"/>
          <w:lang w:eastAsia="lv-LV"/>
        </w:rPr>
        <w:t xml:space="preserve"> ārstniecības speciālistu norādes, ka slikts zobu stāvoklis ir negatīvs priekšnosacījums </w:t>
      </w:r>
      <w:r w:rsidR="00964465" w:rsidRPr="00847710">
        <w:rPr>
          <w:rFonts w:ascii="Times New Roman" w:hAnsi="Times New Roman" w:cs="Times New Roman"/>
          <w:sz w:val="24"/>
          <w:szCs w:val="24"/>
          <w:lang w:eastAsia="lv-LV"/>
        </w:rPr>
        <w:t xml:space="preserve">bērna vecumā veidojušos </w:t>
      </w:r>
      <w:r w:rsidR="007E76D9" w:rsidRPr="00847710">
        <w:rPr>
          <w:rFonts w:ascii="Times New Roman" w:hAnsi="Times New Roman" w:cs="Times New Roman"/>
          <w:sz w:val="24"/>
          <w:szCs w:val="24"/>
          <w:lang w:eastAsia="lv-LV"/>
        </w:rPr>
        <w:t xml:space="preserve">hronisku slimību attīstībai. </w:t>
      </w:r>
      <w:r w:rsidR="001C784B" w:rsidRPr="00847710">
        <w:rPr>
          <w:rFonts w:ascii="Times New Roman" w:hAnsi="Times New Roman" w:cs="Times New Roman"/>
          <w:sz w:val="24"/>
          <w:szCs w:val="24"/>
          <w:lang w:eastAsia="lv-LV"/>
        </w:rPr>
        <w:t>Piemēram</w:t>
      </w:r>
      <w:r w:rsidR="665BF4CF" w:rsidRPr="00847710">
        <w:rPr>
          <w:rFonts w:ascii="Times New Roman" w:hAnsi="Times New Roman" w:cs="Times New Roman"/>
          <w:sz w:val="24"/>
          <w:szCs w:val="24"/>
          <w:lang w:eastAsia="lv-LV"/>
        </w:rPr>
        <w:t>,</w:t>
      </w:r>
      <w:r w:rsidR="001C784B" w:rsidRPr="00847710">
        <w:rPr>
          <w:rFonts w:ascii="Times New Roman" w:hAnsi="Times New Roman" w:cs="Times New Roman"/>
          <w:sz w:val="24"/>
          <w:szCs w:val="24"/>
          <w:lang w:eastAsia="lv-LV"/>
        </w:rPr>
        <w:t xml:space="preserve"> m</w:t>
      </w:r>
      <w:r w:rsidR="001C784B" w:rsidRPr="00847710">
        <w:rPr>
          <w:rFonts w:ascii="Times New Roman" w:hAnsi="Times New Roman" w:cs="Times New Roman"/>
          <w:sz w:val="24"/>
          <w:szCs w:val="24"/>
        </w:rPr>
        <w:t>ātes periodonta veselībai ir tieša saistība ar priekšlaicīgu bērnu dzimšanu vai samazinātu dzimšanas svaru</w:t>
      </w:r>
      <w:r w:rsidR="001C784B" w:rsidRPr="00847710">
        <w:rPr>
          <w:rStyle w:val="FootnoteReference"/>
          <w:rFonts w:ascii="Times New Roman" w:hAnsi="Times New Roman" w:cs="Times New Roman"/>
          <w:sz w:val="24"/>
          <w:szCs w:val="24"/>
        </w:rPr>
        <w:footnoteReference w:id="62"/>
      </w:r>
      <w:r w:rsidR="001C784B" w:rsidRPr="00847710">
        <w:rPr>
          <w:rFonts w:ascii="Times New Roman" w:hAnsi="Times New Roman" w:cs="Times New Roman"/>
          <w:sz w:val="24"/>
          <w:szCs w:val="24"/>
        </w:rPr>
        <w:t xml:space="preserve"> kas, savukārt, ir viens no jaundzimušo miršanas iemesliem</w:t>
      </w:r>
      <w:r w:rsidR="001C784B" w:rsidRPr="00847710">
        <w:rPr>
          <w:rStyle w:val="FootnoteReference"/>
          <w:rFonts w:ascii="Times New Roman" w:hAnsi="Times New Roman" w:cs="Times New Roman"/>
          <w:sz w:val="24"/>
          <w:szCs w:val="24"/>
        </w:rPr>
        <w:footnoteReference w:id="63"/>
      </w:r>
      <w:r w:rsidR="001C784B" w:rsidRPr="00847710">
        <w:rPr>
          <w:rFonts w:ascii="Times New Roman" w:hAnsi="Times New Roman" w:cs="Times New Roman"/>
          <w:sz w:val="24"/>
          <w:szCs w:val="24"/>
        </w:rPr>
        <w:t>. Tas nozīmē, ka reproduktīvā vecumā vairāk nekā 85% sieviešu ir paaugstināts priekšlaicīgu dzemdību risks, kas var veicināt smagas bērna veselības problēmas.</w:t>
      </w:r>
    </w:p>
    <w:p w14:paraId="6465344D" w14:textId="0D2A0420" w:rsidR="00847710" w:rsidRDefault="007E76D9" w:rsidP="00662A07">
      <w:pPr>
        <w:spacing w:after="120"/>
        <w:ind w:firstLine="720"/>
        <w:jc w:val="both"/>
        <w:rPr>
          <w:rFonts w:ascii="Times New Roman" w:hAnsi="Times New Roman" w:cs="Times New Roman"/>
          <w:i/>
          <w:sz w:val="24"/>
          <w:szCs w:val="24"/>
        </w:rPr>
      </w:pPr>
      <w:r w:rsidRPr="00847710">
        <w:rPr>
          <w:rFonts w:ascii="Times New Roman" w:hAnsi="Times New Roman" w:cs="Times New Roman"/>
          <w:sz w:val="24"/>
          <w:szCs w:val="24"/>
          <w:lang w:eastAsia="lv-LV"/>
        </w:rPr>
        <w:t>Papildus finansējuma piešķiršana  uzlabotu zobārstniecības pakalpojumu pieejamību, kā arī  nodrošinātu plašāku zobārstniecības  materiālu izvēli, kas kļūtu atbilstoša spēkā esošajām zobārstniecības tehnoloģijām. Nepieciešamais papildus finansējums tarifu pārskatīšanai zobārstniecībā – 2 9</w:t>
      </w:r>
      <w:r w:rsidR="00CD3D41" w:rsidRPr="00847710">
        <w:rPr>
          <w:rFonts w:ascii="Times New Roman" w:hAnsi="Times New Roman" w:cs="Times New Roman"/>
          <w:sz w:val="24"/>
          <w:szCs w:val="24"/>
          <w:lang w:eastAsia="lv-LV"/>
        </w:rPr>
        <w:t>68</w:t>
      </w:r>
      <w:r w:rsidRPr="00847710">
        <w:rPr>
          <w:rFonts w:ascii="Times New Roman" w:hAnsi="Times New Roman" w:cs="Times New Roman"/>
          <w:sz w:val="24"/>
          <w:szCs w:val="24"/>
          <w:lang w:eastAsia="lv-LV"/>
        </w:rPr>
        <w:t xml:space="preserve"> </w:t>
      </w:r>
      <w:r w:rsidR="00CD3D41" w:rsidRPr="00847710">
        <w:rPr>
          <w:rFonts w:ascii="Times New Roman" w:hAnsi="Times New Roman" w:cs="Times New Roman"/>
          <w:sz w:val="24"/>
          <w:szCs w:val="24"/>
          <w:lang w:eastAsia="lv-LV"/>
        </w:rPr>
        <w:t>525</w:t>
      </w:r>
      <w:r w:rsidRPr="00847710">
        <w:rPr>
          <w:rFonts w:ascii="Times New Roman" w:hAnsi="Times New Roman" w:cs="Times New Roman"/>
          <w:sz w:val="24"/>
          <w:szCs w:val="24"/>
          <w:lang w:eastAsia="lv-LV"/>
        </w:rPr>
        <w:t xml:space="preserve"> </w:t>
      </w:r>
      <w:r w:rsidR="00964465" w:rsidRPr="00847710">
        <w:rPr>
          <w:rFonts w:ascii="Times New Roman" w:hAnsi="Times New Roman" w:cs="Times New Roman"/>
          <w:sz w:val="24"/>
          <w:szCs w:val="24"/>
          <w:lang w:eastAsia="lv-LV"/>
        </w:rPr>
        <w:t>euro</w:t>
      </w:r>
      <w:r w:rsidRPr="00847710">
        <w:rPr>
          <w:rFonts w:ascii="Times New Roman" w:hAnsi="Times New Roman" w:cs="Times New Roman"/>
          <w:sz w:val="24"/>
          <w:szCs w:val="24"/>
          <w:lang w:eastAsia="lv-LV"/>
        </w:rPr>
        <w:t>.</w:t>
      </w:r>
      <w:r w:rsidR="00745DF2" w:rsidRPr="00847710">
        <w:rPr>
          <w:rFonts w:ascii="Times New Roman" w:hAnsi="Times New Roman" w:cs="Times New Roman"/>
          <w:sz w:val="24"/>
          <w:szCs w:val="24"/>
          <w:lang w:eastAsia="lv-LV"/>
        </w:rPr>
        <w:t xml:space="preserve"> Finansējums plānots </w:t>
      </w:r>
      <w:r w:rsidR="00745DF2" w:rsidRPr="00847710">
        <w:rPr>
          <w:rFonts w:ascii="Times New Roman" w:eastAsia="Times New Roman" w:hAnsi="Times New Roman" w:cs="Times New Roman"/>
          <w:noProof/>
          <w:sz w:val="24"/>
          <w:szCs w:val="24"/>
          <w:lang w:bidi="gu-IN"/>
        </w:rPr>
        <w:t>tarifu pieaugumam, izņemot darba samaksas elementu, kas finansēts no papildus finansējuma piešķīruma nozarei sasitībā ar 1% palielinājumu sociālajām iemaksām. Tarifa pieaugums īstenots manipulācijām no 70001- 70929.</w:t>
      </w:r>
    </w:p>
    <w:p w14:paraId="58F528E3" w14:textId="5D2FA490" w:rsidR="009B6E32" w:rsidRPr="00820900" w:rsidRDefault="00DE3C94">
      <w:pPr>
        <w:ind w:firstLine="720"/>
        <w:jc w:val="right"/>
        <w:rPr>
          <w:rFonts w:ascii="Times New Roman" w:hAnsi="Times New Roman" w:cs="Times New Roman"/>
          <w:i/>
          <w:iCs/>
          <w:sz w:val="24"/>
          <w:szCs w:val="24"/>
        </w:rPr>
      </w:pPr>
      <w:r>
        <w:rPr>
          <w:rFonts w:ascii="Times New Roman" w:hAnsi="Times New Roman" w:cs="Times New Roman"/>
          <w:i/>
          <w:iCs/>
          <w:sz w:val="24"/>
          <w:szCs w:val="24"/>
        </w:rPr>
        <w:t>30</w:t>
      </w:r>
      <w:r w:rsidR="009B6E32" w:rsidRPr="57326167">
        <w:rPr>
          <w:rFonts w:ascii="Times New Roman" w:hAnsi="Times New Roman" w:cs="Times New Roman"/>
          <w:i/>
          <w:iCs/>
          <w:sz w:val="24"/>
          <w:szCs w:val="24"/>
        </w:rPr>
        <w:t xml:space="preserve">.tabula </w:t>
      </w:r>
    </w:p>
    <w:p w14:paraId="502E6362" w14:textId="4E24727D" w:rsidR="009B6E32" w:rsidRPr="00847710" w:rsidRDefault="009B6E32" w:rsidP="009B6E32">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Zobārstniecības tarifa palielinājumam nepieciešamais finansējums</w:t>
      </w: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998"/>
        <w:gridCol w:w="992"/>
        <w:gridCol w:w="1134"/>
        <w:gridCol w:w="1134"/>
        <w:gridCol w:w="1276"/>
        <w:gridCol w:w="1129"/>
        <w:gridCol w:w="1134"/>
        <w:gridCol w:w="1134"/>
        <w:gridCol w:w="1134"/>
      </w:tblGrid>
      <w:tr w:rsidR="007815BC" w:rsidRPr="00847710" w14:paraId="5A752C76" w14:textId="242DC8C5" w:rsidTr="00B26800">
        <w:trPr>
          <w:cantSplit/>
          <w:trHeight w:val="1656"/>
          <w:jc w:val="center"/>
        </w:trPr>
        <w:tc>
          <w:tcPr>
            <w:tcW w:w="1554" w:type="dxa"/>
            <w:shd w:val="clear" w:color="auto" w:fill="E36C0A" w:themeFill="accent6" w:themeFillShade="BF"/>
            <w:vAlign w:val="center"/>
            <w:hideMark/>
          </w:tcPr>
          <w:p w14:paraId="1EA7750E" w14:textId="77777777" w:rsidR="007815BC" w:rsidRPr="00847710" w:rsidRDefault="007815BC" w:rsidP="009B6E32">
            <w:pPr>
              <w:spacing w:after="0" w:line="240" w:lineRule="auto"/>
              <w:rPr>
                <w:rFonts w:ascii="Times New Roman" w:eastAsia="Times New Roman" w:hAnsi="Times New Roman" w:cs="Times New Roman"/>
                <w:b/>
                <w:sz w:val="20"/>
                <w:szCs w:val="20"/>
                <w:lang w:eastAsia="lv-LV"/>
              </w:rPr>
            </w:pPr>
          </w:p>
        </w:tc>
        <w:tc>
          <w:tcPr>
            <w:tcW w:w="1990" w:type="dxa"/>
            <w:gridSpan w:val="2"/>
            <w:shd w:val="clear" w:color="auto" w:fill="E36C0A" w:themeFill="accent6" w:themeFillShade="BF"/>
            <w:textDirection w:val="btLr"/>
            <w:vAlign w:val="center"/>
          </w:tcPr>
          <w:p w14:paraId="206051FE" w14:textId="77777777" w:rsidR="007815BC" w:rsidRPr="00847710" w:rsidRDefault="007815BC" w:rsidP="009B6E32">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2A3630E7" w14:textId="77777777" w:rsidR="007815BC" w:rsidRPr="00847710" w:rsidRDefault="007815BC" w:rsidP="009B6E32">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6AFBF872" w14:textId="77777777" w:rsidR="007815BC" w:rsidRPr="00847710" w:rsidRDefault="007815BC" w:rsidP="009B6E32">
            <w:pPr>
              <w:spacing w:after="0" w:line="240" w:lineRule="auto"/>
              <w:ind w:left="113" w:right="113"/>
              <w:jc w:val="center"/>
              <w:rPr>
                <w:rFonts w:ascii="Times New Roman" w:eastAsia="Times New Roman" w:hAnsi="Times New Roman" w:cs="Times New Roman"/>
                <w:b/>
                <w:bCs/>
                <w:sz w:val="20"/>
                <w:szCs w:val="20"/>
                <w:lang w:eastAsia="lv-LV"/>
              </w:rPr>
            </w:pPr>
          </w:p>
        </w:tc>
        <w:tc>
          <w:tcPr>
            <w:tcW w:w="2268" w:type="dxa"/>
            <w:gridSpan w:val="2"/>
            <w:shd w:val="clear" w:color="auto" w:fill="E36C0A" w:themeFill="accent6" w:themeFillShade="BF"/>
            <w:textDirection w:val="btLr"/>
            <w:vAlign w:val="center"/>
            <w:hideMark/>
          </w:tcPr>
          <w:p w14:paraId="7AE1C1DC" w14:textId="77777777" w:rsidR="007815BC" w:rsidRPr="00847710" w:rsidRDefault="007815BC" w:rsidP="009B6E32">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2405" w:type="dxa"/>
            <w:gridSpan w:val="2"/>
            <w:shd w:val="clear" w:color="auto" w:fill="E36C0A" w:themeFill="accent6" w:themeFillShade="BF"/>
            <w:textDirection w:val="btLr"/>
            <w:vAlign w:val="center"/>
            <w:hideMark/>
          </w:tcPr>
          <w:p w14:paraId="615071FB" w14:textId="595D76EC" w:rsidR="007815BC" w:rsidRPr="00847710" w:rsidRDefault="007815BC" w:rsidP="009B6E32">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3402" w:type="dxa"/>
            <w:gridSpan w:val="3"/>
            <w:shd w:val="clear" w:color="auto" w:fill="E36C0A" w:themeFill="accent6" w:themeFillShade="BF"/>
            <w:textDirection w:val="btLr"/>
            <w:vAlign w:val="center"/>
          </w:tcPr>
          <w:p w14:paraId="0B7BEB76" w14:textId="15537FA8" w:rsidR="007815BC" w:rsidRPr="00847710" w:rsidRDefault="007815BC" w:rsidP="009B6E32">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manipulāciju skaits </w:t>
            </w:r>
          </w:p>
        </w:tc>
      </w:tr>
      <w:tr w:rsidR="007815BC" w:rsidRPr="00847710" w14:paraId="4C83827C" w14:textId="2C04C2B1" w:rsidTr="00B26800">
        <w:trPr>
          <w:trHeight w:val="640"/>
          <w:jc w:val="center"/>
        </w:trPr>
        <w:tc>
          <w:tcPr>
            <w:tcW w:w="1554" w:type="dxa"/>
            <w:shd w:val="clear" w:color="auto" w:fill="E36C0A" w:themeFill="accent6" w:themeFillShade="BF"/>
            <w:vAlign w:val="center"/>
          </w:tcPr>
          <w:p w14:paraId="5C37A2E7" w14:textId="77777777" w:rsidR="007815BC" w:rsidRPr="00847710" w:rsidRDefault="007815BC" w:rsidP="00AF697D">
            <w:pPr>
              <w:spacing w:after="0" w:line="240" w:lineRule="auto"/>
              <w:jc w:val="center"/>
              <w:rPr>
                <w:rFonts w:ascii="Times New Roman" w:eastAsia="Times New Roman" w:hAnsi="Times New Roman" w:cs="Times New Roman"/>
                <w:b/>
                <w:sz w:val="20"/>
                <w:szCs w:val="20"/>
                <w:lang w:eastAsia="lv-LV"/>
              </w:rPr>
            </w:pPr>
          </w:p>
        </w:tc>
        <w:tc>
          <w:tcPr>
            <w:tcW w:w="998" w:type="dxa"/>
            <w:shd w:val="clear" w:color="auto" w:fill="E36C0A" w:themeFill="accent6" w:themeFillShade="BF"/>
            <w:vAlign w:val="center"/>
          </w:tcPr>
          <w:p w14:paraId="5656DCE5" w14:textId="77777777" w:rsidR="007815BC" w:rsidRPr="00847710" w:rsidRDefault="007815BC" w:rsidP="00AF697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14:paraId="7799F51C" w14:textId="5D650E7D" w:rsidR="007815BC" w:rsidRPr="00847710" w:rsidRDefault="007815BC" w:rsidP="00AF697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shd w:val="clear" w:color="auto" w:fill="E36C0A" w:themeFill="accent6" w:themeFillShade="BF"/>
            <w:vAlign w:val="center"/>
          </w:tcPr>
          <w:p w14:paraId="08E9AE53" w14:textId="77777777" w:rsidR="007815BC" w:rsidRPr="00847710" w:rsidRDefault="007815BC" w:rsidP="00AF697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14:paraId="685D3C4A" w14:textId="07D162A0" w:rsidR="007815BC" w:rsidRPr="00847710" w:rsidRDefault="007815BC" w:rsidP="00AF697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E36C0A" w:themeFill="accent6" w:themeFillShade="BF"/>
            <w:vAlign w:val="center"/>
          </w:tcPr>
          <w:p w14:paraId="11417CDA" w14:textId="77777777" w:rsidR="007815BC" w:rsidRPr="00847710" w:rsidRDefault="007815BC" w:rsidP="00AF697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14:paraId="185F832D" w14:textId="77777777" w:rsidR="007815BC" w:rsidRPr="00847710" w:rsidRDefault="007815BC" w:rsidP="00AF697D">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E36C0A" w:themeFill="accent6" w:themeFillShade="BF"/>
            <w:vAlign w:val="center"/>
          </w:tcPr>
          <w:p w14:paraId="23380FDE" w14:textId="77777777" w:rsidR="007815BC" w:rsidRPr="00847710" w:rsidRDefault="007815BC" w:rsidP="00AF697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14:paraId="38C58C2B" w14:textId="77777777" w:rsidR="007815BC" w:rsidRPr="00847710" w:rsidRDefault="007815BC" w:rsidP="00AF697D">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76" w:type="dxa"/>
            <w:shd w:val="clear" w:color="auto" w:fill="E36C0A" w:themeFill="accent6" w:themeFillShade="BF"/>
            <w:vAlign w:val="center"/>
          </w:tcPr>
          <w:p w14:paraId="5F577E35" w14:textId="443BCD97" w:rsidR="007815BC" w:rsidRPr="00847710" w:rsidRDefault="007815BC" w:rsidP="00AF697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8</w:t>
            </w:r>
          </w:p>
          <w:p w14:paraId="2D18B2C8" w14:textId="6AEF33C0" w:rsidR="007815BC" w:rsidRPr="00820900" w:rsidRDefault="007815BC" w:rsidP="00AF697D">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129" w:type="dxa"/>
            <w:shd w:val="clear" w:color="auto" w:fill="E36C0A" w:themeFill="accent6" w:themeFillShade="BF"/>
            <w:vAlign w:val="center"/>
          </w:tcPr>
          <w:p w14:paraId="1AEDDB9B" w14:textId="77777777" w:rsidR="007815BC" w:rsidRPr="00847710" w:rsidRDefault="007815BC" w:rsidP="00AF697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14E7A8C0" w14:textId="320E991C" w:rsidR="007815BC" w:rsidRPr="00847710" w:rsidRDefault="007815BC" w:rsidP="00AF697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E36C0A" w:themeFill="accent6" w:themeFillShade="BF"/>
            <w:vAlign w:val="center"/>
          </w:tcPr>
          <w:p w14:paraId="278F7CA6" w14:textId="663185D2" w:rsidR="007815BC" w:rsidRPr="00847710" w:rsidRDefault="007815BC" w:rsidP="00AF697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134" w:type="dxa"/>
            <w:shd w:val="clear" w:color="auto" w:fill="E36C0A" w:themeFill="accent6" w:themeFillShade="BF"/>
            <w:vAlign w:val="center"/>
          </w:tcPr>
          <w:p w14:paraId="46ADA58D" w14:textId="77777777" w:rsidR="007815BC" w:rsidRPr="00847710" w:rsidRDefault="007815BC" w:rsidP="00AF697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134" w:type="dxa"/>
            <w:shd w:val="clear" w:color="auto" w:fill="E36C0A" w:themeFill="accent6" w:themeFillShade="BF"/>
            <w:vAlign w:val="center"/>
          </w:tcPr>
          <w:p w14:paraId="4DADDC50" w14:textId="4ABBB505" w:rsidR="007815BC" w:rsidRPr="00847710" w:rsidRDefault="007815BC" w:rsidP="007815B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r>
      <w:tr w:rsidR="007815BC" w:rsidRPr="00847710" w14:paraId="046B874D" w14:textId="21E9C500" w:rsidTr="00B26800">
        <w:trPr>
          <w:trHeight w:val="525"/>
          <w:jc w:val="center"/>
        </w:trPr>
        <w:tc>
          <w:tcPr>
            <w:tcW w:w="15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31BA1E" w14:textId="6D9B4AE5" w:rsidR="007815BC" w:rsidRPr="00847710" w:rsidRDefault="007815BC" w:rsidP="00AF697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Zobārstniecība bērniem</w:t>
            </w:r>
          </w:p>
        </w:tc>
        <w:tc>
          <w:tcPr>
            <w:tcW w:w="998" w:type="dxa"/>
            <w:tcBorders>
              <w:top w:val="single" w:sz="4" w:space="0" w:color="auto"/>
              <w:left w:val="single" w:sz="4" w:space="0" w:color="auto"/>
              <w:bottom w:val="single" w:sz="4" w:space="0" w:color="auto"/>
              <w:right w:val="single" w:sz="4" w:space="0" w:color="auto"/>
            </w:tcBorders>
            <w:vAlign w:val="bottom"/>
          </w:tcPr>
          <w:p w14:paraId="0D50BBFC" w14:textId="5ECD9529" w:rsidR="007815BC" w:rsidRPr="00847710" w:rsidRDefault="007815BC" w:rsidP="00AF697D">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3.90</w:t>
            </w:r>
          </w:p>
        </w:tc>
        <w:tc>
          <w:tcPr>
            <w:tcW w:w="992" w:type="dxa"/>
            <w:tcBorders>
              <w:top w:val="single" w:sz="4" w:space="0" w:color="auto"/>
              <w:left w:val="single" w:sz="4" w:space="0" w:color="auto"/>
              <w:bottom w:val="single" w:sz="4" w:space="0" w:color="auto"/>
              <w:right w:val="single" w:sz="4" w:space="0" w:color="auto"/>
            </w:tcBorders>
            <w:vAlign w:val="bottom"/>
          </w:tcPr>
          <w:p w14:paraId="6D485862" w14:textId="37831B7E" w:rsidR="007815BC" w:rsidRPr="00847710" w:rsidRDefault="007815BC" w:rsidP="00AF697D">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5.30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1E0F4" w14:textId="37B0E492" w:rsidR="007815BC" w:rsidRPr="00847710" w:rsidRDefault="007815BC" w:rsidP="00AF697D">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8 269 463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FEEAC" w14:textId="56F398D7" w:rsidR="007815BC" w:rsidRPr="00847710" w:rsidRDefault="007815BC" w:rsidP="00AF697D">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11 237 988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4040B" w14:textId="26DA7243" w:rsidR="007815BC" w:rsidRPr="00847710" w:rsidRDefault="007815BC" w:rsidP="00AF697D">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2 968 525</w:t>
            </w:r>
          </w:p>
        </w:tc>
        <w:tc>
          <w:tcPr>
            <w:tcW w:w="1129" w:type="dxa"/>
            <w:tcBorders>
              <w:top w:val="single" w:sz="4" w:space="0" w:color="auto"/>
              <w:left w:val="single" w:sz="4" w:space="0" w:color="auto"/>
              <w:bottom w:val="single" w:sz="4" w:space="0" w:color="auto"/>
              <w:right w:val="single" w:sz="4" w:space="0" w:color="auto"/>
            </w:tcBorders>
            <w:vAlign w:val="bottom"/>
          </w:tcPr>
          <w:p w14:paraId="6C630495" w14:textId="57C5D9E1" w:rsidR="007815BC" w:rsidRPr="00B26800" w:rsidRDefault="00B26800" w:rsidP="00B26800">
            <w:pPr>
              <w:spacing w:after="0" w:line="240" w:lineRule="auto"/>
              <w:jc w:val="center"/>
              <w:rPr>
                <w:rFonts w:ascii="Times New Roman" w:hAnsi="Times New Roman" w:cs="Times New Roman"/>
                <w:sz w:val="20"/>
                <w:szCs w:val="20"/>
              </w:rPr>
            </w:pPr>
            <w:r w:rsidRPr="00B26800">
              <w:rPr>
                <w:rFonts w:ascii="Times New Roman" w:hAnsi="Times New Roman" w:cs="Times New Roman"/>
                <w:sz w:val="20"/>
                <w:szCs w:val="20"/>
              </w:rPr>
              <w:t>4 495 195</w:t>
            </w:r>
          </w:p>
        </w:tc>
        <w:tc>
          <w:tcPr>
            <w:tcW w:w="1134" w:type="dxa"/>
            <w:tcBorders>
              <w:top w:val="single" w:sz="4" w:space="0" w:color="auto"/>
              <w:left w:val="single" w:sz="4" w:space="0" w:color="auto"/>
              <w:bottom w:val="single" w:sz="4" w:space="0" w:color="auto"/>
              <w:right w:val="single" w:sz="4" w:space="0" w:color="auto"/>
            </w:tcBorders>
            <w:vAlign w:val="bottom"/>
          </w:tcPr>
          <w:p w14:paraId="788BDF60" w14:textId="164190F7" w:rsidR="007815BC" w:rsidRPr="00B26800" w:rsidRDefault="007815BC" w:rsidP="00B26800">
            <w:pPr>
              <w:spacing w:after="0" w:line="240" w:lineRule="auto"/>
              <w:jc w:val="center"/>
              <w:rPr>
                <w:rFonts w:ascii="Times New Roman" w:hAnsi="Times New Roman" w:cs="Times New Roman"/>
                <w:color w:val="FF0000"/>
                <w:sz w:val="20"/>
                <w:szCs w:val="20"/>
              </w:rPr>
            </w:pPr>
            <w:r w:rsidRPr="00B26800">
              <w:rPr>
                <w:rFonts w:ascii="Times New Roman" w:hAnsi="Times New Roman" w:cs="Times New Roman"/>
                <w:color w:val="FF0000"/>
                <w:sz w:val="20"/>
                <w:szCs w:val="20"/>
              </w:rPr>
              <w:t>2 120 375</w:t>
            </w:r>
          </w:p>
        </w:tc>
        <w:tc>
          <w:tcPr>
            <w:tcW w:w="1134" w:type="dxa"/>
            <w:tcBorders>
              <w:top w:val="single" w:sz="4" w:space="0" w:color="auto"/>
              <w:left w:val="single" w:sz="4" w:space="0" w:color="auto"/>
              <w:bottom w:val="single" w:sz="4" w:space="0" w:color="auto"/>
              <w:right w:val="single" w:sz="4" w:space="0" w:color="auto"/>
            </w:tcBorders>
            <w:vAlign w:val="bottom"/>
          </w:tcPr>
          <w:p w14:paraId="29056DB9" w14:textId="12CE0976" w:rsidR="007815BC" w:rsidRPr="00B26800" w:rsidRDefault="007815BC" w:rsidP="00B26800">
            <w:pPr>
              <w:spacing w:after="0" w:line="240" w:lineRule="auto"/>
              <w:jc w:val="center"/>
              <w:rPr>
                <w:rFonts w:ascii="Times New Roman" w:hAnsi="Times New Roman" w:cs="Times New Roman"/>
                <w:color w:val="FF0000"/>
                <w:sz w:val="20"/>
                <w:szCs w:val="20"/>
              </w:rPr>
            </w:pPr>
            <w:r w:rsidRPr="00B26800">
              <w:rPr>
                <w:rFonts w:ascii="Times New Roman" w:hAnsi="Times New Roman" w:cs="Times New Roman"/>
                <w:color w:val="FF0000"/>
                <w:sz w:val="20"/>
                <w:szCs w:val="20"/>
              </w:rPr>
              <w:t>2 120 375</w:t>
            </w:r>
          </w:p>
        </w:tc>
        <w:tc>
          <w:tcPr>
            <w:tcW w:w="1134" w:type="dxa"/>
            <w:tcBorders>
              <w:top w:val="single" w:sz="4" w:space="0" w:color="auto"/>
              <w:left w:val="single" w:sz="4" w:space="0" w:color="auto"/>
              <w:bottom w:val="single" w:sz="4" w:space="0" w:color="auto"/>
              <w:right w:val="single" w:sz="4" w:space="0" w:color="auto"/>
            </w:tcBorders>
            <w:vAlign w:val="bottom"/>
          </w:tcPr>
          <w:p w14:paraId="203765F9" w14:textId="4588632D" w:rsidR="007815BC" w:rsidRPr="00B26800" w:rsidRDefault="00B26800" w:rsidP="00B26800">
            <w:pPr>
              <w:spacing w:after="0" w:line="240" w:lineRule="auto"/>
              <w:jc w:val="center"/>
              <w:rPr>
                <w:rFonts w:ascii="Times New Roman" w:hAnsi="Times New Roman" w:cs="Times New Roman"/>
                <w:color w:val="FF0000"/>
                <w:sz w:val="20"/>
                <w:szCs w:val="20"/>
              </w:rPr>
            </w:pPr>
            <w:r w:rsidRPr="00B26800">
              <w:rPr>
                <w:rFonts w:ascii="Times New Roman" w:hAnsi="Times New Roman" w:cs="Times New Roman"/>
                <w:color w:val="FF0000"/>
                <w:sz w:val="20"/>
                <w:szCs w:val="20"/>
              </w:rPr>
              <w:t>2 968 525</w:t>
            </w:r>
          </w:p>
        </w:tc>
      </w:tr>
      <w:tr w:rsidR="007815BC" w:rsidRPr="00847710" w14:paraId="1A4A87E9" w14:textId="084FB430" w:rsidTr="00B26800">
        <w:trPr>
          <w:trHeight w:val="189"/>
          <w:jc w:val="center"/>
        </w:trPr>
        <w:tc>
          <w:tcPr>
            <w:tcW w:w="1554" w:type="dxa"/>
            <w:shd w:val="clear" w:color="auto" w:fill="FBD4B4" w:themeFill="accent6" w:themeFillTint="66"/>
            <w:noWrap/>
            <w:vAlign w:val="bottom"/>
            <w:hideMark/>
          </w:tcPr>
          <w:p w14:paraId="2C323891" w14:textId="77777777" w:rsidR="007815BC" w:rsidRPr="00820900" w:rsidRDefault="007815BC" w:rsidP="00AF697D">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998" w:type="dxa"/>
            <w:shd w:val="clear" w:color="auto" w:fill="FBD4B4" w:themeFill="accent6" w:themeFillTint="66"/>
            <w:vAlign w:val="bottom"/>
          </w:tcPr>
          <w:p w14:paraId="6D69CD7B" w14:textId="5E80A304" w:rsidR="007815BC" w:rsidRPr="00820900" w:rsidRDefault="007815BC" w:rsidP="00AF697D">
            <w:pPr>
              <w:spacing w:after="0" w:line="240" w:lineRule="auto"/>
              <w:jc w:val="center"/>
              <w:rPr>
                <w:rFonts w:ascii="Times New Roman" w:hAnsi="Times New Roman" w:cs="Times New Roman"/>
                <w:b/>
                <w:bCs/>
                <w:sz w:val="20"/>
                <w:szCs w:val="20"/>
              </w:rPr>
            </w:pPr>
            <w:r w:rsidRPr="0012317D">
              <w:rPr>
                <w:rFonts w:ascii="Times New Roman" w:hAnsi="Times New Roman" w:cs="Times New Roman"/>
                <w:b/>
                <w:bCs/>
                <w:sz w:val="20"/>
                <w:szCs w:val="20"/>
              </w:rPr>
              <w:t>3.90</w:t>
            </w:r>
          </w:p>
        </w:tc>
        <w:tc>
          <w:tcPr>
            <w:tcW w:w="992" w:type="dxa"/>
            <w:shd w:val="clear" w:color="auto" w:fill="FBD4B4" w:themeFill="accent6" w:themeFillTint="66"/>
            <w:vAlign w:val="bottom"/>
          </w:tcPr>
          <w:p w14:paraId="0EFCE4D1" w14:textId="430CD2BB" w:rsidR="007815BC" w:rsidRPr="00820900" w:rsidRDefault="007815BC" w:rsidP="00AF697D">
            <w:pPr>
              <w:spacing w:after="0" w:line="240" w:lineRule="auto"/>
              <w:jc w:val="center"/>
              <w:rPr>
                <w:rFonts w:ascii="Times New Roman" w:hAnsi="Times New Roman" w:cs="Times New Roman"/>
                <w:b/>
                <w:bCs/>
                <w:sz w:val="20"/>
                <w:szCs w:val="20"/>
              </w:rPr>
            </w:pPr>
            <w:r w:rsidRPr="0012317D">
              <w:rPr>
                <w:rFonts w:ascii="Times New Roman" w:hAnsi="Times New Roman" w:cs="Times New Roman"/>
                <w:b/>
                <w:bCs/>
                <w:sz w:val="20"/>
                <w:szCs w:val="20"/>
              </w:rPr>
              <w:t>5.30</w:t>
            </w:r>
          </w:p>
        </w:tc>
        <w:tc>
          <w:tcPr>
            <w:tcW w:w="1134" w:type="dxa"/>
            <w:shd w:val="clear" w:color="auto" w:fill="FBD4B4" w:themeFill="accent6" w:themeFillTint="66"/>
            <w:noWrap/>
            <w:vAlign w:val="bottom"/>
            <w:hideMark/>
          </w:tcPr>
          <w:p w14:paraId="2349A559" w14:textId="4F94E992" w:rsidR="007815BC" w:rsidRPr="00820900" w:rsidRDefault="007815BC" w:rsidP="00AF697D">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hAnsi="Times New Roman" w:cs="Times New Roman"/>
                <w:b/>
                <w:bCs/>
                <w:sz w:val="20"/>
                <w:szCs w:val="20"/>
              </w:rPr>
              <w:t>8 269 463</w:t>
            </w:r>
          </w:p>
        </w:tc>
        <w:tc>
          <w:tcPr>
            <w:tcW w:w="1134" w:type="dxa"/>
            <w:shd w:val="clear" w:color="auto" w:fill="FBD4B4" w:themeFill="accent6" w:themeFillTint="66"/>
            <w:noWrap/>
            <w:vAlign w:val="bottom"/>
            <w:hideMark/>
          </w:tcPr>
          <w:p w14:paraId="5B5912DC" w14:textId="62550107" w:rsidR="007815BC" w:rsidRPr="00820900" w:rsidRDefault="007815BC" w:rsidP="00AF697D">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hAnsi="Times New Roman" w:cs="Times New Roman"/>
                <w:b/>
                <w:bCs/>
                <w:sz w:val="20"/>
                <w:szCs w:val="20"/>
              </w:rPr>
              <w:t>11 237 988</w:t>
            </w:r>
          </w:p>
        </w:tc>
        <w:tc>
          <w:tcPr>
            <w:tcW w:w="1276" w:type="dxa"/>
            <w:shd w:val="clear" w:color="auto" w:fill="FBD4B4" w:themeFill="accent6" w:themeFillTint="66"/>
            <w:noWrap/>
            <w:vAlign w:val="bottom"/>
            <w:hideMark/>
          </w:tcPr>
          <w:p w14:paraId="03355F5D" w14:textId="28BCE801" w:rsidR="007815BC" w:rsidRPr="00820900" w:rsidRDefault="007815BC" w:rsidP="00AF697D">
            <w:pPr>
              <w:spacing w:after="0" w:line="240" w:lineRule="auto"/>
              <w:jc w:val="center"/>
              <w:rPr>
                <w:rFonts w:ascii="Times New Roman" w:hAnsi="Times New Roman" w:cs="Times New Roman"/>
                <w:b/>
                <w:bCs/>
                <w:sz w:val="20"/>
                <w:szCs w:val="20"/>
              </w:rPr>
            </w:pPr>
            <w:r w:rsidRPr="0012317D">
              <w:rPr>
                <w:rFonts w:ascii="Times New Roman" w:hAnsi="Times New Roman" w:cs="Times New Roman"/>
                <w:b/>
                <w:bCs/>
                <w:sz w:val="20"/>
                <w:szCs w:val="20"/>
              </w:rPr>
              <w:t>2 968 525</w:t>
            </w:r>
          </w:p>
        </w:tc>
        <w:tc>
          <w:tcPr>
            <w:tcW w:w="1129" w:type="dxa"/>
            <w:shd w:val="clear" w:color="auto" w:fill="FBD4B4" w:themeFill="accent6" w:themeFillTint="66"/>
            <w:vAlign w:val="bottom"/>
          </w:tcPr>
          <w:p w14:paraId="61D1DC63" w14:textId="1F690797" w:rsidR="007815BC" w:rsidRPr="00B26800" w:rsidRDefault="00B26800" w:rsidP="00B26800">
            <w:pPr>
              <w:spacing w:after="0" w:line="240" w:lineRule="auto"/>
              <w:jc w:val="center"/>
              <w:rPr>
                <w:rFonts w:ascii="Times New Roman" w:hAnsi="Times New Roman" w:cs="Times New Roman"/>
                <w:b/>
                <w:sz w:val="20"/>
                <w:szCs w:val="20"/>
              </w:rPr>
            </w:pPr>
            <w:r w:rsidRPr="00B26800">
              <w:rPr>
                <w:rFonts w:ascii="Times New Roman" w:hAnsi="Times New Roman" w:cs="Times New Roman"/>
                <w:b/>
                <w:sz w:val="20"/>
                <w:szCs w:val="20"/>
              </w:rPr>
              <w:t>4 495 195</w:t>
            </w:r>
          </w:p>
        </w:tc>
        <w:tc>
          <w:tcPr>
            <w:tcW w:w="1134" w:type="dxa"/>
            <w:shd w:val="clear" w:color="auto" w:fill="FBD4B4" w:themeFill="accent6" w:themeFillTint="66"/>
            <w:vAlign w:val="bottom"/>
          </w:tcPr>
          <w:p w14:paraId="3198134E" w14:textId="2DB3B274" w:rsidR="007815BC" w:rsidRPr="00B26800" w:rsidRDefault="007815BC" w:rsidP="00B26800">
            <w:pPr>
              <w:spacing w:after="0" w:line="240" w:lineRule="auto"/>
              <w:jc w:val="center"/>
              <w:rPr>
                <w:rFonts w:ascii="Times New Roman" w:hAnsi="Times New Roman" w:cs="Times New Roman"/>
                <w:b/>
                <w:color w:val="FF0000"/>
                <w:sz w:val="20"/>
                <w:szCs w:val="20"/>
              </w:rPr>
            </w:pPr>
            <w:r w:rsidRPr="00B26800">
              <w:rPr>
                <w:rFonts w:ascii="Times New Roman" w:hAnsi="Times New Roman" w:cs="Times New Roman"/>
                <w:b/>
                <w:color w:val="FF0000"/>
                <w:sz w:val="20"/>
                <w:szCs w:val="20"/>
              </w:rPr>
              <w:t>2 120 375</w:t>
            </w:r>
          </w:p>
        </w:tc>
        <w:tc>
          <w:tcPr>
            <w:tcW w:w="1134" w:type="dxa"/>
            <w:shd w:val="clear" w:color="auto" w:fill="FBD4B4" w:themeFill="accent6" w:themeFillTint="66"/>
            <w:vAlign w:val="bottom"/>
          </w:tcPr>
          <w:p w14:paraId="32296ABC" w14:textId="75EFB54E" w:rsidR="007815BC" w:rsidRPr="00B26800" w:rsidRDefault="007815BC" w:rsidP="00B26800">
            <w:pPr>
              <w:spacing w:after="0" w:line="240" w:lineRule="auto"/>
              <w:jc w:val="center"/>
              <w:rPr>
                <w:rFonts w:ascii="Times New Roman" w:hAnsi="Times New Roman" w:cs="Times New Roman"/>
                <w:b/>
                <w:color w:val="FF0000"/>
                <w:sz w:val="20"/>
                <w:szCs w:val="20"/>
              </w:rPr>
            </w:pPr>
            <w:r w:rsidRPr="00B26800">
              <w:rPr>
                <w:rFonts w:ascii="Times New Roman" w:hAnsi="Times New Roman" w:cs="Times New Roman"/>
                <w:b/>
                <w:color w:val="FF0000"/>
                <w:sz w:val="20"/>
                <w:szCs w:val="20"/>
              </w:rPr>
              <w:t>2 120 375</w:t>
            </w:r>
          </w:p>
        </w:tc>
        <w:tc>
          <w:tcPr>
            <w:tcW w:w="1134" w:type="dxa"/>
            <w:shd w:val="clear" w:color="auto" w:fill="FBD4B4" w:themeFill="accent6" w:themeFillTint="66"/>
            <w:vAlign w:val="bottom"/>
          </w:tcPr>
          <w:p w14:paraId="74C047C9" w14:textId="6A76379D" w:rsidR="007815BC" w:rsidRPr="00B26800" w:rsidRDefault="00B26800" w:rsidP="00B26800">
            <w:pPr>
              <w:spacing w:after="0" w:line="240" w:lineRule="auto"/>
              <w:jc w:val="center"/>
              <w:rPr>
                <w:rFonts w:ascii="Times New Roman" w:hAnsi="Times New Roman" w:cs="Times New Roman"/>
                <w:b/>
                <w:color w:val="FF0000"/>
                <w:sz w:val="20"/>
                <w:szCs w:val="20"/>
              </w:rPr>
            </w:pPr>
            <w:r w:rsidRPr="00B26800">
              <w:rPr>
                <w:rFonts w:ascii="Times New Roman" w:hAnsi="Times New Roman" w:cs="Times New Roman"/>
                <w:b/>
                <w:color w:val="FF0000"/>
                <w:sz w:val="20"/>
                <w:szCs w:val="20"/>
              </w:rPr>
              <w:t>2 968 525</w:t>
            </w:r>
          </w:p>
        </w:tc>
      </w:tr>
    </w:tbl>
    <w:p w14:paraId="350B2F06" w14:textId="77777777" w:rsidR="00812C9E" w:rsidRPr="00847710" w:rsidRDefault="00812C9E" w:rsidP="007E76D9">
      <w:pPr>
        <w:ind w:firstLine="720"/>
        <w:jc w:val="both"/>
        <w:rPr>
          <w:rFonts w:ascii="Times New Roman" w:hAnsi="Times New Roman" w:cs="Times New Roman"/>
          <w:sz w:val="24"/>
          <w:szCs w:val="24"/>
          <w:lang w:eastAsia="lv-LV"/>
        </w:rPr>
      </w:pPr>
    </w:p>
    <w:p w14:paraId="6F7043AB" w14:textId="387B27E1" w:rsidR="00EB4483" w:rsidRPr="00847710" w:rsidRDefault="00964465" w:rsidP="003C73B6">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Papildus jāuzsver, ka </w:t>
      </w:r>
      <w:r w:rsidR="006E3AF1" w:rsidRPr="00847710">
        <w:rPr>
          <w:rFonts w:ascii="Times New Roman" w:hAnsi="Times New Roman" w:cs="Times New Roman"/>
          <w:sz w:val="24"/>
          <w:szCs w:val="24"/>
          <w:lang w:eastAsia="lv-LV"/>
        </w:rPr>
        <w:t>2017.gada 17.maijā stājās spēkā Eiropas Parlamenta un Padomes Regula (ES) 2017/852 par dzīvsudrabu un ar ko atceļ Regulu (EK) Nr.1102/2008 (turpmāk - Regula), kuras 10.panta 1.punkts nosaka no 2019.gada 1.janvāra izmantot tikai iepriekš sagatavotās devās kapsulētu zobārstniecības amalgamu. Zobārstiem ir aizliegts izmantot dzīvsudrabu brīvā veidā. Savukārt no 2018.gada 1.jūlija zobārstniecības amalgamu ne</w:t>
      </w:r>
      <w:r w:rsidRPr="00847710">
        <w:rPr>
          <w:rFonts w:ascii="Times New Roman" w:hAnsi="Times New Roman" w:cs="Times New Roman"/>
          <w:sz w:val="24"/>
          <w:szCs w:val="24"/>
          <w:lang w:eastAsia="lv-LV"/>
        </w:rPr>
        <w:t xml:space="preserve">drīkst </w:t>
      </w:r>
      <w:r w:rsidR="006E3AF1" w:rsidRPr="00847710">
        <w:rPr>
          <w:rFonts w:ascii="Times New Roman" w:hAnsi="Times New Roman" w:cs="Times New Roman"/>
          <w:sz w:val="24"/>
          <w:szCs w:val="24"/>
          <w:lang w:eastAsia="lv-LV"/>
        </w:rPr>
        <w:t>izmantot piena zobu ārstēšanai bērniem vecumā līdz 15 gadiem un grūtniecēm vai sievietēm, k</w:t>
      </w:r>
      <w:r w:rsidRPr="00847710">
        <w:rPr>
          <w:rFonts w:ascii="Times New Roman" w:hAnsi="Times New Roman" w:cs="Times New Roman"/>
          <w:sz w:val="24"/>
          <w:szCs w:val="24"/>
          <w:lang w:eastAsia="lv-LV"/>
        </w:rPr>
        <w:t>ur</w:t>
      </w:r>
      <w:r w:rsidR="006E3AF1" w:rsidRPr="00847710">
        <w:rPr>
          <w:rFonts w:ascii="Times New Roman" w:hAnsi="Times New Roman" w:cs="Times New Roman"/>
          <w:sz w:val="24"/>
          <w:szCs w:val="24"/>
          <w:lang w:eastAsia="lv-LV"/>
        </w:rPr>
        <w:t xml:space="preserve">as baro </w:t>
      </w:r>
      <w:r w:rsidRPr="00847710">
        <w:rPr>
          <w:rFonts w:ascii="Times New Roman" w:hAnsi="Times New Roman" w:cs="Times New Roman"/>
          <w:sz w:val="24"/>
          <w:szCs w:val="24"/>
          <w:lang w:eastAsia="lv-LV"/>
        </w:rPr>
        <w:t xml:space="preserve">bērnu </w:t>
      </w:r>
      <w:r w:rsidR="006E3AF1" w:rsidRPr="00847710">
        <w:rPr>
          <w:rFonts w:ascii="Times New Roman" w:hAnsi="Times New Roman" w:cs="Times New Roman"/>
          <w:sz w:val="24"/>
          <w:szCs w:val="24"/>
          <w:lang w:eastAsia="lv-LV"/>
        </w:rPr>
        <w:t>ar krūti. Tas nozīmē valsts zobārstniecības pakalpojumu nodrošināšanā ieviest kompozīta materiāla plombes zobu ārstēšanai bērniem vecumā līdz 15 gadiem, ka</w:t>
      </w:r>
      <w:r w:rsidRPr="00847710">
        <w:rPr>
          <w:rFonts w:ascii="Times New Roman" w:hAnsi="Times New Roman" w:cs="Times New Roman"/>
          <w:sz w:val="24"/>
          <w:szCs w:val="24"/>
          <w:lang w:eastAsia="lv-LV"/>
        </w:rPr>
        <w:t>m arī nepieciešami</w:t>
      </w:r>
      <w:r w:rsidR="006E3AF1" w:rsidRPr="00847710">
        <w:rPr>
          <w:rFonts w:ascii="Times New Roman" w:hAnsi="Times New Roman" w:cs="Times New Roman"/>
          <w:sz w:val="24"/>
          <w:szCs w:val="24"/>
          <w:lang w:eastAsia="lv-LV"/>
        </w:rPr>
        <w:t xml:space="preserve"> papildus finanšu līdzekļus no veselības aprūpes budžeta. Nepieciešamais finansējums, lai izmantotu kompozīta materiāla plomb</w:t>
      </w:r>
      <w:r w:rsidR="0015331A" w:rsidRPr="00847710">
        <w:rPr>
          <w:rFonts w:ascii="Times New Roman" w:hAnsi="Times New Roman" w:cs="Times New Roman"/>
          <w:sz w:val="24"/>
          <w:szCs w:val="24"/>
          <w:lang w:eastAsia="lv-LV"/>
        </w:rPr>
        <w:t>es</w:t>
      </w:r>
      <w:r w:rsidRPr="00847710">
        <w:rPr>
          <w:rFonts w:ascii="Times New Roman" w:hAnsi="Times New Roman" w:cs="Times New Roman"/>
          <w:sz w:val="24"/>
          <w:szCs w:val="24"/>
          <w:lang w:eastAsia="lv-LV"/>
        </w:rPr>
        <w:t xml:space="preserve"> </w:t>
      </w:r>
      <w:r w:rsidR="006E3AF1" w:rsidRPr="00847710">
        <w:rPr>
          <w:rFonts w:ascii="Times New Roman" w:hAnsi="Times New Roman" w:cs="Times New Roman"/>
          <w:sz w:val="24"/>
          <w:szCs w:val="24"/>
          <w:lang w:eastAsia="lv-LV"/>
        </w:rPr>
        <w:t>zobu ārstēšanai bērniem līdz 1</w:t>
      </w:r>
      <w:r w:rsidRPr="00847710">
        <w:rPr>
          <w:rFonts w:ascii="Times New Roman" w:hAnsi="Times New Roman" w:cs="Times New Roman"/>
          <w:sz w:val="24"/>
          <w:szCs w:val="24"/>
          <w:lang w:eastAsia="lv-LV"/>
        </w:rPr>
        <w:t>5</w:t>
      </w:r>
      <w:r w:rsidR="006E3AF1" w:rsidRPr="00847710">
        <w:rPr>
          <w:rFonts w:ascii="Times New Roman" w:hAnsi="Times New Roman" w:cs="Times New Roman"/>
          <w:sz w:val="24"/>
          <w:szCs w:val="24"/>
          <w:lang w:eastAsia="lv-LV"/>
        </w:rPr>
        <w:t xml:space="preserve"> gadiem – 766 774 euro.</w:t>
      </w:r>
    </w:p>
    <w:p w14:paraId="07E8EC11" w14:textId="77777777" w:rsidR="00DE3C94" w:rsidRDefault="00DE3C94">
      <w:pPr>
        <w:ind w:firstLine="720"/>
        <w:jc w:val="right"/>
        <w:rPr>
          <w:rFonts w:ascii="Times New Roman" w:hAnsi="Times New Roman" w:cs="Times New Roman"/>
          <w:i/>
          <w:iCs/>
          <w:sz w:val="24"/>
          <w:szCs w:val="24"/>
        </w:rPr>
      </w:pPr>
    </w:p>
    <w:p w14:paraId="1078DCE1" w14:textId="77777777" w:rsidR="00DE3C94" w:rsidRDefault="00DE3C94">
      <w:pPr>
        <w:ind w:firstLine="720"/>
        <w:jc w:val="right"/>
        <w:rPr>
          <w:rFonts w:ascii="Times New Roman" w:hAnsi="Times New Roman" w:cs="Times New Roman"/>
          <w:i/>
          <w:iCs/>
          <w:sz w:val="24"/>
          <w:szCs w:val="24"/>
        </w:rPr>
      </w:pPr>
    </w:p>
    <w:p w14:paraId="44FDCEC1" w14:textId="77777777" w:rsidR="00DE3C94" w:rsidRDefault="00DE3C94">
      <w:pPr>
        <w:ind w:firstLine="720"/>
        <w:jc w:val="right"/>
        <w:rPr>
          <w:rFonts w:ascii="Times New Roman" w:hAnsi="Times New Roman" w:cs="Times New Roman"/>
          <w:i/>
          <w:iCs/>
          <w:sz w:val="24"/>
          <w:szCs w:val="24"/>
        </w:rPr>
      </w:pPr>
    </w:p>
    <w:p w14:paraId="3AF4BF25" w14:textId="6C925618" w:rsidR="00503A1D" w:rsidRPr="00820900" w:rsidRDefault="00DE3C94">
      <w:pPr>
        <w:ind w:firstLine="720"/>
        <w:jc w:val="right"/>
        <w:rPr>
          <w:rFonts w:ascii="Times New Roman" w:hAnsi="Times New Roman" w:cs="Times New Roman"/>
          <w:i/>
          <w:iCs/>
          <w:sz w:val="24"/>
          <w:szCs w:val="24"/>
        </w:rPr>
      </w:pPr>
      <w:r>
        <w:rPr>
          <w:rFonts w:ascii="Times New Roman" w:hAnsi="Times New Roman" w:cs="Times New Roman"/>
          <w:i/>
          <w:iCs/>
          <w:sz w:val="24"/>
          <w:szCs w:val="24"/>
        </w:rPr>
        <w:t>31</w:t>
      </w:r>
      <w:r w:rsidR="00503A1D" w:rsidRPr="57326167">
        <w:rPr>
          <w:rFonts w:ascii="Times New Roman" w:hAnsi="Times New Roman" w:cs="Times New Roman"/>
          <w:i/>
          <w:iCs/>
          <w:sz w:val="24"/>
          <w:szCs w:val="24"/>
        </w:rPr>
        <w:t>.tabula</w:t>
      </w:r>
    </w:p>
    <w:p w14:paraId="5A55B147" w14:textId="3A20CB65" w:rsidR="00503A1D" w:rsidRPr="00847710" w:rsidRDefault="00503A1D" w:rsidP="00503A1D">
      <w:pPr>
        <w:jc w:val="center"/>
        <w:rPr>
          <w:rFonts w:ascii="Times New Roman" w:hAnsi="Times New Roman" w:cs="Times New Roman"/>
          <w:sz w:val="24"/>
          <w:szCs w:val="24"/>
        </w:rPr>
      </w:pPr>
      <w:r w:rsidRPr="00847710">
        <w:rPr>
          <w:rFonts w:ascii="Times New Roman" w:hAnsi="Times New Roman" w:cs="Times New Roman"/>
          <w:b/>
          <w:bCs/>
          <w:color w:val="000000"/>
          <w:sz w:val="24"/>
          <w:szCs w:val="24"/>
        </w:rPr>
        <w:t>Nepieciešamais finansējums kompozīta materiāla plombu apmaksai</w:t>
      </w:r>
    </w:p>
    <w:tbl>
      <w:tblPr>
        <w:tblW w:w="9800" w:type="dxa"/>
        <w:jc w:val="center"/>
        <w:tblLook w:val="04A0" w:firstRow="1" w:lastRow="0" w:firstColumn="1" w:lastColumn="0" w:noHBand="0" w:noVBand="1"/>
      </w:tblPr>
      <w:tblGrid>
        <w:gridCol w:w="960"/>
        <w:gridCol w:w="4580"/>
        <w:gridCol w:w="1385"/>
        <w:gridCol w:w="1555"/>
        <w:gridCol w:w="1320"/>
      </w:tblGrid>
      <w:tr w:rsidR="00503A1D" w:rsidRPr="00847710" w14:paraId="4CB3EA84" w14:textId="77777777" w:rsidTr="00820900">
        <w:trPr>
          <w:trHeight w:val="300"/>
          <w:jc w:val="center"/>
        </w:trPr>
        <w:tc>
          <w:tcPr>
            <w:tcW w:w="960" w:type="dxa"/>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noWrap/>
            <w:vAlign w:val="center"/>
            <w:hideMark/>
          </w:tcPr>
          <w:p w14:paraId="6B680F56" w14:textId="77777777" w:rsidR="00503A1D" w:rsidRPr="00847710" w:rsidRDefault="00503A1D"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Kods</w:t>
            </w:r>
          </w:p>
        </w:tc>
        <w:tc>
          <w:tcPr>
            <w:tcW w:w="4580" w:type="dxa"/>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noWrap/>
            <w:vAlign w:val="center"/>
            <w:hideMark/>
          </w:tcPr>
          <w:p w14:paraId="122159F8" w14:textId="77777777" w:rsidR="00503A1D" w:rsidRPr="00847710" w:rsidRDefault="00503A1D"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Manipulācijas nosaukums</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24853F29" w14:textId="648B90AD" w:rsidR="00503A1D" w:rsidRPr="00847710" w:rsidRDefault="00503A1D"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Manipulāciju skaits</w:t>
            </w:r>
          </w:p>
        </w:tc>
        <w:tc>
          <w:tcPr>
            <w:tcW w:w="1555" w:type="dxa"/>
            <w:vMerge w:val="restart"/>
            <w:tcBorders>
              <w:top w:val="single" w:sz="4" w:space="0" w:color="auto"/>
              <w:left w:val="single" w:sz="4" w:space="0" w:color="auto"/>
              <w:bottom w:val="single" w:sz="4" w:space="0" w:color="000000" w:themeColor="text1"/>
              <w:right w:val="nil"/>
            </w:tcBorders>
            <w:shd w:val="clear" w:color="auto" w:fill="E36C0A" w:themeFill="accent6" w:themeFillShade="BF"/>
            <w:vAlign w:val="bottom"/>
            <w:hideMark/>
          </w:tcPr>
          <w:p w14:paraId="26D4C6FC" w14:textId="585D6D75" w:rsidR="00503A1D" w:rsidRPr="00847710" w:rsidRDefault="00503A1D"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Tarifs ar kompozīta materiālu, EUR</w:t>
            </w:r>
          </w:p>
        </w:tc>
        <w:tc>
          <w:tcPr>
            <w:tcW w:w="1320" w:type="dxa"/>
            <w:vMerge w:val="restart"/>
            <w:tcBorders>
              <w:top w:val="single" w:sz="4" w:space="0" w:color="auto"/>
              <w:left w:val="nil"/>
              <w:bottom w:val="single" w:sz="4" w:space="0" w:color="000000" w:themeColor="text1"/>
              <w:right w:val="nil"/>
            </w:tcBorders>
            <w:shd w:val="clear" w:color="auto" w:fill="E36C0A" w:themeFill="accent6" w:themeFillShade="BF"/>
            <w:vAlign w:val="center"/>
            <w:hideMark/>
          </w:tcPr>
          <w:p w14:paraId="4BE28923" w14:textId="77777777" w:rsidR="00503A1D" w:rsidRPr="00847710" w:rsidRDefault="00503A1D"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Finansējums, EUR</w:t>
            </w:r>
          </w:p>
        </w:tc>
      </w:tr>
      <w:tr w:rsidR="00503A1D" w:rsidRPr="00847710" w14:paraId="2B794FBA" w14:textId="77777777" w:rsidTr="00AB7C24">
        <w:trPr>
          <w:trHeight w:val="509"/>
          <w:jc w:val="center"/>
        </w:trPr>
        <w:tc>
          <w:tcPr>
            <w:tcW w:w="960"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2D38ABE3" w14:textId="77777777" w:rsidR="00503A1D" w:rsidRPr="00847710" w:rsidRDefault="00503A1D" w:rsidP="00503A1D">
            <w:pPr>
              <w:spacing w:after="0" w:line="240" w:lineRule="auto"/>
              <w:rPr>
                <w:rFonts w:ascii="Times New Roman" w:eastAsia="Times New Roman" w:hAnsi="Times New Roman" w:cs="Times New Roman"/>
                <w:sz w:val="20"/>
                <w:szCs w:val="20"/>
                <w:lang w:eastAsia="lv-LV"/>
              </w:rPr>
            </w:pPr>
          </w:p>
        </w:tc>
        <w:tc>
          <w:tcPr>
            <w:tcW w:w="4580"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7226E673" w14:textId="77777777" w:rsidR="00503A1D" w:rsidRPr="00847710" w:rsidRDefault="00503A1D" w:rsidP="00503A1D">
            <w:pPr>
              <w:spacing w:after="0" w:line="240" w:lineRule="auto"/>
              <w:rPr>
                <w:rFonts w:ascii="Times New Roman" w:eastAsia="Times New Roman" w:hAnsi="Times New Roman" w:cs="Times New Roman"/>
                <w:sz w:val="20"/>
                <w:szCs w:val="20"/>
                <w:lang w:eastAsia="lv-LV"/>
              </w:rPr>
            </w:pPr>
          </w:p>
        </w:tc>
        <w:tc>
          <w:tcPr>
            <w:tcW w:w="1385" w:type="dxa"/>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963B273" w14:textId="77777777" w:rsidR="00503A1D" w:rsidRPr="00847710" w:rsidRDefault="00503A1D" w:rsidP="00503A1D">
            <w:pPr>
              <w:spacing w:after="0" w:line="240" w:lineRule="auto"/>
              <w:rPr>
                <w:rFonts w:ascii="Times New Roman" w:eastAsia="Times New Roman" w:hAnsi="Times New Roman" w:cs="Times New Roman"/>
                <w:sz w:val="20"/>
                <w:szCs w:val="20"/>
                <w:lang w:eastAsia="lv-LV"/>
              </w:rPr>
            </w:pPr>
          </w:p>
        </w:tc>
        <w:tc>
          <w:tcPr>
            <w:tcW w:w="1555" w:type="dxa"/>
            <w:vMerge/>
            <w:tcBorders>
              <w:top w:val="single" w:sz="4" w:space="0" w:color="auto"/>
              <w:left w:val="single" w:sz="4" w:space="0" w:color="auto"/>
              <w:bottom w:val="single" w:sz="4" w:space="0" w:color="000000"/>
              <w:right w:val="nil"/>
            </w:tcBorders>
            <w:shd w:val="clear" w:color="auto" w:fill="E36C0A" w:themeFill="accent6" w:themeFillShade="BF"/>
            <w:vAlign w:val="center"/>
            <w:hideMark/>
          </w:tcPr>
          <w:p w14:paraId="60C1DC89" w14:textId="77777777" w:rsidR="00503A1D" w:rsidRPr="00847710" w:rsidRDefault="00503A1D" w:rsidP="00503A1D">
            <w:pPr>
              <w:spacing w:after="0" w:line="240" w:lineRule="auto"/>
              <w:rPr>
                <w:rFonts w:ascii="Times New Roman" w:eastAsia="Times New Roman" w:hAnsi="Times New Roman" w:cs="Times New Roman"/>
                <w:sz w:val="20"/>
                <w:szCs w:val="20"/>
                <w:lang w:eastAsia="lv-LV"/>
              </w:rPr>
            </w:pPr>
          </w:p>
        </w:tc>
        <w:tc>
          <w:tcPr>
            <w:tcW w:w="1320" w:type="dxa"/>
            <w:vMerge/>
            <w:tcBorders>
              <w:top w:val="single" w:sz="4" w:space="0" w:color="auto"/>
              <w:left w:val="nil"/>
              <w:bottom w:val="single" w:sz="4" w:space="0" w:color="000000"/>
              <w:right w:val="nil"/>
            </w:tcBorders>
            <w:shd w:val="clear" w:color="auto" w:fill="E36C0A" w:themeFill="accent6" w:themeFillShade="BF"/>
            <w:vAlign w:val="center"/>
            <w:hideMark/>
          </w:tcPr>
          <w:p w14:paraId="08367027" w14:textId="77777777" w:rsidR="00503A1D" w:rsidRPr="00847710" w:rsidRDefault="00503A1D" w:rsidP="00503A1D">
            <w:pPr>
              <w:spacing w:after="0" w:line="240" w:lineRule="auto"/>
              <w:rPr>
                <w:rFonts w:ascii="Times New Roman" w:eastAsia="Times New Roman" w:hAnsi="Times New Roman" w:cs="Times New Roman"/>
                <w:sz w:val="20"/>
                <w:szCs w:val="20"/>
                <w:lang w:eastAsia="lv-LV"/>
              </w:rPr>
            </w:pPr>
          </w:p>
        </w:tc>
      </w:tr>
      <w:tr w:rsidR="00503A1D" w:rsidRPr="00847710" w14:paraId="3D9214C1" w14:textId="77777777" w:rsidTr="0082090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F457F4" w14:textId="77777777" w:rsidR="00503A1D" w:rsidRPr="00847710" w:rsidRDefault="00503A1D"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4580" w:type="dxa"/>
            <w:tcBorders>
              <w:top w:val="nil"/>
              <w:left w:val="nil"/>
              <w:bottom w:val="single" w:sz="4" w:space="0" w:color="auto"/>
              <w:right w:val="nil"/>
            </w:tcBorders>
            <w:shd w:val="clear" w:color="auto" w:fill="auto"/>
            <w:noWrap/>
            <w:vAlign w:val="center"/>
            <w:hideMark/>
          </w:tcPr>
          <w:p w14:paraId="23DF0D20" w14:textId="77777777" w:rsidR="00503A1D" w:rsidRPr="00847710" w:rsidRDefault="00503A1D"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14:paraId="3F07442A" w14:textId="77777777" w:rsidR="00503A1D" w:rsidRPr="00847710" w:rsidRDefault="00503A1D"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w:t>
            </w:r>
          </w:p>
        </w:tc>
        <w:tc>
          <w:tcPr>
            <w:tcW w:w="1555" w:type="dxa"/>
            <w:tcBorders>
              <w:top w:val="nil"/>
              <w:left w:val="nil"/>
              <w:bottom w:val="single" w:sz="4" w:space="0" w:color="auto"/>
              <w:right w:val="nil"/>
            </w:tcBorders>
            <w:shd w:val="clear" w:color="auto" w:fill="auto"/>
            <w:noWrap/>
            <w:vAlign w:val="center"/>
            <w:hideMark/>
          </w:tcPr>
          <w:p w14:paraId="14CEDA4C" w14:textId="77777777" w:rsidR="00503A1D" w:rsidRPr="00847710" w:rsidRDefault="00503A1D"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6</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14:paraId="5E9963AF" w14:textId="77777777" w:rsidR="00503A1D" w:rsidRPr="00847710" w:rsidRDefault="00503A1D"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7=3*6</w:t>
            </w:r>
          </w:p>
        </w:tc>
      </w:tr>
      <w:tr w:rsidR="00503A1D" w:rsidRPr="00847710" w14:paraId="11D0A1C9" w14:textId="77777777" w:rsidTr="0082090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28330456"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70245</w:t>
            </w:r>
          </w:p>
        </w:tc>
        <w:tc>
          <w:tcPr>
            <w:tcW w:w="4580" w:type="dxa"/>
            <w:tcBorders>
              <w:top w:val="nil"/>
              <w:left w:val="nil"/>
              <w:bottom w:val="single" w:sz="4" w:space="0" w:color="auto"/>
              <w:right w:val="nil"/>
            </w:tcBorders>
            <w:shd w:val="clear" w:color="auto" w:fill="auto"/>
            <w:vAlign w:val="bottom"/>
            <w:hideMark/>
          </w:tcPr>
          <w:p w14:paraId="483A1103" w14:textId="77777777" w:rsidR="00503A1D" w:rsidRPr="00847710" w:rsidRDefault="00503A1D" w:rsidP="00503A1D">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premolāri, 1 virsma</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76AB7BA6"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3 175</w:t>
            </w:r>
          </w:p>
        </w:tc>
        <w:tc>
          <w:tcPr>
            <w:tcW w:w="1555" w:type="dxa"/>
            <w:tcBorders>
              <w:top w:val="nil"/>
              <w:left w:val="nil"/>
              <w:bottom w:val="single" w:sz="4" w:space="0" w:color="auto"/>
              <w:right w:val="single" w:sz="4" w:space="0" w:color="auto"/>
            </w:tcBorders>
            <w:shd w:val="clear" w:color="auto" w:fill="auto"/>
            <w:noWrap/>
            <w:vAlign w:val="bottom"/>
            <w:hideMark/>
          </w:tcPr>
          <w:p w14:paraId="2BB38E29"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16.03</w:t>
            </w:r>
          </w:p>
        </w:tc>
        <w:tc>
          <w:tcPr>
            <w:tcW w:w="1320" w:type="dxa"/>
            <w:tcBorders>
              <w:top w:val="nil"/>
              <w:left w:val="nil"/>
              <w:bottom w:val="single" w:sz="4" w:space="0" w:color="auto"/>
              <w:right w:val="single" w:sz="4" w:space="0" w:color="auto"/>
            </w:tcBorders>
            <w:shd w:val="clear" w:color="auto" w:fill="auto"/>
            <w:noWrap/>
            <w:vAlign w:val="bottom"/>
            <w:hideMark/>
          </w:tcPr>
          <w:p w14:paraId="2261824E" w14:textId="77777777" w:rsidR="00503A1D" w:rsidRPr="00847710" w:rsidRDefault="00503A1D" w:rsidP="00503A1D">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50 895</w:t>
            </w:r>
          </w:p>
        </w:tc>
      </w:tr>
      <w:tr w:rsidR="00503A1D" w:rsidRPr="00847710" w14:paraId="100DA3A3" w14:textId="77777777" w:rsidTr="0082090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0BDB5F62"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70246</w:t>
            </w:r>
          </w:p>
        </w:tc>
        <w:tc>
          <w:tcPr>
            <w:tcW w:w="4580" w:type="dxa"/>
            <w:tcBorders>
              <w:top w:val="nil"/>
              <w:left w:val="nil"/>
              <w:bottom w:val="single" w:sz="4" w:space="0" w:color="auto"/>
              <w:right w:val="nil"/>
            </w:tcBorders>
            <w:shd w:val="clear" w:color="auto" w:fill="auto"/>
            <w:vAlign w:val="bottom"/>
            <w:hideMark/>
          </w:tcPr>
          <w:p w14:paraId="79E6F163" w14:textId="77777777" w:rsidR="00503A1D" w:rsidRPr="00847710" w:rsidRDefault="00503A1D" w:rsidP="00503A1D">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premolāri, 2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2BC76B69"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5 576</w:t>
            </w:r>
          </w:p>
        </w:tc>
        <w:tc>
          <w:tcPr>
            <w:tcW w:w="1555" w:type="dxa"/>
            <w:tcBorders>
              <w:top w:val="nil"/>
              <w:left w:val="nil"/>
              <w:bottom w:val="single" w:sz="4" w:space="0" w:color="auto"/>
              <w:right w:val="single" w:sz="4" w:space="0" w:color="auto"/>
            </w:tcBorders>
            <w:shd w:val="clear" w:color="auto" w:fill="auto"/>
            <w:noWrap/>
            <w:vAlign w:val="bottom"/>
            <w:hideMark/>
          </w:tcPr>
          <w:p w14:paraId="1C706C25"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17.80</w:t>
            </w:r>
          </w:p>
        </w:tc>
        <w:tc>
          <w:tcPr>
            <w:tcW w:w="1320" w:type="dxa"/>
            <w:tcBorders>
              <w:top w:val="nil"/>
              <w:left w:val="nil"/>
              <w:bottom w:val="single" w:sz="4" w:space="0" w:color="auto"/>
              <w:right w:val="single" w:sz="4" w:space="0" w:color="auto"/>
            </w:tcBorders>
            <w:shd w:val="clear" w:color="auto" w:fill="auto"/>
            <w:noWrap/>
            <w:vAlign w:val="bottom"/>
            <w:hideMark/>
          </w:tcPr>
          <w:p w14:paraId="1FF1887B" w14:textId="77777777" w:rsidR="00503A1D" w:rsidRPr="00847710" w:rsidRDefault="00503A1D" w:rsidP="00503A1D">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99 253</w:t>
            </w:r>
          </w:p>
        </w:tc>
      </w:tr>
      <w:tr w:rsidR="00503A1D" w:rsidRPr="00847710" w14:paraId="2B8F5AF8" w14:textId="77777777" w:rsidTr="0082090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764B6C98"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70247</w:t>
            </w:r>
          </w:p>
        </w:tc>
        <w:tc>
          <w:tcPr>
            <w:tcW w:w="4580" w:type="dxa"/>
            <w:tcBorders>
              <w:top w:val="nil"/>
              <w:left w:val="nil"/>
              <w:bottom w:val="single" w:sz="4" w:space="0" w:color="auto"/>
              <w:right w:val="nil"/>
            </w:tcBorders>
            <w:shd w:val="clear" w:color="auto" w:fill="auto"/>
            <w:vAlign w:val="bottom"/>
            <w:hideMark/>
          </w:tcPr>
          <w:p w14:paraId="4691EEE4" w14:textId="77777777" w:rsidR="00503A1D" w:rsidRPr="00847710" w:rsidRDefault="00503A1D" w:rsidP="00503A1D">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premolāri, 3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67867B6A"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3 297</w:t>
            </w:r>
          </w:p>
        </w:tc>
        <w:tc>
          <w:tcPr>
            <w:tcW w:w="1555" w:type="dxa"/>
            <w:tcBorders>
              <w:top w:val="nil"/>
              <w:left w:val="nil"/>
              <w:bottom w:val="single" w:sz="4" w:space="0" w:color="auto"/>
              <w:right w:val="single" w:sz="4" w:space="0" w:color="auto"/>
            </w:tcBorders>
            <w:shd w:val="clear" w:color="auto" w:fill="auto"/>
            <w:noWrap/>
            <w:vAlign w:val="bottom"/>
            <w:hideMark/>
          </w:tcPr>
          <w:p w14:paraId="2D398280"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21.66</w:t>
            </w:r>
          </w:p>
        </w:tc>
        <w:tc>
          <w:tcPr>
            <w:tcW w:w="1320" w:type="dxa"/>
            <w:tcBorders>
              <w:top w:val="nil"/>
              <w:left w:val="nil"/>
              <w:bottom w:val="single" w:sz="4" w:space="0" w:color="auto"/>
              <w:right w:val="single" w:sz="4" w:space="0" w:color="auto"/>
            </w:tcBorders>
            <w:shd w:val="clear" w:color="auto" w:fill="auto"/>
            <w:noWrap/>
            <w:vAlign w:val="bottom"/>
            <w:hideMark/>
          </w:tcPr>
          <w:p w14:paraId="12503F0C" w14:textId="77777777" w:rsidR="00503A1D" w:rsidRPr="00847710" w:rsidRDefault="00503A1D" w:rsidP="00503A1D">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71 413</w:t>
            </w:r>
          </w:p>
        </w:tc>
      </w:tr>
      <w:tr w:rsidR="00503A1D" w:rsidRPr="00847710" w14:paraId="52CCBF00" w14:textId="77777777" w:rsidTr="0082090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35A1AAFF"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70248</w:t>
            </w:r>
          </w:p>
        </w:tc>
        <w:tc>
          <w:tcPr>
            <w:tcW w:w="4580" w:type="dxa"/>
            <w:tcBorders>
              <w:top w:val="nil"/>
              <w:left w:val="nil"/>
              <w:bottom w:val="single" w:sz="4" w:space="0" w:color="auto"/>
              <w:right w:val="nil"/>
            </w:tcBorders>
            <w:shd w:val="clear" w:color="auto" w:fill="auto"/>
            <w:vAlign w:val="bottom"/>
            <w:hideMark/>
          </w:tcPr>
          <w:p w14:paraId="1629B661" w14:textId="77777777" w:rsidR="00503A1D" w:rsidRPr="00847710" w:rsidRDefault="00503A1D" w:rsidP="00503A1D">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premolāri, 4 un vairāk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5946747D"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652</w:t>
            </w:r>
          </w:p>
        </w:tc>
        <w:tc>
          <w:tcPr>
            <w:tcW w:w="1555" w:type="dxa"/>
            <w:tcBorders>
              <w:top w:val="nil"/>
              <w:left w:val="nil"/>
              <w:bottom w:val="single" w:sz="4" w:space="0" w:color="auto"/>
              <w:right w:val="single" w:sz="4" w:space="0" w:color="auto"/>
            </w:tcBorders>
            <w:shd w:val="clear" w:color="auto" w:fill="auto"/>
            <w:noWrap/>
            <w:vAlign w:val="bottom"/>
            <w:hideMark/>
          </w:tcPr>
          <w:p w14:paraId="7EEFC3A9"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25.24</w:t>
            </w:r>
          </w:p>
        </w:tc>
        <w:tc>
          <w:tcPr>
            <w:tcW w:w="1320" w:type="dxa"/>
            <w:tcBorders>
              <w:top w:val="nil"/>
              <w:left w:val="nil"/>
              <w:bottom w:val="single" w:sz="4" w:space="0" w:color="auto"/>
              <w:right w:val="single" w:sz="4" w:space="0" w:color="auto"/>
            </w:tcBorders>
            <w:shd w:val="clear" w:color="auto" w:fill="auto"/>
            <w:noWrap/>
            <w:vAlign w:val="bottom"/>
            <w:hideMark/>
          </w:tcPr>
          <w:p w14:paraId="4F322BF2" w14:textId="77777777" w:rsidR="00503A1D" w:rsidRPr="00847710" w:rsidRDefault="00503A1D" w:rsidP="00503A1D">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16 456</w:t>
            </w:r>
          </w:p>
        </w:tc>
      </w:tr>
      <w:tr w:rsidR="00503A1D" w:rsidRPr="00847710" w14:paraId="63E1CBBA" w14:textId="77777777" w:rsidTr="00820900">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13C845E9"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70249</w:t>
            </w:r>
          </w:p>
        </w:tc>
        <w:tc>
          <w:tcPr>
            <w:tcW w:w="4580" w:type="dxa"/>
            <w:tcBorders>
              <w:top w:val="nil"/>
              <w:left w:val="nil"/>
              <w:bottom w:val="single" w:sz="4" w:space="0" w:color="auto"/>
              <w:right w:val="nil"/>
            </w:tcBorders>
            <w:shd w:val="clear" w:color="auto" w:fill="auto"/>
            <w:vAlign w:val="bottom"/>
            <w:hideMark/>
          </w:tcPr>
          <w:p w14:paraId="052EA622" w14:textId="77777777" w:rsidR="00503A1D" w:rsidRPr="00847710" w:rsidRDefault="00503A1D" w:rsidP="00503A1D">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premolāri, klīniska kroņa atjaunošana</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69A81973"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141</w:t>
            </w:r>
          </w:p>
        </w:tc>
        <w:tc>
          <w:tcPr>
            <w:tcW w:w="1555" w:type="dxa"/>
            <w:tcBorders>
              <w:top w:val="nil"/>
              <w:left w:val="nil"/>
              <w:bottom w:val="single" w:sz="4" w:space="0" w:color="auto"/>
              <w:right w:val="single" w:sz="4" w:space="0" w:color="auto"/>
            </w:tcBorders>
            <w:shd w:val="clear" w:color="auto" w:fill="auto"/>
            <w:noWrap/>
            <w:vAlign w:val="bottom"/>
            <w:hideMark/>
          </w:tcPr>
          <w:p w14:paraId="70E54C55"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30.67</w:t>
            </w:r>
          </w:p>
        </w:tc>
        <w:tc>
          <w:tcPr>
            <w:tcW w:w="1320" w:type="dxa"/>
            <w:tcBorders>
              <w:top w:val="nil"/>
              <w:left w:val="nil"/>
              <w:bottom w:val="single" w:sz="4" w:space="0" w:color="auto"/>
              <w:right w:val="single" w:sz="4" w:space="0" w:color="auto"/>
            </w:tcBorders>
            <w:shd w:val="clear" w:color="auto" w:fill="auto"/>
            <w:noWrap/>
            <w:vAlign w:val="bottom"/>
            <w:hideMark/>
          </w:tcPr>
          <w:p w14:paraId="27AE46E0" w14:textId="77777777" w:rsidR="00503A1D" w:rsidRPr="00847710" w:rsidRDefault="00503A1D" w:rsidP="00503A1D">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4 324</w:t>
            </w:r>
          </w:p>
        </w:tc>
      </w:tr>
      <w:tr w:rsidR="00503A1D" w:rsidRPr="00847710" w14:paraId="1059D2D1" w14:textId="77777777" w:rsidTr="0082090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68517BEE"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70250</w:t>
            </w:r>
          </w:p>
        </w:tc>
        <w:tc>
          <w:tcPr>
            <w:tcW w:w="4580" w:type="dxa"/>
            <w:tcBorders>
              <w:top w:val="nil"/>
              <w:left w:val="nil"/>
              <w:bottom w:val="single" w:sz="4" w:space="0" w:color="auto"/>
              <w:right w:val="nil"/>
            </w:tcBorders>
            <w:shd w:val="clear" w:color="auto" w:fill="auto"/>
            <w:vAlign w:val="bottom"/>
            <w:hideMark/>
          </w:tcPr>
          <w:p w14:paraId="190C3FBE" w14:textId="77777777" w:rsidR="00503A1D" w:rsidRPr="00847710" w:rsidRDefault="00503A1D" w:rsidP="00503A1D">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molāri, 1 virsma</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05F60D2E"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12 894</w:t>
            </w:r>
          </w:p>
        </w:tc>
        <w:tc>
          <w:tcPr>
            <w:tcW w:w="1555" w:type="dxa"/>
            <w:tcBorders>
              <w:top w:val="nil"/>
              <w:left w:val="nil"/>
              <w:bottom w:val="single" w:sz="4" w:space="0" w:color="auto"/>
              <w:right w:val="single" w:sz="4" w:space="0" w:color="auto"/>
            </w:tcBorders>
            <w:shd w:val="clear" w:color="auto" w:fill="auto"/>
            <w:noWrap/>
            <w:vAlign w:val="bottom"/>
            <w:hideMark/>
          </w:tcPr>
          <w:p w14:paraId="4B64572E"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16.21</w:t>
            </w:r>
          </w:p>
        </w:tc>
        <w:tc>
          <w:tcPr>
            <w:tcW w:w="1320" w:type="dxa"/>
            <w:tcBorders>
              <w:top w:val="nil"/>
              <w:left w:val="nil"/>
              <w:bottom w:val="single" w:sz="4" w:space="0" w:color="auto"/>
              <w:right w:val="single" w:sz="4" w:space="0" w:color="auto"/>
            </w:tcBorders>
            <w:shd w:val="clear" w:color="auto" w:fill="auto"/>
            <w:noWrap/>
            <w:vAlign w:val="bottom"/>
            <w:hideMark/>
          </w:tcPr>
          <w:p w14:paraId="637165C3" w14:textId="77777777" w:rsidR="00503A1D" w:rsidRPr="00847710" w:rsidRDefault="00503A1D" w:rsidP="00503A1D">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209 012</w:t>
            </w:r>
          </w:p>
        </w:tc>
      </w:tr>
      <w:tr w:rsidR="00503A1D" w:rsidRPr="00847710" w14:paraId="235A2371" w14:textId="77777777" w:rsidTr="0082090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60F961C2"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70251</w:t>
            </w:r>
          </w:p>
        </w:tc>
        <w:tc>
          <w:tcPr>
            <w:tcW w:w="4580" w:type="dxa"/>
            <w:tcBorders>
              <w:top w:val="nil"/>
              <w:left w:val="nil"/>
              <w:bottom w:val="single" w:sz="4" w:space="0" w:color="auto"/>
              <w:right w:val="nil"/>
            </w:tcBorders>
            <w:shd w:val="clear" w:color="auto" w:fill="auto"/>
            <w:vAlign w:val="bottom"/>
            <w:hideMark/>
          </w:tcPr>
          <w:p w14:paraId="5A283467" w14:textId="77777777" w:rsidR="00503A1D" w:rsidRPr="00847710" w:rsidRDefault="00503A1D" w:rsidP="00503A1D">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molāri, 2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536F46F5"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6 988</w:t>
            </w:r>
          </w:p>
        </w:tc>
        <w:tc>
          <w:tcPr>
            <w:tcW w:w="1555" w:type="dxa"/>
            <w:tcBorders>
              <w:top w:val="nil"/>
              <w:left w:val="nil"/>
              <w:bottom w:val="single" w:sz="4" w:space="0" w:color="auto"/>
              <w:right w:val="single" w:sz="4" w:space="0" w:color="auto"/>
            </w:tcBorders>
            <w:shd w:val="clear" w:color="auto" w:fill="auto"/>
            <w:noWrap/>
            <w:vAlign w:val="bottom"/>
            <w:hideMark/>
          </w:tcPr>
          <w:p w14:paraId="6F020249"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20.69</w:t>
            </w:r>
          </w:p>
        </w:tc>
        <w:tc>
          <w:tcPr>
            <w:tcW w:w="1320" w:type="dxa"/>
            <w:tcBorders>
              <w:top w:val="nil"/>
              <w:left w:val="nil"/>
              <w:bottom w:val="single" w:sz="4" w:space="0" w:color="auto"/>
              <w:right w:val="single" w:sz="4" w:space="0" w:color="auto"/>
            </w:tcBorders>
            <w:shd w:val="clear" w:color="auto" w:fill="auto"/>
            <w:noWrap/>
            <w:vAlign w:val="bottom"/>
            <w:hideMark/>
          </w:tcPr>
          <w:p w14:paraId="3B1EB031" w14:textId="77777777" w:rsidR="00503A1D" w:rsidRPr="00847710" w:rsidRDefault="00503A1D" w:rsidP="00503A1D">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144 582</w:t>
            </w:r>
          </w:p>
        </w:tc>
      </w:tr>
      <w:tr w:rsidR="00503A1D" w:rsidRPr="00847710" w14:paraId="0F1B94F9" w14:textId="77777777" w:rsidTr="0082090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540E5F25"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70252</w:t>
            </w:r>
          </w:p>
        </w:tc>
        <w:tc>
          <w:tcPr>
            <w:tcW w:w="4580" w:type="dxa"/>
            <w:tcBorders>
              <w:top w:val="nil"/>
              <w:left w:val="nil"/>
              <w:bottom w:val="single" w:sz="4" w:space="0" w:color="auto"/>
              <w:right w:val="nil"/>
            </w:tcBorders>
            <w:shd w:val="clear" w:color="auto" w:fill="auto"/>
            <w:vAlign w:val="bottom"/>
            <w:hideMark/>
          </w:tcPr>
          <w:p w14:paraId="4664F804" w14:textId="77777777" w:rsidR="00503A1D" w:rsidRPr="00847710" w:rsidRDefault="00503A1D" w:rsidP="00503A1D">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molāri, 3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2A8B88AC"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4 651</w:t>
            </w:r>
          </w:p>
        </w:tc>
        <w:tc>
          <w:tcPr>
            <w:tcW w:w="1555" w:type="dxa"/>
            <w:tcBorders>
              <w:top w:val="nil"/>
              <w:left w:val="nil"/>
              <w:bottom w:val="single" w:sz="4" w:space="0" w:color="auto"/>
              <w:right w:val="single" w:sz="4" w:space="0" w:color="auto"/>
            </w:tcBorders>
            <w:shd w:val="clear" w:color="auto" w:fill="auto"/>
            <w:noWrap/>
            <w:vAlign w:val="bottom"/>
            <w:hideMark/>
          </w:tcPr>
          <w:p w14:paraId="4606F272"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24.36</w:t>
            </w:r>
          </w:p>
        </w:tc>
        <w:tc>
          <w:tcPr>
            <w:tcW w:w="1320" w:type="dxa"/>
            <w:tcBorders>
              <w:top w:val="nil"/>
              <w:left w:val="nil"/>
              <w:bottom w:val="single" w:sz="4" w:space="0" w:color="auto"/>
              <w:right w:val="single" w:sz="4" w:space="0" w:color="auto"/>
            </w:tcBorders>
            <w:shd w:val="clear" w:color="auto" w:fill="auto"/>
            <w:noWrap/>
            <w:vAlign w:val="bottom"/>
            <w:hideMark/>
          </w:tcPr>
          <w:p w14:paraId="138FCF97" w14:textId="77777777" w:rsidR="00503A1D" w:rsidRPr="00847710" w:rsidRDefault="00503A1D" w:rsidP="00503A1D">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113 298</w:t>
            </w:r>
          </w:p>
        </w:tc>
      </w:tr>
      <w:tr w:rsidR="00503A1D" w:rsidRPr="00847710" w14:paraId="0F6202AA" w14:textId="77777777" w:rsidTr="0082090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302EC204"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70253</w:t>
            </w:r>
          </w:p>
        </w:tc>
        <w:tc>
          <w:tcPr>
            <w:tcW w:w="4580" w:type="dxa"/>
            <w:tcBorders>
              <w:top w:val="nil"/>
              <w:left w:val="nil"/>
              <w:bottom w:val="single" w:sz="4" w:space="0" w:color="auto"/>
              <w:right w:val="nil"/>
            </w:tcBorders>
            <w:shd w:val="clear" w:color="auto" w:fill="auto"/>
            <w:vAlign w:val="bottom"/>
            <w:hideMark/>
          </w:tcPr>
          <w:p w14:paraId="0CD5D7B7" w14:textId="77777777" w:rsidR="00503A1D" w:rsidRPr="00847710" w:rsidRDefault="00503A1D" w:rsidP="00503A1D">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molāri, 4 un vairāk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02C14D2B"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1 611</w:t>
            </w:r>
          </w:p>
        </w:tc>
        <w:tc>
          <w:tcPr>
            <w:tcW w:w="1555" w:type="dxa"/>
            <w:tcBorders>
              <w:top w:val="nil"/>
              <w:left w:val="nil"/>
              <w:bottom w:val="single" w:sz="4" w:space="0" w:color="auto"/>
              <w:right w:val="single" w:sz="4" w:space="0" w:color="auto"/>
            </w:tcBorders>
            <w:shd w:val="clear" w:color="auto" w:fill="auto"/>
            <w:noWrap/>
            <w:vAlign w:val="bottom"/>
            <w:hideMark/>
          </w:tcPr>
          <w:p w14:paraId="4CBA1B40"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29.78</w:t>
            </w:r>
          </w:p>
        </w:tc>
        <w:tc>
          <w:tcPr>
            <w:tcW w:w="1320" w:type="dxa"/>
            <w:tcBorders>
              <w:top w:val="nil"/>
              <w:left w:val="nil"/>
              <w:bottom w:val="single" w:sz="4" w:space="0" w:color="auto"/>
              <w:right w:val="single" w:sz="4" w:space="0" w:color="auto"/>
            </w:tcBorders>
            <w:shd w:val="clear" w:color="auto" w:fill="auto"/>
            <w:noWrap/>
            <w:vAlign w:val="bottom"/>
            <w:hideMark/>
          </w:tcPr>
          <w:p w14:paraId="1AB43BAC" w14:textId="77777777" w:rsidR="00503A1D" w:rsidRPr="00847710" w:rsidRDefault="00503A1D" w:rsidP="00503A1D">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47 976</w:t>
            </w:r>
          </w:p>
        </w:tc>
      </w:tr>
      <w:tr w:rsidR="00503A1D" w:rsidRPr="00847710" w14:paraId="32461D40" w14:textId="77777777" w:rsidTr="0082090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3E0CEAAE"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70254</w:t>
            </w:r>
          </w:p>
        </w:tc>
        <w:tc>
          <w:tcPr>
            <w:tcW w:w="4580" w:type="dxa"/>
            <w:tcBorders>
              <w:top w:val="nil"/>
              <w:left w:val="nil"/>
              <w:bottom w:val="single" w:sz="4" w:space="0" w:color="auto"/>
              <w:right w:val="nil"/>
            </w:tcBorders>
            <w:shd w:val="clear" w:color="auto" w:fill="auto"/>
            <w:vAlign w:val="bottom"/>
            <w:hideMark/>
          </w:tcPr>
          <w:p w14:paraId="1093F486" w14:textId="77777777" w:rsidR="00503A1D" w:rsidRPr="00847710" w:rsidRDefault="00503A1D" w:rsidP="00503A1D">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molāri, klīniska kroņa atjaunošana</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17186DF5"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285</w:t>
            </w:r>
          </w:p>
        </w:tc>
        <w:tc>
          <w:tcPr>
            <w:tcW w:w="1555" w:type="dxa"/>
            <w:tcBorders>
              <w:top w:val="nil"/>
              <w:left w:val="nil"/>
              <w:bottom w:val="single" w:sz="4" w:space="0" w:color="auto"/>
              <w:right w:val="single" w:sz="4" w:space="0" w:color="auto"/>
            </w:tcBorders>
            <w:shd w:val="clear" w:color="auto" w:fill="auto"/>
            <w:noWrap/>
            <w:vAlign w:val="bottom"/>
            <w:hideMark/>
          </w:tcPr>
          <w:p w14:paraId="1F3F091A" w14:textId="77777777" w:rsidR="00503A1D" w:rsidRPr="00847710" w:rsidRDefault="00503A1D" w:rsidP="00503A1D">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33.56</w:t>
            </w:r>
          </w:p>
        </w:tc>
        <w:tc>
          <w:tcPr>
            <w:tcW w:w="1320" w:type="dxa"/>
            <w:tcBorders>
              <w:top w:val="nil"/>
              <w:left w:val="nil"/>
              <w:bottom w:val="single" w:sz="4" w:space="0" w:color="auto"/>
              <w:right w:val="single" w:sz="4" w:space="0" w:color="auto"/>
            </w:tcBorders>
            <w:shd w:val="clear" w:color="auto" w:fill="auto"/>
            <w:noWrap/>
            <w:vAlign w:val="bottom"/>
            <w:hideMark/>
          </w:tcPr>
          <w:p w14:paraId="504CEDA8" w14:textId="77777777" w:rsidR="00503A1D" w:rsidRPr="00847710" w:rsidRDefault="00503A1D" w:rsidP="00503A1D">
            <w:pPr>
              <w:spacing w:after="0" w:line="240" w:lineRule="auto"/>
              <w:jc w:val="right"/>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9 565</w:t>
            </w:r>
          </w:p>
        </w:tc>
      </w:tr>
      <w:tr w:rsidR="00503A1D" w:rsidRPr="00847710" w14:paraId="7D960F9D" w14:textId="77777777" w:rsidTr="00820900">
        <w:trPr>
          <w:trHeight w:val="315"/>
          <w:jc w:val="center"/>
        </w:trPr>
        <w:tc>
          <w:tcPr>
            <w:tcW w:w="960" w:type="dxa"/>
            <w:tcBorders>
              <w:top w:val="nil"/>
              <w:left w:val="single" w:sz="4" w:space="0" w:color="auto"/>
              <w:bottom w:val="single" w:sz="4" w:space="0" w:color="auto"/>
              <w:right w:val="nil"/>
            </w:tcBorders>
            <w:shd w:val="clear" w:color="auto" w:fill="FBD4B4" w:themeFill="accent6" w:themeFillTint="66"/>
            <w:noWrap/>
            <w:vAlign w:val="bottom"/>
            <w:hideMark/>
          </w:tcPr>
          <w:p w14:paraId="46DCE436" w14:textId="77777777" w:rsidR="00503A1D" w:rsidRPr="00820900" w:rsidRDefault="00503A1D" w:rsidP="00820900">
            <w:pPr>
              <w:spacing w:after="0" w:line="240" w:lineRule="auto"/>
              <w:rPr>
                <w:rFonts w:ascii="Times New Roman" w:eastAsia="Times New Roman" w:hAnsi="Times New Roman" w:cs="Times New Roman"/>
                <w:b/>
                <w:bCs/>
                <w:lang w:eastAsia="lv-LV"/>
              </w:rPr>
            </w:pPr>
            <w:r w:rsidRPr="0012317D">
              <w:rPr>
                <w:rFonts w:ascii="Times New Roman" w:eastAsia="Times New Roman" w:hAnsi="Times New Roman" w:cs="Times New Roman"/>
                <w:b/>
                <w:bCs/>
                <w:lang w:eastAsia="lv-LV"/>
              </w:rPr>
              <w:t> </w:t>
            </w:r>
          </w:p>
        </w:tc>
        <w:tc>
          <w:tcPr>
            <w:tcW w:w="4580" w:type="dxa"/>
            <w:tcBorders>
              <w:top w:val="nil"/>
              <w:left w:val="nil"/>
              <w:bottom w:val="single" w:sz="4" w:space="0" w:color="auto"/>
              <w:right w:val="single" w:sz="4" w:space="0" w:color="auto"/>
            </w:tcBorders>
            <w:shd w:val="clear" w:color="auto" w:fill="FBD4B4" w:themeFill="accent6" w:themeFillTint="66"/>
            <w:noWrap/>
            <w:vAlign w:val="bottom"/>
            <w:hideMark/>
          </w:tcPr>
          <w:p w14:paraId="232BBBCB" w14:textId="77777777" w:rsidR="00503A1D" w:rsidRPr="00847710" w:rsidRDefault="00503A1D" w:rsidP="00503A1D">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KOPĀ</w:t>
            </w:r>
          </w:p>
        </w:tc>
        <w:tc>
          <w:tcPr>
            <w:tcW w:w="1385" w:type="dxa"/>
            <w:tcBorders>
              <w:top w:val="nil"/>
              <w:left w:val="nil"/>
              <w:bottom w:val="single" w:sz="4" w:space="0" w:color="auto"/>
              <w:right w:val="single" w:sz="4" w:space="0" w:color="auto"/>
            </w:tcBorders>
            <w:shd w:val="clear" w:color="auto" w:fill="FBD4B4" w:themeFill="accent6" w:themeFillTint="66"/>
            <w:vAlign w:val="center"/>
            <w:hideMark/>
          </w:tcPr>
          <w:p w14:paraId="5FD01BDB" w14:textId="77777777" w:rsidR="00503A1D" w:rsidRPr="00820900" w:rsidRDefault="00503A1D" w:rsidP="00820900">
            <w:pPr>
              <w:spacing w:after="0" w:line="240" w:lineRule="auto"/>
              <w:jc w:val="center"/>
              <w:rPr>
                <w:rFonts w:ascii="Times New Roman" w:eastAsia="Times New Roman" w:hAnsi="Times New Roman" w:cs="Times New Roman"/>
                <w:b/>
                <w:bCs/>
                <w:lang w:eastAsia="lv-LV"/>
              </w:rPr>
            </w:pPr>
            <w:r w:rsidRPr="0012317D">
              <w:rPr>
                <w:rFonts w:ascii="Times New Roman" w:eastAsia="Times New Roman" w:hAnsi="Times New Roman" w:cs="Times New Roman"/>
                <w:b/>
                <w:bCs/>
                <w:lang w:eastAsia="lv-LV"/>
              </w:rPr>
              <w:t>39 270</w:t>
            </w:r>
          </w:p>
        </w:tc>
        <w:tc>
          <w:tcPr>
            <w:tcW w:w="1555" w:type="dxa"/>
            <w:tcBorders>
              <w:top w:val="nil"/>
              <w:left w:val="nil"/>
              <w:bottom w:val="single" w:sz="4" w:space="0" w:color="auto"/>
              <w:right w:val="single" w:sz="4" w:space="0" w:color="auto"/>
            </w:tcBorders>
            <w:shd w:val="clear" w:color="auto" w:fill="FBD4B4" w:themeFill="accent6" w:themeFillTint="66"/>
            <w:vAlign w:val="center"/>
            <w:hideMark/>
          </w:tcPr>
          <w:p w14:paraId="4DC99AD7" w14:textId="77777777" w:rsidR="00503A1D" w:rsidRPr="00820900" w:rsidRDefault="00503A1D" w:rsidP="00820900">
            <w:pPr>
              <w:spacing w:after="0" w:line="240" w:lineRule="auto"/>
              <w:jc w:val="center"/>
              <w:rPr>
                <w:rFonts w:ascii="Times New Roman" w:eastAsia="Times New Roman" w:hAnsi="Times New Roman" w:cs="Times New Roman"/>
                <w:b/>
                <w:bCs/>
                <w:lang w:eastAsia="lv-LV"/>
              </w:rPr>
            </w:pPr>
            <w:r w:rsidRPr="0012317D">
              <w:rPr>
                <w:rFonts w:ascii="Times New Roman" w:eastAsia="Times New Roman" w:hAnsi="Times New Roman" w:cs="Times New Roman"/>
                <w:b/>
                <w:bCs/>
                <w:lang w:eastAsia="lv-LV"/>
              </w:rPr>
              <w:t>19.53</w:t>
            </w:r>
          </w:p>
        </w:tc>
        <w:tc>
          <w:tcPr>
            <w:tcW w:w="1320" w:type="dxa"/>
            <w:tcBorders>
              <w:top w:val="nil"/>
              <w:left w:val="nil"/>
              <w:bottom w:val="single" w:sz="4" w:space="0" w:color="auto"/>
              <w:right w:val="single" w:sz="4" w:space="0" w:color="auto"/>
            </w:tcBorders>
            <w:shd w:val="clear" w:color="auto" w:fill="FBD4B4" w:themeFill="accent6" w:themeFillTint="66"/>
            <w:vAlign w:val="center"/>
            <w:hideMark/>
          </w:tcPr>
          <w:p w14:paraId="4A4614BA" w14:textId="77777777" w:rsidR="00503A1D" w:rsidRPr="00847710" w:rsidRDefault="00503A1D" w:rsidP="00503A1D">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766 774</w:t>
            </w:r>
          </w:p>
        </w:tc>
      </w:tr>
    </w:tbl>
    <w:p w14:paraId="1C897840" w14:textId="25240E4A" w:rsidR="00503A1D" w:rsidRPr="00847710" w:rsidRDefault="00503A1D" w:rsidP="003C73B6">
      <w:pPr>
        <w:ind w:firstLine="720"/>
        <w:jc w:val="both"/>
        <w:rPr>
          <w:rFonts w:ascii="Times New Roman" w:hAnsi="Times New Roman" w:cs="Times New Roman"/>
          <w:sz w:val="24"/>
          <w:szCs w:val="24"/>
          <w:lang w:eastAsia="lv-LV"/>
        </w:rPr>
      </w:pPr>
    </w:p>
    <w:p w14:paraId="7344EDB1" w14:textId="2429DF8D" w:rsidR="00D04808" w:rsidRPr="00847710" w:rsidRDefault="00427B5E" w:rsidP="003C73B6">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Bērnu zobārstniecības pieejamības reformas ietvaros 2018.gadā tiks palielināts pakalpojumu tarifs, nodrošinot, ka neturpinās pakalpojumu sniedzošo ārstniecības iestāžu skaits. Savukārt 2019.gadā, atjaunojot pakalpojumu sniedzēju apjomu, plānots palielināt zobārstniecības pakalpojumu apjomu līdz </w:t>
      </w:r>
      <w:r w:rsidR="00662A07">
        <w:rPr>
          <w:rFonts w:ascii="Times New Roman" w:hAnsi="Times New Roman" w:cs="Times New Roman"/>
          <w:sz w:val="24"/>
          <w:szCs w:val="24"/>
          <w:lang w:eastAsia="lv-LV"/>
        </w:rPr>
        <w:t>4</w:t>
      </w:r>
      <w:r w:rsidR="00662A07" w:rsidRPr="00847710">
        <w:rPr>
          <w:rFonts w:ascii="Times New Roman" w:hAnsi="Times New Roman" w:cs="Times New Roman"/>
          <w:sz w:val="24"/>
          <w:szCs w:val="24"/>
          <w:lang w:eastAsia="lv-LV"/>
        </w:rPr>
        <w:t>0</w:t>
      </w:r>
      <w:r w:rsidRPr="00847710">
        <w:rPr>
          <w:rFonts w:ascii="Times New Roman" w:hAnsi="Times New Roman" w:cs="Times New Roman"/>
          <w:sz w:val="24"/>
          <w:szCs w:val="24"/>
          <w:lang w:eastAsia="lv-LV"/>
        </w:rPr>
        <w:t>%.</w:t>
      </w:r>
      <w:r w:rsidR="0042779C" w:rsidRPr="00847710">
        <w:rPr>
          <w:rFonts w:ascii="Times New Roman" w:hAnsi="Times New Roman" w:cs="Times New Roman"/>
          <w:sz w:val="24"/>
          <w:szCs w:val="24"/>
          <w:lang w:eastAsia="lv-LV"/>
        </w:rPr>
        <w:t xml:space="preserve"> </w:t>
      </w:r>
      <w:r w:rsidR="00662A07">
        <w:rPr>
          <w:rFonts w:ascii="Times New Roman" w:hAnsi="Times New Roman" w:cs="Times New Roman"/>
          <w:sz w:val="24"/>
          <w:szCs w:val="24"/>
          <w:lang w:eastAsia="lv-LV"/>
        </w:rPr>
        <w:t>P</w:t>
      </w:r>
      <w:r w:rsidR="0042779C" w:rsidRPr="00847710">
        <w:rPr>
          <w:rFonts w:ascii="Times New Roman" w:hAnsi="Times New Roman" w:cs="Times New Roman"/>
          <w:sz w:val="24"/>
          <w:szCs w:val="24"/>
          <w:lang w:eastAsia="lv-LV"/>
        </w:rPr>
        <w:t xml:space="preserve">alielinot zobārstniecības pakalpojumu apjomu, </w:t>
      </w:r>
      <w:r w:rsidR="00662A07">
        <w:rPr>
          <w:rFonts w:ascii="Times New Roman" w:hAnsi="Times New Roman" w:cs="Times New Roman"/>
          <w:sz w:val="24"/>
          <w:szCs w:val="24"/>
          <w:lang w:eastAsia="lv-LV"/>
        </w:rPr>
        <w:t>2019.gadā</w:t>
      </w:r>
      <w:r w:rsidR="00F72647" w:rsidRPr="00847710">
        <w:rPr>
          <w:rFonts w:ascii="Times New Roman" w:hAnsi="Times New Roman" w:cs="Times New Roman"/>
          <w:sz w:val="24"/>
          <w:szCs w:val="24"/>
          <w:lang w:eastAsia="lv-LV"/>
        </w:rPr>
        <w:t xml:space="preserve"> </w:t>
      </w:r>
      <w:r w:rsidR="0042779C" w:rsidRPr="00847710">
        <w:rPr>
          <w:rFonts w:ascii="Times New Roman" w:hAnsi="Times New Roman" w:cs="Times New Roman"/>
          <w:sz w:val="24"/>
          <w:szCs w:val="24"/>
          <w:lang w:eastAsia="lv-LV"/>
        </w:rPr>
        <w:t xml:space="preserve">plānots sasniegt </w:t>
      </w:r>
      <w:r w:rsidR="00662A07">
        <w:rPr>
          <w:rFonts w:ascii="Times New Roman" w:hAnsi="Times New Roman" w:cs="Times New Roman"/>
          <w:sz w:val="24"/>
          <w:szCs w:val="24"/>
          <w:lang w:eastAsia="lv-LV"/>
        </w:rPr>
        <w:t>65</w:t>
      </w:r>
      <w:r w:rsidR="0042779C" w:rsidRPr="00847710">
        <w:rPr>
          <w:rFonts w:ascii="Times New Roman" w:hAnsi="Times New Roman" w:cs="Times New Roman"/>
          <w:sz w:val="24"/>
          <w:szCs w:val="24"/>
          <w:lang w:eastAsia="lv-LV"/>
        </w:rPr>
        <w:t>% bērnu aptveri zobārstniecībā</w:t>
      </w:r>
      <w:r w:rsidR="00F72647" w:rsidRPr="00847710">
        <w:rPr>
          <w:rFonts w:ascii="Times New Roman" w:hAnsi="Times New Roman" w:cs="Times New Roman"/>
          <w:sz w:val="24"/>
          <w:szCs w:val="24"/>
          <w:lang w:eastAsia="lv-LV"/>
        </w:rPr>
        <w:t>.</w:t>
      </w:r>
    </w:p>
    <w:tbl>
      <w:tblPr>
        <w:tblStyle w:val="TableGrid"/>
        <w:tblW w:w="0" w:type="auto"/>
        <w:tblLook w:val="04A0" w:firstRow="1" w:lastRow="0" w:firstColumn="1" w:lastColumn="0" w:noHBand="0" w:noVBand="1"/>
      </w:tblPr>
      <w:tblGrid>
        <w:gridCol w:w="9089"/>
      </w:tblGrid>
      <w:tr w:rsidR="00EB4483" w:rsidRPr="00847710" w14:paraId="101B6CBC" w14:textId="77777777" w:rsidTr="57326167">
        <w:tc>
          <w:tcPr>
            <w:tcW w:w="9089" w:type="dxa"/>
          </w:tcPr>
          <w:p w14:paraId="40E0EE1C" w14:textId="2F239C6D" w:rsidR="00EB4483" w:rsidRPr="00820900" w:rsidRDefault="00EB4483">
            <w:pPr>
              <w:ind w:firstLine="720"/>
              <w:jc w:val="both"/>
              <w:rPr>
                <w:rFonts w:ascii="Times New Roman" w:hAnsi="Times New Roman"/>
                <w:b/>
                <w:bCs/>
                <w:sz w:val="24"/>
                <w:szCs w:val="24"/>
                <w:lang w:eastAsia="lv-LV"/>
              </w:rPr>
            </w:pPr>
            <w:r w:rsidRPr="0012317D">
              <w:rPr>
                <w:rFonts w:ascii="Times New Roman" w:hAnsi="Times New Roman"/>
                <w:b/>
                <w:bCs/>
                <w:sz w:val="24"/>
                <w:szCs w:val="24"/>
              </w:rPr>
              <w:t>Reformas rezultāts: Nodrošināta valsts apmaksāta zobārstnieciskā</w:t>
            </w:r>
            <w:r w:rsidRPr="00901A9F">
              <w:rPr>
                <w:rFonts w:ascii="Times New Roman" w:hAnsi="Times New Roman"/>
                <w:b/>
                <w:bCs/>
                <w:sz w:val="24"/>
                <w:szCs w:val="24"/>
              </w:rPr>
              <w:t xml:space="preserve"> palīdzība bērniem, tādejādi uzlabojot pieejamību un mazinot rindu garumu. Izpildītas noteiktās ES saistības par kompozīta materiāla plombju pielietošanu zobārstniecībā no 2018. gada.</w:t>
            </w:r>
          </w:p>
        </w:tc>
      </w:tr>
    </w:tbl>
    <w:p w14:paraId="7BCD8D11" w14:textId="05AC360D" w:rsidR="00275DA7" w:rsidRPr="00847710" w:rsidRDefault="00275DA7" w:rsidP="00506C6F">
      <w:pPr>
        <w:ind w:firstLine="709"/>
        <w:jc w:val="both"/>
        <w:rPr>
          <w:rFonts w:ascii="Times New Roman" w:hAnsi="Times New Roman" w:cs="Times New Roman"/>
          <w:b/>
          <w:sz w:val="24"/>
          <w:szCs w:val="24"/>
        </w:rPr>
      </w:pPr>
    </w:p>
    <w:p w14:paraId="46DB8849" w14:textId="7A914C14" w:rsidR="005729EA" w:rsidRPr="00820900" w:rsidRDefault="00CA2533" w:rsidP="00820900">
      <w:pPr>
        <w:pStyle w:val="Heading2"/>
        <w:spacing w:before="0" w:after="200"/>
        <w:ind w:left="425"/>
        <w:jc w:val="center"/>
        <w:rPr>
          <w:rStyle w:val="Heading1Char"/>
          <w:rFonts w:ascii="Times New Roman" w:hAnsi="Times New Roman" w:cs="Times New Roman"/>
          <w:b/>
          <w:bCs/>
          <w:color w:val="auto"/>
          <w:sz w:val="24"/>
          <w:szCs w:val="24"/>
        </w:rPr>
      </w:pPr>
      <w:r w:rsidRPr="0012317D">
        <w:rPr>
          <w:rStyle w:val="Heading1Char"/>
          <w:rFonts w:ascii="Times New Roman" w:hAnsi="Times New Roman" w:cs="Times New Roman"/>
          <w:b/>
          <w:bCs/>
          <w:color w:val="auto"/>
          <w:sz w:val="24"/>
          <w:szCs w:val="24"/>
        </w:rPr>
        <w:t xml:space="preserve">5. </w:t>
      </w:r>
      <w:r w:rsidR="000A1217" w:rsidRPr="00901A9F">
        <w:rPr>
          <w:rStyle w:val="Heading1Char"/>
          <w:rFonts w:ascii="Times New Roman" w:hAnsi="Times New Roman" w:cs="Times New Roman"/>
          <w:b/>
          <w:bCs/>
          <w:color w:val="auto"/>
          <w:sz w:val="24"/>
          <w:szCs w:val="24"/>
        </w:rPr>
        <w:t xml:space="preserve"> </w:t>
      </w:r>
      <w:r w:rsidR="007E2BB2" w:rsidRPr="0078794A">
        <w:rPr>
          <w:rStyle w:val="Heading1Char"/>
          <w:rFonts w:ascii="Times New Roman" w:hAnsi="Times New Roman" w:cs="Times New Roman"/>
          <w:b/>
          <w:bCs/>
          <w:color w:val="auto"/>
          <w:sz w:val="24"/>
          <w:szCs w:val="24"/>
        </w:rPr>
        <w:t>Jaunā</w:t>
      </w:r>
      <w:r w:rsidR="00B473E3" w:rsidRPr="00BD7921">
        <w:rPr>
          <w:rStyle w:val="Heading1Char"/>
          <w:rFonts w:ascii="Times New Roman" w:hAnsi="Times New Roman" w:cs="Times New Roman"/>
          <w:b/>
          <w:bCs/>
          <w:color w:val="auto"/>
          <w:sz w:val="24"/>
          <w:szCs w:val="24"/>
        </w:rPr>
        <w:t xml:space="preserve"> reformas iniciatīva - </w:t>
      </w:r>
      <w:r w:rsidR="005729EA" w:rsidRPr="004D4B58">
        <w:rPr>
          <w:rStyle w:val="Heading1Char"/>
          <w:rFonts w:ascii="Times New Roman" w:hAnsi="Times New Roman" w:cs="Times New Roman"/>
          <w:b/>
          <w:color w:val="auto"/>
          <w:sz w:val="24"/>
          <w:szCs w:val="24"/>
        </w:rPr>
        <w:t>Kardiovas</w:t>
      </w:r>
      <w:r w:rsidR="002B6BD1" w:rsidRPr="00890961">
        <w:rPr>
          <w:rStyle w:val="Heading1Char"/>
          <w:rFonts w:ascii="Times New Roman" w:hAnsi="Times New Roman" w:cs="Times New Roman"/>
          <w:b/>
          <w:bCs/>
          <w:color w:val="auto"/>
          <w:sz w:val="24"/>
          <w:szCs w:val="24"/>
        </w:rPr>
        <w:t>kulārās</w:t>
      </w:r>
      <w:r w:rsidR="002B6BD1" w:rsidRPr="00583196">
        <w:rPr>
          <w:rStyle w:val="Heading1Char"/>
          <w:rFonts w:ascii="Times New Roman" w:hAnsi="Times New Roman" w:cs="Times New Roman"/>
          <w:b/>
          <w:bCs/>
          <w:color w:val="auto"/>
          <w:sz w:val="24"/>
          <w:szCs w:val="24"/>
        </w:rPr>
        <w:t xml:space="preserve"> saslimstības mazināšana</w:t>
      </w:r>
      <w:r w:rsidR="005729EA" w:rsidRPr="00301B7F">
        <w:rPr>
          <w:rStyle w:val="Heading1Char"/>
          <w:rFonts w:ascii="Times New Roman" w:hAnsi="Times New Roman" w:cs="Times New Roman"/>
          <w:b/>
          <w:bCs/>
          <w:color w:val="auto"/>
          <w:sz w:val="24"/>
          <w:szCs w:val="24"/>
        </w:rPr>
        <w:t xml:space="preserve"> un slimību ārstēšanas efektivitātes uzlabošana</w:t>
      </w:r>
    </w:p>
    <w:p w14:paraId="2AE00BC5" w14:textId="32B08C4C" w:rsidR="00D22762" w:rsidRPr="00847710" w:rsidRDefault="00D22762" w:rsidP="00064564">
      <w:pPr>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Sirds un asinsvadu slimības ir nozīmīga sabiedrības veselības problēma gan Latvijā, gan ES. To apliecina augstie mirstības, saslimstības un hospitalizācijas rādītāji. Sirds un asinsvadu slimības (turpmāk </w:t>
      </w:r>
      <w:r w:rsidR="00CA2533" w:rsidRPr="00847710">
        <w:rPr>
          <w:rFonts w:ascii="Times New Roman" w:hAnsi="Times New Roman" w:cs="Times New Roman"/>
          <w:sz w:val="24"/>
          <w:szCs w:val="24"/>
          <w:lang w:eastAsia="lv-LV"/>
        </w:rPr>
        <w:t xml:space="preserve">- </w:t>
      </w:r>
      <w:r w:rsidRPr="00847710">
        <w:rPr>
          <w:rFonts w:ascii="Times New Roman" w:hAnsi="Times New Roman" w:cs="Times New Roman"/>
          <w:sz w:val="24"/>
          <w:szCs w:val="24"/>
          <w:lang w:eastAsia="lv-LV"/>
        </w:rPr>
        <w:t>SAS) ir visizplatītākais nāves cēlonis Latvijā: 2012.gadā – 54,9%, 2015.gadā – 57,4% (no visiem mirušajiem). Šo slimību dēļ kopējais mirušo skaits 2015.gadā bija 16,2 tūkstoši (2011.gadā – 15,7 tūkstoši).</w:t>
      </w:r>
      <w:r w:rsidRPr="00847710">
        <w:rPr>
          <w:rFonts w:ascii="Times New Roman" w:hAnsi="Times New Roman" w:cs="Times New Roman"/>
          <w:vertAlign w:val="superscript"/>
          <w:lang w:eastAsia="lv-LV"/>
        </w:rPr>
        <w:footnoteReference w:id="64"/>
      </w:r>
    </w:p>
    <w:p w14:paraId="7299A042" w14:textId="077DB50E" w:rsidR="00847710" w:rsidRDefault="00D22762" w:rsidP="00C40C5D">
      <w:pPr>
        <w:ind w:firstLine="720"/>
        <w:jc w:val="both"/>
        <w:rPr>
          <w:rFonts w:ascii="Times New Roman" w:hAnsi="Times New Roman" w:cs="Times New Roman"/>
          <w:i/>
          <w:iCs/>
          <w:sz w:val="24"/>
          <w:szCs w:val="24"/>
        </w:rPr>
      </w:pPr>
      <w:r w:rsidRPr="00847710">
        <w:rPr>
          <w:rFonts w:ascii="Times New Roman" w:hAnsi="Times New Roman" w:cs="Times New Roman"/>
          <w:sz w:val="24"/>
          <w:szCs w:val="24"/>
          <w:lang w:eastAsia="lv-LV"/>
        </w:rPr>
        <w:t xml:space="preserve">2015.gadā priekšlaicīga mirstība (līdz 64 gadu vecumam) veido 14,2% no kopējā mirušo skaita no SAS (2011.gadā – 17%). Neskatoties uz to, ka pēdējos gados situācija Latvijā uzlabojas un priekšlaicīga mirstība no SAS mazinās, Latvijā tā joprojām ir vairāk kā trīs reizes augstāka nekā vidēji ES valstīs un augstākā Baltijas valstīs (skatīt </w:t>
      </w:r>
      <w:r w:rsidR="24BB286F" w:rsidRPr="00847710">
        <w:rPr>
          <w:rFonts w:ascii="Times New Roman" w:hAnsi="Times New Roman" w:cs="Times New Roman"/>
          <w:sz w:val="24"/>
          <w:szCs w:val="24"/>
          <w:lang w:eastAsia="lv-LV"/>
        </w:rPr>
        <w:t>9</w:t>
      </w:r>
      <w:r w:rsidRPr="00847710">
        <w:rPr>
          <w:rFonts w:ascii="Times New Roman" w:hAnsi="Times New Roman" w:cs="Times New Roman"/>
          <w:sz w:val="24"/>
          <w:szCs w:val="24"/>
          <w:lang w:eastAsia="lv-LV"/>
        </w:rPr>
        <w:t>.attēlu).</w:t>
      </w:r>
    </w:p>
    <w:p w14:paraId="14D8FDEA" w14:textId="370C6C0B" w:rsidR="0040747C" w:rsidRPr="00820900" w:rsidRDefault="3840C1C8">
      <w:pPr>
        <w:jc w:val="right"/>
        <w:rPr>
          <w:rFonts w:ascii="Times New Roman" w:hAnsi="Times New Roman" w:cs="Times New Roman"/>
          <w:i/>
          <w:iCs/>
          <w:sz w:val="24"/>
          <w:szCs w:val="24"/>
        </w:rPr>
      </w:pPr>
      <w:r w:rsidRPr="57326167">
        <w:rPr>
          <w:rFonts w:ascii="Times New Roman" w:hAnsi="Times New Roman" w:cs="Times New Roman"/>
          <w:i/>
          <w:iCs/>
          <w:sz w:val="24"/>
          <w:szCs w:val="24"/>
        </w:rPr>
        <w:t>9</w:t>
      </w:r>
      <w:r w:rsidR="00D22762" w:rsidRPr="57326167">
        <w:rPr>
          <w:rFonts w:ascii="Times New Roman" w:hAnsi="Times New Roman" w:cs="Times New Roman"/>
          <w:i/>
          <w:iCs/>
          <w:sz w:val="24"/>
          <w:szCs w:val="24"/>
        </w:rPr>
        <w:t>.attēls.</w:t>
      </w:r>
    </w:p>
    <w:p w14:paraId="56BB92DC" w14:textId="5668FDAF" w:rsidR="00D22762" w:rsidRPr="00820900" w:rsidRDefault="00D22762">
      <w:pPr>
        <w:jc w:val="center"/>
        <w:rPr>
          <w:rFonts w:ascii="Times New Roman" w:hAnsi="Times New Roman" w:cs="Times New Roman"/>
          <w:b/>
          <w:bCs/>
          <w:sz w:val="24"/>
          <w:szCs w:val="24"/>
        </w:rPr>
      </w:pPr>
      <w:r w:rsidRPr="0012317D">
        <w:rPr>
          <w:rFonts w:ascii="Times New Roman" w:hAnsi="Times New Roman" w:cs="Times New Roman"/>
          <w:b/>
          <w:bCs/>
          <w:sz w:val="24"/>
          <w:szCs w:val="24"/>
        </w:rPr>
        <w:t>Standartizētā priekšlaicīga mirstība (0-64 gadi) no SAS Baltijas valstīs un ES no 2006. līdz 2014.gadam (uz 100 000 iedzīvotāju).</w:t>
      </w:r>
    </w:p>
    <w:p w14:paraId="74FDF3F6" w14:textId="77777777" w:rsidR="00D22762" w:rsidRPr="00847710" w:rsidRDefault="00D22762" w:rsidP="00D22762">
      <w:pPr>
        <w:jc w:val="center"/>
        <w:rPr>
          <w:rFonts w:ascii="Times New Roman" w:eastAsia="TTA20401A8t00" w:hAnsi="Times New Roman" w:cs="Times New Roman"/>
          <w:color w:val="FF0000"/>
          <w:sz w:val="24"/>
          <w:szCs w:val="24"/>
        </w:rPr>
      </w:pPr>
      <w:r w:rsidRPr="00847710">
        <w:rPr>
          <w:rFonts w:ascii="Times New Roman" w:eastAsia="TTA20401A8t00" w:hAnsi="Times New Roman" w:cs="Times New Roman"/>
          <w:noProof/>
          <w:color w:val="FF0000"/>
          <w:sz w:val="24"/>
          <w:szCs w:val="24"/>
          <w:bdr w:val="single" w:sz="4" w:space="0" w:color="auto"/>
          <w:lang w:eastAsia="lv-LV"/>
        </w:rPr>
        <w:drawing>
          <wp:inline distT="0" distB="0" distL="0" distR="0" wp14:anchorId="4AA6FBE2" wp14:editId="52324363">
            <wp:extent cx="5094605" cy="2219325"/>
            <wp:effectExtent l="0" t="0" r="10795" b="952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850FBD" w14:textId="77777777" w:rsidR="00D22762" w:rsidRPr="00820900" w:rsidRDefault="00D22762">
      <w:pPr>
        <w:jc w:val="both"/>
        <w:rPr>
          <w:rFonts w:ascii="Times New Roman" w:hAnsi="Times New Roman" w:cs="Times New Roman"/>
          <w:i/>
          <w:iCs/>
          <w:sz w:val="24"/>
          <w:szCs w:val="24"/>
        </w:rPr>
      </w:pPr>
      <w:r w:rsidRPr="57326167">
        <w:rPr>
          <w:rFonts w:ascii="Times New Roman" w:hAnsi="Times New Roman" w:cs="Times New Roman"/>
          <w:i/>
          <w:iCs/>
          <w:sz w:val="24"/>
          <w:szCs w:val="24"/>
        </w:rPr>
        <w:t>Avots: PVO Health for All datubāze.</w:t>
      </w:r>
    </w:p>
    <w:p w14:paraId="0153C11D" w14:textId="2174E278" w:rsidR="00FB010E" w:rsidRPr="00820900" w:rsidRDefault="00D22762">
      <w:pPr>
        <w:jc w:val="both"/>
        <w:rPr>
          <w:rFonts w:ascii="Times New Roman" w:hAnsi="Times New Roman" w:cs="Times New Roman"/>
          <w:i/>
          <w:iCs/>
          <w:sz w:val="24"/>
          <w:szCs w:val="24"/>
        </w:rPr>
      </w:pPr>
      <w:r w:rsidRPr="00847710">
        <w:rPr>
          <w:rFonts w:ascii="Times New Roman" w:hAnsi="Times New Roman" w:cs="Times New Roman"/>
          <w:sz w:val="24"/>
          <w:szCs w:val="24"/>
          <w:lang w:eastAsia="lv-LV"/>
        </w:rPr>
        <w:t xml:space="preserve">Galvenais nāves cēlonis SAS grupā 2015.gadā bija sirds išēmiskā slimība,    cerebrovaskulāras slimības un hipertensīvas slimības (skatīt </w:t>
      </w:r>
      <w:r w:rsidR="46B1C6E5" w:rsidRPr="00847710">
        <w:rPr>
          <w:rFonts w:ascii="Times New Roman" w:hAnsi="Times New Roman" w:cs="Times New Roman"/>
          <w:sz w:val="24"/>
          <w:szCs w:val="24"/>
          <w:lang w:eastAsia="lv-LV"/>
        </w:rPr>
        <w:t>10</w:t>
      </w:r>
      <w:r w:rsidRPr="00847710">
        <w:rPr>
          <w:rFonts w:ascii="Times New Roman" w:hAnsi="Times New Roman" w:cs="Times New Roman"/>
          <w:sz w:val="24"/>
          <w:szCs w:val="24"/>
          <w:lang w:eastAsia="lv-LV"/>
        </w:rPr>
        <w:t>.attēlu). Savukārt visbiežākais sirds išēmiskās slimības cēlonis ir koronāro artēriju ateroskleroz</w:t>
      </w:r>
      <w:r w:rsidR="0044452A" w:rsidRPr="00847710">
        <w:rPr>
          <w:rFonts w:ascii="Times New Roman" w:hAnsi="Times New Roman" w:cs="Times New Roman"/>
          <w:sz w:val="24"/>
          <w:szCs w:val="24"/>
          <w:lang w:eastAsia="lv-LV"/>
        </w:rPr>
        <w:t>e.</w:t>
      </w:r>
    </w:p>
    <w:p w14:paraId="039B5B33" w14:textId="33EDA542" w:rsidR="0040747C" w:rsidRPr="00820900" w:rsidRDefault="24BB286F">
      <w:pPr>
        <w:jc w:val="right"/>
        <w:rPr>
          <w:rFonts w:ascii="Times New Roman" w:hAnsi="Times New Roman" w:cs="Times New Roman"/>
          <w:i/>
          <w:iCs/>
          <w:sz w:val="24"/>
          <w:szCs w:val="24"/>
        </w:rPr>
      </w:pPr>
      <w:r w:rsidRPr="57326167">
        <w:rPr>
          <w:rFonts w:ascii="Times New Roman" w:hAnsi="Times New Roman" w:cs="Times New Roman"/>
          <w:i/>
          <w:iCs/>
          <w:sz w:val="24"/>
          <w:szCs w:val="24"/>
        </w:rPr>
        <w:t>10</w:t>
      </w:r>
      <w:r w:rsidR="0040747C" w:rsidRPr="57326167">
        <w:rPr>
          <w:rFonts w:ascii="Times New Roman" w:hAnsi="Times New Roman" w:cs="Times New Roman"/>
          <w:i/>
          <w:iCs/>
          <w:sz w:val="24"/>
          <w:szCs w:val="24"/>
        </w:rPr>
        <w:t>.attēls.</w:t>
      </w:r>
    </w:p>
    <w:p w14:paraId="57A05784" w14:textId="6257C053" w:rsidR="00D22762" w:rsidRPr="00820900" w:rsidRDefault="00D22762">
      <w:pPr>
        <w:jc w:val="center"/>
        <w:rPr>
          <w:rFonts w:ascii="Times New Roman" w:hAnsi="Times New Roman" w:cs="Times New Roman"/>
          <w:b/>
          <w:bCs/>
          <w:sz w:val="24"/>
          <w:szCs w:val="24"/>
        </w:rPr>
      </w:pPr>
      <w:r w:rsidRPr="0012317D">
        <w:rPr>
          <w:rFonts w:ascii="Times New Roman" w:hAnsi="Times New Roman" w:cs="Times New Roman"/>
          <w:b/>
          <w:bCs/>
          <w:sz w:val="24"/>
          <w:szCs w:val="24"/>
        </w:rPr>
        <w:t>Mirstība no SAS Latvijā no 2006. līdz 2015.gadam (uz 100 000 iedzīvotāju).</w:t>
      </w:r>
    </w:p>
    <w:p w14:paraId="3D4A378C" w14:textId="77777777" w:rsidR="00D22762" w:rsidRPr="00847710" w:rsidRDefault="00D22762" w:rsidP="00D22762">
      <w:pPr>
        <w:jc w:val="center"/>
        <w:rPr>
          <w:rFonts w:ascii="Times New Roman" w:hAnsi="Times New Roman" w:cs="Times New Roman"/>
          <w:sz w:val="24"/>
          <w:szCs w:val="24"/>
        </w:rPr>
      </w:pPr>
      <w:r w:rsidRPr="00847710">
        <w:rPr>
          <w:rFonts w:ascii="Times New Roman" w:hAnsi="Times New Roman" w:cs="Times New Roman"/>
          <w:noProof/>
          <w:sz w:val="24"/>
          <w:szCs w:val="24"/>
          <w:bdr w:val="single" w:sz="4" w:space="0" w:color="auto"/>
          <w:lang w:eastAsia="lv-LV"/>
        </w:rPr>
        <w:drawing>
          <wp:inline distT="0" distB="0" distL="0" distR="0" wp14:anchorId="165E1EF7" wp14:editId="111930E3">
            <wp:extent cx="5029200" cy="2209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41D278" w14:textId="77777777" w:rsidR="00D22762" w:rsidRPr="00820900" w:rsidRDefault="00D22762">
      <w:pPr>
        <w:jc w:val="both"/>
        <w:rPr>
          <w:rFonts w:ascii="Times New Roman" w:hAnsi="Times New Roman" w:cs="Times New Roman"/>
          <w:i/>
          <w:iCs/>
          <w:sz w:val="24"/>
          <w:szCs w:val="24"/>
        </w:rPr>
      </w:pPr>
      <w:r w:rsidRPr="57326167">
        <w:rPr>
          <w:rFonts w:ascii="Times New Roman" w:hAnsi="Times New Roman" w:cs="Times New Roman"/>
          <w:i/>
          <w:iCs/>
          <w:sz w:val="24"/>
          <w:szCs w:val="24"/>
        </w:rPr>
        <w:t>Avots: SPKC, Latvijas iedzīvotāju nāves cēloņu datu bāze</w:t>
      </w:r>
    </w:p>
    <w:p w14:paraId="6F3432E9" w14:textId="77777777" w:rsidR="00D22762" w:rsidRPr="00847710" w:rsidRDefault="00D22762" w:rsidP="00D9713E">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Sirds un asinsvadu veselības uzlabošanas rīcības plānā 2013.-2015.gadam tika identificētas sekojošas galvenās problēmas: </w:t>
      </w:r>
    </w:p>
    <w:p w14:paraId="3A41DAA5" w14:textId="763E6387" w:rsidR="00D9713E" w:rsidRPr="00847710" w:rsidRDefault="00D22762" w:rsidP="00315286">
      <w:pPr>
        <w:pStyle w:val="NoSpacing"/>
        <w:numPr>
          <w:ilvl w:val="0"/>
          <w:numId w:val="27"/>
        </w:numPr>
        <w:spacing w:line="276" w:lineRule="auto"/>
        <w:jc w:val="both"/>
        <w:rPr>
          <w:rFonts w:ascii="Times New Roman" w:hAnsi="Times New Roman" w:cs="Times New Roman"/>
          <w:sz w:val="24"/>
          <w:szCs w:val="24"/>
        </w:rPr>
      </w:pPr>
      <w:r w:rsidRPr="00847710">
        <w:rPr>
          <w:rFonts w:ascii="Times New Roman" w:hAnsi="Times New Roman" w:cs="Times New Roman"/>
          <w:sz w:val="24"/>
          <w:szCs w:val="24"/>
        </w:rPr>
        <w:t>Augsta ietekmējamo jeb novēršamo risku faktoru izplatība sabiedrībā</w:t>
      </w:r>
      <w:r w:rsidR="0036401B" w:rsidRPr="00847710">
        <w:rPr>
          <w:rFonts w:ascii="Times New Roman" w:hAnsi="Times New Roman" w:cs="Times New Roman"/>
          <w:sz w:val="24"/>
          <w:szCs w:val="24"/>
        </w:rPr>
        <w:t>;</w:t>
      </w:r>
    </w:p>
    <w:p w14:paraId="3F4AB9C0" w14:textId="527D250F" w:rsidR="00D22762" w:rsidRPr="00847710" w:rsidRDefault="00D22762" w:rsidP="00315286">
      <w:pPr>
        <w:pStyle w:val="NoSpacing"/>
        <w:numPr>
          <w:ilvl w:val="0"/>
          <w:numId w:val="27"/>
        </w:numPr>
        <w:spacing w:line="276" w:lineRule="auto"/>
        <w:jc w:val="both"/>
        <w:rPr>
          <w:rFonts w:ascii="Times New Roman" w:hAnsi="Times New Roman" w:cs="Times New Roman"/>
          <w:sz w:val="24"/>
          <w:szCs w:val="24"/>
        </w:rPr>
      </w:pPr>
      <w:r w:rsidRPr="00847710">
        <w:rPr>
          <w:rFonts w:ascii="Times New Roman" w:hAnsi="Times New Roman" w:cs="Times New Roman"/>
          <w:sz w:val="24"/>
          <w:szCs w:val="24"/>
        </w:rPr>
        <w:t>Priekšlaicīga mirstība no sirds un asinsvadu slimībām sabiedrībā joprojām ir augsta, it īpaši, vīriešu (vecumā grupā no 0-64 gadiem) vidū</w:t>
      </w:r>
      <w:r w:rsidR="0036401B" w:rsidRPr="00847710">
        <w:rPr>
          <w:rFonts w:ascii="Times New Roman" w:hAnsi="Times New Roman" w:cs="Times New Roman"/>
          <w:sz w:val="24"/>
          <w:szCs w:val="24"/>
        </w:rPr>
        <w:t>;</w:t>
      </w:r>
    </w:p>
    <w:p w14:paraId="30C4C53B" w14:textId="26038366" w:rsidR="00D22762" w:rsidRPr="00847710" w:rsidRDefault="00D22762" w:rsidP="00315286">
      <w:pPr>
        <w:pStyle w:val="NoSpacing"/>
        <w:numPr>
          <w:ilvl w:val="0"/>
          <w:numId w:val="27"/>
        </w:numPr>
        <w:spacing w:line="276" w:lineRule="auto"/>
        <w:jc w:val="both"/>
        <w:rPr>
          <w:rFonts w:ascii="Times New Roman" w:hAnsi="Times New Roman" w:cs="Times New Roman"/>
          <w:sz w:val="24"/>
          <w:szCs w:val="24"/>
        </w:rPr>
      </w:pPr>
      <w:r w:rsidRPr="00847710">
        <w:rPr>
          <w:rFonts w:ascii="Times New Roman" w:hAnsi="Times New Roman" w:cs="Times New Roman"/>
          <w:sz w:val="24"/>
          <w:szCs w:val="24"/>
        </w:rPr>
        <w:t>Sirds un asinsvadu slimību profilakses un ārstēšanas iespējas primārajā, sekundārajā un terciārajā līmenī valstī ir ierobežotas, bet iedzīvotāju īpatsvars, kuriem būtu nepieciešama palīdzība, ir augsts</w:t>
      </w:r>
      <w:r w:rsidR="0036401B" w:rsidRPr="00847710">
        <w:rPr>
          <w:rFonts w:ascii="Times New Roman" w:hAnsi="Times New Roman" w:cs="Times New Roman"/>
          <w:sz w:val="24"/>
          <w:szCs w:val="24"/>
        </w:rPr>
        <w:t>;</w:t>
      </w:r>
    </w:p>
    <w:p w14:paraId="07CF310B" w14:textId="6FD49673" w:rsidR="00D22762" w:rsidRPr="00847710" w:rsidRDefault="00D22762" w:rsidP="00315286">
      <w:pPr>
        <w:pStyle w:val="NoSpacing"/>
        <w:numPr>
          <w:ilvl w:val="0"/>
          <w:numId w:val="27"/>
        </w:numPr>
        <w:spacing w:line="276" w:lineRule="auto"/>
        <w:jc w:val="both"/>
        <w:rPr>
          <w:rFonts w:ascii="Times New Roman" w:hAnsi="Times New Roman" w:cs="Times New Roman"/>
          <w:sz w:val="24"/>
          <w:szCs w:val="24"/>
        </w:rPr>
      </w:pPr>
      <w:r w:rsidRPr="00847710">
        <w:rPr>
          <w:rFonts w:ascii="Times New Roman" w:hAnsi="Times New Roman" w:cs="Times New Roman"/>
          <w:sz w:val="24"/>
          <w:szCs w:val="24"/>
        </w:rPr>
        <w:t>Samazināta sirds un asinsvadu veselības aprūpes sistēmas resursu pieejamība un kvalitāte</w:t>
      </w:r>
      <w:r w:rsidR="0036401B" w:rsidRPr="00847710">
        <w:rPr>
          <w:rFonts w:ascii="Times New Roman" w:hAnsi="Times New Roman" w:cs="Times New Roman"/>
          <w:sz w:val="24"/>
          <w:szCs w:val="24"/>
        </w:rPr>
        <w:t>;</w:t>
      </w:r>
    </w:p>
    <w:p w14:paraId="329926D9" w14:textId="499CB509" w:rsidR="00D22762" w:rsidRPr="00847710" w:rsidRDefault="00D22762" w:rsidP="00315286">
      <w:pPr>
        <w:pStyle w:val="NoSpacing"/>
        <w:numPr>
          <w:ilvl w:val="0"/>
          <w:numId w:val="27"/>
        </w:numPr>
        <w:spacing w:line="276" w:lineRule="auto"/>
        <w:jc w:val="both"/>
        <w:rPr>
          <w:rFonts w:ascii="Times New Roman" w:hAnsi="Times New Roman" w:cs="Times New Roman"/>
          <w:sz w:val="24"/>
          <w:szCs w:val="24"/>
        </w:rPr>
      </w:pPr>
      <w:r w:rsidRPr="00847710">
        <w:rPr>
          <w:rFonts w:ascii="Times New Roman" w:hAnsi="Times New Roman" w:cs="Times New Roman"/>
          <w:sz w:val="24"/>
          <w:szCs w:val="24"/>
        </w:rPr>
        <w:t>Neatbilstošs un nepietiekams sirds un asinsvadu slimību monitorings valstī</w:t>
      </w:r>
      <w:r w:rsidR="0036401B" w:rsidRPr="00847710">
        <w:rPr>
          <w:rFonts w:ascii="Times New Roman" w:hAnsi="Times New Roman" w:cs="Times New Roman"/>
          <w:sz w:val="24"/>
          <w:szCs w:val="24"/>
        </w:rPr>
        <w:t>;</w:t>
      </w:r>
    </w:p>
    <w:p w14:paraId="387420FC" w14:textId="1BD9EC78" w:rsidR="00D22762" w:rsidRPr="00847710" w:rsidRDefault="00D22762" w:rsidP="00315286">
      <w:pPr>
        <w:pStyle w:val="NoSpacing"/>
        <w:numPr>
          <w:ilvl w:val="0"/>
          <w:numId w:val="27"/>
        </w:numPr>
        <w:spacing w:line="276" w:lineRule="auto"/>
        <w:jc w:val="both"/>
        <w:rPr>
          <w:rFonts w:ascii="Times New Roman" w:hAnsi="Times New Roman" w:cs="Times New Roman"/>
          <w:sz w:val="24"/>
          <w:szCs w:val="24"/>
        </w:rPr>
      </w:pPr>
      <w:r w:rsidRPr="00847710">
        <w:rPr>
          <w:rFonts w:ascii="Times New Roman" w:hAnsi="Times New Roman" w:cs="Times New Roman"/>
          <w:sz w:val="24"/>
          <w:szCs w:val="24"/>
        </w:rPr>
        <w:t>Netiek metodiski vadīts sirds un asinsvadu slimību pacientu plūsma veselības aprūpes sistēmā (nav nodrošināta atgriezeniskā saite starp ģimenes ārstu un kardiologu)</w:t>
      </w:r>
      <w:r w:rsidR="0036401B" w:rsidRPr="00847710">
        <w:rPr>
          <w:rFonts w:ascii="Times New Roman" w:hAnsi="Times New Roman" w:cs="Times New Roman"/>
          <w:sz w:val="24"/>
          <w:szCs w:val="24"/>
        </w:rPr>
        <w:t>;</w:t>
      </w:r>
    </w:p>
    <w:p w14:paraId="5A222854" w14:textId="1251750A" w:rsidR="00D22762" w:rsidRPr="00847710" w:rsidRDefault="00D22762" w:rsidP="00315286">
      <w:pPr>
        <w:pStyle w:val="NoSpacing"/>
        <w:numPr>
          <w:ilvl w:val="0"/>
          <w:numId w:val="27"/>
        </w:numPr>
        <w:spacing w:line="276" w:lineRule="auto"/>
        <w:jc w:val="both"/>
        <w:rPr>
          <w:rFonts w:ascii="Times New Roman" w:hAnsi="Times New Roman" w:cs="Times New Roman"/>
          <w:sz w:val="24"/>
          <w:szCs w:val="24"/>
        </w:rPr>
      </w:pPr>
      <w:r w:rsidRPr="00847710">
        <w:rPr>
          <w:rFonts w:ascii="Times New Roman" w:hAnsi="Times New Roman" w:cs="Times New Roman"/>
          <w:sz w:val="24"/>
          <w:szCs w:val="24"/>
        </w:rPr>
        <w:t>Primārās veselības aprūpes pakalpojumu sniedzēju zināšanas nav pietiekošas, lai nodrošinātu agrīnu SAS riska izvērtēšanu</w:t>
      </w:r>
      <w:r w:rsidR="0036401B" w:rsidRPr="00847710">
        <w:rPr>
          <w:rFonts w:ascii="Times New Roman" w:hAnsi="Times New Roman" w:cs="Times New Roman"/>
          <w:sz w:val="24"/>
          <w:szCs w:val="24"/>
        </w:rPr>
        <w:t>;</w:t>
      </w:r>
    </w:p>
    <w:p w14:paraId="129B9B55" w14:textId="5A03B202" w:rsidR="00D22762" w:rsidRPr="00847710" w:rsidRDefault="00D22762" w:rsidP="00315286">
      <w:pPr>
        <w:pStyle w:val="NoSpacing"/>
        <w:numPr>
          <w:ilvl w:val="0"/>
          <w:numId w:val="27"/>
        </w:numPr>
        <w:spacing w:after="120" w:line="276" w:lineRule="auto"/>
        <w:jc w:val="both"/>
        <w:rPr>
          <w:rFonts w:ascii="Times New Roman" w:hAnsi="Times New Roman" w:cs="Times New Roman"/>
          <w:sz w:val="24"/>
          <w:szCs w:val="24"/>
        </w:rPr>
      </w:pPr>
      <w:r w:rsidRPr="00847710">
        <w:rPr>
          <w:rFonts w:ascii="Times New Roman" w:hAnsi="Times New Roman" w:cs="Times New Roman"/>
          <w:sz w:val="24"/>
          <w:szCs w:val="24"/>
        </w:rPr>
        <w:t>Latvijā netiek veikts skrīnings konkrētām mērķa grupām, lai agrīni diagnosticētu SAS un nodrošinātu savlaicīgu ārstēšanu</w:t>
      </w:r>
      <w:r w:rsidRPr="00847710">
        <w:rPr>
          <w:rStyle w:val="FootnoteReference"/>
          <w:rFonts w:ascii="Times New Roman" w:hAnsi="Times New Roman" w:cs="Times New Roman"/>
          <w:sz w:val="24"/>
          <w:szCs w:val="24"/>
        </w:rPr>
        <w:footnoteReference w:id="65"/>
      </w:r>
      <w:r w:rsidR="0036401B" w:rsidRPr="00847710">
        <w:rPr>
          <w:rFonts w:ascii="Times New Roman" w:hAnsi="Times New Roman" w:cs="Times New Roman"/>
          <w:sz w:val="24"/>
          <w:szCs w:val="24"/>
        </w:rPr>
        <w:t>.</w:t>
      </w:r>
    </w:p>
    <w:p w14:paraId="76A2BD8E" w14:textId="77777777" w:rsidR="00D22762" w:rsidRPr="00847710" w:rsidRDefault="00D22762" w:rsidP="00D9713E">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Mērķi samazināt mirstību no sirds un asinsvadu slimībām, mazinot riska faktoru negatīvo ietekmi uz veselību sasniegšanai var sasniegt, realizējot četrus rīcības virzienus:</w:t>
      </w:r>
    </w:p>
    <w:p w14:paraId="5C4EDAD5" w14:textId="77777777" w:rsidR="00D22762" w:rsidRPr="00847710" w:rsidRDefault="00D22762" w:rsidP="009E109E">
      <w:pPr>
        <w:pStyle w:val="NoSpacing"/>
        <w:spacing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1)</w:t>
      </w:r>
      <w:r w:rsidRPr="00847710">
        <w:rPr>
          <w:rFonts w:ascii="Times New Roman" w:hAnsi="Times New Roman" w:cs="Times New Roman"/>
          <w:sz w:val="24"/>
          <w:szCs w:val="24"/>
        </w:rPr>
        <w:tab/>
        <w:t>sirds un asinsvadu slimību profilakses veicināšana un riska faktoru ietekmes mazināšana;</w:t>
      </w:r>
    </w:p>
    <w:p w14:paraId="582E0D19" w14:textId="77777777" w:rsidR="00D22762" w:rsidRPr="00847710" w:rsidRDefault="00D22762" w:rsidP="009E109E">
      <w:pPr>
        <w:pStyle w:val="NoSpacing"/>
        <w:spacing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2)</w:t>
      </w:r>
      <w:r w:rsidRPr="00847710">
        <w:rPr>
          <w:rFonts w:ascii="Times New Roman" w:hAnsi="Times New Roman" w:cs="Times New Roman"/>
          <w:sz w:val="24"/>
          <w:szCs w:val="24"/>
        </w:rPr>
        <w:tab/>
        <w:t>sirds un asinsvadu slimību veselības aprūpes pakalpojumu kvalitātes uzlabošana;</w:t>
      </w:r>
    </w:p>
    <w:p w14:paraId="79B94B40" w14:textId="77777777" w:rsidR="00D22762" w:rsidRPr="00847710" w:rsidRDefault="00D22762" w:rsidP="009E109E">
      <w:pPr>
        <w:pStyle w:val="NoSpacing"/>
        <w:spacing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3)</w:t>
      </w:r>
      <w:r w:rsidRPr="00847710">
        <w:rPr>
          <w:rFonts w:ascii="Times New Roman" w:hAnsi="Times New Roman" w:cs="Times New Roman"/>
          <w:sz w:val="24"/>
          <w:szCs w:val="24"/>
        </w:rPr>
        <w:tab/>
        <w:t>sirds un asinsvadu slimību profilakses un veselības aprūpes sistēmas resursu pieejamības uzlabošana;</w:t>
      </w:r>
    </w:p>
    <w:p w14:paraId="5488C7EA" w14:textId="77777777" w:rsidR="00D22762" w:rsidRPr="00847710" w:rsidRDefault="00D22762" w:rsidP="00D9713E">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4)</w:t>
      </w:r>
      <w:r w:rsidRPr="00847710">
        <w:rPr>
          <w:rFonts w:ascii="Times New Roman" w:hAnsi="Times New Roman" w:cs="Times New Roman"/>
          <w:sz w:val="24"/>
          <w:szCs w:val="24"/>
        </w:rPr>
        <w:tab/>
        <w:t>sirds un asinsvadu slimību monitoringa (darbības izvērtēšana) pilnveidošana.</w:t>
      </w:r>
    </w:p>
    <w:p w14:paraId="6ECB3308" w14:textId="1BE60DEC" w:rsidR="00D22762" w:rsidRPr="00847710" w:rsidRDefault="00D22762" w:rsidP="0036401B">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SAS diagnostiku un ārstēšanu (atbilstoši slimības norisei) var nodrošināt primārā, sekundārā un terciārā veselības aprūpes līmenī</w:t>
      </w:r>
      <w:r w:rsidRPr="00847710">
        <w:rPr>
          <w:rStyle w:val="FootnoteReference"/>
          <w:rFonts w:ascii="Times New Roman" w:hAnsi="Times New Roman" w:cs="Times New Roman"/>
          <w:sz w:val="24"/>
          <w:szCs w:val="24"/>
        </w:rPr>
        <w:footnoteReference w:id="66"/>
      </w:r>
      <w:r w:rsidR="0036401B" w:rsidRPr="00847710">
        <w:rPr>
          <w:rFonts w:ascii="Times New Roman" w:hAnsi="Times New Roman" w:cs="Times New Roman"/>
          <w:sz w:val="24"/>
          <w:szCs w:val="24"/>
        </w:rPr>
        <w:t>.</w:t>
      </w:r>
    </w:p>
    <w:p w14:paraId="183D2A19" w14:textId="029ADBF8" w:rsidR="00D22762" w:rsidRPr="00847710" w:rsidRDefault="00D22762" w:rsidP="00401A33">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1. Primār</w:t>
      </w:r>
      <w:r w:rsidR="00CA2533" w:rsidRPr="00847710">
        <w:rPr>
          <w:rFonts w:ascii="Times New Roman" w:hAnsi="Times New Roman" w:cs="Times New Roman"/>
          <w:sz w:val="24"/>
          <w:szCs w:val="24"/>
        </w:rPr>
        <w:t>ajā</w:t>
      </w:r>
      <w:r w:rsidRPr="00847710">
        <w:rPr>
          <w:rFonts w:ascii="Times New Roman" w:hAnsi="Times New Roman" w:cs="Times New Roman"/>
          <w:sz w:val="24"/>
          <w:szCs w:val="24"/>
        </w:rPr>
        <w:t xml:space="preserve"> veselības aprūp</w:t>
      </w:r>
      <w:r w:rsidR="00CA2533" w:rsidRPr="00847710">
        <w:rPr>
          <w:rFonts w:ascii="Times New Roman" w:hAnsi="Times New Roman" w:cs="Times New Roman"/>
          <w:sz w:val="24"/>
          <w:szCs w:val="24"/>
        </w:rPr>
        <w:t>ē</w:t>
      </w:r>
      <w:r w:rsidRPr="00847710">
        <w:rPr>
          <w:rFonts w:ascii="Times New Roman" w:hAnsi="Times New Roman" w:cs="Times New Roman"/>
          <w:sz w:val="24"/>
          <w:szCs w:val="24"/>
        </w:rPr>
        <w:t xml:space="preserve">  </w:t>
      </w:r>
      <w:r w:rsidR="00401A33" w:rsidRPr="00847710">
        <w:rPr>
          <w:rFonts w:ascii="Times New Roman" w:hAnsi="Times New Roman" w:cs="Times New Roman"/>
          <w:sz w:val="24"/>
          <w:szCs w:val="24"/>
        </w:rPr>
        <w:t>b</w:t>
      </w:r>
      <w:r w:rsidRPr="00847710">
        <w:rPr>
          <w:rFonts w:ascii="Times New Roman" w:hAnsi="Times New Roman" w:cs="Times New Roman"/>
          <w:sz w:val="24"/>
          <w:szCs w:val="24"/>
        </w:rPr>
        <w:t>ūtiski ir panākt, ka ģimenes ārsts ir centrālā persona, k</w:t>
      </w:r>
      <w:r w:rsidR="00401A33" w:rsidRPr="00847710">
        <w:rPr>
          <w:rFonts w:ascii="Times New Roman" w:hAnsi="Times New Roman" w:cs="Times New Roman"/>
          <w:sz w:val="24"/>
          <w:szCs w:val="24"/>
        </w:rPr>
        <w:t>urš</w:t>
      </w:r>
      <w:r w:rsidRPr="00847710">
        <w:rPr>
          <w:rFonts w:ascii="Times New Roman" w:hAnsi="Times New Roman" w:cs="Times New Roman"/>
          <w:sz w:val="24"/>
          <w:szCs w:val="24"/>
        </w:rPr>
        <w:t xml:space="preserve"> virza sirds un asinsvadu slimību pacientu veselības sistēmas ietvaros</w:t>
      </w:r>
      <w:r w:rsidR="00401A33" w:rsidRPr="00847710">
        <w:rPr>
          <w:rFonts w:ascii="Times New Roman" w:hAnsi="Times New Roman" w:cs="Times New Roman"/>
          <w:sz w:val="24"/>
          <w:szCs w:val="24"/>
        </w:rPr>
        <w:t>,</w:t>
      </w:r>
      <w:r w:rsidR="00D939AC" w:rsidRPr="00847710">
        <w:rPr>
          <w:rFonts w:ascii="Times New Roman" w:hAnsi="Times New Roman" w:cs="Times New Roman"/>
          <w:sz w:val="24"/>
          <w:szCs w:val="24"/>
        </w:rPr>
        <w:t xml:space="preserve"> </w:t>
      </w:r>
      <w:r w:rsidRPr="00847710">
        <w:rPr>
          <w:rFonts w:ascii="Times New Roman" w:hAnsi="Times New Roman" w:cs="Times New Roman"/>
          <w:sz w:val="24"/>
          <w:szCs w:val="24"/>
        </w:rPr>
        <w:t>koordinē ārstēšanas procesu, vairāk laika velta pacienta</w:t>
      </w:r>
      <w:r w:rsidR="00D939AC" w:rsidRPr="00847710">
        <w:rPr>
          <w:rFonts w:ascii="Times New Roman" w:hAnsi="Times New Roman" w:cs="Times New Roman"/>
          <w:sz w:val="24"/>
          <w:szCs w:val="24"/>
        </w:rPr>
        <w:t xml:space="preserve"> </w:t>
      </w:r>
      <w:r w:rsidRPr="00847710">
        <w:rPr>
          <w:rFonts w:ascii="Times New Roman" w:hAnsi="Times New Roman" w:cs="Times New Roman"/>
          <w:sz w:val="24"/>
          <w:szCs w:val="24"/>
        </w:rPr>
        <w:t xml:space="preserve">veselības veicināšanas un profilakses aspektiem, kā arī </w:t>
      </w:r>
      <w:r w:rsidR="00401A33" w:rsidRPr="00847710">
        <w:rPr>
          <w:rFonts w:ascii="Times New Roman" w:hAnsi="Times New Roman" w:cs="Times New Roman"/>
          <w:sz w:val="24"/>
          <w:szCs w:val="24"/>
        </w:rPr>
        <w:t>nodrošina</w:t>
      </w:r>
      <w:r w:rsidRPr="00847710">
        <w:rPr>
          <w:rFonts w:ascii="Times New Roman" w:hAnsi="Times New Roman" w:cs="Times New Roman"/>
          <w:sz w:val="24"/>
          <w:szCs w:val="24"/>
        </w:rPr>
        <w:t xml:space="preserve"> savlaicīgu un ekonomisku ārstēšanu.</w:t>
      </w:r>
    </w:p>
    <w:p w14:paraId="21A8806E" w14:textId="2532F4B6" w:rsidR="00D22762" w:rsidRPr="00847710" w:rsidRDefault="00D22762" w:rsidP="00315286">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Ņemot vērā Latvijas iedzīvotāju augstos saslimstības, hospitalizācijas un mirstības rādītājus ar sirds un asinsvadu slimībām, būtiski ir organizēt primāro veselības aprūpi agrīnai slimību diagnostikai un ārstēšanai.  Pēc ES ekspertu datiem aptuveni pusi no SAS samazinājuma dod profilakses programmas (mērķētas uz riska faktoriem), aptuveni trešdaļu – ārstēšanas un aprūpes uzlabojumi. Kardiologi iesaka vērst uzmanību uz 8 sirds veselības faktoriem, lai primārās veselības aprūpes līmenī varētu izslēgt sirds un asinsvadu saslimšanu</w:t>
      </w:r>
      <w:r w:rsidR="00D939AC" w:rsidRPr="00847710">
        <w:rPr>
          <w:rFonts w:ascii="Times New Roman" w:hAnsi="Times New Roman" w:cs="Times New Roman"/>
          <w:sz w:val="24"/>
          <w:szCs w:val="24"/>
        </w:rPr>
        <w:t xml:space="preserve"> (kā nesmēķēš</w:t>
      </w:r>
      <w:r w:rsidR="00401A33" w:rsidRPr="00847710">
        <w:rPr>
          <w:rFonts w:ascii="Times New Roman" w:hAnsi="Times New Roman" w:cs="Times New Roman"/>
          <w:sz w:val="24"/>
          <w:szCs w:val="24"/>
        </w:rPr>
        <w:t>ana, ķermeņa masas indekss, fiziskās aktivitātes, uzturs, asins</w:t>
      </w:r>
      <w:r w:rsidR="00D939AC" w:rsidRPr="00847710">
        <w:rPr>
          <w:rFonts w:ascii="Times New Roman" w:hAnsi="Times New Roman" w:cs="Times New Roman"/>
          <w:sz w:val="24"/>
          <w:szCs w:val="24"/>
        </w:rPr>
        <w:t>s</w:t>
      </w:r>
      <w:r w:rsidR="00401A33" w:rsidRPr="00847710">
        <w:rPr>
          <w:rFonts w:ascii="Times New Roman" w:hAnsi="Times New Roman" w:cs="Times New Roman"/>
          <w:sz w:val="24"/>
          <w:szCs w:val="24"/>
        </w:rPr>
        <w:t>piediens, holesterīna līmenis, kā arī</w:t>
      </w:r>
      <w:r w:rsidR="00B44F27" w:rsidRPr="00847710">
        <w:rPr>
          <w:rFonts w:ascii="Times New Roman" w:hAnsi="Times New Roman" w:cs="Times New Roman"/>
          <w:sz w:val="24"/>
          <w:szCs w:val="24"/>
        </w:rPr>
        <w:t xml:space="preserve"> cukura diabēta un SAS esamība)</w:t>
      </w:r>
      <w:r w:rsidRPr="00847710">
        <w:rPr>
          <w:rStyle w:val="FootnoteReference"/>
          <w:rFonts w:ascii="Times New Roman" w:hAnsi="Times New Roman" w:cs="Times New Roman"/>
          <w:sz w:val="24"/>
          <w:szCs w:val="24"/>
        </w:rPr>
        <w:footnoteReference w:id="67"/>
      </w:r>
      <w:r w:rsidR="00B44F27" w:rsidRPr="00847710">
        <w:rPr>
          <w:rFonts w:ascii="Times New Roman" w:hAnsi="Times New Roman" w:cs="Times New Roman"/>
          <w:sz w:val="24"/>
          <w:szCs w:val="24"/>
        </w:rPr>
        <w:t>.</w:t>
      </w:r>
    </w:p>
    <w:p w14:paraId="5853B415" w14:textId="77777777" w:rsidR="00D22762" w:rsidRPr="00847710" w:rsidRDefault="00D22762" w:rsidP="00D9713E">
      <w:pPr>
        <w:pStyle w:val="NoSpacing"/>
        <w:spacing w:after="120" w:line="276" w:lineRule="auto"/>
        <w:ind w:firstLine="709"/>
        <w:jc w:val="both"/>
        <w:rPr>
          <w:rFonts w:ascii="Times New Roman" w:hAnsi="Times New Roman" w:cs="Times New Roman"/>
          <w:color w:val="000000"/>
          <w:sz w:val="24"/>
          <w:szCs w:val="24"/>
        </w:rPr>
      </w:pPr>
      <w:r w:rsidRPr="00847710">
        <w:rPr>
          <w:rFonts w:ascii="Times New Roman" w:hAnsi="Times New Roman" w:cs="Times New Roman"/>
          <w:color w:val="000000"/>
          <w:sz w:val="24"/>
          <w:szCs w:val="24"/>
        </w:rPr>
        <w:t>2015.gadā 31% ambulatoro pacientu pie ārsta vērsās SAS dēļ (2011.gadā – 31%), no tiem 91% - pie sava ģimenes ārsta (2011.gadā – 92%), kas norāda, ka</w:t>
      </w:r>
      <w:r w:rsidRPr="00847710">
        <w:rPr>
          <w:rFonts w:ascii="Times New Roman" w:hAnsi="Times New Roman" w:cs="Times New Roman"/>
          <w:sz w:val="24"/>
          <w:szCs w:val="24"/>
        </w:rPr>
        <w:t xml:space="preserve"> SAS pacientus </w:t>
      </w:r>
      <w:r w:rsidRPr="00847710">
        <w:rPr>
          <w:rFonts w:ascii="Times New Roman" w:hAnsi="Times New Roman" w:cs="Times New Roman"/>
          <w:color w:val="000000"/>
          <w:sz w:val="24"/>
          <w:szCs w:val="24"/>
        </w:rPr>
        <w:t>var sekmīgi ārstēt arī primārās aprūpes līmenī</w:t>
      </w:r>
      <w:r w:rsidRPr="00847710">
        <w:rPr>
          <w:rStyle w:val="FootnoteReference"/>
          <w:rFonts w:ascii="Times New Roman" w:hAnsi="Times New Roman" w:cs="Times New Roman"/>
          <w:color w:val="000000"/>
          <w:sz w:val="24"/>
          <w:szCs w:val="24"/>
        </w:rPr>
        <w:t xml:space="preserve"> </w:t>
      </w:r>
      <w:r w:rsidRPr="00847710">
        <w:rPr>
          <w:rStyle w:val="FootnoteReference"/>
          <w:rFonts w:ascii="Times New Roman" w:hAnsi="Times New Roman" w:cs="Times New Roman"/>
          <w:color w:val="000000"/>
          <w:sz w:val="24"/>
          <w:szCs w:val="24"/>
        </w:rPr>
        <w:footnoteReference w:id="68"/>
      </w:r>
      <w:r w:rsidRPr="00847710">
        <w:rPr>
          <w:rFonts w:ascii="Times New Roman" w:hAnsi="Times New Roman" w:cs="Times New Roman"/>
          <w:color w:val="000000"/>
          <w:sz w:val="24"/>
          <w:szCs w:val="24"/>
        </w:rPr>
        <w:t>.</w:t>
      </w:r>
    </w:p>
    <w:p w14:paraId="1E306558" w14:textId="77777777" w:rsidR="00D22762" w:rsidRPr="00847710" w:rsidRDefault="00D22762" w:rsidP="00D9713E">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SAS ir augsts īpatsvars ģimenes ārstu apmeklējumu iemeslu struktūrā – aptuveni 22% 2015.gadā (2011.gadā – 24%)</w:t>
      </w:r>
      <w:r w:rsidRPr="00847710">
        <w:rPr>
          <w:rStyle w:val="FootnoteReference"/>
          <w:rFonts w:ascii="Times New Roman" w:hAnsi="Times New Roman" w:cs="Times New Roman"/>
          <w:sz w:val="24"/>
          <w:szCs w:val="24"/>
        </w:rPr>
        <w:footnoteReference w:id="69"/>
      </w:r>
      <w:r w:rsidRPr="00847710">
        <w:rPr>
          <w:rFonts w:ascii="Times New Roman" w:hAnsi="Times New Roman" w:cs="Times New Roman"/>
          <w:sz w:val="24"/>
          <w:szCs w:val="24"/>
        </w:rPr>
        <w:t xml:space="preserve">. </w:t>
      </w:r>
      <w:r w:rsidRPr="00847710">
        <w:rPr>
          <w:rFonts w:ascii="Times New Roman" w:hAnsi="Times New Roman" w:cs="Times New Roman"/>
          <w:color w:val="000000"/>
          <w:sz w:val="24"/>
          <w:szCs w:val="24"/>
        </w:rPr>
        <w:t>Kardiologu apmeklējums, rēķinot vidējo aprūpes epizožu skaitu uz vienu unikālo pacientu, 2015. gadā bija 1,54 reizes (2011.gadā – 1,71 reizes). 51% šo ambulatoro pacientu bija vecumā virs 65 gadiem (2011.gadā – 50%)</w:t>
      </w:r>
      <w:r w:rsidRPr="00847710">
        <w:rPr>
          <w:rStyle w:val="FootnoteReference"/>
          <w:rFonts w:ascii="Times New Roman" w:hAnsi="Times New Roman" w:cs="Times New Roman"/>
          <w:color w:val="000000"/>
          <w:sz w:val="24"/>
          <w:szCs w:val="24"/>
        </w:rPr>
        <w:footnoteReference w:id="70"/>
      </w:r>
      <w:r w:rsidRPr="00847710">
        <w:rPr>
          <w:rFonts w:ascii="Times New Roman" w:hAnsi="Times New Roman" w:cs="Times New Roman"/>
          <w:color w:val="000000"/>
          <w:sz w:val="24"/>
          <w:szCs w:val="24"/>
        </w:rPr>
        <w:t>.</w:t>
      </w:r>
    </w:p>
    <w:p w14:paraId="41ACA108" w14:textId="406F7E31" w:rsidR="00D22762" w:rsidRPr="00847710" w:rsidRDefault="00D22762" w:rsidP="00D9713E">
      <w:pPr>
        <w:pStyle w:val="NoSpacing"/>
        <w:spacing w:after="120" w:line="276" w:lineRule="auto"/>
        <w:ind w:firstLine="709"/>
        <w:jc w:val="both"/>
        <w:rPr>
          <w:rFonts w:ascii="Times New Roman" w:hAnsi="Times New Roman" w:cs="Times New Roman"/>
          <w:sz w:val="24"/>
          <w:szCs w:val="24"/>
          <w:u w:val="single"/>
        </w:rPr>
      </w:pPr>
      <w:r w:rsidRPr="00847710">
        <w:rPr>
          <w:rFonts w:ascii="Times New Roman" w:hAnsi="Times New Roman" w:cs="Times New Roman"/>
          <w:sz w:val="24"/>
          <w:szCs w:val="24"/>
        </w:rPr>
        <w:t>2011.gadā pie PVA ārstiem dinamiskā novērošanā bija zem 500 tūkstoši pacientu ar SAS (vecumā līdz 64 gadiem (ieskaitot) – 247  942 unikālie pacienti, savukārt, virs 65 gadu vecuma – 243 366 unikālie pacienti). 2015.gadā šis skaits ir virs 500 tūkstošu pacientu  - vecumā līdz 64 gadiem (ieskaitot) – 244 443 unikālie pacienti, savukārt, virs 65 gadu vecuma – 257 011 unikālie pacienti</w:t>
      </w:r>
      <w:r w:rsidRPr="00847710">
        <w:rPr>
          <w:rStyle w:val="FootnoteReference"/>
          <w:rFonts w:ascii="Times New Roman" w:hAnsi="Times New Roman" w:cs="Times New Roman"/>
          <w:sz w:val="24"/>
          <w:szCs w:val="24"/>
        </w:rPr>
        <w:footnoteReference w:id="71"/>
      </w:r>
      <w:r w:rsidR="00401A33" w:rsidRPr="00847710">
        <w:rPr>
          <w:rFonts w:ascii="Times New Roman" w:hAnsi="Times New Roman" w:cs="Times New Roman"/>
          <w:sz w:val="24"/>
          <w:szCs w:val="24"/>
        </w:rPr>
        <w:t>.</w:t>
      </w:r>
      <w:r w:rsidRPr="00847710">
        <w:rPr>
          <w:rFonts w:ascii="Times New Roman" w:hAnsi="Times New Roman" w:cs="Times New Roman"/>
          <w:sz w:val="24"/>
          <w:szCs w:val="24"/>
        </w:rPr>
        <w:t xml:space="preserve"> </w:t>
      </w:r>
    </w:p>
    <w:p w14:paraId="6087E3E3" w14:textId="47B7A8FA" w:rsidR="00401A33" w:rsidRPr="00847710" w:rsidRDefault="00401A33" w:rsidP="00D9713E">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Reformas ietvaros n</w:t>
      </w:r>
      <w:r w:rsidR="00D22762" w:rsidRPr="00847710">
        <w:rPr>
          <w:rFonts w:ascii="Times New Roman" w:hAnsi="Times New Roman" w:cs="Times New Roman"/>
          <w:sz w:val="24"/>
          <w:szCs w:val="24"/>
        </w:rPr>
        <w:t xml:space="preserve">epieciešams paplašināt ģimenes ārsta kompetenci un motivāciju iesaistīties sabiedrības veselības veicināšanā, īpaši uzmanību pievēršot sirds un asinsvadu slimību profilaksei un agrīnai diagnostikai. Ņemot vērā Latvijas iedzīvotāju augstos saslimstības, hospitalizācijas un mirstības rādītājus ar sirds un asinsvadu slimībām, būtiski ir organizēt veselības aprūpi agrīnai slimību diagnostikai un ārstēšanai sadarbībā ar speciālistu - kardiologu. </w:t>
      </w:r>
    </w:p>
    <w:p w14:paraId="18296EA9" w14:textId="2C78654A" w:rsidR="00B8551A" w:rsidRPr="00847710" w:rsidRDefault="00B8551A" w:rsidP="00B8551A">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Lai ekonomētu resursus sekundārā un terciārā aprūpē un atslogotu šos aprūpes līmeņu pakalpojumu sniedzēju darbu, primārā veselības aprūpes līmenī ir jānodrošina, ka ikviens iedzīvotājs pie ģimenes ārsta regulāri var saņemt konsultācijas par sirds un asinsvadu slimību profilaksi, kā arī noteikt savu sirds un asinsvadu slimību risku ar zināmu regularitāti. Latvijā kardiovaskulāro slimību (turpmāk – SAS) riska novērtēšanai izmanto t.s. SCORE (sistemātiska koronārā riska izvērtēšana (Systematic Coronary Risk Evaluation)) sistēmu. Minētie riska novērtēšanas principi attiecas uz personām, kam vēl nav izveidojusies SAS, proti, tās domātas, lai izvērtētu indikācijas SAS primārai profilaksei. Jāuzsver, ka pacienti ar jau diagnosticētu SAS automātiski ir pieskaitāmi augsta riska grupai. Kopējā SAS riska novērtēšana ir nepieciešama, lai:</w:t>
      </w:r>
    </w:p>
    <w:p w14:paraId="08870710" w14:textId="7138CA85" w:rsidR="00B8551A" w:rsidRPr="00847710" w:rsidRDefault="00B8551A" w:rsidP="00B8551A">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izvērtētu konkrētā pacienta iespējamo turpmāko SAS notikumu risku;</w:t>
      </w:r>
    </w:p>
    <w:p w14:paraId="3F26B718" w14:textId="77777777" w:rsidR="00B8551A" w:rsidRPr="00847710" w:rsidRDefault="00B8551A" w:rsidP="00B8551A">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novērtētu nepieciešamo papildizmeklējumu lietderību un apjomu;</w:t>
      </w:r>
    </w:p>
    <w:p w14:paraId="4B4AFC18" w14:textId="77777777" w:rsidR="00B8551A" w:rsidRPr="00847710" w:rsidRDefault="00B8551A" w:rsidP="00B8551A">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atkarībā no riska noteiktu nepieciešamo profilaktisko pasākumu apjomu;</w:t>
      </w:r>
    </w:p>
    <w:p w14:paraId="16B5FF89" w14:textId="00F1E56E" w:rsidR="00B8551A" w:rsidRPr="00847710" w:rsidRDefault="00B8551A" w:rsidP="00B8551A">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izdalītu augsta SAS riska pacientus. SAS riska novērtējumu pēc SCORE veic 40, 50, 55, 60 un 65 gadu vecumā .</w:t>
      </w:r>
    </w:p>
    <w:p w14:paraId="127FBD92" w14:textId="77777777" w:rsidR="00B8551A" w:rsidRPr="00847710" w:rsidRDefault="00B8551A" w:rsidP="00B8551A">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Pieņemot, ka augsta riska pacienti ir 5% no visiem pacientiem  40 gadu vecuma grupā,  10%, 20%, 30%, un 50% - attiecīgi 50, 55, 60 un 65 gadu vecuma grupā, pieņemot, ka pēc SAS riska noteikšanas pēc SCORE, vēl būs nepieciešams veikt papildus izmeklējumus 40 gadu vecuma grupā 10% pacientiem, savukārt 50, 55, 60 un 65 – attiecīgi 20%, 25%, 50% un 75% pacientiem un prognozējot, ka 2018. gadā pacientu aptvere varētu sasniegt 50%, nepieciešamā summa, lai attiecīgajās vecuma grupās veiktu sirds asinsvadu slimību profilaksi, 2018. gadā 712 751.45 euro.</w:t>
      </w:r>
    </w:p>
    <w:p w14:paraId="33940BA2" w14:textId="3E1BED8A" w:rsidR="00B8551A" w:rsidRPr="00A6464B" w:rsidRDefault="00644DB1">
      <w:pPr>
        <w:jc w:val="right"/>
        <w:rPr>
          <w:rFonts w:ascii="Times New Roman" w:hAnsi="Times New Roman" w:cs="Times New Roman"/>
          <w:i/>
          <w:iCs/>
          <w:sz w:val="24"/>
          <w:szCs w:val="24"/>
        </w:rPr>
      </w:pPr>
      <w:r w:rsidRPr="57326167">
        <w:rPr>
          <w:rFonts w:ascii="Times New Roman" w:hAnsi="Times New Roman" w:cs="Times New Roman"/>
          <w:i/>
          <w:iCs/>
          <w:sz w:val="24"/>
          <w:szCs w:val="24"/>
        </w:rPr>
        <w:t>3</w:t>
      </w:r>
      <w:r w:rsidR="00DE3C94">
        <w:rPr>
          <w:rFonts w:ascii="Times New Roman" w:hAnsi="Times New Roman" w:cs="Times New Roman"/>
          <w:i/>
          <w:iCs/>
          <w:sz w:val="24"/>
          <w:szCs w:val="24"/>
        </w:rPr>
        <w:t>2</w:t>
      </w:r>
      <w:r w:rsidR="00B8551A" w:rsidRPr="57326167">
        <w:rPr>
          <w:rFonts w:ascii="Times New Roman" w:hAnsi="Times New Roman" w:cs="Times New Roman"/>
          <w:i/>
          <w:iCs/>
          <w:sz w:val="24"/>
          <w:szCs w:val="24"/>
        </w:rPr>
        <w:t>.tabula</w:t>
      </w:r>
    </w:p>
    <w:p w14:paraId="518F0D55" w14:textId="14075DAE" w:rsidR="00B8551A" w:rsidRPr="00F60978" w:rsidRDefault="00B8551A">
      <w:pPr>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SAS primārai profilaksei nepieciešamais finansējums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3"/>
        <w:gridCol w:w="1132"/>
        <w:gridCol w:w="1134"/>
        <w:gridCol w:w="1134"/>
        <w:gridCol w:w="1134"/>
        <w:gridCol w:w="1134"/>
        <w:gridCol w:w="1134"/>
      </w:tblGrid>
      <w:tr w:rsidR="00BF16C4" w:rsidRPr="00847710" w14:paraId="497F4344" w14:textId="42BD97BD" w:rsidTr="57326167">
        <w:trPr>
          <w:trHeight w:val="300"/>
          <w:jc w:val="center"/>
        </w:trPr>
        <w:tc>
          <w:tcPr>
            <w:tcW w:w="3683" w:type="dxa"/>
            <w:gridSpan w:val="2"/>
            <w:shd w:val="clear" w:color="auto" w:fill="auto"/>
            <w:noWrap/>
            <w:vAlign w:val="bottom"/>
            <w:hideMark/>
          </w:tcPr>
          <w:p w14:paraId="5C890D46" w14:textId="77777777" w:rsidR="00BF16C4" w:rsidRPr="00543703" w:rsidRDefault="00BF16C4">
            <w:pPr>
              <w:spacing w:after="0" w:line="240" w:lineRule="auto"/>
              <w:rPr>
                <w:rFonts w:ascii="Times New Roman" w:eastAsia="Times New Roman" w:hAnsi="Times New Roman" w:cs="Times New Roman"/>
                <w:i/>
                <w:iCs/>
                <w:color w:val="000000"/>
                <w:sz w:val="20"/>
                <w:szCs w:val="20"/>
                <w:lang w:eastAsia="lv-LV"/>
              </w:rPr>
            </w:pPr>
            <w:bookmarkStart w:id="5" w:name="_Hlk500178989"/>
            <w:r w:rsidRPr="57326167">
              <w:rPr>
                <w:rFonts w:ascii="Times New Roman" w:eastAsia="Times New Roman" w:hAnsi="Times New Roman" w:cs="Times New Roman"/>
                <w:i/>
                <w:iCs/>
                <w:color w:val="000000"/>
                <w:sz w:val="20"/>
                <w:szCs w:val="20"/>
                <w:lang w:eastAsia="lv-LV"/>
              </w:rPr>
              <w:t>Pacienta vecums</w:t>
            </w:r>
          </w:p>
        </w:tc>
        <w:tc>
          <w:tcPr>
            <w:tcW w:w="1132" w:type="dxa"/>
            <w:shd w:val="clear" w:color="auto" w:fill="auto"/>
            <w:noWrap/>
            <w:vAlign w:val="bottom"/>
            <w:hideMark/>
          </w:tcPr>
          <w:p w14:paraId="10CF1B36" w14:textId="77777777" w:rsidR="00BF16C4" w:rsidRPr="00543703" w:rsidRDefault="00BF16C4">
            <w:pPr>
              <w:spacing w:after="0" w:line="240" w:lineRule="auto"/>
              <w:rPr>
                <w:rFonts w:ascii="Times New Roman" w:eastAsia="Times New Roman" w:hAnsi="Times New Roman" w:cs="Times New Roman"/>
                <w:i/>
                <w:iCs/>
                <w:color w:val="000000"/>
                <w:sz w:val="20"/>
                <w:szCs w:val="20"/>
                <w:lang w:eastAsia="lv-LV"/>
              </w:rPr>
            </w:pPr>
            <w:r w:rsidRPr="57326167">
              <w:rPr>
                <w:rFonts w:ascii="Times New Roman" w:eastAsia="Times New Roman" w:hAnsi="Times New Roman" w:cs="Times New Roman"/>
                <w:i/>
                <w:iCs/>
                <w:color w:val="000000"/>
                <w:sz w:val="20"/>
                <w:szCs w:val="20"/>
                <w:lang w:eastAsia="lv-LV"/>
              </w:rPr>
              <w:t>40 gadi</w:t>
            </w:r>
          </w:p>
        </w:tc>
        <w:tc>
          <w:tcPr>
            <w:tcW w:w="1134" w:type="dxa"/>
            <w:shd w:val="clear" w:color="auto" w:fill="auto"/>
            <w:noWrap/>
            <w:vAlign w:val="bottom"/>
            <w:hideMark/>
          </w:tcPr>
          <w:p w14:paraId="7453A5DB" w14:textId="77777777" w:rsidR="00BF16C4" w:rsidRPr="00AB6A87" w:rsidRDefault="00BF16C4" w:rsidP="57326167">
            <w:pPr>
              <w:spacing w:after="0" w:line="240" w:lineRule="auto"/>
              <w:rPr>
                <w:rFonts w:ascii="Times New Roman" w:eastAsia="Times New Roman" w:hAnsi="Times New Roman" w:cs="Times New Roman"/>
                <w:i/>
                <w:iCs/>
                <w:color w:val="000000" w:themeColor="text1"/>
                <w:sz w:val="20"/>
                <w:szCs w:val="20"/>
                <w:lang w:eastAsia="lv-LV"/>
              </w:rPr>
            </w:pPr>
            <w:r w:rsidRPr="57326167">
              <w:rPr>
                <w:rFonts w:ascii="Times New Roman" w:eastAsia="Times New Roman" w:hAnsi="Times New Roman" w:cs="Times New Roman"/>
                <w:i/>
                <w:iCs/>
                <w:color w:val="000000"/>
                <w:sz w:val="20"/>
                <w:szCs w:val="20"/>
                <w:lang w:eastAsia="lv-LV"/>
              </w:rPr>
              <w:t>50 gadi</w:t>
            </w:r>
          </w:p>
        </w:tc>
        <w:tc>
          <w:tcPr>
            <w:tcW w:w="1134" w:type="dxa"/>
            <w:shd w:val="clear" w:color="auto" w:fill="auto"/>
            <w:noWrap/>
            <w:vAlign w:val="bottom"/>
            <w:hideMark/>
          </w:tcPr>
          <w:p w14:paraId="480EA816" w14:textId="77777777" w:rsidR="00BF16C4" w:rsidRPr="00543703" w:rsidRDefault="00BF16C4">
            <w:pPr>
              <w:spacing w:after="0" w:line="240" w:lineRule="auto"/>
              <w:rPr>
                <w:rFonts w:ascii="Times New Roman" w:eastAsia="Times New Roman" w:hAnsi="Times New Roman" w:cs="Times New Roman"/>
                <w:i/>
                <w:iCs/>
                <w:color w:val="000000" w:themeColor="text1"/>
                <w:sz w:val="20"/>
                <w:szCs w:val="20"/>
                <w:lang w:eastAsia="lv-LV"/>
              </w:rPr>
            </w:pPr>
            <w:r w:rsidRPr="57326167">
              <w:rPr>
                <w:rFonts w:ascii="Times New Roman" w:eastAsia="Times New Roman" w:hAnsi="Times New Roman" w:cs="Times New Roman"/>
                <w:i/>
                <w:iCs/>
                <w:color w:val="000000"/>
                <w:sz w:val="20"/>
                <w:szCs w:val="20"/>
                <w:lang w:eastAsia="lv-LV"/>
              </w:rPr>
              <w:t>55 gadi</w:t>
            </w:r>
          </w:p>
        </w:tc>
        <w:tc>
          <w:tcPr>
            <w:tcW w:w="1134" w:type="dxa"/>
            <w:shd w:val="clear" w:color="auto" w:fill="auto"/>
            <w:noWrap/>
            <w:vAlign w:val="bottom"/>
            <w:hideMark/>
          </w:tcPr>
          <w:p w14:paraId="755332A0" w14:textId="77777777" w:rsidR="00BF16C4" w:rsidRPr="00543703" w:rsidRDefault="00BF16C4">
            <w:pPr>
              <w:spacing w:after="0" w:line="240" w:lineRule="auto"/>
              <w:rPr>
                <w:rFonts w:ascii="Times New Roman" w:eastAsia="Times New Roman" w:hAnsi="Times New Roman" w:cs="Times New Roman"/>
                <w:i/>
                <w:iCs/>
                <w:color w:val="000000" w:themeColor="text1"/>
                <w:sz w:val="20"/>
                <w:szCs w:val="20"/>
                <w:lang w:eastAsia="lv-LV"/>
              </w:rPr>
            </w:pPr>
            <w:r w:rsidRPr="57326167">
              <w:rPr>
                <w:rFonts w:ascii="Times New Roman" w:eastAsia="Times New Roman" w:hAnsi="Times New Roman" w:cs="Times New Roman"/>
                <w:i/>
                <w:iCs/>
                <w:color w:val="000000"/>
                <w:sz w:val="20"/>
                <w:szCs w:val="20"/>
                <w:lang w:eastAsia="lv-LV"/>
              </w:rPr>
              <w:t>60 gadi</w:t>
            </w:r>
          </w:p>
        </w:tc>
        <w:tc>
          <w:tcPr>
            <w:tcW w:w="1134" w:type="dxa"/>
            <w:shd w:val="clear" w:color="auto" w:fill="auto"/>
            <w:noWrap/>
            <w:vAlign w:val="bottom"/>
            <w:hideMark/>
          </w:tcPr>
          <w:p w14:paraId="13CA0DC7" w14:textId="77777777" w:rsidR="00BF16C4" w:rsidRPr="00543703" w:rsidRDefault="00BF16C4">
            <w:pPr>
              <w:spacing w:after="0" w:line="240" w:lineRule="auto"/>
              <w:rPr>
                <w:rFonts w:ascii="Times New Roman" w:eastAsia="Times New Roman" w:hAnsi="Times New Roman" w:cs="Times New Roman"/>
                <w:i/>
                <w:iCs/>
                <w:color w:val="000000" w:themeColor="text1"/>
                <w:sz w:val="20"/>
                <w:szCs w:val="20"/>
                <w:lang w:eastAsia="lv-LV"/>
              </w:rPr>
            </w:pPr>
            <w:r w:rsidRPr="57326167">
              <w:rPr>
                <w:rFonts w:ascii="Times New Roman" w:eastAsia="Times New Roman" w:hAnsi="Times New Roman" w:cs="Times New Roman"/>
                <w:i/>
                <w:iCs/>
                <w:color w:val="000000"/>
                <w:sz w:val="20"/>
                <w:szCs w:val="20"/>
                <w:lang w:eastAsia="lv-LV"/>
              </w:rPr>
              <w:t>65 gadi</w:t>
            </w:r>
          </w:p>
        </w:tc>
        <w:tc>
          <w:tcPr>
            <w:tcW w:w="1134" w:type="dxa"/>
          </w:tcPr>
          <w:p w14:paraId="7E7308EB" w14:textId="7C85928D" w:rsidR="00BF16C4" w:rsidRPr="00A6464B" w:rsidRDefault="00BF16C4">
            <w:pPr>
              <w:spacing w:after="0" w:line="240" w:lineRule="auto"/>
              <w:rPr>
                <w:rFonts w:ascii="Times New Roman" w:eastAsia="Times New Roman" w:hAnsi="Times New Roman" w:cs="Times New Roman"/>
                <w:b/>
                <w:bCs/>
                <w:i/>
                <w:iCs/>
                <w:color w:val="000000" w:themeColor="text1"/>
                <w:sz w:val="20"/>
                <w:szCs w:val="20"/>
                <w:lang w:eastAsia="lv-LV"/>
              </w:rPr>
            </w:pPr>
            <w:r w:rsidRPr="57326167">
              <w:rPr>
                <w:rFonts w:ascii="Times New Roman" w:eastAsia="Times New Roman" w:hAnsi="Times New Roman" w:cs="Times New Roman"/>
                <w:b/>
                <w:bCs/>
                <w:i/>
                <w:iCs/>
                <w:color w:val="000000"/>
                <w:sz w:val="20"/>
                <w:szCs w:val="20"/>
                <w:lang w:eastAsia="lv-LV"/>
              </w:rPr>
              <w:t>Kopā</w:t>
            </w:r>
          </w:p>
        </w:tc>
      </w:tr>
      <w:tr w:rsidR="00BF16C4" w:rsidRPr="00847710" w14:paraId="6B5CA262" w14:textId="1E2A28B8" w:rsidTr="57326167">
        <w:trPr>
          <w:trHeight w:val="300"/>
          <w:jc w:val="center"/>
        </w:trPr>
        <w:tc>
          <w:tcPr>
            <w:tcW w:w="3683" w:type="dxa"/>
            <w:gridSpan w:val="2"/>
            <w:shd w:val="clear" w:color="auto" w:fill="auto"/>
            <w:noWrap/>
            <w:vAlign w:val="bottom"/>
            <w:hideMark/>
          </w:tcPr>
          <w:p w14:paraId="3244557B" w14:textId="77777777" w:rsidR="00BF16C4" w:rsidRPr="00847710" w:rsidRDefault="00BF16C4" w:rsidP="00B8551A">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Pacientu skaits</w:t>
            </w:r>
          </w:p>
        </w:tc>
        <w:tc>
          <w:tcPr>
            <w:tcW w:w="1132" w:type="dxa"/>
            <w:shd w:val="clear" w:color="auto" w:fill="auto"/>
            <w:noWrap/>
            <w:vAlign w:val="bottom"/>
            <w:hideMark/>
          </w:tcPr>
          <w:p w14:paraId="029017FE" w14:textId="152B647F"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25 771</w:t>
            </w:r>
          </w:p>
        </w:tc>
        <w:tc>
          <w:tcPr>
            <w:tcW w:w="1134" w:type="dxa"/>
            <w:shd w:val="clear" w:color="auto" w:fill="auto"/>
            <w:noWrap/>
            <w:vAlign w:val="bottom"/>
            <w:hideMark/>
          </w:tcPr>
          <w:p w14:paraId="6CF5299D" w14:textId="755D4B12"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26 298</w:t>
            </w:r>
          </w:p>
        </w:tc>
        <w:tc>
          <w:tcPr>
            <w:tcW w:w="1134" w:type="dxa"/>
            <w:shd w:val="clear" w:color="auto" w:fill="auto"/>
            <w:noWrap/>
            <w:vAlign w:val="bottom"/>
            <w:hideMark/>
          </w:tcPr>
          <w:p w14:paraId="144A4AAD" w14:textId="1740DEB1"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29 570</w:t>
            </w:r>
          </w:p>
        </w:tc>
        <w:tc>
          <w:tcPr>
            <w:tcW w:w="1134" w:type="dxa"/>
            <w:shd w:val="clear" w:color="auto" w:fill="auto"/>
            <w:noWrap/>
            <w:vAlign w:val="bottom"/>
            <w:hideMark/>
          </w:tcPr>
          <w:p w14:paraId="011F82C7" w14:textId="6BDF832A"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26 251</w:t>
            </w:r>
          </w:p>
        </w:tc>
        <w:tc>
          <w:tcPr>
            <w:tcW w:w="1134" w:type="dxa"/>
            <w:shd w:val="clear" w:color="auto" w:fill="auto"/>
            <w:noWrap/>
            <w:vAlign w:val="bottom"/>
            <w:hideMark/>
          </w:tcPr>
          <w:p w14:paraId="30E8BB0D" w14:textId="3D2C8BA5"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23 119</w:t>
            </w:r>
          </w:p>
        </w:tc>
        <w:tc>
          <w:tcPr>
            <w:tcW w:w="1134" w:type="dxa"/>
            <w:vAlign w:val="bottom"/>
          </w:tcPr>
          <w:p w14:paraId="5268CC5F" w14:textId="1DB0C50C" w:rsidR="00BF16C4" w:rsidRPr="00847710" w:rsidRDefault="00BF16C4" w:rsidP="00AD136B">
            <w:pPr>
              <w:spacing w:after="0" w:line="240" w:lineRule="auto"/>
              <w:jc w:val="center"/>
              <w:rPr>
                <w:rFonts w:ascii="Times New Roman" w:eastAsia="Times New Roman" w:hAnsi="Times New Roman" w:cs="Times New Roman"/>
                <w:b/>
                <w:color w:val="000000"/>
                <w:sz w:val="20"/>
                <w:szCs w:val="20"/>
                <w:lang w:eastAsia="lv-LV"/>
              </w:rPr>
            </w:pPr>
          </w:p>
        </w:tc>
      </w:tr>
      <w:tr w:rsidR="00BF16C4" w:rsidRPr="00847710" w14:paraId="5C312DB0" w14:textId="197534D3" w:rsidTr="57326167">
        <w:trPr>
          <w:trHeight w:val="300"/>
          <w:jc w:val="center"/>
        </w:trPr>
        <w:tc>
          <w:tcPr>
            <w:tcW w:w="1980" w:type="dxa"/>
            <w:shd w:val="clear" w:color="auto" w:fill="auto"/>
            <w:noWrap/>
            <w:vAlign w:val="bottom"/>
            <w:hideMark/>
          </w:tcPr>
          <w:p w14:paraId="5BCE8BF0" w14:textId="77777777" w:rsidR="00BF16C4" w:rsidRPr="00847710" w:rsidRDefault="00BF16C4" w:rsidP="00B8551A">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Plānotā pacientu aptvere 50%</w:t>
            </w:r>
          </w:p>
        </w:tc>
        <w:tc>
          <w:tcPr>
            <w:tcW w:w="1703" w:type="dxa"/>
            <w:shd w:val="clear" w:color="auto" w:fill="auto"/>
            <w:noWrap/>
            <w:vAlign w:val="bottom"/>
            <w:hideMark/>
          </w:tcPr>
          <w:p w14:paraId="1DDB61DD" w14:textId="77777777" w:rsidR="00BF16C4" w:rsidRPr="00847710" w:rsidRDefault="00BF16C4" w:rsidP="00B8551A">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1132" w:type="dxa"/>
            <w:shd w:val="clear" w:color="auto" w:fill="auto"/>
            <w:noWrap/>
            <w:vAlign w:val="bottom"/>
            <w:hideMark/>
          </w:tcPr>
          <w:p w14:paraId="04460F70" w14:textId="7D7C1A2B"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12 886</w:t>
            </w:r>
          </w:p>
        </w:tc>
        <w:tc>
          <w:tcPr>
            <w:tcW w:w="1134" w:type="dxa"/>
            <w:shd w:val="clear" w:color="auto" w:fill="auto"/>
            <w:noWrap/>
            <w:vAlign w:val="bottom"/>
            <w:hideMark/>
          </w:tcPr>
          <w:p w14:paraId="0ECAFF5A" w14:textId="36A9AA02"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13 149</w:t>
            </w:r>
          </w:p>
        </w:tc>
        <w:tc>
          <w:tcPr>
            <w:tcW w:w="1134" w:type="dxa"/>
            <w:shd w:val="clear" w:color="auto" w:fill="auto"/>
            <w:noWrap/>
            <w:vAlign w:val="bottom"/>
            <w:hideMark/>
          </w:tcPr>
          <w:p w14:paraId="1CB2D3FF" w14:textId="3CC0855B"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14 785</w:t>
            </w:r>
          </w:p>
        </w:tc>
        <w:tc>
          <w:tcPr>
            <w:tcW w:w="1134" w:type="dxa"/>
            <w:shd w:val="clear" w:color="auto" w:fill="auto"/>
            <w:noWrap/>
            <w:vAlign w:val="bottom"/>
            <w:hideMark/>
          </w:tcPr>
          <w:p w14:paraId="137BAF3D" w14:textId="65DC8CDC"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13 126</w:t>
            </w:r>
          </w:p>
        </w:tc>
        <w:tc>
          <w:tcPr>
            <w:tcW w:w="1134" w:type="dxa"/>
            <w:shd w:val="clear" w:color="auto" w:fill="auto"/>
            <w:noWrap/>
            <w:vAlign w:val="bottom"/>
            <w:hideMark/>
          </w:tcPr>
          <w:p w14:paraId="0AFE6339" w14:textId="781431B6"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11 560</w:t>
            </w:r>
          </w:p>
        </w:tc>
        <w:tc>
          <w:tcPr>
            <w:tcW w:w="1134" w:type="dxa"/>
            <w:vAlign w:val="bottom"/>
          </w:tcPr>
          <w:p w14:paraId="4078541A" w14:textId="21841BB4" w:rsidR="00BF16C4" w:rsidRPr="00847710" w:rsidRDefault="00BF16C4" w:rsidP="00AD136B">
            <w:pPr>
              <w:spacing w:after="0" w:line="240" w:lineRule="auto"/>
              <w:jc w:val="center"/>
              <w:rPr>
                <w:rFonts w:ascii="Times New Roman" w:eastAsia="Times New Roman" w:hAnsi="Times New Roman" w:cs="Times New Roman"/>
                <w:b/>
                <w:color w:val="000000"/>
                <w:sz w:val="20"/>
                <w:szCs w:val="20"/>
                <w:lang w:eastAsia="lv-LV"/>
              </w:rPr>
            </w:pPr>
          </w:p>
        </w:tc>
      </w:tr>
      <w:tr w:rsidR="00137E44" w:rsidRPr="00847710" w14:paraId="1668DB12" w14:textId="77777777" w:rsidTr="57326167">
        <w:trPr>
          <w:trHeight w:val="102"/>
          <w:jc w:val="center"/>
        </w:trPr>
        <w:tc>
          <w:tcPr>
            <w:tcW w:w="10485" w:type="dxa"/>
            <w:gridSpan w:val="8"/>
            <w:shd w:val="clear" w:color="auto" w:fill="auto"/>
            <w:vAlign w:val="bottom"/>
          </w:tcPr>
          <w:p w14:paraId="4E43B44D" w14:textId="77777777" w:rsidR="00137E44" w:rsidRPr="00847710" w:rsidRDefault="00137E44" w:rsidP="00AD136B">
            <w:pPr>
              <w:spacing w:after="0" w:line="240" w:lineRule="auto"/>
              <w:jc w:val="center"/>
              <w:rPr>
                <w:rFonts w:ascii="Times New Roman" w:eastAsia="Times New Roman" w:hAnsi="Times New Roman" w:cs="Times New Roman"/>
                <w:b/>
                <w:color w:val="000000"/>
                <w:sz w:val="20"/>
                <w:szCs w:val="20"/>
                <w:lang w:eastAsia="lv-LV"/>
              </w:rPr>
            </w:pPr>
          </w:p>
        </w:tc>
      </w:tr>
      <w:tr w:rsidR="00BF16C4" w:rsidRPr="00847710" w14:paraId="17EA1B34" w14:textId="633F2DEE" w:rsidTr="57326167">
        <w:trPr>
          <w:trHeight w:val="300"/>
          <w:jc w:val="center"/>
        </w:trPr>
        <w:tc>
          <w:tcPr>
            <w:tcW w:w="1980" w:type="dxa"/>
            <w:vMerge w:val="restart"/>
            <w:shd w:val="clear" w:color="auto" w:fill="auto"/>
            <w:vAlign w:val="bottom"/>
            <w:hideMark/>
          </w:tcPr>
          <w:p w14:paraId="65B2AAAD" w14:textId="77777777" w:rsidR="00BF16C4" w:rsidRPr="00847710" w:rsidRDefault="00BF16C4" w:rsidP="00B8551A">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Pacientu skaits ar augstu KVS risku</w:t>
            </w:r>
          </w:p>
        </w:tc>
        <w:tc>
          <w:tcPr>
            <w:tcW w:w="1703" w:type="dxa"/>
            <w:shd w:val="clear" w:color="auto" w:fill="auto"/>
            <w:vAlign w:val="bottom"/>
            <w:hideMark/>
          </w:tcPr>
          <w:p w14:paraId="124AA4B7" w14:textId="77777777"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Pac.skaits</w:t>
            </w:r>
          </w:p>
        </w:tc>
        <w:tc>
          <w:tcPr>
            <w:tcW w:w="1132" w:type="dxa"/>
            <w:shd w:val="clear" w:color="auto" w:fill="auto"/>
            <w:noWrap/>
            <w:vAlign w:val="bottom"/>
            <w:hideMark/>
          </w:tcPr>
          <w:p w14:paraId="549DA93E" w14:textId="77777777"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644</w:t>
            </w:r>
          </w:p>
        </w:tc>
        <w:tc>
          <w:tcPr>
            <w:tcW w:w="1134" w:type="dxa"/>
            <w:shd w:val="clear" w:color="auto" w:fill="auto"/>
            <w:noWrap/>
            <w:vAlign w:val="bottom"/>
            <w:hideMark/>
          </w:tcPr>
          <w:p w14:paraId="3F72822B" w14:textId="14D71B89"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1 315</w:t>
            </w:r>
          </w:p>
        </w:tc>
        <w:tc>
          <w:tcPr>
            <w:tcW w:w="1134" w:type="dxa"/>
            <w:shd w:val="clear" w:color="auto" w:fill="auto"/>
            <w:noWrap/>
            <w:vAlign w:val="bottom"/>
            <w:hideMark/>
          </w:tcPr>
          <w:p w14:paraId="26F892E0" w14:textId="68213669"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2 957</w:t>
            </w:r>
          </w:p>
        </w:tc>
        <w:tc>
          <w:tcPr>
            <w:tcW w:w="1134" w:type="dxa"/>
            <w:shd w:val="clear" w:color="auto" w:fill="auto"/>
            <w:noWrap/>
            <w:vAlign w:val="bottom"/>
            <w:hideMark/>
          </w:tcPr>
          <w:p w14:paraId="29275A64" w14:textId="6FE11100"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3 938</w:t>
            </w:r>
          </w:p>
        </w:tc>
        <w:tc>
          <w:tcPr>
            <w:tcW w:w="1134" w:type="dxa"/>
            <w:shd w:val="clear" w:color="auto" w:fill="auto"/>
            <w:noWrap/>
            <w:vAlign w:val="bottom"/>
            <w:hideMark/>
          </w:tcPr>
          <w:p w14:paraId="65C37EF3" w14:textId="317D52DB"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5 780</w:t>
            </w:r>
          </w:p>
        </w:tc>
        <w:tc>
          <w:tcPr>
            <w:tcW w:w="1134" w:type="dxa"/>
            <w:vAlign w:val="bottom"/>
          </w:tcPr>
          <w:p w14:paraId="09D1DE0E" w14:textId="64278C29" w:rsidR="00BF16C4" w:rsidRPr="00847710" w:rsidRDefault="00BF16C4" w:rsidP="00AD136B">
            <w:pPr>
              <w:spacing w:after="0" w:line="240" w:lineRule="auto"/>
              <w:jc w:val="center"/>
              <w:rPr>
                <w:rFonts w:ascii="Times New Roman" w:eastAsia="Times New Roman" w:hAnsi="Times New Roman" w:cs="Times New Roman"/>
                <w:b/>
                <w:color w:val="000000"/>
                <w:sz w:val="20"/>
                <w:szCs w:val="20"/>
                <w:lang w:eastAsia="lv-LV"/>
              </w:rPr>
            </w:pPr>
          </w:p>
        </w:tc>
      </w:tr>
      <w:tr w:rsidR="00137E44" w:rsidRPr="00847710" w14:paraId="5FB0C6A0" w14:textId="77777777" w:rsidTr="57326167">
        <w:trPr>
          <w:trHeight w:val="300"/>
          <w:jc w:val="center"/>
        </w:trPr>
        <w:tc>
          <w:tcPr>
            <w:tcW w:w="1980" w:type="dxa"/>
            <w:vMerge/>
            <w:shd w:val="clear" w:color="auto" w:fill="auto"/>
            <w:vAlign w:val="bottom"/>
          </w:tcPr>
          <w:p w14:paraId="13840D3D" w14:textId="77777777" w:rsidR="00137E44" w:rsidRPr="00847710" w:rsidRDefault="00137E44" w:rsidP="00B8551A">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auto"/>
            <w:vAlign w:val="bottom"/>
          </w:tcPr>
          <w:p w14:paraId="4BFCA551" w14:textId="2264C31D"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Izmeklējumu cena, euro</w:t>
            </w:r>
          </w:p>
        </w:tc>
        <w:tc>
          <w:tcPr>
            <w:tcW w:w="1132" w:type="dxa"/>
            <w:shd w:val="clear" w:color="auto" w:fill="auto"/>
            <w:noWrap/>
            <w:vAlign w:val="bottom"/>
          </w:tcPr>
          <w:p w14:paraId="365EEB32" w14:textId="694A9349"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shd w:val="clear" w:color="auto" w:fill="auto"/>
            <w:noWrap/>
            <w:vAlign w:val="bottom"/>
          </w:tcPr>
          <w:p w14:paraId="72719DAD" w14:textId="180899D9"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shd w:val="clear" w:color="auto" w:fill="auto"/>
            <w:noWrap/>
            <w:vAlign w:val="bottom"/>
          </w:tcPr>
          <w:p w14:paraId="0BBADEC0" w14:textId="067F452A"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shd w:val="clear" w:color="auto" w:fill="auto"/>
            <w:noWrap/>
            <w:vAlign w:val="bottom"/>
          </w:tcPr>
          <w:p w14:paraId="1B002A9E" w14:textId="65BE7A69"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shd w:val="clear" w:color="auto" w:fill="auto"/>
            <w:noWrap/>
            <w:vAlign w:val="bottom"/>
          </w:tcPr>
          <w:p w14:paraId="706FB215" w14:textId="6750E053"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vAlign w:val="bottom"/>
          </w:tcPr>
          <w:p w14:paraId="080FC2CC" w14:textId="77777777" w:rsidR="00137E44" w:rsidRPr="00847710" w:rsidRDefault="00137E44" w:rsidP="00AD136B">
            <w:pPr>
              <w:spacing w:after="0" w:line="240" w:lineRule="auto"/>
              <w:jc w:val="center"/>
              <w:rPr>
                <w:rFonts w:ascii="Times New Roman" w:eastAsia="Times New Roman" w:hAnsi="Times New Roman" w:cs="Times New Roman"/>
                <w:b/>
                <w:color w:val="000000"/>
                <w:sz w:val="20"/>
                <w:szCs w:val="20"/>
                <w:lang w:eastAsia="lv-LV"/>
              </w:rPr>
            </w:pPr>
          </w:p>
        </w:tc>
      </w:tr>
      <w:tr w:rsidR="00BF16C4" w:rsidRPr="00847710" w14:paraId="49EF1B32" w14:textId="5340635A" w:rsidTr="57326167">
        <w:trPr>
          <w:trHeight w:val="413"/>
          <w:jc w:val="center"/>
        </w:trPr>
        <w:tc>
          <w:tcPr>
            <w:tcW w:w="1980" w:type="dxa"/>
            <w:vMerge/>
            <w:vAlign w:val="center"/>
            <w:hideMark/>
          </w:tcPr>
          <w:p w14:paraId="0B225516" w14:textId="77777777" w:rsidR="00BF16C4" w:rsidRPr="00847710" w:rsidRDefault="00BF16C4" w:rsidP="00B8551A">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FBD4B4" w:themeFill="accent6" w:themeFillTint="66"/>
            <w:vAlign w:val="bottom"/>
            <w:hideMark/>
          </w:tcPr>
          <w:p w14:paraId="3F26F380" w14:textId="63E308FB" w:rsidR="00BF16C4" w:rsidRPr="00847710" w:rsidRDefault="00BF16C4" w:rsidP="00543703">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Izmeklējum</w:t>
            </w:r>
            <w:r w:rsidR="00137E44" w:rsidRPr="00901A9F">
              <w:rPr>
                <w:rFonts w:ascii="Times New Roman" w:eastAsia="Times New Roman" w:hAnsi="Times New Roman" w:cs="Times New Roman"/>
                <w:b/>
                <w:bCs/>
                <w:color w:val="000000"/>
                <w:sz w:val="20"/>
                <w:szCs w:val="20"/>
                <w:lang w:eastAsia="lv-LV"/>
              </w:rPr>
              <w:t>u summa</w:t>
            </w:r>
            <w:r w:rsidRPr="0078794A">
              <w:rPr>
                <w:rFonts w:ascii="Times New Roman" w:eastAsia="Times New Roman" w:hAnsi="Times New Roman" w:cs="Times New Roman"/>
                <w:b/>
                <w:bCs/>
                <w:color w:val="000000"/>
                <w:sz w:val="20"/>
                <w:szCs w:val="20"/>
                <w:lang w:eastAsia="lv-LV"/>
              </w:rPr>
              <w:t>, euro</w:t>
            </w:r>
          </w:p>
        </w:tc>
        <w:tc>
          <w:tcPr>
            <w:tcW w:w="1132" w:type="dxa"/>
            <w:shd w:val="clear" w:color="auto" w:fill="FBD4B4" w:themeFill="accent6" w:themeFillTint="66"/>
            <w:noWrap/>
            <w:vAlign w:val="bottom"/>
            <w:hideMark/>
          </w:tcPr>
          <w:p w14:paraId="54584C6A" w14:textId="221CE144" w:rsidR="00BF16C4" w:rsidRPr="00546B70"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7 257.88</w:t>
            </w:r>
          </w:p>
        </w:tc>
        <w:tc>
          <w:tcPr>
            <w:tcW w:w="1134" w:type="dxa"/>
            <w:shd w:val="clear" w:color="auto" w:fill="FBD4B4" w:themeFill="accent6" w:themeFillTint="66"/>
            <w:noWrap/>
            <w:vAlign w:val="bottom"/>
            <w:hideMark/>
          </w:tcPr>
          <w:p w14:paraId="5A787352" w14:textId="3BF4B0A3" w:rsidR="00BF16C4" w:rsidRPr="00985FC9"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14 820.05</w:t>
            </w:r>
          </w:p>
        </w:tc>
        <w:tc>
          <w:tcPr>
            <w:tcW w:w="1134" w:type="dxa"/>
            <w:shd w:val="clear" w:color="auto" w:fill="FBD4B4" w:themeFill="accent6" w:themeFillTint="66"/>
            <w:noWrap/>
            <w:vAlign w:val="bottom"/>
            <w:hideMark/>
          </w:tcPr>
          <w:p w14:paraId="59ECF172" w14:textId="090F2A53" w:rsidR="00BF16C4" w:rsidRPr="00630B5D"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33 325.39</w:t>
            </w:r>
          </w:p>
        </w:tc>
        <w:tc>
          <w:tcPr>
            <w:tcW w:w="1134" w:type="dxa"/>
            <w:shd w:val="clear" w:color="auto" w:fill="FBD4B4" w:themeFill="accent6" w:themeFillTint="66"/>
            <w:noWrap/>
            <w:vAlign w:val="bottom"/>
            <w:hideMark/>
          </w:tcPr>
          <w:p w14:paraId="71F78864" w14:textId="6A1A6255" w:rsidR="00BF16C4" w:rsidRPr="00CF32DE"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44 381.26</w:t>
            </w:r>
          </w:p>
        </w:tc>
        <w:tc>
          <w:tcPr>
            <w:tcW w:w="1134" w:type="dxa"/>
            <w:shd w:val="clear" w:color="auto" w:fill="FBD4B4" w:themeFill="accent6" w:themeFillTint="66"/>
            <w:noWrap/>
            <w:vAlign w:val="bottom"/>
            <w:hideMark/>
          </w:tcPr>
          <w:p w14:paraId="40384656" w14:textId="34E60E7E" w:rsidR="00BF16C4" w:rsidRPr="00CF32DE"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65 140.6</w:t>
            </w:r>
          </w:p>
        </w:tc>
        <w:tc>
          <w:tcPr>
            <w:tcW w:w="1134" w:type="dxa"/>
            <w:shd w:val="clear" w:color="auto" w:fill="FBD4B4" w:themeFill="accent6" w:themeFillTint="66"/>
            <w:vAlign w:val="bottom"/>
          </w:tcPr>
          <w:p w14:paraId="68304A3C" w14:textId="0EEA128E" w:rsidR="00BF16C4" w:rsidRPr="00CF32DE"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164 925.18</w:t>
            </w:r>
          </w:p>
        </w:tc>
      </w:tr>
      <w:tr w:rsidR="00137E44" w:rsidRPr="00847710" w14:paraId="66A70096" w14:textId="77777777" w:rsidTr="57326167">
        <w:trPr>
          <w:trHeight w:val="80"/>
          <w:jc w:val="center"/>
        </w:trPr>
        <w:tc>
          <w:tcPr>
            <w:tcW w:w="10485" w:type="dxa"/>
            <w:gridSpan w:val="8"/>
            <w:shd w:val="clear" w:color="auto" w:fill="auto"/>
            <w:vAlign w:val="bottom"/>
          </w:tcPr>
          <w:p w14:paraId="3766325E" w14:textId="77777777" w:rsidR="00137E44" w:rsidRPr="00847710" w:rsidRDefault="00137E44" w:rsidP="00AD136B">
            <w:pPr>
              <w:spacing w:after="0" w:line="240" w:lineRule="auto"/>
              <w:jc w:val="center"/>
              <w:rPr>
                <w:rFonts w:ascii="Times New Roman" w:eastAsia="Times New Roman" w:hAnsi="Times New Roman" w:cs="Times New Roman"/>
                <w:b/>
                <w:color w:val="000000"/>
                <w:sz w:val="20"/>
                <w:szCs w:val="20"/>
                <w:lang w:eastAsia="lv-LV"/>
              </w:rPr>
            </w:pPr>
          </w:p>
        </w:tc>
      </w:tr>
      <w:tr w:rsidR="00BF16C4" w:rsidRPr="00847710" w14:paraId="5A938A79" w14:textId="1F9CD822" w:rsidTr="57326167">
        <w:trPr>
          <w:trHeight w:val="300"/>
          <w:jc w:val="center"/>
        </w:trPr>
        <w:tc>
          <w:tcPr>
            <w:tcW w:w="1980" w:type="dxa"/>
            <w:vMerge w:val="restart"/>
            <w:shd w:val="clear" w:color="auto" w:fill="auto"/>
            <w:vAlign w:val="bottom"/>
            <w:hideMark/>
          </w:tcPr>
          <w:p w14:paraId="74F331B7" w14:textId="77777777" w:rsidR="00BF16C4" w:rsidRPr="00847710" w:rsidRDefault="00BF16C4" w:rsidP="00B8551A">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Pacientu skaits, kam tiks noteikts KVS risks pēc SCORE</w:t>
            </w:r>
          </w:p>
        </w:tc>
        <w:tc>
          <w:tcPr>
            <w:tcW w:w="1703" w:type="dxa"/>
            <w:shd w:val="clear" w:color="auto" w:fill="auto"/>
            <w:vAlign w:val="bottom"/>
            <w:hideMark/>
          </w:tcPr>
          <w:p w14:paraId="30C7308B" w14:textId="77777777"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Pac.skaits</w:t>
            </w:r>
          </w:p>
        </w:tc>
        <w:tc>
          <w:tcPr>
            <w:tcW w:w="1132" w:type="dxa"/>
            <w:shd w:val="clear" w:color="auto" w:fill="auto"/>
            <w:noWrap/>
            <w:vAlign w:val="bottom"/>
            <w:hideMark/>
          </w:tcPr>
          <w:p w14:paraId="649E1019" w14:textId="51CA2FDD"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12 242</w:t>
            </w:r>
          </w:p>
        </w:tc>
        <w:tc>
          <w:tcPr>
            <w:tcW w:w="1134" w:type="dxa"/>
            <w:shd w:val="clear" w:color="auto" w:fill="auto"/>
            <w:noWrap/>
            <w:vAlign w:val="bottom"/>
            <w:hideMark/>
          </w:tcPr>
          <w:p w14:paraId="1EDC737D" w14:textId="4D2B3719"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11 834</w:t>
            </w:r>
          </w:p>
        </w:tc>
        <w:tc>
          <w:tcPr>
            <w:tcW w:w="1134" w:type="dxa"/>
            <w:shd w:val="clear" w:color="auto" w:fill="auto"/>
            <w:noWrap/>
            <w:vAlign w:val="bottom"/>
            <w:hideMark/>
          </w:tcPr>
          <w:p w14:paraId="0A47452D" w14:textId="10038922"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11 828</w:t>
            </w:r>
          </w:p>
        </w:tc>
        <w:tc>
          <w:tcPr>
            <w:tcW w:w="1134" w:type="dxa"/>
            <w:shd w:val="clear" w:color="auto" w:fill="auto"/>
            <w:noWrap/>
            <w:vAlign w:val="bottom"/>
            <w:hideMark/>
          </w:tcPr>
          <w:p w14:paraId="6B357CC0" w14:textId="339C3806"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9 188</w:t>
            </w:r>
          </w:p>
        </w:tc>
        <w:tc>
          <w:tcPr>
            <w:tcW w:w="1134" w:type="dxa"/>
            <w:shd w:val="clear" w:color="auto" w:fill="auto"/>
            <w:noWrap/>
            <w:vAlign w:val="bottom"/>
            <w:hideMark/>
          </w:tcPr>
          <w:p w14:paraId="7DFFD4CC" w14:textId="60413D25" w:rsidR="00BF16C4" w:rsidRPr="00847710" w:rsidRDefault="00BF16C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5 780</w:t>
            </w:r>
          </w:p>
        </w:tc>
        <w:tc>
          <w:tcPr>
            <w:tcW w:w="1134" w:type="dxa"/>
            <w:vAlign w:val="bottom"/>
          </w:tcPr>
          <w:p w14:paraId="5F1C5F40" w14:textId="5A4F6632" w:rsidR="00BF16C4" w:rsidRPr="00847710" w:rsidRDefault="00BF16C4" w:rsidP="00AD136B">
            <w:pPr>
              <w:spacing w:after="0" w:line="240" w:lineRule="auto"/>
              <w:jc w:val="center"/>
              <w:rPr>
                <w:rFonts w:ascii="Times New Roman" w:eastAsia="Times New Roman" w:hAnsi="Times New Roman" w:cs="Times New Roman"/>
                <w:b/>
                <w:color w:val="000000"/>
                <w:sz w:val="20"/>
                <w:szCs w:val="20"/>
                <w:lang w:eastAsia="lv-LV"/>
              </w:rPr>
            </w:pPr>
          </w:p>
        </w:tc>
      </w:tr>
      <w:tr w:rsidR="00137E44" w:rsidRPr="00847710" w14:paraId="377CDC8F" w14:textId="77777777" w:rsidTr="57326167">
        <w:trPr>
          <w:trHeight w:val="600"/>
          <w:jc w:val="center"/>
        </w:trPr>
        <w:tc>
          <w:tcPr>
            <w:tcW w:w="1980" w:type="dxa"/>
            <w:vMerge/>
            <w:vAlign w:val="center"/>
          </w:tcPr>
          <w:p w14:paraId="6F940264" w14:textId="77777777" w:rsidR="00137E44" w:rsidRPr="00847710" w:rsidRDefault="00137E44" w:rsidP="00B8551A">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auto"/>
            <w:vAlign w:val="bottom"/>
          </w:tcPr>
          <w:p w14:paraId="1C2CB81B" w14:textId="18D5A127"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Izmeklējumu cena, euro</w:t>
            </w:r>
          </w:p>
        </w:tc>
        <w:tc>
          <w:tcPr>
            <w:tcW w:w="1132" w:type="dxa"/>
            <w:shd w:val="clear" w:color="auto" w:fill="auto"/>
            <w:noWrap/>
            <w:vAlign w:val="bottom"/>
          </w:tcPr>
          <w:p w14:paraId="7A9FAE5C" w14:textId="33D44D7B"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1.99</w:t>
            </w:r>
          </w:p>
        </w:tc>
        <w:tc>
          <w:tcPr>
            <w:tcW w:w="1134" w:type="dxa"/>
            <w:shd w:val="clear" w:color="auto" w:fill="auto"/>
            <w:noWrap/>
            <w:vAlign w:val="bottom"/>
          </w:tcPr>
          <w:p w14:paraId="5AF0F55C" w14:textId="2C42C5E5"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1.99</w:t>
            </w:r>
          </w:p>
        </w:tc>
        <w:tc>
          <w:tcPr>
            <w:tcW w:w="1134" w:type="dxa"/>
            <w:shd w:val="clear" w:color="auto" w:fill="auto"/>
            <w:noWrap/>
            <w:vAlign w:val="bottom"/>
          </w:tcPr>
          <w:p w14:paraId="6901A0AA" w14:textId="5C8A9FA4"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1.99</w:t>
            </w:r>
          </w:p>
        </w:tc>
        <w:tc>
          <w:tcPr>
            <w:tcW w:w="1134" w:type="dxa"/>
            <w:shd w:val="clear" w:color="auto" w:fill="auto"/>
            <w:noWrap/>
            <w:vAlign w:val="bottom"/>
          </w:tcPr>
          <w:p w14:paraId="7E7D7637" w14:textId="5473F595"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1.99</w:t>
            </w:r>
          </w:p>
        </w:tc>
        <w:tc>
          <w:tcPr>
            <w:tcW w:w="1134" w:type="dxa"/>
            <w:shd w:val="clear" w:color="auto" w:fill="auto"/>
            <w:noWrap/>
            <w:vAlign w:val="bottom"/>
          </w:tcPr>
          <w:p w14:paraId="2E2D21BB" w14:textId="24DCF123"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1.99</w:t>
            </w:r>
          </w:p>
        </w:tc>
        <w:tc>
          <w:tcPr>
            <w:tcW w:w="1134" w:type="dxa"/>
            <w:vAlign w:val="bottom"/>
          </w:tcPr>
          <w:p w14:paraId="1473BF41" w14:textId="77777777" w:rsidR="00137E44" w:rsidRPr="00847710" w:rsidRDefault="00137E44" w:rsidP="00AD136B">
            <w:pPr>
              <w:spacing w:after="0" w:line="240" w:lineRule="auto"/>
              <w:jc w:val="center"/>
              <w:rPr>
                <w:rFonts w:ascii="Times New Roman" w:eastAsia="Times New Roman" w:hAnsi="Times New Roman" w:cs="Times New Roman"/>
                <w:b/>
                <w:color w:val="000000"/>
                <w:sz w:val="20"/>
                <w:szCs w:val="20"/>
                <w:lang w:eastAsia="lv-LV"/>
              </w:rPr>
            </w:pPr>
          </w:p>
        </w:tc>
      </w:tr>
      <w:tr w:rsidR="00BF16C4" w:rsidRPr="00847710" w14:paraId="25D805C0" w14:textId="5E7EFE5A" w:rsidTr="57326167">
        <w:trPr>
          <w:trHeight w:val="600"/>
          <w:jc w:val="center"/>
        </w:trPr>
        <w:tc>
          <w:tcPr>
            <w:tcW w:w="1980" w:type="dxa"/>
            <w:vMerge/>
            <w:vAlign w:val="center"/>
            <w:hideMark/>
          </w:tcPr>
          <w:p w14:paraId="6934213E" w14:textId="77777777" w:rsidR="00BF16C4" w:rsidRPr="00847710" w:rsidRDefault="00BF16C4" w:rsidP="00B8551A">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auto"/>
            <w:vAlign w:val="bottom"/>
            <w:hideMark/>
          </w:tcPr>
          <w:p w14:paraId="0FEC26D6" w14:textId="44797643" w:rsidR="00BF16C4" w:rsidRPr="00847710" w:rsidRDefault="00BF16C4" w:rsidP="00543703">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Izmeklējum</w:t>
            </w:r>
            <w:r w:rsidR="00137E44" w:rsidRPr="00901A9F">
              <w:rPr>
                <w:rFonts w:ascii="Times New Roman" w:eastAsia="Times New Roman" w:hAnsi="Times New Roman" w:cs="Times New Roman"/>
                <w:b/>
                <w:bCs/>
                <w:color w:val="000000"/>
                <w:sz w:val="20"/>
                <w:szCs w:val="20"/>
                <w:lang w:eastAsia="lv-LV"/>
              </w:rPr>
              <w:t>u summa</w:t>
            </w:r>
            <w:r w:rsidRPr="0078794A">
              <w:rPr>
                <w:rFonts w:ascii="Times New Roman" w:eastAsia="Times New Roman" w:hAnsi="Times New Roman" w:cs="Times New Roman"/>
                <w:b/>
                <w:bCs/>
                <w:color w:val="000000"/>
                <w:sz w:val="20"/>
                <w:szCs w:val="20"/>
                <w:lang w:eastAsia="lv-LV"/>
              </w:rPr>
              <w:t>, euro</w:t>
            </w:r>
          </w:p>
        </w:tc>
        <w:tc>
          <w:tcPr>
            <w:tcW w:w="1132" w:type="dxa"/>
            <w:shd w:val="clear" w:color="auto" w:fill="auto"/>
            <w:noWrap/>
            <w:vAlign w:val="bottom"/>
            <w:hideMark/>
          </w:tcPr>
          <w:p w14:paraId="719A9503" w14:textId="12009DB2" w:rsidR="00BF16C4" w:rsidRPr="00546B70"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24 361.58</w:t>
            </w:r>
          </w:p>
        </w:tc>
        <w:tc>
          <w:tcPr>
            <w:tcW w:w="1134" w:type="dxa"/>
            <w:shd w:val="clear" w:color="auto" w:fill="auto"/>
            <w:noWrap/>
            <w:vAlign w:val="bottom"/>
            <w:hideMark/>
          </w:tcPr>
          <w:p w14:paraId="525399E9" w14:textId="32833745" w:rsidR="00BF16C4" w:rsidRPr="00985FC9"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23 549.66</w:t>
            </w:r>
          </w:p>
        </w:tc>
        <w:tc>
          <w:tcPr>
            <w:tcW w:w="1134" w:type="dxa"/>
            <w:shd w:val="clear" w:color="auto" w:fill="auto"/>
            <w:noWrap/>
            <w:vAlign w:val="bottom"/>
            <w:hideMark/>
          </w:tcPr>
          <w:p w14:paraId="6C44695E" w14:textId="78643D56" w:rsidR="00BF16C4" w:rsidRPr="00630B5D"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23 537.72</w:t>
            </w:r>
          </w:p>
        </w:tc>
        <w:tc>
          <w:tcPr>
            <w:tcW w:w="1134" w:type="dxa"/>
            <w:shd w:val="clear" w:color="auto" w:fill="auto"/>
            <w:noWrap/>
            <w:vAlign w:val="bottom"/>
            <w:hideMark/>
          </w:tcPr>
          <w:p w14:paraId="178B204E" w14:textId="4B271E9B" w:rsidR="00BF16C4" w:rsidRPr="00CF32DE"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18 284.12</w:t>
            </w:r>
          </w:p>
        </w:tc>
        <w:tc>
          <w:tcPr>
            <w:tcW w:w="1134" w:type="dxa"/>
            <w:shd w:val="clear" w:color="auto" w:fill="auto"/>
            <w:noWrap/>
            <w:vAlign w:val="bottom"/>
            <w:hideMark/>
          </w:tcPr>
          <w:p w14:paraId="4F630C34" w14:textId="218DB792" w:rsidR="00BF16C4" w:rsidRPr="00CF32DE"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11 502.2</w:t>
            </w:r>
          </w:p>
        </w:tc>
        <w:tc>
          <w:tcPr>
            <w:tcW w:w="1134" w:type="dxa"/>
            <w:vAlign w:val="bottom"/>
          </w:tcPr>
          <w:p w14:paraId="48F0B64F" w14:textId="4AC77AC5" w:rsidR="00BF16C4" w:rsidRPr="00847710" w:rsidRDefault="00BF16C4" w:rsidP="00AD136B">
            <w:pPr>
              <w:spacing w:after="0" w:line="240" w:lineRule="auto"/>
              <w:jc w:val="center"/>
              <w:rPr>
                <w:rFonts w:ascii="Times New Roman" w:eastAsia="Times New Roman" w:hAnsi="Times New Roman" w:cs="Times New Roman"/>
                <w:b/>
                <w:color w:val="000000"/>
                <w:sz w:val="20"/>
                <w:szCs w:val="20"/>
                <w:lang w:eastAsia="lv-LV"/>
              </w:rPr>
            </w:pPr>
          </w:p>
        </w:tc>
      </w:tr>
      <w:tr w:rsidR="00137E44" w:rsidRPr="00847710" w14:paraId="20F4D993" w14:textId="77777777" w:rsidTr="57326167">
        <w:trPr>
          <w:trHeight w:val="593"/>
          <w:jc w:val="center"/>
        </w:trPr>
        <w:tc>
          <w:tcPr>
            <w:tcW w:w="1980" w:type="dxa"/>
            <w:vMerge/>
            <w:vAlign w:val="center"/>
          </w:tcPr>
          <w:p w14:paraId="767DD6D1" w14:textId="77777777" w:rsidR="00137E44" w:rsidRPr="00847710" w:rsidRDefault="00137E44" w:rsidP="00B8551A">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auto"/>
            <w:vAlign w:val="bottom"/>
          </w:tcPr>
          <w:p w14:paraId="54A70EB4" w14:textId="61616828"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Ģimenes ārsta 1 apskates izmaksa, euro</w:t>
            </w:r>
          </w:p>
        </w:tc>
        <w:tc>
          <w:tcPr>
            <w:tcW w:w="1132" w:type="dxa"/>
            <w:shd w:val="clear" w:color="auto" w:fill="auto"/>
            <w:noWrap/>
            <w:vAlign w:val="bottom"/>
          </w:tcPr>
          <w:p w14:paraId="27EBF61E" w14:textId="0B0DA983"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5.35</w:t>
            </w:r>
          </w:p>
        </w:tc>
        <w:tc>
          <w:tcPr>
            <w:tcW w:w="1134" w:type="dxa"/>
            <w:shd w:val="clear" w:color="auto" w:fill="auto"/>
            <w:noWrap/>
            <w:vAlign w:val="bottom"/>
          </w:tcPr>
          <w:p w14:paraId="224DB7DD" w14:textId="0AABD683"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5.35</w:t>
            </w:r>
          </w:p>
        </w:tc>
        <w:tc>
          <w:tcPr>
            <w:tcW w:w="1134" w:type="dxa"/>
            <w:shd w:val="clear" w:color="auto" w:fill="auto"/>
            <w:noWrap/>
            <w:vAlign w:val="bottom"/>
          </w:tcPr>
          <w:p w14:paraId="1A936065" w14:textId="7BA622DA"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5.35</w:t>
            </w:r>
          </w:p>
        </w:tc>
        <w:tc>
          <w:tcPr>
            <w:tcW w:w="1134" w:type="dxa"/>
            <w:shd w:val="clear" w:color="auto" w:fill="auto"/>
            <w:noWrap/>
            <w:vAlign w:val="bottom"/>
          </w:tcPr>
          <w:p w14:paraId="22E5C4A1" w14:textId="7E3BA35E"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5.35</w:t>
            </w:r>
          </w:p>
        </w:tc>
        <w:tc>
          <w:tcPr>
            <w:tcW w:w="1134" w:type="dxa"/>
            <w:shd w:val="clear" w:color="auto" w:fill="auto"/>
            <w:noWrap/>
            <w:vAlign w:val="bottom"/>
          </w:tcPr>
          <w:p w14:paraId="63B52855" w14:textId="486B8D38" w:rsidR="00137E44" w:rsidRPr="00847710" w:rsidRDefault="00137E44" w:rsidP="00B8551A">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5.35</w:t>
            </w:r>
          </w:p>
        </w:tc>
        <w:tc>
          <w:tcPr>
            <w:tcW w:w="1134" w:type="dxa"/>
            <w:vAlign w:val="bottom"/>
          </w:tcPr>
          <w:p w14:paraId="37D92889" w14:textId="77777777" w:rsidR="00137E44" w:rsidRPr="00847710" w:rsidRDefault="00137E44" w:rsidP="00AD136B">
            <w:pPr>
              <w:spacing w:after="0" w:line="240" w:lineRule="auto"/>
              <w:jc w:val="center"/>
              <w:rPr>
                <w:rFonts w:ascii="Times New Roman" w:eastAsia="Times New Roman" w:hAnsi="Times New Roman" w:cs="Times New Roman"/>
                <w:b/>
                <w:color w:val="000000"/>
                <w:sz w:val="20"/>
                <w:szCs w:val="20"/>
                <w:lang w:eastAsia="lv-LV"/>
              </w:rPr>
            </w:pPr>
          </w:p>
        </w:tc>
      </w:tr>
      <w:tr w:rsidR="00BF16C4" w:rsidRPr="00847710" w14:paraId="41D4268F" w14:textId="558ED8F4" w:rsidTr="57326167">
        <w:trPr>
          <w:trHeight w:val="593"/>
          <w:jc w:val="center"/>
        </w:trPr>
        <w:tc>
          <w:tcPr>
            <w:tcW w:w="1980" w:type="dxa"/>
            <w:vMerge/>
            <w:vAlign w:val="center"/>
            <w:hideMark/>
          </w:tcPr>
          <w:p w14:paraId="6B616EF0" w14:textId="77777777" w:rsidR="00BF16C4" w:rsidRPr="00847710" w:rsidRDefault="00BF16C4" w:rsidP="00B8551A">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auto"/>
            <w:vAlign w:val="bottom"/>
            <w:hideMark/>
          </w:tcPr>
          <w:p w14:paraId="13E9E560" w14:textId="2BC4BA67" w:rsidR="00BF16C4" w:rsidRPr="00847710" w:rsidRDefault="00137E44" w:rsidP="00543703">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Ģimenes ārsta apskates summa, euro</w:t>
            </w:r>
          </w:p>
        </w:tc>
        <w:tc>
          <w:tcPr>
            <w:tcW w:w="1132" w:type="dxa"/>
            <w:shd w:val="clear" w:color="auto" w:fill="auto"/>
            <w:noWrap/>
            <w:vAlign w:val="bottom"/>
            <w:hideMark/>
          </w:tcPr>
          <w:p w14:paraId="0F1154D7" w14:textId="3450B007" w:rsidR="00BF16C4" w:rsidRPr="00546B70"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65 494.7</w:t>
            </w:r>
          </w:p>
        </w:tc>
        <w:tc>
          <w:tcPr>
            <w:tcW w:w="1134" w:type="dxa"/>
            <w:shd w:val="clear" w:color="auto" w:fill="auto"/>
            <w:noWrap/>
            <w:vAlign w:val="bottom"/>
            <w:hideMark/>
          </w:tcPr>
          <w:p w14:paraId="26F08217" w14:textId="6CC02EC6" w:rsidR="00BF16C4" w:rsidRPr="00985FC9"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63 311.9</w:t>
            </w:r>
          </w:p>
        </w:tc>
        <w:tc>
          <w:tcPr>
            <w:tcW w:w="1134" w:type="dxa"/>
            <w:shd w:val="clear" w:color="auto" w:fill="auto"/>
            <w:noWrap/>
            <w:vAlign w:val="bottom"/>
            <w:hideMark/>
          </w:tcPr>
          <w:p w14:paraId="73BB78DB" w14:textId="3B468C35" w:rsidR="00BF16C4" w:rsidRPr="00630B5D"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63 279.8</w:t>
            </w:r>
          </w:p>
        </w:tc>
        <w:tc>
          <w:tcPr>
            <w:tcW w:w="1134" w:type="dxa"/>
            <w:shd w:val="clear" w:color="auto" w:fill="auto"/>
            <w:noWrap/>
            <w:vAlign w:val="bottom"/>
            <w:hideMark/>
          </w:tcPr>
          <w:p w14:paraId="7A1854DA" w14:textId="6E66611D" w:rsidR="00BF16C4" w:rsidRPr="00CF32DE"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49 155.8</w:t>
            </w:r>
          </w:p>
        </w:tc>
        <w:tc>
          <w:tcPr>
            <w:tcW w:w="1134" w:type="dxa"/>
            <w:shd w:val="clear" w:color="auto" w:fill="auto"/>
            <w:noWrap/>
            <w:vAlign w:val="bottom"/>
            <w:hideMark/>
          </w:tcPr>
          <w:p w14:paraId="127C3399" w14:textId="62B3C758" w:rsidR="00BF16C4" w:rsidRPr="00CF32DE"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30 923</w:t>
            </w:r>
          </w:p>
        </w:tc>
        <w:tc>
          <w:tcPr>
            <w:tcW w:w="1134" w:type="dxa"/>
            <w:vAlign w:val="bottom"/>
          </w:tcPr>
          <w:p w14:paraId="6425E3D4" w14:textId="61BDB8E6" w:rsidR="00BF16C4" w:rsidRPr="00847710" w:rsidRDefault="00BF16C4" w:rsidP="00AD136B">
            <w:pPr>
              <w:spacing w:after="0" w:line="240" w:lineRule="auto"/>
              <w:jc w:val="center"/>
              <w:rPr>
                <w:rFonts w:ascii="Times New Roman" w:eastAsia="Times New Roman" w:hAnsi="Times New Roman" w:cs="Times New Roman"/>
                <w:b/>
                <w:color w:val="000000"/>
                <w:sz w:val="20"/>
                <w:szCs w:val="20"/>
                <w:lang w:eastAsia="lv-LV"/>
              </w:rPr>
            </w:pPr>
          </w:p>
        </w:tc>
      </w:tr>
      <w:tr w:rsidR="00BF16C4" w:rsidRPr="00847710" w14:paraId="201BFBA6" w14:textId="1CA21808" w:rsidTr="57326167">
        <w:trPr>
          <w:trHeight w:val="315"/>
          <w:jc w:val="center"/>
        </w:trPr>
        <w:tc>
          <w:tcPr>
            <w:tcW w:w="1980" w:type="dxa"/>
            <w:vMerge/>
            <w:vAlign w:val="center"/>
            <w:hideMark/>
          </w:tcPr>
          <w:p w14:paraId="02D81BB6" w14:textId="77777777" w:rsidR="00BF16C4" w:rsidRPr="00847710" w:rsidRDefault="00BF16C4" w:rsidP="00B8551A">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FBD4B4" w:themeFill="accent6" w:themeFillTint="66"/>
            <w:vAlign w:val="bottom"/>
            <w:hideMark/>
          </w:tcPr>
          <w:p w14:paraId="37ABCDD7" w14:textId="77777777" w:rsidR="00BF16C4" w:rsidRPr="00546B70" w:rsidRDefault="00BF16C4">
            <w:pPr>
              <w:spacing w:after="0" w:line="240" w:lineRule="auto"/>
              <w:jc w:val="center"/>
              <w:rPr>
                <w:rFonts w:ascii="Times New Roman" w:eastAsia="Times New Roman" w:hAnsi="Times New Roman" w:cs="Times New Roman"/>
                <w:b/>
                <w:bCs/>
                <w:color w:val="000000"/>
                <w:sz w:val="20"/>
                <w:szCs w:val="20"/>
                <w:lang w:eastAsia="lv-LV"/>
              </w:rPr>
            </w:pPr>
            <w:r w:rsidRPr="0012317D">
              <w:rPr>
                <w:rFonts w:ascii="Times New Roman" w:eastAsia="Times New Roman" w:hAnsi="Times New Roman" w:cs="Times New Roman"/>
                <w:b/>
                <w:bCs/>
                <w:color w:val="000000"/>
                <w:sz w:val="20"/>
                <w:szCs w:val="20"/>
                <w:lang w:eastAsia="lv-LV"/>
              </w:rPr>
              <w:t>Kopā, EUR</w:t>
            </w:r>
          </w:p>
        </w:tc>
        <w:tc>
          <w:tcPr>
            <w:tcW w:w="1132" w:type="dxa"/>
            <w:shd w:val="clear" w:color="auto" w:fill="FBD4B4" w:themeFill="accent6" w:themeFillTint="66"/>
            <w:noWrap/>
            <w:vAlign w:val="bottom"/>
            <w:hideMark/>
          </w:tcPr>
          <w:p w14:paraId="550477D7" w14:textId="05DD0B13" w:rsidR="00BF16C4" w:rsidRPr="00985FC9"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89 856.28</w:t>
            </w:r>
          </w:p>
        </w:tc>
        <w:tc>
          <w:tcPr>
            <w:tcW w:w="1134" w:type="dxa"/>
            <w:shd w:val="clear" w:color="auto" w:fill="FBD4B4" w:themeFill="accent6" w:themeFillTint="66"/>
            <w:noWrap/>
            <w:vAlign w:val="bottom"/>
            <w:hideMark/>
          </w:tcPr>
          <w:p w14:paraId="27764F92" w14:textId="29C2851B" w:rsidR="00BF16C4" w:rsidRPr="00630B5D"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86 861.56</w:t>
            </w:r>
          </w:p>
        </w:tc>
        <w:tc>
          <w:tcPr>
            <w:tcW w:w="1134" w:type="dxa"/>
            <w:shd w:val="clear" w:color="auto" w:fill="FBD4B4" w:themeFill="accent6" w:themeFillTint="66"/>
            <w:noWrap/>
            <w:vAlign w:val="bottom"/>
            <w:hideMark/>
          </w:tcPr>
          <w:p w14:paraId="00D74D10" w14:textId="5431EE42" w:rsidR="00BF16C4" w:rsidRPr="00CF32DE"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86 817.52</w:t>
            </w:r>
          </w:p>
        </w:tc>
        <w:tc>
          <w:tcPr>
            <w:tcW w:w="1134" w:type="dxa"/>
            <w:shd w:val="clear" w:color="auto" w:fill="FBD4B4" w:themeFill="accent6" w:themeFillTint="66"/>
            <w:noWrap/>
            <w:vAlign w:val="bottom"/>
            <w:hideMark/>
          </w:tcPr>
          <w:p w14:paraId="5EB41B0E" w14:textId="0E1249A9" w:rsidR="00BF16C4" w:rsidRPr="00CF32DE"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67 439.92</w:t>
            </w:r>
          </w:p>
        </w:tc>
        <w:tc>
          <w:tcPr>
            <w:tcW w:w="1134" w:type="dxa"/>
            <w:shd w:val="clear" w:color="auto" w:fill="FBD4B4" w:themeFill="accent6" w:themeFillTint="66"/>
            <w:noWrap/>
            <w:vAlign w:val="bottom"/>
            <w:hideMark/>
          </w:tcPr>
          <w:p w14:paraId="3E7EC36D" w14:textId="2A9976B4" w:rsidR="00BF16C4" w:rsidRPr="00CF32DE"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42 425.2</w:t>
            </w:r>
          </w:p>
        </w:tc>
        <w:tc>
          <w:tcPr>
            <w:tcW w:w="1134" w:type="dxa"/>
            <w:shd w:val="clear" w:color="auto" w:fill="FBD4B4" w:themeFill="accent6" w:themeFillTint="66"/>
            <w:vAlign w:val="bottom"/>
          </w:tcPr>
          <w:p w14:paraId="1180A07C" w14:textId="7B525233" w:rsidR="00BF16C4" w:rsidRPr="00CF32DE" w:rsidRDefault="00BF16C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373 400.48</w:t>
            </w:r>
          </w:p>
        </w:tc>
      </w:tr>
      <w:tr w:rsidR="00024EC7" w:rsidRPr="00847710" w14:paraId="0C649A81" w14:textId="77777777" w:rsidTr="57326167">
        <w:trPr>
          <w:trHeight w:val="136"/>
          <w:jc w:val="center"/>
        </w:trPr>
        <w:tc>
          <w:tcPr>
            <w:tcW w:w="10485" w:type="dxa"/>
            <w:gridSpan w:val="8"/>
            <w:shd w:val="clear" w:color="auto" w:fill="auto"/>
            <w:vAlign w:val="bottom"/>
          </w:tcPr>
          <w:p w14:paraId="75F32879" w14:textId="77777777" w:rsidR="00024EC7" w:rsidRPr="00847710" w:rsidRDefault="00024EC7" w:rsidP="00137E44">
            <w:pPr>
              <w:spacing w:after="0" w:line="240" w:lineRule="auto"/>
              <w:jc w:val="center"/>
              <w:rPr>
                <w:rFonts w:ascii="Times New Roman" w:eastAsia="Times New Roman" w:hAnsi="Times New Roman" w:cs="Times New Roman"/>
                <w:b/>
                <w:color w:val="000000"/>
                <w:sz w:val="20"/>
                <w:szCs w:val="20"/>
                <w:lang w:eastAsia="lv-LV"/>
              </w:rPr>
            </w:pPr>
          </w:p>
        </w:tc>
      </w:tr>
      <w:tr w:rsidR="00137E44" w:rsidRPr="00847710" w14:paraId="262E50F5" w14:textId="0E9963A8" w:rsidTr="57326167">
        <w:trPr>
          <w:trHeight w:val="300"/>
          <w:jc w:val="center"/>
        </w:trPr>
        <w:tc>
          <w:tcPr>
            <w:tcW w:w="1980" w:type="dxa"/>
            <w:vMerge w:val="restart"/>
            <w:shd w:val="clear" w:color="auto" w:fill="auto"/>
            <w:vAlign w:val="bottom"/>
            <w:hideMark/>
          </w:tcPr>
          <w:p w14:paraId="6C91DAFB" w14:textId="1C1FA286" w:rsidR="00137E44" w:rsidRPr="00847710" w:rsidRDefault="00137E44" w:rsidP="00137E44">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Pacientu skaits, kuriem tiks veikta padziļināta  riska novērtēšana</w:t>
            </w:r>
          </w:p>
        </w:tc>
        <w:tc>
          <w:tcPr>
            <w:tcW w:w="1703" w:type="dxa"/>
            <w:shd w:val="clear" w:color="auto" w:fill="auto"/>
            <w:noWrap/>
            <w:vAlign w:val="bottom"/>
            <w:hideMark/>
          </w:tcPr>
          <w:p w14:paraId="328ABA8F" w14:textId="14A05DD4" w:rsidR="00137E44" w:rsidRPr="00847710" w:rsidRDefault="00137E44" w:rsidP="00137E4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Pac.skaits</w:t>
            </w:r>
          </w:p>
        </w:tc>
        <w:tc>
          <w:tcPr>
            <w:tcW w:w="1132" w:type="dxa"/>
            <w:shd w:val="clear" w:color="auto" w:fill="auto"/>
            <w:noWrap/>
            <w:vAlign w:val="bottom"/>
            <w:hideMark/>
          </w:tcPr>
          <w:p w14:paraId="0F23BEAB" w14:textId="10AE8DA9" w:rsidR="00137E44" w:rsidRPr="00847710" w:rsidRDefault="00137E44" w:rsidP="00137E4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1 224</w:t>
            </w:r>
          </w:p>
        </w:tc>
        <w:tc>
          <w:tcPr>
            <w:tcW w:w="1134" w:type="dxa"/>
            <w:shd w:val="clear" w:color="auto" w:fill="auto"/>
            <w:noWrap/>
            <w:vAlign w:val="bottom"/>
            <w:hideMark/>
          </w:tcPr>
          <w:p w14:paraId="69565ADE" w14:textId="478F399B" w:rsidR="00137E44" w:rsidRPr="00847710" w:rsidRDefault="00137E44" w:rsidP="00137E4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2 367</w:t>
            </w:r>
          </w:p>
        </w:tc>
        <w:tc>
          <w:tcPr>
            <w:tcW w:w="1134" w:type="dxa"/>
            <w:shd w:val="clear" w:color="auto" w:fill="auto"/>
            <w:noWrap/>
            <w:vAlign w:val="bottom"/>
            <w:hideMark/>
          </w:tcPr>
          <w:p w14:paraId="30E8F20E" w14:textId="45556C7C" w:rsidR="00137E44" w:rsidRPr="00847710" w:rsidRDefault="00137E44" w:rsidP="00137E4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2 957</w:t>
            </w:r>
          </w:p>
        </w:tc>
        <w:tc>
          <w:tcPr>
            <w:tcW w:w="1134" w:type="dxa"/>
            <w:shd w:val="clear" w:color="auto" w:fill="auto"/>
            <w:noWrap/>
            <w:vAlign w:val="bottom"/>
            <w:hideMark/>
          </w:tcPr>
          <w:p w14:paraId="739AE324" w14:textId="3690230F" w:rsidR="00137E44" w:rsidRPr="00847710" w:rsidRDefault="00137E44" w:rsidP="00137E4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4 594</w:t>
            </w:r>
          </w:p>
        </w:tc>
        <w:tc>
          <w:tcPr>
            <w:tcW w:w="1134" w:type="dxa"/>
            <w:shd w:val="clear" w:color="auto" w:fill="auto"/>
            <w:noWrap/>
            <w:vAlign w:val="bottom"/>
            <w:hideMark/>
          </w:tcPr>
          <w:p w14:paraId="1808D70A" w14:textId="084FDAF6" w:rsidR="00137E44" w:rsidRPr="00847710" w:rsidRDefault="00137E44" w:rsidP="00137E4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4 335</w:t>
            </w:r>
          </w:p>
        </w:tc>
        <w:tc>
          <w:tcPr>
            <w:tcW w:w="1134" w:type="dxa"/>
            <w:vAlign w:val="bottom"/>
          </w:tcPr>
          <w:p w14:paraId="2D90D6C2" w14:textId="7E9076AC" w:rsidR="00137E44" w:rsidRPr="00847710" w:rsidRDefault="00137E44" w:rsidP="00137E44">
            <w:pPr>
              <w:spacing w:after="0" w:line="240" w:lineRule="auto"/>
              <w:jc w:val="center"/>
              <w:rPr>
                <w:rFonts w:ascii="Times New Roman" w:eastAsia="Times New Roman" w:hAnsi="Times New Roman" w:cs="Times New Roman"/>
                <w:b/>
                <w:color w:val="000000"/>
                <w:sz w:val="20"/>
                <w:szCs w:val="20"/>
                <w:lang w:eastAsia="lv-LV"/>
              </w:rPr>
            </w:pPr>
          </w:p>
        </w:tc>
      </w:tr>
      <w:tr w:rsidR="00137E44" w:rsidRPr="00847710" w14:paraId="49E608CF" w14:textId="77777777" w:rsidTr="57326167">
        <w:trPr>
          <w:trHeight w:val="300"/>
          <w:jc w:val="center"/>
        </w:trPr>
        <w:tc>
          <w:tcPr>
            <w:tcW w:w="1980" w:type="dxa"/>
            <w:vMerge/>
            <w:shd w:val="clear" w:color="auto" w:fill="auto"/>
            <w:vAlign w:val="bottom"/>
          </w:tcPr>
          <w:p w14:paraId="249C9F50" w14:textId="77777777" w:rsidR="00137E44" w:rsidRPr="00847710" w:rsidRDefault="00137E44" w:rsidP="00137E44">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auto"/>
            <w:noWrap/>
            <w:vAlign w:val="bottom"/>
          </w:tcPr>
          <w:p w14:paraId="2798890B" w14:textId="4694CB05" w:rsidR="00137E44" w:rsidRPr="00847710" w:rsidRDefault="00137E44" w:rsidP="00137E4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Izmeklējumu cena, euro</w:t>
            </w:r>
          </w:p>
        </w:tc>
        <w:tc>
          <w:tcPr>
            <w:tcW w:w="1132" w:type="dxa"/>
            <w:shd w:val="clear" w:color="auto" w:fill="auto"/>
            <w:noWrap/>
            <w:vAlign w:val="bottom"/>
          </w:tcPr>
          <w:p w14:paraId="21CE41B1" w14:textId="553D4A45" w:rsidR="00137E44" w:rsidRPr="00847710" w:rsidRDefault="00137E44" w:rsidP="00137E4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shd w:val="clear" w:color="auto" w:fill="auto"/>
            <w:noWrap/>
            <w:vAlign w:val="bottom"/>
          </w:tcPr>
          <w:p w14:paraId="00BADCDA" w14:textId="2B571B00" w:rsidR="00137E44" w:rsidRPr="00847710" w:rsidRDefault="00137E44" w:rsidP="00137E4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shd w:val="clear" w:color="auto" w:fill="auto"/>
            <w:noWrap/>
            <w:vAlign w:val="bottom"/>
          </w:tcPr>
          <w:p w14:paraId="1BB7377E" w14:textId="47B391FC" w:rsidR="00137E44" w:rsidRPr="00847710" w:rsidRDefault="00137E44" w:rsidP="00137E4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shd w:val="clear" w:color="auto" w:fill="auto"/>
            <w:noWrap/>
            <w:vAlign w:val="bottom"/>
          </w:tcPr>
          <w:p w14:paraId="5ED89B43" w14:textId="4EF45939" w:rsidR="00137E44" w:rsidRPr="00847710" w:rsidRDefault="00137E44" w:rsidP="00137E4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shd w:val="clear" w:color="auto" w:fill="auto"/>
            <w:noWrap/>
            <w:vAlign w:val="bottom"/>
          </w:tcPr>
          <w:p w14:paraId="36C9516A" w14:textId="0F0FB009" w:rsidR="00137E44" w:rsidRPr="00847710" w:rsidRDefault="00137E44" w:rsidP="00137E4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11.27</w:t>
            </w:r>
          </w:p>
        </w:tc>
        <w:tc>
          <w:tcPr>
            <w:tcW w:w="1134" w:type="dxa"/>
            <w:vAlign w:val="bottom"/>
          </w:tcPr>
          <w:p w14:paraId="6445193C" w14:textId="77777777" w:rsidR="00137E44" w:rsidRPr="00847710" w:rsidRDefault="00137E44" w:rsidP="00137E44">
            <w:pPr>
              <w:spacing w:after="0" w:line="240" w:lineRule="auto"/>
              <w:jc w:val="center"/>
              <w:rPr>
                <w:rFonts w:ascii="Times New Roman" w:eastAsia="Times New Roman" w:hAnsi="Times New Roman" w:cs="Times New Roman"/>
                <w:b/>
                <w:color w:val="000000"/>
                <w:sz w:val="20"/>
                <w:szCs w:val="20"/>
                <w:lang w:eastAsia="lv-LV"/>
              </w:rPr>
            </w:pPr>
          </w:p>
        </w:tc>
      </w:tr>
      <w:tr w:rsidR="00137E44" w:rsidRPr="00847710" w14:paraId="2FE3F08E" w14:textId="288BA932" w:rsidTr="57326167">
        <w:trPr>
          <w:trHeight w:val="546"/>
          <w:jc w:val="center"/>
        </w:trPr>
        <w:tc>
          <w:tcPr>
            <w:tcW w:w="1980" w:type="dxa"/>
            <w:vMerge/>
            <w:vAlign w:val="center"/>
            <w:hideMark/>
          </w:tcPr>
          <w:p w14:paraId="59E494EE" w14:textId="77777777" w:rsidR="00137E44" w:rsidRPr="00847710" w:rsidRDefault="00137E44" w:rsidP="00137E44">
            <w:pPr>
              <w:spacing w:after="0" w:line="240" w:lineRule="auto"/>
              <w:rPr>
                <w:rFonts w:ascii="Times New Roman" w:eastAsia="Times New Roman" w:hAnsi="Times New Roman" w:cs="Times New Roman"/>
                <w:color w:val="000000"/>
                <w:sz w:val="20"/>
                <w:szCs w:val="20"/>
                <w:lang w:eastAsia="lv-LV"/>
              </w:rPr>
            </w:pPr>
          </w:p>
        </w:tc>
        <w:tc>
          <w:tcPr>
            <w:tcW w:w="1703" w:type="dxa"/>
            <w:shd w:val="clear" w:color="auto" w:fill="FBD4B4" w:themeFill="accent6" w:themeFillTint="66"/>
            <w:vAlign w:val="bottom"/>
            <w:hideMark/>
          </w:tcPr>
          <w:p w14:paraId="313244B4" w14:textId="3F676047" w:rsidR="00137E44" w:rsidRPr="00847710" w:rsidRDefault="00137E44" w:rsidP="00137E44">
            <w:pPr>
              <w:spacing w:after="0" w:line="240" w:lineRule="auto"/>
              <w:jc w:val="center"/>
              <w:rPr>
                <w:rFonts w:ascii="Times New Roman" w:eastAsia="Times New Roman" w:hAnsi="Times New Roman" w:cs="Times New Roman"/>
                <w:color w:val="000000"/>
                <w:sz w:val="20"/>
                <w:szCs w:val="20"/>
                <w:lang w:eastAsia="lv-LV"/>
              </w:rPr>
            </w:pPr>
            <w:r w:rsidRPr="0012317D">
              <w:rPr>
                <w:rFonts w:ascii="Times New Roman" w:eastAsia="Times New Roman" w:hAnsi="Times New Roman" w:cs="Times New Roman"/>
                <w:b/>
                <w:bCs/>
                <w:color w:val="000000"/>
                <w:sz w:val="20"/>
                <w:szCs w:val="20"/>
                <w:lang w:eastAsia="lv-LV"/>
              </w:rPr>
              <w:t>Izmeklējumu summa, euro</w:t>
            </w:r>
          </w:p>
        </w:tc>
        <w:tc>
          <w:tcPr>
            <w:tcW w:w="1132" w:type="dxa"/>
            <w:shd w:val="clear" w:color="auto" w:fill="FBD4B4" w:themeFill="accent6" w:themeFillTint="66"/>
            <w:noWrap/>
            <w:vAlign w:val="bottom"/>
            <w:hideMark/>
          </w:tcPr>
          <w:p w14:paraId="708289D9" w14:textId="178981B3" w:rsidR="00137E44" w:rsidRPr="00546B70" w:rsidRDefault="00137E4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13 794.48</w:t>
            </w:r>
          </w:p>
        </w:tc>
        <w:tc>
          <w:tcPr>
            <w:tcW w:w="1134" w:type="dxa"/>
            <w:shd w:val="clear" w:color="auto" w:fill="FBD4B4" w:themeFill="accent6" w:themeFillTint="66"/>
            <w:noWrap/>
            <w:vAlign w:val="bottom"/>
            <w:hideMark/>
          </w:tcPr>
          <w:p w14:paraId="5AEF4F94" w14:textId="0D338FEA" w:rsidR="00137E44" w:rsidRPr="00985FC9" w:rsidRDefault="00137E4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26 676.09</w:t>
            </w:r>
          </w:p>
        </w:tc>
        <w:tc>
          <w:tcPr>
            <w:tcW w:w="1134" w:type="dxa"/>
            <w:shd w:val="clear" w:color="auto" w:fill="FBD4B4" w:themeFill="accent6" w:themeFillTint="66"/>
            <w:noWrap/>
            <w:vAlign w:val="bottom"/>
            <w:hideMark/>
          </w:tcPr>
          <w:p w14:paraId="29CCC373" w14:textId="099794EA" w:rsidR="00137E44" w:rsidRPr="00CF32DE" w:rsidRDefault="00137E4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33 325.39</w:t>
            </w:r>
          </w:p>
        </w:tc>
        <w:tc>
          <w:tcPr>
            <w:tcW w:w="1134" w:type="dxa"/>
            <w:shd w:val="clear" w:color="auto" w:fill="FBD4B4" w:themeFill="accent6" w:themeFillTint="66"/>
            <w:noWrap/>
            <w:vAlign w:val="bottom"/>
            <w:hideMark/>
          </w:tcPr>
          <w:p w14:paraId="2F72CEB9" w14:textId="54B06388" w:rsidR="00137E44" w:rsidRPr="00CF32DE" w:rsidRDefault="00137E4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51 774.38</w:t>
            </w:r>
          </w:p>
        </w:tc>
        <w:tc>
          <w:tcPr>
            <w:tcW w:w="1134" w:type="dxa"/>
            <w:shd w:val="clear" w:color="auto" w:fill="FBD4B4" w:themeFill="accent6" w:themeFillTint="66"/>
            <w:noWrap/>
            <w:vAlign w:val="bottom"/>
            <w:hideMark/>
          </w:tcPr>
          <w:p w14:paraId="62714EAB" w14:textId="41EC5F08" w:rsidR="00137E44" w:rsidRPr="00CF32DE" w:rsidRDefault="00137E4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48 855.45</w:t>
            </w:r>
          </w:p>
        </w:tc>
        <w:tc>
          <w:tcPr>
            <w:tcW w:w="1134" w:type="dxa"/>
            <w:shd w:val="clear" w:color="auto" w:fill="FBD4B4" w:themeFill="accent6" w:themeFillTint="66"/>
            <w:vAlign w:val="bottom"/>
          </w:tcPr>
          <w:p w14:paraId="10E6990A" w14:textId="524B6121" w:rsidR="00137E44" w:rsidRPr="00CF32DE" w:rsidRDefault="00137E4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174 425.79</w:t>
            </w:r>
          </w:p>
        </w:tc>
      </w:tr>
      <w:tr w:rsidR="00137E44" w:rsidRPr="00847710" w14:paraId="43350D68" w14:textId="77777777" w:rsidTr="57326167">
        <w:trPr>
          <w:trHeight w:val="92"/>
          <w:jc w:val="center"/>
        </w:trPr>
        <w:tc>
          <w:tcPr>
            <w:tcW w:w="9351" w:type="dxa"/>
            <w:gridSpan w:val="7"/>
            <w:shd w:val="clear" w:color="auto" w:fill="FABF8F" w:themeFill="accent6" w:themeFillTint="99"/>
            <w:vAlign w:val="center"/>
          </w:tcPr>
          <w:p w14:paraId="5C3F9A1C" w14:textId="0988D84B" w:rsidR="00137E44" w:rsidRPr="00546B70" w:rsidRDefault="00137E44">
            <w:pPr>
              <w:spacing w:after="0" w:line="240" w:lineRule="auto"/>
              <w:jc w:val="right"/>
              <w:rPr>
                <w:rFonts w:ascii="Times New Roman" w:eastAsia="Times New Roman" w:hAnsi="Times New Roman" w:cs="Times New Roman"/>
                <w:b/>
                <w:bCs/>
                <w:color w:val="000000"/>
                <w:sz w:val="20"/>
                <w:szCs w:val="20"/>
                <w:lang w:eastAsia="lv-LV"/>
              </w:rPr>
            </w:pPr>
            <w:r w:rsidRPr="0012317D">
              <w:rPr>
                <w:rFonts w:ascii="Times New Roman" w:eastAsia="Times New Roman" w:hAnsi="Times New Roman" w:cs="Times New Roman"/>
                <w:b/>
                <w:bCs/>
                <w:color w:val="000000"/>
                <w:sz w:val="20"/>
                <w:szCs w:val="20"/>
                <w:lang w:eastAsia="lv-LV"/>
              </w:rPr>
              <w:t>KOPĀ</w:t>
            </w:r>
          </w:p>
        </w:tc>
        <w:tc>
          <w:tcPr>
            <w:tcW w:w="1134" w:type="dxa"/>
            <w:shd w:val="clear" w:color="auto" w:fill="FABF8F" w:themeFill="accent6" w:themeFillTint="99"/>
            <w:vAlign w:val="bottom"/>
          </w:tcPr>
          <w:p w14:paraId="0F080F06" w14:textId="49AA9F39" w:rsidR="00137E44" w:rsidRPr="00985FC9" w:rsidRDefault="00137E44">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712 751.45</w:t>
            </w:r>
          </w:p>
        </w:tc>
      </w:tr>
      <w:bookmarkEnd w:id="5"/>
    </w:tbl>
    <w:p w14:paraId="6D378EF9" w14:textId="77777777" w:rsidR="00B8551A" w:rsidRPr="00847710" w:rsidRDefault="00B8551A" w:rsidP="00B8551A">
      <w:pPr>
        <w:pStyle w:val="NoSpacing"/>
        <w:spacing w:after="120" w:line="276" w:lineRule="auto"/>
        <w:ind w:firstLine="709"/>
        <w:jc w:val="both"/>
        <w:rPr>
          <w:rFonts w:ascii="Times New Roman" w:hAnsi="Times New Roman" w:cs="Times New Roman"/>
          <w:sz w:val="24"/>
          <w:szCs w:val="24"/>
        </w:rPr>
      </w:pPr>
    </w:p>
    <w:p w14:paraId="7C1ADB28" w14:textId="4BD61872" w:rsidR="0017405A" w:rsidRPr="00847710" w:rsidRDefault="0017405A" w:rsidP="00B165D5">
      <w:pPr>
        <w:pStyle w:val="NoSpacing"/>
        <w:spacing w:after="120" w:line="276" w:lineRule="auto"/>
        <w:ind w:firstLine="709"/>
        <w:jc w:val="both"/>
        <w:rPr>
          <w:rFonts w:ascii="Times New Roman" w:hAnsi="Times New Roman" w:cs="Times New Roman"/>
          <w:color w:val="000000"/>
          <w:sz w:val="24"/>
          <w:szCs w:val="24"/>
        </w:rPr>
      </w:pPr>
      <w:r w:rsidRPr="00847710">
        <w:rPr>
          <w:rFonts w:ascii="Times New Roman" w:hAnsi="Times New Roman" w:cs="Times New Roman"/>
          <w:color w:val="000000"/>
          <w:sz w:val="24"/>
          <w:szCs w:val="24"/>
        </w:rPr>
        <w:t>Izvērtējot pacientu veselības stāvokli un novērtējot SAS risku, pacienti, kuriem būs konstatēts augsts vai ļoti augsts SAS risks, nepieciešamības gadījumā tiks nosūtīti pie kardiologa, kurš veiks tālāko pacienta padziļinātu izmeklēšanu, medikamentu terapijas piemērošanu, nepieciešamības gadījumā nosūtīs uz papildus diagnostiskiem izmeklējumiem vai stacionārai ārstēšanai un nozīmēs adekvātu ārstēšanu. Lai visiem Latvijas iedzīvotājiem vienmērīgu kardiologu veselības aprūpes pakalpojumu pieejamību, nepieciešams nodrošināt kardiologu pieejamību visā Latvijas teritorijā. Kardiologu sniegto veselības aprūpes pakalpojumu nodrošināšanai un papildus izmeklējumu, 2018.gadā tiek plānots novirzīt 887</w:t>
      </w:r>
      <w:r w:rsidR="00C9535C" w:rsidRPr="00847710">
        <w:rPr>
          <w:rFonts w:ascii="Times New Roman" w:hAnsi="Times New Roman" w:cs="Times New Roman"/>
          <w:color w:val="000000"/>
          <w:sz w:val="24"/>
          <w:szCs w:val="24"/>
        </w:rPr>
        <w:t> 175.14</w:t>
      </w:r>
      <w:r w:rsidRPr="00847710">
        <w:rPr>
          <w:rFonts w:ascii="Times New Roman" w:hAnsi="Times New Roman" w:cs="Times New Roman"/>
          <w:color w:val="000000"/>
          <w:sz w:val="24"/>
          <w:szCs w:val="24"/>
        </w:rPr>
        <w:t xml:space="preserve"> euro.</w:t>
      </w:r>
    </w:p>
    <w:p w14:paraId="22EF8782" w14:textId="5052EDD6" w:rsidR="00B165D5" w:rsidRPr="00847710" w:rsidRDefault="0020102F" w:rsidP="00B165D5">
      <w:pPr>
        <w:pStyle w:val="ListParagraph"/>
        <w:spacing w:after="0" w:line="240" w:lineRule="auto"/>
        <w:ind w:left="357"/>
        <w:jc w:val="right"/>
        <w:rPr>
          <w:rFonts w:ascii="Times New Roman" w:hAnsi="Times New Roman"/>
          <w:sz w:val="24"/>
          <w:szCs w:val="24"/>
          <w:lang w:val="lv-LV"/>
        </w:rPr>
      </w:pPr>
      <w:r w:rsidRPr="57326167">
        <w:rPr>
          <w:rFonts w:ascii="Times New Roman" w:hAnsi="Times New Roman"/>
          <w:i/>
          <w:iCs/>
          <w:sz w:val="24"/>
          <w:szCs w:val="24"/>
          <w:lang w:val="lv-LV"/>
        </w:rPr>
        <w:t>3</w:t>
      </w:r>
      <w:r w:rsidR="00DE3C94">
        <w:rPr>
          <w:rFonts w:ascii="Times New Roman" w:hAnsi="Times New Roman"/>
          <w:i/>
          <w:iCs/>
          <w:sz w:val="24"/>
          <w:szCs w:val="24"/>
          <w:lang w:val="lv-LV"/>
        </w:rPr>
        <w:t>3</w:t>
      </w:r>
      <w:r w:rsidR="00B165D5" w:rsidRPr="00847710">
        <w:rPr>
          <w:rFonts w:ascii="Times New Roman" w:hAnsi="Times New Roman"/>
          <w:sz w:val="24"/>
          <w:szCs w:val="24"/>
          <w:lang w:val="lv-LV"/>
        </w:rPr>
        <w:t>.</w:t>
      </w:r>
      <w:r w:rsidR="00B165D5" w:rsidRPr="57326167">
        <w:rPr>
          <w:rFonts w:ascii="Times New Roman" w:hAnsi="Times New Roman"/>
          <w:i/>
          <w:iCs/>
          <w:sz w:val="24"/>
          <w:szCs w:val="24"/>
          <w:lang w:val="lv-LV"/>
        </w:rPr>
        <w:t>tabula</w:t>
      </w:r>
    </w:p>
    <w:p w14:paraId="5A2E5221" w14:textId="68F32F52" w:rsidR="00B165D5" w:rsidRPr="00F60978" w:rsidRDefault="003F4804">
      <w:pPr>
        <w:pStyle w:val="ListParagraph"/>
        <w:spacing w:after="0" w:line="240" w:lineRule="auto"/>
        <w:ind w:left="357"/>
        <w:jc w:val="center"/>
        <w:rPr>
          <w:rFonts w:ascii="Times New Roman" w:hAnsi="Times New Roman"/>
          <w:b/>
          <w:bCs/>
          <w:sz w:val="24"/>
          <w:szCs w:val="24"/>
          <w:lang w:val="lv-LV"/>
        </w:rPr>
      </w:pPr>
      <w:r w:rsidRPr="0012317D">
        <w:rPr>
          <w:rFonts w:ascii="Times New Roman" w:hAnsi="Times New Roman"/>
          <w:b/>
          <w:bCs/>
          <w:sz w:val="24"/>
          <w:szCs w:val="24"/>
          <w:lang w:val="lv-LV"/>
        </w:rPr>
        <w:t>Sekundārās diagnostikas un izmeklēšanas algoritmu</w:t>
      </w:r>
      <w:r w:rsidR="00B165D5" w:rsidRPr="00901A9F">
        <w:rPr>
          <w:rFonts w:ascii="Times New Roman" w:hAnsi="Times New Roman"/>
          <w:b/>
          <w:bCs/>
          <w:sz w:val="24"/>
          <w:szCs w:val="24"/>
          <w:lang w:val="lv-LV"/>
        </w:rPr>
        <w:t xml:space="preserve"> uzlab</w:t>
      </w:r>
      <w:r w:rsidR="008548F1" w:rsidRPr="0078794A">
        <w:rPr>
          <w:rFonts w:ascii="Times New Roman" w:hAnsi="Times New Roman"/>
          <w:b/>
          <w:bCs/>
          <w:sz w:val="24"/>
          <w:szCs w:val="24"/>
          <w:lang w:val="lv-LV"/>
        </w:rPr>
        <w:t>o</w:t>
      </w:r>
      <w:r w:rsidR="00B165D5" w:rsidRPr="00BD7921">
        <w:rPr>
          <w:rFonts w:ascii="Times New Roman" w:hAnsi="Times New Roman"/>
          <w:b/>
          <w:bCs/>
          <w:sz w:val="24"/>
          <w:szCs w:val="24"/>
          <w:lang w:val="lv-LV"/>
        </w:rPr>
        <w:t>šanai nepieciešamo līdzekļu sadalījums</w:t>
      </w:r>
    </w:p>
    <w:p w14:paraId="3E1195E7" w14:textId="77777777" w:rsidR="00B165D5" w:rsidRPr="00847710" w:rsidRDefault="00B165D5" w:rsidP="00B165D5">
      <w:pPr>
        <w:pStyle w:val="ListParagraph"/>
        <w:spacing w:after="0" w:line="240" w:lineRule="auto"/>
        <w:ind w:left="357"/>
        <w:jc w:val="center"/>
        <w:rPr>
          <w:rFonts w:ascii="Times New Roman" w:hAnsi="Times New Roman"/>
          <w:b/>
          <w:sz w:val="24"/>
          <w:szCs w:val="24"/>
          <w:lang w:val="lv-LV"/>
        </w:rPr>
      </w:pPr>
    </w:p>
    <w:tbl>
      <w:tblPr>
        <w:tblW w:w="11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622"/>
        <w:gridCol w:w="999"/>
        <w:gridCol w:w="1417"/>
        <w:gridCol w:w="1411"/>
        <w:gridCol w:w="1513"/>
        <w:gridCol w:w="1305"/>
        <w:gridCol w:w="1305"/>
        <w:gridCol w:w="1272"/>
      </w:tblGrid>
      <w:tr w:rsidR="00B165D5" w:rsidRPr="00847710" w14:paraId="32C62B2A" w14:textId="77777777" w:rsidTr="57326167">
        <w:trPr>
          <w:cantSplit/>
          <w:trHeight w:val="1882"/>
          <w:jc w:val="center"/>
        </w:trPr>
        <w:tc>
          <w:tcPr>
            <w:tcW w:w="500" w:type="dxa"/>
            <w:shd w:val="clear" w:color="auto" w:fill="E36C0A" w:themeFill="accent6" w:themeFillShade="BF"/>
            <w:vAlign w:val="center"/>
            <w:hideMark/>
          </w:tcPr>
          <w:p w14:paraId="43B0978F" w14:textId="77777777" w:rsidR="00B165D5" w:rsidRPr="00847710" w:rsidRDefault="00B165D5" w:rsidP="00097EA5">
            <w:pPr>
              <w:spacing w:after="0" w:line="240" w:lineRule="auto"/>
              <w:rPr>
                <w:rFonts w:ascii="Times New Roman" w:eastAsia="Times New Roman" w:hAnsi="Times New Roman" w:cs="Times New Roman"/>
                <w:b/>
                <w:bCs/>
                <w:sz w:val="20"/>
                <w:szCs w:val="20"/>
                <w:lang w:eastAsia="lv-LV"/>
              </w:rPr>
            </w:pPr>
          </w:p>
        </w:tc>
        <w:tc>
          <w:tcPr>
            <w:tcW w:w="1622" w:type="dxa"/>
            <w:shd w:val="clear" w:color="auto" w:fill="E36C0A" w:themeFill="accent6" w:themeFillShade="BF"/>
            <w:textDirection w:val="btLr"/>
            <w:vAlign w:val="center"/>
            <w:hideMark/>
          </w:tcPr>
          <w:p w14:paraId="68B31E37" w14:textId="77777777" w:rsidR="00B165D5" w:rsidRPr="00847710" w:rsidRDefault="00B165D5" w:rsidP="00097EA5">
            <w:pPr>
              <w:spacing w:after="0" w:line="240" w:lineRule="auto"/>
              <w:ind w:left="113" w:right="113"/>
              <w:jc w:val="center"/>
              <w:rPr>
                <w:rFonts w:ascii="Times New Roman" w:eastAsia="Times New Roman" w:hAnsi="Times New Roman" w:cs="Times New Roman"/>
                <w:b/>
                <w:bCs/>
                <w:sz w:val="20"/>
                <w:szCs w:val="20"/>
                <w:lang w:eastAsia="lv-LV"/>
              </w:rPr>
            </w:pPr>
          </w:p>
        </w:tc>
        <w:tc>
          <w:tcPr>
            <w:tcW w:w="999" w:type="dxa"/>
            <w:shd w:val="clear" w:color="auto" w:fill="E36C0A" w:themeFill="accent6" w:themeFillShade="BF"/>
            <w:textDirection w:val="btLr"/>
            <w:vAlign w:val="center"/>
            <w:hideMark/>
          </w:tcPr>
          <w:p w14:paraId="3A9B18F2" w14:textId="77777777" w:rsidR="00B165D5" w:rsidRPr="00847710" w:rsidRDefault="00B165D5" w:rsidP="00097EA5">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pakalpojuma vidējās izmaksas </w:t>
            </w:r>
          </w:p>
        </w:tc>
        <w:tc>
          <w:tcPr>
            <w:tcW w:w="2828" w:type="dxa"/>
            <w:gridSpan w:val="2"/>
            <w:shd w:val="clear" w:color="auto" w:fill="E36C0A" w:themeFill="accent6" w:themeFillShade="BF"/>
            <w:textDirection w:val="btLr"/>
            <w:vAlign w:val="center"/>
            <w:hideMark/>
          </w:tcPr>
          <w:p w14:paraId="6B18C425" w14:textId="77777777" w:rsidR="00B165D5" w:rsidRPr="00847710" w:rsidRDefault="00B165D5" w:rsidP="00097EA5">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p w14:paraId="30299D2E" w14:textId="77777777" w:rsidR="00B165D5" w:rsidRPr="00847710" w:rsidRDefault="00B165D5" w:rsidP="00097EA5">
            <w:pPr>
              <w:spacing w:after="0" w:line="240" w:lineRule="auto"/>
              <w:ind w:left="113" w:right="113"/>
              <w:jc w:val="center"/>
              <w:rPr>
                <w:rFonts w:ascii="Times New Roman" w:eastAsia="Times New Roman" w:hAnsi="Times New Roman" w:cs="Times New Roman"/>
                <w:b/>
                <w:bCs/>
                <w:sz w:val="20"/>
                <w:szCs w:val="20"/>
                <w:lang w:eastAsia="lv-LV"/>
              </w:rPr>
            </w:pPr>
          </w:p>
        </w:tc>
        <w:tc>
          <w:tcPr>
            <w:tcW w:w="1513" w:type="dxa"/>
            <w:shd w:val="clear" w:color="auto" w:fill="E36C0A" w:themeFill="accent6" w:themeFillShade="BF"/>
            <w:textDirection w:val="btLr"/>
            <w:vAlign w:val="center"/>
          </w:tcPr>
          <w:p w14:paraId="477FAA2E" w14:textId="77777777" w:rsidR="00B165D5" w:rsidRPr="00847710" w:rsidRDefault="00B165D5" w:rsidP="00097EA5">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Papildus piešķiramais finansējums</w:t>
            </w:r>
          </w:p>
          <w:p w14:paraId="07B07098" w14:textId="77777777" w:rsidR="00B165D5" w:rsidRPr="00847710" w:rsidRDefault="00B165D5" w:rsidP="00097EA5">
            <w:pPr>
              <w:spacing w:after="0" w:line="240" w:lineRule="auto"/>
              <w:ind w:left="113" w:right="113"/>
              <w:jc w:val="center"/>
              <w:rPr>
                <w:rFonts w:ascii="Times New Roman" w:eastAsia="Times New Roman" w:hAnsi="Times New Roman" w:cs="Times New Roman"/>
                <w:b/>
                <w:bCs/>
                <w:sz w:val="20"/>
                <w:szCs w:val="20"/>
                <w:lang w:eastAsia="lv-LV"/>
              </w:rPr>
            </w:pPr>
          </w:p>
        </w:tc>
        <w:tc>
          <w:tcPr>
            <w:tcW w:w="2610" w:type="dxa"/>
            <w:gridSpan w:val="2"/>
            <w:shd w:val="clear" w:color="auto" w:fill="E36C0A" w:themeFill="accent6" w:themeFillShade="BF"/>
            <w:textDirection w:val="btLr"/>
            <w:vAlign w:val="center"/>
          </w:tcPr>
          <w:p w14:paraId="16DC2E72" w14:textId="77777777" w:rsidR="00B165D5" w:rsidRPr="00847710" w:rsidRDefault="00B165D5" w:rsidP="00097EA5">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A" w:themeFill="accent6" w:themeFillShade="BF"/>
            <w:textDirection w:val="btLr"/>
            <w:vAlign w:val="center"/>
            <w:hideMark/>
          </w:tcPr>
          <w:p w14:paraId="17EE79DF" w14:textId="77777777" w:rsidR="00B165D5" w:rsidRPr="00847710" w:rsidRDefault="00B165D5" w:rsidP="00097EA5">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AB6A87" w:rsidRPr="00847710" w14:paraId="4D10345F" w14:textId="77777777" w:rsidTr="57326167">
        <w:trPr>
          <w:trHeight w:val="505"/>
          <w:jc w:val="center"/>
        </w:trPr>
        <w:tc>
          <w:tcPr>
            <w:tcW w:w="500" w:type="dxa"/>
            <w:shd w:val="clear" w:color="auto" w:fill="FABF8F" w:themeFill="accent6" w:themeFillTint="99"/>
            <w:noWrap/>
            <w:vAlign w:val="center"/>
          </w:tcPr>
          <w:p w14:paraId="7772CB36" w14:textId="77777777" w:rsidR="00B165D5" w:rsidRPr="00847710" w:rsidRDefault="00B165D5" w:rsidP="00097EA5">
            <w:pPr>
              <w:spacing w:after="0" w:line="240" w:lineRule="auto"/>
              <w:jc w:val="center"/>
              <w:rPr>
                <w:rFonts w:ascii="Times New Roman" w:eastAsia="Times New Roman" w:hAnsi="Times New Roman" w:cs="Times New Roman"/>
                <w:color w:val="000000"/>
                <w:sz w:val="20"/>
                <w:szCs w:val="20"/>
                <w:lang w:eastAsia="lv-LV"/>
              </w:rPr>
            </w:pPr>
          </w:p>
        </w:tc>
        <w:tc>
          <w:tcPr>
            <w:tcW w:w="1622" w:type="dxa"/>
            <w:shd w:val="clear" w:color="auto" w:fill="FABF8F" w:themeFill="accent6" w:themeFillTint="99"/>
            <w:vAlign w:val="center"/>
          </w:tcPr>
          <w:p w14:paraId="09EAD879" w14:textId="77777777" w:rsidR="00B165D5" w:rsidRPr="00847710" w:rsidRDefault="00B165D5" w:rsidP="00097EA5">
            <w:pPr>
              <w:spacing w:after="0" w:line="240" w:lineRule="auto"/>
              <w:jc w:val="center"/>
              <w:rPr>
                <w:rFonts w:ascii="Times New Roman" w:eastAsia="Times New Roman" w:hAnsi="Times New Roman" w:cs="Times New Roman"/>
                <w:color w:val="000000"/>
                <w:sz w:val="20"/>
                <w:szCs w:val="20"/>
                <w:lang w:eastAsia="lv-LV"/>
              </w:rPr>
            </w:pPr>
          </w:p>
        </w:tc>
        <w:tc>
          <w:tcPr>
            <w:tcW w:w="999" w:type="dxa"/>
            <w:shd w:val="clear" w:color="auto" w:fill="FABF8F" w:themeFill="accent6" w:themeFillTint="99"/>
            <w:noWrap/>
            <w:vAlign w:val="center"/>
          </w:tcPr>
          <w:p w14:paraId="117F4532" w14:textId="77777777" w:rsidR="00B165D5" w:rsidRPr="00546B70" w:rsidRDefault="00B165D5">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417" w:type="dxa"/>
            <w:shd w:val="clear" w:color="auto" w:fill="FABF8F" w:themeFill="accent6" w:themeFillTint="99"/>
            <w:noWrap/>
            <w:vAlign w:val="center"/>
          </w:tcPr>
          <w:p w14:paraId="5A8E3B38" w14:textId="055BBE84" w:rsidR="00B165D5" w:rsidRPr="00F60978" w:rsidRDefault="00B165D5">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00226C4D" w:rsidRPr="00901A9F">
              <w:rPr>
                <w:rFonts w:ascii="Times New Roman" w:eastAsia="Times New Roman" w:hAnsi="Times New Roman" w:cs="Times New Roman"/>
                <w:b/>
                <w:bCs/>
                <w:sz w:val="20"/>
                <w:szCs w:val="20"/>
                <w:lang w:eastAsia="lv-LV"/>
              </w:rPr>
              <w:t>7</w:t>
            </w:r>
          </w:p>
          <w:p w14:paraId="1D82CC0E" w14:textId="77777777" w:rsidR="00B165D5" w:rsidRPr="00CF32DE" w:rsidRDefault="00B165D5">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411" w:type="dxa"/>
            <w:shd w:val="clear" w:color="auto" w:fill="FABF8F" w:themeFill="accent6" w:themeFillTint="99"/>
            <w:noWrap/>
            <w:vAlign w:val="center"/>
          </w:tcPr>
          <w:p w14:paraId="3DDB0077" w14:textId="4A3ED048" w:rsidR="00B165D5" w:rsidRPr="00146973" w:rsidRDefault="00B165D5">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00226C4D" w:rsidRPr="00901A9F">
              <w:rPr>
                <w:rFonts w:ascii="Times New Roman" w:eastAsia="Times New Roman" w:hAnsi="Times New Roman" w:cs="Times New Roman"/>
                <w:b/>
                <w:bCs/>
                <w:sz w:val="20"/>
                <w:szCs w:val="20"/>
                <w:lang w:eastAsia="lv-LV"/>
              </w:rPr>
              <w:t>8</w:t>
            </w:r>
          </w:p>
          <w:p w14:paraId="15ADA4BB" w14:textId="77777777" w:rsidR="00B165D5" w:rsidRPr="00CF32DE" w:rsidRDefault="00B165D5">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513" w:type="dxa"/>
            <w:shd w:val="clear" w:color="auto" w:fill="FABF8F" w:themeFill="accent6" w:themeFillTint="99"/>
            <w:vAlign w:val="center"/>
          </w:tcPr>
          <w:p w14:paraId="4195690F" w14:textId="3FDF6185" w:rsidR="00B165D5" w:rsidRPr="00146973" w:rsidRDefault="00B165D5">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00226C4D" w:rsidRPr="00901A9F">
              <w:rPr>
                <w:rFonts w:ascii="Times New Roman" w:eastAsia="Times New Roman" w:hAnsi="Times New Roman" w:cs="Times New Roman"/>
                <w:b/>
                <w:bCs/>
                <w:sz w:val="20"/>
                <w:szCs w:val="20"/>
                <w:lang w:eastAsia="lv-LV"/>
              </w:rPr>
              <w:t>8</w:t>
            </w:r>
          </w:p>
          <w:p w14:paraId="1BEC3719" w14:textId="77777777" w:rsidR="00B165D5" w:rsidRPr="00CF32DE" w:rsidRDefault="00B165D5">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305" w:type="dxa"/>
            <w:shd w:val="clear" w:color="auto" w:fill="FABF8F" w:themeFill="accent6" w:themeFillTint="99"/>
            <w:vAlign w:val="center"/>
          </w:tcPr>
          <w:p w14:paraId="500A7AF8" w14:textId="77777777" w:rsidR="00B165D5" w:rsidRPr="00847710" w:rsidRDefault="00B165D5" w:rsidP="00097EA5">
            <w:pPr>
              <w:spacing w:after="0" w:line="240" w:lineRule="auto"/>
              <w:jc w:val="center"/>
              <w:rPr>
                <w:rFonts w:ascii="Times New Roman" w:eastAsia="Times New Roman" w:hAnsi="Times New Roman" w:cs="Times New Roman"/>
                <w:b/>
                <w:sz w:val="20"/>
                <w:szCs w:val="20"/>
                <w:lang w:eastAsia="lv-LV"/>
              </w:rPr>
            </w:pPr>
          </w:p>
          <w:p w14:paraId="3D1C6179" w14:textId="3307143E" w:rsidR="00B165D5" w:rsidRPr="00A6464B" w:rsidRDefault="00B165D5">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00226C4D" w:rsidRPr="00901A9F">
              <w:rPr>
                <w:rFonts w:ascii="Times New Roman" w:eastAsia="Times New Roman" w:hAnsi="Times New Roman" w:cs="Times New Roman"/>
                <w:b/>
                <w:bCs/>
                <w:sz w:val="20"/>
                <w:szCs w:val="20"/>
                <w:lang w:eastAsia="lv-LV"/>
              </w:rPr>
              <w:t>7</w:t>
            </w:r>
          </w:p>
          <w:p w14:paraId="04D42F95" w14:textId="77777777" w:rsidR="00B165D5" w:rsidRPr="00847710" w:rsidRDefault="00B165D5" w:rsidP="00097EA5">
            <w:pPr>
              <w:spacing w:after="0" w:line="240" w:lineRule="auto"/>
              <w:jc w:val="center"/>
              <w:rPr>
                <w:rFonts w:ascii="Times New Roman" w:eastAsia="Times New Roman" w:hAnsi="Times New Roman" w:cs="Times New Roman"/>
                <w:b/>
                <w:sz w:val="20"/>
                <w:szCs w:val="20"/>
                <w:lang w:eastAsia="lv-LV"/>
              </w:rPr>
            </w:pPr>
          </w:p>
        </w:tc>
        <w:tc>
          <w:tcPr>
            <w:tcW w:w="1305" w:type="dxa"/>
            <w:shd w:val="clear" w:color="auto" w:fill="FABF8F" w:themeFill="accent6" w:themeFillTint="99"/>
            <w:vAlign w:val="center"/>
          </w:tcPr>
          <w:p w14:paraId="5B322BB0" w14:textId="77777777" w:rsidR="00B165D5" w:rsidRPr="00847710" w:rsidRDefault="00B165D5" w:rsidP="00097EA5">
            <w:pPr>
              <w:spacing w:after="0" w:line="240" w:lineRule="auto"/>
              <w:jc w:val="center"/>
              <w:rPr>
                <w:rFonts w:ascii="Times New Roman" w:eastAsia="Times New Roman" w:hAnsi="Times New Roman" w:cs="Times New Roman"/>
                <w:b/>
                <w:sz w:val="20"/>
                <w:szCs w:val="20"/>
                <w:lang w:eastAsia="lv-LV"/>
              </w:rPr>
            </w:pPr>
          </w:p>
          <w:p w14:paraId="2EC2E07F" w14:textId="75EFC991" w:rsidR="00B165D5" w:rsidRPr="00A6464B" w:rsidRDefault="00B165D5">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00226C4D" w:rsidRPr="00901A9F">
              <w:rPr>
                <w:rFonts w:ascii="Times New Roman" w:eastAsia="Times New Roman" w:hAnsi="Times New Roman" w:cs="Times New Roman"/>
                <w:b/>
                <w:bCs/>
                <w:sz w:val="20"/>
                <w:szCs w:val="20"/>
                <w:lang w:eastAsia="lv-LV"/>
              </w:rPr>
              <w:t>8</w:t>
            </w:r>
          </w:p>
          <w:p w14:paraId="052B2EA6" w14:textId="77777777" w:rsidR="00B165D5" w:rsidRPr="00847710" w:rsidRDefault="00B165D5" w:rsidP="00097EA5">
            <w:pPr>
              <w:spacing w:after="0" w:line="240" w:lineRule="auto"/>
              <w:jc w:val="center"/>
              <w:rPr>
                <w:rFonts w:ascii="Times New Roman" w:eastAsia="Times New Roman" w:hAnsi="Times New Roman" w:cs="Times New Roman"/>
                <w:b/>
                <w:sz w:val="20"/>
                <w:szCs w:val="20"/>
                <w:lang w:eastAsia="lv-LV"/>
              </w:rPr>
            </w:pPr>
          </w:p>
        </w:tc>
        <w:tc>
          <w:tcPr>
            <w:tcW w:w="1272" w:type="dxa"/>
            <w:shd w:val="clear" w:color="auto" w:fill="FABF8F" w:themeFill="accent6" w:themeFillTint="99"/>
            <w:noWrap/>
            <w:vAlign w:val="center"/>
          </w:tcPr>
          <w:p w14:paraId="64A946DB" w14:textId="6A316B43" w:rsidR="00B165D5" w:rsidRPr="00A6464B" w:rsidRDefault="00B165D5">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sz w:val="20"/>
                <w:szCs w:val="20"/>
                <w:lang w:eastAsia="lv-LV"/>
              </w:rPr>
              <w:t>201</w:t>
            </w:r>
            <w:r w:rsidR="00226C4D" w:rsidRPr="00901A9F">
              <w:rPr>
                <w:rFonts w:ascii="Times New Roman" w:eastAsia="Times New Roman" w:hAnsi="Times New Roman" w:cs="Times New Roman"/>
                <w:b/>
                <w:bCs/>
                <w:sz w:val="20"/>
                <w:szCs w:val="20"/>
                <w:lang w:eastAsia="lv-LV"/>
              </w:rPr>
              <w:t>8</w:t>
            </w:r>
          </w:p>
        </w:tc>
      </w:tr>
      <w:tr w:rsidR="00B165D5" w:rsidRPr="00847710" w14:paraId="19DDEA6F" w14:textId="77777777" w:rsidTr="57326167">
        <w:trPr>
          <w:trHeight w:val="117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5E43D" w14:textId="666B0B2B" w:rsidR="00B165D5" w:rsidRPr="00847710" w:rsidRDefault="00EF766E" w:rsidP="00097EA5">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w:t>
            </w:r>
            <w:r w:rsidR="00B165D5" w:rsidRPr="00847710">
              <w:rPr>
                <w:rFonts w:ascii="Times New Roman" w:eastAsia="Times New Roman" w:hAnsi="Times New Roman" w:cs="Times New Roman"/>
                <w:color w:val="000000"/>
                <w:sz w:val="20"/>
                <w:szCs w:val="20"/>
                <w:lang w:eastAsia="lv-LV"/>
              </w:rPr>
              <w:t>.</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1C929" w14:textId="77777777" w:rsidR="00B165D5" w:rsidRPr="00847710" w:rsidRDefault="00B165D5" w:rsidP="00097EA5">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Sekundārās diagnostikas un izmeklēšanas  algoritmu ieviešanai</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EEAEE" w14:textId="729F1F09" w:rsidR="00B165D5" w:rsidRPr="00847710" w:rsidRDefault="00891832" w:rsidP="00097EA5">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74,39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79FC7" w14:textId="77777777" w:rsidR="00B165D5" w:rsidRPr="00847710" w:rsidRDefault="00B165D5" w:rsidP="00097EA5">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95DAD" w14:textId="77777777" w:rsidR="00B165D5" w:rsidRPr="00847710" w:rsidRDefault="00B165D5" w:rsidP="00097EA5">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513" w:type="dxa"/>
            <w:tcBorders>
              <w:top w:val="single" w:sz="4" w:space="0" w:color="auto"/>
              <w:left w:val="single" w:sz="4" w:space="0" w:color="auto"/>
              <w:bottom w:val="single" w:sz="4" w:space="0" w:color="auto"/>
              <w:right w:val="single" w:sz="4" w:space="0" w:color="auto"/>
            </w:tcBorders>
            <w:vAlign w:val="bottom"/>
          </w:tcPr>
          <w:p w14:paraId="287B7B28" w14:textId="28CDB2B5" w:rsidR="00B165D5" w:rsidRPr="00630B5D" w:rsidRDefault="00891832">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themeColor="text1"/>
                <w:sz w:val="20"/>
                <w:szCs w:val="20"/>
                <w:lang w:eastAsia="lv-LV"/>
              </w:rPr>
              <w:t>887 </w:t>
            </w:r>
            <w:r w:rsidR="00EF766E" w:rsidRPr="00901A9F">
              <w:rPr>
                <w:rFonts w:ascii="Times New Roman" w:eastAsia="Times New Roman" w:hAnsi="Times New Roman" w:cs="Times New Roman"/>
                <w:b/>
                <w:bCs/>
                <w:color w:val="000000" w:themeColor="text1"/>
                <w:sz w:val="20"/>
                <w:szCs w:val="20"/>
                <w:lang w:eastAsia="lv-LV"/>
              </w:rPr>
              <w:t>175</w:t>
            </w:r>
            <w:r w:rsidRPr="0078794A">
              <w:rPr>
                <w:rFonts w:ascii="Times New Roman" w:eastAsia="Times New Roman" w:hAnsi="Times New Roman" w:cs="Times New Roman"/>
                <w:b/>
                <w:bCs/>
                <w:color w:val="000000" w:themeColor="text1"/>
                <w:sz w:val="20"/>
                <w:szCs w:val="20"/>
                <w:lang w:eastAsia="lv-LV"/>
              </w:rPr>
              <w:t>,</w:t>
            </w:r>
            <w:r w:rsidR="00EF766E" w:rsidRPr="00BD7921">
              <w:rPr>
                <w:rFonts w:ascii="Times New Roman" w:eastAsia="Times New Roman" w:hAnsi="Times New Roman" w:cs="Times New Roman"/>
                <w:b/>
                <w:bCs/>
                <w:color w:val="000000" w:themeColor="text1"/>
                <w:sz w:val="20"/>
                <w:szCs w:val="20"/>
                <w:lang w:eastAsia="lv-LV"/>
              </w:rPr>
              <w:t>1</w:t>
            </w:r>
            <w:r w:rsidR="00C9535C" w:rsidRPr="00890961">
              <w:rPr>
                <w:rFonts w:ascii="Times New Roman" w:eastAsia="Times New Roman" w:hAnsi="Times New Roman" w:cs="Times New Roman"/>
                <w:b/>
                <w:bCs/>
                <w:color w:val="000000" w:themeColor="text1"/>
                <w:sz w:val="20"/>
                <w:szCs w:val="20"/>
                <w:lang w:eastAsia="lv-LV"/>
              </w:rPr>
              <w:t>4</w:t>
            </w:r>
          </w:p>
        </w:tc>
        <w:tc>
          <w:tcPr>
            <w:tcW w:w="1305" w:type="dxa"/>
            <w:tcBorders>
              <w:top w:val="single" w:sz="4" w:space="0" w:color="auto"/>
              <w:left w:val="single" w:sz="4" w:space="0" w:color="auto"/>
              <w:bottom w:val="single" w:sz="4" w:space="0" w:color="auto"/>
              <w:right w:val="single" w:sz="4" w:space="0" w:color="auto"/>
            </w:tcBorders>
            <w:vAlign w:val="bottom"/>
          </w:tcPr>
          <w:p w14:paraId="2430880C" w14:textId="77777777" w:rsidR="00B165D5" w:rsidRPr="00847710" w:rsidRDefault="00B165D5" w:rsidP="00097EA5">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w:t>
            </w:r>
          </w:p>
        </w:tc>
        <w:tc>
          <w:tcPr>
            <w:tcW w:w="1305" w:type="dxa"/>
            <w:tcBorders>
              <w:top w:val="single" w:sz="4" w:space="0" w:color="auto"/>
              <w:left w:val="single" w:sz="4" w:space="0" w:color="auto"/>
              <w:bottom w:val="single" w:sz="4" w:space="0" w:color="auto"/>
              <w:right w:val="single" w:sz="4" w:space="0" w:color="auto"/>
            </w:tcBorders>
            <w:vAlign w:val="bottom"/>
          </w:tcPr>
          <w:p w14:paraId="74DFF804" w14:textId="77777777" w:rsidR="00B165D5" w:rsidRPr="00847710" w:rsidRDefault="00B165D5" w:rsidP="00097EA5">
            <w:pPr>
              <w:spacing w:after="0" w:line="240" w:lineRule="auto"/>
              <w:jc w:val="center"/>
              <w:rPr>
                <w:rFonts w:ascii="Times New Roman" w:eastAsia="Times New Roman" w:hAnsi="Times New Roman" w:cs="Times New Roman"/>
                <w:color w:val="FF0000"/>
                <w:sz w:val="20"/>
                <w:szCs w:val="20"/>
                <w:lang w:eastAsia="lv-LV"/>
              </w:rPr>
            </w:pPr>
            <w:r w:rsidRPr="00847710">
              <w:rPr>
                <w:rFonts w:ascii="Times New Roman" w:eastAsia="Times New Roman" w:hAnsi="Times New Roman" w:cs="Times New Roman"/>
                <w:color w:val="FF0000"/>
                <w:sz w:val="20"/>
                <w:szCs w:val="20"/>
                <w:lang w:eastAsia="lv-LV"/>
              </w:rPr>
              <w:t>-</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AB27B" w14:textId="7167E2BD" w:rsidR="00B165D5" w:rsidRPr="00F60978" w:rsidRDefault="00B165D5">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1</w:t>
            </w:r>
            <w:r w:rsidR="00CD1DF7" w:rsidRPr="00901A9F">
              <w:rPr>
                <w:rFonts w:ascii="Times New Roman" w:eastAsia="Times New Roman" w:hAnsi="Times New Roman" w:cs="Times New Roman"/>
                <w:b/>
                <w:bCs/>
                <w:color w:val="FF0000"/>
                <w:sz w:val="20"/>
                <w:szCs w:val="20"/>
                <w:lang w:eastAsia="lv-LV"/>
              </w:rPr>
              <w:t>1</w:t>
            </w:r>
            <w:r w:rsidRPr="0078794A">
              <w:rPr>
                <w:rFonts w:ascii="Times New Roman" w:eastAsia="Times New Roman" w:hAnsi="Times New Roman" w:cs="Times New Roman"/>
                <w:b/>
                <w:bCs/>
                <w:color w:val="FF0000"/>
                <w:sz w:val="20"/>
                <w:szCs w:val="20"/>
                <w:lang w:eastAsia="lv-LV"/>
              </w:rPr>
              <w:t xml:space="preserve"> </w:t>
            </w:r>
            <w:r w:rsidR="00CD1DF7" w:rsidRPr="00BD7921">
              <w:rPr>
                <w:rFonts w:ascii="Times New Roman" w:eastAsia="Times New Roman" w:hAnsi="Times New Roman" w:cs="Times New Roman"/>
                <w:b/>
                <w:bCs/>
                <w:color w:val="FF0000"/>
                <w:sz w:val="20"/>
                <w:szCs w:val="20"/>
                <w:lang w:eastAsia="lv-LV"/>
              </w:rPr>
              <w:t>926</w:t>
            </w:r>
          </w:p>
        </w:tc>
      </w:tr>
      <w:tr w:rsidR="00AB6A87" w:rsidRPr="00847710" w14:paraId="0AC53F0F" w14:textId="77777777" w:rsidTr="57326167">
        <w:trPr>
          <w:trHeight w:val="285"/>
          <w:jc w:val="center"/>
        </w:trPr>
        <w:tc>
          <w:tcPr>
            <w:tcW w:w="500" w:type="dxa"/>
            <w:shd w:val="clear" w:color="auto" w:fill="FCD5B4"/>
            <w:noWrap/>
            <w:vAlign w:val="bottom"/>
            <w:hideMark/>
          </w:tcPr>
          <w:p w14:paraId="7F9F0A92" w14:textId="77777777" w:rsidR="00B165D5" w:rsidRPr="00847710" w:rsidRDefault="00B165D5" w:rsidP="00097EA5">
            <w:pPr>
              <w:spacing w:after="0" w:line="240" w:lineRule="auto"/>
              <w:jc w:val="center"/>
              <w:rPr>
                <w:rFonts w:ascii="Times New Roman" w:eastAsia="Times New Roman" w:hAnsi="Times New Roman" w:cs="Times New Roman"/>
                <w:color w:val="000000"/>
                <w:sz w:val="20"/>
                <w:szCs w:val="20"/>
                <w:lang w:eastAsia="lv-LV"/>
              </w:rPr>
            </w:pPr>
          </w:p>
        </w:tc>
        <w:tc>
          <w:tcPr>
            <w:tcW w:w="1622" w:type="dxa"/>
            <w:shd w:val="clear" w:color="auto" w:fill="FCD5B4"/>
            <w:noWrap/>
            <w:vAlign w:val="bottom"/>
            <w:hideMark/>
          </w:tcPr>
          <w:p w14:paraId="13658A5D" w14:textId="77777777" w:rsidR="00B165D5" w:rsidRPr="00546B70" w:rsidRDefault="00B165D5">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999" w:type="dxa"/>
            <w:shd w:val="clear" w:color="auto" w:fill="FCD5B4"/>
            <w:noWrap/>
            <w:vAlign w:val="bottom"/>
            <w:hideMark/>
          </w:tcPr>
          <w:p w14:paraId="3979C70F" w14:textId="77777777" w:rsidR="00B165D5" w:rsidRPr="00847710" w:rsidRDefault="00B165D5" w:rsidP="00097EA5">
            <w:pPr>
              <w:spacing w:after="0" w:line="240" w:lineRule="auto"/>
              <w:jc w:val="center"/>
              <w:rPr>
                <w:rFonts w:ascii="Times New Roman" w:eastAsia="Times New Roman" w:hAnsi="Times New Roman" w:cs="Times New Roman"/>
                <w:b/>
                <w:sz w:val="20"/>
                <w:szCs w:val="20"/>
                <w:lang w:eastAsia="lv-LV"/>
              </w:rPr>
            </w:pPr>
          </w:p>
        </w:tc>
        <w:tc>
          <w:tcPr>
            <w:tcW w:w="1417" w:type="dxa"/>
            <w:shd w:val="clear" w:color="auto" w:fill="FCD5B4"/>
            <w:noWrap/>
            <w:vAlign w:val="bottom"/>
            <w:hideMark/>
          </w:tcPr>
          <w:p w14:paraId="0FD669E9" w14:textId="789A8005" w:rsidR="00B165D5" w:rsidRPr="00546B70" w:rsidRDefault="00441FEE">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hAnsi="Times New Roman" w:cs="Times New Roman"/>
                <w:b/>
                <w:bCs/>
                <w:sz w:val="20"/>
                <w:szCs w:val="20"/>
              </w:rPr>
              <w:t>-</w:t>
            </w:r>
          </w:p>
        </w:tc>
        <w:tc>
          <w:tcPr>
            <w:tcW w:w="1411" w:type="dxa"/>
            <w:shd w:val="clear" w:color="auto" w:fill="FCD5B4"/>
            <w:noWrap/>
            <w:vAlign w:val="bottom"/>
            <w:hideMark/>
          </w:tcPr>
          <w:p w14:paraId="2FA9D2DB" w14:textId="21181075" w:rsidR="00B165D5" w:rsidRPr="00985FC9" w:rsidRDefault="00441FEE">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w:t>
            </w:r>
          </w:p>
        </w:tc>
        <w:tc>
          <w:tcPr>
            <w:tcW w:w="1513" w:type="dxa"/>
            <w:shd w:val="clear" w:color="auto" w:fill="FCD5B4"/>
            <w:vAlign w:val="bottom"/>
          </w:tcPr>
          <w:p w14:paraId="210AF2C7" w14:textId="163DB075" w:rsidR="00B165D5" w:rsidRPr="00630B5D" w:rsidRDefault="00EF766E">
            <w:pPr>
              <w:spacing w:after="0" w:line="240" w:lineRule="auto"/>
              <w:jc w:val="center"/>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themeColor="text1"/>
                <w:sz w:val="20"/>
                <w:szCs w:val="20"/>
                <w:lang w:eastAsia="lv-LV"/>
              </w:rPr>
              <w:t>887 175,14</w:t>
            </w:r>
          </w:p>
        </w:tc>
        <w:tc>
          <w:tcPr>
            <w:tcW w:w="1305" w:type="dxa"/>
            <w:shd w:val="clear" w:color="auto" w:fill="FCD5B4"/>
            <w:vAlign w:val="bottom"/>
          </w:tcPr>
          <w:p w14:paraId="3C108041" w14:textId="5F0DF75F" w:rsidR="00B165D5" w:rsidRPr="00CF32DE" w:rsidRDefault="00441FEE">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w:t>
            </w:r>
          </w:p>
        </w:tc>
        <w:tc>
          <w:tcPr>
            <w:tcW w:w="1305" w:type="dxa"/>
            <w:shd w:val="clear" w:color="auto" w:fill="FCD5B4"/>
            <w:vAlign w:val="bottom"/>
          </w:tcPr>
          <w:p w14:paraId="60150DC9" w14:textId="4EBF24A4" w:rsidR="00B165D5" w:rsidRPr="00CF32DE" w:rsidRDefault="00441FEE">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w:t>
            </w:r>
          </w:p>
        </w:tc>
        <w:tc>
          <w:tcPr>
            <w:tcW w:w="1272" w:type="dxa"/>
            <w:shd w:val="clear" w:color="auto" w:fill="FCD5B4"/>
            <w:noWrap/>
            <w:vAlign w:val="bottom"/>
            <w:hideMark/>
          </w:tcPr>
          <w:p w14:paraId="22BEBF7F" w14:textId="3B7A8F6E" w:rsidR="00B165D5" w:rsidRPr="00CF32DE" w:rsidRDefault="00EF766E">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eastAsia="Times New Roman" w:hAnsi="Times New Roman" w:cs="Times New Roman"/>
                <w:b/>
                <w:bCs/>
                <w:color w:val="FF0000"/>
                <w:sz w:val="20"/>
                <w:szCs w:val="20"/>
                <w:lang w:eastAsia="lv-LV"/>
              </w:rPr>
              <w:t>11 926</w:t>
            </w:r>
          </w:p>
        </w:tc>
      </w:tr>
    </w:tbl>
    <w:p w14:paraId="49B7E2E1" w14:textId="0E37DA39" w:rsidR="00305E78" w:rsidRPr="00847710" w:rsidRDefault="00305E78" w:rsidP="00957BCF">
      <w:pPr>
        <w:pStyle w:val="NoSpacing"/>
        <w:spacing w:after="120" w:line="276" w:lineRule="auto"/>
        <w:ind w:firstLine="709"/>
        <w:jc w:val="both"/>
        <w:rPr>
          <w:rFonts w:ascii="Times New Roman" w:hAnsi="Times New Roman" w:cs="Times New Roman"/>
          <w:sz w:val="24"/>
          <w:szCs w:val="24"/>
        </w:rPr>
      </w:pPr>
    </w:p>
    <w:p w14:paraId="01FBB636" w14:textId="0ED69CF7" w:rsidR="00305E78" w:rsidRPr="00847710" w:rsidRDefault="00305E78" w:rsidP="00305E78">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color w:val="000000"/>
          <w:sz w:val="24"/>
          <w:szCs w:val="24"/>
        </w:rPr>
        <w:t>Kopumā reformu uzsākšanai SAS profilakses uzsākšanai 2018.gadā nepieciešams finansējums 1 599 926 euro.</w:t>
      </w:r>
    </w:p>
    <w:p w14:paraId="1BF9F1F0" w14:textId="466C7456" w:rsidR="00D22762" w:rsidRPr="00847710" w:rsidRDefault="00D22762" w:rsidP="00957BCF">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Terciārā kardioloģiskā  palīdzība</w:t>
      </w:r>
      <w:r w:rsidR="00957BCF" w:rsidRPr="00847710">
        <w:rPr>
          <w:rFonts w:ascii="Times New Roman" w:hAnsi="Times New Roman" w:cs="Times New Roman"/>
          <w:sz w:val="24"/>
          <w:szCs w:val="24"/>
        </w:rPr>
        <w:t xml:space="preserve"> </w:t>
      </w:r>
      <w:r w:rsidRPr="00847710">
        <w:rPr>
          <w:rFonts w:ascii="Times New Roman" w:hAnsi="Times New Roman" w:cs="Times New Roman"/>
          <w:sz w:val="24"/>
          <w:szCs w:val="24"/>
        </w:rPr>
        <w:t>Latvijas iedzīvotājiem šobrīd tiek nodrošināta četros valsts nozīmes centros: Paula Stradiņa klīnisk</w:t>
      </w:r>
      <w:r w:rsidR="00401A33" w:rsidRPr="00847710">
        <w:rPr>
          <w:rFonts w:ascii="Times New Roman" w:hAnsi="Times New Roman" w:cs="Times New Roman"/>
          <w:sz w:val="24"/>
          <w:szCs w:val="24"/>
        </w:rPr>
        <w:t>aj</w:t>
      </w:r>
      <w:r w:rsidRPr="00847710">
        <w:rPr>
          <w:rFonts w:ascii="Times New Roman" w:hAnsi="Times New Roman" w:cs="Times New Roman"/>
          <w:sz w:val="24"/>
          <w:szCs w:val="24"/>
        </w:rPr>
        <w:t>ā universitātes slimnīc</w:t>
      </w:r>
      <w:r w:rsidR="00401A33" w:rsidRPr="00847710">
        <w:rPr>
          <w:rFonts w:ascii="Times New Roman" w:hAnsi="Times New Roman" w:cs="Times New Roman"/>
          <w:sz w:val="24"/>
          <w:szCs w:val="24"/>
        </w:rPr>
        <w:t>ā</w:t>
      </w:r>
      <w:r w:rsidRPr="00847710">
        <w:rPr>
          <w:rFonts w:ascii="Times New Roman" w:hAnsi="Times New Roman" w:cs="Times New Roman"/>
          <w:sz w:val="24"/>
          <w:szCs w:val="24"/>
        </w:rPr>
        <w:t>, Rīgas Austrumu klīnisk</w:t>
      </w:r>
      <w:r w:rsidR="00401A33" w:rsidRPr="00847710">
        <w:rPr>
          <w:rFonts w:ascii="Times New Roman" w:hAnsi="Times New Roman" w:cs="Times New Roman"/>
          <w:sz w:val="24"/>
          <w:szCs w:val="24"/>
        </w:rPr>
        <w:t>aj</w:t>
      </w:r>
      <w:r w:rsidRPr="00847710">
        <w:rPr>
          <w:rFonts w:ascii="Times New Roman" w:hAnsi="Times New Roman" w:cs="Times New Roman"/>
          <w:sz w:val="24"/>
          <w:szCs w:val="24"/>
        </w:rPr>
        <w:t>ā universitātes slimnīc</w:t>
      </w:r>
      <w:r w:rsidR="00401A33" w:rsidRPr="00847710">
        <w:rPr>
          <w:rFonts w:ascii="Times New Roman" w:hAnsi="Times New Roman" w:cs="Times New Roman"/>
          <w:sz w:val="24"/>
          <w:szCs w:val="24"/>
        </w:rPr>
        <w:t>ā</w:t>
      </w:r>
      <w:r w:rsidRPr="00847710">
        <w:rPr>
          <w:rFonts w:ascii="Times New Roman" w:hAnsi="Times New Roman" w:cs="Times New Roman"/>
          <w:sz w:val="24"/>
          <w:szCs w:val="24"/>
        </w:rPr>
        <w:t>, Daugavpils reģionāl</w:t>
      </w:r>
      <w:r w:rsidR="00401A33" w:rsidRPr="00847710">
        <w:rPr>
          <w:rFonts w:ascii="Times New Roman" w:hAnsi="Times New Roman" w:cs="Times New Roman"/>
          <w:sz w:val="24"/>
          <w:szCs w:val="24"/>
        </w:rPr>
        <w:t>aj</w:t>
      </w:r>
      <w:r w:rsidRPr="00847710">
        <w:rPr>
          <w:rFonts w:ascii="Times New Roman" w:hAnsi="Times New Roman" w:cs="Times New Roman"/>
          <w:sz w:val="24"/>
          <w:szCs w:val="24"/>
        </w:rPr>
        <w:t>ā slimnīc</w:t>
      </w:r>
      <w:r w:rsidR="00401A33" w:rsidRPr="00847710">
        <w:rPr>
          <w:rFonts w:ascii="Times New Roman" w:hAnsi="Times New Roman" w:cs="Times New Roman"/>
          <w:sz w:val="24"/>
          <w:szCs w:val="24"/>
        </w:rPr>
        <w:t>ā</w:t>
      </w:r>
      <w:r w:rsidRPr="00847710">
        <w:rPr>
          <w:rFonts w:ascii="Times New Roman" w:hAnsi="Times New Roman" w:cs="Times New Roman"/>
          <w:sz w:val="24"/>
          <w:szCs w:val="24"/>
        </w:rPr>
        <w:t xml:space="preserve"> un Liepājas reģionāl</w:t>
      </w:r>
      <w:r w:rsidR="00401A33" w:rsidRPr="00847710">
        <w:rPr>
          <w:rFonts w:ascii="Times New Roman" w:hAnsi="Times New Roman" w:cs="Times New Roman"/>
          <w:sz w:val="24"/>
          <w:szCs w:val="24"/>
        </w:rPr>
        <w:t>aj</w:t>
      </w:r>
      <w:r w:rsidRPr="00847710">
        <w:rPr>
          <w:rFonts w:ascii="Times New Roman" w:hAnsi="Times New Roman" w:cs="Times New Roman"/>
          <w:sz w:val="24"/>
          <w:szCs w:val="24"/>
        </w:rPr>
        <w:t>ā slimnīc</w:t>
      </w:r>
      <w:r w:rsidR="00401A33" w:rsidRPr="00847710">
        <w:rPr>
          <w:rFonts w:ascii="Times New Roman" w:hAnsi="Times New Roman" w:cs="Times New Roman"/>
          <w:sz w:val="24"/>
          <w:szCs w:val="24"/>
        </w:rPr>
        <w:t>ā</w:t>
      </w:r>
      <w:r w:rsidRPr="00847710">
        <w:rPr>
          <w:rFonts w:ascii="Times New Roman" w:hAnsi="Times New Roman" w:cs="Times New Roman"/>
          <w:sz w:val="24"/>
          <w:szCs w:val="24"/>
        </w:rPr>
        <w:t>.</w:t>
      </w:r>
    </w:p>
    <w:p w14:paraId="28A180F1" w14:textId="4447D670" w:rsidR="00D22762" w:rsidRPr="00847710" w:rsidRDefault="00D22762" w:rsidP="00B44F27">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Koronārā angiogrāfija joprojām ir „zelta standarts” koronārās sirds slimības diagnostikā, diagnozes uzstādīšanai, precizēšanai, ārstēšanas stratēģijas noteikšanai un progno</w:t>
      </w:r>
      <w:r w:rsidR="00B44F27" w:rsidRPr="00847710">
        <w:rPr>
          <w:rFonts w:ascii="Times New Roman" w:hAnsi="Times New Roman" w:cs="Times New Roman"/>
          <w:sz w:val="24"/>
          <w:szCs w:val="24"/>
        </w:rPr>
        <w:t xml:space="preserve">zes izvērtēšanai.  </w:t>
      </w:r>
      <w:r w:rsidRPr="00847710">
        <w:rPr>
          <w:rFonts w:ascii="Times New Roman" w:hAnsi="Times New Roman" w:cs="Times New Roman"/>
          <w:sz w:val="24"/>
          <w:szCs w:val="24"/>
        </w:rPr>
        <w:t>Koronārā angiogrāfija nosaka koronārās sirds slimnieku turpmāku ārstēšanu: medikamentozā veidā, veicot perkutāno koronāro intervenci vai koronārās šuntēšanas operāciju.</w:t>
      </w:r>
      <w:r w:rsidR="00B44F27" w:rsidRPr="00847710">
        <w:rPr>
          <w:rFonts w:ascii="Times New Roman" w:hAnsi="Times New Roman" w:cs="Times New Roman"/>
          <w:sz w:val="24"/>
          <w:szCs w:val="24"/>
        </w:rPr>
        <w:t xml:space="preserve"> </w:t>
      </w:r>
      <w:r w:rsidRPr="00847710">
        <w:rPr>
          <w:rFonts w:ascii="Times New Roman" w:hAnsi="Times New Roman" w:cs="Times New Roman"/>
          <w:sz w:val="24"/>
          <w:szCs w:val="24"/>
        </w:rPr>
        <w:t>Koronārās sirds slimības diagnosticēšanai un ārstēšanai izmantotā medicīniskā tehnoloģija ir angiogrāfija jeb asinsvadu kontrastēšana. Šī metode ir ar augstu efektivitāti, drošību un zemu risku. Tā noris, artērijā ievadot elastīgu zondi</w:t>
      </w:r>
      <w:r w:rsidR="00401A33" w:rsidRPr="00847710">
        <w:rPr>
          <w:rFonts w:ascii="Times New Roman" w:hAnsi="Times New Roman" w:cs="Times New Roman"/>
          <w:sz w:val="24"/>
          <w:szCs w:val="24"/>
        </w:rPr>
        <w:t xml:space="preserve"> ar kontrastvielu</w:t>
      </w:r>
      <w:r w:rsidRPr="00847710">
        <w:rPr>
          <w:rFonts w:ascii="Times New Roman" w:hAnsi="Times New Roman" w:cs="Times New Roman"/>
          <w:sz w:val="24"/>
          <w:szCs w:val="24"/>
        </w:rPr>
        <w:t>, kas tiek aizvadīta līdz sirdij</w:t>
      </w:r>
      <w:r w:rsidR="00075B0E" w:rsidRPr="00847710">
        <w:rPr>
          <w:rFonts w:ascii="Times New Roman" w:hAnsi="Times New Roman" w:cs="Times New Roman"/>
          <w:sz w:val="24"/>
          <w:szCs w:val="24"/>
        </w:rPr>
        <w:t xml:space="preserve"> </w:t>
      </w:r>
      <w:r w:rsidR="00B473E3" w:rsidRPr="00847710">
        <w:rPr>
          <w:rFonts w:ascii="Times New Roman" w:hAnsi="Times New Roman" w:cs="Times New Roman"/>
          <w:sz w:val="24"/>
          <w:szCs w:val="24"/>
        </w:rPr>
        <w:t xml:space="preserve">un </w:t>
      </w:r>
      <w:r w:rsidRPr="00847710">
        <w:rPr>
          <w:rFonts w:ascii="Times New Roman" w:hAnsi="Times New Roman" w:cs="Times New Roman"/>
          <w:sz w:val="24"/>
          <w:szCs w:val="24"/>
        </w:rPr>
        <w:t>kontrastviel</w:t>
      </w:r>
      <w:r w:rsidR="00B473E3" w:rsidRPr="00847710">
        <w:rPr>
          <w:rFonts w:ascii="Times New Roman" w:hAnsi="Times New Roman" w:cs="Times New Roman"/>
          <w:sz w:val="24"/>
          <w:szCs w:val="24"/>
        </w:rPr>
        <w:t>a</w:t>
      </w:r>
      <w:r w:rsidR="00075B0E" w:rsidRPr="00847710">
        <w:rPr>
          <w:rFonts w:ascii="Times New Roman" w:hAnsi="Times New Roman" w:cs="Times New Roman"/>
          <w:sz w:val="24"/>
          <w:szCs w:val="24"/>
        </w:rPr>
        <w:t xml:space="preserve"> </w:t>
      </w:r>
      <w:r w:rsidRPr="00847710">
        <w:rPr>
          <w:rFonts w:ascii="Times New Roman" w:hAnsi="Times New Roman" w:cs="Times New Roman"/>
          <w:sz w:val="24"/>
          <w:szCs w:val="24"/>
        </w:rPr>
        <w:t xml:space="preserve">nonāk </w:t>
      </w:r>
      <w:r w:rsidR="00B473E3" w:rsidRPr="00847710">
        <w:rPr>
          <w:rFonts w:ascii="Times New Roman" w:hAnsi="Times New Roman" w:cs="Times New Roman"/>
          <w:sz w:val="24"/>
          <w:szCs w:val="24"/>
        </w:rPr>
        <w:t xml:space="preserve">sirds </w:t>
      </w:r>
      <w:r w:rsidRPr="00847710">
        <w:rPr>
          <w:rFonts w:ascii="Times New Roman" w:hAnsi="Times New Roman" w:cs="Times New Roman"/>
          <w:sz w:val="24"/>
          <w:szCs w:val="24"/>
        </w:rPr>
        <w:t xml:space="preserve">koronārajos asinsvados. </w:t>
      </w:r>
      <w:r w:rsidR="00B473E3" w:rsidRPr="00847710">
        <w:rPr>
          <w:rFonts w:ascii="Times New Roman" w:hAnsi="Times New Roman" w:cs="Times New Roman"/>
          <w:sz w:val="24"/>
          <w:szCs w:val="24"/>
        </w:rPr>
        <w:t>Šo p</w:t>
      </w:r>
      <w:r w:rsidRPr="00847710">
        <w:rPr>
          <w:rFonts w:ascii="Times New Roman" w:hAnsi="Times New Roman" w:cs="Times New Roman"/>
          <w:sz w:val="24"/>
          <w:szCs w:val="24"/>
        </w:rPr>
        <w:t>rocesu fiksē ar speciālu ierīci – angiogrāfu.</w:t>
      </w:r>
    </w:p>
    <w:p w14:paraId="56DC7571" w14:textId="45793EA1" w:rsidR="00D22762" w:rsidRPr="00847710" w:rsidRDefault="00D22762" w:rsidP="00D9713E">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Latvijā šobrīd tiek izmantoti 10 digitālie angiogrāfi, no kuriem 7 vecāki par 10 gadiem (2 vecāki par 15 gadiem, jaunākais 7 gadus vecs). Vecākajiem angiogrāfiem ir lielāka radiācija deva personālam un pacientam, zema izš</w:t>
      </w:r>
      <w:r w:rsidR="0044452A" w:rsidRPr="00847710">
        <w:rPr>
          <w:rFonts w:ascii="Times New Roman" w:hAnsi="Times New Roman" w:cs="Times New Roman"/>
          <w:sz w:val="24"/>
          <w:szCs w:val="24"/>
        </w:rPr>
        <w:t>ķ</w:t>
      </w:r>
      <w:r w:rsidRPr="00847710">
        <w:rPr>
          <w:rFonts w:ascii="Times New Roman" w:hAnsi="Times New Roman" w:cs="Times New Roman"/>
          <w:sz w:val="24"/>
          <w:szCs w:val="24"/>
        </w:rPr>
        <w:t xml:space="preserve">irtspēja un maza jauda, kā arī nepilnīga integrācija ar citām attēla diagnostikas izmeklēšanas metodēm. </w:t>
      </w:r>
    </w:p>
    <w:p w14:paraId="62924C5C" w14:textId="45B2E727" w:rsidR="00D22762" w:rsidRPr="00847710" w:rsidRDefault="00D22762" w:rsidP="00D95C8E">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Lai nodrošinātu neatliekamās medicīniskās palīdzību 24/7 režīmā invazīvajā kardioloģijā akūta miokarda infarkta ārstēšanā, kā arī ļautu attīstīt neatliekamu endovaskulāru ārstēšanu pacientiem ar akūtu insultu, palielinātu diagnostisko un ārstniecisko izmeklējumu skaitu,  paaugstinātu veikto operāciju drošumu (gadījumā, ja pēkšņi nedarbojas viens angiogrāfs, ir iespēja turpināt operāciju ar otru), paplašinātu sniegto medicīnisko pakalpojumu klāstu, t.i. palielināt perifēro asinsvadu angiogrāfijas un angioplastijas ir nepieciešams </w:t>
      </w:r>
      <w:r w:rsidR="007A5C03" w:rsidRPr="00847710">
        <w:rPr>
          <w:rFonts w:ascii="Times New Roman" w:hAnsi="Times New Roman" w:cs="Times New Roman"/>
          <w:sz w:val="24"/>
          <w:szCs w:val="24"/>
        </w:rPr>
        <w:t>ieviest jaunas tehnoloģijas SAS slimību modernā un uz rezultātu vērstā diagnostikā</w:t>
      </w:r>
      <w:r w:rsidR="00E92A64" w:rsidRPr="00847710">
        <w:rPr>
          <w:rFonts w:ascii="Times New Roman" w:hAnsi="Times New Roman" w:cs="Times New Roman"/>
          <w:sz w:val="24"/>
          <w:szCs w:val="24"/>
        </w:rPr>
        <w:t>.</w:t>
      </w:r>
    </w:p>
    <w:p w14:paraId="5448647A" w14:textId="712F9482" w:rsidR="00D3667E" w:rsidRPr="00847710" w:rsidRDefault="00F546E3" w:rsidP="007E2BB2">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Kopumā angiogrāfu iegādei nepieciešams finansējums </w:t>
      </w:r>
      <w:r w:rsidR="00E92A64" w:rsidRPr="00847710">
        <w:rPr>
          <w:rFonts w:ascii="Times New Roman" w:hAnsi="Times New Roman" w:cs="Times New Roman"/>
          <w:sz w:val="24"/>
          <w:szCs w:val="24"/>
        </w:rPr>
        <w:t>4 500 000 euro apmērā, kas nodrošinās 4 angiogrāfu iegādi</w:t>
      </w:r>
      <w:r w:rsidR="00B473E3" w:rsidRPr="00847710">
        <w:rPr>
          <w:rFonts w:ascii="Times New Roman" w:hAnsi="Times New Roman" w:cs="Times New Roman"/>
          <w:sz w:val="24"/>
          <w:szCs w:val="24"/>
        </w:rPr>
        <w:t xml:space="preserve"> (viena angiogrāfa vidējās izmaksas 1 125 000 euro)</w:t>
      </w:r>
      <w:r w:rsidR="00E92A64" w:rsidRPr="00847710">
        <w:rPr>
          <w:rFonts w:ascii="Times New Roman" w:hAnsi="Times New Roman" w:cs="Times New Roman"/>
          <w:sz w:val="24"/>
          <w:szCs w:val="24"/>
        </w:rPr>
        <w:t>.</w:t>
      </w:r>
    </w:p>
    <w:p w14:paraId="49613636" w14:textId="52E3B167" w:rsidR="005C4112" w:rsidRPr="00847710" w:rsidRDefault="005C4112" w:rsidP="007E2BB2">
      <w:pPr>
        <w:pStyle w:val="NoSpacing"/>
        <w:spacing w:after="120" w:line="276" w:lineRule="auto"/>
        <w:ind w:firstLine="709"/>
        <w:jc w:val="both"/>
        <w:rPr>
          <w:rFonts w:ascii="Times New Roman" w:eastAsia="Times New Roman" w:hAnsi="Times New Roman" w:cs="Times New Roman"/>
          <w:sz w:val="24"/>
          <w:szCs w:val="24"/>
          <w:lang w:eastAsia="lv-LV"/>
        </w:rPr>
      </w:pPr>
      <w:r w:rsidRPr="00847710">
        <w:rPr>
          <w:rFonts w:ascii="Times New Roman" w:hAnsi="Times New Roman" w:cs="Times New Roman"/>
          <w:sz w:val="24"/>
          <w:szCs w:val="24"/>
        </w:rPr>
        <w:t xml:space="preserve">Atbilstoši Veselības ministrijas iekšējam normatīvajam aktam "Ārstniecības procesam tieši nepieciešamo medicīnisko tehnoloģiju, kuru vienas vienības piegādes izmaksas pārsniedz 20 000 euro, iegādes saskaņošanas kārtība" Veselības ministrijā tiek vērtētas medicīniskās tehnoloģijas ERAF projektu ietvaros. Tehnoloģiju iegādes saskaņošanas komisijas locekļi ir izvērtējuši vairāku ārstniecības iestāžu iesniegtos "Angiogrāfijas iekārta" pieteikumus. Pēc ārstniecības iestāžu veiktās tirgus izpētes </w:t>
      </w:r>
      <w:r w:rsidR="00A871B7" w:rsidRPr="00847710">
        <w:rPr>
          <w:rFonts w:ascii="Times New Roman" w:hAnsi="Times New Roman" w:cs="Times New Roman"/>
          <w:sz w:val="24"/>
          <w:szCs w:val="24"/>
        </w:rPr>
        <w:t>a</w:t>
      </w:r>
      <w:r w:rsidRPr="00847710">
        <w:rPr>
          <w:rFonts w:ascii="Times New Roman" w:hAnsi="Times New Roman" w:cs="Times New Roman"/>
          <w:sz w:val="24"/>
          <w:szCs w:val="24"/>
        </w:rPr>
        <w:t>ngiogrāfu vidējās cenas ir aptuveni 1 200 000 euro.</w:t>
      </w:r>
      <w:r w:rsidR="00A871B7" w:rsidRPr="00847710">
        <w:rPr>
          <w:rFonts w:ascii="Times New Roman" w:hAnsi="Times New Roman" w:cs="Times New Roman"/>
          <w:sz w:val="24"/>
          <w:szCs w:val="24"/>
        </w:rPr>
        <w:t xml:space="preserve"> </w:t>
      </w:r>
      <w:r w:rsidR="008C523E" w:rsidRPr="00847710">
        <w:rPr>
          <w:rFonts w:ascii="Times New Roman" w:eastAsia="Times New Roman" w:hAnsi="Times New Roman" w:cs="Times New Roman"/>
          <w:sz w:val="24"/>
          <w:szCs w:val="24"/>
          <w:lang w:eastAsia="lv-LV"/>
        </w:rPr>
        <w:t>Realizējot aktivitāti, iepirkumi tiks veikti Publisko iepirkumu likuma noteiktajā kārtībā un faktiskā iekārtu cena būs zināma pēc iepirkuma procedūras veikšanas. Finansējuma ekonomija tiks novirzīta citu reformas pasākumu īstenošanai.</w:t>
      </w:r>
    </w:p>
    <w:p w14:paraId="4DE6C695" w14:textId="2C8059ED" w:rsidR="00526E92" w:rsidRPr="00820900" w:rsidRDefault="0020102F">
      <w:pPr>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3</w:t>
      </w:r>
      <w:r w:rsidR="00DE3C94">
        <w:rPr>
          <w:rFonts w:ascii="Times New Roman" w:hAnsi="Times New Roman" w:cs="Times New Roman"/>
          <w:i/>
          <w:iCs/>
          <w:sz w:val="24"/>
          <w:szCs w:val="24"/>
        </w:rPr>
        <w:t>4</w:t>
      </w:r>
      <w:r w:rsidR="00526E92" w:rsidRPr="57326167">
        <w:rPr>
          <w:rFonts w:ascii="Times New Roman" w:hAnsi="Times New Roman" w:cs="Times New Roman"/>
          <w:i/>
          <w:iCs/>
          <w:sz w:val="24"/>
          <w:szCs w:val="24"/>
        </w:rPr>
        <w:t xml:space="preserve">.tabula </w:t>
      </w:r>
    </w:p>
    <w:p w14:paraId="295D22DD" w14:textId="607245EA" w:rsidR="00526E92" w:rsidRPr="00847710" w:rsidRDefault="00526E92" w:rsidP="00526E92">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Angiogrāfu iegādei nepieciešamais finansējums</w:t>
      </w:r>
    </w:p>
    <w:tbl>
      <w:tblPr>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836"/>
        <w:gridCol w:w="1134"/>
        <w:gridCol w:w="1559"/>
        <w:gridCol w:w="1559"/>
        <w:gridCol w:w="1285"/>
        <w:gridCol w:w="1272"/>
        <w:gridCol w:w="1272"/>
        <w:gridCol w:w="1276"/>
      </w:tblGrid>
      <w:tr w:rsidR="00F616B3" w:rsidRPr="00847710" w14:paraId="37785304" w14:textId="77777777" w:rsidTr="00820900">
        <w:trPr>
          <w:cantSplit/>
          <w:trHeight w:val="1656"/>
        </w:trPr>
        <w:tc>
          <w:tcPr>
            <w:tcW w:w="424" w:type="dxa"/>
            <w:shd w:val="clear" w:color="auto" w:fill="E36C0A" w:themeFill="accent6" w:themeFillShade="BF"/>
            <w:vAlign w:val="center"/>
            <w:hideMark/>
          </w:tcPr>
          <w:p w14:paraId="3F99867E" w14:textId="77777777" w:rsidR="00F616B3" w:rsidRPr="00847710" w:rsidRDefault="00F616B3" w:rsidP="009F003B">
            <w:pPr>
              <w:spacing w:after="0" w:line="240" w:lineRule="auto"/>
              <w:jc w:val="center"/>
              <w:rPr>
                <w:rFonts w:ascii="Times New Roman" w:eastAsia="Times New Roman" w:hAnsi="Times New Roman" w:cs="Times New Roman"/>
                <w:b/>
                <w:bCs/>
                <w:sz w:val="20"/>
                <w:szCs w:val="20"/>
                <w:lang w:eastAsia="lv-LV"/>
              </w:rPr>
            </w:pPr>
          </w:p>
        </w:tc>
        <w:tc>
          <w:tcPr>
            <w:tcW w:w="1836" w:type="dxa"/>
            <w:shd w:val="clear" w:color="auto" w:fill="E36C0A" w:themeFill="accent6" w:themeFillShade="BF"/>
            <w:vAlign w:val="center"/>
            <w:hideMark/>
          </w:tcPr>
          <w:p w14:paraId="7FC977C5" w14:textId="77777777" w:rsidR="00F616B3" w:rsidRPr="00847710" w:rsidRDefault="00F616B3" w:rsidP="009F003B">
            <w:pPr>
              <w:spacing w:after="0" w:line="240" w:lineRule="auto"/>
              <w:rPr>
                <w:rFonts w:ascii="Times New Roman" w:eastAsia="Times New Roman" w:hAnsi="Times New Roman" w:cs="Times New Roman"/>
                <w:b/>
                <w:sz w:val="20"/>
                <w:szCs w:val="20"/>
                <w:lang w:eastAsia="lv-LV"/>
              </w:rPr>
            </w:pPr>
          </w:p>
        </w:tc>
        <w:tc>
          <w:tcPr>
            <w:tcW w:w="1134" w:type="dxa"/>
            <w:shd w:val="clear" w:color="auto" w:fill="E36C0A" w:themeFill="accent6" w:themeFillShade="BF"/>
            <w:textDirection w:val="btLr"/>
            <w:vAlign w:val="center"/>
            <w:hideMark/>
          </w:tcPr>
          <w:p w14:paraId="6F04C543" w14:textId="77777777" w:rsidR="00F616B3" w:rsidRPr="00847710" w:rsidRDefault="00F616B3" w:rsidP="009F003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iekārtas</w:t>
            </w:r>
          </w:p>
          <w:p w14:paraId="25108F8E" w14:textId="77777777" w:rsidR="00F616B3" w:rsidRPr="00847710" w:rsidRDefault="00F616B3" w:rsidP="009F003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076009F0" w14:textId="77777777" w:rsidR="00F616B3" w:rsidRPr="00847710" w:rsidRDefault="00F616B3" w:rsidP="009F003B">
            <w:pPr>
              <w:spacing w:after="0" w:line="240" w:lineRule="auto"/>
              <w:ind w:left="113" w:right="113"/>
              <w:jc w:val="center"/>
              <w:rPr>
                <w:rFonts w:ascii="Times New Roman" w:eastAsia="Times New Roman" w:hAnsi="Times New Roman" w:cs="Times New Roman"/>
                <w:b/>
                <w:bCs/>
                <w:sz w:val="20"/>
                <w:szCs w:val="20"/>
                <w:lang w:eastAsia="lv-LV"/>
              </w:rPr>
            </w:pPr>
          </w:p>
        </w:tc>
        <w:tc>
          <w:tcPr>
            <w:tcW w:w="3118" w:type="dxa"/>
            <w:gridSpan w:val="2"/>
            <w:shd w:val="clear" w:color="auto" w:fill="E36C0A" w:themeFill="accent6" w:themeFillShade="BF"/>
            <w:textDirection w:val="btLr"/>
            <w:vAlign w:val="center"/>
            <w:hideMark/>
          </w:tcPr>
          <w:p w14:paraId="0A69FD61" w14:textId="77777777" w:rsidR="00F616B3" w:rsidRPr="00847710" w:rsidRDefault="00F616B3" w:rsidP="009F003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A" w:themeFill="accent6" w:themeFillShade="BF"/>
            <w:textDirection w:val="btLr"/>
            <w:vAlign w:val="center"/>
            <w:hideMark/>
          </w:tcPr>
          <w:p w14:paraId="1F2A26C4" w14:textId="77777777" w:rsidR="00F616B3" w:rsidRPr="00847710" w:rsidRDefault="00F616B3" w:rsidP="009F003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A" w:themeFill="accent6" w:themeFillShade="BF"/>
            <w:textDirection w:val="btLr"/>
            <w:vAlign w:val="center"/>
          </w:tcPr>
          <w:p w14:paraId="2F1DED58" w14:textId="77777777" w:rsidR="00F616B3" w:rsidRPr="00847710" w:rsidRDefault="00F616B3" w:rsidP="009F003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iekārtu skaits </w:t>
            </w:r>
          </w:p>
        </w:tc>
        <w:tc>
          <w:tcPr>
            <w:tcW w:w="1276" w:type="dxa"/>
            <w:shd w:val="clear" w:color="auto" w:fill="E36C0A" w:themeFill="accent6" w:themeFillShade="BF"/>
            <w:textDirection w:val="btLr"/>
            <w:vAlign w:val="center"/>
            <w:hideMark/>
          </w:tcPr>
          <w:p w14:paraId="2A270F07" w14:textId="77777777" w:rsidR="00F616B3" w:rsidRPr="00847710" w:rsidRDefault="00F616B3" w:rsidP="009F003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iekārtu skaits pēc finansējuma piešķīruma</w:t>
            </w:r>
          </w:p>
        </w:tc>
      </w:tr>
      <w:tr w:rsidR="00AB6A87" w:rsidRPr="00847710" w14:paraId="53A0851C" w14:textId="77777777" w:rsidTr="00820900">
        <w:trPr>
          <w:trHeight w:val="640"/>
        </w:trPr>
        <w:tc>
          <w:tcPr>
            <w:tcW w:w="424" w:type="dxa"/>
            <w:shd w:val="clear" w:color="auto" w:fill="FABF8F" w:themeFill="accent6" w:themeFillTint="99"/>
            <w:vAlign w:val="center"/>
          </w:tcPr>
          <w:p w14:paraId="1E158145" w14:textId="77777777" w:rsidR="00F616B3" w:rsidRPr="00847710" w:rsidRDefault="00F616B3" w:rsidP="009F003B">
            <w:pPr>
              <w:spacing w:after="0" w:line="240" w:lineRule="auto"/>
              <w:jc w:val="center"/>
              <w:rPr>
                <w:rFonts w:ascii="Times New Roman" w:eastAsia="Times New Roman" w:hAnsi="Times New Roman" w:cs="Times New Roman"/>
                <w:b/>
                <w:bCs/>
                <w:sz w:val="20"/>
                <w:szCs w:val="20"/>
                <w:lang w:eastAsia="lv-LV"/>
              </w:rPr>
            </w:pPr>
          </w:p>
        </w:tc>
        <w:tc>
          <w:tcPr>
            <w:tcW w:w="1836" w:type="dxa"/>
            <w:shd w:val="clear" w:color="auto" w:fill="FABF8F" w:themeFill="accent6" w:themeFillTint="99"/>
            <w:vAlign w:val="center"/>
          </w:tcPr>
          <w:p w14:paraId="3A0CEC1D" w14:textId="77777777" w:rsidR="00F616B3" w:rsidRPr="00847710" w:rsidRDefault="00F616B3" w:rsidP="009F003B">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ABF8F" w:themeFill="accent6" w:themeFillTint="99"/>
            <w:vAlign w:val="center"/>
          </w:tcPr>
          <w:p w14:paraId="1CCAE948" w14:textId="77777777" w:rsidR="00F616B3" w:rsidRPr="00847710" w:rsidRDefault="00F616B3" w:rsidP="009F003B">
            <w:pPr>
              <w:spacing w:after="0" w:line="240" w:lineRule="auto"/>
              <w:jc w:val="center"/>
              <w:rPr>
                <w:rFonts w:ascii="Times New Roman" w:eastAsia="Times New Roman" w:hAnsi="Times New Roman" w:cs="Times New Roman"/>
                <w:i/>
                <w:iCs/>
                <w:sz w:val="20"/>
                <w:szCs w:val="20"/>
                <w:lang w:eastAsia="lv-LV"/>
              </w:rPr>
            </w:pPr>
          </w:p>
          <w:p w14:paraId="2F643358" w14:textId="77777777" w:rsidR="00F616B3" w:rsidRPr="00847710" w:rsidRDefault="00F616B3" w:rsidP="009F003B">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321275AF" w14:textId="77777777" w:rsidR="00F616B3" w:rsidRPr="00847710" w:rsidRDefault="00F616B3" w:rsidP="009F003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14:paraId="093995B1" w14:textId="77777777"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013055FC" w14:textId="77777777" w:rsidR="00F616B3" w:rsidRPr="00847710" w:rsidRDefault="00F616B3" w:rsidP="009F003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14:paraId="365F5E3E" w14:textId="77777777"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BF8F" w:themeFill="accent6" w:themeFillTint="99"/>
            <w:vAlign w:val="center"/>
          </w:tcPr>
          <w:p w14:paraId="03AF451F" w14:textId="77777777" w:rsidR="00F616B3" w:rsidRPr="00847710" w:rsidRDefault="00F616B3" w:rsidP="009F003B">
            <w:pPr>
              <w:spacing w:after="0" w:line="240" w:lineRule="auto"/>
              <w:jc w:val="center"/>
              <w:rPr>
                <w:rFonts w:ascii="Times New Roman" w:eastAsia="Times New Roman" w:hAnsi="Times New Roman" w:cs="Times New Roman"/>
                <w:bCs/>
                <w:i/>
                <w:iCs/>
                <w:sz w:val="20"/>
                <w:szCs w:val="20"/>
                <w:lang w:eastAsia="lv-LV"/>
              </w:rPr>
            </w:pPr>
          </w:p>
          <w:p w14:paraId="75FB77F9" w14:textId="77777777" w:rsidR="00F616B3" w:rsidRPr="00820900" w:rsidRDefault="00F616B3" w:rsidP="00820900">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BF8F" w:themeFill="accent6" w:themeFillTint="99"/>
            <w:vAlign w:val="center"/>
          </w:tcPr>
          <w:p w14:paraId="4B3670C2" w14:textId="77777777" w:rsidR="00F616B3" w:rsidRPr="00847710" w:rsidRDefault="00F616B3" w:rsidP="009F003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BF8F" w:themeFill="accent6" w:themeFillTint="99"/>
            <w:vAlign w:val="center"/>
          </w:tcPr>
          <w:p w14:paraId="0290B280" w14:textId="77777777" w:rsidR="00F616B3" w:rsidRPr="00847710" w:rsidRDefault="00F616B3" w:rsidP="009F003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6" w:type="dxa"/>
            <w:shd w:val="clear" w:color="auto" w:fill="FABF8F" w:themeFill="accent6" w:themeFillTint="99"/>
            <w:vAlign w:val="center"/>
          </w:tcPr>
          <w:p w14:paraId="041C7AD2" w14:textId="77777777" w:rsidR="00F616B3" w:rsidRPr="00847710" w:rsidRDefault="00F616B3" w:rsidP="009F003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rsidR="00F616B3" w:rsidRPr="00847710" w14:paraId="7478BC6A" w14:textId="77777777" w:rsidTr="00820900">
        <w:trPr>
          <w:trHeight w:val="525"/>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F6432" w14:textId="77777777" w:rsidR="00F616B3" w:rsidRPr="00847710" w:rsidRDefault="00F616B3" w:rsidP="009F003B">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53A555" w14:textId="19AC6232" w:rsidR="00F616B3" w:rsidRPr="00847710" w:rsidRDefault="00F616B3" w:rsidP="009F003B">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Angiogrāfu iegāde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A9F8C" w14:textId="698F5F61"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xml:space="preserve"> 1 125 000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78663" w14:textId="77777777"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7D93" w14:textId="77777777"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D42BF" w14:textId="26988DE8" w:rsidR="00F616B3" w:rsidRPr="00847710" w:rsidRDefault="00F616B3" w:rsidP="009F003B">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 xml:space="preserve">4 500 000 </w:t>
            </w:r>
          </w:p>
        </w:tc>
        <w:tc>
          <w:tcPr>
            <w:tcW w:w="1272" w:type="dxa"/>
            <w:tcBorders>
              <w:top w:val="single" w:sz="4" w:space="0" w:color="auto"/>
              <w:left w:val="single" w:sz="4" w:space="0" w:color="auto"/>
              <w:bottom w:val="single" w:sz="4" w:space="0" w:color="auto"/>
              <w:right w:val="single" w:sz="4" w:space="0" w:color="auto"/>
            </w:tcBorders>
            <w:vAlign w:val="bottom"/>
          </w:tcPr>
          <w:p w14:paraId="0E468B22" w14:textId="77777777" w:rsidR="00F616B3" w:rsidRPr="00847710" w:rsidRDefault="00F616B3" w:rsidP="009F003B">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14:paraId="4354407D" w14:textId="77777777" w:rsidR="00F616B3" w:rsidRPr="00847710" w:rsidRDefault="00F616B3" w:rsidP="009F003B">
            <w:pPr>
              <w:spacing w:after="0" w:line="240" w:lineRule="auto"/>
              <w:jc w:val="center"/>
              <w:rPr>
                <w:rFonts w:ascii="Times New Roman" w:eastAsia="Times New Roman" w:hAnsi="Times New Roman" w:cs="Times New Roman"/>
                <w:b/>
                <w:color w:val="FF0000"/>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ACA8A" w14:textId="434F88F3" w:rsidR="00F616B3" w:rsidRPr="00820900" w:rsidRDefault="00F616B3" w:rsidP="00820900">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4</w:t>
            </w:r>
          </w:p>
        </w:tc>
      </w:tr>
      <w:tr w:rsidR="00AB6A87" w:rsidRPr="00847710" w14:paraId="5DB48C7C" w14:textId="77777777" w:rsidTr="00820900">
        <w:trPr>
          <w:trHeight w:val="189"/>
        </w:trPr>
        <w:tc>
          <w:tcPr>
            <w:tcW w:w="424" w:type="dxa"/>
            <w:shd w:val="clear" w:color="auto" w:fill="FBD4B4" w:themeFill="accent6" w:themeFillTint="66"/>
            <w:noWrap/>
            <w:vAlign w:val="bottom"/>
            <w:hideMark/>
          </w:tcPr>
          <w:p w14:paraId="44624F7E" w14:textId="77777777" w:rsidR="00F616B3" w:rsidRPr="00847710" w:rsidRDefault="00F616B3" w:rsidP="009F003B">
            <w:pPr>
              <w:spacing w:after="0" w:line="240" w:lineRule="auto"/>
              <w:jc w:val="right"/>
              <w:rPr>
                <w:rFonts w:ascii="Times New Roman" w:eastAsia="Times New Roman" w:hAnsi="Times New Roman" w:cs="Times New Roman"/>
                <w:sz w:val="20"/>
                <w:szCs w:val="20"/>
                <w:lang w:eastAsia="lv-LV"/>
              </w:rPr>
            </w:pPr>
          </w:p>
        </w:tc>
        <w:tc>
          <w:tcPr>
            <w:tcW w:w="1836" w:type="dxa"/>
            <w:shd w:val="clear" w:color="auto" w:fill="FBD4B4" w:themeFill="accent6" w:themeFillTint="66"/>
            <w:noWrap/>
            <w:vAlign w:val="bottom"/>
            <w:hideMark/>
          </w:tcPr>
          <w:p w14:paraId="0A9065ED" w14:textId="77777777" w:rsidR="00F616B3" w:rsidRPr="00847710" w:rsidRDefault="00F616B3" w:rsidP="009F003B">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hideMark/>
          </w:tcPr>
          <w:p w14:paraId="60A2DDB5" w14:textId="78710578"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1 125 000</w:t>
            </w:r>
          </w:p>
        </w:tc>
        <w:tc>
          <w:tcPr>
            <w:tcW w:w="1559" w:type="dxa"/>
            <w:shd w:val="clear" w:color="auto" w:fill="FBD4B4" w:themeFill="accent6" w:themeFillTint="66"/>
            <w:noWrap/>
            <w:vAlign w:val="bottom"/>
          </w:tcPr>
          <w:p w14:paraId="632053D3" w14:textId="77777777"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p>
        </w:tc>
        <w:tc>
          <w:tcPr>
            <w:tcW w:w="1559" w:type="dxa"/>
            <w:shd w:val="clear" w:color="auto" w:fill="FBD4B4" w:themeFill="accent6" w:themeFillTint="66"/>
            <w:noWrap/>
            <w:vAlign w:val="bottom"/>
          </w:tcPr>
          <w:p w14:paraId="6A3CB525" w14:textId="77777777"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p>
        </w:tc>
        <w:tc>
          <w:tcPr>
            <w:tcW w:w="1285" w:type="dxa"/>
            <w:shd w:val="clear" w:color="auto" w:fill="FBD4B4" w:themeFill="accent6" w:themeFillTint="66"/>
            <w:noWrap/>
            <w:vAlign w:val="bottom"/>
            <w:hideMark/>
          </w:tcPr>
          <w:p w14:paraId="35FE3112" w14:textId="7D0FAFE2" w:rsidR="00F616B3" w:rsidRPr="00847710" w:rsidRDefault="00F616B3" w:rsidP="009F003B">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4 500 000</w:t>
            </w:r>
          </w:p>
        </w:tc>
        <w:tc>
          <w:tcPr>
            <w:tcW w:w="1272" w:type="dxa"/>
            <w:shd w:val="clear" w:color="auto" w:fill="FBD4B4" w:themeFill="accent6" w:themeFillTint="66"/>
            <w:vAlign w:val="bottom"/>
          </w:tcPr>
          <w:p w14:paraId="73AD5734" w14:textId="77777777" w:rsidR="00F616B3" w:rsidRPr="00847710" w:rsidRDefault="00F616B3" w:rsidP="009F003B">
            <w:pPr>
              <w:spacing w:after="0" w:line="240" w:lineRule="auto"/>
              <w:jc w:val="center"/>
              <w:rPr>
                <w:rFonts w:ascii="Times New Roman" w:eastAsia="Times New Roman" w:hAnsi="Times New Roman" w:cs="Times New Roman"/>
                <w:b/>
                <w:color w:val="FF0000"/>
                <w:sz w:val="20"/>
                <w:szCs w:val="20"/>
                <w:lang w:eastAsia="lv-LV"/>
              </w:rPr>
            </w:pPr>
          </w:p>
        </w:tc>
        <w:tc>
          <w:tcPr>
            <w:tcW w:w="1272" w:type="dxa"/>
            <w:shd w:val="clear" w:color="auto" w:fill="FBD4B4" w:themeFill="accent6" w:themeFillTint="66"/>
            <w:vAlign w:val="bottom"/>
          </w:tcPr>
          <w:p w14:paraId="5BF753A9" w14:textId="77777777" w:rsidR="00F616B3" w:rsidRPr="00847710" w:rsidRDefault="00F616B3" w:rsidP="009F003B">
            <w:pPr>
              <w:spacing w:after="0" w:line="240" w:lineRule="auto"/>
              <w:jc w:val="center"/>
              <w:rPr>
                <w:rFonts w:ascii="Times New Roman" w:eastAsia="Times New Roman" w:hAnsi="Times New Roman" w:cs="Times New Roman"/>
                <w:b/>
                <w:color w:val="FF0000"/>
                <w:sz w:val="20"/>
                <w:szCs w:val="20"/>
                <w:lang w:eastAsia="lv-LV"/>
              </w:rPr>
            </w:pPr>
          </w:p>
        </w:tc>
        <w:tc>
          <w:tcPr>
            <w:tcW w:w="1276" w:type="dxa"/>
            <w:shd w:val="clear" w:color="auto" w:fill="FBD4B4" w:themeFill="accent6" w:themeFillTint="66"/>
            <w:noWrap/>
            <w:vAlign w:val="bottom"/>
          </w:tcPr>
          <w:p w14:paraId="3A515848" w14:textId="77777777" w:rsidR="00F616B3" w:rsidRPr="00820900" w:rsidRDefault="00F616B3" w:rsidP="00820900">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4</w:t>
            </w:r>
          </w:p>
        </w:tc>
      </w:tr>
    </w:tbl>
    <w:p w14:paraId="0419B07C" w14:textId="77777777" w:rsidR="00526E92" w:rsidRPr="00847710" w:rsidRDefault="00526E92" w:rsidP="007E2BB2">
      <w:pPr>
        <w:pStyle w:val="NoSpacing"/>
        <w:spacing w:after="120" w:line="276" w:lineRule="auto"/>
        <w:ind w:firstLine="709"/>
        <w:jc w:val="both"/>
        <w:rPr>
          <w:rFonts w:ascii="Times New Roman" w:hAnsi="Times New Roman" w:cs="Times New Roman"/>
          <w:sz w:val="24"/>
          <w:szCs w:val="24"/>
        </w:rPr>
      </w:pPr>
    </w:p>
    <w:p w14:paraId="108523BF" w14:textId="62D9BD0E" w:rsidR="00D22762" w:rsidRPr="00847710" w:rsidRDefault="00D22762" w:rsidP="00D9713E">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Aortas vārstuļa stenoze ir visizplatītākā sirds vārstuļu saslimšana rietumu pasaulē un viens no biežākajiem kardiovaskulāro slimību izraisītas nāves cēloņiem aiz koronārās sirds slimības, sirds mazspējas un hipertensijas. Transkatetrāla aortas vārstuļa implantācija (turpmāk </w:t>
      </w:r>
      <w:r w:rsidR="00D3667E" w:rsidRPr="00847710">
        <w:rPr>
          <w:rFonts w:ascii="Times New Roman" w:hAnsi="Times New Roman" w:cs="Times New Roman"/>
          <w:sz w:val="24"/>
          <w:szCs w:val="24"/>
        </w:rPr>
        <w:t xml:space="preserve">– </w:t>
      </w:r>
      <w:r w:rsidRPr="00847710">
        <w:rPr>
          <w:rFonts w:ascii="Times New Roman" w:hAnsi="Times New Roman" w:cs="Times New Roman"/>
          <w:sz w:val="24"/>
          <w:szCs w:val="24"/>
        </w:rPr>
        <w:t>TAVI) sevi ir apstiprinājusi kā dzīvotspējīgu stratēģiju pacientiem ar smagu, simptomātisku aortas vārstuļa stenozi, ja vispārējais stāvoklis nepieļauj ķirurģiska vārstuļa protezēšanu un ir ļoti augsts ķirurģiskās terapijas risks piemēram, vecāka gadagājuma pacientiem (virs 80 gadiem), pacientiem pēc jau iepriekš veiktas sirds operācijas, kā arī pacientiem ar smagām hroniskām blakusslimībām (onkoloģija, smagas plaušu slimības, izteikta sirds mazspēja ar samaz</w:t>
      </w:r>
      <w:r w:rsidR="00EF1CF9" w:rsidRPr="00847710">
        <w:rPr>
          <w:rFonts w:ascii="Times New Roman" w:hAnsi="Times New Roman" w:cs="Times New Roman"/>
          <w:sz w:val="24"/>
          <w:szCs w:val="24"/>
        </w:rPr>
        <w:t>inātu izsviedes frakciju u.c.).</w:t>
      </w:r>
      <w:r w:rsidRPr="00847710">
        <w:rPr>
          <w:rFonts w:ascii="Times New Roman" w:hAnsi="Times New Roman" w:cs="Times New Roman"/>
          <w:sz w:val="24"/>
          <w:szCs w:val="24"/>
        </w:rPr>
        <w:t xml:space="preserve"> TAVI ir mazinvazīva, saudzējoša metode salīdzinājumā ar klasisko ķirurģisko metodi.</w:t>
      </w:r>
    </w:p>
    <w:p w14:paraId="1946449C" w14:textId="109E4494" w:rsidR="00D22762" w:rsidRPr="00847710" w:rsidRDefault="00D22762" w:rsidP="0036401B">
      <w:pPr>
        <w:pStyle w:val="NoSpacing"/>
        <w:spacing w:after="120" w:line="276" w:lineRule="auto"/>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 Pakalpojuma mērķa grupa ir pacienti ar aortas vārstuļa stenozi, kam vecuma vai blakusslimību dēļ ķirurģiska aortas vārstuļa maiņa ir neiespējama</w:t>
      </w:r>
      <w:r w:rsidR="00B473E3" w:rsidRPr="00847710">
        <w:rPr>
          <w:rFonts w:ascii="Times New Roman" w:hAnsi="Times New Roman" w:cs="Times New Roman"/>
          <w:sz w:val="24"/>
          <w:szCs w:val="24"/>
        </w:rPr>
        <w:t xml:space="preserve">. </w:t>
      </w:r>
    </w:p>
    <w:p w14:paraId="6CC42190" w14:textId="77777777" w:rsidR="00B30E39" w:rsidRPr="00820900" w:rsidRDefault="00D22762" w:rsidP="00820900">
      <w:pPr>
        <w:spacing w:after="120"/>
        <w:jc w:val="both"/>
        <w:rPr>
          <w:rFonts w:ascii="Times New Roman" w:hAnsi="Times New Roman" w:cs="Times New Roman"/>
          <w:i/>
          <w:iCs/>
          <w:sz w:val="24"/>
          <w:szCs w:val="24"/>
        </w:rPr>
      </w:pPr>
      <w:r w:rsidRPr="00847710">
        <w:rPr>
          <w:rFonts w:ascii="Times New Roman" w:hAnsi="Times New Roman" w:cs="Times New Roman"/>
          <w:sz w:val="24"/>
          <w:szCs w:val="24"/>
        </w:rPr>
        <w:t xml:space="preserve">TAVI plānots veikt 75 pacientiem, </w:t>
      </w:r>
      <w:r w:rsidR="009054AD" w:rsidRPr="00847710">
        <w:rPr>
          <w:rFonts w:ascii="Times New Roman" w:eastAsia="Times New Roman" w:hAnsi="Times New Roman" w:cs="Times New Roman"/>
          <w:noProof/>
          <w:sz w:val="24"/>
          <w:szCs w:val="24"/>
          <w:lang w:bidi="gu-IN"/>
        </w:rPr>
        <w:t xml:space="preserve">kur viena pacienta operācijai plānots manipulāciju finansējums 24 588,94 euro, samaksa par 6 gultas dienām 411,06 euro (6* 68,51 euro), kopā 25 000 euro, plānojot 75 pacientus gadā, finansiālā ietekme </w:t>
      </w:r>
      <w:r w:rsidR="009054AD" w:rsidRPr="0012317D">
        <w:rPr>
          <w:rFonts w:ascii="Times New Roman" w:eastAsia="Times New Roman" w:hAnsi="Times New Roman" w:cs="Times New Roman"/>
          <w:b/>
          <w:bCs/>
          <w:sz w:val="24"/>
          <w:szCs w:val="24"/>
          <w:lang w:bidi="gu-IN"/>
        </w:rPr>
        <w:t>1 875 000 euro</w:t>
      </w:r>
      <w:r w:rsidR="00686D78" w:rsidRPr="00847710">
        <w:rPr>
          <w:rFonts w:ascii="Times New Roman" w:hAnsi="Times New Roman" w:cs="Times New Roman"/>
          <w:sz w:val="24"/>
          <w:szCs w:val="24"/>
        </w:rPr>
        <w:t>.</w:t>
      </w:r>
      <w:r w:rsidR="00313541" w:rsidRPr="00847710">
        <w:rPr>
          <w:rFonts w:ascii="Times New Roman" w:hAnsi="Times New Roman" w:cs="Times New Roman"/>
          <w:sz w:val="24"/>
          <w:szCs w:val="24"/>
        </w:rPr>
        <w:t xml:space="preserve"> Plānotais apjoms 75 pacientiem nosegs nepieciešamo operāciju apjomu 90-100% apmērā</w:t>
      </w:r>
      <w:r w:rsidR="00B30E39" w:rsidRPr="57326167">
        <w:rPr>
          <w:rFonts w:ascii="Times New Roman" w:hAnsi="Times New Roman" w:cs="Times New Roman"/>
          <w:i/>
          <w:iCs/>
          <w:sz w:val="24"/>
          <w:szCs w:val="24"/>
        </w:rPr>
        <w:t>.</w:t>
      </w:r>
    </w:p>
    <w:p w14:paraId="3516DAD6" w14:textId="6453AD4A" w:rsidR="00F616B3" w:rsidRPr="00820900" w:rsidRDefault="0020102F" w:rsidP="00820900">
      <w:pPr>
        <w:spacing w:after="120"/>
        <w:jc w:val="right"/>
        <w:rPr>
          <w:rFonts w:ascii="Times New Roman" w:hAnsi="Times New Roman" w:cs="Times New Roman"/>
          <w:i/>
          <w:iCs/>
          <w:sz w:val="24"/>
          <w:szCs w:val="24"/>
        </w:rPr>
      </w:pPr>
      <w:r w:rsidRPr="57326167">
        <w:rPr>
          <w:rFonts w:ascii="Times New Roman" w:hAnsi="Times New Roman" w:cs="Times New Roman"/>
          <w:i/>
          <w:iCs/>
          <w:sz w:val="24"/>
          <w:szCs w:val="24"/>
        </w:rPr>
        <w:t>3</w:t>
      </w:r>
      <w:r w:rsidR="00DE3C94">
        <w:rPr>
          <w:rFonts w:ascii="Times New Roman" w:hAnsi="Times New Roman" w:cs="Times New Roman"/>
          <w:i/>
          <w:iCs/>
          <w:sz w:val="24"/>
          <w:szCs w:val="24"/>
        </w:rPr>
        <w:t>5</w:t>
      </w:r>
      <w:r w:rsidR="00F616B3" w:rsidRPr="57326167">
        <w:rPr>
          <w:rFonts w:ascii="Times New Roman" w:hAnsi="Times New Roman" w:cs="Times New Roman"/>
          <w:i/>
          <w:iCs/>
          <w:sz w:val="24"/>
          <w:szCs w:val="24"/>
        </w:rPr>
        <w:t xml:space="preserve">.tabula </w:t>
      </w:r>
    </w:p>
    <w:p w14:paraId="48D6029B" w14:textId="336B75AB" w:rsidR="00F616B3" w:rsidRPr="00847710" w:rsidRDefault="00F616B3" w:rsidP="00F616B3">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TAVI pakalpojumu nodrošināšanai nepieciešamais finansējums</w:t>
      </w:r>
    </w:p>
    <w:tbl>
      <w:tblPr>
        <w:tblW w:w="1090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2274"/>
        <w:gridCol w:w="992"/>
        <w:gridCol w:w="986"/>
        <w:gridCol w:w="1707"/>
        <w:gridCol w:w="1134"/>
        <w:gridCol w:w="988"/>
        <w:gridCol w:w="1272"/>
      </w:tblGrid>
      <w:tr w:rsidR="00F616B3" w:rsidRPr="00847710" w14:paraId="082CF991" w14:textId="77777777" w:rsidTr="00820900">
        <w:trPr>
          <w:cantSplit/>
          <w:trHeight w:val="1656"/>
        </w:trPr>
        <w:tc>
          <w:tcPr>
            <w:tcW w:w="1554" w:type="dxa"/>
            <w:shd w:val="clear" w:color="auto" w:fill="E36C0A" w:themeFill="accent6" w:themeFillShade="BF"/>
            <w:vAlign w:val="center"/>
            <w:hideMark/>
          </w:tcPr>
          <w:p w14:paraId="552EDD5B" w14:textId="77777777" w:rsidR="00F616B3" w:rsidRPr="00847710" w:rsidRDefault="00F616B3" w:rsidP="009F003B">
            <w:pPr>
              <w:spacing w:after="0" w:line="240" w:lineRule="auto"/>
              <w:rPr>
                <w:rFonts w:ascii="Times New Roman" w:eastAsia="Times New Roman" w:hAnsi="Times New Roman" w:cs="Times New Roman"/>
                <w:b/>
                <w:sz w:val="20"/>
                <w:szCs w:val="20"/>
                <w:lang w:eastAsia="lv-LV"/>
              </w:rPr>
            </w:pPr>
          </w:p>
        </w:tc>
        <w:tc>
          <w:tcPr>
            <w:tcW w:w="2274" w:type="dxa"/>
            <w:shd w:val="clear" w:color="auto" w:fill="E36C0A" w:themeFill="accent6" w:themeFillShade="BF"/>
            <w:textDirection w:val="btLr"/>
            <w:vAlign w:val="center"/>
            <w:hideMark/>
          </w:tcPr>
          <w:p w14:paraId="01EEDF3A" w14:textId="77777777" w:rsidR="00F616B3" w:rsidRPr="00847710" w:rsidRDefault="00F616B3" w:rsidP="009F003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43F66E84" w14:textId="77777777" w:rsidR="00F616B3" w:rsidRPr="00847710" w:rsidRDefault="00F616B3" w:rsidP="009F003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5FFA8B81" w14:textId="77777777" w:rsidR="00F616B3" w:rsidRPr="00847710" w:rsidRDefault="00F616B3" w:rsidP="009F003B">
            <w:pPr>
              <w:spacing w:after="0" w:line="240" w:lineRule="auto"/>
              <w:ind w:left="113" w:right="113"/>
              <w:jc w:val="center"/>
              <w:rPr>
                <w:rFonts w:ascii="Times New Roman" w:eastAsia="Times New Roman" w:hAnsi="Times New Roman" w:cs="Times New Roman"/>
                <w:b/>
                <w:bCs/>
                <w:sz w:val="20"/>
                <w:szCs w:val="20"/>
                <w:lang w:eastAsia="lv-LV"/>
              </w:rPr>
            </w:pPr>
          </w:p>
        </w:tc>
        <w:tc>
          <w:tcPr>
            <w:tcW w:w="1978" w:type="dxa"/>
            <w:gridSpan w:val="2"/>
            <w:shd w:val="clear" w:color="auto" w:fill="E36C0A" w:themeFill="accent6" w:themeFillShade="BF"/>
            <w:textDirection w:val="btLr"/>
            <w:vAlign w:val="center"/>
            <w:hideMark/>
          </w:tcPr>
          <w:p w14:paraId="29C6C4A2" w14:textId="77777777" w:rsidR="00F616B3" w:rsidRPr="00847710" w:rsidRDefault="00F616B3" w:rsidP="009F003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707" w:type="dxa"/>
            <w:shd w:val="clear" w:color="auto" w:fill="E36C0A" w:themeFill="accent6" w:themeFillShade="BF"/>
            <w:textDirection w:val="btLr"/>
            <w:vAlign w:val="center"/>
            <w:hideMark/>
          </w:tcPr>
          <w:p w14:paraId="49723C7D" w14:textId="77777777" w:rsidR="00F616B3" w:rsidRPr="00847710" w:rsidRDefault="00F616B3" w:rsidP="009F003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122" w:type="dxa"/>
            <w:gridSpan w:val="2"/>
            <w:shd w:val="clear" w:color="auto" w:fill="E36C0A" w:themeFill="accent6" w:themeFillShade="BF"/>
            <w:textDirection w:val="btLr"/>
            <w:vAlign w:val="center"/>
          </w:tcPr>
          <w:p w14:paraId="3E8765BF" w14:textId="77777777" w:rsidR="00F616B3" w:rsidRPr="00847710" w:rsidRDefault="00F616B3" w:rsidP="009F003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272" w:type="dxa"/>
            <w:shd w:val="clear" w:color="auto" w:fill="E36C0A" w:themeFill="accent6" w:themeFillShade="BF"/>
            <w:textDirection w:val="btLr"/>
            <w:vAlign w:val="center"/>
            <w:hideMark/>
          </w:tcPr>
          <w:p w14:paraId="6B571E29" w14:textId="77777777" w:rsidR="00F616B3" w:rsidRPr="00847710" w:rsidRDefault="00F616B3" w:rsidP="009F003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AB6A87" w:rsidRPr="00847710" w14:paraId="38984E63" w14:textId="77777777" w:rsidTr="00820900">
        <w:trPr>
          <w:trHeight w:val="640"/>
        </w:trPr>
        <w:tc>
          <w:tcPr>
            <w:tcW w:w="1554" w:type="dxa"/>
            <w:shd w:val="clear" w:color="auto" w:fill="FABF8F" w:themeFill="accent6" w:themeFillTint="99"/>
            <w:vAlign w:val="center"/>
          </w:tcPr>
          <w:p w14:paraId="406EEE17" w14:textId="77777777" w:rsidR="00F616B3" w:rsidRPr="00847710" w:rsidRDefault="00F616B3" w:rsidP="009F003B">
            <w:pPr>
              <w:spacing w:after="0" w:line="240" w:lineRule="auto"/>
              <w:jc w:val="center"/>
              <w:rPr>
                <w:rFonts w:ascii="Times New Roman" w:eastAsia="Times New Roman" w:hAnsi="Times New Roman" w:cs="Times New Roman"/>
                <w:b/>
                <w:sz w:val="20"/>
                <w:szCs w:val="20"/>
                <w:lang w:eastAsia="lv-LV"/>
              </w:rPr>
            </w:pPr>
          </w:p>
        </w:tc>
        <w:tc>
          <w:tcPr>
            <w:tcW w:w="2274" w:type="dxa"/>
            <w:shd w:val="clear" w:color="auto" w:fill="FABF8F" w:themeFill="accent6" w:themeFillTint="99"/>
            <w:vAlign w:val="center"/>
          </w:tcPr>
          <w:p w14:paraId="7AB0CDF4" w14:textId="77777777" w:rsidR="00F616B3" w:rsidRPr="00847710" w:rsidRDefault="00F616B3" w:rsidP="009F003B">
            <w:pPr>
              <w:spacing w:after="0" w:line="240" w:lineRule="auto"/>
              <w:jc w:val="center"/>
              <w:rPr>
                <w:rFonts w:ascii="Times New Roman" w:eastAsia="Times New Roman" w:hAnsi="Times New Roman" w:cs="Times New Roman"/>
                <w:i/>
                <w:iCs/>
                <w:sz w:val="20"/>
                <w:szCs w:val="20"/>
                <w:lang w:eastAsia="lv-LV"/>
              </w:rPr>
            </w:pPr>
          </w:p>
          <w:p w14:paraId="6BDA1588" w14:textId="77777777" w:rsidR="00F616B3" w:rsidRPr="00847710" w:rsidRDefault="00F616B3" w:rsidP="009F003B">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992" w:type="dxa"/>
            <w:shd w:val="clear" w:color="auto" w:fill="FABF8F" w:themeFill="accent6" w:themeFillTint="99"/>
            <w:vAlign w:val="center"/>
          </w:tcPr>
          <w:p w14:paraId="2878E10B" w14:textId="77777777" w:rsidR="00F616B3" w:rsidRPr="00847710" w:rsidRDefault="00F616B3" w:rsidP="009F003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14:paraId="405E265B" w14:textId="77777777"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986" w:type="dxa"/>
            <w:shd w:val="clear" w:color="auto" w:fill="FABF8F" w:themeFill="accent6" w:themeFillTint="99"/>
            <w:vAlign w:val="center"/>
          </w:tcPr>
          <w:p w14:paraId="76F25635" w14:textId="77777777" w:rsidR="00F616B3" w:rsidRPr="00847710" w:rsidRDefault="00F616B3" w:rsidP="009F003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14:paraId="49E237B3" w14:textId="77777777"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707" w:type="dxa"/>
            <w:shd w:val="clear" w:color="auto" w:fill="FABF8F" w:themeFill="accent6" w:themeFillTint="99"/>
            <w:vAlign w:val="center"/>
          </w:tcPr>
          <w:p w14:paraId="067F9F07" w14:textId="77777777" w:rsidR="00F616B3" w:rsidRPr="00847710" w:rsidRDefault="00F616B3" w:rsidP="009F003B">
            <w:pPr>
              <w:spacing w:after="0" w:line="240" w:lineRule="auto"/>
              <w:jc w:val="center"/>
              <w:rPr>
                <w:rFonts w:ascii="Times New Roman" w:eastAsia="Times New Roman" w:hAnsi="Times New Roman" w:cs="Times New Roman"/>
                <w:bCs/>
                <w:i/>
                <w:iCs/>
                <w:sz w:val="20"/>
                <w:szCs w:val="20"/>
                <w:lang w:eastAsia="lv-LV"/>
              </w:rPr>
            </w:pPr>
          </w:p>
          <w:p w14:paraId="69049094" w14:textId="77777777" w:rsidR="00F616B3" w:rsidRPr="00820900" w:rsidRDefault="00F616B3" w:rsidP="00820900">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FABF8F" w:themeFill="accent6" w:themeFillTint="99"/>
            <w:vAlign w:val="center"/>
          </w:tcPr>
          <w:p w14:paraId="6F2B7114" w14:textId="77777777" w:rsidR="00F616B3" w:rsidRPr="00847710" w:rsidRDefault="00F616B3" w:rsidP="009F003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988" w:type="dxa"/>
            <w:shd w:val="clear" w:color="auto" w:fill="FABF8F" w:themeFill="accent6" w:themeFillTint="99"/>
            <w:vAlign w:val="center"/>
          </w:tcPr>
          <w:p w14:paraId="709DFB02" w14:textId="77777777" w:rsidR="00F616B3" w:rsidRPr="00847710" w:rsidRDefault="00F616B3" w:rsidP="009F003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BF8F" w:themeFill="accent6" w:themeFillTint="99"/>
            <w:vAlign w:val="center"/>
          </w:tcPr>
          <w:p w14:paraId="77B3678C" w14:textId="77777777" w:rsidR="00F616B3" w:rsidRPr="00847710" w:rsidRDefault="00F616B3" w:rsidP="009F003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rsidR="00F616B3" w:rsidRPr="00847710" w14:paraId="20DE2A0F" w14:textId="77777777" w:rsidTr="00820900">
        <w:trPr>
          <w:trHeight w:val="525"/>
        </w:trPr>
        <w:tc>
          <w:tcPr>
            <w:tcW w:w="15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03EE6D" w14:textId="3FF64ED1"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TAVI pakalpojumi</w:t>
            </w:r>
          </w:p>
        </w:tc>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EA9DC" w14:textId="5135F054"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25 000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723BB" w14:textId="77777777"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2895C" w14:textId="77777777"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C72C0" w14:textId="7937EE96" w:rsidR="00F616B3" w:rsidRPr="00847710" w:rsidRDefault="00F616B3" w:rsidP="009F003B">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1 875 000</w:t>
            </w:r>
          </w:p>
        </w:tc>
        <w:tc>
          <w:tcPr>
            <w:tcW w:w="1134" w:type="dxa"/>
            <w:tcBorders>
              <w:top w:val="single" w:sz="4" w:space="0" w:color="auto"/>
              <w:left w:val="single" w:sz="4" w:space="0" w:color="auto"/>
              <w:bottom w:val="single" w:sz="4" w:space="0" w:color="auto"/>
              <w:right w:val="single" w:sz="4" w:space="0" w:color="auto"/>
            </w:tcBorders>
            <w:vAlign w:val="bottom"/>
          </w:tcPr>
          <w:p w14:paraId="26BB11E8" w14:textId="77777777" w:rsidR="00F616B3" w:rsidRPr="00820900" w:rsidRDefault="00F616B3" w:rsidP="00820900">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w:t>
            </w:r>
          </w:p>
        </w:tc>
        <w:tc>
          <w:tcPr>
            <w:tcW w:w="988" w:type="dxa"/>
            <w:tcBorders>
              <w:top w:val="single" w:sz="4" w:space="0" w:color="auto"/>
              <w:left w:val="single" w:sz="4" w:space="0" w:color="auto"/>
              <w:bottom w:val="single" w:sz="4" w:space="0" w:color="auto"/>
              <w:right w:val="single" w:sz="4" w:space="0" w:color="auto"/>
            </w:tcBorders>
            <w:vAlign w:val="bottom"/>
          </w:tcPr>
          <w:p w14:paraId="71AAC92B" w14:textId="02C2C7DC" w:rsidR="00F616B3" w:rsidRPr="00820900" w:rsidRDefault="00F616B3" w:rsidP="00820900">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4794C" w14:textId="48E79BE5" w:rsidR="00F616B3" w:rsidRPr="00820900" w:rsidRDefault="00F616B3" w:rsidP="00820900">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75</w:t>
            </w:r>
          </w:p>
        </w:tc>
      </w:tr>
      <w:tr w:rsidR="00AB6A87" w:rsidRPr="00847710" w14:paraId="1498C9A9" w14:textId="77777777" w:rsidTr="00820900">
        <w:trPr>
          <w:trHeight w:val="189"/>
        </w:trPr>
        <w:tc>
          <w:tcPr>
            <w:tcW w:w="1554" w:type="dxa"/>
            <w:shd w:val="clear" w:color="auto" w:fill="FBD4B4" w:themeFill="accent6" w:themeFillTint="66"/>
            <w:noWrap/>
            <w:vAlign w:val="bottom"/>
            <w:hideMark/>
          </w:tcPr>
          <w:p w14:paraId="060045F0" w14:textId="77777777"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2274" w:type="dxa"/>
            <w:shd w:val="clear" w:color="auto" w:fill="FBD4B4" w:themeFill="accent6" w:themeFillTint="66"/>
            <w:noWrap/>
            <w:vAlign w:val="bottom"/>
            <w:hideMark/>
          </w:tcPr>
          <w:p w14:paraId="5387BC69" w14:textId="17F46F91"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25 000</w:t>
            </w:r>
          </w:p>
        </w:tc>
        <w:tc>
          <w:tcPr>
            <w:tcW w:w="992" w:type="dxa"/>
            <w:shd w:val="clear" w:color="auto" w:fill="FBD4B4" w:themeFill="accent6" w:themeFillTint="66"/>
            <w:noWrap/>
            <w:vAlign w:val="bottom"/>
            <w:hideMark/>
          </w:tcPr>
          <w:p w14:paraId="1953F924" w14:textId="77777777"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986" w:type="dxa"/>
            <w:shd w:val="clear" w:color="auto" w:fill="FBD4B4" w:themeFill="accent6" w:themeFillTint="66"/>
            <w:noWrap/>
            <w:vAlign w:val="bottom"/>
            <w:hideMark/>
          </w:tcPr>
          <w:p w14:paraId="45898A42" w14:textId="77777777" w:rsidR="00F616B3" w:rsidRPr="00847710" w:rsidRDefault="00F616B3" w:rsidP="009F003B">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w:t>
            </w:r>
          </w:p>
        </w:tc>
        <w:tc>
          <w:tcPr>
            <w:tcW w:w="1707" w:type="dxa"/>
            <w:shd w:val="clear" w:color="auto" w:fill="FBD4B4" w:themeFill="accent6" w:themeFillTint="66"/>
            <w:noWrap/>
            <w:vAlign w:val="bottom"/>
            <w:hideMark/>
          </w:tcPr>
          <w:p w14:paraId="4889D7F3" w14:textId="0A0C8A9A" w:rsidR="00F616B3" w:rsidRPr="00847710" w:rsidRDefault="00F616B3" w:rsidP="009F003B">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1 875 000</w:t>
            </w:r>
          </w:p>
        </w:tc>
        <w:tc>
          <w:tcPr>
            <w:tcW w:w="1134" w:type="dxa"/>
            <w:shd w:val="clear" w:color="auto" w:fill="FBD4B4" w:themeFill="accent6" w:themeFillTint="66"/>
            <w:vAlign w:val="bottom"/>
          </w:tcPr>
          <w:p w14:paraId="6B2E542D" w14:textId="77777777" w:rsidR="00F616B3" w:rsidRPr="00820900" w:rsidRDefault="00F616B3" w:rsidP="00820900">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hAnsi="Times New Roman" w:cs="Times New Roman"/>
                <w:sz w:val="20"/>
                <w:szCs w:val="20"/>
              </w:rPr>
              <w:t>-</w:t>
            </w:r>
          </w:p>
        </w:tc>
        <w:tc>
          <w:tcPr>
            <w:tcW w:w="988" w:type="dxa"/>
            <w:shd w:val="clear" w:color="auto" w:fill="FBD4B4" w:themeFill="accent6" w:themeFillTint="66"/>
            <w:vAlign w:val="bottom"/>
          </w:tcPr>
          <w:p w14:paraId="6B602673" w14:textId="79AB7E42" w:rsidR="00F616B3" w:rsidRPr="00820900" w:rsidRDefault="00F616B3" w:rsidP="00820900">
            <w:pPr>
              <w:spacing w:after="0" w:line="240" w:lineRule="auto"/>
              <w:jc w:val="center"/>
              <w:rPr>
                <w:rFonts w:ascii="Times New Roman" w:eastAsia="Times New Roman" w:hAnsi="Times New Roman" w:cs="Times New Roman"/>
                <w:b/>
                <w:bCs/>
                <w:color w:val="FF0000"/>
                <w:sz w:val="20"/>
                <w:szCs w:val="20"/>
                <w:lang w:eastAsia="lv-LV"/>
              </w:rPr>
            </w:pPr>
            <w:r w:rsidRPr="0012317D">
              <w:rPr>
                <w:rFonts w:ascii="Times New Roman" w:hAnsi="Times New Roman" w:cs="Times New Roman"/>
                <w:b/>
                <w:bCs/>
                <w:color w:val="FF0000"/>
                <w:sz w:val="20"/>
                <w:szCs w:val="20"/>
              </w:rPr>
              <w:t>-</w:t>
            </w:r>
          </w:p>
        </w:tc>
        <w:tc>
          <w:tcPr>
            <w:tcW w:w="1272" w:type="dxa"/>
            <w:shd w:val="clear" w:color="auto" w:fill="FBD4B4" w:themeFill="accent6" w:themeFillTint="66"/>
            <w:noWrap/>
            <w:vAlign w:val="bottom"/>
            <w:hideMark/>
          </w:tcPr>
          <w:p w14:paraId="62AFFD64" w14:textId="21341E27" w:rsidR="00F616B3" w:rsidRPr="00820900" w:rsidRDefault="00F616B3" w:rsidP="00820900">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75</w:t>
            </w:r>
          </w:p>
        </w:tc>
      </w:tr>
    </w:tbl>
    <w:p w14:paraId="6E1AA241" w14:textId="77777777" w:rsidR="00F616B3" w:rsidRPr="00847710" w:rsidRDefault="00F616B3" w:rsidP="00B44F27">
      <w:pPr>
        <w:spacing w:after="120"/>
        <w:ind w:firstLine="709"/>
        <w:jc w:val="both"/>
        <w:rPr>
          <w:rFonts w:ascii="Times New Roman" w:hAnsi="Times New Roman" w:cs="Times New Roman"/>
          <w:sz w:val="24"/>
          <w:szCs w:val="24"/>
        </w:rPr>
      </w:pPr>
    </w:p>
    <w:p w14:paraId="7311B306" w14:textId="1ED34A0F" w:rsidR="001A2493" w:rsidRPr="00847710" w:rsidRDefault="001A2493" w:rsidP="001A2493">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Lai gan zāļu kompensācijas sistēma piedāvā plašas izvēles iespējas asinsrites sistēmas slimību ārstēšanā, hroniska finansējuma trūkuma dēļ Latvijā šobrīd netiek izmantotas visas iespējas, kas spētu paildzināt pacientu mūžu, novēršot priekšlaicīgu nāvi no slimībām, kas ir ārstējamas. </w:t>
      </w:r>
    </w:p>
    <w:p w14:paraId="0D3C814A" w14:textId="6FBC8B53" w:rsidR="00847710" w:rsidRDefault="00E75503" w:rsidP="00F53F59">
      <w:pPr>
        <w:ind w:firstLine="709"/>
        <w:jc w:val="both"/>
        <w:rPr>
          <w:rFonts w:ascii="Times New Roman" w:hAnsi="Times New Roman" w:cs="Times New Roman"/>
          <w:i/>
          <w:sz w:val="24"/>
          <w:szCs w:val="24"/>
        </w:rPr>
      </w:pPr>
      <w:r w:rsidRPr="000A0A73">
        <w:rPr>
          <w:rFonts w:ascii="Times New Roman" w:hAnsi="Times New Roman" w:cs="Times New Roman"/>
          <w:sz w:val="24"/>
          <w:szCs w:val="24"/>
        </w:rPr>
        <w:t>Lai situāciju uzlabotu, paredzēts kompensējamo zāļu sarakstu papildināt ar jauniem medikamentiem. Tiks nodrošināta jaunu inovatīvu zāļu nodrošināšana sirds mazspējas, priekškambaru mirdzēšanas un plandīšanās pacientiem, uzlabota terapijas pieejamība pacientiem, kam pēc akūta koronāra sindroma veikta stentēšana, jaunu diagnožu iekļaušana- plaušu embolija, dziļo vēnu tromboze, kurās jauno zāļu savlaicīga lietošana novērš letālas komplikācijas</w:t>
      </w:r>
      <w:r w:rsidR="00A3319E" w:rsidRPr="00847710">
        <w:rPr>
          <w:rFonts w:ascii="Times New Roman" w:hAnsi="Times New Roman" w:cs="Times New Roman"/>
          <w:sz w:val="24"/>
          <w:szCs w:val="24"/>
        </w:rPr>
        <w:t xml:space="preserve">, kopumā 2018.gadā </w:t>
      </w:r>
      <w:r w:rsidR="00651ABF" w:rsidRPr="00847710">
        <w:rPr>
          <w:rFonts w:ascii="Times New Roman" w:hAnsi="Times New Roman" w:cs="Times New Roman"/>
          <w:sz w:val="24"/>
          <w:szCs w:val="24"/>
        </w:rPr>
        <w:t>tiem novirzot papildus 3 050 496 euro.</w:t>
      </w:r>
    </w:p>
    <w:p w14:paraId="45C5E940" w14:textId="3E8CAAE6" w:rsidR="00C737CC" w:rsidRPr="001855A8" w:rsidRDefault="00D95C8E" w:rsidP="001855A8">
      <w:pPr>
        <w:spacing w:after="120" w:line="240" w:lineRule="auto"/>
        <w:ind w:firstLine="709"/>
        <w:jc w:val="right"/>
        <w:rPr>
          <w:rFonts w:ascii="Times New Roman" w:hAnsi="Times New Roman" w:cs="Times New Roman"/>
          <w:i/>
          <w:iCs/>
          <w:sz w:val="24"/>
          <w:szCs w:val="24"/>
        </w:rPr>
      </w:pPr>
      <w:r w:rsidRPr="57326167">
        <w:rPr>
          <w:rFonts w:ascii="Times New Roman" w:hAnsi="Times New Roman" w:cs="Times New Roman"/>
          <w:i/>
          <w:iCs/>
          <w:sz w:val="24"/>
          <w:szCs w:val="24"/>
        </w:rPr>
        <w:t>3</w:t>
      </w:r>
      <w:r w:rsidR="00DE3C94">
        <w:rPr>
          <w:rFonts w:ascii="Times New Roman" w:hAnsi="Times New Roman" w:cs="Times New Roman"/>
          <w:i/>
          <w:iCs/>
          <w:sz w:val="24"/>
          <w:szCs w:val="24"/>
        </w:rPr>
        <w:t>6</w:t>
      </w:r>
      <w:r w:rsidR="00C737CC" w:rsidRPr="57326167">
        <w:rPr>
          <w:rFonts w:ascii="Times New Roman" w:hAnsi="Times New Roman" w:cs="Times New Roman"/>
          <w:i/>
          <w:iCs/>
          <w:sz w:val="24"/>
          <w:szCs w:val="24"/>
        </w:rPr>
        <w:t>.tabula</w:t>
      </w:r>
    </w:p>
    <w:p w14:paraId="54921E7B" w14:textId="6FA5B914" w:rsidR="00C737CC" w:rsidRPr="001855A8" w:rsidRDefault="00C737CC" w:rsidP="001855A8">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sz w:val="24"/>
          <w:szCs w:val="24"/>
        </w:rPr>
        <w:t>Zāļu kompensācija pacientiem diagnožu grupā “</w:t>
      </w:r>
      <w:r w:rsidR="00455E8B" w:rsidRPr="00901A9F">
        <w:rPr>
          <w:rFonts w:ascii="Times New Roman" w:hAnsi="Times New Roman" w:cs="Times New Roman"/>
          <w:b/>
          <w:bCs/>
          <w:sz w:val="24"/>
          <w:szCs w:val="24"/>
        </w:rPr>
        <w:t xml:space="preserve">Asinsrites </w:t>
      </w:r>
      <w:r w:rsidR="00455E8B" w:rsidRPr="0078794A">
        <w:rPr>
          <w:rFonts w:ascii="Times New Roman" w:hAnsi="Times New Roman" w:cs="Times New Roman"/>
          <w:b/>
          <w:bCs/>
          <w:sz w:val="24"/>
          <w:szCs w:val="24"/>
        </w:rPr>
        <w:t>sistēmas slimības</w:t>
      </w:r>
      <w:r w:rsidRPr="00BD7921">
        <w:rPr>
          <w:rFonts w:ascii="Times New Roman" w:hAnsi="Times New Roman" w:cs="Times New Roman"/>
          <w:b/>
          <w:bCs/>
          <w:sz w:val="24"/>
          <w:szCs w:val="24"/>
        </w:rPr>
        <w:t>”</w:t>
      </w:r>
    </w:p>
    <w:tbl>
      <w:tblPr>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38"/>
        <w:gridCol w:w="1134"/>
        <w:gridCol w:w="1559"/>
        <w:gridCol w:w="1559"/>
        <w:gridCol w:w="1285"/>
        <w:gridCol w:w="1272"/>
        <w:gridCol w:w="1272"/>
        <w:gridCol w:w="1272"/>
      </w:tblGrid>
      <w:tr w:rsidR="001855A8" w:rsidRPr="00847710" w14:paraId="6FF17029" w14:textId="77777777" w:rsidTr="57326167">
        <w:trPr>
          <w:cantSplit/>
          <w:trHeight w:val="1656"/>
        </w:trPr>
        <w:tc>
          <w:tcPr>
            <w:tcW w:w="426" w:type="dxa"/>
            <w:shd w:val="clear" w:color="auto" w:fill="E36C0A" w:themeFill="accent6" w:themeFillShade="BF"/>
            <w:vAlign w:val="center"/>
            <w:hideMark/>
          </w:tcPr>
          <w:p w14:paraId="04A8338C" w14:textId="77777777" w:rsidR="00C737CC" w:rsidRPr="00847710" w:rsidRDefault="00C737CC" w:rsidP="00E14FA6">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E36C0A" w:themeFill="accent6" w:themeFillShade="BF"/>
            <w:vAlign w:val="center"/>
            <w:hideMark/>
          </w:tcPr>
          <w:p w14:paraId="43CE33B0" w14:textId="77777777" w:rsidR="00C737CC" w:rsidRPr="00847710" w:rsidRDefault="00C737CC" w:rsidP="00E14FA6">
            <w:pPr>
              <w:spacing w:after="0" w:line="240" w:lineRule="auto"/>
              <w:rPr>
                <w:rFonts w:ascii="Times New Roman" w:eastAsia="Times New Roman" w:hAnsi="Times New Roman" w:cs="Times New Roman"/>
                <w:b/>
                <w:sz w:val="20"/>
                <w:szCs w:val="20"/>
                <w:lang w:eastAsia="lv-LV"/>
              </w:rPr>
            </w:pPr>
          </w:p>
        </w:tc>
        <w:tc>
          <w:tcPr>
            <w:tcW w:w="1134" w:type="dxa"/>
            <w:shd w:val="clear" w:color="auto" w:fill="E36C0A" w:themeFill="accent6" w:themeFillShade="BF"/>
            <w:textDirection w:val="btLr"/>
            <w:vAlign w:val="center"/>
            <w:hideMark/>
          </w:tcPr>
          <w:p w14:paraId="58A1B8C2" w14:textId="77777777" w:rsidR="00C737CC" w:rsidRPr="00847710" w:rsidRDefault="00C737CC"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4F39D1CD" w14:textId="77777777" w:rsidR="00C737CC" w:rsidRPr="00847710" w:rsidRDefault="00C737CC"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783291D1" w14:textId="77777777" w:rsidR="00C737CC" w:rsidRPr="00847710" w:rsidRDefault="00C737CC" w:rsidP="00E14FA6">
            <w:pPr>
              <w:spacing w:after="0" w:line="240" w:lineRule="auto"/>
              <w:ind w:left="113" w:right="113"/>
              <w:jc w:val="center"/>
              <w:rPr>
                <w:rFonts w:ascii="Times New Roman" w:eastAsia="Times New Roman" w:hAnsi="Times New Roman" w:cs="Times New Roman"/>
                <w:b/>
                <w:bCs/>
                <w:sz w:val="20"/>
                <w:szCs w:val="20"/>
                <w:lang w:eastAsia="lv-LV"/>
              </w:rPr>
            </w:pPr>
          </w:p>
        </w:tc>
        <w:tc>
          <w:tcPr>
            <w:tcW w:w="3118" w:type="dxa"/>
            <w:gridSpan w:val="2"/>
            <w:shd w:val="clear" w:color="auto" w:fill="E36C0A" w:themeFill="accent6" w:themeFillShade="BF"/>
            <w:textDirection w:val="btLr"/>
            <w:vAlign w:val="center"/>
            <w:hideMark/>
          </w:tcPr>
          <w:p w14:paraId="4710F1CA" w14:textId="77777777" w:rsidR="00C737CC" w:rsidRPr="00847710" w:rsidRDefault="00C737CC"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A" w:themeFill="accent6" w:themeFillShade="BF"/>
            <w:textDirection w:val="btLr"/>
            <w:vAlign w:val="center"/>
            <w:hideMark/>
          </w:tcPr>
          <w:p w14:paraId="7018BDC1" w14:textId="77777777" w:rsidR="00C737CC" w:rsidRPr="00847710" w:rsidRDefault="00C737CC"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A" w:themeFill="accent6" w:themeFillShade="BF"/>
            <w:textDirection w:val="btLr"/>
            <w:vAlign w:val="center"/>
          </w:tcPr>
          <w:p w14:paraId="00347A1F" w14:textId="097FB39C" w:rsidR="00C737CC" w:rsidRPr="00847710" w:rsidRDefault="00C737CC"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w:t>
            </w:r>
            <w:r w:rsidR="00DA4FC9" w:rsidRPr="00847710">
              <w:rPr>
                <w:rFonts w:ascii="Times New Roman" w:eastAsia="Times New Roman" w:hAnsi="Times New Roman" w:cs="Times New Roman"/>
                <w:b/>
                <w:bCs/>
                <w:sz w:val="20"/>
                <w:szCs w:val="20"/>
                <w:lang w:eastAsia="lv-LV"/>
              </w:rPr>
              <w:t>pacientu</w:t>
            </w:r>
            <w:r w:rsidRPr="00847710">
              <w:rPr>
                <w:rFonts w:ascii="Times New Roman" w:eastAsia="Times New Roman" w:hAnsi="Times New Roman" w:cs="Times New Roman"/>
                <w:b/>
                <w:bCs/>
                <w:sz w:val="20"/>
                <w:szCs w:val="20"/>
                <w:lang w:eastAsia="lv-LV"/>
              </w:rPr>
              <w:t xml:space="preserve"> skaits </w:t>
            </w:r>
          </w:p>
        </w:tc>
        <w:tc>
          <w:tcPr>
            <w:tcW w:w="1272" w:type="dxa"/>
            <w:shd w:val="clear" w:color="auto" w:fill="E36C0A" w:themeFill="accent6" w:themeFillShade="BF"/>
            <w:textDirection w:val="btLr"/>
            <w:vAlign w:val="center"/>
            <w:hideMark/>
          </w:tcPr>
          <w:p w14:paraId="783DA50A" w14:textId="77777777" w:rsidR="00C737CC" w:rsidRPr="00847710" w:rsidRDefault="00C737CC"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1855A8" w:rsidRPr="00847710" w14:paraId="56F92EFB" w14:textId="77777777" w:rsidTr="57326167">
        <w:trPr>
          <w:trHeight w:val="640"/>
        </w:trPr>
        <w:tc>
          <w:tcPr>
            <w:tcW w:w="426" w:type="dxa"/>
            <w:shd w:val="clear" w:color="auto" w:fill="FABF8F" w:themeFill="accent6" w:themeFillTint="99"/>
            <w:vAlign w:val="center"/>
          </w:tcPr>
          <w:p w14:paraId="1C68C2F7" w14:textId="77777777" w:rsidR="00C737CC" w:rsidRPr="00847710" w:rsidRDefault="00C737CC" w:rsidP="00E14FA6">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FABF8F" w:themeFill="accent6" w:themeFillTint="99"/>
            <w:vAlign w:val="center"/>
          </w:tcPr>
          <w:p w14:paraId="7A0C511F" w14:textId="77777777" w:rsidR="00C737CC" w:rsidRPr="00847710" w:rsidRDefault="00C737CC" w:rsidP="00E14FA6">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ABF8F" w:themeFill="accent6" w:themeFillTint="99"/>
            <w:vAlign w:val="center"/>
          </w:tcPr>
          <w:p w14:paraId="459118D5" w14:textId="77777777" w:rsidR="00C737CC" w:rsidRPr="00847710" w:rsidRDefault="00C737CC" w:rsidP="00E14FA6">
            <w:pPr>
              <w:spacing w:after="0" w:line="240" w:lineRule="auto"/>
              <w:jc w:val="center"/>
              <w:rPr>
                <w:rFonts w:ascii="Times New Roman" w:eastAsia="Times New Roman" w:hAnsi="Times New Roman" w:cs="Times New Roman"/>
                <w:i/>
                <w:iCs/>
                <w:sz w:val="20"/>
                <w:szCs w:val="20"/>
                <w:lang w:eastAsia="lv-LV"/>
              </w:rPr>
            </w:pPr>
          </w:p>
          <w:p w14:paraId="6A7285E8" w14:textId="77777777" w:rsidR="00C737CC" w:rsidRPr="00847710" w:rsidRDefault="00C737CC" w:rsidP="00E14FA6">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46881004" w14:textId="77777777" w:rsidR="00C737CC" w:rsidRPr="00847710" w:rsidRDefault="00C737CC" w:rsidP="00E14FA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p w14:paraId="6CDB3128" w14:textId="77777777" w:rsidR="00C737CC" w:rsidRPr="00847710" w:rsidRDefault="00C737CC" w:rsidP="00E14FA6">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2FF9C537" w14:textId="77777777" w:rsidR="00C737CC" w:rsidRPr="00847710" w:rsidRDefault="00C737CC" w:rsidP="00E14FA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14:paraId="1C0FA839" w14:textId="77777777" w:rsidR="00C737CC" w:rsidRPr="00847710" w:rsidRDefault="00C737CC" w:rsidP="00E14FA6">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BF8F" w:themeFill="accent6" w:themeFillTint="99"/>
            <w:vAlign w:val="center"/>
          </w:tcPr>
          <w:p w14:paraId="1FB552FF" w14:textId="77777777" w:rsidR="00C737CC" w:rsidRPr="00847710" w:rsidRDefault="00C737CC" w:rsidP="00E14FA6">
            <w:pPr>
              <w:spacing w:after="0" w:line="240" w:lineRule="auto"/>
              <w:jc w:val="center"/>
              <w:rPr>
                <w:rFonts w:ascii="Times New Roman" w:eastAsia="Times New Roman" w:hAnsi="Times New Roman" w:cs="Times New Roman"/>
                <w:bCs/>
                <w:i/>
                <w:iCs/>
                <w:sz w:val="20"/>
                <w:szCs w:val="20"/>
                <w:lang w:eastAsia="lv-LV"/>
              </w:rPr>
            </w:pPr>
          </w:p>
          <w:p w14:paraId="0A3DD4A3" w14:textId="77777777" w:rsidR="00C737CC" w:rsidRPr="001855A8" w:rsidRDefault="00C737CC" w:rsidP="001855A8">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BF8F" w:themeFill="accent6" w:themeFillTint="99"/>
            <w:vAlign w:val="center"/>
          </w:tcPr>
          <w:p w14:paraId="01131615" w14:textId="77777777" w:rsidR="00C737CC" w:rsidRPr="00847710" w:rsidRDefault="00C737CC" w:rsidP="00E14FA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2017</w:t>
            </w:r>
          </w:p>
        </w:tc>
        <w:tc>
          <w:tcPr>
            <w:tcW w:w="1272" w:type="dxa"/>
            <w:shd w:val="clear" w:color="auto" w:fill="FABF8F" w:themeFill="accent6" w:themeFillTint="99"/>
            <w:vAlign w:val="center"/>
          </w:tcPr>
          <w:p w14:paraId="5442E531" w14:textId="77777777" w:rsidR="00C737CC" w:rsidRPr="00847710" w:rsidRDefault="00C737CC" w:rsidP="00E14FA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c>
          <w:tcPr>
            <w:tcW w:w="1272" w:type="dxa"/>
            <w:shd w:val="clear" w:color="auto" w:fill="FABF8F" w:themeFill="accent6" w:themeFillTint="99"/>
            <w:vAlign w:val="center"/>
          </w:tcPr>
          <w:p w14:paraId="255F602C" w14:textId="77777777" w:rsidR="00C737CC" w:rsidRPr="00847710" w:rsidRDefault="00C737CC" w:rsidP="00E14FA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tc>
      </w:tr>
      <w:tr w:rsidR="000C3D0E" w:rsidRPr="00847710" w14:paraId="2F565E6F" w14:textId="77777777" w:rsidTr="57326167">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A2B51" w14:textId="77777777" w:rsidR="00C737CC" w:rsidRPr="00847710" w:rsidRDefault="00C737CC" w:rsidP="00E14FA6">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CA1E3" w14:textId="75022C5F" w:rsidR="00C737CC" w:rsidRPr="00847710" w:rsidRDefault="00C737CC" w:rsidP="00E14FA6">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Kompensējamos medikamentus saņēmušo pacientu un līdzekļu pieaugums </w:t>
            </w:r>
            <w:r w:rsidR="00455E8B" w:rsidRPr="00847710">
              <w:rPr>
                <w:rFonts w:ascii="Times New Roman" w:eastAsia="Times New Roman" w:hAnsi="Times New Roman" w:cs="Times New Roman"/>
                <w:sz w:val="20"/>
                <w:szCs w:val="20"/>
                <w:lang w:eastAsia="lv-LV"/>
              </w:rPr>
              <w:t xml:space="preserve">asinsrites sistēmas </w:t>
            </w:r>
            <w:r w:rsidR="009B20D0" w:rsidRPr="00847710">
              <w:rPr>
                <w:rFonts w:ascii="Times New Roman" w:eastAsia="Times New Roman" w:hAnsi="Times New Roman" w:cs="Times New Roman"/>
                <w:sz w:val="20"/>
                <w:szCs w:val="20"/>
                <w:lang w:eastAsia="lv-LV"/>
              </w:rPr>
              <w:t>slimību pacientiem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B44AC" w14:textId="3A40CB97" w:rsidR="00C737CC" w:rsidRPr="00847710" w:rsidRDefault="00341E53" w:rsidP="00E14FA6">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586</w:t>
            </w:r>
            <w:r w:rsidR="000C3D0E">
              <w:rPr>
                <w:rFonts w:ascii="Times New Roman" w:hAnsi="Times New Roman" w:cs="Times New Roman"/>
                <w:sz w:val="20"/>
                <w:szCs w:val="20"/>
              </w:rPr>
              <w:t>.</w:t>
            </w:r>
            <w:r>
              <w:rPr>
                <w:rFonts w:ascii="Times New Roman" w:hAnsi="Times New Roman" w:cs="Times New Roman"/>
                <w:sz w:val="20"/>
                <w:szCs w:val="20"/>
              </w:rPr>
              <w:t>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67810" w14:textId="58469863" w:rsidR="00C737CC" w:rsidRPr="00847710" w:rsidRDefault="001855A8" w:rsidP="00E14FA6">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8E822" w14:textId="41CDFFD7" w:rsidR="00C737CC" w:rsidRPr="00847710" w:rsidRDefault="001855A8" w:rsidP="00E14FA6">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56E3" w14:textId="69AB8BEA" w:rsidR="00C737CC" w:rsidRPr="00847710" w:rsidRDefault="00753C87" w:rsidP="00E14FA6">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 xml:space="preserve">3 050 </w:t>
            </w:r>
            <w:r w:rsidR="00013910" w:rsidRPr="00847710">
              <w:rPr>
                <w:rFonts w:ascii="Times New Roman" w:hAnsi="Times New Roman" w:cs="Times New Roman"/>
                <w:sz w:val="20"/>
                <w:szCs w:val="20"/>
              </w:rPr>
              <w:t>496</w:t>
            </w:r>
          </w:p>
        </w:tc>
        <w:tc>
          <w:tcPr>
            <w:tcW w:w="1272" w:type="dxa"/>
            <w:tcBorders>
              <w:top w:val="single" w:sz="4" w:space="0" w:color="auto"/>
              <w:left w:val="single" w:sz="4" w:space="0" w:color="auto"/>
              <w:bottom w:val="single" w:sz="4" w:space="0" w:color="auto"/>
              <w:right w:val="single" w:sz="4" w:space="0" w:color="auto"/>
            </w:tcBorders>
            <w:vAlign w:val="bottom"/>
          </w:tcPr>
          <w:p w14:paraId="54C82A17" w14:textId="560E9DBD" w:rsidR="00C737CC" w:rsidRPr="000C3D0E" w:rsidRDefault="000B4E81" w:rsidP="000C3D0E">
            <w:pPr>
              <w:spacing w:after="0" w:line="240" w:lineRule="auto"/>
              <w:jc w:val="center"/>
              <w:rPr>
                <w:rFonts w:ascii="Times New Roman" w:eastAsia="Times New Roman" w:hAnsi="Times New Roman" w:cs="Times New Roman"/>
                <w:b/>
                <w:bCs/>
                <w:color w:val="FF0000"/>
                <w:sz w:val="20"/>
                <w:szCs w:val="20"/>
                <w:lang w:eastAsia="lv-LV"/>
              </w:rPr>
            </w:pPr>
            <w:r>
              <w:rPr>
                <w:rFonts w:ascii="Times New Roman" w:hAnsi="Times New Roman" w:cs="Times New Roman"/>
                <w:sz w:val="20"/>
                <w:szCs w:val="20"/>
              </w:rPr>
              <w:t> </w:t>
            </w:r>
            <w:r w:rsidR="001855A8">
              <w:rPr>
                <w:rFonts w:ascii="Times New Roman" w:hAnsi="Times New Roman" w:cs="Times New Roman"/>
                <w:sz w:val="20"/>
                <w:szCs w:val="20"/>
              </w:rPr>
              <w:t>-</w:t>
            </w:r>
          </w:p>
        </w:tc>
        <w:tc>
          <w:tcPr>
            <w:tcW w:w="1272" w:type="dxa"/>
            <w:tcBorders>
              <w:top w:val="single" w:sz="4" w:space="0" w:color="auto"/>
              <w:left w:val="single" w:sz="4" w:space="0" w:color="auto"/>
              <w:bottom w:val="single" w:sz="4" w:space="0" w:color="auto"/>
              <w:right w:val="single" w:sz="4" w:space="0" w:color="auto"/>
            </w:tcBorders>
            <w:vAlign w:val="bottom"/>
          </w:tcPr>
          <w:p w14:paraId="1E039637" w14:textId="2781EC64" w:rsidR="00C737CC" w:rsidRPr="000C3D0E" w:rsidRDefault="001855A8" w:rsidP="000C3D0E">
            <w:pPr>
              <w:spacing w:after="0" w:line="240" w:lineRule="auto"/>
              <w:jc w:val="center"/>
              <w:rPr>
                <w:rFonts w:ascii="Times New Roman" w:eastAsia="Times New Roman" w:hAnsi="Times New Roman" w:cs="Times New Roman"/>
                <w:b/>
                <w:bCs/>
                <w:color w:val="FF0000"/>
                <w:sz w:val="20"/>
                <w:szCs w:val="20"/>
                <w:lang w:eastAsia="lv-LV"/>
              </w:rPr>
            </w:pPr>
            <w:r>
              <w:rPr>
                <w:rFonts w:ascii="Times New Roman" w:hAnsi="Times New Roman" w:cs="Times New Roman"/>
                <w:b/>
                <w:bCs/>
                <w:color w:val="FF0000"/>
                <w:sz w:val="20"/>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67800" w14:textId="7816CB2C" w:rsidR="00C737CC" w:rsidRPr="000C3D0E" w:rsidRDefault="001855A8" w:rsidP="000C3D0E">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5 205</w:t>
            </w:r>
          </w:p>
        </w:tc>
      </w:tr>
      <w:tr w:rsidR="001855A8" w:rsidRPr="00847710" w14:paraId="63226E51" w14:textId="77777777" w:rsidTr="57326167">
        <w:trPr>
          <w:trHeight w:val="189"/>
        </w:trPr>
        <w:tc>
          <w:tcPr>
            <w:tcW w:w="426" w:type="dxa"/>
            <w:shd w:val="clear" w:color="auto" w:fill="FBD4B4" w:themeFill="accent6" w:themeFillTint="66"/>
            <w:noWrap/>
            <w:vAlign w:val="bottom"/>
            <w:hideMark/>
          </w:tcPr>
          <w:p w14:paraId="1F719846" w14:textId="77777777" w:rsidR="001855A8" w:rsidRPr="00847710" w:rsidRDefault="001855A8" w:rsidP="001855A8">
            <w:pPr>
              <w:spacing w:after="0" w:line="240" w:lineRule="auto"/>
              <w:jc w:val="right"/>
              <w:rPr>
                <w:rFonts w:ascii="Times New Roman" w:eastAsia="Times New Roman" w:hAnsi="Times New Roman" w:cs="Times New Roman"/>
                <w:sz w:val="20"/>
                <w:szCs w:val="20"/>
                <w:lang w:eastAsia="lv-LV"/>
              </w:rPr>
            </w:pPr>
          </w:p>
        </w:tc>
        <w:tc>
          <w:tcPr>
            <w:tcW w:w="1838" w:type="dxa"/>
            <w:shd w:val="clear" w:color="auto" w:fill="FBD4B4" w:themeFill="accent6" w:themeFillTint="66"/>
            <w:noWrap/>
            <w:vAlign w:val="bottom"/>
            <w:hideMark/>
          </w:tcPr>
          <w:p w14:paraId="63EB8800" w14:textId="77777777" w:rsidR="001855A8" w:rsidRPr="00847710" w:rsidRDefault="001855A8" w:rsidP="001855A8">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hideMark/>
          </w:tcPr>
          <w:p w14:paraId="5DCD4848" w14:textId="595616D6" w:rsidR="001855A8" w:rsidRPr="00847710" w:rsidRDefault="001855A8" w:rsidP="001855A8">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586.07</w:t>
            </w:r>
          </w:p>
        </w:tc>
        <w:tc>
          <w:tcPr>
            <w:tcW w:w="1559" w:type="dxa"/>
            <w:shd w:val="clear" w:color="auto" w:fill="FBD4B4" w:themeFill="accent6" w:themeFillTint="66"/>
            <w:noWrap/>
            <w:vAlign w:val="bottom"/>
            <w:hideMark/>
          </w:tcPr>
          <w:p w14:paraId="275ADBA8" w14:textId="382FCB3B" w:rsidR="001855A8" w:rsidRPr="00847710" w:rsidRDefault="001855A8" w:rsidP="001855A8">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 -</w:t>
            </w:r>
          </w:p>
        </w:tc>
        <w:tc>
          <w:tcPr>
            <w:tcW w:w="1559" w:type="dxa"/>
            <w:shd w:val="clear" w:color="auto" w:fill="FBD4B4" w:themeFill="accent6" w:themeFillTint="66"/>
            <w:noWrap/>
            <w:vAlign w:val="bottom"/>
            <w:hideMark/>
          </w:tcPr>
          <w:p w14:paraId="63A98C47" w14:textId="4DC71B05" w:rsidR="001855A8" w:rsidRPr="00847710" w:rsidRDefault="001855A8" w:rsidP="001855A8">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 -</w:t>
            </w:r>
          </w:p>
        </w:tc>
        <w:tc>
          <w:tcPr>
            <w:tcW w:w="1285" w:type="dxa"/>
            <w:shd w:val="clear" w:color="auto" w:fill="FBD4B4" w:themeFill="accent6" w:themeFillTint="66"/>
            <w:noWrap/>
            <w:vAlign w:val="bottom"/>
            <w:hideMark/>
          </w:tcPr>
          <w:p w14:paraId="7A776E3C" w14:textId="299FCD10" w:rsidR="001855A8" w:rsidRPr="00847710" w:rsidRDefault="001855A8" w:rsidP="001855A8">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3 050 496</w:t>
            </w:r>
          </w:p>
        </w:tc>
        <w:tc>
          <w:tcPr>
            <w:tcW w:w="1272" w:type="dxa"/>
            <w:shd w:val="clear" w:color="auto" w:fill="FBD4B4" w:themeFill="accent6" w:themeFillTint="66"/>
            <w:vAlign w:val="bottom"/>
          </w:tcPr>
          <w:p w14:paraId="52CCE9F5" w14:textId="7215F389" w:rsidR="001855A8" w:rsidRPr="000C3D0E" w:rsidRDefault="001855A8" w:rsidP="000C3D0E">
            <w:pPr>
              <w:spacing w:after="0" w:line="240" w:lineRule="auto"/>
              <w:jc w:val="center"/>
              <w:rPr>
                <w:rFonts w:ascii="Times New Roman" w:eastAsia="Times New Roman" w:hAnsi="Times New Roman" w:cs="Times New Roman"/>
                <w:b/>
                <w:bCs/>
                <w:color w:val="FF0000"/>
                <w:sz w:val="20"/>
                <w:szCs w:val="20"/>
                <w:lang w:eastAsia="lv-LV"/>
              </w:rPr>
            </w:pPr>
            <w:r>
              <w:rPr>
                <w:rFonts w:ascii="Times New Roman" w:hAnsi="Times New Roman" w:cs="Times New Roman"/>
                <w:sz w:val="20"/>
                <w:szCs w:val="20"/>
              </w:rPr>
              <w:t> -</w:t>
            </w:r>
          </w:p>
        </w:tc>
        <w:tc>
          <w:tcPr>
            <w:tcW w:w="1272" w:type="dxa"/>
            <w:shd w:val="clear" w:color="auto" w:fill="FBD4B4" w:themeFill="accent6" w:themeFillTint="66"/>
            <w:vAlign w:val="bottom"/>
          </w:tcPr>
          <w:p w14:paraId="1A384714" w14:textId="1F1C3E4D" w:rsidR="001855A8" w:rsidRPr="000C3D0E" w:rsidRDefault="001855A8" w:rsidP="000C3D0E">
            <w:pPr>
              <w:spacing w:after="0" w:line="240" w:lineRule="auto"/>
              <w:jc w:val="center"/>
              <w:rPr>
                <w:rFonts w:ascii="Times New Roman" w:eastAsia="Times New Roman" w:hAnsi="Times New Roman" w:cs="Times New Roman"/>
                <w:b/>
                <w:bCs/>
                <w:color w:val="FF0000"/>
                <w:sz w:val="20"/>
                <w:szCs w:val="20"/>
                <w:lang w:eastAsia="lv-LV"/>
              </w:rPr>
            </w:pPr>
            <w:r>
              <w:rPr>
                <w:rFonts w:ascii="Times New Roman" w:hAnsi="Times New Roman" w:cs="Times New Roman"/>
                <w:b/>
                <w:bCs/>
                <w:color w:val="FF0000"/>
                <w:sz w:val="20"/>
                <w:szCs w:val="20"/>
              </w:rPr>
              <w:t> -</w:t>
            </w:r>
          </w:p>
        </w:tc>
        <w:tc>
          <w:tcPr>
            <w:tcW w:w="1272" w:type="dxa"/>
            <w:shd w:val="clear" w:color="auto" w:fill="FBD4B4" w:themeFill="accent6" w:themeFillTint="66"/>
            <w:noWrap/>
            <w:vAlign w:val="bottom"/>
            <w:hideMark/>
          </w:tcPr>
          <w:p w14:paraId="7C0B9364" w14:textId="2FA0D260" w:rsidR="001855A8" w:rsidRPr="000C3D0E" w:rsidRDefault="001855A8" w:rsidP="000C3D0E">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5 205</w:t>
            </w:r>
          </w:p>
        </w:tc>
      </w:tr>
    </w:tbl>
    <w:p w14:paraId="7CB5552C" w14:textId="490658A9" w:rsidR="00C737CC" w:rsidRPr="00847710" w:rsidRDefault="00C737CC" w:rsidP="001F3DF8">
      <w:pPr>
        <w:spacing w:after="1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89"/>
      </w:tblGrid>
      <w:tr w:rsidR="00EB4483" w:rsidRPr="00847710" w14:paraId="7F3F8E21" w14:textId="77777777" w:rsidTr="57326167">
        <w:tc>
          <w:tcPr>
            <w:tcW w:w="9089" w:type="dxa"/>
          </w:tcPr>
          <w:p w14:paraId="2909FD1A" w14:textId="025430A7" w:rsidR="00EB4483" w:rsidRPr="000C3D0E" w:rsidRDefault="00EB4483">
            <w:pPr>
              <w:ind w:firstLine="720"/>
              <w:jc w:val="both"/>
              <w:rPr>
                <w:rFonts w:ascii="Times New Roman" w:hAnsi="Times New Roman"/>
                <w:b/>
                <w:bCs/>
                <w:sz w:val="24"/>
                <w:szCs w:val="24"/>
                <w:lang w:eastAsia="lv-LV"/>
              </w:rPr>
            </w:pPr>
            <w:r w:rsidRPr="0012317D">
              <w:rPr>
                <w:rFonts w:ascii="Times New Roman" w:hAnsi="Times New Roman"/>
                <w:b/>
                <w:bCs/>
                <w:sz w:val="24"/>
                <w:szCs w:val="24"/>
              </w:rPr>
              <w:t xml:space="preserve">Reformas </w:t>
            </w:r>
            <w:r w:rsidRPr="00901A9F">
              <w:rPr>
                <w:rFonts w:ascii="Times New Roman" w:hAnsi="Times New Roman"/>
                <w:b/>
                <w:bCs/>
                <w:sz w:val="24"/>
                <w:szCs w:val="24"/>
              </w:rPr>
              <w:t>rezultāts: Uzlabota SAS pacientu diagnostika un aprūpe primārajā un terciārajā līmenī, kas nodrošina būtisku sabiedrības veselības rādītāju uzlabošanos un priekšlaicīgas mirstības samazināšanos.</w:t>
            </w:r>
          </w:p>
        </w:tc>
      </w:tr>
    </w:tbl>
    <w:p w14:paraId="61FE2050" w14:textId="1FA36AD0" w:rsidR="003D1B96" w:rsidRPr="000C3D0E" w:rsidRDefault="003D1B96" w:rsidP="000C3D0E">
      <w:pPr>
        <w:pStyle w:val="Heading1"/>
        <w:spacing w:after="200"/>
        <w:ind w:left="357"/>
        <w:jc w:val="center"/>
        <w:rPr>
          <w:rFonts w:ascii="Times New Roman" w:hAnsi="Times New Roman" w:cs="Times New Roman"/>
          <w:b/>
          <w:bCs/>
          <w:color w:val="auto"/>
          <w:sz w:val="28"/>
          <w:szCs w:val="28"/>
        </w:rPr>
      </w:pPr>
      <w:r w:rsidRPr="0012317D">
        <w:rPr>
          <w:rFonts w:ascii="Times New Roman" w:hAnsi="Times New Roman" w:cs="Times New Roman"/>
          <w:b/>
          <w:bCs/>
          <w:color w:val="auto"/>
          <w:sz w:val="28"/>
          <w:szCs w:val="28"/>
        </w:rPr>
        <w:t>Reformu īstenošanai nepieciešamā finansējuma kopsavilkums</w:t>
      </w:r>
    </w:p>
    <w:p w14:paraId="06E8BB83" w14:textId="63E33D78" w:rsidR="00621704" w:rsidRPr="000C3D0E" w:rsidRDefault="00644DB1">
      <w:pPr>
        <w:jc w:val="right"/>
        <w:rPr>
          <w:rFonts w:ascii="Times New Roman" w:hAnsi="Times New Roman" w:cs="Times New Roman"/>
          <w:i/>
          <w:iCs/>
          <w:sz w:val="24"/>
          <w:szCs w:val="24"/>
          <w:lang w:eastAsia="lv-LV"/>
        </w:rPr>
      </w:pPr>
      <w:r w:rsidRPr="57326167">
        <w:rPr>
          <w:rFonts w:ascii="Times New Roman" w:hAnsi="Times New Roman" w:cs="Times New Roman"/>
          <w:i/>
          <w:iCs/>
          <w:sz w:val="24"/>
          <w:szCs w:val="24"/>
          <w:lang w:eastAsia="lv-LV"/>
        </w:rPr>
        <w:t>3</w:t>
      </w:r>
      <w:r w:rsidR="00DE3C94">
        <w:rPr>
          <w:rFonts w:ascii="Times New Roman" w:hAnsi="Times New Roman" w:cs="Times New Roman"/>
          <w:i/>
          <w:iCs/>
          <w:sz w:val="24"/>
          <w:szCs w:val="24"/>
          <w:lang w:eastAsia="lv-LV"/>
        </w:rPr>
        <w:t>7</w:t>
      </w:r>
      <w:r w:rsidR="00621704" w:rsidRPr="57326167">
        <w:rPr>
          <w:rFonts w:ascii="Times New Roman" w:hAnsi="Times New Roman" w:cs="Times New Roman"/>
          <w:i/>
          <w:iCs/>
          <w:sz w:val="24"/>
          <w:szCs w:val="24"/>
          <w:lang w:eastAsia="lv-LV"/>
        </w:rPr>
        <w:t>.tabula</w:t>
      </w:r>
    </w:p>
    <w:p w14:paraId="296E4497" w14:textId="7A8871E0" w:rsidR="00621704" w:rsidRPr="000C3D0E" w:rsidRDefault="008707A5">
      <w:pPr>
        <w:jc w:val="center"/>
        <w:rPr>
          <w:rFonts w:ascii="Times New Roman" w:hAnsi="Times New Roman" w:cs="Times New Roman"/>
          <w:b/>
          <w:bCs/>
          <w:sz w:val="24"/>
          <w:szCs w:val="24"/>
          <w:lang w:eastAsia="lv-LV"/>
        </w:rPr>
      </w:pPr>
      <w:r w:rsidRPr="0012317D">
        <w:rPr>
          <w:rFonts w:ascii="Times New Roman" w:hAnsi="Times New Roman" w:cs="Times New Roman"/>
          <w:b/>
          <w:bCs/>
          <w:sz w:val="24"/>
          <w:szCs w:val="24"/>
          <w:lang w:eastAsia="lv-LV"/>
        </w:rPr>
        <w:t>Reformu īstenošanai nepieciešamais finansējums</w:t>
      </w:r>
    </w:p>
    <w:tbl>
      <w:tblPr>
        <w:tblW w:w="8400" w:type="dxa"/>
        <w:jc w:val="center"/>
        <w:tblLook w:val="04A0" w:firstRow="1" w:lastRow="0" w:firstColumn="1" w:lastColumn="0" w:noHBand="0" w:noVBand="1"/>
      </w:tblPr>
      <w:tblGrid>
        <w:gridCol w:w="5180"/>
        <w:gridCol w:w="1480"/>
        <w:gridCol w:w="1740"/>
      </w:tblGrid>
      <w:tr w:rsidR="008F1508" w:rsidRPr="00847710" w14:paraId="78E35A03" w14:textId="77777777" w:rsidTr="000C3D0E">
        <w:trPr>
          <w:trHeight w:val="600"/>
          <w:jc w:val="center"/>
        </w:trPr>
        <w:tc>
          <w:tcPr>
            <w:tcW w:w="518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5494AC08" w14:textId="70FAD82C" w:rsidR="008F1508" w:rsidRPr="00847710" w:rsidRDefault="008F1508" w:rsidP="00AB7C24">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Reformas pasākums</w:t>
            </w:r>
          </w:p>
        </w:tc>
        <w:tc>
          <w:tcPr>
            <w:tcW w:w="148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14:paraId="669894F5" w14:textId="77777777" w:rsidR="008F1508" w:rsidRPr="00847710" w:rsidRDefault="008F1508" w:rsidP="008F1508">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Finansējums, euro</w:t>
            </w:r>
          </w:p>
        </w:tc>
        <w:tc>
          <w:tcPr>
            <w:tcW w:w="174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14:paraId="069763FB" w14:textId="77777777" w:rsidR="008F1508" w:rsidRPr="00847710" w:rsidRDefault="008F1508" w:rsidP="008F1508">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Budžeta apakšprogramma</w:t>
            </w:r>
          </w:p>
        </w:tc>
      </w:tr>
      <w:tr w:rsidR="00F50D6C" w:rsidRPr="00847710" w14:paraId="2B8B55F7"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45013062" w14:textId="77777777" w:rsidR="00F50D6C" w:rsidRPr="00847710" w:rsidRDefault="00F50D6C" w:rsidP="00F50D6C">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1. Veselības aprūpes pakalpojumu pieejamība</w:t>
            </w:r>
          </w:p>
        </w:tc>
        <w:tc>
          <w:tcPr>
            <w:tcW w:w="1480" w:type="dxa"/>
            <w:tcBorders>
              <w:top w:val="nil"/>
              <w:left w:val="nil"/>
              <w:bottom w:val="single" w:sz="4" w:space="0" w:color="auto"/>
              <w:right w:val="single" w:sz="4" w:space="0" w:color="auto"/>
            </w:tcBorders>
            <w:shd w:val="clear" w:color="auto" w:fill="auto"/>
            <w:noWrap/>
            <w:vAlign w:val="bottom"/>
            <w:hideMark/>
          </w:tcPr>
          <w:p w14:paraId="59A9ECDA" w14:textId="2B5A801C" w:rsidR="00F50D6C" w:rsidRPr="00847710" w:rsidRDefault="00F50D6C" w:rsidP="00F50D6C">
            <w:pPr>
              <w:spacing w:after="0" w:line="240" w:lineRule="auto"/>
              <w:jc w:val="right"/>
              <w:rPr>
                <w:rFonts w:ascii="Times New Roman" w:eastAsia="Times New Roman" w:hAnsi="Times New Roman" w:cs="Times New Roman"/>
                <w:b/>
                <w:bCs/>
                <w:lang w:eastAsia="lv-LV"/>
              </w:rPr>
            </w:pPr>
            <w:r w:rsidRPr="00847710">
              <w:rPr>
                <w:rFonts w:ascii="Times New Roman" w:hAnsi="Times New Roman" w:cs="Times New Roman"/>
                <w:b/>
                <w:bCs/>
              </w:rPr>
              <w:t xml:space="preserve">46 </w:t>
            </w:r>
            <w:r w:rsidR="00C642B2" w:rsidRPr="00847710">
              <w:rPr>
                <w:rFonts w:ascii="Times New Roman" w:hAnsi="Times New Roman" w:cs="Times New Roman"/>
                <w:b/>
                <w:bCs/>
              </w:rPr>
              <w:t>073</w:t>
            </w:r>
            <w:r w:rsidRPr="00847710">
              <w:rPr>
                <w:rFonts w:ascii="Times New Roman" w:hAnsi="Times New Roman" w:cs="Times New Roman"/>
                <w:b/>
                <w:bCs/>
              </w:rPr>
              <w:t xml:space="preserve"> </w:t>
            </w:r>
            <w:r w:rsidR="00C642B2" w:rsidRPr="00847710">
              <w:rPr>
                <w:rFonts w:ascii="Times New Roman" w:hAnsi="Times New Roman" w:cs="Times New Roman"/>
                <w:b/>
                <w:bCs/>
              </w:rPr>
              <w:t>209</w:t>
            </w:r>
          </w:p>
        </w:tc>
        <w:tc>
          <w:tcPr>
            <w:tcW w:w="1740" w:type="dxa"/>
            <w:tcBorders>
              <w:top w:val="nil"/>
              <w:left w:val="nil"/>
              <w:bottom w:val="single" w:sz="4" w:space="0" w:color="auto"/>
              <w:right w:val="single" w:sz="4" w:space="0" w:color="auto"/>
            </w:tcBorders>
            <w:shd w:val="clear" w:color="auto" w:fill="auto"/>
            <w:noWrap/>
            <w:vAlign w:val="bottom"/>
            <w:hideMark/>
          </w:tcPr>
          <w:p w14:paraId="66F04B73" w14:textId="77777777" w:rsidR="00F50D6C" w:rsidRPr="00847710" w:rsidRDefault="00F50D6C" w:rsidP="00F50D6C">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 </w:t>
            </w:r>
          </w:p>
        </w:tc>
      </w:tr>
      <w:tr w:rsidR="00F50D6C" w:rsidRPr="00847710" w14:paraId="662F1A54"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1B6DC0BF" w14:textId="77777777" w:rsidR="00F50D6C" w:rsidRPr="00847710" w:rsidRDefault="00F50D6C" w:rsidP="00F50D6C">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Speciālistu konsultācijas</w:t>
            </w:r>
          </w:p>
        </w:tc>
        <w:tc>
          <w:tcPr>
            <w:tcW w:w="1480" w:type="dxa"/>
            <w:tcBorders>
              <w:top w:val="nil"/>
              <w:left w:val="nil"/>
              <w:bottom w:val="single" w:sz="4" w:space="0" w:color="auto"/>
              <w:right w:val="single" w:sz="4" w:space="0" w:color="auto"/>
            </w:tcBorders>
            <w:shd w:val="clear" w:color="auto" w:fill="auto"/>
            <w:noWrap/>
            <w:vAlign w:val="bottom"/>
            <w:hideMark/>
          </w:tcPr>
          <w:p w14:paraId="5C8814F6" w14:textId="45C47217"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5 425 824</w:t>
            </w:r>
          </w:p>
        </w:tc>
        <w:tc>
          <w:tcPr>
            <w:tcW w:w="1740" w:type="dxa"/>
            <w:tcBorders>
              <w:top w:val="nil"/>
              <w:left w:val="nil"/>
              <w:bottom w:val="single" w:sz="4" w:space="0" w:color="auto"/>
              <w:right w:val="single" w:sz="4" w:space="0" w:color="auto"/>
            </w:tcBorders>
            <w:shd w:val="clear" w:color="auto" w:fill="auto"/>
            <w:noWrap/>
            <w:vAlign w:val="bottom"/>
            <w:hideMark/>
          </w:tcPr>
          <w:p w14:paraId="6B98F655"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rsidR="00F50D6C" w:rsidRPr="00847710" w14:paraId="26D2C45B"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81207AB" w14:textId="77777777" w:rsidR="00F50D6C" w:rsidRPr="00847710" w:rsidRDefault="00F50D6C" w:rsidP="00F50D6C">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Ambulatorie izmeklējumi un terapija</w:t>
            </w:r>
          </w:p>
        </w:tc>
        <w:tc>
          <w:tcPr>
            <w:tcW w:w="1480" w:type="dxa"/>
            <w:tcBorders>
              <w:top w:val="nil"/>
              <w:left w:val="nil"/>
              <w:bottom w:val="single" w:sz="4" w:space="0" w:color="auto"/>
              <w:right w:val="single" w:sz="4" w:space="0" w:color="auto"/>
            </w:tcBorders>
            <w:shd w:val="clear" w:color="auto" w:fill="auto"/>
            <w:noWrap/>
            <w:vAlign w:val="bottom"/>
            <w:hideMark/>
          </w:tcPr>
          <w:p w14:paraId="26BD0E54" w14:textId="3B83CD3F"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12 698 580</w:t>
            </w:r>
          </w:p>
        </w:tc>
        <w:tc>
          <w:tcPr>
            <w:tcW w:w="1740" w:type="dxa"/>
            <w:tcBorders>
              <w:top w:val="nil"/>
              <w:left w:val="nil"/>
              <w:bottom w:val="single" w:sz="4" w:space="0" w:color="auto"/>
              <w:right w:val="single" w:sz="4" w:space="0" w:color="auto"/>
            </w:tcBorders>
            <w:shd w:val="clear" w:color="auto" w:fill="auto"/>
            <w:noWrap/>
            <w:vAlign w:val="bottom"/>
            <w:hideMark/>
          </w:tcPr>
          <w:p w14:paraId="3DDB72E0"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rsidR="00F50D6C" w:rsidRPr="00847710" w14:paraId="3D403794"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EC3ADBF" w14:textId="77777777" w:rsidR="00F50D6C" w:rsidRPr="00847710" w:rsidRDefault="00F50D6C" w:rsidP="00F50D6C">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Dienas stacionārā sniegtie pakalpojumi</w:t>
            </w:r>
          </w:p>
        </w:tc>
        <w:tc>
          <w:tcPr>
            <w:tcW w:w="1480" w:type="dxa"/>
            <w:tcBorders>
              <w:top w:val="nil"/>
              <w:left w:val="nil"/>
              <w:bottom w:val="single" w:sz="4" w:space="0" w:color="auto"/>
              <w:right w:val="single" w:sz="4" w:space="0" w:color="auto"/>
            </w:tcBorders>
            <w:shd w:val="clear" w:color="auto" w:fill="auto"/>
            <w:noWrap/>
            <w:vAlign w:val="bottom"/>
            <w:hideMark/>
          </w:tcPr>
          <w:p w14:paraId="33ED7EA9" w14:textId="3C99CDAD"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9 035 733</w:t>
            </w:r>
          </w:p>
        </w:tc>
        <w:tc>
          <w:tcPr>
            <w:tcW w:w="1740" w:type="dxa"/>
            <w:tcBorders>
              <w:top w:val="nil"/>
              <w:left w:val="nil"/>
              <w:bottom w:val="single" w:sz="4" w:space="0" w:color="auto"/>
              <w:right w:val="single" w:sz="4" w:space="0" w:color="auto"/>
            </w:tcBorders>
            <w:shd w:val="clear" w:color="auto" w:fill="auto"/>
            <w:noWrap/>
            <w:vAlign w:val="bottom"/>
            <w:hideMark/>
          </w:tcPr>
          <w:p w14:paraId="3920E00D"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rsidR="00F50D6C" w:rsidRPr="00847710" w14:paraId="1C024B81"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63A0EEF9" w14:textId="77777777" w:rsidR="00F50D6C" w:rsidRPr="00847710" w:rsidRDefault="00F50D6C" w:rsidP="00F50D6C">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Ambulatorā rehabilitācija</w:t>
            </w:r>
          </w:p>
        </w:tc>
        <w:tc>
          <w:tcPr>
            <w:tcW w:w="1480" w:type="dxa"/>
            <w:tcBorders>
              <w:top w:val="nil"/>
              <w:left w:val="nil"/>
              <w:bottom w:val="single" w:sz="4" w:space="0" w:color="auto"/>
              <w:right w:val="single" w:sz="4" w:space="0" w:color="auto"/>
            </w:tcBorders>
            <w:shd w:val="clear" w:color="auto" w:fill="auto"/>
            <w:noWrap/>
            <w:vAlign w:val="bottom"/>
            <w:hideMark/>
          </w:tcPr>
          <w:p w14:paraId="2FFCA7DD" w14:textId="4ADC35B7"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889 879</w:t>
            </w:r>
          </w:p>
        </w:tc>
        <w:tc>
          <w:tcPr>
            <w:tcW w:w="1740" w:type="dxa"/>
            <w:tcBorders>
              <w:top w:val="nil"/>
              <w:left w:val="nil"/>
              <w:bottom w:val="single" w:sz="4" w:space="0" w:color="auto"/>
              <w:right w:val="single" w:sz="4" w:space="0" w:color="auto"/>
            </w:tcBorders>
            <w:shd w:val="clear" w:color="auto" w:fill="auto"/>
            <w:noWrap/>
            <w:vAlign w:val="bottom"/>
            <w:hideMark/>
          </w:tcPr>
          <w:p w14:paraId="0AC0A839"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rsidR="00F50D6C" w:rsidRPr="00847710" w14:paraId="04683F46"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1F176191"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Diabēta apmācības kabinetu izveide</w:t>
            </w:r>
          </w:p>
        </w:tc>
        <w:tc>
          <w:tcPr>
            <w:tcW w:w="1480" w:type="dxa"/>
            <w:tcBorders>
              <w:top w:val="nil"/>
              <w:left w:val="nil"/>
              <w:bottom w:val="single" w:sz="4" w:space="0" w:color="auto"/>
              <w:right w:val="single" w:sz="4" w:space="0" w:color="auto"/>
            </w:tcBorders>
            <w:shd w:val="clear" w:color="auto" w:fill="auto"/>
            <w:noWrap/>
            <w:vAlign w:val="bottom"/>
            <w:hideMark/>
          </w:tcPr>
          <w:p w14:paraId="5F06B903" w14:textId="5AF985DF"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139 912</w:t>
            </w:r>
          </w:p>
        </w:tc>
        <w:tc>
          <w:tcPr>
            <w:tcW w:w="1740" w:type="dxa"/>
            <w:tcBorders>
              <w:top w:val="nil"/>
              <w:left w:val="nil"/>
              <w:bottom w:val="single" w:sz="4" w:space="0" w:color="auto"/>
              <w:right w:val="single" w:sz="4" w:space="0" w:color="auto"/>
            </w:tcBorders>
            <w:shd w:val="clear" w:color="auto" w:fill="auto"/>
            <w:noWrap/>
            <w:vAlign w:val="bottom"/>
            <w:hideMark/>
          </w:tcPr>
          <w:p w14:paraId="1FF490EB"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rsidR="00F50D6C" w:rsidRPr="00847710" w14:paraId="4FCB4BA1"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2E5000E0"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Endoprotezēšanas operācijas stacionārā</w:t>
            </w:r>
          </w:p>
        </w:tc>
        <w:tc>
          <w:tcPr>
            <w:tcW w:w="1480" w:type="dxa"/>
            <w:tcBorders>
              <w:top w:val="nil"/>
              <w:left w:val="nil"/>
              <w:bottom w:val="single" w:sz="4" w:space="0" w:color="auto"/>
              <w:right w:val="single" w:sz="4" w:space="0" w:color="auto"/>
            </w:tcBorders>
            <w:shd w:val="clear" w:color="auto" w:fill="auto"/>
            <w:noWrap/>
            <w:vAlign w:val="bottom"/>
            <w:hideMark/>
          </w:tcPr>
          <w:p w14:paraId="4E3E5DCD" w14:textId="38BBA30A"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2 614 685</w:t>
            </w:r>
          </w:p>
        </w:tc>
        <w:tc>
          <w:tcPr>
            <w:tcW w:w="1740" w:type="dxa"/>
            <w:tcBorders>
              <w:top w:val="nil"/>
              <w:left w:val="nil"/>
              <w:bottom w:val="single" w:sz="4" w:space="0" w:color="auto"/>
              <w:right w:val="single" w:sz="4" w:space="0" w:color="auto"/>
            </w:tcBorders>
            <w:shd w:val="clear" w:color="auto" w:fill="auto"/>
            <w:noWrap/>
            <w:vAlign w:val="bottom"/>
            <w:hideMark/>
          </w:tcPr>
          <w:p w14:paraId="49A165CD"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33.18.00</w:t>
            </w:r>
          </w:p>
        </w:tc>
      </w:tr>
      <w:tr w:rsidR="00F50D6C" w:rsidRPr="00847710" w14:paraId="7F18D4F7" w14:textId="77777777" w:rsidTr="000C3D0E">
        <w:trPr>
          <w:trHeight w:val="78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45213761"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Darbnespējas saīsināšana un pasākumi prognozējamās invaliditātes novēršanai ar mērķi novērst ilgstošu slimošanu personām darbspējīgā vecumā</w:t>
            </w:r>
          </w:p>
        </w:tc>
        <w:tc>
          <w:tcPr>
            <w:tcW w:w="1480" w:type="dxa"/>
            <w:tcBorders>
              <w:top w:val="nil"/>
              <w:left w:val="nil"/>
              <w:bottom w:val="single" w:sz="4" w:space="0" w:color="auto"/>
              <w:right w:val="single" w:sz="4" w:space="0" w:color="auto"/>
            </w:tcBorders>
            <w:shd w:val="clear" w:color="auto" w:fill="auto"/>
            <w:noWrap/>
            <w:vAlign w:val="bottom"/>
            <w:hideMark/>
          </w:tcPr>
          <w:p w14:paraId="2656608D" w14:textId="41D8F0BF"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2 563 917</w:t>
            </w:r>
          </w:p>
        </w:tc>
        <w:tc>
          <w:tcPr>
            <w:tcW w:w="1740" w:type="dxa"/>
            <w:tcBorders>
              <w:top w:val="nil"/>
              <w:left w:val="nil"/>
              <w:bottom w:val="single" w:sz="4" w:space="0" w:color="auto"/>
              <w:right w:val="single" w:sz="4" w:space="0" w:color="auto"/>
            </w:tcBorders>
            <w:shd w:val="clear" w:color="auto" w:fill="auto"/>
            <w:noWrap/>
            <w:vAlign w:val="bottom"/>
            <w:hideMark/>
          </w:tcPr>
          <w:p w14:paraId="5AC2D2AB"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33.18.00</w:t>
            </w:r>
          </w:p>
        </w:tc>
      </w:tr>
      <w:tr w:rsidR="00F50D6C" w:rsidRPr="00847710" w14:paraId="330C870F"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6AF08AE" w14:textId="267F3065"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Aknu transplantācija, t.sk.</w:t>
            </w:r>
          </w:p>
        </w:tc>
        <w:tc>
          <w:tcPr>
            <w:tcW w:w="1480" w:type="dxa"/>
            <w:tcBorders>
              <w:top w:val="nil"/>
              <w:left w:val="nil"/>
              <w:bottom w:val="single" w:sz="4" w:space="0" w:color="auto"/>
              <w:right w:val="single" w:sz="4" w:space="0" w:color="auto"/>
            </w:tcBorders>
            <w:shd w:val="clear" w:color="auto" w:fill="auto"/>
            <w:noWrap/>
            <w:vAlign w:val="bottom"/>
            <w:hideMark/>
          </w:tcPr>
          <w:p w14:paraId="33ECEC47" w14:textId="0F615392"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500 001</w:t>
            </w:r>
          </w:p>
        </w:tc>
        <w:tc>
          <w:tcPr>
            <w:tcW w:w="1740" w:type="dxa"/>
            <w:tcBorders>
              <w:top w:val="nil"/>
              <w:left w:val="nil"/>
              <w:bottom w:val="single" w:sz="4" w:space="0" w:color="auto"/>
              <w:right w:val="single" w:sz="4" w:space="0" w:color="auto"/>
            </w:tcBorders>
            <w:shd w:val="clear" w:color="auto" w:fill="auto"/>
            <w:noWrap/>
            <w:vAlign w:val="bottom"/>
            <w:hideMark/>
          </w:tcPr>
          <w:p w14:paraId="23313D61"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r>
      <w:tr w:rsidR="00F50D6C" w:rsidRPr="00847710" w14:paraId="0A56704F"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02A6159B" w14:textId="77777777"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Operācijas nodrošināšana stacionārā</w:t>
            </w:r>
          </w:p>
        </w:tc>
        <w:tc>
          <w:tcPr>
            <w:tcW w:w="1480" w:type="dxa"/>
            <w:tcBorders>
              <w:top w:val="nil"/>
              <w:left w:val="nil"/>
              <w:bottom w:val="single" w:sz="4" w:space="0" w:color="auto"/>
              <w:right w:val="single" w:sz="4" w:space="0" w:color="auto"/>
            </w:tcBorders>
            <w:shd w:val="clear" w:color="auto" w:fill="auto"/>
            <w:noWrap/>
            <w:vAlign w:val="bottom"/>
            <w:hideMark/>
          </w:tcPr>
          <w:p w14:paraId="389795E7" w14:textId="74ACB95D"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274 578</w:t>
            </w:r>
          </w:p>
        </w:tc>
        <w:tc>
          <w:tcPr>
            <w:tcW w:w="1740" w:type="dxa"/>
            <w:tcBorders>
              <w:top w:val="nil"/>
              <w:left w:val="nil"/>
              <w:bottom w:val="single" w:sz="4" w:space="0" w:color="auto"/>
              <w:right w:val="single" w:sz="4" w:space="0" w:color="auto"/>
            </w:tcBorders>
            <w:shd w:val="clear" w:color="auto" w:fill="auto"/>
            <w:noWrap/>
            <w:vAlign w:val="bottom"/>
            <w:hideMark/>
          </w:tcPr>
          <w:p w14:paraId="2A5E9A69"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33.18.00</w:t>
            </w:r>
          </w:p>
        </w:tc>
      </w:tr>
      <w:tr w:rsidR="00F50D6C" w:rsidRPr="00847710" w14:paraId="50A5DED4"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11F4916" w14:textId="2E8A583C"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Aknu transplantācijai nepi</w:t>
            </w:r>
            <w:r w:rsidR="00AC3C6A" w:rsidRPr="00847710">
              <w:rPr>
                <w:rFonts w:ascii="Times New Roman" w:eastAsia="Times New Roman" w:hAnsi="Times New Roman" w:cs="Times New Roman"/>
                <w:sz w:val="20"/>
                <w:szCs w:val="20"/>
                <w:lang w:eastAsia="lv-LV"/>
              </w:rPr>
              <w:t>e</w:t>
            </w:r>
            <w:r w:rsidRPr="00847710">
              <w:rPr>
                <w:rFonts w:ascii="Times New Roman" w:eastAsia="Times New Roman" w:hAnsi="Times New Roman" w:cs="Times New Roman"/>
                <w:sz w:val="20"/>
                <w:szCs w:val="20"/>
                <w:lang w:eastAsia="lv-LV"/>
              </w:rPr>
              <w:t>ciešamie izmeklējumi</w:t>
            </w:r>
          </w:p>
        </w:tc>
        <w:tc>
          <w:tcPr>
            <w:tcW w:w="1480" w:type="dxa"/>
            <w:tcBorders>
              <w:top w:val="nil"/>
              <w:left w:val="nil"/>
              <w:bottom w:val="single" w:sz="4" w:space="0" w:color="auto"/>
              <w:right w:val="single" w:sz="4" w:space="0" w:color="auto"/>
            </w:tcBorders>
            <w:shd w:val="clear" w:color="auto" w:fill="auto"/>
            <w:noWrap/>
            <w:vAlign w:val="bottom"/>
            <w:hideMark/>
          </w:tcPr>
          <w:p w14:paraId="1843A849" w14:textId="16B3FD2F"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148 052</w:t>
            </w:r>
          </w:p>
        </w:tc>
        <w:tc>
          <w:tcPr>
            <w:tcW w:w="1740" w:type="dxa"/>
            <w:tcBorders>
              <w:top w:val="nil"/>
              <w:left w:val="nil"/>
              <w:bottom w:val="single" w:sz="4" w:space="0" w:color="auto"/>
              <w:right w:val="single" w:sz="4" w:space="0" w:color="auto"/>
            </w:tcBorders>
            <w:shd w:val="clear" w:color="auto" w:fill="auto"/>
            <w:noWrap/>
            <w:vAlign w:val="bottom"/>
            <w:hideMark/>
          </w:tcPr>
          <w:p w14:paraId="769BC372"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rsidR="00F50D6C" w:rsidRPr="00847710" w14:paraId="2C6F9200"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066252F2" w14:textId="189DFED8"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Aknu transplantācijai nepi</w:t>
            </w:r>
            <w:r w:rsidR="00AC3C6A" w:rsidRPr="00847710">
              <w:rPr>
                <w:rFonts w:ascii="Times New Roman" w:eastAsia="Times New Roman" w:hAnsi="Times New Roman" w:cs="Times New Roman"/>
                <w:sz w:val="20"/>
                <w:szCs w:val="20"/>
                <w:lang w:eastAsia="lv-LV"/>
              </w:rPr>
              <w:t>e</w:t>
            </w:r>
            <w:r w:rsidRPr="00847710">
              <w:rPr>
                <w:rFonts w:ascii="Times New Roman" w:eastAsia="Times New Roman" w:hAnsi="Times New Roman" w:cs="Times New Roman"/>
                <w:sz w:val="20"/>
                <w:szCs w:val="20"/>
                <w:lang w:eastAsia="lv-LV"/>
              </w:rPr>
              <w:t>ciešamie medikamenti</w:t>
            </w:r>
          </w:p>
        </w:tc>
        <w:tc>
          <w:tcPr>
            <w:tcW w:w="1480" w:type="dxa"/>
            <w:tcBorders>
              <w:top w:val="nil"/>
              <w:left w:val="nil"/>
              <w:bottom w:val="single" w:sz="4" w:space="0" w:color="auto"/>
              <w:right w:val="single" w:sz="4" w:space="0" w:color="auto"/>
            </w:tcBorders>
            <w:shd w:val="clear" w:color="auto" w:fill="auto"/>
            <w:noWrap/>
            <w:vAlign w:val="bottom"/>
            <w:hideMark/>
          </w:tcPr>
          <w:p w14:paraId="0514BEEC" w14:textId="5782BF0F"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77 371</w:t>
            </w:r>
          </w:p>
        </w:tc>
        <w:tc>
          <w:tcPr>
            <w:tcW w:w="1740" w:type="dxa"/>
            <w:tcBorders>
              <w:top w:val="nil"/>
              <w:left w:val="nil"/>
              <w:bottom w:val="single" w:sz="4" w:space="0" w:color="auto"/>
              <w:right w:val="single" w:sz="4" w:space="0" w:color="auto"/>
            </w:tcBorders>
            <w:shd w:val="clear" w:color="auto" w:fill="auto"/>
            <w:noWrap/>
            <w:vAlign w:val="bottom"/>
            <w:hideMark/>
          </w:tcPr>
          <w:p w14:paraId="07ED0F45"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33.03.00</w:t>
            </w:r>
          </w:p>
        </w:tc>
      </w:tr>
      <w:tr w:rsidR="00F50D6C" w:rsidRPr="00847710" w14:paraId="534265EA" w14:textId="77777777" w:rsidTr="000C3D0E">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4F40CBDD"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Bioloģiskās terapijas nodrošināšana Krona slimībai, čūlainajam kolītam un psoriāzei</w:t>
            </w:r>
          </w:p>
        </w:tc>
        <w:tc>
          <w:tcPr>
            <w:tcW w:w="1480" w:type="dxa"/>
            <w:tcBorders>
              <w:top w:val="nil"/>
              <w:left w:val="nil"/>
              <w:bottom w:val="single" w:sz="4" w:space="0" w:color="auto"/>
              <w:right w:val="single" w:sz="4" w:space="0" w:color="auto"/>
            </w:tcBorders>
            <w:shd w:val="clear" w:color="auto" w:fill="auto"/>
            <w:noWrap/>
            <w:vAlign w:val="bottom"/>
            <w:hideMark/>
          </w:tcPr>
          <w:p w14:paraId="03D9AA2A" w14:textId="6AB2D787"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1 208 748</w:t>
            </w:r>
          </w:p>
        </w:tc>
        <w:tc>
          <w:tcPr>
            <w:tcW w:w="1740" w:type="dxa"/>
            <w:tcBorders>
              <w:top w:val="nil"/>
              <w:left w:val="nil"/>
              <w:bottom w:val="single" w:sz="4" w:space="0" w:color="auto"/>
              <w:right w:val="single" w:sz="4" w:space="0" w:color="auto"/>
            </w:tcBorders>
            <w:shd w:val="clear" w:color="auto" w:fill="auto"/>
            <w:noWrap/>
            <w:vAlign w:val="bottom"/>
            <w:hideMark/>
          </w:tcPr>
          <w:p w14:paraId="5061CEAB"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33.03.00</w:t>
            </w:r>
          </w:p>
        </w:tc>
      </w:tr>
      <w:tr w:rsidR="00F50D6C" w:rsidRPr="00847710" w14:paraId="677A0FA6"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54C9C26"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Hronisko pacientu aprūpes reforma</w:t>
            </w:r>
          </w:p>
        </w:tc>
        <w:tc>
          <w:tcPr>
            <w:tcW w:w="1480" w:type="dxa"/>
            <w:tcBorders>
              <w:top w:val="nil"/>
              <w:left w:val="nil"/>
              <w:bottom w:val="single" w:sz="4" w:space="0" w:color="auto"/>
              <w:right w:val="single" w:sz="4" w:space="0" w:color="auto"/>
            </w:tcBorders>
            <w:shd w:val="clear" w:color="auto" w:fill="auto"/>
            <w:noWrap/>
            <w:vAlign w:val="bottom"/>
            <w:hideMark/>
          </w:tcPr>
          <w:p w14:paraId="570F24FC" w14:textId="2FCB5E1A" w:rsidR="00F50D6C" w:rsidRPr="00847710" w:rsidRDefault="00C642B2"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10 995 930</w:t>
            </w:r>
          </w:p>
        </w:tc>
        <w:tc>
          <w:tcPr>
            <w:tcW w:w="1740" w:type="dxa"/>
            <w:tcBorders>
              <w:top w:val="nil"/>
              <w:left w:val="nil"/>
              <w:bottom w:val="single" w:sz="4" w:space="0" w:color="auto"/>
              <w:right w:val="single" w:sz="4" w:space="0" w:color="auto"/>
            </w:tcBorders>
            <w:shd w:val="clear" w:color="auto" w:fill="auto"/>
            <w:noWrap/>
            <w:vAlign w:val="bottom"/>
            <w:hideMark/>
          </w:tcPr>
          <w:p w14:paraId="7B0AC6D0"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33.18.00</w:t>
            </w:r>
          </w:p>
        </w:tc>
      </w:tr>
      <w:tr w:rsidR="00F50D6C" w:rsidRPr="00847710" w14:paraId="370FA0E6"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50B73755" w14:textId="77777777" w:rsidR="00F50D6C" w:rsidRPr="00847710" w:rsidRDefault="00F50D6C" w:rsidP="00F50D6C">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2.Onkoloģija</w:t>
            </w:r>
          </w:p>
        </w:tc>
        <w:tc>
          <w:tcPr>
            <w:tcW w:w="1480" w:type="dxa"/>
            <w:tcBorders>
              <w:top w:val="nil"/>
              <w:left w:val="nil"/>
              <w:bottom w:val="single" w:sz="4" w:space="0" w:color="auto"/>
              <w:right w:val="single" w:sz="4" w:space="0" w:color="auto"/>
            </w:tcBorders>
            <w:shd w:val="clear" w:color="auto" w:fill="auto"/>
            <w:noWrap/>
            <w:vAlign w:val="bottom"/>
            <w:hideMark/>
          </w:tcPr>
          <w:p w14:paraId="1FD2A487" w14:textId="6B5F8D94" w:rsidR="00F50D6C" w:rsidRPr="00847710" w:rsidRDefault="00781D6D" w:rsidP="00F50D6C">
            <w:pPr>
              <w:spacing w:after="0" w:line="240" w:lineRule="auto"/>
              <w:jc w:val="right"/>
              <w:rPr>
                <w:rFonts w:ascii="Times New Roman" w:eastAsia="Times New Roman" w:hAnsi="Times New Roman" w:cs="Times New Roman"/>
                <w:b/>
                <w:bCs/>
                <w:lang w:eastAsia="lv-LV"/>
              </w:rPr>
            </w:pPr>
            <w:r w:rsidRPr="00847710">
              <w:rPr>
                <w:rFonts w:ascii="Times New Roman" w:hAnsi="Times New Roman" w:cs="Times New Roman"/>
                <w:b/>
                <w:bCs/>
              </w:rPr>
              <w:t xml:space="preserve">29 </w:t>
            </w:r>
            <w:r w:rsidR="00F50D6C" w:rsidRPr="00847710">
              <w:rPr>
                <w:rFonts w:ascii="Times New Roman" w:hAnsi="Times New Roman" w:cs="Times New Roman"/>
                <w:b/>
                <w:bCs/>
              </w:rPr>
              <w:t xml:space="preserve">896 </w:t>
            </w:r>
            <w:r w:rsidR="008156D3" w:rsidRPr="00847710">
              <w:rPr>
                <w:rFonts w:ascii="Times New Roman" w:hAnsi="Times New Roman" w:cs="Times New Roman"/>
                <w:b/>
                <w:bCs/>
              </w:rPr>
              <w:t>59</w:t>
            </w:r>
            <w:r w:rsidR="008156D3">
              <w:rPr>
                <w:rFonts w:ascii="Times New Roman" w:hAnsi="Times New Roman" w:cs="Times New Roman"/>
                <w:b/>
                <w:bCs/>
              </w:rPr>
              <w:t>4</w:t>
            </w:r>
          </w:p>
        </w:tc>
        <w:tc>
          <w:tcPr>
            <w:tcW w:w="1740" w:type="dxa"/>
            <w:tcBorders>
              <w:top w:val="nil"/>
              <w:left w:val="nil"/>
              <w:bottom w:val="single" w:sz="4" w:space="0" w:color="auto"/>
              <w:right w:val="single" w:sz="4" w:space="0" w:color="auto"/>
            </w:tcBorders>
            <w:shd w:val="clear" w:color="auto" w:fill="auto"/>
            <w:noWrap/>
            <w:vAlign w:val="bottom"/>
            <w:hideMark/>
          </w:tcPr>
          <w:p w14:paraId="6EFE910D" w14:textId="77777777" w:rsidR="00F50D6C" w:rsidRPr="00847710" w:rsidRDefault="00F50D6C" w:rsidP="00F50D6C">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 </w:t>
            </w:r>
          </w:p>
        </w:tc>
      </w:tr>
      <w:tr w:rsidR="00F50D6C" w:rsidRPr="00847710" w14:paraId="5FBEE9B9" w14:textId="77777777" w:rsidTr="000C3D0E">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6D9C7716"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Onkoloģisko slimību primārās diagnostikas algoritmu ieviešana</w:t>
            </w:r>
          </w:p>
        </w:tc>
        <w:tc>
          <w:tcPr>
            <w:tcW w:w="1480" w:type="dxa"/>
            <w:tcBorders>
              <w:top w:val="nil"/>
              <w:left w:val="nil"/>
              <w:bottom w:val="single" w:sz="4" w:space="0" w:color="auto"/>
              <w:right w:val="single" w:sz="4" w:space="0" w:color="auto"/>
            </w:tcBorders>
            <w:shd w:val="clear" w:color="auto" w:fill="auto"/>
            <w:noWrap/>
            <w:vAlign w:val="bottom"/>
            <w:hideMark/>
          </w:tcPr>
          <w:p w14:paraId="26917789" w14:textId="6D3990F2"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1 499 520</w:t>
            </w:r>
          </w:p>
        </w:tc>
        <w:tc>
          <w:tcPr>
            <w:tcW w:w="1740" w:type="dxa"/>
            <w:tcBorders>
              <w:top w:val="nil"/>
              <w:left w:val="nil"/>
              <w:bottom w:val="single" w:sz="4" w:space="0" w:color="auto"/>
              <w:right w:val="single" w:sz="4" w:space="0" w:color="auto"/>
            </w:tcBorders>
            <w:shd w:val="clear" w:color="auto" w:fill="auto"/>
            <w:noWrap/>
            <w:vAlign w:val="bottom"/>
            <w:hideMark/>
          </w:tcPr>
          <w:p w14:paraId="35A39604"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rsidR="00F50D6C" w:rsidRPr="00847710" w14:paraId="57B781BC"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A1948FB"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Speciālistu konsultācijas atbilstoši noteiktiem algoritmiem</w:t>
            </w:r>
          </w:p>
        </w:tc>
        <w:tc>
          <w:tcPr>
            <w:tcW w:w="1480" w:type="dxa"/>
            <w:tcBorders>
              <w:top w:val="nil"/>
              <w:left w:val="nil"/>
              <w:bottom w:val="single" w:sz="4" w:space="0" w:color="auto"/>
              <w:right w:val="single" w:sz="4" w:space="0" w:color="auto"/>
            </w:tcBorders>
            <w:shd w:val="clear" w:color="auto" w:fill="auto"/>
            <w:noWrap/>
            <w:vAlign w:val="bottom"/>
            <w:hideMark/>
          </w:tcPr>
          <w:p w14:paraId="771198CD" w14:textId="7C63424C"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650 320</w:t>
            </w:r>
          </w:p>
        </w:tc>
        <w:tc>
          <w:tcPr>
            <w:tcW w:w="1740" w:type="dxa"/>
            <w:tcBorders>
              <w:top w:val="nil"/>
              <w:left w:val="nil"/>
              <w:bottom w:val="single" w:sz="4" w:space="0" w:color="auto"/>
              <w:right w:val="single" w:sz="4" w:space="0" w:color="auto"/>
            </w:tcBorders>
            <w:shd w:val="clear" w:color="auto" w:fill="auto"/>
            <w:noWrap/>
            <w:vAlign w:val="bottom"/>
            <w:hideMark/>
          </w:tcPr>
          <w:p w14:paraId="791FE595"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rsidR="00F50D6C" w:rsidRPr="00847710" w14:paraId="26114A96" w14:textId="77777777" w:rsidTr="000C3D0E">
        <w:trPr>
          <w:trHeight w:val="525"/>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F8E5D6" w14:textId="77777777" w:rsidR="00F50D6C" w:rsidRPr="00847710" w:rsidRDefault="00F50D6C" w:rsidP="00F50D6C">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Sekundārās diagnostikas un izmeklēšanas  algoritmu ieviešana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89602BC" w14:textId="3F437ED4"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2 332 540</w:t>
            </w:r>
          </w:p>
        </w:tc>
        <w:tc>
          <w:tcPr>
            <w:tcW w:w="1740" w:type="dxa"/>
            <w:tcBorders>
              <w:top w:val="nil"/>
              <w:left w:val="nil"/>
              <w:bottom w:val="single" w:sz="4" w:space="0" w:color="auto"/>
              <w:right w:val="single" w:sz="4" w:space="0" w:color="auto"/>
            </w:tcBorders>
            <w:shd w:val="clear" w:color="auto" w:fill="auto"/>
            <w:vAlign w:val="bottom"/>
            <w:hideMark/>
          </w:tcPr>
          <w:p w14:paraId="1DF39E6C"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rsidR="00A82849" w:rsidRPr="00847710" w14:paraId="5026FBE0" w14:textId="77777777" w:rsidTr="000C3D0E">
        <w:trPr>
          <w:trHeight w:val="300"/>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71C8F" w14:textId="557B9B14" w:rsidR="00A82849" w:rsidRPr="00847710" w:rsidRDefault="00A82849" w:rsidP="00A82849">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color w:val="000000"/>
                <w:sz w:val="20"/>
                <w:szCs w:val="20"/>
                <w:lang w:eastAsia="lv-LV"/>
              </w:rPr>
              <w:t>Onkoloģisko pacientu skaita un prognozētās ārstēšanas izmaksu pieaugums ambulatori</w:t>
            </w:r>
          </w:p>
        </w:tc>
        <w:tc>
          <w:tcPr>
            <w:tcW w:w="1480" w:type="dxa"/>
            <w:tcBorders>
              <w:top w:val="nil"/>
              <w:left w:val="nil"/>
              <w:bottom w:val="single" w:sz="4" w:space="0" w:color="auto"/>
              <w:right w:val="single" w:sz="4" w:space="0" w:color="auto"/>
            </w:tcBorders>
            <w:shd w:val="clear" w:color="auto" w:fill="auto"/>
            <w:noWrap/>
            <w:vAlign w:val="bottom"/>
            <w:hideMark/>
          </w:tcPr>
          <w:p w14:paraId="0EBF590B" w14:textId="19DE2E20" w:rsidR="00A82849" w:rsidRPr="00847710" w:rsidRDefault="00A82849" w:rsidP="00A82849">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1 177 895</w:t>
            </w:r>
          </w:p>
        </w:tc>
        <w:tc>
          <w:tcPr>
            <w:tcW w:w="1740" w:type="dxa"/>
            <w:tcBorders>
              <w:top w:val="nil"/>
              <w:left w:val="nil"/>
              <w:bottom w:val="single" w:sz="4" w:space="0" w:color="auto"/>
              <w:right w:val="single" w:sz="4" w:space="0" w:color="auto"/>
            </w:tcBorders>
            <w:shd w:val="clear" w:color="auto" w:fill="auto"/>
            <w:noWrap/>
            <w:vAlign w:val="bottom"/>
            <w:hideMark/>
          </w:tcPr>
          <w:p w14:paraId="5DC7AC39" w14:textId="77777777" w:rsidR="00A82849" w:rsidRPr="00847710" w:rsidRDefault="00A82849" w:rsidP="00A82849">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 33.16.00 </w:t>
            </w:r>
          </w:p>
        </w:tc>
      </w:tr>
      <w:tr w:rsidR="00A82849" w:rsidRPr="00847710" w14:paraId="7E67FBE3"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0299A562" w14:textId="4BF335B0" w:rsidR="00A82849" w:rsidRPr="00847710" w:rsidRDefault="00A82849" w:rsidP="00A82849">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color w:val="000000"/>
                <w:sz w:val="20"/>
                <w:szCs w:val="20"/>
                <w:lang w:eastAsia="lv-LV"/>
              </w:rPr>
              <w:t>Onkoloģisko pacientu skaita un prognozētās ārstēšanas izmaksu pieaugums stacionārā</w:t>
            </w:r>
          </w:p>
        </w:tc>
        <w:tc>
          <w:tcPr>
            <w:tcW w:w="1480" w:type="dxa"/>
            <w:tcBorders>
              <w:top w:val="nil"/>
              <w:left w:val="nil"/>
              <w:bottom w:val="single" w:sz="4" w:space="0" w:color="auto"/>
              <w:right w:val="single" w:sz="4" w:space="0" w:color="auto"/>
            </w:tcBorders>
            <w:shd w:val="clear" w:color="auto" w:fill="auto"/>
            <w:noWrap/>
            <w:vAlign w:val="bottom"/>
            <w:hideMark/>
          </w:tcPr>
          <w:p w14:paraId="5B6A4E62" w14:textId="32B0D7FD" w:rsidR="00A82849" w:rsidRPr="00847710" w:rsidRDefault="00A82849" w:rsidP="00A82849">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2 462 176</w:t>
            </w:r>
          </w:p>
        </w:tc>
        <w:tc>
          <w:tcPr>
            <w:tcW w:w="1740" w:type="dxa"/>
            <w:tcBorders>
              <w:top w:val="nil"/>
              <w:left w:val="nil"/>
              <w:bottom w:val="single" w:sz="4" w:space="0" w:color="auto"/>
              <w:right w:val="single" w:sz="4" w:space="0" w:color="auto"/>
            </w:tcBorders>
            <w:shd w:val="clear" w:color="auto" w:fill="auto"/>
            <w:noWrap/>
            <w:vAlign w:val="bottom"/>
            <w:hideMark/>
          </w:tcPr>
          <w:p w14:paraId="184DDEC5" w14:textId="77777777" w:rsidR="00A82849" w:rsidRPr="00847710" w:rsidRDefault="00A82849" w:rsidP="00A82849">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 33.18.00 </w:t>
            </w:r>
          </w:p>
        </w:tc>
      </w:tr>
      <w:tr w:rsidR="00F50D6C" w:rsidRPr="00847710" w14:paraId="72EC0280"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63728E0"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Medikamentu pieejamība onkoloģiskiem pacientiem</w:t>
            </w:r>
          </w:p>
        </w:tc>
        <w:tc>
          <w:tcPr>
            <w:tcW w:w="1480" w:type="dxa"/>
            <w:tcBorders>
              <w:top w:val="nil"/>
              <w:left w:val="nil"/>
              <w:bottom w:val="single" w:sz="4" w:space="0" w:color="auto"/>
              <w:right w:val="single" w:sz="4" w:space="0" w:color="auto"/>
            </w:tcBorders>
            <w:shd w:val="clear" w:color="auto" w:fill="auto"/>
            <w:noWrap/>
            <w:vAlign w:val="bottom"/>
            <w:hideMark/>
          </w:tcPr>
          <w:p w14:paraId="3D280B7E" w14:textId="2F48B45A" w:rsidR="00F50D6C" w:rsidRPr="00847710" w:rsidRDefault="00BF070D"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xml:space="preserve">11 </w:t>
            </w:r>
            <w:r w:rsidR="00F50D6C" w:rsidRPr="00847710">
              <w:rPr>
                <w:rFonts w:ascii="Times New Roman" w:hAnsi="Times New Roman" w:cs="Times New Roman"/>
                <w:sz w:val="20"/>
                <w:szCs w:val="20"/>
              </w:rPr>
              <w:t>208 139</w:t>
            </w:r>
          </w:p>
        </w:tc>
        <w:tc>
          <w:tcPr>
            <w:tcW w:w="1740" w:type="dxa"/>
            <w:tcBorders>
              <w:top w:val="nil"/>
              <w:left w:val="nil"/>
              <w:bottom w:val="single" w:sz="4" w:space="0" w:color="auto"/>
              <w:right w:val="single" w:sz="4" w:space="0" w:color="auto"/>
            </w:tcBorders>
            <w:shd w:val="clear" w:color="auto" w:fill="auto"/>
            <w:noWrap/>
            <w:vAlign w:val="bottom"/>
            <w:hideMark/>
          </w:tcPr>
          <w:p w14:paraId="444DACD3"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 33.03.00 </w:t>
            </w:r>
          </w:p>
        </w:tc>
      </w:tr>
      <w:tr w:rsidR="00F50D6C" w:rsidRPr="00847710" w14:paraId="46D95775"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6328DF42"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Pozitronu emisijas tomogrāfija/ datortomogrāfija</w:t>
            </w:r>
          </w:p>
        </w:tc>
        <w:tc>
          <w:tcPr>
            <w:tcW w:w="1480" w:type="dxa"/>
            <w:tcBorders>
              <w:top w:val="nil"/>
              <w:left w:val="nil"/>
              <w:bottom w:val="single" w:sz="4" w:space="0" w:color="auto"/>
              <w:right w:val="single" w:sz="4" w:space="0" w:color="auto"/>
            </w:tcBorders>
            <w:shd w:val="clear" w:color="auto" w:fill="auto"/>
            <w:noWrap/>
            <w:vAlign w:val="bottom"/>
            <w:hideMark/>
          </w:tcPr>
          <w:p w14:paraId="3209E36F" w14:textId="0156C930"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235 473</w:t>
            </w:r>
          </w:p>
        </w:tc>
        <w:tc>
          <w:tcPr>
            <w:tcW w:w="1740" w:type="dxa"/>
            <w:tcBorders>
              <w:top w:val="nil"/>
              <w:left w:val="nil"/>
              <w:bottom w:val="single" w:sz="4" w:space="0" w:color="auto"/>
              <w:right w:val="single" w:sz="4" w:space="0" w:color="auto"/>
            </w:tcBorders>
            <w:shd w:val="clear" w:color="auto" w:fill="auto"/>
            <w:noWrap/>
            <w:vAlign w:val="bottom"/>
            <w:hideMark/>
          </w:tcPr>
          <w:p w14:paraId="4066E7D9"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 33.16.00 </w:t>
            </w:r>
          </w:p>
        </w:tc>
      </w:tr>
      <w:tr w:rsidR="00F50D6C" w:rsidRPr="00847710" w14:paraId="53787404"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1AFD055D"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Staru terapijas un ķīmijterapijas efektivitātes uzlabošana</w:t>
            </w:r>
          </w:p>
        </w:tc>
        <w:tc>
          <w:tcPr>
            <w:tcW w:w="1480" w:type="dxa"/>
            <w:tcBorders>
              <w:top w:val="nil"/>
              <w:left w:val="nil"/>
              <w:bottom w:val="single" w:sz="4" w:space="0" w:color="auto"/>
              <w:right w:val="single" w:sz="4" w:space="0" w:color="auto"/>
            </w:tcBorders>
            <w:shd w:val="clear" w:color="auto" w:fill="auto"/>
            <w:noWrap/>
            <w:vAlign w:val="bottom"/>
            <w:hideMark/>
          </w:tcPr>
          <w:p w14:paraId="77C37CCD" w14:textId="7C997E5E"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8 974 871</w:t>
            </w:r>
          </w:p>
        </w:tc>
        <w:tc>
          <w:tcPr>
            <w:tcW w:w="1740" w:type="dxa"/>
            <w:tcBorders>
              <w:top w:val="nil"/>
              <w:left w:val="nil"/>
              <w:bottom w:val="single" w:sz="4" w:space="0" w:color="auto"/>
              <w:right w:val="single" w:sz="4" w:space="0" w:color="auto"/>
            </w:tcBorders>
            <w:shd w:val="clear" w:color="auto" w:fill="auto"/>
            <w:noWrap/>
            <w:vAlign w:val="bottom"/>
            <w:hideMark/>
          </w:tcPr>
          <w:p w14:paraId="2197B145"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33.18.00</w:t>
            </w:r>
          </w:p>
        </w:tc>
      </w:tr>
      <w:tr w:rsidR="00F50D6C" w:rsidRPr="00847710" w14:paraId="466C6466"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4F079006"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Valsts patoloģijas centra izveide</w:t>
            </w:r>
          </w:p>
        </w:tc>
        <w:tc>
          <w:tcPr>
            <w:tcW w:w="1480" w:type="dxa"/>
            <w:tcBorders>
              <w:top w:val="nil"/>
              <w:left w:val="nil"/>
              <w:bottom w:val="single" w:sz="4" w:space="0" w:color="auto"/>
              <w:right w:val="single" w:sz="4" w:space="0" w:color="auto"/>
            </w:tcBorders>
            <w:shd w:val="clear" w:color="auto" w:fill="auto"/>
            <w:noWrap/>
            <w:vAlign w:val="bottom"/>
            <w:hideMark/>
          </w:tcPr>
          <w:p w14:paraId="702D1676" w14:textId="0B5FBE88"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 xml:space="preserve">965 </w:t>
            </w:r>
            <w:r w:rsidR="008156D3" w:rsidRPr="00847710">
              <w:rPr>
                <w:rFonts w:ascii="Times New Roman" w:hAnsi="Times New Roman" w:cs="Times New Roman"/>
                <w:sz w:val="20"/>
                <w:szCs w:val="20"/>
              </w:rPr>
              <w:t>6</w:t>
            </w:r>
            <w:r w:rsidR="008156D3">
              <w:rPr>
                <w:rFonts w:ascii="Times New Roman" w:hAnsi="Times New Roman" w:cs="Times New Roman"/>
                <w:sz w:val="20"/>
                <w:szCs w:val="20"/>
              </w:rPr>
              <w:t>60</w:t>
            </w:r>
          </w:p>
        </w:tc>
        <w:tc>
          <w:tcPr>
            <w:tcW w:w="1740" w:type="dxa"/>
            <w:tcBorders>
              <w:top w:val="nil"/>
              <w:left w:val="nil"/>
              <w:bottom w:val="single" w:sz="4" w:space="0" w:color="auto"/>
              <w:right w:val="single" w:sz="4" w:space="0" w:color="auto"/>
            </w:tcBorders>
            <w:shd w:val="clear" w:color="auto" w:fill="auto"/>
            <w:noWrap/>
            <w:vAlign w:val="bottom"/>
            <w:hideMark/>
          </w:tcPr>
          <w:p w14:paraId="0CC3965F"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33.18.00</w:t>
            </w:r>
          </w:p>
        </w:tc>
      </w:tr>
      <w:tr w:rsidR="00F50D6C" w:rsidRPr="00847710" w14:paraId="64CF3604"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47546523"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Vēža skrīninga programmas reforma</w:t>
            </w:r>
          </w:p>
        </w:tc>
        <w:tc>
          <w:tcPr>
            <w:tcW w:w="1480" w:type="dxa"/>
            <w:tcBorders>
              <w:top w:val="nil"/>
              <w:left w:val="nil"/>
              <w:bottom w:val="single" w:sz="4" w:space="0" w:color="auto"/>
              <w:right w:val="single" w:sz="4" w:space="0" w:color="auto"/>
            </w:tcBorders>
            <w:shd w:val="clear" w:color="auto" w:fill="auto"/>
            <w:noWrap/>
            <w:vAlign w:val="bottom"/>
            <w:hideMark/>
          </w:tcPr>
          <w:p w14:paraId="0BB8BF84" w14:textId="64A9D504"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390 000</w:t>
            </w:r>
          </w:p>
        </w:tc>
        <w:tc>
          <w:tcPr>
            <w:tcW w:w="1740" w:type="dxa"/>
            <w:tcBorders>
              <w:top w:val="nil"/>
              <w:left w:val="nil"/>
              <w:bottom w:val="single" w:sz="4" w:space="0" w:color="auto"/>
              <w:right w:val="single" w:sz="4" w:space="0" w:color="auto"/>
            </w:tcBorders>
            <w:shd w:val="clear" w:color="auto" w:fill="auto"/>
            <w:noWrap/>
            <w:vAlign w:val="bottom"/>
            <w:hideMark/>
          </w:tcPr>
          <w:p w14:paraId="4997EF96"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33.14.00</w:t>
            </w:r>
          </w:p>
        </w:tc>
      </w:tr>
      <w:tr w:rsidR="00F50D6C" w:rsidRPr="00847710" w14:paraId="668E6249"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C582033" w14:textId="77777777" w:rsidR="00F50D6C" w:rsidRPr="00847710" w:rsidRDefault="00F50D6C" w:rsidP="00F50D6C">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3. Infekcijas slimību izplatības mazināšana</w:t>
            </w:r>
          </w:p>
        </w:tc>
        <w:tc>
          <w:tcPr>
            <w:tcW w:w="1480" w:type="dxa"/>
            <w:tcBorders>
              <w:top w:val="nil"/>
              <w:left w:val="nil"/>
              <w:bottom w:val="single" w:sz="4" w:space="0" w:color="auto"/>
              <w:right w:val="single" w:sz="4" w:space="0" w:color="auto"/>
            </w:tcBorders>
            <w:shd w:val="clear" w:color="auto" w:fill="auto"/>
            <w:noWrap/>
            <w:vAlign w:val="bottom"/>
            <w:hideMark/>
          </w:tcPr>
          <w:p w14:paraId="5BD8422E" w14:textId="3B50135F" w:rsidR="00F50D6C" w:rsidRPr="00847710" w:rsidRDefault="00F50D6C" w:rsidP="00F50D6C">
            <w:pPr>
              <w:spacing w:after="0" w:line="240" w:lineRule="auto"/>
              <w:jc w:val="right"/>
              <w:rPr>
                <w:rFonts w:ascii="Times New Roman" w:eastAsia="Times New Roman" w:hAnsi="Times New Roman" w:cs="Times New Roman"/>
                <w:b/>
                <w:bCs/>
                <w:lang w:eastAsia="lv-LV"/>
              </w:rPr>
            </w:pPr>
            <w:r w:rsidRPr="00847710">
              <w:rPr>
                <w:rFonts w:ascii="Times New Roman" w:hAnsi="Times New Roman" w:cs="Times New Roman"/>
                <w:b/>
                <w:bCs/>
              </w:rPr>
              <w:t>16 740 741</w:t>
            </w:r>
          </w:p>
        </w:tc>
        <w:tc>
          <w:tcPr>
            <w:tcW w:w="1740" w:type="dxa"/>
            <w:tcBorders>
              <w:top w:val="nil"/>
              <w:left w:val="nil"/>
              <w:bottom w:val="single" w:sz="4" w:space="0" w:color="auto"/>
              <w:right w:val="single" w:sz="4" w:space="0" w:color="auto"/>
            </w:tcBorders>
            <w:shd w:val="clear" w:color="auto" w:fill="auto"/>
            <w:noWrap/>
            <w:vAlign w:val="bottom"/>
            <w:hideMark/>
          </w:tcPr>
          <w:p w14:paraId="126FD015" w14:textId="77777777" w:rsidR="00F50D6C" w:rsidRPr="00847710" w:rsidRDefault="00F50D6C" w:rsidP="00F50D6C">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 </w:t>
            </w:r>
          </w:p>
        </w:tc>
      </w:tr>
      <w:tr w:rsidR="00F50D6C" w:rsidRPr="00847710" w14:paraId="049B2BE8"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F5D6E3F"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C vīrushepatīta terapijas nodrošināšana</w:t>
            </w:r>
          </w:p>
        </w:tc>
        <w:tc>
          <w:tcPr>
            <w:tcW w:w="1480" w:type="dxa"/>
            <w:tcBorders>
              <w:top w:val="nil"/>
              <w:left w:val="nil"/>
              <w:bottom w:val="single" w:sz="4" w:space="0" w:color="auto"/>
              <w:right w:val="single" w:sz="4" w:space="0" w:color="auto"/>
            </w:tcBorders>
            <w:shd w:val="clear" w:color="auto" w:fill="auto"/>
            <w:noWrap/>
            <w:vAlign w:val="bottom"/>
            <w:hideMark/>
          </w:tcPr>
          <w:p w14:paraId="3E5B5E06" w14:textId="75AA6418"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11 174 882</w:t>
            </w:r>
          </w:p>
        </w:tc>
        <w:tc>
          <w:tcPr>
            <w:tcW w:w="1740" w:type="dxa"/>
            <w:tcBorders>
              <w:top w:val="nil"/>
              <w:left w:val="nil"/>
              <w:bottom w:val="single" w:sz="4" w:space="0" w:color="auto"/>
              <w:right w:val="single" w:sz="4" w:space="0" w:color="auto"/>
            </w:tcBorders>
            <w:shd w:val="clear" w:color="auto" w:fill="auto"/>
            <w:noWrap/>
            <w:vAlign w:val="bottom"/>
            <w:hideMark/>
          </w:tcPr>
          <w:p w14:paraId="5232DED3"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33.03.00</w:t>
            </w:r>
          </w:p>
        </w:tc>
      </w:tr>
      <w:tr w:rsidR="00F50D6C" w:rsidRPr="00847710" w14:paraId="4D737C9D" w14:textId="77777777" w:rsidTr="000C3D0E">
        <w:trPr>
          <w:trHeight w:val="78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4FF0224C"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References laboratorijas izmeklējumi c hepatīta pacientu terapijas uzsākšanai un terapijas monitoringam saistībā ar pacientu skaita pieaugumu</w:t>
            </w:r>
          </w:p>
        </w:tc>
        <w:tc>
          <w:tcPr>
            <w:tcW w:w="1480" w:type="dxa"/>
            <w:tcBorders>
              <w:top w:val="nil"/>
              <w:left w:val="nil"/>
              <w:bottom w:val="single" w:sz="4" w:space="0" w:color="auto"/>
              <w:right w:val="single" w:sz="4" w:space="0" w:color="auto"/>
            </w:tcBorders>
            <w:shd w:val="clear" w:color="auto" w:fill="auto"/>
            <w:noWrap/>
            <w:vAlign w:val="bottom"/>
            <w:hideMark/>
          </w:tcPr>
          <w:p w14:paraId="4A608E3B" w14:textId="2DEA2C8B"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783 203</w:t>
            </w:r>
          </w:p>
        </w:tc>
        <w:tc>
          <w:tcPr>
            <w:tcW w:w="1740" w:type="dxa"/>
            <w:tcBorders>
              <w:top w:val="nil"/>
              <w:left w:val="nil"/>
              <w:bottom w:val="single" w:sz="4" w:space="0" w:color="auto"/>
              <w:right w:val="single" w:sz="4" w:space="0" w:color="auto"/>
            </w:tcBorders>
            <w:shd w:val="clear" w:color="auto" w:fill="auto"/>
            <w:noWrap/>
            <w:vAlign w:val="bottom"/>
            <w:hideMark/>
          </w:tcPr>
          <w:p w14:paraId="753D585A"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33.16.00</w:t>
            </w:r>
          </w:p>
        </w:tc>
      </w:tr>
      <w:tr w:rsidR="00F50D6C" w:rsidRPr="00847710" w14:paraId="20AE8FF6" w14:textId="77777777" w:rsidTr="000C3D0E">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6280800E"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Vīrusu molekulārās izmeklēšanas analītiskās jūtības rādītāju uzlabošana</w:t>
            </w:r>
          </w:p>
        </w:tc>
        <w:tc>
          <w:tcPr>
            <w:tcW w:w="1480" w:type="dxa"/>
            <w:tcBorders>
              <w:top w:val="nil"/>
              <w:left w:val="nil"/>
              <w:bottom w:val="single" w:sz="4" w:space="0" w:color="auto"/>
              <w:right w:val="single" w:sz="4" w:space="0" w:color="auto"/>
            </w:tcBorders>
            <w:shd w:val="clear" w:color="auto" w:fill="auto"/>
            <w:noWrap/>
            <w:vAlign w:val="bottom"/>
            <w:hideMark/>
          </w:tcPr>
          <w:p w14:paraId="76BD7DF0" w14:textId="3809E7DB"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579 656</w:t>
            </w:r>
          </w:p>
        </w:tc>
        <w:tc>
          <w:tcPr>
            <w:tcW w:w="1740" w:type="dxa"/>
            <w:tcBorders>
              <w:top w:val="nil"/>
              <w:left w:val="nil"/>
              <w:bottom w:val="single" w:sz="4" w:space="0" w:color="auto"/>
              <w:right w:val="single" w:sz="4" w:space="0" w:color="auto"/>
            </w:tcBorders>
            <w:shd w:val="clear" w:color="auto" w:fill="auto"/>
            <w:noWrap/>
            <w:vAlign w:val="bottom"/>
            <w:hideMark/>
          </w:tcPr>
          <w:p w14:paraId="5E954CC2"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39.03.00</w:t>
            </w:r>
          </w:p>
        </w:tc>
      </w:tr>
      <w:tr w:rsidR="00F50D6C" w:rsidRPr="00847710" w14:paraId="765FFF76"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63D58FE8"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HIV/AIDS medikamentozā ārstēšana</w:t>
            </w:r>
          </w:p>
        </w:tc>
        <w:tc>
          <w:tcPr>
            <w:tcW w:w="1480" w:type="dxa"/>
            <w:tcBorders>
              <w:top w:val="nil"/>
              <w:left w:val="nil"/>
              <w:bottom w:val="single" w:sz="4" w:space="0" w:color="auto"/>
              <w:right w:val="single" w:sz="4" w:space="0" w:color="auto"/>
            </w:tcBorders>
            <w:shd w:val="clear" w:color="auto" w:fill="auto"/>
            <w:noWrap/>
            <w:vAlign w:val="bottom"/>
            <w:hideMark/>
          </w:tcPr>
          <w:p w14:paraId="12FE9252" w14:textId="6ABFB4B7"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4 203 000</w:t>
            </w:r>
          </w:p>
        </w:tc>
        <w:tc>
          <w:tcPr>
            <w:tcW w:w="1740" w:type="dxa"/>
            <w:tcBorders>
              <w:top w:val="nil"/>
              <w:left w:val="nil"/>
              <w:bottom w:val="single" w:sz="4" w:space="0" w:color="auto"/>
              <w:right w:val="single" w:sz="4" w:space="0" w:color="auto"/>
            </w:tcBorders>
            <w:shd w:val="clear" w:color="auto" w:fill="auto"/>
            <w:noWrap/>
            <w:vAlign w:val="bottom"/>
            <w:hideMark/>
          </w:tcPr>
          <w:p w14:paraId="4B4021DD"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33.03.00</w:t>
            </w:r>
          </w:p>
        </w:tc>
      </w:tr>
      <w:tr w:rsidR="00F50D6C" w:rsidRPr="00847710" w14:paraId="26FF66BF"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5BD84C73" w14:textId="77777777" w:rsidR="00F50D6C" w:rsidRPr="00847710" w:rsidRDefault="00F50D6C" w:rsidP="00F50D6C">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4. Primārā veselības aprūpe</w:t>
            </w:r>
          </w:p>
        </w:tc>
        <w:tc>
          <w:tcPr>
            <w:tcW w:w="1480" w:type="dxa"/>
            <w:tcBorders>
              <w:top w:val="nil"/>
              <w:left w:val="nil"/>
              <w:bottom w:val="single" w:sz="4" w:space="0" w:color="auto"/>
              <w:right w:val="single" w:sz="4" w:space="0" w:color="auto"/>
            </w:tcBorders>
            <w:shd w:val="clear" w:color="auto" w:fill="auto"/>
            <w:noWrap/>
            <w:vAlign w:val="bottom"/>
            <w:hideMark/>
          </w:tcPr>
          <w:p w14:paraId="13F9B7EA" w14:textId="134E9D0A" w:rsidR="00F50D6C" w:rsidRPr="00847710" w:rsidRDefault="00F50D6C" w:rsidP="00F50D6C">
            <w:pPr>
              <w:spacing w:after="0" w:line="240" w:lineRule="auto"/>
              <w:jc w:val="right"/>
              <w:rPr>
                <w:rFonts w:ascii="Times New Roman" w:eastAsia="Times New Roman" w:hAnsi="Times New Roman" w:cs="Times New Roman"/>
                <w:b/>
                <w:bCs/>
                <w:lang w:eastAsia="lv-LV"/>
              </w:rPr>
            </w:pPr>
            <w:r w:rsidRPr="00847710">
              <w:rPr>
                <w:rFonts w:ascii="Times New Roman" w:hAnsi="Times New Roman" w:cs="Times New Roman"/>
                <w:b/>
                <w:bCs/>
              </w:rPr>
              <w:t>9 6</w:t>
            </w:r>
            <w:r w:rsidR="00C642B2" w:rsidRPr="00847710">
              <w:rPr>
                <w:rFonts w:ascii="Times New Roman" w:hAnsi="Times New Roman" w:cs="Times New Roman"/>
                <w:b/>
                <w:bCs/>
              </w:rPr>
              <w:t>64</w:t>
            </w:r>
            <w:r w:rsidRPr="00847710">
              <w:rPr>
                <w:rFonts w:ascii="Times New Roman" w:hAnsi="Times New Roman" w:cs="Times New Roman"/>
                <w:b/>
                <w:bCs/>
              </w:rPr>
              <w:t xml:space="preserve"> </w:t>
            </w:r>
            <w:r w:rsidR="00C642B2" w:rsidRPr="00847710">
              <w:rPr>
                <w:rFonts w:ascii="Times New Roman" w:hAnsi="Times New Roman" w:cs="Times New Roman"/>
                <w:b/>
                <w:bCs/>
              </w:rPr>
              <w:t>036</w:t>
            </w:r>
          </w:p>
        </w:tc>
        <w:tc>
          <w:tcPr>
            <w:tcW w:w="1740" w:type="dxa"/>
            <w:tcBorders>
              <w:top w:val="nil"/>
              <w:left w:val="nil"/>
              <w:bottom w:val="single" w:sz="4" w:space="0" w:color="auto"/>
              <w:right w:val="single" w:sz="4" w:space="0" w:color="auto"/>
            </w:tcBorders>
            <w:shd w:val="clear" w:color="auto" w:fill="auto"/>
            <w:noWrap/>
            <w:vAlign w:val="bottom"/>
            <w:hideMark/>
          </w:tcPr>
          <w:p w14:paraId="6E114134"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r>
      <w:tr w:rsidR="00F50D6C" w:rsidRPr="00847710" w14:paraId="14B71DDB"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2F1574CB"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Mērķa kritēriju izpildes iekļaušana kapitācijas naudā</w:t>
            </w:r>
          </w:p>
        </w:tc>
        <w:tc>
          <w:tcPr>
            <w:tcW w:w="1480" w:type="dxa"/>
            <w:tcBorders>
              <w:top w:val="nil"/>
              <w:left w:val="nil"/>
              <w:bottom w:val="single" w:sz="4" w:space="0" w:color="auto"/>
              <w:right w:val="single" w:sz="4" w:space="0" w:color="auto"/>
            </w:tcBorders>
            <w:shd w:val="clear" w:color="auto" w:fill="auto"/>
            <w:noWrap/>
            <w:vAlign w:val="bottom"/>
            <w:hideMark/>
          </w:tcPr>
          <w:p w14:paraId="652E6D8E" w14:textId="45C3FFE3"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3 131 715</w:t>
            </w:r>
          </w:p>
        </w:tc>
        <w:tc>
          <w:tcPr>
            <w:tcW w:w="1740" w:type="dxa"/>
            <w:tcBorders>
              <w:top w:val="nil"/>
              <w:left w:val="nil"/>
              <w:bottom w:val="single" w:sz="4" w:space="0" w:color="auto"/>
              <w:right w:val="single" w:sz="4" w:space="0" w:color="auto"/>
            </w:tcBorders>
            <w:shd w:val="clear" w:color="auto" w:fill="auto"/>
            <w:noWrap/>
            <w:vAlign w:val="bottom"/>
            <w:hideMark/>
          </w:tcPr>
          <w:p w14:paraId="412DCA4F"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33.14.00</w:t>
            </w:r>
          </w:p>
        </w:tc>
      </w:tr>
      <w:tr w:rsidR="00F50D6C" w:rsidRPr="00847710" w14:paraId="215F0015"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50011647"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Ģimenes ārstu kvalitātes maksājumu sistēmas reforma</w:t>
            </w:r>
          </w:p>
        </w:tc>
        <w:tc>
          <w:tcPr>
            <w:tcW w:w="1480" w:type="dxa"/>
            <w:tcBorders>
              <w:top w:val="nil"/>
              <w:left w:val="nil"/>
              <w:bottom w:val="single" w:sz="4" w:space="0" w:color="auto"/>
              <w:right w:val="single" w:sz="4" w:space="0" w:color="auto"/>
            </w:tcBorders>
            <w:shd w:val="clear" w:color="auto" w:fill="auto"/>
            <w:noWrap/>
            <w:vAlign w:val="bottom"/>
            <w:hideMark/>
          </w:tcPr>
          <w:p w14:paraId="54C072B7" w14:textId="2A64A894"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2 797 022</w:t>
            </w:r>
          </w:p>
        </w:tc>
        <w:tc>
          <w:tcPr>
            <w:tcW w:w="1740" w:type="dxa"/>
            <w:tcBorders>
              <w:top w:val="nil"/>
              <w:left w:val="nil"/>
              <w:bottom w:val="single" w:sz="4" w:space="0" w:color="auto"/>
              <w:right w:val="single" w:sz="4" w:space="0" w:color="auto"/>
            </w:tcBorders>
            <w:shd w:val="clear" w:color="auto" w:fill="auto"/>
            <w:noWrap/>
            <w:vAlign w:val="bottom"/>
            <w:hideMark/>
          </w:tcPr>
          <w:p w14:paraId="75FDB6E9" w14:textId="3F6BE29B"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w:t>
            </w:r>
            <w:r w:rsidR="00383845" w:rsidRPr="00847710">
              <w:rPr>
                <w:rFonts w:ascii="Times New Roman" w:eastAsia="Times New Roman" w:hAnsi="Times New Roman" w:cs="Times New Roman"/>
                <w:sz w:val="20"/>
                <w:szCs w:val="20"/>
                <w:lang w:eastAsia="lv-LV"/>
              </w:rPr>
              <w:t>1</w:t>
            </w:r>
            <w:r w:rsidR="00383845">
              <w:rPr>
                <w:rFonts w:ascii="Times New Roman" w:eastAsia="Times New Roman" w:hAnsi="Times New Roman" w:cs="Times New Roman"/>
                <w:sz w:val="20"/>
                <w:szCs w:val="20"/>
                <w:lang w:eastAsia="lv-LV"/>
              </w:rPr>
              <w:t>6</w:t>
            </w:r>
            <w:r w:rsidRPr="00847710">
              <w:rPr>
                <w:rFonts w:ascii="Times New Roman" w:eastAsia="Times New Roman" w:hAnsi="Times New Roman" w:cs="Times New Roman"/>
                <w:sz w:val="20"/>
                <w:szCs w:val="20"/>
                <w:lang w:eastAsia="lv-LV"/>
              </w:rPr>
              <w:t>.00</w:t>
            </w:r>
          </w:p>
        </w:tc>
      </w:tr>
      <w:tr w:rsidR="00F50D6C" w:rsidRPr="00847710" w14:paraId="7A300916"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5492EDC9" w14:textId="150F3641"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Bērnu zobārstniecības tarifu pārskatīšana, t.sk.</w:t>
            </w:r>
          </w:p>
        </w:tc>
        <w:tc>
          <w:tcPr>
            <w:tcW w:w="1480" w:type="dxa"/>
            <w:tcBorders>
              <w:top w:val="nil"/>
              <w:left w:val="nil"/>
              <w:bottom w:val="single" w:sz="4" w:space="0" w:color="auto"/>
              <w:right w:val="single" w:sz="4" w:space="0" w:color="auto"/>
            </w:tcBorders>
            <w:shd w:val="clear" w:color="auto" w:fill="auto"/>
            <w:noWrap/>
            <w:vAlign w:val="bottom"/>
            <w:hideMark/>
          </w:tcPr>
          <w:p w14:paraId="23B90ECA" w14:textId="3998F7CF"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3 7</w:t>
            </w:r>
            <w:r w:rsidR="00C642B2" w:rsidRPr="00847710">
              <w:rPr>
                <w:rFonts w:ascii="Times New Roman" w:hAnsi="Times New Roman" w:cs="Times New Roman"/>
                <w:sz w:val="20"/>
                <w:szCs w:val="20"/>
              </w:rPr>
              <w:t>35</w:t>
            </w:r>
            <w:r w:rsidRPr="00847710">
              <w:rPr>
                <w:rFonts w:ascii="Times New Roman" w:hAnsi="Times New Roman" w:cs="Times New Roman"/>
                <w:sz w:val="20"/>
                <w:szCs w:val="20"/>
              </w:rPr>
              <w:t xml:space="preserve"> </w:t>
            </w:r>
            <w:r w:rsidR="00C642B2" w:rsidRPr="00847710">
              <w:rPr>
                <w:rFonts w:ascii="Times New Roman" w:hAnsi="Times New Roman" w:cs="Times New Roman"/>
                <w:sz w:val="20"/>
                <w:szCs w:val="20"/>
              </w:rPr>
              <w:t>299</w:t>
            </w:r>
          </w:p>
        </w:tc>
        <w:tc>
          <w:tcPr>
            <w:tcW w:w="1740" w:type="dxa"/>
            <w:tcBorders>
              <w:top w:val="nil"/>
              <w:left w:val="nil"/>
              <w:bottom w:val="single" w:sz="4" w:space="0" w:color="auto"/>
              <w:right w:val="single" w:sz="4" w:space="0" w:color="auto"/>
            </w:tcBorders>
            <w:shd w:val="clear" w:color="auto" w:fill="auto"/>
            <w:noWrap/>
            <w:vAlign w:val="bottom"/>
            <w:hideMark/>
          </w:tcPr>
          <w:p w14:paraId="0D791BE6"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r>
      <w:tr w:rsidR="00F50D6C" w:rsidRPr="00847710" w14:paraId="56A82A70"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1FD99C96" w14:textId="77777777"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Tarifa pieaugums</w:t>
            </w:r>
          </w:p>
        </w:tc>
        <w:tc>
          <w:tcPr>
            <w:tcW w:w="1480" w:type="dxa"/>
            <w:tcBorders>
              <w:top w:val="nil"/>
              <w:left w:val="nil"/>
              <w:bottom w:val="single" w:sz="4" w:space="0" w:color="auto"/>
              <w:right w:val="single" w:sz="4" w:space="0" w:color="auto"/>
            </w:tcBorders>
            <w:shd w:val="clear" w:color="auto" w:fill="auto"/>
            <w:noWrap/>
            <w:vAlign w:val="bottom"/>
            <w:hideMark/>
          </w:tcPr>
          <w:p w14:paraId="7A58E940" w14:textId="4F787FCC"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2 9</w:t>
            </w:r>
            <w:r w:rsidR="00C642B2" w:rsidRPr="00847710">
              <w:rPr>
                <w:rFonts w:ascii="Times New Roman" w:hAnsi="Times New Roman" w:cs="Times New Roman"/>
                <w:sz w:val="20"/>
                <w:szCs w:val="20"/>
              </w:rPr>
              <w:t>68</w:t>
            </w:r>
            <w:r w:rsidRPr="00847710">
              <w:rPr>
                <w:rFonts w:ascii="Times New Roman" w:hAnsi="Times New Roman" w:cs="Times New Roman"/>
                <w:sz w:val="20"/>
                <w:szCs w:val="20"/>
              </w:rPr>
              <w:t xml:space="preserve"> </w:t>
            </w:r>
            <w:r w:rsidR="00C642B2" w:rsidRPr="00847710">
              <w:rPr>
                <w:rFonts w:ascii="Times New Roman" w:hAnsi="Times New Roman" w:cs="Times New Roman"/>
                <w:sz w:val="20"/>
                <w:szCs w:val="20"/>
              </w:rPr>
              <w:t>525</w:t>
            </w:r>
          </w:p>
        </w:tc>
        <w:tc>
          <w:tcPr>
            <w:tcW w:w="1740" w:type="dxa"/>
            <w:tcBorders>
              <w:top w:val="nil"/>
              <w:left w:val="nil"/>
              <w:bottom w:val="single" w:sz="4" w:space="0" w:color="auto"/>
              <w:right w:val="single" w:sz="4" w:space="0" w:color="auto"/>
            </w:tcBorders>
            <w:shd w:val="clear" w:color="auto" w:fill="auto"/>
            <w:noWrap/>
            <w:vAlign w:val="bottom"/>
            <w:hideMark/>
          </w:tcPr>
          <w:p w14:paraId="3FF93662"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33.14.00</w:t>
            </w:r>
          </w:p>
        </w:tc>
      </w:tr>
      <w:tr w:rsidR="00F50D6C" w:rsidRPr="00847710" w14:paraId="4F3C9FB6" w14:textId="77777777" w:rsidTr="000C3D0E">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0C70E68E" w14:textId="77777777"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Kompozīts bērniem līdz 14 gadiem (ieskaitot) ar medikamentiem</w:t>
            </w:r>
          </w:p>
        </w:tc>
        <w:tc>
          <w:tcPr>
            <w:tcW w:w="1480" w:type="dxa"/>
            <w:tcBorders>
              <w:top w:val="nil"/>
              <w:left w:val="nil"/>
              <w:bottom w:val="single" w:sz="4" w:space="0" w:color="auto"/>
              <w:right w:val="single" w:sz="4" w:space="0" w:color="auto"/>
            </w:tcBorders>
            <w:shd w:val="clear" w:color="auto" w:fill="auto"/>
            <w:noWrap/>
            <w:vAlign w:val="bottom"/>
            <w:hideMark/>
          </w:tcPr>
          <w:p w14:paraId="62497D39" w14:textId="6ADE7EF9"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766 774</w:t>
            </w:r>
          </w:p>
        </w:tc>
        <w:tc>
          <w:tcPr>
            <w:tcW w:w="1740" w:type="dxa"/>
            <w:tcBorders>
              <w:top w:val="nil"/>
              <w:left w:val="nil"/>
              <w:bottom w:val="single" w:sz="4" w:space="0" w:color="auto"/>
              <w:right w:val="single" w:sz="4" w:space="0" w:color="auto"/>
            </w:tcBorders>
            <w:shd w:val="clear" w:color="auto" w:fill="auto"/>
            <w:noWrap/>
            <w:vAlign w:val="bottom"/>
            <w:hideMark/>
          </w:tcPr>
          <w:p w14:paraId="3855D0EB"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33.14.00</w:t>
            </w:r>
          </w:p>
        </w:tc>
      </w:tr>
      <w:tr w:rsidR="00F50D6C" w:rsidRPr="00847710" w14:paraId="02DFD268"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63C7E8E0" w14:textId="77777777" w:rsidR="00F50D6C" w:rsidRPr="00847710" w:rsidRDefault="00F50D6C" w:rsidP="00F50D6C">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5. Sirds/asinsvadu programma</w:t>
            </w:r>
          </w:p>
        </w:tc>
        <w:tc>
          <w:tcPr>
            <w:tcW w:w="1480" w:type="dxa"/>
            <w:tcBorders>
              <w:top w:val="nil"/>
              <w:left w:val="nil"/>
              <w:bottom w:val="single" w:sz="4" w:space="0" w:color="auto"/>
              <w:right w:val="single" w:sz="4" w:space="0" w:color="auto"/>
            </w:tcBorders>
            <w:shd w:val="clear" w:color="auto" w:fill="auto"/>
            <w:noWrap/>
            <w:vAlign w:val="bottom"/>
            <w:hideMark/>
          </w:tcPr>
          <w:p w14:paraId="073DB876" w14:textId="5DD285A2" w:rsidR="00F50D6C" w:rsidRPr="00847710" w:rsidRDefault="00FC273D" w:rsidP="00F50D6C">
            <w:pPr>
              <w:spacing w:after="0" w:line="240" w:lineRule="auto"/>
              <w:jc w:val="right"/>
              <w:rPr>
                <w:rFonts w:ascii="Times New Roman" w:eastAsia="Times New Roman" w:hAnsi="Times New Roman" w:cs="Times New Roman"/>
                <w:b/>
                <w:bCs/>
                <w:lang w:eastAsia="lv-LV"/>
              </w:rPr>
            </w:pPr>
            <w:r w:rsidRPr="00847710">
              <w:rPr>
                <w:rFonts w:ascii="Times New Roman" w:hAnsi="Times New Roman" w:cs="Times New Roman"/>
                <w:b/>
                <w:bCs/>
              </w:rPr>
              <w:t xml:space="preserve">11 025 </w:t>
            </w:r>
            <w:r w:rsidR="008156D3" w:rsidRPr="00847710">
              <w:rPr>
                <w:rFonts w:ascii="Times New Roman" w:hAnsi="Times New Roman" w:cs="Times New Roman"/>
                <w:b/>
                <w:bCs/>
              </w:rPr>
              <w:t>42</w:t>
            </w:r>
            <w:r w:rsidR="008156D3">
              <w:rPr>
                <w:rFonts w:ascii="Times New Roman" w:hAnsi="Times New Roman" w:cs="Times New Roman"/>
                <w:b/>
                <w:bCs/>
              </w:rPr>
              <w:t>0</w:t>
            </w:r>
          </w:p>
        </w:tc>
        <w:tc>
          <w:tcPr>
            <w:tcW w:w="1740" w:type="dxa"/>
            <w:tcBorders>
              <w:top w:val="nil"/>
              <w:left w:val="nil"/>
              <w:bottom w:val="single" w:sz="4" w:space="0" w:color="auto"/>
              <w:right w:val="single" w:sz="4" w:space="0" w:color="auto"/>
            </w:tcBorders>
            <w:shd w:val="clear" w:color="auto" w:fill="auto"/>
            <w:noWrap/>
            <w:vAlign w:val="bottom"/>
            <w:hideMark/>
          </w:tcPr>
          <w:p w14:paraId="65DA4D99" w14:textId="77777777" w:rsidR="00F50D6C" w:rsidRPr="00847710" w:rsidRDefault="00F50D6C" w:rsidP="00F50D6C">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 </w:t>
            </w:r>
          </w:p>
        </w:tc>
      </w:tr>
      <w:tr w:rsidR="00F50D6C" w:rsidRPr="00847710" w14:paraId="1D283BBA"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5F97A1DE" w14:textId="4C97E06D"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Kardiovaskulārā riska izvērtēšana un algoritmu ieviešana, t.sk.</w:t>
            </w:r>
          </w:p>
        </w:tc>
        <w:tc>
          <w:tcPr>
            <w:tcW w:w="1480" w:type="dxa"/>
            <w:tcBorders>
              <w:top w:val="nil"/>
              <w:left w:val="nil"/>
              <w:bottom w:val="single" w:sz="4" w:space="0" w:color="auto"/>
              <w:right w:val="single" w:sz="4" w:space="0" w:color="auto"/>
            </w:tcBorders>
            <w:shd w:val="clear" w:color="auto" w:fill="auto"/>
            <w:noWrap/>
            <w:vAlign w:val="bottom"/>
            <w:hideMark/>
          </w:tcPr>
          <w:p w14:paraId="5729A36E" w14:textId="68704982"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1 599 926</w:t>
            </w:r>
          </w:p>
        </w:tc>
        <w:tc>
          <w:tcPr>
            <w:tcW w:w="1740" w:type="dxa"/>
            <w:tcBorders>
              <w:top w:val="nil"/>
              <w:left w:val="nil"/>
              <w:bottom w:val="single" w:sz="4" w:space="0" w:color="auto"/>
              <w:right w:val="single" w:sz="4" w:space="0" w:color="auto"/>
            </w:tcBorders>
            <w:shd w:val="clear" w:color="auto" w:fill="auto"/>
            <w:noWrap/>
            <w:vAlign w:val="bottom"/>
            <w:hideMark/>
          </w:tcPr>
          <w:p w14:paraId="736FA560"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r>
      <w:tr w:rsidR="00F50D6C" w:rsidRPr="00847710" w14:paraId="30FC3482"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B881F1F" w14:textId="77777777"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Primārās profilakses algoritmu ieviešana</w:t>
            </w:r>
          </w:p>
        </w:tc>
        <w:tc>
          <w:tcPr>
            <w:tcW w:w="1480" w:type="dxa"/>
            <w:tcBorders>
              <w:top w:val="nil"/>
              <w:left w:val="nil"/>
              <w:bottom w:val="single" w:sz="4" w:space="0" w:color="auto"/>
              <w:right w:val="single" w:sz="4" w:space="0" w:color="auto"/>
            </w:tcBorders>
            <w:shd w:val="clear" w:color="auto" w:fill="auto"/>
            <w:noWrap/>
            <w:vAlign w:val="bottom"/>
            <w:hideMark/>
          </w:tcPr>
          <w:p w14:paraId="201EA5DB" w14:textId="2235106C"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712 751</w:t>
            </w:r>
          </w:p>
        </w:tc>
        <w:tc>
          <w:tcPr>
            <w:tcW w:w="1740" w:type="dxa"/>
            <w:tcBorders>
              <w:top w:val="nil"/>
              <w:left w:val="nil"/>
              <w:bottom w:val="single" w:sz="4" w:space="0" w:color="auto"/>
              <w:right w:val="single" w:sz="4" w:space="0" w:color="auto"/>
            </w:tcBorders>
            <w:shd w:val="clear" w:color="auto" w:fill="auto"/>
            <w:noWrap/>
            <w:vAlign w:val="bottom"/>
            <w:hideMark/>
          </w:tcPr>
          <w:p w14:paraId="52CD81DF"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33.14.00</w:t>
            </w:r>
          </w:p>
        </w:tc>
      </w:tr>
      <w:tr w:rsidR="00F50D6C" w:rsidRPr="00847710" w14:paraId="1A7C228F" w14:textId="77777777" w:rsidTr="000C3D0E">
        <w:trPr>
          <w:trHeight w:val="51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567739AA" w14:textId="77777777"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Sekundārās diagnostikas un izmeklēšanas algoritmu ieviešana</w:t>
            </w:r>
          </w:p>
        </w:tc>
        <w:tc>
          <w:tcPr>
            <w:tcW w:w="1480" w:type="dxa"/>
            <w:tcBorders>
              <w:top w:val="nil"/>
              <w:left w:val="nil"/>
              <w:bottom w:val="single" w:sz="4" w:space="0" w:color="auto"/>
              <w:right w:val="single" w:sz="4" w:space="0" w:color="auto"/>
            </w:tcBorders>
            <w:shd w:val="clear" w:color="auto" w:fill="auto"/>
            <w:noWrap/>
            <w:vAlign w:val="bottom"/>
            <w:hideMark/>
          </w:tcPr>
          <w:p w14:paraId="36EC11D0" w14:textId="3BC1E734"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887 175</w:t>
            </w:r>
          </w:p>
        </w:tc>
        <w:tc>
          <w:tcPr>
            <w:tcW w:w="1740" w:type="dxa"/>
            <w:tcBorders>
              <w:top w:val="nil"/>
              <w:left w:val="nil"/>
              <w:bottom w:val="single" w:sz="4" w:space="0" w:color="auto"/>
              <w:right w:val="single" w:sz="4" w:space="0" w:color="auto"/>
            </w:tcBorders>
            <w:shd w:val="clear" w:color="auto" w:fill="auto"/>
            <w:noWrap/>
            <w:vAlign w:val="bottom"/>
            <w:hideMark/>
          </w:tcPr>
          <w:p w14:paraId="19743759"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33.14.00</w:t>
            </w:r>
          </w:p>
        </w:tc>
      </w:tr>
      <w:tr w:rsidR="00F50D6C" w:rsidRPr="00847710" w14:paraId="5651822F" w14:textId="77777777" w:rsidTr="000C3D0E">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27467788"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Aortālā vārstuļa transkatetrāla implantācija (TAVI) pakalpojuma ieviešana</w:t>
            </w:r>
          </w:p>
        </w:tc>
        <w:tc>
          <w:tcPr>
            <w:tcW w:w="1480" w:type="dxa"/>
            <w:tcBorders>
              <w:top w:val="nil"/>
              <w:left w:val="nil"/>
              <w:bottom w:val="single" w:sz="4" w:space="0" w:color="auto"/>
              <w:right w:val="single" w:sz="4" w:space="0" w:color="auto"/>
            </w:tcBorders>
            <w:shd w:val="clear" w:color="auto" w:fill="auto"/>
            <w:noWrap/>
            <w:vAlign w:val="bottom"/>
            <w:hideMark/>
          </w:tcPr>
          <w:p w14:paraId="55645CFE" w14:textId="6FA9D501"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1 875 000</w:t>
            </w:r>
          </w:p>
        </w:tc>
        <w:tc>
          <w:tcPr>
            <w:tcW w:w="1740" w:type="dxa"/>
            <w:tcBorders>
              <w:top w:val="nil"/>
              <w:left w:val="nil"/>
              <w:bottom w:val="single" w:sz="4" w:space="0" w:color="auto"/>
              <w:right w:val="single" w:sz="4" w:space="0" w:color="auto"/>
            </w:tcBorders>
            <w:shd w:val="clear" w:color="auto" w:fill="auto"/>
            <w:noWrap/>
            <w:vAlign w:val="bottom"/>
            <w:hideMark/>
          </w:tcPr>
          <w:p w14:paraId="06506C25"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33.18.00</w:t>
            </w:r>
          </w:p>
        </w:tc>
      </w:tr>
      <w:tr w:rsidR="00F50D6C" w:rsidRPr="00847710" w14:paraId="3F1FD059"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0FFC2E80" w14:textId="77777777" w:rsidR="00F50D6C" w:rsidRPr="00847710" w:rsidRDefault="00F50D6C"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Angiogrāfu iegāde</w:t>
            </w:r>
          </w:p>
        </w:tc>
        <w:tc>
          <w:tcPr>
            <w:tcW w:w="1480" w:type="dxa"/>
            <w:tcBorders>
              <w:top w:val="nil"/>
              <w:left w:val="nil"/>
              <w:bottom w:val="single" w:sz="4" w:space="0" w:color="auto"/>
              <w:right w:val="single" w:sz="4" w:space="0" w:color="auto"/>
            </w:tcBorders>
            <w:shd w:val="clear" w:color="auto" w:fill="auto"/>
            <w:noWrap/>
            <w:vAlign w:val="bottom"/>
            <w:hideMark/>
          </w:tcPr>
          <w:p w14:paraId="5890ADC7" w14:textId="5C6E741D" w:rsidR="00F50D6C" w:rsidRPr="00847710" w:rsidRDefault="00F50D6C" w:rsidP="00F50D6C">
            <w:pPr>
              <w:spacing w:after="0" w:line="240" w:lineRule="auto"/>
              <w:jc w:val="right"/>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4 500 000</w:t>
            </w:r>
          </w:p>
        </w:tc>
        <w:tc>
          <w:tcPr>
            <w:tcW w:w="1740" w:type="dxa"/>
            <w:tcBorders>
              <w:top w:val="nil"/>
              <w:left w:val="nil"/>
              <w:bottom w:val="single" w:sz="4" w:space="0" w:color="auto"/>
              <w:right w:val="single" w:sz="4" w:space="0" w:color="auto"/>
            </w:tcBorders>
            <w:shd w:val="clear" w:color="auto" w:fill="auto"/>
            <w:noWrap/>
            <w:vAlign w:val="bottom"/>
            <w:hideMark/>
          </w:tcPr>
          <w:p w14:paraId="41679DDC" w14:textId="77777777" w:rsidR="00F50D6C" w:rsidRPr="00847710" w:rsidRDefault="00F50D6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33.17.00</w:t>
            </w:r>
          </w:p>
        </w:tc>
      </w:tr>
      <w:tr w:rsidR="000B7F3A" w:rsidRPr="00847710" w14:paraId="0536CF1D"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57D5AEF8" w14:textId="2B2815A5" w:rsidR="000B7F3A" w:rsidRPr="00847710" w:rsidRDefault="000B7F3A" w:rsidP="00F50D6C">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Kompensējamo medikamentu nodrošinā</w:t>
            </w:r>
            <w:r w:rsidR="00E81EE7" w:rsidRPr="00847710">
              <w:rPr>
                <w:rFonts w:ascii="Times New Roman" w:eastAsia="Times New Roman" w:hAnsi="Times New Roman" w:cs="Times New Roman"/>
                <w:sz w:val="20"/>
                <w:szCs w:val="20"/>
                <w:lang w:eastAsia="lv-LV"/>
              </w:rPr>
              <w:t>š</w:t>
            </w:r>
            <w:r w:rsidRPr="00847710">
              <w:rPr>
                <w:rFonts w:ascii="Times New Roman" w:eastAsia="Times New Roman" w:hAnsi="Times New Roman" w:cs="Times New Roman"/>
                <w:sz w:val="20"/>
                <w:szCs w:val="20"/>
                <w:lang w:eastAsia="lv-LV"/>
              </w:rPr>
              <w:t>ana</w:t>
            </w:r>
            <w:r w:rsidR="00714CC3" w:rsidRPr="00847710">
              <w:rPr>
                <w:rFonts w:ascii="Times New Roman" w:eastAsia="Times New Roman" w:hAnsi="Times New Roman" w:cs="Times New Roman"/>
                <w:sz w:val="20"/>
                <w:szCs w:val="20"/>
                <w:lang w:eastAsia="lv-LV"/>
              </w:rPr>
              <w:t xml:space="preserve"> sirds un asinsvadu saslimšanām</w:t>
            </w:r>
          </w:p>
        </w:tc>
        <w:tc>
          <w:tcPr>
            <w:tcW w:w="1480" w:type="dxa"/>
            <w:tcBorders>
              <w:top w:val="nil"/>
              <w:left w:val="nil"/>
              <w:bottom w:val="single" w:sz="4" w:space="0" w:color="auto"/>
              <w:right w:val="single" w:sz="4" w:space="0" w:color="auto"/>
            </w:tcBorders>
            <w:shd w:val="clear" w:color="auto" w:fill="auto"/>
            <w:noWrap/>
            <w:vAlign w:val="bottom"/>
          </w:tcPr>
          <w:p w14:paraId="3BA64480" w14:textId="438E7AFA" w:rsidR="000B7F3A" w:rsidRPr="00847710" w:rsidRDefault="00FC273D" w:rsidP="00F50D6C">
            <w:pPr>
              <w:spacing w:after="0" w:line="240" w:lineRule="auto"/>
              <w:jc w:val="right"/>
              <w:rPr>
                <w:rFonts w:ascii="Times New Roman" w:hAnsi="Times New Roman" w:cs="Times New Roman"/>
                <w:sz w:val="20"/>
                <w:szCs w:val="20"/>
              </w:rPr>
            </w:pPr>
            <w:r w:rsidRPr="00847710">
              <w:rPr>
                <w:rFonts w:ascii="Times New Roman" w:hAnsi="Times New Roman" w:cs="Times New Roman"/>
                <w:sz w:val="20"/>
                <w:szCs w:val="20"/>
              </w:rPr>
              <w:t xml:space="preserve">3 050 </w:t>
            </w:r>
            <w:r w:rsidR="008156D3" w:rsidRPr="00847710">
              <w:rPr>
                <w:rFonts w:ascii="Times New Roman" w:hAnsi="Times New Roman" w:cs="Times New Roman"/>
                <w:sz w:val="20"/>
                <w:szCs w:val="20"/>
              </w:rPr>
              <w:t>49</w:t>
            </w:r>
            <w:r w:rsidR="008156D3">
              <w:rPr>
                <w:rFonts w:ascii="Times New Roman" w:hAnsi="Times New Roman" w:cs="Times New Roman"/>
                <w:sz w:val="20"/>
                <w:szCs w:val="20"/>
              </w:rPr>
              <w:t>4</w:t>
            </w:r>
          </w:p>
        </w:tc>
        <w:tc>
          <w:tcPr>
            <w:tcW w:w="1740" w:type="dxa"/>
            <w:tcBorders>
              <w:top w:val="nil"/>
              <w:left w:val="nil"/>
              <w:bottom w:val="single" w:sz="4" w:space="0" w:color="auto"/>
              <w:right w:val="single" w:sz="4" w:space="0" w:color="auto"/>
            </w:tcBorders>
            <w:shd w:val="clear" w:color="auto" w:fill="auto"/>
            <w:noWrap/>
            <w:vAlign w:val="bottom"/>
          </w:tcPr>
          <w:p w14:paraId="749EA542" w14:textId="5C20EF52" w:rsidR="000B7F3A" w:rsidRPr="00847710" w:rsidRDefault="00761A7C" w:rsidP="00F50D6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33.03.00</w:t>
            </w:r>
          </w:p>
        </w:tc>
      </w:tr>
      <w:tr w:rsidR="007D2CE0" w:rsidRPr="00847710" w14:paraId="2C3E265D" w14:textId="77777777" w:rsidTr="000C3D0E">
        <w:trPr>
          <w:trHeight w:val="300"/>
          <w:jc w:val="center"/>
        </w:trPr>
        <w:tc>
          <w:tcPr>
            <w:tcW w:w="51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1E5F2793" w14:textId="77777777" w:rsidR="007D2CE0" w:rsidRPr="00847710" w:rsidRDefault="007D2CE0" w:rsidP="007D2CE0">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Kopā</w:t>
            </w:r>
          </w:p>
        </w:tc>
        <w:tc>
          <w:tcPr>
            <w:tcW w:w="1480" w:type="dxa"/>
            <w:tcBorders>
              <w:top w:val="nil"/>
              <w:left w:val="nil"/>
              <w:bottom w:val="single" w:sz="4" w:space="0" w:color="auto"/>
              <w:right w:val="single" w:sz="4" w:space="0" w:color="auto"/>
            </w:tcBorders>
            <w:shd w:val="clear" w:color="auto" w:fill="FBD4B4" w:themeFill="accent6" w:themeFillTint="66"/>
            <w:noWrap/>
            <w:vAlign w:val="bottom"/>
            <w:hideMark/>
          </w:tcPr>
          <w:p w14:paraId="437DE80D" w14:textId="5CD073EF" w:rsidR="007D2CE0" w:rsidRPr="000C3D0E" w:rsidRDefault="007D2CE0" w:rsidP="000C3D0E">
            <w:pPr>
              <w:spacing w:after="0" w:line="240" w:lineRule="auto"/>
              <w:jc w:val="center"/>
              <w:rPr>
                <w:rFonts w:ascii="Times New Roman" w:eastAsia="Times New Roman" w:hAnsi="Times New Roman" w:cs="Times New Roman"/>
                <w:b/>
                <w:bCs/>
                <w:lang w:eastAsia="lv-LV"/>
              </w:rPr>
            </w:pPr>
            <w:r w:rsidRPr="0012317D">
              <w:rPr>
                <w:rFonts w:ascii="Times New Roman" w:eastAsia="Times New Roman" w:hAnsi="Times New Roman" w:cs="Times New Roman"/>
                <w:b/>
                <w:bCs/>
                <w:lang w:eastAsia="lv-LV"/>
              </w:rPr>
              <w:t>113 400 000</w:t>
            </w:r>
          </w:p>
        </w:tc>
        <w:tc>
          <w:tcPr>
            <w:tcW w:w="1740" w:type="dxa"/>
            <w:tcBorders>
              <w:top w:val="nil"/>
              <w:left w:val="nil"/>
              <w:bottom w:val="single" w:sz="4" w:space="0" w:color="auto"/>
              <w:right w:val="single" w:sz="4" w:space="0" w:color="auto"/>
            </w:tcBorders>
            <w:shd w:val="clear" w:color="auto" w:fill="FBD4B4" w:themeFill="accent6" w:themeFillTint="66"/>
            <w:noWrap/>
            <w:vAlign w:val="bottom"/>
            <w:hideMark/>
          </w:tcPr>
          <w:p w14:paraId="503C16A9" w14:textId="77777777" w:rsidR="007D2CE0" w:rsidRPr="00BC2160" w:rsidRDefault="007D2CE0" w:rsidP="000C3D0E">
            <w:pPr>
              <w:spacing w:after="0" w:line="240" w:lineRule="auto"/>
              <w:jc w:val="center"/>
              <w:rPr>
                <w:rFonts w:ascii="Times New Roman" w:eastAsia="Times New Roman" w:hAnsi="Times New Roman" w:cs="Times New Roman"/>
                <w:b/>
                <w:bCs/>
                <w:lang w:eastAsia="lv-LV"/>
              </w:rPr>
            </w:pPr>
            <w:r w:rsidRPr="0012317D">
              <w:rPr>
                <w:rFonts w:ascii="Times New Roman" w:eastAsia="Times New Roman" w:hAnsi="Times New Roman" w:cs="Times New Roman"/>
                <w:b/>
                <w:bCs/>
                <w:lang w:eastAsia="lv-LV"/>
              </w:rPr>
              <w:t> </w:t>
            </w:r>
          </w:p>
        </w:tc>
      </w:tr>
    </w:tbl>
    <w:p w14:paraId="1AB7624E" w14:textId="77777777" w:rsidR="003D1B96" w:rsidRPr="00847710" w:rsidRDefault="003D1B96" w:rsidP="00AB7C24">
      <w:pPr>
        <w:rPr>
          <w:rFonts w:ascii="Times New Roman" w:hAnsi="Times New Roman" w:cs="Times New Roman"/>
        </w:rPr>
      </w:pPr>
    </w:p>
    <w:p w14:paraId="58A00F5D" w14:textId="4323E040" w:rsidR="00464BD8" w:rsidRPr="00BC2160" w:rsidRDefault="00AF24A3" w:rsidP="00BC2160">
      <w:pPr>
        <w:pStyle w:val="Heading1"/>
        <w:spacing w:after="200"/>
        <w:ind w:left="357"/>
        <w:jc w:val="center"/>
        <w:rPr>
          <w:rFonts w:ascii="Times New Roman" w:hAnsi="Times New Roman" w:cs="Times New Roman"/>
          <w:b/>
          <w:bCs/>
          <w:color w:val="auto"/>
          <w:sz w:val="28"/>
          <w:szCs w:val="28"/>
        </w:rPr>
      </w:pPr>
      <w:r w:rsidRPr="0012317D">
        <w:rPr>
          <w:rFonts w:ascii="Times New Roman" w:hAnsi="Times New Roman" w:cs="Times New Roman"/>
          <w:b/>
          <w:bCs/>
          <w:color w:val="auto"/>
          <w:sz w:val="28"/>
          <w:szCs w:val="28"/>
        </w:rPr>
        <w:t>Reformas paredzamā ietekme un nepieciešamā</w:t>
      </w:r>
      <w:r w:rsidR="00FC506D" w:rsidRPr="0078794A">
        <w:rPr>
          <w:rFonts w:ascii="Times New Roman" w:hAnsi="Times New Roman" w:cs="Times New Roman"/>
          <w:b/>
          <w:bCs/>
          <w:color w:val="auto"/>
          <w:sz w:val="28"/>
          <w:szCs w:val="28"/>
        </w:rPr>
        <w:t xml:space="preserve"> </w:t>
      </w:r>
      <w:r w:rsidR="00464BD8" w:rsidRPr="00BD7921">
        <w:rPr>
          <w:rFonts w:ascii="Times New Roman" w:hAnsi="Times New Roman" w:cs="Times New Roman"/>
          <w:b/>
          <w:bCs/>
          <w:color w:val="auto"/>
          <w:sz w:val="28"/>
          <w:szCs w:val="28"/>
        </w:rPr>
        <w:t>rīcība reformu īstenošan</w:t>
      </w:r>
      <w:r w:rsidRPr="00890961">
        <w:rPr>
          <w:rFonts w:ascii="Times New Roman" w:hAnsi="Times New Roman" w:cs="Times New Roman"/>
          <w:b/>
          <w:bCs/>
          <w:color w:val="auto"/>
          <w:sz w:val="28"/>
          <w:szCs w:val="28"/>
        </w:rPr>
        <w:t>ai</w:t>
      </w:r>
    </w:p>
    <w:p w14:paraId="0F7A5B20" w14:textId="77777777" w:rsidR="00464BD8" w:rsidRPr="00847710" w:rsidRDefault="00464BD8" w:rsidP="00464BD8">
      <w:pPr>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Laika posmā no 2013.gada līdz 2015.gadam Veselības ministrijas budžeta izdevumi pieauga par 57 miljoniem </w:t>
      </w:r>
      <w:r w:rsidRPr="57326167">
        <w:rPr>
          <w:rFonts w:ascii="Times New Roman" w:hAnsi="Times New Roman" w:cs="Times New Roman"/>
          <w:i/>
          <w:iCs/>
          <w:sz w:val="24"/>
          <w:szCs w:val="24"/>
        </w:rPr>
        <w:t>euro</w:t>
      </w:r>
      <w:r w:rsidRPr="00847710">
        <w:rPr>
          <w:rFonts w:ascii="Times New Roman" w:hAnsi="Times New Roman" w:cs="Times New Roman"/>
          <w:sz w:val="24"/>
          <w:szCs w:val="24"/>
        </w:rPr>
        <w:t xml:space="preserve">. Tajā pašā laikā potenciāli zaudētie mūža gadi 2015.gadā samazinājās līdz 88 191 (5 541 uz tūkst. iedzīvotājiem), salīdzinot ar 96 670 (5 924 uz tūkst. iedzīvotājiem) 2013.gadā. Līdz ar to 1 miljona ieguldījums veselības aprūpē ir devis 148 potenciāli zaudēto mūža gadu samazinājumu, kopumā tautsaimniecībai ietaupot 104 miljonus </w:t>
      </w:r>
      <w:r w:rsidRPr="57326167">
        <w:rPr>
          <w:rFonts w:ascii="Times New Roman" w:hAnsi="Times New Roman" w:cs="Times New Roman"/>
          <w:i/>
          <w:iCs/>
          <w:sz w:val="24"/>
          <w:szCs w:val="24"/>
        </w:rPr>
        <w:t>euro</w:t>
      </w:r>
      <w:r w:rsidRPr="00847710">
        <w:rPr>
          <w:rFonts w:ascii="Times New Roman" w:hAnsi="Times New Roman" w:cs="Times New Roman"/>
          <w:sz w:val="24"/>
          <w:szCs w:val="24"/>
        </w:rPr>
        <w:t>. Veicot turpmākus ieguldījumus veselības nozares reformu procesā, sagaidāms arī turpmāks ieguvums tautsaimniecības izaugsmē, kas tiks monitorēts.</w:t>
      </w:r>
    </w:p>
    <w:p w14:paraId="4D47C656" w14:textId="41362C0D" w:rsidR="007D6645" w:rsidRPr="00BC2160" w:rsidRDefault="00464BD8">
      <w:pPr>
        <w:shd w:val="clear" w:color="auto" w:fill="FFFFFF" w:themeFill="background1"/>
        <w:ind w:firstLine="709"/>
        <w:jc w:val="both"/>
        <w:rPr>
          <w:rFonts w:ascii="Times New Roman" w:hAnsi="Times New Roman" w:cs="Times New Roman"/>
          <w:i/>
          <w:iCs/>
          <w:sz w:val="24"/>
          <w:szCs w:val="24"/>
        </w:rPr>
      </w:pPr>
      <w:r w:rsidRPr="00847710">
        <w:rPr>
          <w:rFonts w:ascii="Times New Roman" w:hAnsi="Times New Roman" w:cs="Times New Roman"/>
          <w:color w:val="212121"/>
          <w:sz w:val="24"/>
          <w:szCs w:val="24"/>
        </w:rPr>
        <w:t>Prognozējot potenciāli atgūtos (nezaudētos) mūža gadus gadījumā, ja ieguldījumi netiek veikti, domājams, ka pakāpeniski uzlabojoties iedzīvotāju veselībpratībai un ņemot vērā nelielos uzlabojumus iepriekšējos periodos, kā arī uzlabojoties ārstniecības procesa koordinācijai t.sk. e-veselības ieviešanas rezultātā, sagaidāma esošās situācijas neliela uzlabošanās, vienlaikus saglabājoties pieejamības problēmām it īpaši sociāli neaizsargātiem, kuri pie ārsta vērsīsies novēloti</w:t>
      </w:r>
      <w:r w:rsidR="00CA1B5E" w:rsidRPr="00847710">
        <w:rPr>
          <w:rFonts w:ascii="Times New Roman" w:hAnsi="Times New Roman" w:cs="Times New Roman"/>
          <w:color w:val="212121"/>
          <w:sz w:val="24"/>
          <w:szCs w:val="24"/>
        </w:rPr>
        <w:t>.</w:t>
      </w:r>
      <w:r w:rsidRPr="00847710">
        <w:rPr>
          <w:rFonts w:ascii="Times New Roman" w:hAnsi="Times New Roman" w:cs="Times New Roman"/>
          <w:color w:val="212121"/>
          <w:sz w:val="24"/>
          <w:szCs w:val="24"/>
        </w:rPr>
        <w:t xml:space="preserve"> </w:t>
      </w:r>
      <w:r w:rsidR="00CA1B5E" w:rsidRPr="00847710">
        <w:rPr>
          <w:rFonts w:ascii="Times New Roman" w:hAnsi="Times New Roman" w:cs="Times New Roman"/>
          <w:color w:val="212121"/>
          <w:sz w:val="24"/>
          <w:szCs w:val="24"/>
        </w:rPr>
        <w:t>G</w:t>
      </w:r>
      <w:r w:rsidRPr="00847710">
        <w:rPr>
          <w:rFonts w:ascii="Times New Roman" w:hAnsi="Times New Roman" w:cs="Times New Roman"/>
          <w:color w:val="212121"/>
          <w:sz w:val="24"/>
          <w:szCs w:val="24"/>
        </w:rPr>
        <w:t xml:space="preserve">ala rezultātā </w:t>
      </w:r>
      <w:r w:rsidR="00CA1B5E" w:rsidRPr="00847710">
        <w:rPr>
          <w:rFonts w:ascii="Times New Roman" w:hAnsi="Times New Roman" w:cs="Times New Roman"/>
          <w:color w:val="212121"/>
          <w:sz w:val="24"/>
          <w:szCs w:val="24"/>
        </w:rPr>
        <w:t>minētie faktori</w:t>
      </w:r>
      <w:r w:rsidRPr="00847710">
        <w:rPr>
          <w:rFonts w:ascii="Times New Roman" w:hAnsi="Times New Roman" w:cs="Times New Roman"/>
          <w:color w:val="212121"/>
          <w:sz w:val="24"/>
          <w:szCs w:val="24"/>
        </w:rPr>
        <w:t xml:space="preserve"> datos atspoguļosies kā mirstības saglabāšanās vai pat neliela palielināšanās vecuma grupā līdz 65 gadiem un PZMG skaita minimāla lejupslīde vai pat </w:t>
      </w:r>
      <w:r w:rsidR="005423DB" w:rsidRPr="00847710">
        <w:rPr>
          <w:rFonts w:ascii="Times New Roman" w:hAnsi="Times New Roman" w:cs="Times New Roman"/>
          <w:color w:val="212121"/>
          <w:sz w:val="24"/>
          <w:szCs w:val="24"/>
        </w:rPr>
        <w:t>stagnēšana (skat.</w:t>
      </w:r>
      <w:r w:rsidR="004B479B" w:rsidRPr="00847710">
        <w:rPr>
          <w:rFonts w:ascii="Times New Roman" w:hAnsi="Times New Roman" w:cs="Times New Roman"/>
          <w:color w:val="212121"/>
          <w:sz w:val="24"/>
          <w:szCs w:val="24"/>
        </w:rPr>
        <w:t>1</w:t>
      </w:r>
      <w:r w:rsidR="00DA7D14" w:rsidRPr="00847710">
        <w:rPr>
          <w:rFonts w:ascii="Times New Roman" w:hAnsi="Times New Roman" w:cs="Times New Roman"/>
          <w:color w:val="212121"/>
          <w:sz w:val="24"/>
          <w:szCs w:val="24"/>
        </w:rPr>
        <w:t>1</w:t>
      </w:r>
      <w:r w:rsidR="005423DB" w:rsidRPr="00847710">
        <w:rPr>
          <w:rFonts w:ascii="Times New Roman" w:hAnsi="Times New Roman" w:cs="Times New Roman"/>
          <w:color w:val="212121"/>
          <w:sz w:val="24"/>
          <w:szCs w:val="24"/>
        </w:rPr>
        <w:t>.attēlu).</w:t>
      </w:r>
      <w:r w:rsidR="00194926" w:rsidRPr="57326167">
        <w:rPr>
          <w:rFonts w:ascii="Times New Roman" w:hAnsi="Times New Roman" w:cs="Times New Roman"/>
          <w:i/>
          <w:iCs/>
          <w:sz w:val="24"/>
          <w:szCs w:val="24"/>
        </w:rPr>
        <w:t xml:space="preserve"> </w:t>
      </w:r>
    </w:p>
    <w:p w14:paraId="68E29FFF" w14:textId="5644D4C6" w:rsidR="00464BD8" w:rsidRPr="00BC2160" w:rsidRDefault="004B479B">
      <w:pPr>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DA7D14" w:rsidRPr="57326167">
        <w:rPr>
          <w:rFonts w:ascii="Times New Roman" w:hAnsi="Times New Roman" w:cs="Times New Roman"/>
          <w:i/>
          <w:iCs/>
          <w:sz w:val="24"/>
          <w:szCs w:val="24"/>
        </w:rPr>
        <w:t>1</w:t>
      </w:r>
      <w:r w:rsidR="00464BD8" w:rsidRPr="00BD7921">
        <w:rPr>
          <w:rFonts w:ascii="Times New Roman" w:hAnsi="Times New Roman" w:cs="Times New Roman"/>
          <w:i/>
          <w:iCs/>
          <w:sz w:val="24"/>
          <w:szCs w:val="24"/>
        </w:rPr>
        <w:t>.attēls</w:t>
      </w:r>
    </w:p>
    <w:p w14:paraId="5920ED40" w14:textId="6F9A621F" w:rsidR="00464BD8" w:rsidRPr="00BC2160" w:rsidRDefault="00464BD8">
      <w:pPr>
        <w:jc w:val="center"/>
        <w:rPr>
          <w:rFonts w:ascii="Times New Roman" w:hAnsi="Times New Roman" w:cs="Times New Roman"/>
          <w:b/>
          <w:bCs/>
          <w:sz w:val="24"/>
          <w:szCs w:val="24"/>
        </w:rPr>
      </w:pPr>
      <w:r w:rsidRPr="0012317D">
        <w:rPr>
          <w:rFonts w:ascii="Times New Roman" w:hAnsi="Times New Roman" w:cs="Times New Roman"/>
          <w:b/>
          <w:bCs/>
          <w:sz w:val="24"/>
          <w:szCs w:val="24"/>
        </w:rPr>
        <w:t>Potenciāli zaudēto mūža gadu prognoze, ja ieguldījumi netiek veikti</w:t>
      </w:r>
    </w:p>
    <w:p w14:paraId="53BC0A05" w14:textId="77777777" w:rsidR="00464BD8" w:rsidRPr="00847710" w:rsidRDefault="00464BD8" w:rsidP="00464BD8">
      <w:pPr>
        <w:jc w:val="center"/>
        <w:rPr>
          <w:rFonts w:ascii="Times New Roman" w:hAnsi="Times New Roman" w:cs="Times New Roman"/>
          <w:sz w:val="24"/>
        </w:rPr>
      </w:pPr>
      <w:r w:rsidRPr="00847710">
        <w:rPr>
          <w:rFonts w:ascii="Times New Roman" w:hAnsi="Times New Roman" w:cs="Times New Roman"/>
          <w:noProof/>
          <w:lang w:eastAsia="lv-LV"/>
        </w:rPr>
        <w:drawing>
          <wp:inline distT="0" distB="0" distL="0" distR="0" wp14:anchorId="6FD93B6E" wp14:editId="5655F5EC">
            <wp:extent cx="5991225" cy="25431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5FF40D" w14:textId="77777777" w:rsidR="00464BD8" w:rsidRPr="00BC2160" w:rsidRDefault="00464BD8">
      <w:pPr>
        <w:jc w:val="both"/>
        <w:rPr>
          <w:rFonts w:ascii="Times New Roman" w:hAnsi="Times New Roman" w:cs="Times New Roman"/>
          <w:i/>
          <w:iCs/>
          <w:sz w:val="20"/>
          <w:szCs w:val="20"/>
        </w:rPr>
      </w:pPr>
      <w:r w:rsidRPr="57326167">
        <w:rPr>
          <w:rFonts w:ascii="Times New Roman" w:hAnsi="Times New Roman" w:cs="Times New Roman"/>
          <w:i/>
          <w:iCs/>
          <w:sz w:val="20"/>
          <w:szCs w:val="20"/>
        </w:rPr>
        <w:t>Avots: SPKC</w:t>
      </w:r>
    </w:p>
    <w:p w14:paraId="2D2272BC" w14:textId="784C4D7F" w:rsidR="00464BD8" w:rsidRPr="00847710" w:rsidRDefault="00464BD8" w:rsidP="00706AD0">
      <w:pPr>
        <w:shd w:val="clear" w:color="auto" w:fill="FFFFFF" w:themeFill="background1"/>
        <w:ind w:firstLine="720"/>
        <w:jc w:val="both"/>
        <w:rPr>
          <w:rFonts w:ascii="Times New Roman" w:hAnsi="Times New Roman" w:cs="Times New Roman"/>
          <w:color w:val="212121"/>
          <w:sz w:val="24"/>
          <w:szCs w:val="24"/>
        </w:rPr>
      </w:pPr>
      <w:r w:rsidRPr="00847710">
        <w:rPr>
          <w:rFonts w:ascii="Times New Roman" w:hAnsi="Times New Roman" w:cs="Times New Roman"/>
          <w:color w:val="212121"/>
          <w:sz w:val="24"/>
          <w:szCs w:val="24"/>
        </w:rPr>
        <w:t xml:space="preserve">Veicot </w:t>
      </w:r>
      <w:r w:rsidR="00CA1B5E" w:rsidRPr="00847710">
        <w:rPr>
          <w:rFonts w:ascii="Times New Roman" w:hAnsi="Times New Roman" w:cs="Times New Roman"/>
          <w:color w:val="212121"/>
          <w:sz w:val="24"/>
          <w:szCs w:val="24"/>
        </w:rPr>
        <w:t xml:space="preserve">ziņojumā minētās </w:t>
      </w:r>
      <w:r w:rsidR="00AB517B" w:rsidRPr="00847710">
        <w:rPr>
          <w:rFonts w:ascii="Times New Roman" w:hAnsi="Times New Roman" w:cs="Times New Roman"/>
          <w:color w:val="212121"/>
          <w:sz w:val="24"/>
          <w:szCs w:val="24"/>
        </w:rPr>
        <w:t>reformas</w:t>
      </w:r>
      <w:r w:rsidRPr="00847710">
        <w:rPr>
          <w:rFonts w:ascii="Times New Roman" w:hAnsi="Times New Roman" w:cs="Times New Roman"/>
          <w:color w:val="212121"/>
          <w:sz w:val="24"/>
          <w:szCs w:val="24"/>
        </w:rPr>
        <w:t xml:space="preserve"> samazināsies </w:t>
      </w:r>
      <w:r w:rsidR="00AB517B" w:rsidRPr="00847710">
        <w:rPr>
          <w:rFonts w:ascii="Times New Roman" w:hAnsi="Times New Roman" w:cs="Times New Roman"/>
          <w:color w:val="212121"/>
          <w:sz w:val="24"/>
          <w:szCs w:val="24"/>
        </w:rPr>
        <w:t>p</w:t>
      </w:r>
      <w:r w:rsidRPr="00847710">
        <w:rPr>
          <w:rFonts w:ascii="Times New Roman" w:hAnsi="Times New Roman" w:cs="Times New Roman"/>
          <w:color w:val="212121"/>
          <w:sz w:val="24"/>
          <w:szCs w:val="24"/>
        </w:rPr>
        <w:t xml:space="preserve">otenciāli zaudēto mūža gadu skaits, jo palielināsies iedzīvotāju dzīvildze un samazināsies priekšlaikus mirušo skaits (skat. </w:t>
      </w:r>
      <w:r w:rsidR="00644DB1">
        <w:rPr>
          <w:rFonts w:ascii="Times New Roman" w:hAnsi="Times New Roman" w:cs="Times New Roman"/>
          <w:color w:val="212121"/>
          <w:sz w:val="24"/>
          <w:szCs w:val="24"/>
        </w:rPr>
        <w:t>3</w:t>
      </w:r>
      <w:r w:rsidR="00DE3C94">
        <w:rPr>
          <w:rFonts w:ascii="Times New Roman" w:hAnsi="Times New Roman" w:cs="Times New Roman"/>
          <w:color w:val="212121"/>
          <w:sz w:val="24"/>
          <w:szCs w:val="24"/>
        </w:rPr>
        <w:t>8</w:t>
      </w:r>
      <w:r w:rsidRPr="00847710">
        <w:rPr>
          <w:rFonts w:ascii="Times New Roman" w:hAnsi="Times New Roman" w:cs="Times New Roman"/>
          <w:color w:val="212121"/>
          <w:sz w:val="24"/>
          <w:szCs w:val="24"/>
        </w:rPr>
        <w:t>.</w:t>
      </w:r>
      <w:r w:rsidR="00291AD7" w:rsidRPr="00847710">
        <w:rPr>
          <w:rFonts w:ascii="Times New Roman" w:hAnsi="Times New Roman" w:cs="Times New Roman"/>
          <w:color w:val="212121"/>
          <w:sz w:val="24"/>
          <w:szCs w:val="24"/>
        </w:rPr>
        <w:t>tabulu</w:t>
      </w:r>
      <w:r w:rsidRPr="00847710">
        <w:rPr>
          <w:rFonts w:ascii="Times New Roman" w:hAnsi="Times New Roman" w:cs="Times New Roman"/>
          <w:color w:val="212121"/>
          <w:sz w:val="24"/>
          <w:szCs w:val="24"/>
        </w:rPr>
        <w:t>).</w:t>
      </w:r>
    </w:p>
    <w:p w14:paraId="1D98723C" w14:textId="4356165B" w:rsidR="00464BD8" w:rsidRPr="00BC2160" w:rsidRDefault="00644DB1">
      <w:pPr>
        <w:jc w:val="right"/>
        <w:rPr>
          <w:rFonts w:ascii="Times New Roman" w:hAnsi="Times New Roman" w:cs="Times New Roman"/>
          <w:i/>
          <w:iCs/>
          <w:sz w:val="24"/>
          <w:szCs w:val="24"/>
        </w:rPr>
      </w:pPr>
      <w:r w:rsidRPr="57326167">
        <w:rPr>
          <w:rFonts w:ascii="Times New Roman" w:hAnsi="Times New Roman" w:cs="Times New Roman"/>
          <w:i/>
          <w:iCs/>
          <w:sz w:val="24"/>
          <w:szCs w:val="24"/>
        </w:rPr>
        <w:t>3</w:t>
      </w:r>
      <w:r w:rsidR="00DE3C94">
        <w:rPr>
          <w:rFonts w:ascii="Times New Roman" w:hAnsi="Times New Roman" w:cs="Times New Roman"/>
          <w:i/>
          <w:iCs/>
          <w:sz w:val="24"/>
          <w:szCs w:val="24"/>
        </w:rPr>
        <w:t>8</w:t>
      </w:r>
      <w:r w:rsidR="00464BD8" w:rsidRPr="57326167">
        <w:rPr>
          <w:rFonts w:ascii="Times New Roman" w:hAnsi="Times New Roman" w:cs="Times New Roman"/>
          <w:i/>
          <w:iCs/>
          <w:sz w:val="24"/>
          <w:szCs w:val="24"/>
        </w:rPr>
        <w:t>.</w:t>
      </w:r>
      <w:r w:rsidR="00291AD7" w:rsidRPr="57326167">
        <w:rPr>
          <w:rFonts w:ascii="Times New Roman" w:hAnsi="Times New Roman" w:cs="Times New Roman"/>
          <w:i/>
          <w:iCs/>
          <w:sz w:val="24"/>
          <w:szCs w:val="24"/>
        </w:rPr>
        <w:t>tabula</w:t>
      </w:r>
    </w:p>
    <w:p w14:paraId="7C633CC3" w14:textId="77777777" w:rsidR="00464BD8" w:rsidRPr="00BC2160" w:rsidRDefault="00464BD8">
      <w:pPr>
        <w:jc w:val="center"/>
        <w:rPr>
          <w:rFonts w:ascii="Times New Roman" w:hAnsi="Times New Roman" w:cs="Times New Roman"/>
          <w:b/>
          <w:bCs/>
          <w:sz w:val="24"/>
          <w:szCs w:val="24"/>
        </w:rPr>
      </w:pPr>
      <w:r w:rsidRPr="0012317D">
        <w:rPr>
          <w:rFonts w:ascii="Times New Roman" w:hAnsi="Times New Roman" w:cs="Times New Roman"/>
          <w:b/>
          <w:bCs/>
          <w:sz w:val="24"/>
          <w:szCs w:val="24"/>
        </w:rPr>
        <w:t>Potenciāli zaudēto mūža gadu prognoze, ja ieguldījumi tiek veikti</w:t>
      </w:r>
    </w:p>
    <w:tbl>
      <w:tblPr>
        <w:tblW w:w="11477" w:type="dxa"/>
        <w:tblInd w:w="-1281" w:type="dxa"/>
        <w:tblLayout w:type="fixed"/>
        <w:tblLook w:val="04A0" w:firstRow="1" w:lastRow="0" w:firstColumn="1" w:lastColumn="0" w:noHBand="0" w:noVBand="1"/>
      </w:tblPr>
      <w:tblGrid>
        <w:gridCol w:w="2547"/>
        <w:gridCol w:w="795"/>
        <w:gridCol w:w="795"/>
        <w:gridCol w:w="795"/>
        <w:gridCol w:w="795"/>
        <w:gridCol w:w="796"/>
        <w:gridCol w:w="1651"/>
        <w:gridCol w:w="1651"/>
        <w:gridCol w:w="1652"/>
      </w:tblGrid>
      <w:tr w:rsidR="00151356" w:rsidRPr="00847710" w14:paraId="6A8419D9" w14:textId="77777777" w:rsidTr="00BC2160">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14:paraId="00C847F8" w14:textId="77777777" w:rsidR="0035610E" w:rsidRPr="00847710" w:rsidRDefault="0035610E" w:rsidP="009B6F2E">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79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46869D8" w14:textId="77777777" w:rsidR="0035610E" w:rsidRPr="00847710" w:rsidRDefault="0035610E" w:rsidP="00315286">
            <w:pPr>
              <w:spacing w:after="0" w:line="240" w:lineRule="auto"/>
              <w:jc w:val="center"/>
              <w:rPr>
                <w:rFonts w:ascii="Times New Roman" w:eastAsia="Times New Roman" w:hAnsi="Times New Roman" w:cs="Times New Roman"/>
                <w:b/>
                <w:bCs/>
                <w:color w:val="384552"/>
                <w:sz w:val="20"/>
                <w:szCs w:val="20"/>
                <w:lang w:eastAsia="lv-LV"/>
              </w:rPr>
            </w:pPr>
            <w:r w:rsidRPr="00847710">
              <w:rPr>
                <w:rFonts w:ascii="Times New Roman" w:eastAsia="Times New Roman" w:hAnsi="Times New Roman" w:cs="Times New Roman"/>
                <w:b/>
                <w:bCs/>
                <w:color w:val="384552"/>
                <w:sz w:val="20"/>
                <w:szCs w:val="20"/>
                <w:lang w:eastAsia="lv-LV"/>
              </w:rPr>
              <w:t>2013</w:t>
            </w:r>
          </w:p>
        </w:tc>
        <w:tc>
          <w:tcPr>
            <w:tcW w:w="79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4B157CD" w14:textId="77777777" w:rsidR="0035610E" w:rsidRPr="00847710" w:rsidRDefault="0035610E" w:rsidP="00315286">
            <w:pPr>
              <w:spacing w:after="0" w:line="240" w:lineRule="auto"/>
              <w:jc w:val="center"/>
              <w:rPr>
                <w:rFonts w:ascii="Times New Roman" w:eastAsia="Times New Roman" w:hAnsi="Times New Roman" w:cs="Times New Roman"/>
                <w:b/>
                <w:bCs/>
                <w:color w:val="384552"/>
                <w:sz w:val="20"/>
                <w:szCs w:val="20"/>
                <w:lang w:eastAsia="lv-LV"/>
              </w:rPr>
            </w:pPr>
            <w:r w:rsidRPr="00847710">
              <w:rPr>
                <w:rFonts w:ascii="Times New Roman" w:eastAsia="Times New Roman" w:hAnsi="Times New Roman" w:cs="Times New Roman"/>
                <w:b/>
                <w:bCs/>
                <w:color w:val="384552"/>
                <w:sz w:val="20"/>
                <w:szCs w:val="20"/>
                <w:lang w:eastAsia="lv-LV"/>
              </w:rPr>
              <w:t>2014</w:t>
            </w:r>
          </w:p>
        </w:tc>
        <w:tc>
          <w:tcPr>
            <w:tcW w:w="79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2822AD6" w14:textId="77777777" w:rsidR="0035610E" w:rsidRPr="00847710" w:rsidRDefault="0035610E" w:rsidP="00315286">
            <w:pPr>
              <w:spacing w:after="0" w:line="240" w:lineRule="auto"/>
              <w:jc w:val="center"/>
              <w:rPr>
                <w:rFonts w:ascii="Times New Roman" w:eastAsia="Times New Roman" w:hAnsi="Times New Roman" w:cs="Times New Roman"/>
                <w:b/>
                <w:bCs/>
                <w:color w:val="384552"/>
                <w:sz w:val="20"/>
                <w:szCs w:val="20"/>
                <w:lang w:eastAsia="lv-LV"/>
              </w:rPr>
            </w:pPr>
            <w:r w:rsidRPr="00847710">
              <w:rPr>
                <w:rFonts w:ascii="Times New Roman" w:eastAsia="Times New Roman" w:hAnsi="Times New Roman" w:cs="Times New Roman"/>
                <w:b/>
                <w:bCs/>
                <w:color w:val="384552"/>
                <w:sz w:val="20"/>
                <w:szCs w:val="20"/>
                <w:lang w:eastAsia="lv-LV"/>
              </w:rPr>
              <w:t>2015</w:t>
            </w:r>
          </w:p>
        </w:tc>
        <w:tc>
          <w:tcPr>
            <w:tcW w:w="79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6B24C01" w14:textId="74ABD778" w:rsidR="0035610E" w:rsidRPr="00847710" w:rsidRDefault="0035610E" w:rsidP="00315286">
            <w:pPr>
              <w:spacing w:after="0" w:line="240" w:lineRule="auto"/>
              <w:jc w:val="center"/>
              <w:rPr>
                <w:rFonts w:ascii="Times New Roman" w:eastAsia="Times New Roman" w:hAnsi="Times New Roman" w:cs="Times New Roman"/>
                <w:b/>
                <w:bCs/>
                <w:color w:val="384552"/>
                <w:sz w:val="20"/>
                <w:szCs w:val="20"/>
                <w:lang w:eastAsia="lv-LV"/>
              </w:rPr>
            </w:pPr>
            <w:r w:rsidRPr="00847710">
              <w:rPr>
                <w:rFonts w:ascii="Times New Roman" w:eastAsia="Times New Roman" w:hAnsi="Times New Roman" w:cs="Times New Roman"/>
                <w:b/>
                <w:bCs/>
                <w:color w:val="384552"/>
                <w:sz w:val="20"/>
                <w:szCs w:val="20"/>
                <w:lang w:eastAsia="lv-LV"/>
              </w:rPr>
              <w:t>2016</w:t>
            </w:r>
          </w:p>
        </w:tc>
        <w:tc>
          <w:tcPr>
            <w:tcW w:w="79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11A8A4B" w14:textId="77777777" w:rsidR="0035610E" w:rsidRPr="00847710" w:rsidRDefault="0035610E" w:rsidP="00315286">
            <w:pPr>
              <w:spacing w:after="0" w:line="240" w:lineRule="auto"/>
              <w:jc w:val="center"/>
              <w:rPr>
                <w:rFonts w:ascii="Times New Roman" w:eastAsia="Times New Roman" w:hAnsi="Times New Roman" w:cs="Times New Roman"/>
                <w:b/>
                <w:bCs/>
                <w:color w:val="384552"/>
                <w:sz w:val="20"/>
                <w:szCs w:val="20"/>
                <w:lang w:eastAsia="lv-LV"/>
              </w:rPr>
            </w:pPr>
            <w:r w:rsidRPr="00847710">
              <w:rPr>
                <w:rFonts w:ascii="Times New Roman" w:eastAsia="Times New Roman" w:hAnsi="Times New Roman" w:cs="Times New Roman"/>
                <w:b/>
                <w:bCs/>
                <w:color w:val="384552"/>
                <w:sz w:val="20"/>
                <w:szCs w:val="20"/>
                <w:lang w:eastAsia="lv-LV"/>
              </w:rPr>
              <w:t>2017</w:t>
            </w:r>
          </w:p>
        </w:tc>
        <w:tc>
          <w:tcPr>
            <w:tcW w:w="165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2384779" w14:textId="77777777" w:rsidR="0035610E" w:rsidRPr="00847710" w:rsidRDefault="0035610E" w:rsidP="00315286">
            <w:pPr>
              <w:spacing w:after="0" w:line="240" w:lineRule="auto"/>
              <w:jc w:val="center"/>
              <w:rPr>
                <w:rFonts w:ascii="Times New Roman" w:eastAsia="Times New Roman" w:hAnsi="Times New Roman" w:cs="Times New Roman"/>
                <w:b/>
                <w:bCs/>
                <w:color w:val="384552"/>
                <w:sz w:val="20"/>
                <w:szCs w:val="20"/>
                <w:lang w:eastAsia="lv-LV"/>
              </w:rPr>
            </w:pPr>
            <w:r w:rsidRPr="00847710">
              <w:rPr>
                <w:rFonts w:ascii="Times New Roman" w:eastAsia="Times New Roman" w:hAnsi="Times New Roman" w:cs="Times New Roman"/>
                <w:b/>
                <w:bCs/>
                <w:color w:val="384552"/>
                <w:sz w:val="20"/>
                <w:szCs w:val="20"/>
                <w:lang w:eastAsia="lv-LV"/>
              </w:rPr>
              <w:t>2018</w:t>
            </w:r>
          </w:p>
        </w:tc>
        <w:tc>
          <w:tcPr>
            <w:tcW w:w="165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41AB9E8" w14:textId="77777777" w:rsidR="0035610E" w:rsidRPr="00847710" w:rsidRDefault="0035610E" w:rsidP="00315286">
            <w:pPr>
              <w:spacing w:after="0" w:line="240" w:lineRule="auto"/>
              <w:jc w:val="center"/>
              <w:rPr>
                <w:rFonts w:ascii="Times New Roman" w:eastAsia="Times New Roman" w:hAnsi="Times New Roman" w:cs="Times New Roman"/>
                <w:b/>
                <w:bCs/>
                <w:color w:val="384552"/>
                <w:sz w:val="20"/>
                <w:szCs w:val="20"/>
                <w:lang w:eastAsia="lv-LV"/>
              </w:rPr>
            </w:pPr>
            <w:r w:rsidRPr="00847710">
              <w:rPr>
                <w:rFonts w:ascii="Times New Roman" w:eastAsia="Times New Roman" w:hAnsi="Times New Roman" w:cs="Times New Roman"/>
                <w:b/>
                <w:bCs/>
                <w:color w:val="384552"/>
                <w:sz w:val="20"/>
                <w:szCs w:val="20"/>
                <w:lang w:eastAsia="lv-LV"/>
              </w:rPr>
              <w:t>2019</w:t>
            </w:r>
          </w:p>
        </w:tc>
        <w:tc>
          <w:tcPr>
            <w:tcW w:w="165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05AE806" w14:textId="77777777" w:rsidR="0035610E" w:rsidRPr="00847710" w:rsidRDefault="0035610E" w:rsidP="00315286">
            <w:pPr>
              <w:spacing w:after="0" w:line="240" w:lineRule="auto"/>
              <w:jc w:val="center"/>
              <w:rPr>
                <w:rFonts w:ascii="Times New Roman" w:eastAsia="Times New Roman" w:hAnsi="Times New Roman" w:cs="Times New Roman"/>
                <w:b/>
                <w:bCs/>
                <w:color w:val="384552"/>
                <w:sz w:val="20"/>
                <w:szCs w:val="20"/>
                <w:lang w:eastAsia="lv-LV"/>
              </w:rPr>
            </w:pPr>
            <w:r w:rsidRPr="00847710">
              <w:rPr>
                <w:rFonts w:ascii="Times New Roman" w:eastAsia="Times New Roman" w:hAnsi="Times New Roman" w:cs="Times New Roman"/>
                <w:b/>
                <w:bCs/>
                <w:color w:val="384552"/>
                <w:sz w:val="20"/>
                <w:szCs w:val="20"/>
                <w:lang w:eastAsia="lv-LV"/>
              </w:rPr>
              <w:t>2020</w:t>
            </w:r>
          </w:p>
        </w:tc>
      </w:tr>
      <w:tr w:rsidR="0035610E" w:rsidRPr="00847710" w14:paraId="7F527D96" w14:textId="77777777" w:rsidTr="00BC2160">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8E09AC8" w14:textId="77777777" w:rsidR="0035610E" w:rsidRPr="00847710" w:rsidRDefault="0035610E" w:rsidP="009B6F2E">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PZMG prognoze neveicot ieguldījumus</w:t>
            </w: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685D45D8" w14:textId="1F3E36FB" w:rsidR="0035610E" w:rsidRPr="00847710" w:rsidRDefault="0035610E" w:rsidP="009B6F2E">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96 670</w:t>
            </w:r>
          </w:p>
        </w:tc>
        <w:tc>
          <w:tcPr>
            <w:tcW w:w="795" w:type="dxa"/>
            <w:tcBorders>
              <w:top w:val="nil"/>
              <w:left w:val="nil"/>
              <w:bottom w:val="single" w:sz="4" w:space="0" w:color="auto"/>
              <w:right w:val="single" w:sz="4" w:space="0" w:color="auto"/>
            </w:tcBorders>
            <w:shd w:val="clear" w:color="auto" w:fill="auto"/>
            <w:noWrap/>
            <w:vAlign w:val="bottom"/>
            <w:hideMark/>
          </w:tcPr>
          <w:p w14:paraId="5D4D67CD" w14:textId="09FE35DB" w:rsidR="0035610E" w:rsidRPr="00847710" w:rsidRDefault="0035610E" w:rsidP="009B6F2E">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93 374</w:t>
            </w:r>
          </w:p>
        </w:tc>
        <w:tc>
          <w:tcPr>
            <w:tcW w:w="795" w:type="dxa"/>
            <w:tcBorders>
              <w:top w:val="nil"/>
              <w:left w:val="nil"/>
              <w:bottom w:val="single" w:sz="4" w:space="0" w:color="auto"/>
              <w:right w:val="single" w:sz="4" w:space="0" w:color="auto"/>
            </w:tcBorders>
            <w:shd w:val="clear" w:color="auto" w:fill="auto"/>
            <w:noWrap/>
            <w:vAlign w:val="bottom"/>
            <w:hideMark/>
          </w:tcPr>
          <w:p w14:paraId="7D9418BB" w14:textId="62D64FD5" w:rsidR="0035610E" w:rsidRPr="00847710" w:rsidRDefault="0035610E" w:rsidP="009B6F2E">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88 191</w:t>
            </w:r>
          </w:p>
        </w:tc>
        <w:tc>
          <w:tcPr>
            <w:tcW w:w="795" w:type="dxa"/>
            <w:tcBorders>
              <w:top w:val="nil"/>
              <w:left w:val="nil"/>
              <w:bottom w:val="single" w:sz="4" w:space="0" w:color="auto"/>
              <w:right w:val="single" w:sz="4" w:space="0" w:color="auto"/>
            </w:tcBorders>
            <w:shd w:val="clear" w:color="auto" w:fill="auto"/>
            <w:noWrap/>
            <w:vAlign w:val="bottom"/>
            <w:hideMark/>
          </w:tcPr>
          <w:p w14:paraId="3585C867" w14:textId="0CD7EE87" w:rsidR="0035610E" w:rsidRPr="00847710" w:rsidRDefault="0035610E" w:rsidP="009B6F2E">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88 191</w:t>
            </w:r>
          </w:p>
        </w:tc>
        <w:tc>
          <w:tcPr>
            <w:tcW w:w="796" w:type="dxa"/>
            <w:tcBorders>
              <w:top w:val="nil"/>
              <w:left w:val="nil"/>
              <w:bottom w:val="single" w:sz="4" w:space="0" w:color="auto"/>
              <w:right w:val="single" w:sz="4" w:space="0" w:color="auto"/>
            </w:tcBorders>
            <w:shd w:val="clear" w:color="auto" w:fill="auto"/>
            <w:noWrap/>
            <w:vAlign w:val="bottom"/>
            <w:hideMark/>
          </w:tcPr>
          <w:p w14:paraId="6865E4AB" w14:textId="74D12980" w:rsidR="0035610E" w:rsidRPr="00847710" w:rsidRDefault="0035610E" w:rsidP="009B6F2E">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87 541</w:t>
            </w:r>
          </w:p>
        </w:tc>
        <w:tc>
          <w:tcPr>
            <w:tcW w:w="1651" w:type="dxa"/>
            <w:tcBorders>
              <w:top w:val="nil"/>
              <w:left w:val="nil"/>
              <w:bottom w:val="single" w:sz="4" w:space="0" w:color="auto"/>
              <w:right w:val="single" w:sz="4" w:space="0" w:color="auto"/>
            </w:tcBorders>
            <w:shd w:val="clear" w:color="auto" w:fill="auto"/>
            <w:noWrap/>
            <w:vAlign w:val="bottom"/>
            <w:hideMark/>
          </w:tcPr>
          <w:p w14:paraId="28025860" w14:textId="60310E1F" w:rsidR="0035610E" w:rsidRPr="00847710" w:rsidRDefault="0035610E" w:rsidP="009B6F2E">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86 343</w:t>
            </w:r>
          </w:p>
        </w:tc>
        <w:tc>
          <w:tcPr>
            <w:tcW w:w="1651" w:type="dxa"/>
            <w:tcBorders>
              <w:top w:val="nil"/>
              <w:left w:val="nil"/>
              <w:bottom w:val="single" w:sz="4" w:space="0" w:color="auto"/>
              <w:right w:val="single" w:sz="4" w:space="0" w:color="auto"/>
            </w:tcBorders>
            <w:shd w:val="clear" w:color="auto" w:fill="auto"/>
            <w:noWrap/>
            <w:vAlign w:val="bottom"/>
            <w:hideMark/>
          </w:tcPr>
          <w:p w14:paraId="7D05360F" w14:textId="1F12D04D" w:rsidR="0035610E" w:rsidRPr="00847710" w:rsidRDefault="0035610E" w:rsidP="009B6F2E">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85 045</w:t>
            </w:r>
          </w:p>
        </w:tc>
        <w:tc>
          <w:tcPr>
            <w:tcW w:w="1652" w:type="dxa"/>
            <w:tcBorders>
              <w:top w:val="nil"/>
              <w:left w:val="nil"/>
              <w:bottom w:val="single" w:sz="4" w:space="0" w:color="auto"/>
              <w:right w:val="single" w:sz="4" w:space="0" w:color="auto"/>
            </w:tcBorders>
            <w:shd w:val="clear" w:color="auto" w:fill="auto"/>
            <w:noWrap/>
            <w:vAlign w:val="bottom"/>
            <w:hideMark/>
          </w:tcPr>
          <w:p w14:paraId="4BF7DFD3" w14:textId="7F30F22B" w:rsidR="0035610E" w:rsidRPr="00847710" w:rsidRDefault="0035610E" w:rsidP="009B6F2E">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83 913</w:t>
            </w:r>
          </w:p>
        </w:tc>
      </w:tr>
      <w:tr w:rsidR="0035610E" w:rsidRPr="00847710" w14:paraId="4DAF0E49" w14:textId="77777777" w:rsidTr="00BC2160">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AA8DED4" w14:textId="77777777" w:rsidR="0035610E" w:rsidRPr="00847710" w:rsidRDefault="0035610E" w:rsidP="009B6F2E">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PZMG prognoze veicot ieguldījumus</w:t>
            </w:r>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507C9A7B" w14:textId="77777777" w:rsidR="0035610E" w:rsidRPr="00847710" w:rsidRDefault="0035610E" w:rsidP="009B6F2E">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795" w:type="dxa"/>
            <w:tcBorders>
              <w:top w:val="nil"/>
              <w:left w:val="nil"/>
              <w:bottom w:val="single" w:sz="4" w:space="0" w:color="auto"/>
              <w:right w:val="single" w:sz="4" w:space="0" w:color="auto"/>
            </w:tcBorders>
            <w:shd w:val="clear" w:color="auto" w:fill="auto"/>
            <w:noWrap/>
            <w:vAlign w:val="bottom"/>
            <w:hideMark/>
          </w:tcPr>
          <w:p w14:paraId="573F34AD" w14:textId="77777777" w:rsidR="0035610E" w:rsidRPr="00847710" w:rsidRDefault="0035610E" w:rsidP="009B6F2E">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795" w:type="dxa"/>
            <w:tcBorders>
              <w:top w:val="nil"/>
              <w:left w:val="nil"/>
              <w:bottom w:val="single" w:sz="4" w:space="0" w:color="auto"/>
              <w:right w:val="single" w:sz="4" w:space="0" w:color="auto"/>
            </w:tcBorders>
            <w:shd w:val="clear" w:color="auto" w:fill="auto"/>
            <w:noWrap/>
            <w:vAlign w:val="bottom"/>
            <w:hideMark/>
          </w:tcPr>
          <w:p w14:paraId="2ED4C271" w14:textId="77777777" w:rsidR="0035610E" w:rsidRPr="00847710" w:rsidRDefault="0035610E" w:rsidP="009B6F2E">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795" w:type="dxa"/>
            <w:tcBorders>
              <w:top w:val="nil"/>
              <w:left w:val="nil"/>
              <w:bottom w:val="single" w:sz="4" w:space="0" w:color="auto"/>
              <w:right w:val="single" w:sz="4" w:space="0" w:color="auto"/>
            </w:tcBorders>
            <w:shd w:val="clear" w:color="auto" w:fill="auto"/>
            <w:noWrap/>
            <w:vAlign w:val="bottom"/>
            <w:hideMark/>
          </w:tcPr>
          <w:p w14:paraId="33342A9D" w14:textId="0CE90809" w:rsidR="0035610E" w:rsidRPr="00847710" w:rsidRDefault="0035610E" w:rsidP="009B6F2E">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84 371</w:t>
            </w:r>
          </w:p>
        </w:tc>
        <w:tc>
          <w:tcPr>
            <w:tcW w:w="796" w:type="dxa"/>
            <w:tcBorders>
              <w:top w:val="nil"/>
              <w:left w:val="nil"/>
              <w:bottom w:val="single" w:sz="4" w:space="0" w:color="auto"/>
              <w:right w:val="single" w:sz="4" w:space="0" w:color="auto"/>
            </w:tcBorders>
            <w:shd w:val="clear" w:color="auto" w:fill="auto"/>
            <w:noWrap/>
            <w:vAlign w:val="bottom"/>
            <w:hideMark/>
          </w:tcPr>
          <w:p w14:paraId="7353A066" w14:textId="26AC2428" w:rsidR="0035610E" w:rsidRPr="00847710" w:rsidRDefault="0035610E" w:rsidP="009B6F2E">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84 079</w:t>
            </w:r>
          </w:p>
        </w:tc>
        <w:tc>
          <w:tcPr>
            <w:tcW w:w="1651" w:type="dxa"/>
            <w:tcBorders>
              <w:top w:val="nil"/>
              <w:left w:val="nil"/>
              <w:bottom w:val="single" w:sz="4" w:space="0" w:color="auto"/>
              <w:right w:val="single" w:sz="4" w:space="0" w:color="auto"/>
            </w:tcBorders>
            <w:shd w:val="clear" w:color="auto" w:fill="auto"/>
            <w:noWrap/>
            <w:vAlign w:val="bottom"/>
            <w:hideMark/>
          </w:tcPr>
          <w:p w14:paraId="6A3D6150" w14:textId="7465F16F" w:rsidR="0035610E" w:rsidRPr="00847710" w:rsidRDefault="00643B41" w:rsidP="009B6F2E">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8</w:t>
            </w:r>
            <w:r>
              <w:rPr>
                <w:rFonts w:ascii="Times New Roman" w:eastAsia="Times New Roman" w:hAnsi="Times New Roman" w:cs="Times New Roman"/>
                <w:color w:val="000000"/>
                <w:sz w:val="20"/>
                <w:szCs w:val="20"/>
                <w:lang w:eastAsia="lv-LV"/>
              </w:rPr>
              <w:t>3</w:t>
            </w:r>
            <w:r w:rsidRPr="00847710">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918</w:t>
            </w:r>
          </w:p>
        </w:tc>
        <w:tc>
          <w:tcPr>
            <w:tcW w:w="1651" w:type="dxa"/>
            <w:tcBorders>
              <w:top w:val="nil"/>
              <w:left w:val="nil"/>
              <w:bottom w:val="single" w:sz="4" w:space="0" w:color="auto"/>
              <w:right w:val="single" w:sz="4" w:space="0" w:color="auto"/>
            </w:tcBorders>
            <w:shd w:val="clear" w:color="auto" w:fill="auto"/>
            <w:noWrap/>
            <w:vAlign w:val="bottom"/>
            <w:hideMark/>
          </w:tcPr>
          <w:p w14:paraId="4FCB286E" w14:textId="4A50E54F" w:rsidR="0035610E" w:rsidRPr="00847710" w:rsidRDefault="00643B41" w:rsidP="009B6F2E">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81 372</w:t>
            </w:r>
          </w:p>
        </w:tc>
        <w:tc>
          <w:tcPr>
            <w:tcW w:w="1652" w:type="dxa"/>
            <w:tcBorders>
              <w:top w:val="nil"/>
              <w:left w:val="nil"/>
              <w:bottom w:val="single" w:sz="4" w:space="0" w:color="auto"/>
              <w:right w:val="single" w:sz="4" w:space="0" w:color="auto"/>
            </w:tcBorders>
            <w:shd w:val="clear" w:color="auto" w:fill="auto"/>
            <w:noWrap/>
            <w:vAlign w:val="bottom"/>
            <w:hideMark/>
          </w:tcPr>
          <w:p w14:paraId="3FDAF328" w14:textId="0F2595A1" w:rsidR="0035610E" w:rsidRPr="00847710" w:rsidRDefault="00643B41" w:rsidP="009B6F2E">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78 341</w:t>
            </w:r>
          </w:p>
        </w:tc>
      </w:tr>
      <w:tr w:rsidR="00151356" w:rsidRPr="00847710" w14:paraId="3BE10CBF" w14:textId="77777777" w:rsidTr="00BC2160">
        <w:trPr>
          <w:trHeight w:val="300"/>
        </w:trPr>
        <w:tc>
          <w:tcPr>
            <w:tcW w:w="2547"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4FC3EEAB" w14:textId="77777777" w:rsidR="0035610E" w:rsidRPr="00BC2160" w:rsidRDefault="0035610E" w:rsidP="00BC2160">
            <w:pPr>
              <w:spacing w:after="0" w:line="240" w:lineRule="auto"/>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Iegūtie PZMG</w:t>
            </w:r>
          </w:p>
        </w:tc>
        <w:tc>
          <w:tcPr>
            <w:tcW w:w="795"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0A70A23A" w14:textId="77777777" w:rsidR="0035610E" w:rsidRPr="00BC2160" w:rsidRDefault="0035610E" w:rsidP="00BC2160">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DE9D9" w:themeFill="accent6" w:themeFillTint="33"/>
            <w:noWrap/>
            <w:vAlign w:val="bottom"/>
            <w:hideMark/>
          </w:tcPr>
          <w:p w14:paraId="1E0C5421" w14:textId="77777777" w:rsidR="0035610E" w:rsidRPr="00BC2160" w:rsidRDefault="0035610E" w:rsidP="00BC2160">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DE9D9" w:themeFill="accent6" w:themeFillTint="33"/>
            <w:noWrap/>
            <w:vAlign w:val="bottom"/>
            <w:hideMark/>
          </w:tcPr>
          <w:p w14:paraId="5A042D49" w14:textId="77777777" w:rsidR="0035610E" w:rsidRPr="00BC2160" w:rsidRDefault="0035610E" w:rsidP="00BC2160">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DE9D9" w:themeFill="accent6" w:themeFillTint="33"/>
            <w:noWrap/>
            <w:vAlign w:val="bottom"/>
            <w:hideMark/>
          </w:tcPr>
          <w:p w14:paraId="6D4A254E" w14:textId="77777777" w:rsidR="0035610E" w:rsidRPr="00BC2160" w:rsidRDefault="0035610E" w:rsidP="00BC2160">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796" w:type="dxa"/>
            <w:tcBorders>
              <w:top w:val="nil"/>
              <w:left w:val="nil"/>
              <w:bottom w:val="single" w:sz="4" w:space="0" w:color="auto"/>
              <w:right w:val="single" w:sz="4" w:space="0" w:color="auto"/>
            </w:tcBorders>
            <w:shd w:val="clear" w:color="auto" w:fill="FDE9D9" w:themeFill="accent6" w:themeFillTint="33"/>
            <w:noWrap/>
            <w:vAlign w:val="bottom"/>
            <w:hideMark/>
          </w:tcPr>
          <w:p w14:paraId="50860EBB" w14:textId="77777777" w:rsidR="0035610E" w:rsidRPr="00BC2160" w:rsidRDefault="0035610E" w:rsidP="00BC2160">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1651" w:type="dxa"/>
            <w:tcBorders>
              <w:top w:val="nil"/>
              <w:left w:val="nil"/>
              <w:bottom w:val="single" w:sz="4" w:space="0" w:color="auto"/>
              <w:right w:val="single" w:sz="4" w:space="0" w:color="auto"/>
            </w:tcBorders>
            <w:shd w:val="clear" w:color="auto" w:fill="FDE9D9" w:themeFill="accent6" w:themeFillTint="33"/>
            <w:noWrap/>
            <w:vAlign w:val="bottom"/>
            <w:hideMark/>
          </w:tcPr>
          <w:p w14:paraId="41EFFD44" w14:textId="59A6A889" w:rsidR="0035610E" w:rsidRPr="00BC2160" w:rsidRDefault="0035610E" w:rsidP="00BC2160">
            <w:pPr>
              <w:spacing w:after="0" w:line="240" w:lineRule="auto"/>
              <w:jc w:val="right"/>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xml:space="preserve"> 2 </w:t>
            </w:r>
            <w:r w:rsidR="00643B41">
              <w:rPr>
                <w:rFonts w:ascii="Times New Roman" w:eastAsia="Times New Roman" w:hAnsi="Times New Roman" w:cs="Times New Roman"/>
                <w:b/>
                <w:bCs/>
                <w:color w:val="000000"/>
                <w:sz w:val="20"/>
                <w:szCs w:val="20"/>
                <w:lang w:eastAsia="lv-LV"/>
              </w:rPr>
              <w:t>425</w:t>
            </w:r>
          </w:p>
        </w:tc>
        <w:tc>
          <w:tcPr>
            <w:tcW w:w="1651" w:type="dxa"/>
            <w:tcBorders>
              <w:top w:val="nil"/>
              <w:left w:val="nil"/>
              <w:bottom w:val="single" w:sz="4" w:space="0" w:color="auto"/>
              <w:right w:val="single" w:sz="4" w:space="0" w:color="auto"/>
            </w:tcBorders>
            <w:shd w:val="clear" w:color="auto" w:fill="FDE9D9" w:themeFill="accent6" w:themeFillTint="33"/>
            <w:noWrap/>
            <w:vAlign w:val="bottom"/>
            <w:hideMark/>
          </w:tcPr>
          <w:p w14:paraId="2ED3F1AC" w14:textId="3595B95B" w:rsidR="0035610E" w:rsidRPr="00BC2160" w:rsidRDefault="0035610E" w:rsidP="00BC2160">
            <w:pPr>
              <w:spacing w:after="0" w:line="240" w:lineRule="auto"/>
              <w:jc w:val="right"/>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xml:space="preserve">3 </w:t>
            </w:r>
            <w:r w:rsidR="00643B41">
              <w:rPr>
                <w:rFonts w:ascii="Times New Roman" w:eastAsia="Times New Roman" w:hAnsi="Times New Roman" w:cs="Times New Roman"/>
                <w:b/>
                <w:bCs/>
                <w:color w:val="000000"/>
                <w:sz w:val="20"/>
                <w:szCs w:val="20"/>
                <w:lang w:eastAsia="lv-LV"/>
              </w:rPr>
              <w:t>673</w:t>
            </w:r>
          </w:p>
        </w:tc>
        <w:tc>
          <w:tcPr>
            <w:tcW w:w="1652" w:type="dxa"/>
            <w:tcBorders>
              <w:top w:val="nil"/>
              <w:left w:val="nil"/>
              <w:bottom w:val="single" w:sz="4" w:space="0" w:color="auto"/>
              <w:right w:val="single" w:sz="4" w:space="0" w:color="auto"/>
            </w:tcBorders>
            <w:shd w:val="clear" w:color="auto" w:fill="FDE9D9" w:themeFill="accent6" w:themeFillTint="33"/>
            <w:noWrap/>
            <w:vAlign w:val="bottom"/>
            <w:hideMark/>
          </w:tcPr>
          <w:p w14:paraId="13EB1067" w14:textId="75E4B8A1" w:rsidR="0035610E" w:rsidRPr="00BC2160" w:rsidRDefault="00A020C2" w:rsidP="00BC2160">
            <w:pPr>
              <w:spacing w:after="0" w:line="240" w:lineRule="auto"/>
              <w:jc w:val="right"/>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xml:space="preserve">5 </w:t>
            </w:r>
            <w:r w:rsidR="00643B41">
              <w:rPr>
                <w:rFonts w:ascii="Times New Roman" w:eastAsia="Times New Roman" w:hAnsi="Times New Roman" w:cs="Times New Roman"/>
                <w:b/>
                <w:bCs/>
                <w:color w:val="000000"/>
                <w:sz w:val="20"/>
                <w:szCs w:val="20"/>
                <w:lang w:eastAsia="lv-LV"/>
              </w:rPr>
              <w:t>572</w:t>
            </w:r>
          </w:p>
        </w:tc>
      </w:tr>
      <w:tr w:rsidR="0009549D" w:rsidRPr="00847710" w14:paraId="0DCCEA6D" w14:textId="77777777" w:rsidTr="00BC216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197642BD" w14:textId="2AE375D6" w:rsidR="0009549D" w:rsidRPr="00BC2160" w:rsidRDefault="0009549D" w:rsidP="00BC2160">
            <w:pPr>
              <w:spacing w:after="0" w:line="240" w:lineRule="auto"/>
              <w:jc w:val="right"/>
              <w:rPr>
                <w:rFonts w:ascii="Times New Roman" w:eastAsia="Times New Roman" w:hAnsi="Times New Roman" w:cs="Times New Roman"/>
                <w:i/>
                <w:iCs/>
                <w:sz w:val="20"/>
                <w:szCs w:val="20"/>
                <w:lang w:eastAsia="lv-LV"/>
              </w:rPr>
            </w:pPr>
            <w:r w:rsidRPr="57326167">
              <w:rPr>
                <w:rFonts w:ascii="Times New Roman" w:hAnsi="Times New Roman" w:cs="Times New Roman"/>
                <w:i/>
                <w:iCs/>
                <w:sz w:val="20"/>
                <w:szCs w:val="20"/>
              </w:rPr>
              <w:t>Veselības aprūpes pakalpojumu pieejamības uzlabošana</w:t>
            </w:r>
          </w:p>
        </w:tc>
        <w:tc>
          <w:tcPr>
            <w:tcW w:w="795" w:type="dxa"/>
            <w:tcBorders>
              <w:top w:val="nil"/>
              <w:left w:val="single" w:sz="4" w:space="0" w:color="auto"/>
              <w:bottom w:val="single" w:sz="4" w:space="0" w:color="auto"/>
              <w:right w:val="single" w:sz="4" w:space="0" w:color="auto"/>
            </w:tcBorders>
            <w:shd w:val="clear" w:color="auto" w:fill="auto"/>
            <w:noWrap/>
            <w:vAlign w:val="bottom"/>
          </w:tcPr>
          <w:p w14:paraId="68EB17D0"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1DFD6786"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1D7934CE"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4DEB945B"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6" w:type="dxa"/>
            <w:tcBorders>
              <w:top w:val="nil"/>
              <w:left w:val="nil"/>
              <w:bottom w:val="single" w:sz="4" w:space="0" w:color="auto"/>
              <w:right w:val="single" w:sz="4" w:space="0" w:color="auto"/>
            </w:tcBorders>
            <w:shd w:val="clear" w:color="auto" w:fill="auto"/>
            <w:noWrap/>
            <w:vAlign w:val="bottom"/>
          </w:tcPr>
          <w:p w14:paraId="61A758DF"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1651" w:type="dxa"/>
            <w:tcBorders>
              <w:top w:val="nil"/>
              <w:left w:val="nil"/>
              <w:bottom w:val="single" w:sz="4" w:space="0" w:color="auto"/>
              <w:right w:val="single" w:sz="4" w:space="0" w:color="auto"/>
            </w:tcBorders>
            <w:shd w:val="clear" w:color="auto" w:fill="auto"/>
            <w:noWrap/>
            <w:vAlign w:val="bottom"/>
          </w:tcPr>
          <w:p w14:paraId="6C095FD7" w14:textId="6CDBBA60" w:rsidR="0009549D" w:rsidRPr="00BC2160" w:rsidRDefault="0009549D" w:rsidP="00BC2160">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518</w:t>
            </w:r>
          </w:p>
        </w:tc>
        <w:tc>
          <w:tcPr>
            <w:tcW w:w="1651" w:type="dxa"/>
            <w:tcBorders>
              <w:top w:val="nil"/>
              <w:left w:val="nil"/>
              <w:bottom w:val="single" w:sz="4" w:space="0" w:color="auto"/>
              <w:right w:val="single" w:sz="4" w:space="0" w:color="auto"/>
            </w:tcBorders>
            <w:shd w:val="clear" w:color="auto" w:fill="auto"/>
            <w:noWrap/>
            <w:vAlign w:val="bottom"/>
          </w:tcPr>
          <w:p w14:paraId="3EAEAC79" w14:textId="4489EA96" w:rsidR="0009549D" w:rsidRPr="00BC2160" w:rsidRDefault="0009549D" w:rsidP="00BC2160">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904</w:t>
            </w:r>
          </w:p>
        </w:tc>
        <w:tc>
          <w:tcPr>
            <w:tcW w:w="1652" w:type="dxa"/>
            <w:tcBorders>
              <w:top w:val="nil"/>
              <w:left w:val="nil"/>
              <w:bottom w:val="single" w:sz="4" w:space="0" w:color="auto"/>
              <w:right w:val="single" w:sz="4" w:space="0" w:color="auto"/>
            </w:tcBorders>
            <w:shd w:val="clear" w:color="auto" w:fill="auto"/>
            <w:noWrap/>
            <w:vAlign w:val="bottom"/>
          </w:tcPr>
          <w:p w14:paraId="4E1B710D" w14:textId="5B3DA041" w:rsidR="0009549D" w:rsidRPr="00BC2160" w:rsidRDefault="00643B41" w:rsidP="00BC2160">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158</w:t>
            </w:r>
            <w:r>
              <w:rPr>
                <w:rFonts w:ascii="Times New Roman" w:hAnsi="Times New Roman" w:cs="Times New Roman"/>
                <w:i/>
                <w:iCs/>
                <w:color w:val="000000"/>
                <w:sz w:val="20"/>
                <w:szCs w:val="20"/>
              </w:rPr>
              <w:t>7</w:t>
            </w:r>
          </w:p>
        </w:tc>
      </w:tr>
      <w:tr w:rsidR="0009549D" w:rsidRPr="00847710" w14:paraId="4B36456E" w14:textId="77777777" w:rsidTr="00BC216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04596CEA" w14:textId="732C5D11" w:rsidR="0009549D" w:rsidRPr="00BC2160" w:rsidRDefault="0009549D" w:rsidP="00BC2160">
            <w:pPr>
              <w:spacing w:after="0" w:line="240" w:lineRule="auto"/>
              <w:jc w:val="right"/>
              <w:rPr>
                <w:rFonts w:ascii="Times New Roman" w:eastAsia="Times New Roman" w:hAnsi="Times New Roman" w:cs="Times New Roman"/>
                <w:i/>
                <w:iCs/>
                <w:sz w:val="20"/>
                <w:szCs w:val="20"/>
                <w:lang w:eastAsia="lv-LV"/>
              </w:rPr>
            </w:pPr>
            <w:r w:rsidRPr="57326167">
              <w:rPr>
                <w:rFonts w:ascii="Times New Roman" w:hAnsi="Times New Roman" w:cs="Times New Roman"/>
                <w:i/>
                <w:iCs/>
                <w:sz w:val="20"/>
                <w:szCs w:val="20"/>
              </w:rPr>
              <w:t>Onkoloģisko saslimšanu diagnostikas un ārstēšanas pieejamības uzlabošana</w:t>
            </w:r>
          </w:p>
        </w:tc>
        <w:tc>
          <w:tcPr>
            <w:tcW w:w="795" w:type="dxa"/>
            <w:tcBorders>
              <w:top w:val="nil"/>
              <w:left w:val="single" w:sz="4" w:space="0" w:color="auto"/>
              <w:bottom w:val="single" w:sz="4" w:space="0" w:color="auto"/>
              <w:right w:val="single" w:sz="4" w:space="0" w:color="auto"/>
            </w:tcBorders>
            <w:shd w:val="clear" w:color="auto" w:fill="auto"/>
            <w:noWrap/>
            <w:vAlign w:val="bottom"/>
          </w:tcPr>
          <w:p w14:paraId="75B41144"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180749C1"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6AA521E4"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5C120B2F"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6" w:type="dxa"/>
            <w:tcBorders>
              <w:top w:val="nil"/>
              <w:left w:val="nil"/>
              <w:bottom w:val="single" w:sz="4" w:space="0" w:color="auto"/>
              <w:right w:val="single" w:sz="4" w:space="0" w:color="auto"/>
            </w:tcBorders>
            <w:shd w:val="clear" w:color="auto" w:fill="auto"/>
            <w:noWrap/>
            <w:vAlign w:val="bottom"/>
          </w:tcPr>
          <w:p w14:paraId="3B43DE5F"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1651" w:type="dxa"/>
            <w:tcBorders>
              <w:top w:val="nil"/>
              <w:left w:val="nil"/>
              <w:bottom w:val="single" w:sz="4" w:space="0" w:color="auto"/>
              <w:right w:val="single" w:sz="4" w:space="0" w:color="auto"/>
            </w:tcBorders>
            <w:shd w:val="clear" w:color="auto" w:fill="auto"/>
            <w:noWrap/>
            <w:vAlign w:val="bottom"/>
          </w:tcPr>
          <w:p w14:paraId="35B6A340" w14:textId="6F82B4C1" w:rsidR="0009549D" w:rsidRPr="00BC2160" w:rsidRDefault="0009549D" w:rsidP="00BC2160">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578</w:t>
            </w:r>
          </w:p>
        </w:tc>
        <w:tc>
          <w:tcPr>
            <w:tcW w:w="1651" w:type="dxa"/>
            <w:tcBorders>
              <w:top w:val="nil"/>
              <w:left w:val="nil"/>
              <w:bottom w:val="single" w:sz="4" w:space="0" w:color="auto"/>
              <w:right w:val="single" w:sz="4" w:space="0" w:color="auto"/>
            </w:tcBorders>
            <w:shd w:val="clear" w:color="auto" w:fill="auto"/>
            <w:noWrap/>
            <w:vAlign w:val="bottom"/>
          </w:tcPr>
          <w:p w14:paraId="3AA1A5B1" w14:textId="045D32A6" w:rsidR="0009549D" w:rsidRPr="00BC2160" w:rsidRDefault="0009549D" w:rsidP="00BC2160">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687</w:t>
            </w:r>
          </w:p>
        </w:tc>
        <w:tc>
          <w:tcPr>
            <w:tcW w:w="1652" w:type="dxa"/>
            <w:tcBorders>
              <w:top w:val="nil"/>
              <w:left w:val="nil"/>
              <w:bottom w:val="single" w:sz="4" w:space="0" w:color="auto"/>
              <w:right w:val="single" w:sz="4" w:space="0" w:color="auto"/>
            </w:tcBorders>
            <w:shd w:val="clear" w:color="auto" w:fill="auto"/>
            <w:noWrap/>
            <w:vAlign w:val="bottom"/>
          </w:tcPr>
          <w:p w14:paraId="665E502A" w14:textId="35E1E40D" w:rsidR="0009549D" w:rsidRPr="00BC2160" w:rsidRDefault="00643B41" w:rsidP="00BC2160">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1</w:t>
            </w:r>
            <w:r>
              <w:rPr>
                <w:rFonts w:ascii="Times New Roman" w:hAnsi="Times New Roman" w:cs="Times New Roman"/>
                <w:i/>
                <w:iCs/>
                <w:color w:val="000000"/>
                <w:sz w:val="20"/>
                <w:szCs w:val="20"/>
              </w:rPr>
              <w:t>246</w:t>
            </w:r>
          </w:p>
        </w:tc>
      </w:tr>
      <w:tr w:rsidR="0009549D" w:rsidRPr="00847710" w14:paraId="2B72C2C8" w14:textId="77777777" w:rsidTr="00BC216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1BBC068C" w14:textId="07FB5C93" w:rsidR="0009549D" w:rsidRPr="00BC2160" w:rsidRDefault="0009549D" w:rsidP="00BC2160">
            <w:pPr>
              <w:spacing w:after="0" w:line="240" w:lineRule="auto"/>
              <w:jc w:val="right"/>
              <w:rPr>
                <w:rFonts w:ascii="Times New Roman" w:eastAsia="Times New Roman" w:hAnsi="Times New Roman" w:cs="Times New Roman"/>
                <w:i/>
                <w:iCs/>
                <w:sz w:val="20"/>
                <w:szCs w:val="20"/>
                <w:lang w:eastAsia="lv-LV"/>
              </w:rPr>
            </w:pPr>
            <w:r w:rsidRPr="57326167">
              <w:rPr>
                <w:rFonts w:ascii="Times New Roman" w:hAnsi="Times New Roman" w:cs="Times New Roman"/>
                <w:i/>
                <w:iCs/>
                <w:sz w:val="20"/>
                <w:szCs w:val="20"/>
              </w:rPr>
              <w:t>Infekcijas slimību izplatības mazināšana</w:t>
            </w:r>
          </w:p>
        </w:tc>
        <w:tc>
          <w:tcPr>
            <w:tcW w:w="795" w:type="dxa"/>
            <w:tcBorders>
              <w:top w:val="nil"/>
              <w:left w:val="single" w:sz="4" w:space="0" w:color="auto"/>
              <w:bottom w:val="single" w:sz="4" w:space="0" w:color="auto"/>
              <w:right w:val="single" w:sz="4" w:space="0" w:color="auto"/>
            </w:tcBorders>
            <w:shd w:val="clear" w:color="auto" w:fill="auto"/>
            <w:noWrap/>
            <w:vAlign w:val="bottom"/>
          </w:tcPr>
          <w:p w14:paraId="1753EA59"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095228BC"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2FF163F4"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5A944F32"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6" w:type="dxa"/>
            <w:tcBorders>
              <w:top w:val="nil"/>
              <w:left w:val="nil"/>
              <w:bottom w:val="single" w:sz="4" w:space="0" w:color="auto"/>
              <w:right w:val="single" w:sz="4" w:space="0" w:color="auto"/>
            </w:tcBorders>
            <w:shd w:val="clear" w:color="auto" w:fill="auto"/>
            <w:noWrap/>
            <w:vAlign w:val="bottom"/>
          </w:tcPr>
          <w:p w14:paraId="06AF1CEA"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1651" w:type="dxa"/>
            <w:tcBorders>
              <w:top w:val="nil"/>
              <w:left w:val="nil"/>
              <w:bottom w:val="single" w:sz="4" w:space="0" w:color="auto"/>
              <w:right w:val="single" w:sz="4" w:space="0" w:color="auto"/>
            </w:tcBorders>
            <w:shd w:val="clear" w:color="auto" w:fill="auto"/>
            <w:noWrap/>
            <w:vAlign w:val="bottom"/>
          </w:tcPr>
          <w:p w14:paraId="06F4F821" w14:textId="04D553F2" w:rsidR="0009549D" w:rsidRPr="00BC2160" w:rsidRDefault="00643B41" w:rsidP="00BC2160">
            <w:pPr>
              <w:spacing w:after="0" w:line="240" w:lineRule="auto"/>
              <w:jc w:val="right"/>
              <w:rPr>
                <w:rFonts w:ascii="Times New Roman" w:eastAsia="Times New Roman" w:hAnsi="Times New Roman" w:cs="Times New Roman"/>
                <w:i/>
                <w:iCs/>
                <w:color w:val="000000" w:themeColor="text1"/>
                <w:sz w:val="20"/>
                <w:szCs w:val="20"/>
                <w:lang w:eastAsia="lv-LV"/>
              </w:rPr>
            </w:pPr>
            <w:r>
              <w:rPr>
                <w:rFonts w:ascii="Times New Roman" w:hAnsi="Times New Roman" w:cs="Times New Roman"/>
                <w:i/>
                <w:iCs/>
                <w:color w:val="000000"/>
                <w:sz w:val="20"/>
                <w:szCs w:val="20"/>
              </w:rPr>
              <w:t>534</w:t>
            </w:r>
          </w:p>
        </w:tc>
        <w:tc>
          <w:tcPr>
            <w:tcW w:w="1651" w:type="dxa"/>
            <w:tcBorders>
              <w:top w:val="nil"/>
              <w:left w:val="nil"/>
              <w:bottom w:val="single" w:sz="4" w:space="0" w:color="auto"/>
              <w:right w:val="single" w:sz="4" w:space="0" w:color="auto"/>
            </w:tcBorders>
            <w:shd w:val="clear" w:color="auto" w:fill="auto"/>
            <w:noWrap/>
            <w:vAlign w:val="bottom"/>
          </w:tcPr>
          <w:p w14:paraId="7EDFC986" w14:textId="4C2E711C" w:rsidR="0009549D" w:rsidRPr="00BC2160" w:rsidRDefault="00643B41" w:rsidP="00BC2160">
            <w:pPr>
              <w:spacing w:after="0" w:line="240" w:lineRule="auto"/>
              <w:jc w:val="right"/>
              <w:rPr>
                <w:rFonts w:ascii="Times New Roman" w:eastAsia="Times New Roman" w:hAnsi="Times New Roman" w:cs="Times New Roman"/>
                <w:i/>
                <w:iCs/>
                <w:color w:val="000000" w:themeColor="text1"/>
                <w:sz w:val="20"/>
                <w:szCs w:val="20"/>
                <w:lang w:eastAsia="lv-LV"/>
              </w:rPr>
            </w:pPr>
            <w:r>
              <w:rPr>
                <w:rFonts w:ascii="Times New Roman" w:hAnsi="Times New Roman" w:cs="Times New Roman"/>
                <w:i/>
                <w:iCs/>
                <w:color w:val="000000"/>
                <w:sz w:val="20"/>
                <w:szCs w:val="20"/>
              </w:rPr>
              <w:t>1181</w:t>
            </w:r>
          </w:p>
        </w:tc>
        <w:tc>
          <w:tcPr>
            <w:tcW w:w="1652" w:type="dxa"/>
            <w:tcBorders>
              <w:top w:val="nil"/>
              <w:left w:val="nil"/>
              <w:bottom w:val="single" w:sz="4" w:space="0" w:color="auto"/>
              <w:right w:val="single" w:sz="4" w:space="0" w:color="auto"/>
            </w:tcBorders>
            <w:shd w:val="clear" w:color="auto" w:fill="auto"/>
            <w:noWrap/>
            <w:vAlign w:val="bottom"/>
          </w:tcPr>
          <w:p w14:paraId="6A431B14" w14:textId="7816B4D3" w:rsidR="0009549D" w:rsidRPr="00BC2160" w:rsidRDefault="00643B41" w:rsidP="00BC2160">
            <w:pPr>
              <w:spacing w:after="0" w:line="240" w:lineRule="auto"/>
              <w:jc w:val="right"/>
              <w:rPr>
                <w:rFonts w:ascii="Times New Roman" w:eastAsia="Times New Roman" w:hAnsi="Times New Roman" w:cs="Times New Roman"/>
                <w:i/>
                <w:iCs/>
                <w:color w:val="000000" w:themeColor="text1"/>
                <w:sz w:val="20"/>
                <w:szCs w:val="20"/>
                <w:lang w:eastAsia="lv-LV"/>
              </w:rPr>
            </w:pPr>
            <w:r>
              <w:rPr>
                <w:rFonts w:ascii="Times New Roman" w:hAnsi="Times New Roman" w:cs="Times New Roman"/>
                <w:i/>
                <w:iCs/>
                <w:color w:val="000000"/>
                <w:sz w:val="20"/>
                <w:szCs w:val="20"/>
              </w:rPr>
              <w:t>1645</w:t>
            </w:r>
          </w:p>
        </w:tc>
      </w:tr>
      <w:tr w:rsidR="0009549D" w:rsidRPr="00847710" w14:paraId="47D62CE8" w14:textId="77777777" w:rsidTr="00BC216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6AD8B26B" w14:textId="511B2F92" w:rsidR="0009549D" w:rsidRPr="00BC2160" w:rsidRDefault="0009549D" w:rsidP="00BC2160">
            <w:pPr>
              <w:spacing w:after="0" w:line="240" w:lineRule="auto"/>
              <w:jc w:val="right"/>
              <w:rPr>
                <w:rFonts w:ascii="Times New Roman" w:eastAsia="Times New Roman" w:hAnsi="Times New Roman" w:cs="Times New Roman"/>
                <w:i/>
                <w:iCs/>
                <w:sz w:val="20"/>
                <w:szCs w:val="20"/>
                <w:lang w:eastAsia="lv-LV"/>
              </w:rPr>
            </w:pPr>
            <w:r w:rsidRPr="57326167">
              <w:rPr>
                <w:rFonts w:ascii="Times New Roman" w:hAnsi="Times New Roman" w:cs="Times New Roman"/>
                <w:i/>
                <w:iCs/>
                <w:sz w:val="20"/>
                <w:szCs w:val="20"/>
              </w:rPr>
              <w:t>Primārās veselības aprūpes sistēmas kvalitātes un pieejamības uzlabošana</w:t>
            </w:r>
          </w:p>
        </w:tc>
        <w:tc>
          <w:tcPr>
            <w:tcW w:w="795" w:type="dxa"/>
            <w:tcBorders>
              <w:top w:val="nil"/>
              <w:left w:val="single" w:sz="4" w:space="0" w:color="auto"/>
              <w:bottom w:val="single" w:sz="4" w:space="0" w:color="auto"/>
              <w:right w:val="single" w:sz="4" w:space="0" w:color="auto"/>
            </w:tcBorders>
            <w:shd w:val="clear" w:color="auto" w:fill="auto"/>
            <w:noWrap/>
            <w:vAlign w:val="bottom"/>
          </w:tcPr>
          <w:p w14:paraId="16419E3F"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6E609599"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0A581010"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6F6CE47E"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6" w:type="dxa"/>
            <w:tcBorders>
              <w:top w:val="nil"/>
              <w:left w:val="nil"/>
              <w:bottom w:val="single" w:sz="4" w:space="0" w:color="auto"/>
              <w:right w:val="single" w:sz="4" w:space="0" w:color="auto"/>
            </w:tcBorders>
            <w:shd w:val="clear" w:color="auto" w:fill="auto"/>
            <w:noWrap/>
            <w:vAlign w:val="bottom"/>
          </w:tcPr>
          <w:p w14:paraId="3F8695D5"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1651" w:type="dxa"/>
            <w:tcBorders>
              <w:top w:val="nil"/>
              <w:left w:val="nil"/>
              <w:bottom w:val="single" w:sz="4" w:space="0" w:color="auto"/>
              <w:right w:val="single" w:sz="4" w:space="0" w:color="auto"/>
            </w:tcBorders>
            <w:shd w:val="clear" w:color="auto" w:fill="auto"/>
            <w:noWrap/>
            <w:vAlign w:val="bottom"/>
          </w:tcPr>
          <w:p w14:paraId="292EE120" w14:textId="1F3A246A" w:rsidR="0009549D" w:rsidRPr="00BC2160" w:rsidRDefault="0009549D" w:rsidP="00BC2160">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102</w:t>
            </w:r>
          </w:p>
        </w:tc>
        <w:tc>
          <w:tcPr>
            <w:tcW w:w="1651" w:type="dxa"/>
            <w:tcBorders>
              <w:top w:val="nil"/>
              <w:left w:val="nil"/>
              <w:bottom w:val="single" w:sz="4" w:space="0" w:color="auto"/>
              <w:right w:val="single" w:sz="4" w:space="0" w:color="auto"/>
            </w:tcBorders>
            <w:shd w:val="clear" w:color="auto" w:fill="auto"/>
            <w:noWrap/>
            <w:vAlign w:val="bottom"/>
          </w:tcPr>
          <w:p w14:paraId="067F4CD0" w14:textId="1493B5E6" w:rsidR="0009549D" w:rsidRPr="00BC2160" w:rsidRDefault="0009549D" w:rsidP="00BC2160">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114</w:t>
            </w:r>
          </w:p>
        </w:tc>
        <w:tc>
          <w:tcPr>
            <w:tcW w:w="1652" w:type="dxa"/>
            <w:tcBorders>
              <w:top w:val="nil"/>
              <w:left w:val="nil"/>
              <w:bottom w:val="single" w:sz="4" w:space="0" w:color="auto"/>
              <w:right w:val="single" w:sz="4" w:space="0" w:color="auto"/>
            </w:tcBorders>
            <w:shd w:val="clear" w:color="auto" w:fill="auto"/>
            <w:noWrap/>
            <w:vAlign w:val="bottom"/>
          </w:tcPr>
          <w:p w14:paraId="5CB28647" w14:textId="4DC05EBC" w:rsidR="0009549D" w:rsidRPr="00BC2160" w:rsidRDefault="00643B41" w:rsidP="00BC2160">
            <w:pPr>
              <w:spacing w:after="0" w:line="240" w:lineRule="auto"/>
              <w:jc w:val="right"/>
              <w:rPr>
                <w:rFonts w:ascii="Times New Roman" w:eastAsia="Times New Roman" w:hAnsi="Times New Roman" w:cs="Times New Roman"/>
                <w:i/>
                <w:iCs/>
                <w:color w:val="000000" w:themeColor="text1"/>
                <w:sz w:val="20"/>
                <w:szCs w:val="20"/>
                <w:lang w:eastAsia="lv-LV"/>
              </w:rPr>
            </w:pPr>
            <w:r>
              <w:rPr>
                <w:rFonts w:ascii="Times New Roman" w:hAnsi="Times New Roman" w:cs="Times New Roman"/>
                <w:i/>
                <w:iCs/>
                <w:color w:val="000000"/>
                <w:sz w:val="20"/>
                <w:szCs w:val="20"/>
              </w:rPr>
              <w:t>216</w:t>
            </w:r>
          </w:p>
        </w:tc>
      </w:tr>
      <w:tr w:rsidR="0009549D" w:rsidRPr="00847710" w14:paraId="11FCC260" w14:textId="77777777" w:rsidTr="00BC216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3889B7A5" w14:textId="1AFCC869" w:rsidR="0009549D" w:rsidRPr="00BC2160" w:rsidRDefault="0009549D" w:rsidP="00BC2160">
            <w:pPr>
              <w:spacing w:after="0" w:line="240" w:lineRule="auto"/>
              <w:jc w:val="right"/>
              <w:rPr>
                <w:rFonts w:ascii="Times New Roman" w:eastAsia="Times New Roman" w:hAnsi="Times New Roman" w:cs="Times New Roman"/>
                <w:i/>
                <w:iCs/>
                <w:sz w:val="20"/>
                <w:szCs w:val="20"/>
                <w:lang w:eastAsia="lv-LV"/>
              </w:rPr>
            </w:pPr>
            <w:r w:rsidRPr="57326167">
              <w:rPr>
                <w:rFonts w:ascii="Times New Roman" w:hAnsi="Times New Roman" w:cs="Times New Roman"/>
                <w:i/>
                <w:iCs/>
                <w:sz w:val="20"/>
                <w:szCs w:val="20"/>
              </w:rPr>
              <w:t>Kardiovaskulārās saslimstības mazināšanai un slimību ārstēšanas efektivitātes uzlabošana</w:t>
            </w:r>
          </w:p>
        </w:tc>
        <w:tc>
          <w:tcPr>
            <w:tcW w:w="795" w:type="dxa"/>
            <w:tcBorders>
              <w:top w:val="nil"/>
              <w:left w:val="single" w:sz="4" w:space="0" w:color="auto"/>
              <w:bottom w:val="single" w:sz="4" w:space="0" w:color="auto"/>
              <w:right w:val="single" w:sz="4" w:space="0" w:color="auto"/>
            </w:tcBorders>
            <w:shd w:val="clear" w:color="auto" w:fill="auto"/>
            <w:noWrap/>
            <w:vAlign w:val="bottom"/>
          </w:tcPr>
          <w:p w14:paraId="165716E0"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2615525D"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1B057C19"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3C769B68"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796" w:type="dxa"/>
            <w:tcBorders>
              <w:top w:val="nil"/>
              <w:left w:val="nil"/>
              <w:bottom w:val="single" w:sz="4" w:space="0" w:color="auto"/>
              <w:right w:val="single" w:sz="4" w:space="0" w:color="auto"/>
            </w:tcBorders>
            <w:shd w:val="clear" w:color="auto" w:fill="auto"/>
            <w:noWrap/>
            <w:vAlign w:val="bottom"/>
          </w:tcPr>
          <w:p w14:paraId="2D34B3D5" w14:textId="77777777" w:rsidR="0009549D" w:rsidRPr="00847710" w:rsidRDefault="0009549D" w:rsidP="0009549D">
            <w:pPr>
              <w:spacing w:after="0" w:line="240" w:lineRule="auto"/>
              <w:rPr>
                <w:rFonts w:ascii="Times New Roman" w:eastAsia="Times New Roman" w:hAnsi="Times New Roman" w:cs="Times New Roman"/>
                <w:i/>
                <w:color w:val="000000"/>
                <w:sz w:val="20"/>
                <w:szCs w:val="20"/>
                <w:lang w:eastAsia="lv-LV"/>
              </w:rPr>
            </w:pPr>
          </w:p>
        </w:tc>
        <w:tc>
          <w:tcPr>
            <w:tcW w:w="1651" w:type="dxa"/>
            <w:tcBorders>
              <w:top w:val="nil"/>
              <w:left w:val="nil"/>
              <w:bottom w:val="single" w:sz="4" w:space="0" w:color="auto"/>
              <w:right w:val="single" w:sz="4" w:space="0" w:color="auto"/>
            </w:tcBorders>
            <w:shd w:val="clear" w:color="auto" w:fill="auto"/>
            <w:noWrap/>
            <w:vAlign w:val="bottom"/>
          </w:tcPr>
          <w:p w14:paraId="59E3BE0E" w14:textId="3F03D459" w:rsidR="0009549D" w:rsidRPr="00BC2160" w:rsidRDefault="0009549D" w:rsidP="00BC2160">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693</w:t>
            </w:r>
          </w:p>
        </w:tc>
        <w:tc>
          <w:tcPr>
            <w:tcW w:w="1651" w:type="dxa"/>
            <w:tcBorders>
              <w:top w:val="nil"/>
              <w:left w:val="nil"/>
              <w:bottom w:val="single" w:sz="4" w:space="0" w:color="auto"/>
              <w:right w:val="single" w:sz="4" w:space="0" w:color="auto"/>
            </w:tcBorders>
            <w:shd w:val="clear" w:color="auto" w:fill="auto"/>
            <w:noWrap/>
            <w:vAlign w:val="bottom"/>
          </w:tcPr>
          <w:p w14:paraId="10FF0A76" w14:textId="10F63DC4" w:rsidR="0009549D" w:rsidRPr="00BC2160" w:rsidRDefault="0009549D" w:rsidP="00BC2160">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787</w:t>
            </w:r>
          </w:p>
        </w:tc>
        <w:tc>
          <w:tcPr>
            <w:tcW w:w="1652" w:type="dxa"/>
            <w:tcBorders>
              <w:top w:val="nil"/>
              <w:left w:val="nil"/>
              <w:bottom w:val="single" w:sz="4" w:space="0" w:color="auto"/>
              <w:right w:val="single" w:sz="4" w:space="0" w:color="auto"/>
            </w:tcBorders>
            <w:shd w:val="clear" w:color="auto" w:fill="auto"/>
            <w:noWrap/>
            <w:vAlign w:val="bottom"/>
          </w:tcPr>
          <w:p w14:paraId="23410F82" w14:textId="14925DD8" w:rsidR="0009549D" w:rsidRPr="00BC2160" w:rsidRDefault="00643B41" w:rsidP="00BC2160">
            <w:pPr>
              <w:spacing w:after="0" w:line="240" w:lineRule="auto"/>
              <w:jc w:val="right"/>
              <w:rPr>
                <w:rFonts w:ascii="Times New Roman" w:eastAsia="Times New Roman" w:hAnsi="Times New Roman" w:cs="Times New Roman"/>
                <w:i/>
                <w:iCs/>
                <w:color w:val="000000" w:themeColor="text1"/>
                <w:sz w:val="20"/>
                <w:szCs w:val="20"/>
                <w:lang w:eastAsia="lv-LV"/>
              </w:rPr>
            </w:pPr>
            <w:r w:rsidRPr="57326167">
              <w:rPr>
                <w:rFonts w:ascii="Times New Roman" w:hAnsi="Times New Roman" w:cs="Times New Roman"/>
                <w:i/>
                <w:iCs/>
                <w:color w:val="000000"/>
                <w:sz w:val="20"/>
                <w:szCs w:val="20"/>
              </w:rPr>
              <w:t>87</w:t>
            </w:r>
            <w:r>
              <w:rPr>
                <w:rFonts w:ascii="Times New Roman" w:hAnsi="Times New Roman" w:cs="Times New Roman"/>
                <w:i/>
                <w:iCs/>
                <w:color w:val="000000"/>
                <w:sz w:val="20"/>
                <w:szCs w:val="20"/>
              </w:rPr>
              <w:t>8</w:t>
            </w:r>
          </w:p>
        </w:tc>
      </w:tr>
      <w:tr w:rsidR="0035610E" w:rsidRPr="00847710" w14:paraId="3B74A7CB" w14:textId="77777777" w:rsidTr="00BC216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1A12FED6" w14:textId="5F5F7DE8" w:rsidR="0035610E" w:rsidRPr="00847710" w:rsidRDefault="0035610E" w:rsidP="0035610E">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IKP uz vienu iedzīvotāju gadā</w:t>
            </w:r>
            <w:r w:rsidR="0009549D" w:rsidRPr="00847710">
              <w:rPr>
                <w:rFonts w:ascii="Times New Roman" w:eastAsia="Times New Roman" w:hAnsi="Times New Roman" w:cs="Times New Roman"/>
                <w:sz w:val="20"/>
                <w:szCs w:val="20"/>
                <w:lang w:eastAsia="lv-LV"/>
              </w:rPr>
              <w:t>, euro</w:t>
            </w:r>
          </w:p>
        </w:tc>
        <w:tc>
          <w:tcPr>
            <w:tcW w:w="795" w:type="dxa"/>
            <w:tcBorders>
              <w:top w:val="nil"/>
              <w:left w:val="single" w:sz="4" w:space="0" w:color="auto"/>
              <w:bottom w:val="single" w:sz="4" w:space="0" w:color="auto"/>
              <w:right w:val="single" w:sz="4" w:space="0" w:color="auto"/>
            </w:tcBorders>
            <w:shd w:val="clear" w:color="auto" w:fill="auto"/>
            <w:noWrap/>
            <w:vAlign w:val="center"/>
          </w:tcPr>
          <w:p w14:paraId="65C70898" w14:textId="26A8D9BA" w:rsidR="0035610E" w:rsidRPr="00847710" w:rsidRDefault="0035610E" w:rsidP="0035610E">
            <w:pPr>
              <w:spacing w:after="0" w:line="240" w:lineRule="auto"/>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384552"/>
                <w:sz w:val="20"/>
                <w:szCs w:val="20"/>
              </w:rPr>
              <w:t xml:space="preserve">               11 315 </w:t>
            </w:r>
          </w:p>
        </w:tc>
        <w:tc>
          <w:tcPr>
            <w:tcW w:w="795" w:type="dxa"/>
            <w:tcBorders>
              <w:top w:val="nil"/>
              <w:left w:val="nil"/>
              <w:bottom w:val="single" w:sz="4" w:space="0" w:color="auto"/>
              <w:right w:val="single" w:sz="4" w:space="0" w:color="auto"/>
            </w:tcBorders>
            <w:shd w:val="clear" w:color="auto" w:fill="auto"/>
            <w:noWrap/>
            <w:vAlign w:val="center"/>
          </w:tcPr>
          <w:p w14:paraId="1FA1998B" w14:textId="36B584D0" w:rsidR="0035610E" w:rsidRPr="00847710" w:rsidRDefault="0035610E" w:rsidP="0035610E">
            <w:pPr>
              <w:spacing w:after="0" w:line="240" w:lineRule="auto"/>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384552"/>
                <w:sz w:val="20"/>
                <w:szCs w:val="20"/>
              </w:rPr>
              <w:t xml:space="preserve">               11 838 </w:t>
            </w:r>
          </w:p>
        </w:tc>
        <w:tc>
          <w:tcPr>
            <w:tcW w:w="795" w:type="dxa"/>
            <w:tcBorders>
              <w:top w:val="nil"/>
              <w:left w:val="nil"/>
              <w:bottom w:val="single" w:sz="4" w:space="0" w:color="auto"/>
              <w:right w:val="single" w:sz="4" w:space="0" w:color="auto"/>
            </w:tcBorders>
            <w:shd w:val="clear" w:color="auto" w:fill="auto"/>
            <w:noWrap/>
            <w:vAlign w:val="center"/>
          </w:tcPr>
          <w:p w14:paraId="158C39AC" w14:textId="6CB4FDBF" w:rsidR="0035610E" w:rsidRPr="00847710" w:rsidRDefault="0035610E" w:rsidP="0035610E">
            <w:pPr>
              <w:spacing w:after="0" w:line="240" w:lineRule="auto"/>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384552"/>
                <w:sz w:val="20"/>
                <w:szCs w:val="20"/>
              </w:rPr>
              <w:t xml:space="preserve">               12 314 </w:t>
            </w:r>
          </w:p>
        </w:tc>
        <w:tc>
          <w:tcPr>
            <w:tcW w:w="795" w:type="dxa"/>
            <w:tcBorders>
              <w:top w:val="nil"/>
              <w:left w:val="nil"/>
              <w:bottom w:val="single" w:sz="4" w:space="0" w:color="auto"/>
              <w:right w:val="single" w:sz="4" w:space="0" w:color="auto"/>
            </w:tcBorders>
            <w:shd w:val="clear" w:color="auto" w:fill="auto"/>
            <w:noWrap/>
            <w:vAlign w:val="center"/>
          </w:tcPr>
          <w:p w14:paraId="3F8D3C99" w14:textId="76776E96" w:rsidR="0035610E" w:rsidRPr="00847710" w:rsidRDefault="0035610E" w:rsidP="0035610E">
            <w:pPr>
              <w:spacing w:after="0" w:line="240" w:lineRule="auto"/>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384552"/>
                <w:sz w:val="20"/>
                <w:szCs w:val="20"/>
              </w:rPr>
              <w:t xml:space="preserve">               12 760 </w:t>
            </w:r>
          </w:p>
        </w:tc>
        <w:tc>
          <w:tcPr>
            <w:tcW w:w="796" w:type="dxa"/>
            <w:tcBorders>
              <w:top w:val="nil"/>
              <w:left w:val="nil"/>
              <w:bottom w:val="single" w:sz="4" w:space="0" w:color="auto"/>
              <w:right w:val="single" w:sz="4" w:space="0" w:color="auto"/>
            </w:tcBorders>
            <w:shd w:val="clear" w:color="auto" w:fill="auto"/>
            <w:noWrap/>
            <w:vAlign w:val="center"/>
          </w:tcPr>
          <w:p w14:paraId="285A8D81" w14:textId="5EDA6767" w:rsidR="0035610E" w:rsidRPr="00847710" w:rsidRDefault="0035610E" w:rsidP="0035610E">
            <w:pPr>
              <w:spacing w:after="0" w:line="240" w:lineRule="auto"/>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384552"/>
                <w:sz w:val="20"/>
                <w:szCs w:val="20"/>
              </w:rPr>
              <w:t xml:space="preserve">               13 685 </w:t>
            </w:r>
          </w:p>
        </w:tc>
        <w:tc>
          <w:tcPr>
            <w:tcW w:w="1651" w:type="dxa"/>
            <w:tcBorders>
              <w:top w:val="nil"/>
              <w:left w:val="nil"/>
              <w:bottom w:val="single" w:sz="4" w:space="0" w:color="auto"/>
              <w:right w:val="single" w:sz="4" w:space="0" w:color="auto"/>
            </w:tcBorders>
            <w:shd w:val="clear" w:color="auto" w:fill="auto"/>
            <w:noWrap/>
            <w:vAlign w:val="bottom"/>
          </w:tcPr>
          <w:p w14:paraId="34F35220" w14:textId="6ADF749A" w:rsidR="0035610E" w:rsidRPr="00847710" w:rsidRDefault="0035610E" w:rsidP="0035610E">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384552"/>
                <w:sz w:val="20"/>
                <w:szCs w:val="20"/>
              </w:rPr>
              <w:t>14 695</w:t>
            </w:r>
          </w:p>
        </w:tc>
        <w:tc>
          <w:tcPr>
            <w:tcW w:w="1651" w:type="dxa"/>
            <w:tcBorders>
              <w:top w:val="nil"/>
              <w:left w:val="nil"/>
              <w:bottom w:val="single" w:sz="4" w:space="0" w:color="auto"/>
              <w:right w:val="single" w:sz="4" w:space="0" w:color="auto"/>
            </w:tcBorders>
            <w:shd w:val="clear" w:color="auto" w:fill="auto"/>
            <w:noWrap/>
            <w:vAlign w:val="bottom"/>
          </w:tcPr>
          <w:p w14:paraId="75A25B4E" w14:textId="40ABF695" w:rsidR="0035610E" w:rsidRPr="00847710" w:rsidRDefault="0035610E" w:rsidP="0035610E">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384552"/>
                <w:sz w:val="20"/>
                <w:szCs w:val="20"/>
              </w:rPr>
              <w:t>15 691</w:t>
            </w:r>
          </w:p>
        </w:tc>
        <w:tc>
          <w:tcPr>
            <w:tcW w:w="1652" w:type="dxa"/>
            <w:tcBorders>
              <w:top w:val="nil"/>
              <w:left w:val="nil"/>
              <w:bottom w:val="single" w:sz="4" w:space="0" w:color="auto"/>
              <w:right w:val="single" w:sz="4" w:space="0" w:color="auto"/>
            </w:tcBorders>
            <w:shd w:val="clear" w:color="auto" w:fill="auto"/>
            <w:noWrap/>
            <w:vAlign w:val="bottom"/>
          </w:tcPr>
          <w:p w14:paraId="7095BCB0" w14:textId="76381007" w:rsidR="0035610E" w:rsidRPr="00847710" w:rsidRDefault="0035610E" w:rsidP="0035610E">
            <w:pPr>
              <w:spacing w:after="0" w:line="240" w:lineRule="auto"/>
              <w:jc w:val="right"/>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384552"/>
                <w:sz w:val="20"/>
                <w:szCs w:val="20"/>
              </w:rPr>
              <w:t>16 741</w:t>
            </w:r>
          </w:p>
        </w:tc>
      </w:tr>
      <w:tr w:rsidR="00151356" w:rsidRPr="00847710" w14:paraId="11A973E9" w14:textId="77777777" w:rsidTr="00BC2160">
        <w:trPr>
          <w:trHeight w:val="300"/>
        </w:trPr>
        <w:tc>
          <w:tcPr>
            <w:tcW w:w="2547"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43B2C03F" w14:textId="15779907" w:rsidR="0035610E" w:rsidRPr="00847710" w:rsidRDefault="0035610E" w:rsidP="009B6F2E">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Finansiālais ieguvums gadā</w:t>
            </w:r>
            <w:r w:rsidR="0009549D" w:rsidRPr="00847710">
              <w:rPr>
                <w:rFonts w:ascii="Times New Roman" w:eastAsia="Times New Roman" w:hAnsi="Times New Roman" w:cs="Times New Roman"/>
                <w:sz w:val="20"/>
                <w:szCs w:val="20"/>
                <w:lang w:eastAsia="lv-LV"/>
              </w:rPr>
              <w:t>, euro</w:t>
            </w:r>
          </w:p>
        </w:tc>
        <w:tc>
          <w:tcPr>
            <w:tcW w:w="795"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1FEBF808" w14:textId="77777777" w:rsidR="0035610E" w:rsidRPr="00847710" w:rsidRDefault="0035610E" w:rsidP="009B6F2E">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DE9D9" w:themeFill="accent6" w:themeFillTint="33"/>
            <w:noWrap/>
            <w:vAlign w:val="bottom"/>
            <w:hideMark/>
          </w:tcPr>
          <w:p w14:paraId="3A96FCF6" w14:textId="77777777" w:rsidR="0035610E" w:rsidRPr="00847710" w:rsidRDefault="0035610E" w:rsidP="009B6F2E">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DE9D9" w:themeFill="accent6" w:themeFillTint="33"/>
            <w:noWrap/>
            <w:vAlign w:val="bottom"/>
            <w:hideMark/>
          </w:tcPr>
          <w:p w14:paraId="4D7329BB" w14:textId="77777777" w:rsidR="0035610E" w:rsidRPr="00847710" w:rsidRDefault="0035610E" w:rsidP="009B6F2E">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DE9D9" w:themeFill="accent6" w:themeFillTint="33"/>
            <w:noWrap/>
            <w:vAlign w:val="bottom"/>
            <w:hideMark/>
          </w:tcPr>
          <w:p w14:paraId="5614C5E5" w14:textId="77777777" w:rsidR="0035610E" w:rsidRPr="00847710" w:rsidRDefault="0035610E" w:rsidP="009B6F2E">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796" w:type="dxa"/>
            <w:tcBorders>
              <w:top w:val="nil"/>
              <w:left w:val="nil"/>
              <w:bottom w:val="single" w:sz="4" w:space="0" w:color="auto"/>
              <w:right w:val="single" w:sz="4" w:space="0" w:color="auto"/>
            </w:tcBorders>
            <w:shd w:val="clear" w:color="auto" w:fill="FDE9D9" w:themeFill="accent6" w:themeFillTint="33"/>
            <w:noWrap/>
            <w:vAlign w:val="bottom"/>
            <w:hideMark/>
          </w:tcPr>
          <w:p w14:paraId="75F8CFA9" w14:textId="77777777" w:rsidR="0035610E" w:rsidRPr="00847710" w:rsidRDefault="0035610E" w:rsidP="009B6F2E">
            <w:pPr>
              <w:spacing w:after="0" w:line="240" w:lineRule="auto"/>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 </w:t>
            </w:r>
          </w:p>
        </w:tc>
        <w:tc>
          <w:tcPr>
            <w:tcW w:w="1651" w:type="dxa"/>
            <w:tcBorders>
              <w:top w:val="nil"/>
              <w:left w:val="nil"/>
              <w:bottom w:val="single" w:sz="4" w:space="0" w:color="auto"/>
              <w:right w:val="single" w:sz="4" w:space="0" w:color="auto"/>
            </w:tcBorders>
            <w:shd w:val="clear" w:color="auto" w:fill="FDE9D9" w:themeFill="accent6" w:themeFillTint="33"/>
            <w:noWrap/>
            <w:vAlign w:val="bottom"/>
            <w:hideMark/>
          </w:tcPr>
          <w:p w14:paraId="65436EB1" w14:textId="37E93833" w:rsidR="0035610E" w:rsidRPr="00847710" w:rsidRDefault="00643B41" w:rsidP="0035610E">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35 636 581</w:t>
            </w:r>
          </w:p>
        </w:tc>
        <w:tc>
          <w:tcPr>
            <w:tcW w:w="1651" w:type="dxa"/>
            <w:tcBorders>
              <w:top w:val="nil"/>
              <w:left w:val="nil"/>
              <w:bottom w:val="single" w:sz="4" w:space="0" w:color="auto"/>
              <w:right w:val="single" w:sz="4" w:space="0" w:color="auto"/>
            </w:tcBorders>
            <w:shd w:val="clear" w:color="auto" w:fill="FDE9D9" w:themeFill="accent6" w:themeFillTint="33"/>
            <w:noWrap/>
            <w:vAlign w:val="bottom"/>
            <w:hideMark/>
          </w:tcPr>
          <w:p w14:paraId="66FA7682" w14:textId="0FE50AA9" w:rsidR="0035610E" w:rsidRPr="00847710" w:rsidRDefault="00643B41" w:rsidP="0035610E">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57 632 476</w:t>
            </w:r>
          </w:p>
        </w:tc>
        <w:tc>
          <w:tcPr>
            <w:tcW w:w="1652" w:type="dxa"/>
            <w:tcBorders>
              <w:top w:val="nil"/>
              <w:left w:val="nil"/>
              <w:bottom w:val="single" w:sz="4" w:space="0" w:color="auto"/>
              <w:right w:val="single" w:sz="4" w:space="0" w:color="auto"/>
            </w:tcBorders>
            <w:shd w:val="clear" w:color="auto" w:fill="FDE9D9" w:themeFill="accent6" w:themeFillTint="33"/>
            <w:noWrap/>
            <w:vAlign w:val="bottom"/>
            <w:hideMark/>
          </w:tcPr>
          <w:p w14:paraId="31A13CE2" w14:textId="1A6E5B0E" w:rsidR="0035610E" w:rsidRPr="00847710" w:rsidRDefault="00643B41" w:rsidP="0035610E">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93 279 489</w:t>
            </w:r>
          </w:p>
        </w:tc>
      </w:tr>
      <w:tr w:rsidR="00151356" w:rsidRPr="00847710" w14:paraId="1A27A82E" w14:textId="77777777" w:rsidTr="00BC2160">
        <w:trPr>
          <w:trHeight w:val="300"/>
        </w:trPr>
        <w:tc>
          <w:tcPr>
            <w:tcW w:w="2547"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2CD061E6" w14:textId="4B6C56B4" w:rsidR="0035610E" w:rsidRPr="00BC2160" w:rsidRDefault="0035610E" w:rsidP="00BC2160">
            <w:pPr>
              <w:spacing w:after="0" w:line="240" w:lineRule="auto"/>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Finansiālais ieguvums kopā</w:t>
            </w:r>
            <w:r w:rsidR="0009549D" w:rsidRPr="00901A9F">
              <w:rPr>
                <w:rFonts w:ascii="Times New Roman" w:eastAsia="Times New Roman" w:hAnsi="Times New Roman" w:cs="Times New Roman"/>
                <w:b/>
                <w:bCs/>
                <w:sz w:val="20"/>
                <w:szCs w:val="20"/>
                <w:lang w:eastAsia="lv-LV"/>
              </w:rPr>
              <w:t>, euro</w:t>
            </w:r>
          </w:p>
        </w:tc>
        <w:tc>
          <w:tcPr>
            <w:tcW w:w="795"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67690BEA" w14:textId="77777777" w:rsidR="0035610E" w:rsidRPr="00BC2160" w:rsidRDefault="0035610E" w:rsidP="00BC2160">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BD4B4" w:themeFill="accent6" w:themeFillTint="66"/>
            <w:noWrap/>
            <w:vAlign w:val="bottom"/>
            <w:hideMark/>
          </w:tcPr>
          <w:p w14:paraId="43FAF47D" w14:textId="77777777" w:rsidR="0035610E" w:rsidRPr="00BC2160" w:rsidRDefault="0035610E" w:rsidP="00BC2160">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BD4B4" w:themeFill="accent6" w:themeFillTint="66"/>
            <w:noWrap/>
            <w:vAlign w:val="bottom"/>
            <w:hideMark/>
          </w:tcPr>
          <w:p w14:paraId="0D822925" w14:textId="77777777" w:rsidR="0035610E" w:rsidRPr="00BC2160" w:rsidRDefault="0035610E" w:rsidP="00BC2160">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795" w:type="dxa"/>
            <w:tcBorders>
              <w:top w:val="nil"/>
              <w:left w:val="nil"/>
              <w:bottom w:val="single" w:sz="4" w:space="0" w:color="auto"/>
              <w:right w:val="single" w:sz="4" w:space="0" w:color="auto"/>
            </w:tcBorders>
            <w:shd w:val="clear" w:color="auto" w:fill="FBD4B4" w:themeFill="accent6" w:themeFillTint="66"/>
            <w:noWrap/>
            <w:vAlign w:val="bottom"/>
            <w:hideMark/>
          </w:tcPr>
          <w:p w14:paraId="557119BA" w14:textId="77777777" w:rsidR="0035610E" w:rsidRPr="00BC2160" w:rsidRDefault="0035610E" w:rsidP="00BC2160">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796" w:type="dxa"/>
            <w:tcBorders>
              <w:top w:val="nil"/>
              <w:left w:val="nil"/>
              <w:bottom w:val="single" w:sz="4" w:space="0" w:color="auto"/>
              <w:right w:val="single" w:sz="4" w:space="0" w:color="auto"/>
            </w:tcBorders>
            <w:shd w:val="clear" w:color="auto" w:fill="FBD4B4" w:themeFill="accent6" w:themeFillTint="66"/>
            <w:noWrap/>
            <w:vAlign w:val="bottom"/>
            <w:hideMark/>
          </w:tcPr>
          <w:p w14:paraId="6EF4D1A1" w14:textId="77777777" w:rsidR="0035610E" w:rsidRPr="00BC2160" w:rsidRDefault="0035610E" w:rsidP="00BC2160">
            <w:pPr>
              <w:spacing w:after="0" w:line="240" w:lineRule="auto"/>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w:t>
            </w:r>
          </w:p>
        </w:tc>
        <w:tc>
          <w:tcPr>
            <w:tcW w:w="1651" w:type="dxa"/>
            <w:tcBorders>
              <w:top w:val="nil"/>
              <w:left w:val="nil"/>
              <w:bottom w:val="single" w:sz="4" w:space="0" w:color="auto"/>
              <w:right w:val="single" w:sz="4" w:space="0" w:color="auto"/>
            </w:tcBorders>
            <w:shd w:val="clear" w:color="auto" w:fill="FBD4B4" w:themeFill="accent6" w:themeFillTint="66"/>
            <w:noWrap/>
            <w:vAlign w:val="bottom"/>
            <w:hideMark/>
          </w:tcPr>
          <w:p w14:paraId="411AFE41" w14:textId="67410E14" w:rsidR="0035610E" w:rsidRPr="00BC2160" w:rsidRDefault="00643B41" w:rsidP="00BC2160">
            <w:pPr>
              <w:spacing w:after="0" w:line="240" w:lineRule="auto"/>
              <w:jc w:val="right"/>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b/>
                <w:bCs/>
                <w:color w:val="000000"/>
                <w:sz w:val="20"/>
                <w:szCs w:val="20"/>
                <w:lang w:eastAsia="lv-LV"/>
              </w:rPr>
              <w:t>35 636 581</w:t>
            </w:r>
          </w:p>
        </w:tc>
        <w:tc>
          <w:tcPr>
            <w:tcW w:w="1651" w:type="dxa"/>
            <w:tcBorders>
              <w:top w:val="nil"/>
              <w:left w:val="nil"/>
              <w:bottom w:val="single" w:sz="4" w:space="0" w:color="auto"/>
              <w:right w:val="single" w:sz="4" w:space="0" w:color="auto"/>
            </w:tcBorders>
            <w:shd w:val="clear" w:color="auto" w:fill="FBD4B4" w:themeFill="accent6" w:themeFillTint="66"/>
            <w:noWrap/>
            <w:vAlign w:val="bottom"/>
            <w:hideMark/>
          </w:tcPr>
          <w:p w14:paraId="4398EBB0" w14:textId="1223C5E9" w:rsidR="0035610E" w:rsidRPr="00BC2160" w:rsidRDefault="0035610E" w:rsidP="00BC2160">
            <w:pPr>
              <w:spacing w:after="0" w:line="240" w:lineRule="auto"/>
              <w:jc w:val="right"/>
              <w:rPr>
                <w:rFonts w:ascii="Times New Roman" w:eastAsia="Times New Roman" w:hAnsi="Times New Roman" w:cs="Times New Roman"/>
                <w:b/>
                <w:bCs/>
                <w:color w:val="000000" w:themeColor="text1"/>
                <w:sz w:val="20"/>
                <w:szCs w:val="20"/>
                <w:lang w:eastAsia="lv-LV"/>
              </w:rPr>
            </w:pPr>
            <w:r w:rsidRPr="0012317D">
              <w:rPr>
                <w:rFonts w:ascii="Times New Roman" w:eastAsia="Times New Roman" w:hAnsi="Times New Roman" w:cs="Times New Roman"/>
                <w:b/>
                <w:bCs/>
                <w:color w:val="000000"/>
                <w:sz w:val="20"/>
                <w:szCs w:val="20"/>
                <w:lang w:eastAsia="lv-LV"/>
              </w:rPr>
              <w:t xml:space="preserve">    </w:t>
            </w:r>
            <w:r w:rsidR="00643B41">
              <w:rPr>
                <w:rFonts w:ascii="Times New Roman" w:eastAsia="Times New Roman" w:hAnsi="Times New Roman" w:cs="Times New Roman"/>
                <w:b/>
                <w:bCs/>
                <w:color w:val="000000"/>
                <w:sz w:val="20"/>
                <w:szCs w:val="20"/>
                <w:lang w:eastAsia="lv-LV"/>
              </w:rPr>
              <w:t>93 269 058</w:t>
            </w:r>
          </w:p>
        </w:tc>
        <w:tc>
          <w:tcPr>
            <w:tcW w:w="1652" w:type="dxa"/>
            <w:tcBorders>
              <w:top w:val="nil"/>
              <w:left w:val="nil"/>
              <w:bottom w:val="single" w:sz="4" w:space="0" w:color="auto"/>
              <w:right w:val="single" w:sz="4" w:space="0" w:color="auto"/>
            </w:tcBorders>
            <w:shd w:val="clear" w:color="auto" w:fill="FBD4B4" w:themeFill="accent6" w:themeFillTint="66"/>
            <w:noWrap/>
            <w:vAlign w:val="bottom"/>
            <w:hideMark/>
          </w:tcPr>
          <w:p w14:paraId="5C96A43D" w14:textId="1A123B76" w:rsidR="0035610E" w:rsidRPr="00BC2160" w:rsidRDefault="00643B41" w:rsidP="00BC2160">
            <w:pPr>
              <w:spacing w:after="0" w:line="240" w:lineRule="auto"/>
              <w:jc w:val="right"/>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b/>
                <w:bCs/>
                <w:color w:val="000000"/>
                <w:sz w:val="20"/>
                <w:szCs w:val="20"/>
                <w:lang w:eastAsia="lv-LV"/>
              </w:rPr>
              <w:t>186 548 547</w:t>
            </w:r>
          </w:p>
        </w:tc>
      </w:tr>
    </w:tbl>
    <w:p w14:paraId="6EF48A09" w14:textId="22737BF9" w:rsidR="00464BD8" w:rsidRPr="00847710" w:rsidRDefault="00464BD8" w:rsidP="00464BD8">
      <w:pPr>
        <w:jc w:val="both"/>
        <w:rPr>
          <w:rFonts w:ascii="Times New Roman" w:hAnsi="Times New Roman" w:cs="Times New Roman"/>
          <w:sz w:val="24"/>
          <w:szCs w:val="24"/>
        </w:rPr>
      </w:pPr>
      <w:r w:rsidRPr="57326167">
        <w:rPr>
          <w:rFonts w:ascii="Times New Roman" w:hAnsi="Times New Roman" w:cs="Times New Roman"/>
          <w:i/>
          <w:iCs/>
          <w:sz w:val="20"/>
          <w:szCs w:val="20"/>
        </w:rPr>
        <w:t xml:space="preserve">Avots: </w:t>
      </w:r>
      <w:r w:rsidR="00FB4E61" w:rsidRPr="57326167">
        <w:rPr>
          <w:rFonts w:ascii="Times New Roman" w:hAnsi="Times New Roman" w:cs="Times New Roman"/>
          <w:i/>
          <w:iCs/>
          <w:sz w:val="20"/>
          <w:szCs w:val="20"/>
        </w:rPr>
        <w:t xml:space="preserve">VM un </w:t>
      </w:r>
      <w:r w:rsidRPr="57326167">
        <w:rPr>
          <w:rFonts w:ascii="Times New Roman" w:hAnsi="Times New Roman" w:cs="Times New Roman"/>
          <w:i/>
          <w:iCs/>
          <w:sz w:val="20"/>
          <w:szCs w:val="20"/>
        </w:rPr>
        <w:t>SPKC</w:t>
      </w:r>
    </w:p>
    <w:p w14:paraId="03843871" w14:textId="5FA1FB82" w:rsidR="008924C4" w:rsidRDefault="003B163C" w:rsidP="00706AD0">
      <w:pPr>
        <w:shd w:val="clear" w:color="auto" w:fill="FFFFFF" w:themeFill="background1"/>
        <w:ind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PZMG izmaiņu prognozēšanā tiek izmantoti pieejamie dati konkrētās diagnozēs, kas atspoguļo incidences (saslimstības),  prevalences (izplatības) un mirstības tendences pa gadiem atkarībā no vecuma grupas, dzimuma un diagnozes, kā arī meklējot ciešas un loģiski izskaidrojamas saistības ar kādiem citiem faktoriem.</w:t>
      </w:r>
      <w:r w:rsidR="008407F8" w:rsidRPr="00847710">
        <w:rPr>
          <w:rFonts w:ascii="Times New Roman" w:hAnsi="Times New Roman" w:cs="Times New Roman"/>
          <w:color w:val="000000" w:themeColor="text1"/>
          <w:sz w:val="24"/>
          <w:szCs w:val="24"/>
        </w:rPr>
        <w:t xml:space="preserve"> Datu pieejamības gadījumā tiek izmantota informācija par konkrētās diagnozes incidenci sabiedrībā un mirstības gadījumu skaitu. </w:t>
      </w:r>
      <w:r w:rsidRPr="00847710">
        <w:rPr>
          <w:rFonts w:ascii="Times New Roman" w:hAnsi="Times New Roman" w:cs="Times New Roman"/>
          <w:color w:val="000000" w:themeColor="text1"/>
          <w:sz w:val="24"/>
          <w:szCs w:val="24"/>
        </w:rPr>
        <w:t>Savukārt ņemot vērā, ka pakalpojumu pieejamība atšķirībā no iniciatīvām konkrētām diagnozēm tiek nodrošināta plašai diagnožu grupai, PZMG samazinājumam tiek izmantotas plašākas prognozes nekā konkrētām diagnozēm. Lielākajās pakalpojumu grupās faktiskā diagnoze tiek noteikta tikai pēc pakalpojuma saņemšanas, līdz ar to plānošanas posmā tā nav zināma. Turklāt ambulatorajā posmā, pakalpojumi lielākoties vērsti uz dzīvildzes palielināšanu, veicot ātrāku diagnostiku, diagnozes uzstādīšanu, speciālistu pakalpojumu un terapijas un rehabilitācijas saņemšanu.</w:t>
      </w:r>
      <w:r w:rsidR="00E3626E" w:rsidRPr="00847710">
        <w:rPr>
          <w:rFonts w:ascii="Times New Roman" w:hAnsi="Times New Roman" w:cs="Times New Roman"/>
          <w:color w:val="000000" w:themeColor="text1"/>
          <w:sz w:val="24"/>
          <w:szCs w:val="24"/>
        </w:rPr>
        <w:t xml:space="preserve"> Līdz ar to galvenais prognozētais lielums ir uz vienu mirstības gadījumu samazinātie PZMG, atbilstoši saslimstības incidencēm un prevalencēm un saistību ar citiem medicīniski pamatotiem faktoriem</w:t>
      </w:r>
      <w:r w:rsidR="006866BF" w:rsidRPr="00847710">
        <w:rPr>
          <w:rFonts w:ascii="Times New Roman" w:hAnsi="Times New Roman" w:cs="Times New Roman"/>
          <w:color w:val="000000" w:themeColor="text1"/>
          <w:sz w:val="24"/>
          <w:szCs w:val="24"/>
        </w:rPr>
        <w:t>, izmantojot ekspertu vērtējumus.</w:t>
      </w:r>
    </w:p>
    <w:p w14:paraId="45DA612E" w14:textId="71B6565C" w:rsidR="00055558" w:rsidRDefault="008B689A" w:rsidP="00706AD0">
      <w:pPr>
        <w:shd w:val="clear" w:color="auto" w:fill="FFFFFF" w:themeFill="background1"/>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Vidēji 2015.gadā uz vieno mirušo tika zaudēti 3,1 PZMG, savukārt atbilstoši 2017.gada EK atkāpes finansējumam e</w:t>
      </w:r>
      <w:r w:rsidRPr="008B689A">
        <w:rPr>
          <w:rFonts w:ascii="Times New Roman" w:hAnsi="Times New Roman" w:cs="Times New Roman"/>
          <w:color w:val="000000" w:themeColor="text1"/>
          <w:sz w:val="24"/>
          <w:szCs w:val="24"/>
        </w:rPr>
        <w:t>kspertu prognozēta</w:t>
      </w:r>
      <w:r>
        <w:rPr>
          <w:rFonts w:ascii="Times New Roman" w:hAnsi="Times New Roman" w:cs="Times New Roman"/>
          <w:color w:val="000000" w:themeColor="text1"/>
          <w:sz w:val="24"/>
          <w:szCs w:val="24"/>
        </w:rPr>
        <w:t>jam</w:t>
      </w:r>
      <w:r w:rsidRPr="008B689A">
        <w:rPr>
          <w:rFonts w:ascii="Times New Roman" w:hAnsi="Times New Roman" w:cs="Times New Roman"/>
          <w:color w:val="000000" w:themeColor="text1"/>
          <w:sz w:val="24"/>
          <w:szCs w:val="24"/>
        </w:rPr>
        <w:t xml:space="preserve"> PZMG samazinājum</w:t>
      </w:r>
      <w:r>
        <w:rPr>
          <w:rFonts w:ascii="Times New Roman" w:hAnsi="Times New Roman" w:cs="Times New Roman"/>
          <w:color w:val="000000" w:themeColor="text1"/>
          <w:sz w:val="24"/>
          <w:szCs w:val="24"/>
        </w:rPr>
        <w:t>s</w:t>
      </w:r>
      <w:r w:rsidRPr="008B689A">
        <w:rPr>
          <w:rFonts w:ascii="Times New Roman" w:hAnsi="Times New Roman" w:cs="Times New Roman"/>
          <w:color w:val="000000" w:themeColor="text1"/>
          <w:sz w:val="24"/>
          <w:szCs w:val="24"/>
        </w:rPr>
        <w:t xml:space="preserve"> uz 1 mirstības gadījumu ir 1,5-2% (vidēj</w:t>
      </w:r>
      <w:r>
        <w:rPr>
          <w:rFonts w:ascii="Times New Roman" w:hAnsi="Times New Roman" w:cs="Times New Roman"/>
          <w:color w:val="000000" w:themeColor="text1"/>
          <w:sz w:val="24"/>
          <w:szCs w:val="24"/>
        </w:rPr>
        <w:t>i 1,</w:t>
      </w:r>
      <w:r w:rsidRPr="008B689A">
        <w:rPr>
          <w:rFonts w:ascii="Times New Roman" w:hAnsi="Times New Roman" w:cs="Times New Roman"/>
          <w:color w:val="000000" w:themeColor="text1"/>
          <w:sz w:val="24"/>
          <w:szCs w:val="24"/>
        </w:rPr>
        <w:t>75%)</w:t>
      </w:r>
      <w:r>
        <w:rPr>
          <w:rFonts w:ascii="Times New Roman" w:hAnsi="Times New Roman" w:cs="Times New Roman"/>
          <w:color w:val="000000" w:themeColor="text1"/>
          <w:sz w:val="24"/>
          <w:szCs w:val="24"/>
        </w:rPr>
        <w:t>, 2018.gadā pārskatot prognozes līdz 1,8%, ņemot vērā palielināto pakalpojumu apjomu, kas tiks nodrošināts veselības aprūpes pakalpojumu pieejamības uzlabošanai.</w:t>
      </w:r>
    </w:p>
    <w:p w14:paraId="7B1C0DEA" w14:textId="0E48EE0E" w:rsidR="00330EAF" w:rsidRDefault="00330EAF" w:rsidP="00706AD0">
      <w:pPr>
        <w:shd w:val="clear" w:color="auto" w:fill="FFFFFF" w:themeFill="background1"/>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Prognozējot PZMG samazinājumu saistībā ar onkoloģijas jomas reformām, ņemta vērā mirstība no onkoloģiskām saslimšanām un mirstības vecuma struktūra, kā arī onkoloģijas </w:t>
      </w:r>
      <w:r w:rsidR="00F80C28">
        <w:rPr>
          <w:rFonts w:ascii="Times New Roman" w:hAnsi="Times New Roman" w:cs="Times New Roman"/>
          <w:color w:val="000000" w:themeColor="text1"/>
          <w:sz w:val="24"/>
          <w:szCs w:val="24"/>
        </w:rPr>
        <w:t>centra un valsts patoloģijas centra speciālistu novērtējumu, ka mirstība no onkoloģiskajām slimībām reformu rezultātā samazināsies par 8%.</w:t>
      </w:r>
    </w:p>
    <w:p w14:paraId="667EDADB" w14:textId="77777777" w:rsidR="0086477B" w:rsidRDefault="00F80C28" w:rsidP="00F80C28">
      <w:pPr>
        <w:shd w:val="clear" w:color="auto" w:fill="FFFFFF" w:themeFill="background1"/>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Tāpat prognozējot infekcijas slimību reformu ietekmi uz PZMG samazinājumu ņemta vērā mirstība un mirstības vecuma struktūra no VHC un HIV/AIDS saslimšanām. Ārstējot VHC pacientus tiek nodrošināts, ka </w:t>
      </w:r>
      <w:r w:rsidRPr="00942754">
        <w:rPr>
          <w:rFonts w:ascii="Times New Roman" w:hAnsi="Times New Roman" w:cs="Times New Roman"/>
          <w:sz w:val="24"/>
          <w:szCs w:val="24"/>
        </w:rPr>
        <w:t xml:space="preserve">mirstība no VHC samazinās par </w:t>
      </w:r>
      <w:r>
        <w:rPr>
          <w:rFonts w:ascii="Times New Roman" w:hAnsi="Times New Roman" w:cs="Times New Roman"/>
          <w:sz w:val="24"/>
          <w:szCs w:val="24"/>
        </w:rPr>
        <w:t>8</w:t>
      </w:r>
      <w:r w:rsidRPr="00942754">
        <w:rPr>
          <w:rFonts w:ascii="Times New Roman" w:hAnsi="Times New Roman" w:cs="Times New Roman"/>
          <w:sz w:val="24"/>
          <w:szCs w:val="24"/>
        </w:rPr>
        <w:t>%</w:t>
      </w:r>
      <w:r>
        <w:rPr>
          <w:rFonts w:ascii="Times New Roman" w:hAnsi="Times New Roman" w:cs="Times New Roman"/>
          <w:sz w:val="24"/>
          <w:szCs w:val="24"/>
        </w:rPr>
        <w:t xml:space="preserve">, </w:t>
      </w:r>
      <w:r w:rsidRPr="00942754">
        <w:rPr>
          <w:rFonts w:ascii="Times New Roman" w:hAnsi="Times New Roman" w:cs="Times New Roman"/>
          <w:sz w:val="24"/>
          <w:szCs w:val="24"/>
        </w:rPr>
        <w:t xml:space="preserve">kopējais ar VHC inficēto pacientu skaits samazinās par </w:t>
      </w:r>
      <w:r>
        <w:rPr>
          <w:rFonts w:ascii="Times New Roman" w:hAnsi="Times New Roman" w:cs="Times New Roman"/>
          <w:sz w:val="24"/>
          <w:szCs w:val="24"/>
        </w:rPr>
        <w:t>4</w:t>
      </w:r>
      <w:r w:rsidRPr="00942754">
        <w:rPr>
          <w:rFonts w:ascii="Times New Roman" w:hAnsi="Times New Roman" w:cs="Times New Roman"/>
          <w:sz w:val="24"/>
          <w:szCs w:val="24"/>
        </w:rPr>
        <w:t>%</w:t>
      </w:r>
      <w:r>
        <w:rPr>
          <w:rFonts w:ascii="Times New Roman" w:hAnsi="Times New Roman" w:cs="Times New Roman"/>
          <w:sz w:val="24"/>
          <w:szCs w:val="24"/>
        </w:rPr>
        <w:t>, vēl vairāk samazinot mirstību, savukārt inficēto HIV/AIDS pacientu skaits samazinās par 402, samazinot mirstību par 81 gadījumu.</w:t>
      </w:r>
      <w:r w:rsidDel="00F80C28">
        <w:rPr>
          <w:rFonts w:ascii="Times New Roman" w:hAnsi="Times New Roman" w:cs="Times New Roman"/>
          <w:sz w:val="24"/>
          <w:szCs w:val="24"/>
        </w:rPr>
        <w:t xml:space="preserve"> </w:t>
      </w:r>
    </w:p>
    <w:p w14:paraId="766D8ED0" w14:textId="196F8646" w:rsidR="00F80C28" w:rsidRDefault="00F80C28" w:rsidP="00F80C28">
      <w:pPr>
        <w:shd w:val="clear" w:color="auto" w:fill="FFFFFF" w:themeFill="background1"/>
        <w:ind w:firstLine="720"/>
        <w:jc w:val="both"/>
        <w:rPr>
          <w:rFonts w:ascii="Times New Roman" w:hAnsi="Times New Roman" w:cs="Times New Roman"/>
          <w:sz w:val="24"/>
          <w:szCs w:val="24"/>
        </w:rPr>
      </w:pPr>
      <w:r>
        <w:rPr>
          <w:rFonts w:ascii="Times New Roman" w:hAnsi="Times New Roman" w:cs="Times New Roman"/>
          <w:sz w:val="24"/>
          <w:szCs w:val="24"/>
        </w:rPr>
        <w:t xml:space="preserve">Prognozējot primārās veselības aprūpes reformu ietekmi uz PZMG, ņemts vērā, ka </w:t>
      </w:r>
      <w:r w:rsidR="00AA4138">
        <w:rPr>
          <w:rFonts w:ascii="Times New Roman" w:hAnsi="Times New Roman" w:cs="Times New Roman"/>
          <w:sz w:val="24"/>
          <w:szCs w:val="24"/>
        </w:rPr>
        <w:t xml:space="preserve">ģimenes ārsti nodrošina sākuma posmu </w:t>
      </w:r>
      <w:r>
        <w:rPr>
          <w:rFonts w:ascii="Times New Roman" w:hAnsi="Times New Roman" w:cs="Times New Roman"/>
          <w:sz w:val="24"/>
          <w:szCs w:val="24"/>
        </w:rPr>
        <w:t>pārējo reformu veikšanai</w:t>
      </w:r>
      <w:r w:rsidR="00AA4138">
        <w:rPr>
          <w:rFonts w:ascii="Times New Roman" w:hAnsi="Times New Roman" w:cs="Times New Roman"/>
          <w:sz w:val="24"/>
          <w:szCs w:val="24"/>
        </w:rPr>
        <w:t xml:space="preserve">, tādējādi tiešā veidā atstājot ietekmi uz pārējo reformu veikšanu, nodrošinot onkoloģijas primāro algoritmu nosūtījumu veikšanu, plānoto SAS primāro algoritmu virzību un nosūtījumu veikšanu ambulatoro pakalpojumu saņemšanai. Līdz ar to neveicot reformas primārajā veselības aprūpē un nenodrošinot ģimenes ārstu profilakses aptveres pieaugumu no 26% līdz 50%, iegūto PZMG no SAS apjoms samazinātos par 14,4%, ņemot vērā, ka </w:t>
      </w:r>
      <w:r w:rsidR="00AA4138" w:rsidRPr="00AA4138">
        <w:rPr>
          <w:rFonts w:ascii="Times New Roman" w:hAnsi="Times New Roman" w:cs="Times New Roman"/>
          <w:sz w:val="24"/>
          <w:szCs w:val="24"/>
        </w:rPr>
        <w:t>60% profilaktiski apskatītajiem pacientiem tiek atrastas veselības aprūpes problēmas un uzsākta savlaicīga ārstēšana</w:t>
      </w:r>
      <w:r w:rsidR="00AA4138">
        <w:rPr>
          <w:rFonts w:ascii="Times New Roman" w:hAnsi="Times New Roman" w:cs="Times New Roman"/>
          <w:sz w:val="24"/>
          <w:szCs w:val="24"/>
        </w:rPr>
        <w:t>.</w:t>
      </w:r>
      <w:r w:rsidR="00AA4138" w:rsidRPr="00AA4138">
        <w:rPr>
          <w:rFonts w:ascii="Times New Roman" w:hAnsi="Times New Roman" w:cs="Times New Roman"/>
          <w:sz w:val="24"/>
          <w:szCs w:val="24"/>
        </w:rPr>
        <w:t xml:space="preserve"> </w:t>
      </w:r>
      <w:r w:rsidR="00AA4138">
        <w:rPr>
          <w:rFonts w:ascii="Times New Roman" w:hAnsi="Times New Roman" w:cs="Times New Roman"/>
          <w:sz w:val="24"/>
          <w:szCs w:val="24"/>
        </w:rPr>
        <w:t xml:space="preserve">Savukārt onkoloģijas jomā </w:t>
      </w:r>
      <w:r w:rsidR="00AA4138" w:rsidRPr="00AA4138">
        <w:rPr>
          <w:rFonts w:ascii="Times New Roman" w:hAnsi="Times New Roman" w:cs="Times New Roman"/>
          <w:sz w:val="24"/>
          <w:szCs w:val="24"/>
        </w:rPr>
        <w:t xml:space="preserve">11 000 pacientiem savlaicīgi </w:t>
      </w:r>
      <w:r w:rsidR="00AA4138">
        <w:rPr>
          <w:rFonts w:ascii="Times New Roman" w:hAnsi="Times New Roman" w:cs="Times New Roman"/>
          <w:sz w:val="24"/>
          <w:szCs w:val="24"/>
        </w:rPr>
        <w:t>neuz</w:t>
      </w:r>
      <w:r w:rsidR="00AA4138" w:rsidRPr="00AA4138">
        <w:rPr>
          <w:rFonts w:ascii="Times New Roman" w:hAnsi="Times New Roman" w:cs="Times New Roman"/>
          <w:sz w:val="24"/>
          <w:szCs w:val="24"/>
        </w:rPr>
        <w:t>sāk</w:t>
      </w:r>
      <w:r w:rsidR="00AA4138">
        <w:rPr>
          <w:rFonts w:ascii="Times New Roman" w:hAnsi="Times New Roman" w:cs="Times New Roman"/>
          <w:sz w:val="24"/>
          <w:szCs w:val="24"/>
        </w:rPr>
        <w:t>ot</w:t>
      </w:r>
      <w:r w:rsidR="00AA4138" w:rsidRPr="00AA4138">
        <w:rPr>
          <w:rFonts w:ascii="Times New Roman" w:hAnsi="Times New Roman" w:cs="Times New Roman"/>
          <w:sz w:val="24"/>
          <w:szCs w:val="24"/>
        </w:rPr>
        <w:t xml:space="preserve"> ļaundabīgo audzēju primār</w:t>
      </w:r>
      <w:r w:rsidR="00AA4138">
        <w:rPr>
          <w:rFonts w:ascii="Times New Roman" w:hAnsi="Times New Roman" w:cs="Times New Roman"/>
          <w:sz w:val="24"/>
          <w:szCs w:val="24"/>
        </w:rPr>
        <w:t>o</w:t>
      </w:r>
      <w:r w:rsidR="00AA4138" w:rsidRPr="00AA4138">
        <w:rPr>
          <w:rFonts w:ascii="Times New Roman" w:hAnsi="Times New Roman" w:cs="Times New Roman"/>
          <w:sz w:val="24"/>
          <w:szCs w:val="24"/>
        </w:rPr>
        <w:t xml:space="preserve"> diagnostik</w:t>
      </w:r>
      <w:r w:rsidR="00AA4138">
        <w:rPr>
          <w:rFonts w:ascii="Times New Roman" w:hAnsi="Times New Roman" w:cs="Times New Roman"/>
          <w:sz w:val="24"/>
          <w:szCs w:val="24"/>
        </w:rPr>
        <w:t>u, PZMG ieguvumi samazinātos līdz pat 50%.</w:t>
      </w:r>
    </w:p>
    <w:p w14:paraId="73D439A3" w14:textId="1424EC04" w:rsidR="00AA4138" w:rsidRDefault="00AA4138" w:rsidP="00F80C28">
      <w:pPr>
        <w:shd w:val="clear" w:color="auto" w:fill="FFFFFF" w:themeFill="background1"/>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PZMG samazinājums saistībā ar bērnu zobārstniecību aprēķināts, prognozējot, ka nodrošinot pilnvērtīgu aptveri, </w:t>
      </w:r>
      <w:r w:rsidRPr="00847710">
        <w:rPr>
          <w:rFonts w:ascii="Times New Roman" w:eastAsia="Times New Roman" w:hAnsi="Times New Roman" w:cs="Times New Roman"/>
          <w:sz w:val="24"/>
          <w:szCs w:val="24"/>
        </w:rPr>
        <w:t>risks saslimt ar cukura diabētu, kardiovaskulāro, pulmonoloģisko vai gremošanas orgānu slimībām</w:t>
      </w:r>
      <w:r>
        <w:rPr>
          <w:rFonts w:ascii="Times New Roman" w:eastAsia="Times New Roman" w:hAnsi="Times New Roman" w:cs="Times New Roman"/>
          <w:sz w:val="24"/>
          <w:szCs w:val="24"/>
        </w:rPr>
        <w:t xml:space="preserve"> samazinās par 5%, novēršot 8058 </w:t>
      </w:r>
      <w:r w:rsidR="00711C85">
        <w:rPr>
          <w:rFonts w:ascii="Times New Roman" w:eastAsia="Times New Roman" w:hAnsi="Times New Roman" w:cs="Times New Roman"/>
          <w:sz w:val="24"/>
          <w:szCs w:val="24"/>
        </w:rPr>
        <w:t>saslimšanas</w:t>
      </w:r>
      <w:r>
        <w:rPr>
          <w:rFonts w:ascii="Times New Roman" w:eastAsia="Times New Roman" w:hAnsi="Times New Roman" w:cs="Times New Roman"/>
          <w:sz w:val="24"/>
          <w:szCs w:val="24"/>
        </w:rPr>
        <w:t xml:space="preserve"> gadījumus </w:t>
      </w:r>
      <w:r w:rsidR="00711C85">
        <w:rPr>
          <w:rFonts w:ascii="Times New Roman" w:eastAsia="Times New Roman" w:hAnsi="Times New Roman" w:cs="Times New Roman"/>
          <w:sz w:val="24"/>
          <w:szCs w:val="24"/>
        </w:rPr>
        <w:t xml:space="preserve">un potencioālos nāves gadījumus </w:t>
      </w:r>
      <w:r>
        <w:rPr>
          <w:rFonts w:ascii="Times New Roman" w:eastAsia="Times New Roman" w:hAnsi="Times New Roman" w:cs="Times New Roman"/>
          <w:sz w:val="24"/>
          <w:szCs w:val="24"/>
        </w:rPr>
        <w:t>atbilstoši minēto slimību mirstībai uz 100 000 iedzīvotājiem</w:t>
      </w:r>
      <w:r w:rsidR="00711C85">
        <w:rPr>
          <w:rFonts w:ascii="Times New Roman" w:eastAsia="Times New Roman" w:hAnsi="Times New Roman" w:cs="Times New Roman"/>
          <w:sz w:val="24"/>
          <w:szCs w:val="24"/>
        </w:rPr>
        <w:t>.</w:t>
      </w:r>
    </w:p>
    <w:p w14:paraId="66208051" w14:textId="20684AA9" w:rsidR="00711C85" w:rsidRPr="00847710" w:rsidRDefault="00711C85" w:rsidP="00F80C28">
      <w:pPr>
        <w:shd w:val="clear" w:color="auto" w:fill="FFFFFF" w:themeFill="background1"/>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Prognozējot PZMG samazinājumu SAS reformu ietvaros, ņemta vērā mirstība no SAS, mirušo skaits līdz 64 gadiem un, ka uz vieno mirušo no SAS vidēji tiek zaudēti 9,5 dzīves gadi un specialitātes ekspertu novērtējumam par prognozējamo mirstības samazinājumu reformu ietvarā par 4%.</w:t>
      </w:r>
    </w:p>
    <w:p w14:paraId="68F3DDEE" w14:textId="7F97D95A" w:rsidR="00FA6571" w:rsidRPr="00847710" w:rsidRDefault="0035610E" w:rsidP="00706AD0">
      <w:pPr>
        <w:shd w:val="clear" w:color="auto" w:fill="FFFFFF" w:themeFill="background1"/>
        <w:ind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Atbilstoši prognozētajam PZMG samazinājumam var secināt, ka kopējais tautsaimniecības ieguvums, ņemot vērā IKP uz vienu iedzīvotāju gadā, tikai turpmāko trīs gadu periodā pārsniegs ieguldījumu veselības aprūpes sistēmā, sastādot </w:t>
      </w:r>
      <w:r w:rsidR="000E49A2" w:rsidRPr="00847710">
        <w:rPr>
          <w:rFonts w:ascii="Times New Roman" w:hAnsi="Times New Roman" w:cs="Times New Roman"/>
          <w:color w:val="000000" w:themeColor="text1"/>
          <w:sz w:val="24"/>
          <w:szCs w:val="24"/>
        </w:rPr>
        <w:t>178,7</w:t>
      </w:r>
      <w:r w:rsidRPr="00847710">
        <w:rPr>
          <w:rFonts w:ascii="Times New Roman" w:hAnsi="Times New Roman" w:cs="Times New Roman"/>
          <w:color w:val="000000" w:themeColor="text1"/>
          <w:sz w:val="24"/>
          <w:szCs w:val="24"/>
        </w:rPr>
        <w:t xml:space="preserve"> miljonus euro.</w:t>
      </w:r>
    </w:p>
    <w:p w14:paraId="7AA72569" w14:textId="0AD026EB" w:rsidR="000D42A5" w:rsidRPr="00BC2160" w:rsidRDefault="00F40B5F">
      <w:pPr>
        <w:shd w:val="clear" w:color="auto" w:fill="FFFFFF" w:themeFill="background1"/>
        <w:ind w:firstLine="720"/>
        <w:jc w:val="both"/>
        <w:rPr>
          <w:rFonts w:ascii="Times New Roman" w:hAnsi="Times New Roman" w:cs="Times New Roman"/>
          <w:i/>
          <w:iCs/>
          <w:sz w:val="24"/>
          <w:szCs w:val="24"/>
        </w:rPr>
      </w:pPr>
      <w:r w:rsidRPr="00847710">
        <w:rPr>
          <w:rFonts w:ascii="Times New Roman" w:hAnsi="Times New Roman" w:cs="Times New Roman"/>
          <w:color w:val="000000" w:themeColor="text1"/>
          <w:sz w:val="24"/>
          <w:szCs w:val="24"/>
        </w:rPr>
        <w:t xml:space="preserve">Tāpat reformu rezultātā uzlabosies </w:t>
      </w:r>
      <w:r w:rsidR="001A6661" w:rsidRPr="00847710">
        <w:rPr>
          <w:rFonts w:ascii="Times New Roman" w:hAnsi="Times New Roman" w:cs="Times New Roman"/>
          <w:color w:val="000000" w:themeColor="text1"/>
          <w:sz w:val="24"/>
          <w:szCs w:val="24"/>
        </w:rPr>
        <w:t xml:space="preserve">iedzīvotāju pieejamība veselības aprūpes pakalpojumiem, galvenokārt zemākajā ienākumu kvintilē (skat. </w:t>
      </w:r>
      <w:r w:rsidR="00CD2322" w:rsidRPr="00847710">
        <w:rPr>
          <w:rFonts w:ascii="Times New Roman" w:hAnsi="Times New Roman" w:cs="Times New Roman"/>
          <w:color w:val="000000" w:themeColor="text1"/>
          <w:sz w:val="24"/>
          <w:szCs w:val="24"/>
        </w:rPr>
        <w:t>1</w:t>
      </w:r>
      <w:r w:rsidR="00DA7D14" w:rsidRPr="00847710">
        <w:rPr>
          <w:rFonts w:ascii="Times New Roman" w:hAnsi="Times New Roman" w:cs="Times New Roman"/>
          <w:color w:val="000000" w:themeColor="text1"/>
          <w:sz w:val="24"/>
          <w:szCs w:val="24"/>
        </w:rPr>
        <w:t>2</w:t>
      </w:r>
      <w:r w:rsidR="001A6661" w:rsidRPr="00847710">
        <w:rPr>
          <w:rFonts w:ascii="Times New Roman" w:hAnsi="Times New Roman" w:cs="Times New Roman"/>
          <w:color w:val="000000" w:themeColor="text1"/>
          <w:sz w:val="24"/>
          <w:szCs w:val="24"/>
        </w:rPr>
        <w:t>.attēlu) un samazināsies iedzīvotāju tiešie maksājumi par veselības aprūpes pakalpojumiem. Minētajos rādītājos Latvija pārliecinoši ir vien</w:t>
      </w:r>
      <w:r w:rsidR="003F1724" w:rsidRPr="00847710">
        <w:rPr>
          <w:rFonts w:ascii="Times New Roman" w:hAnsi="Times New Roman" w:cs="Times New Roman"/>
          <w:color w:val="000000" w:themeColor="text1"/>
          <w:sz w:val="24"/>
          <w:szCs w:val="24"/>
        </w:rPr>
        <w:t>ā</w:t>
      </w:r>
      <w:r w:rsidR="001A6661" w:rsidRPr="00847710">
        <w:rPr>
          <w:rFonts w:ascii="Times New Roman" w:hAnsi="Times New Roman" w:cs="Times New Roman"/>
          <w:color w:val="000000" w:themeColor="text1"/>
          <w:sz w:val="24"/>
          <w:szCs w:val="24"/>
        </w:rPr>
        <w:t xml:space="preserve"> sliktākajām situācijām Eiropas Savienībā uz ko atkārtoti norāda arī Eiropas Komisija.</w:t>
      </w:r>
    </w:p>
    <w:p w14:paraId="1FCB5AC0" w14:textId="336667C1" w:rsidR="00F40B5F" w:rsidRPr="00BC2160" w:rsidRDefault="00CD2322">
      <w:pPr>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DA7D14" w:rsidRPr="57326167">
        <w:rPr>
          <w:rFonts w:ascii="Times New Roman" w:hAnsi="Times New Roman" w:cs="Times New Roman"/>
          <w:i/>
          <w:iCs/>
          <w:sz w:val="24"/>
          <w:szCs w:val="24"/>
        </w:rPr>
        <w:t>2</w:t>
      </w:r>
      <w:r w:rsidR="00F40B5F" w:rsidRPr="00BD7921">
        <w:rPr>
          <w:rFonts w:ascii="Times New Roman" w:hAnsi="Times New Roman" w:cs="Times New Roman"/>
          <w:i/>
          <w:iCs/>
          <w:sz w:val="24"/>
          <w:szCs w:val="24"/>
        </w:rPr>
        <w:t>.attēls</w:t>
      </w:r>
    </w:p>
    <w:p w14:paraId="57653D5B" w14:textId="77777777" w:rsidR="00F40B5F" w:rsidRPr="00BC2160" w:rsidRDefault="00364FF4">
      <w:pPr>
        <w:jc w:val="center"/>
        <w:rPr>
          <w:rFonts w:ascii="Times New Roman" w:hAnsi="Times New Roman" w:cs="Times New Roman"/>
          <w:b/>
          <w:bCs/>
          <w:sz w:val="24"/>
          <w:szCs w:val="24"/>
        </w:rPr>
      </w:pPr>
      <w:r w:rsidRPr="0012317D">
        <w:rPr>
          <w:rFonts w:ascii="Times New Roman" w:hAnsi="Times New Roman" w:cs="Times New Roman"/>
          <w:b/>
          <w:bCs/>
          <w:sz w:val="24"/>
          <w:szCs w:val="24"/>
        </w:rPr>
        <w:t>Iedzīvotāju vērtējums veselības aprūpes pieejamības ierobežojumiem finansiālu, ģeogrāfisku vai gaidīšanas iemeslu dēļ (ziņotās neapmierinātās vajadzības)</w:t>
      </w:r>
      <w:r w:rsidR="005002BF" w:rsidRPr="0078794A">
        <w:rPr>
          <w:rFonts w:ascii="Times New Roman" w:hAnsi="Times New Roman" w:cs="Times New Roman"/>
          <w:b/>
          <w:bCs/>
          <w:sz w:val="24"/>
          <w:szCs w:val="24"/>
        </w:rPr>
        <w:t>, %</w:t>
      </w:r>
    </w:p>
    <w:p w14:paraId="61EFC272" w14:textId="77777777" w:rsidR="00DA3071" w:rsidRPr="00847710" w:rsidRDefault="00DA3071" w:rsidP="00DA3071">
      <w:pPr>
        <w:shd w:val="clear" w:color="auto" w:fill="FFFFFF"/>
        <w:jc w:val="center"/>
        <w:rPr>
          <w:rFonts w:ascii="Times New Roman" w:hAnsi="Times New Roman" w:cs="Times New Roman"/>
          <w:color w:val="000000" w:themeColor="text1"/>
          <w:sz w:val="24"/>
        </w:rPr>
      </w:pPr>
      <w:r w:rsidRPr="00847710">
        <w:rPr>
          <w:rFonts w:ascii="Times New Roman" w:hAnsi="Times New Roman" w:cs="Times New Roman"/>
          <w:noProof/>
          <w:lang w:eastAsia="lv-LV"/>
        </w:rPr>
        <w:drawing>
          <wp:inline distT="0" distB="0" distL="0" distR="0" wp14:anchorId="0BDE34CE" wp14:editId="669C8658">
            <wp:extent cx="59436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0368F4" w14:textId="77777777" w:rsidR="00F40B5F" w:rsidRPr="00BC2160" w:rsidRDefault="00F40B5F">
      <w:pPr>
        <w:jc w:val="both"/>
        <w:rPr>
          <w:rFonts w:ascii="Times New Roman" w:hAnsi="Times New Roman" w:cs="Times New Roman"/>
          <w:i/>
          <w:iCs/>
          <w:sz w:val="20"/>
          <w:szCs w:val="20"/>
        </w:rPr>
      </w:pPr>
      <w:r w:rsidRPr="57326167">
        <w:rPr>
          <w:rFonts w:ascii="Times New Roman" w:hAnsi="Times New Roman" w:cs="Times New Roman"/>
          <w:i/>
          <w:iCs/>
          <w:sz w:val="20"/>
          <w:szCs w:val="20"/>
        </w:rPr>
        <w:t xml:space="preserve">Avots: SPKC </w:t>
      </w:r>
    </w:p>
    <w:p w14:paraId="03AAF7EF" w14:textId="57FC5B08" w:rsidR="0035610E" w:rsidRPr="00847710" w:rsidRDefault="005A5D0B" w:rsidP="00706AD0">
      <w:pPr>
        <w:shd w:val="clear" w:color="auto" w:fill="FFFFFF" w:themeFill="background1"/>
        <w:ind w:firstLine="720"/>
        <w:jc w:val="both"/>
        <w:rPr>
          <w:rFonts w:ascii="Times New Roman" w:hAnsi="Times New Roman" w:cs="Times New Roman"/>
          <w:sz w:val="24"/>
          <w:szCs w:val="24"/>
        </w:rPr>
      </w:pPr>
      <w:r w:rsidRPr="00847710">
        <w:rPr>
          <w:rFonts w:ascii="Times New Roman" w:hAnsi="Times New Roman" w:cs="Times New Roman"/>
          <w:color w:val="000000" w:themeColor="text1"/>
          <w:sz w:val="24"/>
          <w:szCs w:val="24"/>
        </w:rPr>
        <w:t>Papildus</w:t>
      </w:r>
      <w:r w:rsidR="0035610E" w:rsidRPr="00847710">
        <w:rPr>
          <w:rFonts w:ascii="Times New Roman" w:hAnsi="Times New Roman" w:cs="Times New Roman"/>
          <w:color w:val="000000" w:themeColor="text1"/>
          <w:sz w:val="24"/>
          <w:szCs w:val="24"/>
        </w:rPr>
        <w:t xml:space="preserve"> būtiskus ieguvumus tautsaimniecības dos vairāki reformu pasākumi, kas ir vērsti tieši uz darbnespējas biežuma un ilguma samazināšanu. </w:t>
      </w:r>
      <w:r w:rsidR="00A106EE" w:rsidRPr="00847710">
        <w:rPr>
          <w:rFonts w:ascii="Times New Roman" w:hAnsi="Times New Roman" w:cs="Times New Roman"/>
          <w:color w:val="000000" w:themeColor="text1"/>
          <w:sz w:val="24"/>
          <w:szCs w:val="24"/>
        </w:rPr>
        <w:t>Pēc ekspertu novērtējuma p</w:t>
      </w:r>
      <w:r w:rsidR="0035610E" w:rsidRPr="00847710">
        <w:rPr>
          <w:rFonts w:ascii="Times New Roman" w:hAnsi="Times New Roman" w:cs="Times New Roman"/>
          <w:color w:val="000000" w:themeColor="text1"/>
          <w:sz w:val="24"/>
          <w:szCs w:val="24"/>
        </w:rPr>
        <w:t xml:space="preserve">rognozējot kopējo </w:t>
      </w:r>
      <w:r w:rsidR="00CA3F6F" w:rsidRPr="00847710">
        <w:rPr>
          <w:rFonts w:ascii="Times New Roman" w:hAnsi="Times New Roman" w:cs="Times New Roman"/>
          <w:sz w:val="24"/>
          <w:szCs w:val="24"/>
        </w:rPr>
        <w:t>izmaksājamo slimības pabalstu apmēra samazinājumu 5% apmērā</w:t>
      </w:r>
      <w:r w:rsidR="003E6594" w:rsidRPr="00847710">
        <w:rPr>
          <w:rFonts w:ascii="Times New Roman" w:hAnsi="Times New Roman" w:cs="Times New Roman"/>
          <w:sz w:val="24"/>
          <w:szCs w:val="24"/>
        </w:rPr>
        <w:t xml:space="preserve"> un izmaksāto slimības pabalstu apjoma kāpumu, ja izmaiņas netiek veiktas (2018.gadā 186 miljoni euro, 2019.gadā 209 miljoni euro un 2020.gadā 226 miljoni euro</w:t>
      </w:r>
      <w:r w:rsidR="001D0EEE" w:rsidRPr="00847710">
        <w:rPr>
          <w:rStyle w:val="FootnoteReference"/>
          <w:rFonts w:ascii="Times New Roman" w:hAnsi="Times New Roman" w:cs="Times New Roman"/>
          <w:sz w:val="24"/>
          <w:szCs w:val="24"/>
        </w:rPr>
        <w:footnoteReference w:id="72"/>
      </w:r>
      <w:r w:rsidR="003E6594" w:rsidRPr="00847710">
        <w:rPr>
          <w:rFonts w:ascii="Times New Roman" w:hAnsi="Times New Roman" w:cs="Times New Roman"/>
          <w:sz w:val="24"/>
          <w:szCs w:val="24"/>
        </w:rPr>
        <w:t xml:space="preserve">) </w:t>
      </w:r>
      <w:r w:rsidR="00CA3F6F" w:rsidRPr="00847710">
        <w:rPr>
          <w:rFonts w:ascii="Times New Roman" w:hAnsi="Times New Roman" w:cs="Times New Roman"/>
          <w:sz w:val="24"/>
          <w:szCs w:val="24"/>
        </w:rPr>
        <w:t xml:space="preserve">līdz 2020.gadam </w:t>
      </w:r>
      <w:r w:rsidR="003E6594" w:rsidRPr="00847710">
        <w:rPr>
          <w:rFonts w:ascii="Times New Roman" w:hAnsi="Times New Roman" w:cs="Times New Roman"/>
          <w:sz w:val="24"/>
          <w:szCs w:val="24"/>
        </w:rPr>
        <w:t>iespējams ietaupīt papildus 11,3 miljonus euro.</w:t>
      </w:r>
    </w:p>
    <w:p w14:paraId="6B6CCB8A" w14:textId="6446F4AD" w:rsidR="000D42A5" w:rsidRPr="00BC2160" w:rsidRDefault="008C2ABD" w:rsidP="00BC2160">
      <w:pPr>
        <w:shd w:val="clear" w:color="auto" w:fill="FFFFFF" w:themeFill="background1"/>
        <w:spacing w:after="120"/>
        <w:ind w:firstLine="720"/>
        <w:jc w:val="both"/>
        <w:rPr>
          <w:rFonts w:ascii="Times New Roman" w:hAnsi="Times New Roman" w:cs="Times New Roman"/>
          <w:i/>
          <w:iCs/>
          <w:sz w:val="24"/>
          <w:szCs w:val="24"/>
        </w:rPr>
      </w:pPr>
      <w:r w:rsidRPr="00847710">
        <w:rPr>
          <w:rFonts w:ascii="Times New Roman" w:hAnsi="Times New Roman" w:cs="Times New Roman"/>
          <w:sz w:val="24"/>
          <w:szCs w:val="24"/>
        </w:rPr>
        <w:t xml:space="preserve">Pastāv arī korelācija starp veiktajiem ieguldījumiem un attālināmo mirstību </w:t>
      </w:r>
      <w:r w:rsidRPr="57326167">
        <w:rPr>
          <w:rFonts w:ascii="Times New Roman" w:hAnsi="Times New Roman" w:cs="Times New Roman"/>
          <w:i/>
          <w:iCs/>
          <w:sz w:val="24"/>
          <w:szCs w:val="24"/>
        </w:rPr>
        <w:t xml:space="preserve">(skat. </w:t>
      </w:r>
      <w:r w:rsidR="00CD2322" w:rsidRPr="57326167">
        <w:rPr>
          <w:rFonts w:ascii="Times New Roman" w:hAnsi="Times New Roman" w:cs="Times New Roman"/>
          <w:i/>
          <w:iCs/>
          <w:sz w:val="24"/>
          <w:szCs w:val="24"/>
        </w:rPr>
        <w:t>1</w:t>
      </w:r>
      <w:r w:rsidR="00DA7D14" w:rsidRPr="00BD7921">
        <w:rPr>
          <w:rFonts w:ascii="Times New Roman" w:hAnsi="Times New Roman" w:cs="Times New Roman"/>
          <w:i/>
          <w:iCs/>
          <w:sz w:val="24"/>
          <w:szCs w:val="24"/>
        </w:rPr>
        <w:t>3</w:t>
      </w:r>
      <w:r w:rsidRPr="00890961">
        <w:rPr>
          <w:rFonts w:ascii="Times New Roman" w:hAnsi="Times New Roman" w:cs="Times New Roman"/>
          <w:i/>
          <w:iCs/>
          <w:sz w:val="24"/>
          <w:szCs w:val="24"/>
        </w:rPr>
        <w:t>.attēlu)</w:t>
      </w:r>
      <w:r w:rsidRPr="00847710">
        <w:rPr>
          <w:rFonts w:ascii="Times New Roman" w:hAnsi="Times New Roman" w:cs="Times New Roman"/>
          <w:sz w:val="24"/>
          <w:szCs w:val="24"/>
        </w:rPr>
        <w:t>, kas liecina, ka veicot papildus ieguldījumus un intervences, ilgtermiņā un vidējā termiņā var uzlabot veselības aprūpes snieguma rādītājus.</w:t>
      </w:r>
      <w:r w:rsidR="00125A9A" w:rsidRPr="00847710">
        <w:rPr>
          <w:rFonts w:ascii="Times New Roman" w:hAnsi="Times New Roman" w:cs="Times New Roman"/>
          <w:sz w:val="24"/>
          <w:szCs w:val="24"/>
        </w:rPr>
        <w:t xml:space="preserve"> </w:t>
      </w:r>
    </w:p>
    <w:p w14:paraId="5CBEEE7A" w14:textId="173F1DF4" w:rsidR="004B479B" w:rsidRPr="00BC2160" w:rsidRDefault="00125A9A" w:rsidP="00BC2160">
      <w:pPr>
        <w:spacing w:after="120"/>
        <w:ind w:hanging="709"/>
        <w:contextualSpacing/>
        <w:jc w:val="right"/>
        <w:rPr>
          <w:rFonts w:ascii="Times New Roman" w:hAnsi="Times New Roman" w:cs="Times New Roman"/>
          <w:i/>
          <w:iCs/>
          <w:sz w:val="24"/>
          <w:szCs w:val="24"/>
        </w:rPr>
      </w:pPr>
      <w:r w:rsidRPr="57326167">
        <w:rPr>
          <w:rFonts w:ascii="Times New Roman" w:hAnsi="Times New Roman" w:cs="Times New Roman"/>
          <w:i/>
          <w:iCs/>
          <w:sz w:val="24"/>
          <w:szCs w:val="24"/>
        </w:rPr>
        <w:t>1</w:t>
      </w:r>
      <w:r w:rsidR="00DA7D14" w:rsidRPr="57326167">
        <w:rPr>
          <w:rFonts w:ascii="Times New Roman" w:hAnsi="Times New Roman" w:cs="Times New Roman"/>
          <w:i/>
          <w:iCs/>
          <w:sz w:val="24"/>
          <w:szCs w:val="24"/>
        </w:rPr>
        <w:t>3</w:t>
      </w:r>
      <w:r w:rsidRPr="00BD7921">
        <w:rPr>
          <w:rFonts w:ascii="Times New Roman" w:hAnsi="Times New Roman" w:cs="Times New Roman"/>
          <w:i/>
          <w:iCs/>
          <w:sz w:val="24"/>
          <w:szCs w:val="24"/>
        </w:rPr>
        <w:t>.attēls</w:t>
      </w:r>
    </w:p>
    <w:p w14:paraId="38FAC82C" w14:textId="3C06678A" w:rsidR="00125A9A" w:rsidRPr="00BC2160" w:rsidRDefault="00125A9A" w:rsidP="00BC2160">
      <w:pPr>
        <w:spacing w:after="120"/>
        <w:ind w:hanging="709"/>
        <w:contextualSpacing/>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Finansējuma un attālināmās </w:t>
      </w:r>
      <w:r w:rsidRPr="0078794A">
        <w:rPr>
          <w:rFonts w:ascii="Times New Roman" w:hAnsi="Times New Roman" w:cs="Times New Roman"/>
          <w:b/>
          <w:bCs/>
          <w:sz w:val="24"/>
          <w:szCs w:val="24"/>
        </w:rPr>
        <w:t>mirstības rādītāju korelācija Eiropas valstīs, 2013.gads</w:t>
      </w:r>
    </w:p>
    <w:p w14:paraId="07DE0C57" w14:textId="54AED53A" w:rsidR="00125A9A" w:rsidRPr="00847710" w:rsidRDefault="00125A9A" w:rsidP="004B479B">
      <w:pPr>
        <w:spacing w:after="120" w:line="240" w:lineRule="auto"/>
        <w:jc w:val="center"/>
        <w:rPr>
          <w:rFonts w:ascii="Times New Roman" w:hAnsi="Times New Roman" w:cs="Times New Roman"/>
          <w:sz w:val="24"/>
          <w:szCs w:val="24"/>
        </w:rPr>
      </w:pPr>
    </w:p>
    <w:p w14:paraId="14DBDF02" w14:textId="70609E70" w:rsidR="00125A9A" w:rsidRPr="00847710" w:rsidRDefault="004138A9" w:rsidP="004138A9">
      <w:pPr>
        <w:shd w:val="clear" w:color="auto" w:fill="FFFFFF"/>
        <w:jc w:val="both"/>
        <w:rPr>
          <w:rFonts w:ascii="Times New Roman" w:hAnsi="Times New Roman" w:cs="Times New Roman"/>
          <w:sz w:val="24"/>
          <w:szCs w:val="24"/>
        </w:rPr>
      </w:pPr>
      <w:r w:rsidRPr="00847710">
        <w:rPr>
          <w:rFonts w:ascii="Times New Roman" w:hAnsi="Times New Roman" w:cs="Times New Roman"/>
          <w:noProof/>
        </w:rPr>
        <w:drawing>
          <wp:inline distT="0" distB="0" distL="0" distR="0" wp14:anchorId="45AB296C" wp14:editId="5BDCE706">
            <wp:extent cx="5777865" cy="3917315"/>
            <wp:effectExtent l="0" t="0" r="13335" b="6985"/>
            <wp:docPr id="14" name="Chart 14">
              <a:extLst xmlns:a="http://schemas.openxmlformats.org/drawingml/2006/main">
                <a:ext uri="{FF2B5EF4-FFF2-40B4-BE49-F238E27FC236}">
                  <a16:creationId xmlns:a16="http://schemas.microsoft.com/office/drawing/2014/main" id="{2ADC3E99-8367-4745-8F69-D0CA9B27BC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862C9C" w14:textId="65BCB808" w:rsidR="008C2ABD" w:rsidRPr="00847710" w:rsidRDefault="00125A9A" w:rsidP="00706AD0">
      <w:pPr>
        <w:shd w:val="clear" w:color="auto" w:fill="FFFFFF" w:themeFill="background1"/>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Kā redzams </w:t>
      </w:r>
      <w:r w:rsidRPr="57326167">
        <w:rPr>
          <w:rFonts w:ascii="Times New Roman" w:hAnsi="Times New Roman" w:cs="Times New Roman"/>
          <w:i/>
          <w:iCs/>
          <w:sz w:val="24"/>
          <w:szCs w:val="24"/>
        </w:rPr>
        <w:t>1</w:t>
      </w:r>
      <w:r w:rsidR="00DA7D14" w:rsidRPr="57326167">
        <w:rPr>
          <w:rFonts w:ascii="Times New Roman" w:hAnsi="Times New Roman" w:cs="Times New Roman"/>
          <w:i/>
          <w:iCs/>
          <w:sz w:val="24"/>
          <w:szCs w:val="24"/>
        </w:rPr>
        <w:t>3</w:t>
      </w:r>
      <w:r w:rsidRPr="00BD7921">
        <w:rPr>
          <w:rFonts w:ascii="Times New Roman" w:hAnsi="Times New Roman" w:cs="Times New Roman"/>
          <w:i/>
          <w:iCs/>
          <w:sz w:val="24"/>
          <w:szCs w:val="24"/>
        </w:rPr>
        <w:t>.attēlā,</w:t>
      </w:r>
      <w:r w:rsidRPr="00847710">
        <w:rPr>
          <w:rFonts w:ascii="Times New Roman" w:hAnsi="Times New Roman" w:cs="Times New Roman"/>
          <w:sz w:val="24"/>
          <w:szCs w:val="24"/>
        </w:rPr>
        <w:t xml:space="preserve"> attālināmās </w:t>
      </w:r>
      <w:r w:rsidRPr="57326167">
        <w:rPr>
          <w:rFonts w:ascii="Times New Roman" w:hAnsi="Times New Roman" w:cs="Times New Roman"/>
          <w:i/>
          <w:iCs/>
          <w:sz w:val="24"/>
          <w:szCs w:val="24"/>
        </w:rPr>
        <w:t>(amenable)</w:t>
      </w:r>
      <w:r w:rsidRPr="00847710">
        <w:rPr>
          <w:rFonts w:ascii="Times New Roman" w:hAnsi="Times New Roman" w:cs="Times New Roman"/>
          <w:sz w:val="24"/>
          <w:szCs w:val="24"/>
        </w:rPr>
        <w:t xml:space="preserve"> mirstības rādītāji korelē ar izdevumiem veselības aprūpes nodrošināšanai uz 1 iedzīvotāju (valsts un privātie), tādēļ izvirzīto </w:t>
      </w:r>
      <w:r w:rsidRPr="0012317D">
        <w:rPr>
          <w:rFonts w:ascii="Times New Roman" w:hAnsi="Times New Roman" w:cs="Times New Roman"/>
          <w:b/>
          <w:bCs/>
          <w:sz w:val="24"/>
          <w:szCs w:val="24"/>
        </w:rPr>
        <w:t xml:space="preserve">mērķu izpilde ir tieši </w:t>
      </w:r>
      <w:r w:rsidRPr="0078794A">
        <w:rPr>
          <w:rFonts w:ascii="Times New Roman" w:hAnsi="Times New Roman" w:cs="Times New Roman"/>
          <w:b/>
          <w:bCs/>
          <w:sz w:val="24"/>
          <w:szCs w:val="24"/>
        </w:rPr>
        <w:t>atkarīga no papildus finanšu resursu piesaistes</w:t>
      </w:r>
      <w:r w:rsidRPr="00847710">
        <w:rPr>
          <w:rFonts w:ascii="Times New Roman" w:hAnsi="Times New Roman" w:cs="Times New Roman"/>
          <w:sz w:val="24"/>
          <w:szCs w:val="24"/>
        </w:rPr>
        <w:t>. Nevar noliegt, ka arī reformas soļi sistēmas efektivitātes un snieguma rādītāju uzlabošanai pozitīvi ietekmēs mirstības rādītājus, tomēr to ietekme vien, bez papildu finanšu resursiem, nebūs pietiekama, lai būtiski uzlabotu šos rādītājus.</w:t>
      </w:r>
    </w:p>
    <w:p w14:paraId="54AFB704" w14:textId="7F7A4CCD" w:rsidR="00464BD8" w:rsidRPr="00847710" w:rsidRDefault="00E67C42" w:rsidP="00706AD0">
      <w:pPr>
        <w:shd w:val="clear" w:color="auto" w:fill="FFFFFF" w:themeFill="background1"/>
        <w:ind w:firstLine="720"/>
        <w:jc w:val="both"/>
        <w:rPr>
          <w:rFonts w:ascii="Times New Roman" w:eastAsia="Times New Roman" w:hAnsi="Times New Roman" w:cs="Times New Roman"/>
          <w:color w:val="000000" w:themeColor="text1"/>
          <w:sz w:val="24"/>
          <w:szCs w:val="24"/>
          <w:lang w:eastAsia="lv-LV"/>
        </w:rPr>
      </w:pPr>
      <w:r w:rsidRPr="00847710">
        <w:rPr>
          <w:rFonts w:ascii="Times New Roman" w:hAnsi="Times New Roman" w:cs="Times New Roman"/>
          <w:color w:val="000000" w:themeColor="text1"/>
          <w:sz w:val="24"/>
          <w:szCs w:val="24"/>
        </w:rPr>
        <w:t xml:space="preserve">Ņemot vērā visus šajā dokumentā minētos apsvērumus un paredzamo ietekmi, </w:t>
      </w:r>
      <w:r w:rsidR="00C66EF2" w:rsidRPr="00847710">
        <w:rPr>
          <w:rFonts w:ascii="Times New Roman" w:hAnsi="Times New Roman" w:cs="Times New Roman"/>
          <w:color w:val="000000" w:themeColor="text1"/>
          <w:sz w:val="24"/>
          <w:szCs w:val="24"/>
        </w:rPr>
        <w:t xml:space="preserve">veselības nozares </w:t>
      </w:r>
      <w:r w:rsidR="00464BD8" w:rsidRPr="00847710">
        <w:rPr>
          <w:rFonts w:ascii="Times New Roman" w:hAnsi="Times New Roman" w:cs="Times New Roman"/>
          <w:color w:val="000000" w:themeColor="text1"/>
          <w:sz w:val="24"/>
          <w:szCs w:val="24"/>
        </w:rPr>
        <w:t>reformu sekmīgai turpināšanai</w:t>
      </w:r>
      <w:r w:rsidR="005002BF" w:rsidRPr="00847710">
        <w:rPr>
          <w:rFonts w:ascii="Times New Roman" w:hAnsi="Times New Roman" w:cs="Times New Roman"/>
          <w:color w:val="000000" w:themeColor="text1"/>
          <w:sz w:val="24"/>
          <w:szCs w:val="24"/>
        </w:rPr>
        <w:t xml:space="preserve"> </w:t>
      </w:r>
      <w:r w:rsidR="00464BD8" w:rsidRPr="00847710">
        <w:rPr>
          <w:rFonts w:ascii="Times New Roman" w:hAnsi="Times New Roman" w:cs="Times New Roman"/>
          <w:color w:val="000000" w:themeColor="text1"/>
          <w:sz w:val="24"/>
          <w:szCs w:val="24"/>
        </w:rPr>
        <w:t xml:space="preserve">nepieciešams pārdalīt Veselības ministrijai veselības aprūpes sistēmas reformas ieviešanai budžeta resora “74.Gadskārtējā valsts budžeta izpildes procesā pārdalāmais finansējums” 08.00.00 programmā “Veselības aprūpes sistēmas reformas ieviešanas finansējums” rezervēto finansējumu </w:t>
      </w:r>
      <w:r w:rsidR="00CE5367" w:rsidRPr="00847710">
        <w:rPr>
          <w:rFonts w:ascii="Times New Roman" w:hAnsi="Times New Roman" w:cs="Times New Roman"/>
          <w:color w:val="000000" w:themeColor="text1"/>
          <w:sz w:val="24"/>
          <w:szCs w:val="24"/>
        </w:rPr>
        <w:t>113 </w:t>
      </w:r>
      <w:r w:rsidR="00C76782" w:rsidRPr="00847710">
        <w:rPr>
          <w:rFonts w:ascii="Times New Roman" w:hAnsi="Times New Roman" w:cs="Times New Roman"/>
          <w:color w:val="000000" w:themeColor="text1"/>
          <w:sz w:val="24"/>
          <w:szCs w:val="24"/>
        </w:rPr>
        <w:t>4</w:t>
      </w:r>
      <w:r w:rsidR="00CE5367" w:rsidRPr="00847710">
        <w:rPr>
          <w:rFonts w:ascii="Times New Roman" w:hAnsi="Times New Roman" w:cs="Times New Roman"/>
          <w:color w:val="000000" w:themeColor="text1"/>
          <w:sz w:val="24"/>
          <w:szCs w:val="24"/>
        </w:rPr>
        <w:t>00 000</w:t>
      </w:r>
      <w:r w:rsidR="008F5B22" w:rsidRPr="00847710">
        <w:rPr>
          <w:rFonts w:ascii="Times New Roman" w:hAnsi="Times New Roman" w:cs="Times New Roman"/>
          <w:color w:val="000000" w:themeColor="text1"/>
          <w:sz w:val="24"/>
          <w:szCs w:val="24"/>
        </w:rPr>
        <w:t> </w:t>
      </w:r>
      <w:r w:rsidR="00464BD8" w:rsidRPr="57326167">
        <w:rPr>
          <w:rFonts w:ascii="Times New Roman" w:hAnsi="Times New Roman" w:cs="Times New Roman"/>
          <w:i/>
          <w:iCs/>
          <w:color w:val="000000" w:themeColor="text1"/>
          <w:sz w:val="24"/>
          <w:szCs w:val="24"/>
        </w:rPr>
        <w:t>euro</w:t>
      </w:r>
      <w:r w:rsidR="00464BD8" w:rsidRPr="00847710">
        <w:rPr>
          <w:rFonts w:ascii="Times New Roman" w:hAnsi="Times New Roman" w:cs="Times New Roman"/>
          <w:color w:val="000000" w:themeColor="text1"/>
          <w:sz w:val="24"/>
          <w:szCs w:val="24"/>
        </w:rPr>
        <w:t xml:space="preserve"> apmērā veselības aprūpes sistēmas reforma</w:t>
      </w:r>
      <w:r w:rsidR="009A5E63" w:rsidRPr="00847710">
        <w:rPr>
          <w:rFonts w:ascii="Times New Roman" w:hAnsi="Times New Roman" w:cs="Times New Roman"/>
          <w:color w:val="000000" w:themeColor="text1"/>
          <w:sz w:val="24"/>
          <w:szCs w:val="24"/>
        </w:rPr>
        <w:t>s pasākumu īstenošanai 201</w:t>
      </w:r>
      <w:r w:rsidR="00390A84" w:rsidRPr="00847710">
        <w:rPr>
          <w:rFonts w:ascii="Times New Roman" w:hAnsi="Times New Roman" w:cs="Times New Roman"/>
          <w:color w:val="000000" w:themeColor="text1"/>
          <w:sz w:val="24"/>
          <w:szCs w:val="24"/>
        </w:rPr>
        <w:t>8</w:t>
      </w:r>
      <w:r w:rsidR="009A5E63" w:rsidRPr="00847710">
        <w:rPr>
          <w:rFonts w:ascii="Times New Roman" w:hAnsi="Times New Roman" w:cs="Times New Roman"/>
          <w:color w:val="000000" w:themeColor="text1"/>
          <w:sz w:val="24"/>
          <w:szCs w:val="24"/>
        </w:rPr>
        <w:t>.gadā.</w:t>
      </w:r>
    </w:p>
    <w:p w14:paraId="01CDF7DD" w14:textId="77777777" w:rsidR="00A01E3E" w:rsidRPr="00847710" w:rsidRDefault="00A01E3E" w:rsidP="00343E8A">
      <w:pPr>
        <w:ind w:right="-766"/>
        <w:rPr>
          <w:rFonts w:ascii="Times New Roman" w:eastAsia="Times New Roman" w:hAnsi="Times New Roman" w:cs="Times New Roman"/>
          <w:sz w:val="28"/>
          <w:szCs w:val="28"/>
        </w:rPr>
      </w:pPr>
    </w:p>
    <w:p w14:paraId="63B68977" w14:textId="4191649F" w:rsidR="00343E8A" w:rsidRPr="00847710" w:rsidRDefault="00343E8A" w:rsidP="00343E8A">
      <w:pPr>
        <w:ind w:right="-766"/>
        <w:rPr>
          <w:rFonts w:ascii="Times New Roman" w:eastAsia="Times New Roman" w:hAnsi="Times New Roman" w:cs="Times New Roman"/>
          <w:sz w:val="28"/>
          <w:szCs w:val="28"/>
        </w:rPr>
      </w:pPr>
      <w:r w:rsidRPr="00847710">
        <w:rPr>
          <w:rFonts w:ascii="Times New Roman" w:eastAsia="Times New Roman" w:hAnsi="Times New Roman" w:cs="Times New Roman"/>
          <w:sz w:val="28"/>
          <w:szCs w:val="28"/>
        </w:rPr>
        <w:t>Veselības ministre</w:t>
      </w:r>
      <w:r w:rsidRPr="00847710">
        <w:rPr>
          <w:rFonts w:ascii="Times New Roman" w:eastAsia="Times New Roman" w:hAnsi="Times New Roman" w:cs="Times New Roman"/>
          <w:sz w:val="28"/>
          <w:szCs w:val="28"/>
        </w:rPr>
        <w:tab/>
      </w:r>
      <w:r w:rsidRPr="00847710">
        <w:rPr>
          <w:rFonts w:ascii="Times New Roman" w:eastAsia="Times New Roman" w:hAnsi="Times New Roman" w:cs="Times New Roman"/>
          <w:sz w:val="28"/>
          <w:szCs w:val="28"/>
        </w:rPr>
        <w:tab/>
      </w:r>
      <w:r w:rsidRPr="00847710">
        <w:rPr>
          <w:rFonts w:ascii="Times New Roman" w:eastAsia="Times New Roman" w:hAnsi="Times New Roman" w:cs="Times New Roman"/>
          <w:sz w:val="28"/>
          <w:szCs w:val="28"/>
        </w:rPr>
        <w:tab/>
      </w:r>
      <w:r w:rsidRPr="00847710">
        <w:rPr>
          <w:rFonts w:ascii="Times New Roman" w:eastAsia="Times New Roman" w:hAnsi="Times New Roman" w:cs="Times New Roman"/>
          <w:sz w:val="28"/>
          <w:szCs w:val="28"/>
        </w:rPr>
        <w:tab/>
      </w:r>
      <w:r w:rsidRPr="00847710">
        <w:rPr>
          <w:rFonts w:ascii="Times New Roman" w:eastAsia="Times New Roman" w:hAnsi="Times New Roman" w:cs="Times New Roman"/>
          <w:sz w:val="28"/>
          <w:szCs w:val="28"/>
        </w:rPr>
        <w:tab/>
      </w:r>
      <w:r w:rsidRPr="00847710">
        <w:rPr>
          <w:rFonts w:ascii="Times New Roman" w:eastAsia="Times New Roman" w:hAnsi="Times New Roman" w:cs="Times New Roman"/>
          <w:sz w:val="28"/>
          <w:szCs w:val="28"/>
        </w:rPr>
        <w:tab/>
        <w:t xml:space="preserve"> </w:t>
      </w:r>
      <w:r w:rsidRPr="00847710">
        <w:rPr>
          <w:rFonts w:ascii="Times New Roman" w:eastAsia="Times New Roman" w:hAnsi="Times New Roman" w:cs="Times New Roman"/>
          <w:sz w:val="28"/>
          <w:szCs w:val="28"/>
        </w:rPr>
        <w:tab/>
      </w:r>
      <w:r w:rsidRPr="00847710">
        <w:rPr>
          <w:rFonts w:ascii="Times New Roman" w:eastAsia="Times New Roman" w:hAnsi="Times New Roman" w:cs="Times New Roman"/>
          <w:sz w:val="28"/>
          <w:szCs w:val="28"/>
        </w:rPr>
        <w:tab/>
        <w:t>Anda Čakša</w:t>
      </w:r>
    </w:p>
    <w:p w14:paraId="48E1D9FC" w14:textId="612ABB23" w:rsidR="00343E8A" w:rsidRPr="00847710" w:rsidRDefault="00343E8A" w:rsidP="00343E8A">
      <w:pPr>
        <w:tabs>
          <w:tab w:val="left" w:pos="7088"/>
          <w:tab w:val="right" w:pos="9072"/>
        </w:tabs>
        <w:ind w:right="-766"/>
        <w:rPr>
          <w:rFonts w:ascii="Times New Roman" w:eastAsia="Times New Roman" w:hAnsi="Times New Roman" w:cs="Times New Roman"/>
          <w:sz w:val="28"/>
          <w:szCs w:val="28"/>
        </w:rPr>
      </w:pPr>
      <w:r w:rsidRPr="00847710">
        <w:rPr>
          <w:rFonts w:ascii="Times New Roman" w:eastAsia="Times New Roman" w:hAnsi="Times New Roman" w:cs="Times New Roman"/>
          <w:sz w:val="28"/>
          <w:szCs w:val="28"/>
        </w:rPr>
        <w:t>Iesniedzējs: Veselības ministre</w:t>
      </w:r>
      <w:r w:rsidRPr="00847710">
        <w:rPr>
          <w:rFonts w:ascii="Times New Roman" w:eastAsia="Times New Roman" w:hAnsi="Times New Roman" w:cs="Times New Roman"/>
          <w:sz w:val="28"/>
          <w:szCs w:val="28"/>
        </w:rPr>
        <w:tab/>
        <w:t xml:space="preserve">  Anda Čakša</w:t>
      </w:r>
    </w:p>
    <w:p w14:paraId="1B7478FB" w14:textId="37583E51" w:rsidR="00343E8A" w:rsidRPr="00847710" w:rsidRDefault="00343E8A" w:rsidP="00343E8A">
      <w:pPr>
        <w:ind w:right="-1"/>
        <w:rPr>
          <w:rFonts w:ascii="Times New Roman" w:eastAsia="Times New Roman" w:hAnsi="Times New Roman" w:cs="Times New Roman"/>
          <w:sz w:val="28"/>
          <w:szCs w:val="28"/>
        </w:rPr>
      </w:pPr>
      <w:r w:rsidRPr="00847710">
        <w:rPr>
          <w:rFonts w:ascii="Times New Roman" w:eastAsia="Times New Roman" w:hAnsi="Times New Roman" w:cs="Times New Roman"/>
          <w:sz w:val="28"/>
          <w:szCs w:val="28"/>
        </w:rPr>
        <w:t>Vīza: Valsts sekretār</w:t>
      </w:r>
      <w:r w:rsidR="002A2453" w:rsidRPr="00847710">
        <w:rPr>
          <w:rFonts w:ascii="Times New Roman" w:eastAsia="Times New Roman" w:hAnsi="Times New Roman" w:cs="Times New Roman"/>
          <w:sz w:val="28"/>
          <w:szCs w:val="28"/>
        </w:rPr>
        <w:t>s</w:t>
      </w:r>
      <w:r w:rsidR="00683D53" w:rsidRPr="00847710">
        <w:rPr>
          <w:rFonts w:ascii="Times New Roman" w:eastAsia="Times New Roman" w:hAnsi="Times New Roman" w:cs="Times New Roman"/>
          <w:sz w:val="28"/>
          <w:szCs w:val="28"/>
        </w:rPr>
        <w:t xml:space="preserve"> </w:t>
      </w:r>
      <w:r w:rsidR="00683D53" w:rsidRPr="00847710">
        <w:rPr>
          <w:rFonts w:ascii="Times New Roman" w:eastAsia="Times New Roman" w:hAnsi="Times New Roman" w:cs="Times New Roman"/>
          <w:sz w:val="28"/>
          <w:szCs w:val="28"/>
        </w:rPr>
        <w:tab/>
      </w:r>
      <w:r w:rsidR="00683D53" w:rsidRPr="00847710">
        <w:rPr>
          <w:rFonts w:ascii="Times New Roman" w:eastAsia="Times New Roman" w:hAnsi="Times New Roman" w:cs="Times New Roman"/>
          <w:sz w:val="28"/>
          <w:szCs w:val="28"/>
        </w:rPr>
        <w:tab/>
      </w:r>
      <w:r w:rsidR="00683D53" w:rsidRPr="00847710">
        <w:rPr>
          <w:rFonts w:ascii="Times New Roman" w:eastAsia="Times New Roman" w:hAnsi="Times New Roman" w:cs="Times New Roman"/>
          <w:sz w:val="28"/>
          <w:szCs w:val="28"/>
        </w:rPr>
        <w:tab/>
      </w:r>
      <w:r w:rsidR="00683D53" w:rsidRPr="00847710">
        <w:rPr>
          <w:rFonts w:ascii="Times New Roman" w:eastAsia="Times New Roman" w:hAnsi="Times New Roman" w:cs="Times New Roman"/>
          <w:sz w:val="28"/>
          <w:szCs w:val="28"/>
        </w:rPr>
        <w:tab/>
      </w:r>
      <w:r w:rsidR="002A2453" w:rsidRPr="00847710">
        <w:rPr>
          <w:rFonts w:ascii="Times New Roman" w:eastAsia="Times New Roman" w:hAnsi="Times New Roman" w:cs="Times New Roman"/>
          <w:sz w:val="28"/>
          <w:szCs w:val="28"/>
        </w:rPr>
        <w:tab/>
      </w:r>
      <w:r w:rsidR="002A2453" w:rsidRPr="00847710">
        <w:rPr>
          <w:rFonts w:ascii="Times New Roman" w:eastAsia="Times New Roman" w:hAnsi="Times New Roman" w:cs="Times New Roman"/>
          <w:sz w:val="28"/>
          <w:szCs w:val="28"/>
        </w:rPr>
        <w:tab/>
      </w:r>
      <w:r w:rsidR="002A2453" w:rsidRPr="00847710">
        <w:rPr>
          <w:rFonts w:ascii="Times New Roman" w:eastAsia="Times New Roman" w:hAnsi="Times New Roman" w:cs="Times New Roman"/>
          <w:sz w:val="28"/>
          <w:szCs w:val="28"/>
        </w:rPr>
        <w:tab/>
        <w:t>Aivars Lapiņš</w:t>
      </w:r>
    </w:p>
    <w:sectPr w:rsidR="00343E8A" w:rsidRPr="00847710" w:rsidSect="00BD7921">
      <w:headerReference w:type="default" r:id="rId22"/>
      <w:footerReference w:type="default" r:id="rId23"/>
      <w:footerReference w:type="first" r:id="rId24"/>
      <w:pgSz w:w="12240" w:h="15840"/>
      <w:pgMar w:top="1440" w:right="1440"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6CCFE" w14:textId="77777777" w:rsidR="00592BC0" w:rsidRDefault="00592BC0" w:rsidP="00742970">
      <w:pPr>
        <w:spacing w:after="0" w:line="240" w:lineRule="auto"/>
      </w:pPr>
      <w:r>
        <w:separator/>
      </w:r>
    </w:p>
  </w:endnote>
  <w:endnote w:type="continuationSeparator" w:id="0">
    <w:p w14:paraId="32B582AF" w14:textId="77777777" w:rsidR="00592BC0" w:rsidRDefault="00592BC0" w:rsidP="00742970">
      <w:pPr>
        <w:spacing w:after="0" w:line="240" w:lineRule="auto"/>
      </w:pPr>
      <w:r>
        <w:continuationSeparator/>
      </w:r>
    </w:p>
  </w:endnote>
  <w:endnote w:type="continuationNotice" w:id="1">
    <w:p w14:paraId="12D4A1BF" w14:textId="77777777" w:rsidR="00592BC0" w:rsidRDefault="00592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kChampa">
    <w:altName w:val="Leelawadee UI"/>
    <w:charset w:val="DE"/>
    <w:family w:val="swiss"/>
    <w:pitch w:val="variable"/>
    <w:sig w:usb0="83000003" w:usb1="00000000" w:usb2="00000000" w:usb3="00000000" w:csb0="00010001" w:csb1="00000000"/>
  </w:font>
  <w:font w:name="TTA20401A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6125D" w14:textId="232CCF93" w:rsidR="00592BC0" w:rsidRPr="00ED2403" w:rsidRDefault="00592BC0">
    <w:pPr>
      <w:pStyle w:val="Footer"/>
      <w:rPr>
        <w:rFonts w:ascii="Times New Roman" w:hAnsi="Times New Roman" w:cs="Times New Roman"/>
        <w:sz w:val="20"/>
        <w:szCs w:val="20"/>
      </w:rPr>
    </w:pPr>
    <w:r w:rsidRPr="00FB42B8">
      <w:rPr>
        <w:rFonts w:ascii="Times New Roman" w:hAnsi="Times New Roman" w:cs="Times New Roman"/>
        <w:sz w:val="20"/>
        <w:szCs w:val="20"/>
      </w:rPr>
      <w:t>VMzino_</w:t>
    </w:r>
    <w:r>
      <w:rPr>
        <w:rFonts w:ascii="Times New Roman" w:hAnsi="Times New Roman" w:cs="Times New Roman"/>
        <w:sz w:val="20"/>
        <w:szCs w:val="20"/>
      </w:rPr>
      <w:t>1</w:t>
    </w:r>
    <w:r w:rsidR="00F512EF">
      <w:rPr>
        <w:rFonts w:ascii="Times New Roman" w:hAnsi="Times New Roman" w:cs="Times New Roman"/>
        <w:sz w:val="20"/>
        <w:szCs w:val="20"/>
      </w:rPr>
      <w:t>4</w:t>
    </w:r>
    <w:r>
      <w:rPr>
        <w:rFonts w:ascii="Times New Roman" w:hAnsi="Times New Roman" w:cs="Times New Roman"/>
        <w:sz w:val="20"/>
        <w:szCs w:val="20"/>
      </w:rPr>
      <w:t>1217</w:t>
    </w:r>
    <w:r w:rsidRPr="00FB42B8">
      <w:rPr>
        <w:rFonts w:ascii="Times New Roman" w:hAnsi="Times New Roman" w:cs="Times New Roman"/>
        <w:sz w:val="20"/>
        <w:szCs w:val="20"/>
      </w:rPr>
      <w:t>_</w:t>
    </w:r>
    <w:r>
      <w:rPr>
        <w:rFonts w:ascii="Times New Roman" w:hAnsi="Times New Roman" w:cs="Times New Roman"/>
        <w:sz w:val="20"/>
        <w:szCs w:val="20"/>
      </w:rPr>
      <w:t>113</w:t>
    </w:r>
    <w:r w:rsidRPr="00FB42B8">
      <w:rPr>
        <w:rFonts w:ascii="Times New Roman" w:hAnsi="Times New Roman" w:cs="Times New Roman"/>
        <w:sz w:val="20"/>
        <w:szCs w:val="20"/>
      </w:rPr>
      <w:t>milj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127C" w14:textId="688D67ED" w:rsidR="00592BC0" w:rsidRPr="0086477B" w:rsidRDefault="00592BC0" w:rsidP="00D1321B">
    <w:pPr>
      <w:pStyle w:val="Footer"/>
      <w:rPr>
        <w:rFonts w:ascii="Times New Roman" w:hAnsi="Times New Roman" w:cs="Times New Roman"/>
        <w:sz w:val="20"/>
        <w:szCs w:val="20"/>
      </w:rPr>
    </w:pPr>
    <w:r w:rsidRPr="00FB42B8">
      <w:rPr>
        <w:rFonts w:ascii="Times New Roman" w:hAnsi="Times New Roman" w:cs="Times New Roman"/>
        <w:sz w:val="20"/>
        <w:szCs w:val="20"/>
      </w:rPr>
      <w:t>VMzino_</w:t>
    </w:r>
    <w:r>
      <w:rPr>
        <w:rFonts w:ascii="Times New Roman" w:hAnsi="Times New Roman" w:cs="Times New Roman"/>
        <w:sz w:val="20"/>
        <w:szCs w:val="20"/>
      </w:rPr>
      <w:t>1</w:t>
    </w:r>
    <w:r w:rsidR="00B26800">
      <w:rPr>
        <w:rFonts w:ascii="Times New Roman" w:hAnsi="Times New Roman" w:cs="Times New Roman"/>
        <w:sz w:val="20"/>
        <w:szCs w:val="20"/>
      </w:rPr>
      <w:t>4</w:t>
    </w:r>
    <w:r>
      <w:rPr>
        <w:rFonts w:ascii="Times New Roman" w:hAnsi="Times New Roman" w:cs="Times New Roman"/>
        <w:sz w:val="20"/>
        <w:szCs w:val="20"/>
      </w:rPr>
      <w:t>1217</w:t>
    </w:r>
    <w:r w:rsidRPr="00FB42B8">
      <w:rPr>
        <w:rFonts w:ascii="Times New Roman" w:hAnsi="Times New Roman" w:cs="Times New Roman"/>
        <w:sz w:val="20"/>
        <w:szCs w:val="20"/>
      </w:rPr>
      <w:t>_</w:t>
    </w:r>
    <w:r>
      <w:rPr>
        <w:rFonts w:ascii="Times New Roman" w:hAnsi="Times New Roman" w:cs="Times New Roman"/>
        <w:sz w:val="20"/>
        <w:szCs w:val="20"/>
      </w:rPr>
      <w:t>113</w:t>
    </w:r>
    <w:r w:rsidRPr="00FB42B8">
      <w:rPr>
        <w:rFonts w:ascii="Times New Roman" w:hAnsi="Times New Roman" w:cs="Times New Roman"/>
        <w:sz w:val="20"/>
        <w:szCs w:val="20"/>
      </w:rPr>
      <w:t>milj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F5B10" w14:textId="77777777" w:rsidR="00592BC0" w:rsidRDefault="00592BC0" w:rsidP="00742970">
      <w:pPr>
        <w:spacing w:after="0" w:line="240" w:lineRule="auto"/>
      </w:pPr>
      <w:r>
        <w:separator/>
      </w:r>
    </w:p>
  </w:footnote>
  <w:footnote w:type="continuationSeparator" w:id="0">
    <w:p w14:paraId="2E9593D9" w14:textId="77777777" w:rsidR="00592BC0" w:rsidRDefault="00592BC0" w:rsidP="00742970">
      <w:pPr>
        <w:spacing w:after="0" w:line="240" w:lineRule="auto"/>
      </w:pPr>
      <w:r>
        <w:continuationSeparator/>
      </w:r>
    </w:p>
  </w:footnote>
  <w:footnote w:type="continuationNotice" w:id="1">
    <w:p w14:paraId="630EDA5B" w14:textId="77777777" w:rsidR="00592BC0" w:rsidRDefault="00592BC0">
      <w:pPr>
        <w:spacing w:after="0" w:line="240" w:lineRule="auto"/>
      </w:pPr>
    </w:p>
  </w:footnote>
  <w:footnote w:id="2">
    <w:p w14:paraId="7A45B8D4" w14:textId="77777777" w:rsidR="00592BC0" w:rsidRPr="008463B6" w:rsidRDefault="00592BC0" w:rsidP="004622DA">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Eiropas Savienības Padomes ieteikumi par Latvijas 2016. gada valsts reformu programmu un ar ko sniedz Padomes atzinumu par Latvijas 2016. gada stabilitātes programmu (5)</w:t>
      </w:r>
    </w:p>
  </w:footnote>
  <w:footnote w:id="3">
    <w:p w14:paraId="7D0F3717" w14:textId="1BF4386A" w:rsidR="00592BC0" w:rsidRPr="008463B6" w:rsidRDefault="00592BC0" w:rsidP="00617636">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Padomes ieteikums (2016. gada 12. jūlijs) par Latvijas 2016. gada valsts reformu programmu un ar ko sniedz Padomes atzinumu par Latvijas 2016. gada stabilitātes programmu</w:t>
      </w:r>
    </w:p>
  </w:footnote>
  <w:footnote w:id="4">
    <w:p w14:paraId="5D3FE5BD" w14:textId="1E0DC852" w:rsidR="00592BC0" w:rsidRPr="008463B6" w:rsidRDefault="00592BC0" w:rsidP="00F52C98">
      <w:pPr>
        <w:shd w:val="clear" w:color="auto" w:fill="FFFFFF" w:themeFill="background1"/>
        <w:spacing w:after="0" w:line="103" w:lineRule="atLeast"/>
        <w:jc w:val="both"/>
        <w:rPr>
          <w:rFonts w:ascii="Times New Roman" w:eastAsia="Times New Roman" w:hAnsi="Times New Roman" w:cs="Times New Roman"/>
          <w:color w:val="414142"/>
          <w:sz w:val="20"/>
          <w:szCs w:val="20"/>
          <w:lang w:eastAsia="lv-LV"/>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w:t>
      </w:r>
      <w:r w:rsidRPr="008463B6">
        <w:rPr>
          <w:rFonts w:ascii="Times New Roman" w:eastAsia="Times New Roman" w:hAnsi="Times New Roman" w:cs="Times New Roman"/>
          <w:color w:val="414142"/>
          <w:sz w:val="20"/>
          <w:szCs w:val="20"/>
          <w:lang w:eastAsia="lv-LV"/>
        </w:rPr>
        <w:t>Sabiedrības veselības pamatnostādnes 2014.-2020.gadam (MK rīkojums Nr. 589 14.10.2014) ir vidēja termiņa attīstības plānošanas dokuments, kas balstās uz Pasaules Veselības organizācijas Eiropas reģiona stratēģiju "Veselība 2020" un ir izstrādātas, lai aktualizētu Sabiedrības veselības pamatnostādnēs 2011.-2017. gadam iekļauto situācijas raksturojumu, problēmu formulējumu, mērķus, politikas rezultātus, rīcības virzienos ietvertos uzdevumus un saskaņotu tos ar Latvijas Nacionālo attīstības plānu 2014.-2020. gadam un jauno finanšu plānošanas periodu.</w:t>
      </w:r>
    </w:p>
  </w:footnote>
  <w:footnote w:id="5">
    <w:p w14:paraId="59A0D07C" w14:textId="1516369A" w:rsidR="00592BC0" w:rsidRPr="008463B6" w:rsidRDefault="00592BC0" w:rsidP="00617636">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bookmarkStart w:id="0" w:name="_ftn1"/>
      <w:r w:rsidRPr="008463B6">
        <w:rPr>
          <w:rFonts w:ascii="Times New Roman" w:hAnsi="Times New Roman" w:cs="Times New Roman"/>
          <w:color w:val="000000"/>
        </w:rPr>
        <w:t>V</w:t>
      </w:r>
      <w:bookmarkEnd w:id="0"/>
      <w:r w:rsidRPr="008463B6">
        <w:rPr>
          <w:rFonts w:ascii="Times New Roman" w:hAnsi="Times New Roman" w:cs="Times New Roman"/>
          <w:color w:val="000000"/>
        </w:rPr>
        <w:t>eselīgi nodzīvotie mūža gadi ir laiks, kurus cilvēks prognozējami var nodzīvot bez slimībām un invaliditātes jeb aktivitātes ierobežojumiem.</w:t>
      </w:r>
    </w:p>
  </w:footnote>
  <w:footnote w:id="6">
    <w:p w14:paraId="37899ECA" w14:textId="626AC19D" w:rsidR="00592BC0" w:rsidRPr="008463B6" w:rsidRDefault="00592BC0" w:rsidP="00B95678">
      <w:pPr>
        <w:spacing w:after="0" w:line="103" w:lineRule="atLeast"/>
        <w:jc w:val="both"/>
        <w:rPr>
          <w:rFonts w:ascii="Times New Roman" w:hAnsi="Times New Roman" w:cs="Times New Roman"/>
          <w:color w:val="000000" w:themeColor="text1"/>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w:t>
      </w:r>
      <w:r w:rsidRPr="008463B6">
        <w:rPr>
          <w:rFonts w:ascii="Times New Roman" w:hAnsi="Times New Roman" w:cs="Times New Roman"/>
          <w:color w:val="000000" w:themeColor="text1"/>
          <w:sz w:val="20"/>
          <w:szCs w:val="20"/>
        </w:rPr>
        <w:t xml:space="preserve">Potenciāli zaudētie mūža gadi – </w:t>
      </w:r>
      <w:r w:rsidRPr="008463B6">
        <w:rPr>
          <w:rFonts w:ascii="Times New Roman" w:eastAsia="Calibri" w:hAnsi="Times New Roman" w:cs="Times New Roman"/>
          <w:color w:val="000000" w:themeColor="text1"/>
          <w:sz w:val="20"/>
          <w:szCs w:val="20"/>
          <w:lang w:eastAsia="lv-LV"/>
        </w:rPr>
        <w:t>gadi, kurus cilvēks būtu nodzīvojis līdz noteiktam vecumam (LV lietotais slieksnis līdz 64 gadiem), ja nebūtu nomiris. Jo agrākā vecumā iedzīvotāji mirst, jo lielāks ir potenciāli zaudēto mūža gadu skaits.</w:t>
      </w:r>
    </w:p>
  </w:footnote>
  <w:footnote w:id="7">
    <w:p w14:paraId="679476B5" w14:textId="6E47731D" w:rsidR="00592BC0" w:rsidRPr="008463B6" w:rsidRDefault="00592BC0" w:rsidP="00BC2160">
      <w:pPr>
        <w:pStyle w:val="NormalWeb"/>
        <w:shd w:val="clear" w:color="auto" w:fill="FFFFFF" w:themeFill="background1"/>
        <w:spacing w:before="0" w:beforeAutospacing="0" w:after="0" w:afterAutospacing="0"/>
        <w:jc w:val="both"/>
        <w:rPr>
          <w:color w:val="000000" w:themeColor="text1"/>
          <w:sz w:val="20"/>
          <w:szCs w:val="20"/>
        </w:rPr>
      </w:pPr>
      <w:r w:rsidRPr="008463B6">
        <w:rPr>
          <w:rStyle w:val="FootnoteReference"/>
          <w:sz w:val="20"/>
          <w:szCs w:val="20"/>
        </w:rPr>
        <w:footnoteRef/>
      </w:r>
      <w:r w:rsidRPr="008463B6">
        <w:rPr>
          <w:sz w:val="20"/>
          <w:szCs w:val="20"/>
        </w:rPr>
        <w:t xml:space="preserve"> </w:t>
      </w:r>
      <w:r w:rsidRPr="008463B6">
        <w:rPr>
          <w:color w:val="000000" w:themeColor="text1"/>
          <w:sz w:val="20"/>
          <w:szCs w:val="20"/>
        </w:rPr>
        <w:t>Ministru kabineta rīkojums Nr.589 2014.gada 14.oktobrī (prot. Nr.51 53.§) “</w:t>
      </w:r>
      <w:r w:rsidRPr="008463B6">
        <w:rPr>
          <w:color w:val="000000" w:themeColor="text1"/>
          <w:sz w:val="20"/>
          <w:szCs w:val="20"/>
          <w:lang w:bidi="en-US"/>
        </w:rPr>
        <w:t>Sabiedrības veselības pamatnostādnes 2014-2020” (6.lpp.)</w:t>
      </w:r>
    </w:p>
  </w:footnote>
  <w:footnote w:id="8">
    <w:p w14:paraId="1C4BE0A0" w14:textId="34140CB3" w:rsidR="00592BC0" w:rsidRPr="008463B6" w:rsidRDefault="00592BC0">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r w:rsidRPr="008463B6">
        <w:rPr>
          <w:rFonts w:ascii="Times New Roman" w:hAnsi="Times New Roman" w:cs="Times New Roman"/>
          <w:color w:val="000000" w:themeColor="text1"/>
        </w:rPr>
        <w:t>Ministru kabineta rīkojums Nr.589 2014.gada 14.oktobrī (prot. Nr.51 53.§) “</w:t>
      </w:r>
      <w:r w:rsidRPr="008463B6">
        <w:rPr>
          <w:rFonts w:ascii="Times New Roman" w:hAnsi="Times New Roman" w:cs="Times New Roman"/>
          <w:color w:val="000000" w:themeColor="text1"/>
          <w:lang w:bidi="en-US"/>
        </w:rPr>
        <w:t>Sabiedrības veselības pamatnostādnes 2014-2020” (83.lpp.)</w:t>
      </w:r>
    </w:p>
  </w:footnote>
  <w:footnote w:id="9">
    <w:p w14:paraId="57A78883" w14:textId="065CC534" w:rsidR="00592BC0" w:rsidRPr="008463B6" w:rsidRDefault="00592BC0" w:rsidP="00A82F65">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csp, statistisko datu krājums “Iedzīvotāju veselības apsekojuma rezultāti Latvijā”, 27.lpp</w:t>
      </w:r>
    </w:p>
  </w:footnote>
  <w:footnote w:id="10">
    <w:p w14:paraId="512CFDBB" w14:textId="6B58BD44" w:rsidR="00592BC0" w:rsidRPr="008463B6" w:rsidRDefault="00592BC0" w:rsidP="00A82F65">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csp, statistisko datu krājums “Iedzīvotāju veselības apsekojuma rezultāti Latvijā”, 66.lpp</w:t>
      </w:r>
    </w:p>
  </w:footnote>
  <w:footnote w:id="11">
    <w:p w14:paraId="1C1F285A" w14:textId="77777777" w:rsidR="00592BC0" w:rsidRPr="008463B6" w:rsidRDefault="00592BC0" w:rsidP="00952214">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https://www.spkc.gov.lv/lv/statistika-un-petijumi/statistika/veselibas-aprupes-statistika1/get/nid/14</w:t>
      </w:r>
    </w:p>
  </w:footnote>
  <w:footnote w:id="12">
    <w:p w14:paraId="74CD9331" w14:textId="77777777" w:rsidR="00592BC0" w:rsidRPr="008463B6" w:rsidRDefault="00592BC0" w:rsidP="00952214">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Datu avots NVD</w:t>
      </w:r>
    </w:p>
  </w:footnote>
  <w:footnote w:id="13">
    <w:p w14:paraId="0D94A2D6" w14:textId="77777777" w:rsidR="00592BC0" w:rsidRPr="008463B6" w:rsidRDefault="00592BC0" w:rsidP="00952214">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www.vmnvd.gov.lv/lv/datu-bazes/rstniecb-izmantojamo-medicnisko-tehnoloiju-datu-bze/2-internas-medicinas-un-funkcionalas-diagnostikas-mediciniskie-pakalpo-jumi/228-pielikumi-izverstie-mediciniskas-tehnologijas-metodes-apraksti-un-citi-materiali/cukura-diabeta-pacientu-apmaciba</w:t>
      </w:r>
    </w:p>
  </w:footnote>
  <w:footnote w:id="14">
    <w:p w14:paraId="16B1803B" w14:textId="71695B91" w:rsidR="00592BC0" w:rsidRPr="008463B6" w:rsidRDefault="00592BC0">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r w:rsidRPr="008463B6">
        <w:rPr>
          <w:rFonts w:ascii="Times New Roman" w:hAnsi="Times New Roman" w:cs="Times New Roman"/>
          <w:color w:val="000000"/>
          <w:shd w:val="clear" w:color="auto" w:fill="FFFFFF"/>
        </w:rPr>
        <w:t>WHO standards - </w:t>
      </w:r>
      <w:hyperlink r:id="rId1" w:tgtFrame="_blank" w:history="1">
        <w:r w:rsidRPr="008463B6">
          <w:rPr>
            <w:rStyle w:val="Hyperlink"/>
            <w:rFonts w:ascii="Times New Roman" w:hAnsi="Times New Roman" w:cs="Times New Roman"/>
            <w:shd w:val="clear" w:color="auto" w:fill="FFFFFF"/>
          </w:rPr>
          <w:t>http://www.euro.who.int/__data/assets/pdf_file/0007/145294/E63674.pdf</w:t>
        </w:r>
      </w:hyperlink>
    </w:p>
  </w:footnote>
  <w:footnote w:id="15">
    <w:p w14:paraId="61A80034" w14:textId="1D95744B" w:rsidR="00592BC0" w:rsidRPr="008463B6" w:rsidRDefault="00592BC0">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r w:rsidRPr="008463B6">
        <w:rPr>
          <w:rFonts w:ascii="Times New Roman" w:hAnsi="Times New Roman" w:cs="Times New Roman"/>
          <w:color w:val="000000"/>
          <w:shd w:val="clear" w:color="auto" w:fill="FFFFFF"/>
        </w:rPr>
        <w:t>Therapeutic education of diabetic patients -  </w:t>
      </w:r>
      <w:hyperlink r:id="rId2" w:tgtFrame="_blank" w:history="1">
        <w:r w:rsidRPr="008463B6">
          <w:rPr>
            <w:rStyle w:val="Hyperlink"/>
            <w:rFonts w:ascii="Times New Roman" w:hAnsi="Times New Roman" w:cs="Times New Roman"/>
            <w:shd w:val="clear" w:color="auto" w:fill="FFFFFF"/>
          </w:rPr>
          <w:t>http://onlinelibrary.wiley.com/doi/10.1002/dmrr.798/abstract;jsessionid=37A56EE1DD129D66016580D5B2793921.f02t03</w:t>
        </w:r>
      </w:hyperlink>
    </w:p>
  </w:footnote>
  <w:footnote w:id="16">
    <w:p w14:paraId="096DA0D6" w14:textId="71695B91" w:rsidR="00592BC0" w:rsidRPr="008463B6" w:rsidRDefault="00592BC0" w:rsidP="00261109">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MK 1529 131. punkts</w:t>
      </w:r>
    </w:p>
  </w:footnote>
  <w:footnote w:id="17">
    <w:p w14:paraId="4DBFD5C8" w14:textId="55AFF42E" w:rsidR="00592BC0" w:rsidRPr="008463B6" w:rsidRDefault="00592BC0" w:rsidP="00261109">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Avots NVD</w:t>
      </w:r>
    </w:p>
  </w:footnote>
  <w:footnote w:id="18">
    <w:p w14:paraId="6DD8A85D" w14:textId="5A377E92" w:rsidR="00592BC0" w:rsidRPr="008463B6" w:rsidRDefault="00592BC0" w:rsidP="00261109">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Avots NVD</w:t>
      </w:r>
    </w:p>
  </w:footnote>
  <w:footnote w:id="19">
    <w:p w14:paraId="30AE88D1" w14:textId="77777777" w:rsidR="00592BC0" w:rsidRPr="008463B6" w:rsidRDefault="00592BC0" w:rsidP="004C6B78">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MK 31.10.2006.noteikumi Nr.899 “Ambulatorajai ārstēšanai paredzēto zāļu un medicīnisko ierīču iegādes izdevumu kompensācijas kārtība” (turpmāk – MK noteikumi Nr.899); 4.punkts</w:t>
      </w:r>
    </w:p>
  </w:footnote>
  <w:footnote w:id="20">
    <w:p w14:paraId="32C378B8" w14:textId="77777777" w:rsidR="00592BC0" w:rsidRPr="008463B6" w:rsidRDefault="00592BC0" w:rsidP="004C6B78">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https://spkc.gov.lv/upload/Bukleti/buklets_iekaisigas_zarnu_slimibas.pdf</w:t>
      </w:r>
    </w:p>
  </w:footnote>
  <w:footnote w:id="21">
    <w:p w14:paraId="0FFAFD91" w14:textId="77777777" w:rsidR="00592BC0" w:rsidRPr="008463B6" w:rsidRDefault="00592BC0" w:rsidP="004C6B78">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http://www.efcca.org/en/projects/impact-survey</w:t>
      </w:r>
    </w:p>
  </w:footnote>
  <w:footnote w:id="22">
    <w:p w14:paraId="2ADE6B89" w14:textId="77777777" w:rsidR="00592BC0" w:rsidRPr="008463B6" w:rsidRDefault="00592BC0" w:rsidP="004C6B78">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http://www.vmnvd.gov.lv/uploads/files/5178cc7540dc9.pdf</w:t>
      </w:r>
    </w:p>
  </w:footnote>
  <w:footnote w:id="23">
    <w:p w14:paraId="31D021AA" w14:textId="77777777" w:rsidR="00592BC0" w:rsidRPr="008463B6" w:rsidRDefault="00592BC0" w:rsidP="004C6B78">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MK noteikumi Nr.899; 1.pielikums</w:t>
      </w:r>
    </w:p>
  </w:footnote>
  <w:footnote w:id="24">
    <w:p w14:paraId="18A847C2" w14:textId="77777777" w:rsidR="00592BC0" w:rsidRPr="008463B6" w:rsidRDefault="00592BC0" w:rsidP="004C6B78">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Konceptuālais ziņojums “Par veselības aprūpes sistēmas reformu” (MK 07.08.2017. rīkojums Nr.394); 15.tabula</w:t>
      </w:r>
    </w:p>
  </w:footnote>
  <w:footnote w:id="25">
    <w:p w14:paraId="53E33E9E" w14:textId="77777777" w:rsidR="00592BC0" w:rsidRPr="008463B6" w:rsidRDefault="00592BC0" w:rsidP="007123E1">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Konceptuālais ziņojums “Par veselības aprūpes sistēmas reformu”, 12.lpp.  pieejams:http://polsis.mk.gov.lv/documents/5973</w:t>
      </w:r>
    </w:p>
  </w:footnote>
  <w:footnote w:id="26">
    <w:p w14:paraId="424E6286" w14:textId="659FA719" w:rsidR="00267C75" w:rsidRDefault="00267C75">
      <w:pPr>
        <w:pStyle w:val="FootnoteText"/>
      </w:pPr>
      <w:r>
        <w:rPr>
          <w:rStyle w:val="FootnoteReference"/>
        </w:rPr>
        <w:footnoteRef/>
      </w:r>
      <w:r>
        <w:t xml:space="preserve"> </w:t>
      </w:r>
      <w:r w:rsidRPr="00E7030C">
        <w:rPr>
          <w:rFonts w:ascii="Times New Roman" w:hAnsi="Times New Roman" w:cs="Times New Roman"/>
        </w:rPr>
        <w:t>Klīnisko universitātes slimnīcu speciālistu novērtējums un prognoze atbilstoši faktiskajam uzņemšanas nodaļu darbam</w:t>
      </w:r>
    </w:p>
  </w:footnote>
  <w:footnote w:id="27">
    <w:p w14:paraId="271D13CA" w14:textId="77777777" w:rsidR="00592BC0" w:rsidRPr="008463B6" w:rsidRDefault="00592BC0" w:rsidP="00BC2160">
      <w:pPr>
        <w:pStyle w:val="NormalWeb"/>
        <w:shd w:val="clear" w:color="auto" w:fill="FFFFFF" w:themeFill="background1"/>
        <w:spacing w:before="0" w:beforeAutospacing="0" w:after="0" w:afterAutospacing="0"/>
        <w:jc w:val="both"/>
        <w:rPr>
          <w:sz w:val="20"/>
          <w:szCs w:val="20"/>
        </w:rPr>
      </w:pPr>
      <w:r w:rsidRPr="008463B6">
        <w:rPr>
          <w:rStyle w:val="FootnoteReference"/>
          <w:sz w:val="20"/>
          <w:szCs w:val="20"/>
        </w:rPr>
        <w:footnoteRef/>
      </w:r>
      <w:r w:rsidRPr="008463B6">
        <w:rPr>
          <w:sz w:val="20"/>
          <w:szCs w:val="20"/>
        </w:rPr>
        <w:t xml:space="preserve"> </w:t>
      </w:r>
      <w:r w:rsidRPr="008463B6">
        <w:rPr>
          <w:color w:val="000000" w:themeColor="text1"/>
          <w:sz w:val="20"/>
          <w:szCs w:val="20"/>
        </w:rPr>
        <w:t>Ministru kabineta rīkojums Nr.589 2014.gada 14.oktobrī (prot. Nr.51 53.§) “</w:t>
      </w:r>
      <w:r w:rsidRPr="008463B6">
        <w:rPr>
          <w:color w:val="000000" w:themeColor="text1"/>
          <w:sz w:val="20"/>
          <w:szCs w:val="20"/>
          <w:lang w:bidi="en-US"/>
        </w:rPr>
        <w:t>Sabiedrības veselības pamatnostādnes 2014-2020” (6.-7.lpp.)</w:t>
      </w:r>
    </w:p>
  </w:footnote>
  <w:footnote w:id="28">
    <w:p w14:paraId="6A41FE3F" w14:textId="77777777" w:rsidR="00592BC0" w:rsidRPr="008463B6" w:rsidRDefault="00592BC0" w:rsidP="00993086">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Tiek novērtēta kopējā intervences ietekme, ņemot vērā ambulatoro pakalpojumu dažādību un to ietekmi uz dažādām saslimšanas diagnozēm</w:t>
      </w:r>
    </w:p>
  </w:footnote>
  <w:footnote w:id="29">
    <w:p w14:paraId="6DB42C81" w14:textId="77777777" w:rsidR="00592BC0" w:rsidRPr="008463B6" w:rsidRDefault="00592BC0" w:rsidP="00E27D21">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MK 31.10.2006. noteikumu Nr.899 “Ambulatorajai ārstēšanai paredzēto zāļu un medicīnisko ierīču iegādes izdevumu kompensācijas kārtība” (turpmāk – MK noteikumi Nr.899)</w:t>
      </w:r>
    </w:p>
  </w:footnote>
  <w:footnote w:id="30">
    <w:p w14:paraId="341C54E3" w14:textId="77777777" w:rsidR="00592BC0" w:rsidRPr="008463B6" w:rsidRDefault="00592BC0" w:rsidP="00E27D21">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Sabiedrības veselības pamatnostādnes 2014.−2020.gadam (MK 14.10.2014. rīkojums Nr.589); 75., 76.lpp</w:t>
      </w:r>
    </w:p>
  </w:footnote>
  <w:footnote w:id="31">
    <w:p w14:paraId="3DF16467" w14:textId="77777777" w:rsidR="00592BC0" w:rsidRPr="008463B6" w:rsidRDefault="00592BC0" w:rsidP="00E27D21">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bookmarkStart w:id="3" w:name="_Hlk497377812"/>
      <w:r w:rsidRPr="008463B6">
        <w:rPr>
          <w:rFonts w:ascii="Times New Roman" w:hAnsi="Times New Roman" w:cs="Times New Roman"/>
        </w:rPr>
        <w:t>MK noteikumi Nr.899; 1.pielikums</w:t>
      </w:r>
      <w:bookmarkEnd w:id="3"/>
    </w:p>
  </w:footnote>
  <w:footnote w:id="32">
    <w:p w14:paraId="70A59862" w14:textId="77777777" w:rsidR="00592BC0" w:rsidRPr="008463B6" w:rsidRDefault="00592BC0" w:rsidP="00E27D21">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MK noteikumi Nr.899; XII.nodaļa</w:t>
      </w:r>
    </w:p>
  </w:footnote>
  <w:footnote w:id="33">
    <w:p w14:paraId="1BD3E70F" w14:textId="77777777" w:rsidR="00592BC0" w:rsidRPr="008463B6" w:rsidRDefault="00592BC0" w:rsidP="00E27D21">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http://www.tvnet.lv/zinas/latvija/681742-pieaudzis_veza_slimnieku_skaits_kas_mekle_palidzibu_ziedotlv</w:t>
      </w:r>
    </w:p>
  </w:footnote>
  <w:footnote w:id="34">
    <w:p w14:paraId="2B53DCE1" w14:textId="327715B1" w:rsidR="00592BC0" w:rsidRPr="008463B6" w:rsidRDefault="00592BC0" w:rsidP="00E27D21">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http://www.vmnvd.gov.lv/uploads/files/59f2ed0ecffe6.pdf</w:t>
      </w:r>
    </w:p>
  </w:footnote>
  <w:footnote w:id="35">
    <w:p w14:paraId="4B4D6094" w14:textId="77777777" w:rsidR="00592BC0" w:rsidRPr="008463B6" w:rsidRDefault="00592BC0" w:rsidP="00E27D21">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Veselības aprūpes pakalpojumu onkoloģijas jomā uzlabošanas plāns 2017.-2020. gadam (MK 31.05.2017. rīkojums Nr.269); 3.23.punkts</w:t>
      </w:r>
    </w:p>
  </w:footnote>
  <w:footnote w:id="36">
    <w:p w14:paraId="79DDCD56" w14:textId="2F060870" w:rsidR="00592BC0" w:rsidRPr="008463B6" w:rsidRDefault="00592BC0">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SPKC dati par 2016.gadu</w:t>
      </w:r>
    </w:p>
  </w:footnote>
  <w:footnote w:id="37">
    <w:p w14:paraId="2E5FE3BE" w14:textId="77777777" w:rsidR="00592BC0" w:rsidRPr="008463B6" w:rsidRDefault="00592BC0" w:rsidP="000D2BDF">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Lynch TJ, Bell DW, Sordella R, et al. Activating mutations in the epidermal growth factor receptor underlying responsiveness of non-small-cell lung cancer to gefitinib. Discovery of EGFR mutations in non-small-cell lung cancer (NSCLC) tumor samples that confer sensitivity to the tyrosine kinase inhibitor, gefitinib. N Engl J Med. 2004;350(21):2129–2139</w:t>
      </w:r>
    </w:p>
  </w:footnote>
  <w:footnote w:id="38">
    <w:p w14:paraId="2FB0BFC0" w14:textId="77777777" w:rsidR="00592BC0" w:rsidRPr="008463B6" w:rsidRDefault="00592BC0" w:rsidP="000D2BDF">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Shaw AT, Kim DW, Nakagawa K, et al. Crizotinib versus chemotherapy in advanced ALK-positive lung cancer. N Engl J Med. 2013;368(25):2385–2394</w:t>
      </w:r>
    </w:p>
  </w:footnote>
  <w:footnote w:id="39">
    <w:p w14:paraId="0F8DAF2B" w14:textId="77777777" w:rsidR="00592BC0" w:rsidRPr="008463B6" w:rsidRDefault="00592BC0" w:rsidP="00A26CA3">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RAKUS prognozes</w:t>
      </w:r>
    </w:p>
  </w:footnote>
  <w:footnote w:id="40">
    <w:p w14:paraId="334E07B4" w14:textId="77777777" w:rsidR="00592BC0" w:rsidRPr="008463B6" w:rsidRDefault="00592BC0" w:rsidP="00D95C8E">
      <w:pPr>
        <w:pStyle w:val="Heading1"/>
        <w:shd w:val="clear" w:color="auto" w:fill="FFFFFF" w:themeFill="background1"/>
        <w:spacing w:before="0"/>
        <w:textAlignment w:val="baseline"/>
        <w:rPr>
          <w:rFonts w:ascii="Times New Roman" w:hAnsi="Times New Roman" w:cs="Times New Roman"/>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w:t>
      </w:r>
      <w:r w:rsidRPr="008463B6">
        <w:rPr>
          <w:rFonts w:ascii="Times New Roman" w:hAnsi="Times New Roman" w:cs="Times New Roman"/>
          <w:color w:val="333333"/>
          <w:sz w:val="20"/>
          <w:szCs w:val="20"/>
        </w:rPr>
        <w:t>Global health sector strategy on viral hepatitis 2016-2021</w:t>
      </w:r>
    </w:p>
  </w:footnote>
  <w:footnote w:id="41">
    <w:p w14:paraId="09F7B819" w14:textId="77777777" w:rsidR="00592BC0" w:rsidRPr="008463B6" w:rsidRDefault="00592BC0" w:rsidP="001066D0">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ECDC and WHO Regional Office for Europe (2016), HIV/AIDS Surveilance in Europe 2015 (33.lpp); http://ecdc.europa.eu/en/publications/Publications/HIV-AIDS-surveillance-Europe-2015.pdf</w:t>
      </w:r>
    </w:p>
  </w:footnote>
  <w:footnote w:id="42">
    <w:p w14:paraId="0A82A1AC" w14:textId="77777777" w:rsidR="00592BC0" w:rsidRPr="008463B6" w:rsidRDefault="00592BC0" w:rsidP="00016DF0">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http://www.euro.who.int/en/about-us/governance/regional-committee-for-europe/66th-session/documentation/working-documents/eurrc669-action-plan-for-the-health-sector-response-to-hiv-in-the-who-european-region</w:t>
      </w:r>
    </w:p>
  </w:footnote>
  <w:footnote w:id="43">
    <w:p w14:paraId="50810485" w14:textId="77777777" w:rsidR="00592BC0" w:rsidRPr="008463B6" w:rsidRDefault="00592BC0" w:rsidP="00016DF0">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Patel P, Borkowf CB, Brooks JT. Et al. Estimating per-act HIV transmission risk: a systematic review. AIDS. 2014. doi: 10.1097/QAD.0000000000000298</w:t>
      </w:r>
    </w:p>
  </w:footnote>
  <w:footnote w:id="44">
    <w:p w14:paraId="009755A3" w14:textId="77777777" w:rsidR="00592BC0" w:rsidRPr="008463B6" w:rsidRDefault="00592BC0" w:rsidP="00016DF0">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Pretty LA, Anderson GS, Sweet DJ. Human bites and the risk of human immunodeficiency virus transmission. Am J Forensic Med Pathol 1999;20(3):232-239 </w:t>
      </w:r>
    </w:p>
  </w:footnote>
  <w:footnote w:id="45">
    <w:p w14:paraId="2EA7B1AD" w14:textId="77777777" w:rsidR="00592BC0" w:rsidRPr="008463B6" w:rsidRDefault="00592BC0" w:rsidP="00ED74D4">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http://gimenesmedicina.lv/</w:t>
      </w:r>
    </w:p>
  </w:footnote>
  <w:footnote w:id="46">
    <w:p w14:paraId="46A001DF" w14:textId="77777777" w:rsidR="00592BC0" w:rsidRPr="008463B6" w:rsidRDefault="00592BC0" w:rsidP="00ED74D4">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http://gimenesmedicina.lv/gimenes-arsta-labas-prakses-vadlinijas/</w:t>
      </w:r>
    </w:p>
  </w:footnote>
  <w:footnote w:id="47">
    <w:p w14:paraId="2C6167C8" w14:textId="77777777" w:rsidR="00592BC0" w:rsidRPr="008463B6" w:rsidRDefault="00592BC0" w:rsidP="00ED74D4">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http://indicators.healthpowerhouse.com/ehci2016-indicators/</w:t>
      </w:r>
    </w:p>
  </w:footnote>
  <w:footnote w:id="48">
    <w:p w14:paraId="79FEEFF4" w14:textId="77777777" w:rsidR="00592BC0" w:rsidRPr="008463B6" w:rsidRDefault="00592BC0" w:rsidP="004B5171">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NMP dienesta dati</w:t>
      </w:r>
    </w:p>
  </w:footnote>
  <w:footnote w:id="49">
    <w:p w14:paraId="10BF7389" w14:textId="43B71CD0" w:rsidR="00592BC0" w:rsidRPr="008463B6" w:rsidRDefault="00592BC0" w:rsidP="00A4123F">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Noteikumu Nr. 1529 1.pielikums</w:t>
      </w:r>
    </w:p>
  </w:footnote>
  <w:footnote w:id="50">
    <w:p w14:paraId="03AEAE3B" w14:textId="77777777" w:rsidR="00592BC0" w:rsidRPr="008463B6" w:rsidRDefault="00592BC0" w:rsidP="00676138">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hyperlink r:id="rId3" w:tgtFrame="_blank" w:history="1">
        <w:r w:rsidRPr="008463B6">
          <w:rPr>
            <w:rStyle w:val="Hyperlink"/>
            <w:rFonts w:ascii="Times New Roman" w:hAnsi="Times New Roman" w:cs="Times New Roman"/>
            <w:shd w:val="clear" w:color="auto" w:fill="FFFFFF"/>
          </w:rPr>
          <w:t>https://www.ahrq.gov/downloads/pub/ahrqqi/pqiguide.pdf</w:t>
        </w:r>
      </w:hyperlink>
    </w:p>
  </w:footnote>
  <w:footnote w:id="51">
    <w:p w14:paraId="5F5EBAEA" w14:textId="77777777" w:rsidR="00592BC0" w:rsidRPr="008463B6" w:rsidRDefault="00592BC0" w:rsidP="00676138">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NVD dati</w:t>
      </w:r>
    </w:p>
  </w:footnote>
  <w:footnote w:id="52">
    <w:p w14:paraId="1BC012F5" w14:textId="74CE1F73" w:rsidR="00592BC0" w:rsidRPr="008463B6" w:rsidRDefault="00592BC0" w:rsidP="00A4123F">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Noteikumu Nr. 1529 12.pielikums</w:t>
      </w:r>
    </w:p>
  </w:footnote>
  <w:footnote w:id="53">
    <w:p w14:paraId="02E30F72" w14:textId="6132E500" w:rsidR="00592BC0" w:rsidRPr="008463B6" w:rsidRDefault="00592BC0">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Papildus no valsts budžeta finansējuma plānots palielināt kapitācijas naudā iekļauto mēnešalgas pozīciju, nodrošinot kapitācijas naudas pieaugumu no 1.251254 līdz 1.47171 euro. No EK atkāpes finansējuma nav plānots mēnešalgas palielinājums.</w:t>
      </w:r>
    </w:p>
  </w:footnote>
  <w:footnote w:id="54">
    <w:p w14:paraId="7ADE0384" w14:textId="1DFF9C87" w:rsidR="00592BC0" w:rsidRPr="008463B6" w:rsidRDefault="00592BC0" w:rsidP="008E374D">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NVD dati</w:t>
      </w:r>
    </w:p>
  </w:footnote>
  <w:footnote w:id="55">
    <w:p w14:paraId="09193621" w14:textId="33DEA1AC" w:rsidR="00B26800" w:rsidRPr="00B26800" w:rsidRDefault="00B26800" w:rsidP="00B26800">
      <w:pPr>
        <w:pStyle w:val="CommentText"/>
        <w:rPr>
          <w:rFonts w:ascii="Times New Roman" w:hAnsi="Times New Roman" w:cs="Times New Roman"/>
        </w:rPr>
      </w:pPr>
      <w:r w:rsidRPr="00B26800">
        <w:rPr>
          <w:rStyle w:val="FootnoteReference"/>
          <w:rFonts w:ascii="Times New Roman" w:hAnsi="Times New Roman" w:cs="Times New Roman"/>
        </w:rPr>
        <w:footnoteRef/>
      </w:r>
      <w:r w:rsidRPr="00B26800">
        <w:rPr>
          <w:rFonts w:ascii="Times New Roman" w:hAnsi="Times New Roman" w:cs="Times New Roman"/>
        </w:rPr>
        <w:t xml:space="preserve"> Veselības ministrijas prognoze pēc Latvijas Lauku ģimenes ārstu novērtējuma</w:t>
      </w:r>
    </w:p>
  </w:footnote>
  <w:footnote w:id="56">
    <w:p w14:paraId="3DA19CB5" w14:textId="4089181C" w:rsidR="00592BC0" w:rsidRPr="008463B6" w:rsidRDefault="00592BC0" w:rsidP="00D95C8E">
      <w:pPr>
        <w:spacing w:after="0" w:line="240" w:lineRule="auto"/>
        <w:rPr>
          <w:rFonts w:ascii="Times New Roman" w:hAnsi="Times New Roman" w:cs="Times New Roman"/>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w:t>
      </w:r>
      <w:r w:rsidRPr="008463B6">
        <w:rPr>
          <w:rFonts w:ascii="Times New Roman" w:eastAsia="Times New Roman" w:hAnsi="Times New Roman" w:cs="Times New Roman"/>
          <w:sz w:val="20"/>
          <w:szCs w:val="20"/>
        </w:rPr>
        <w:t>https://www.ncbi.nlm.nih.gov/pubmed/25793957</w:t>
      </w:r>
    </w:p>
  </w:footnote>
  <w:footnote w:id="57">
    <w:p w14:paraId="7337DDB5" w14:textId="4311D0DF" w:rsidR="00592BC0" w:rsidRPr="008463B6" w:rsidRDefault="00592BC0" w:rsidP="00D95C8E">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r w:rsidRPr="008463B6">
        <w:rPr>
          <w:rFonts w:ascii="Times New Roman" w:eastAsia="Times New Roman" w:hAnsi="Times New Roman" w:cs="Times New Roman"/>
        </w:rPr>
        <w:t>Singh KA, Brennan DS. Chewing disability in older adults attributable to tooth loss and other oral conditions. Gerodontology. 2012;29:106–110.</w:t>
      </w:r>
    </w:p>
  </w:footnote>
  <w:footnote w:id="58">
    <w:p w14:paraId="6C256915" w14:textId="5B218407" w:rsidR="00592BC0" w:rsidRPr="008463B6" w:rsidRDefault="00592BC0" w:rsidP="00D95C8E">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r w:rsidRPr="008463B6">
        <w:rPr>
          <w:rFonts w:ascii="Times New Roman" w:eastAsia="Times New Roman" w:hAnsi="Times New Roman" w:cs="Times New Roman"/>
        </w:rPr>
        <w:t>https://www.ncbi.nlm.nih.gov/pubmed/26318590</w:t>
      </w:r>
    </w:p>
  </w:footnote>
  <w:footnote w:id="59">
    <w:p w14:paraId="16B85021" w14:textId="396765F6" w:rsidR="00592BC0" w:rsidRPr="008463B6" w:rsidRDefault="00592BC0" w:rsidP="00D95C8E">
      <w:pPr>
        <w:spacing w:after="0" w:line="240" w:lineRule="auto"/>
        <w:jc w:val="both"/>
        <w:rPr>
          <w:rFonts w:ascii="Times New Roman" w:hAnsi="Times New Roman" w:cs="Times New Roman"/>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w:t>
      </w:r>
      <w:r w:rsidRPr="008463B6">
        <w:rPr>
          <w:rFonts w:ascii="Times New Roman" w:eastAsia="Times New Roman" w:hAnsi="Times New Roman" w:cs="Times New Roman"/>
          <w:sz w:val="20"/>
          <w:szCs w:val="20"/>
        </w:rPr>
        <w:t>https://www.spkc.gov.lv/upload/spkcresearchfailicol/petijuma_zinojums_mutes_veseliba.pdf</w:t>
      </w:r>
    </w:p>
  </w:footnote>
  <w:footnote w:id="60">
    <w:p w14:paraId="59C921A6" w14:textId="1B568B25" w:rsidR="00592BC0" w:rsidRPr="008463B6" w:rsidRDefault="00592BC0" w:rsidP="00D95C8E">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r w:rsidRPr="008463B6">
        <w:rPr>
          <w:rFonts w:ascii="Times New Roman" w:eastAsia="Times New Roman" w:hAnsi="Times New Roman" w:cs="Times New Roman"/>
        </w:rPr>
        <w:t>https://www.ncbi.nlm.nih.gov/pubmed/24037301</w:t>
      </w:r>
    </w:p>
  </w:footnote>
  <w:footnote w:id="61">
    <w:p w14:paraId="44502232" w14:textId="3A228111" w:rsidR="00592BC0" w:rsidRPr="008463B6" w:rsidRDefault="00592BC0" w:rsidP="00847710">
      <w:pPr>
        <w:spacing w:after="0" w:line="240" w:lineRule="auto"/>
        <w:jc w:val="both"/>
        <w:rPr>
          <w:rFonts w:ascii="Times New Roman" w:hAnsi="Times New Roman" w:cs="Times New Roman"/>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w:t>
      </w:r>
      <w:r w:rsidRPr="008463B6">
        <w:rPr>
          <w:rFonts w:ascii="Times New Roman" w:eastAsia="Times New Roman" w:hAnsi="Times New Roman" w:cs="Times New Roman"/>
          <w:sz w:val="20"/>
          <w:szCs w:val="20"/>
        </w:rPr>
        <w:t>Department of Health and Human, Sevices, 2000. Oral Health in America: A Report of the Surgeon General. National Institute of Dental and Craniofacial Research, National Institutes of Health.</w:t>
      </w:r>
    </w:p>
  </w:footnote>
  <w:footnote w:id="62">
    <w:p w14:paraId="10BA9C86" w14:textId="15D2E194" w:rsidR="00592BC0" w:rsidRPr="008463B6" w:rsidRDefault="00592BC0" w:rsidP="00682E32">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López et al, 2015; Azarpazhooh et al, 2012; Cetin et al, 2012</w:t>
      </w:r>
    </w:p>
  </w:footnote>
  <w:footnote w:id="63">
    <w:p w14:paraId="1A60C2EE" w14:textId="4BFA0A1E" w:rsidR="00592BC0" w:rsidRPr="008463B6" w:rsidRDefault="00592BC0" w:rsidP="00EA457E">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Horton et al, 2012</w:t>
      </w:r>
    </w:p>
  </w:footnote>
  <w:footnote w:id="64">
    <w:p w14:paraId="4C85A2F6" w14:textId="77777777" w:rsidR="00592BC0" w:rsidRPr="008463B6" w:rsidRDefault="00592BC0" w:rsidP="00D22762">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Informatīvais ziņojums „Sirds un asinsvadu veselības uzlabošanas rīcības plāna 2013.-2015.gadam īstenošana”</w:t>
      </w:r>
    </w:p>
    <w:p w14:paraId="3DC99E05" w14:textId="77777777" w:rsidR="00592BC0" w:rsidRPr="008463B6" w:rsidRDefault="00592BC0" w:rsidP="00D22762">
      <w:pPr>
        <w:pStyle w:val="FootnoteText"/>
        <w:rPr>
          <w:rFonts w:ascii="Times New Roman" w:hAnsi="Times New Roman" w:cs="Times New Roman"/>
        </w:rPr>
      </w:pPr>
    </w:p>
  </w:footnote>
  <w:footnote w:id="65">
    <w:p w14:paraId="31DF6BCB" w14:textId="6C085FEB" w:rsidR="00592BC0" w:rsidRPr="008463B6" w:rsidRDefault="00592BC0" w:rsidP="00D22762">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Informatīvais ziņojums „Sirds un asinsvadu veselības uzlabošanas rīcības plāna 2013.-2015.gadam īstenošana”</w:t>
      </w:r>
    </w:p>
  </w:footnote>
  <w:footnote w:id="66">
    <w:p w14:paraId="51E00A11" w14:textId="037E1A40" w:rsidR="00592BC0" w:rsidRPr="008463B6" w:rsidRDefault="00592BC0" w:rsidP="00D22762">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Informatīvais ziņojums „Sirds un asinsvadu veselības uzlabošanas rīcības plāna 2013.-2015.gadam īstenošana”</w:t>
      </w:r>
    </w:p>
  </w:footnote>
  <w:footnote w:id="67">
    <w:p w14:paraId="1AEF0013" w14:textId="77777777" w:rsidR="00592BC0" w:rsidRPr="008463B6" w:rsidRDefault="00592BC0" w:rsidP="00D22762">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Informatīvais ziņojums „Sirds un asinsvadu veselības uzlabošanas rīcības plāna 2013.-2015.gadam īstenošana”</w:t>
      </w:r>
    </w:p>
  </w:footnote>
  <w:footnote w:id="68">
    <w:p w14:paraId="5DE2A0D5" w14:textId="77777777" w:rsidR="00592BC0" w:rsidRPr="008463B6" w:rsidRDefault="00592BC0" w:rsidP="00D22762">
      <w:pPr>
        <w:pStyle w:val="NoSpacing"/>
        <w:jc w:val="both"/>
        <w:rPr>
          <w:rFonts w:ascii="Times New Roman" w:hAnsi="Times New Roman" w:cs="Times New Roman"/>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NVD VIS dati</w:t>
      </w:r>
    </w:p>
  </w:footnote>
  <w:footnote w:id="69">
    <w:p w14:paraId="5A40F39A" w14:textId="77777777" w:rsidR="00592BC0" w:rsidRPr="008463B6" w:rsidRDefault="00592BC0" w:rsidP="00D22762">
      <w:pPr>
        <w:pStyle w:val="NoSpacing"/>
        <w:jc w:val="both"/>
        <w:rPr>
          <w:rFonts w:ascii="Times New Roman" w:hAnsi="Times New Roman" w:cs="Times New Roman"/>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NVD dati</w:t>
      </w:r>
    </w:p>
  </w:footnote>
  <w:footnote w:id="70">
    <w:p w14:paraId="08CE4E30" w14:textId="77777777" w:rsidR="00592BC0" w:rsidRPr="008463B6" w:rsidRDefault="00592BC0" w:rsidP="00D22762">
      <w:pPr>
        <w:pStyle w:val="NoSpacing"/>
        <w:jc w:val="both"/>
        <w:rPr>
          <w:rFonts w:ascii="Times New Roman" w:hAnsi="Times New Roman" w:cs="Times New Roman"/>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NVD VIS dati</w:t>
      </w:r>
    </w:p>
  </w:footnote>
  <w:footnote w:id="71">
    <w:p w14:paraId="6D9A48D9" w14:textId="77777777" w:rsidR="00592BC0" w:rsidRPr="008463B6" w:rsidRDefault="00592BC0" w:rsidP="00D22762">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NVD dati</w:t>
      </w:r>
    </w:p>
  </w:footnote>
  <w:footnote w:id="72">
    <w:p w14:paraId="20C211CA" w14:textId="443282A2" w:rsidR="00592BC0" w:rsidRPr="008463B6" w:rsidRDefault="00592BC0">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Datu avots: LM, aktualizētie bāzes izdevumi uz 04.08.2017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18147283"/>
      <w:docPartObj>
        <w:docPartGallery w:val="Page Numbers (Top of Page)"/>
        <w:docPartUnique/>
      </w:docPartObj>
    </w:sdtPr>
    <w:sdtEndPr/>
    <w:sdtContent>
      <w:p w14:paraId="4D378B0C" w14:textId="6D85FBDB" w:rsidR="00592BC0" w:rsidRPr="005423DB" w:rsidRDefault="00592BC0">
        <w:pPr>
          <w:pStyle w:val="Header"/>
          <w:jc w:val="center"/>
          <w:rPr>
            <w:rFonts w:ascii="Times New Roman" w:hAnsi="Times New Roman" w:cs="Times New Roman"/>
          </w:rPr>
        </w:pPr>
        <w:r w:rsidRPr="005423DB">
          <w:rPr>
            <w:rFonts w:ascii="Times New Roman" w:hAnsi="Times New Roman" w:cs="Times New Roman"/>
          </w:rPr>
          <w:fldChar w:fldCharType="begin"/>
        </w:r>
        <w:r w:rsidRPr="005423DB">
          <w:rPr>
            <w:rFonts w:ascii="Times New Roman" w:hAnsi="Times New Roman" w:cs="Times New Roman"/>
          </w:rPr>
          <w:instrText xml:space="preserve"> PAGE   \* MERGEFORMAT </w:instrText>
        </w:r>
        <w:r w:rsidRPr="005423DB">
          <w:rPr>
            <w:rFonts w:ascii="Times New Roman" w:hAnsi="Times New Roman" w:cs="Times New Roman"/>
          </w:rPr>
          <w:fldChar w:fldCharType="separate"/>
        </w:r>
        <w:r w:rsidR="00F512EF">
          <w:rPr>
            <w:rFonts w:ascii="Times New Roman" w:hAnsi="Times New Roman" w:cs="Times New Roman"/>
            <w:noProof/>
          </w:rPr>
          <w:t>2</w:t>
        </w:r>
        <w:r w:rsidRPr="005423DB">
          <w:rPr>
            <w:rFonts w:ascii="Times New Roman" w:hAnsi="Times New Roman" w:cs="Times New Roman"/>
          </w:rPr>
          <w:fldChar w:fldCharType="end"/>
        </w:r>
      </w:p>
    </w:sdtContent>
  </w:sdt>
  <w:p w14:paraId="6B700509" w14:textId="77777777" w:rsidR="00592BC0" w:rsidRDefault="0059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491"/>
    <w:multiLevelType w:val="hybridMultilevel"/>
    <w:tmpl w:val="B654497A"/>
    <w:lvl w:ilvl="0" w:tplc="04260005">
      <w:start w:val="1"/>
      <w:numFmt w:val="bullet"/>
      <w:lvlText w:val=""/>
      <w:lvlJc w:val="left"/>
      <w:pPr>
        <w:ind w:left="1440" w:hanging="360"/>
      </w:pPr>
      <w:rPr>
        <w:rFonts w:ascii="Wingdings" w:hAnsi="Wingdings" w:hint="default"/>
      </w:rPr>
    </w:lvl>
    <w:lvl w:ilvl="1" w:tplc="21ECA548">
      <w:numFmt w:val="bullet"/>
      <w:lvlText w:val="-"/>
      <w:lvlJc w:val="left"/>
      <w:pPr>
        <w:ind w:left="2160" w:hanging="360"/>
      </w:pPr>
      <w:rPr>
        <w:rFonts w:ascii="Times New Roman" w:eastAsiaTheme="minorHAnsi"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841A27"/>
    <w:multiLevelType w:val="hybridMultilevel"/>
    <w:tmpl w:val="E5A23B7E"/>
    <w:lvl w:ilvl="0" w:tplc="04260005">
      <w:start w:val="1"/>
      <w:numFmt w:val="bullet"/>
      <w:lvlText w:val=""/>
      <w:lvlJc w:val="left"/>
      <w:pPr>
        <w:ind w:left="1440" w:hanging="360"/>
      </w:pPr>
      <w:rPr>
        <w:rFonts w:ascii="Wingdings" w:hAnsi="Wingdings" w:hint="default"/>
      </w:rPr>
    </w:lvl>
    <w:lvl w:ilvl="1" w:tplc="04260005">
      <w:start w:val="1"/>
      <w:numFmt w:val="bullet"/>
      <w:lvlText w:val=""/>
      <w:lvlJc w:val="left"/>
      <w:pPr>
        <w:ind w:left="2160" w:hanging="360"/>
      </w:pPr>
      <w:rPr>
        <w:rFonts w:ascii="Wingdings" w:hAnsi="Wingdings"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BAA2F56"/>
    <w:multiLevelType w:val="hybridMultilevel"/>
    <w:tmpl w:val="4A7CF9F4"/>
    <w:lvl w:ilvl="0" w:tplc="04260005">
      <w:start w:val="1"/>
      <w:numFmt w:val="bullet"/>
      <w:lvlText w:val=""/>
      <w:lvlJc w:val="left"/>
      <w:pPr>
        <w:ind w:left="1440" w:hanging="360"/>
      </w:pPr>
      <w:rPr>
        <w:rFonts w:ascii="Wingdings" w:hAnsi="Wingdings" w:hint="default"/>
      </w:rPr>
    </w:lvl>
    <w:lvl w:ilvl="1" w:tplc="04260005">
      <w:start w:val="1"/>
      <w:numFmt w:val="bullet"/>
      <w:lvlText w:val=""/>
      <w:lvlJc w:val="left"/>
      <w:pPr>
        <w:ind w:left="2160" w:hanging="360"/>
      </w:pPr>
      <w:rPr>
        <w:rFonts w:ascii="Wingdings" w:hAnsi="Wingdings"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16D4125"/>
    <w:multiLevelType w:val="hybridMultilevel"/>
    <w:tmpl w:val="7D520EDE"/>
    <w:lvl w:ilvl="0" w:tplc="B694E9AE">
      <w:start w:val="1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F23132"/>
    <w:multiLevelType w:val="hybridMultilevel"/>
    <w:tmpl w:val="00008226"/>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2B25FB9"/>
    <w:multiLevelType w:val="hybridMultilevel"/>
    <w:tmpl w:val="037051E0"/>
    <w:lvl w:ilvl="0" w:tplc="04260005">
      <w:start w:val="1"/>
      <w:numFmt w:val="bullet"/>
      <w:lvlText w:val=""/>
      <w:lvlJc w:val="left"/>
      <w:pPr>
        <w:ind w:left="1353" w:hanging="360"/>
      </w:pPr>
      <w:rPr>
        <w:rFonts w:ascii="Wingdings" w:hAnsi="Wingdings"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6" w15:restartNumberingAfterBreak="0">
    <w:nsid w:val="185820E0"/>
    <w:multiLevelType w:val="hybridMultilevel"/>
    <w:tmpl w:val="E82A1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1C7EFC"/>
    <w:multiLevelType w:val="multilevel"/>
    <w:tmpl w:val="AE12916E"/>
    <w:lvl w:ilvl="0">
      <w:start w:val="2"/>
      <w:numFmt w:val="decimal"/>
      <w:lvlText w:val="%1."/>
      <w:lvlJc w:val="left"/>
      <w:pPr>
        <w:ind w:left="360" w:hanging="360"/>
      </w:pPr>
      <w:rPr>
        <w:rFonts w:hint="default"/>
      </w:rPr>
    </w:lvl>
    <w:lvl w:ilvl="1">
      <w:start w:val="14"/>
      <w:numFmt w:val="bullet"/>
      <w:lvlText w:val="-"/>
      <w:lvlJc w:val="left"/>
      <w:pPr>
        <w:ind w:left="1284" w:hanging="360"/>
      </w:pPr>
      <w:rPr>
        <w:rFonts w:ascii="Times New Roman" w:eastAsia="Times New Roman" w:hAnsi="Times New Roman" w:cs="Times New Roman"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8" w15:restartNumberingAfterBreak="0">
    <w:nsid w:val="1C57608D"/>
    <w:multiLevelType w:val="hybridMultilevel"/>
    <w:tmpl w:val="4E50DE3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A939BA"/>
    <w:multiLevelType w:val="hybridMultilevel"/>
    <w:tmpl w:val="CDEEBC72"/>
    <w:lvl w:ilvl="0" w:tplc="AAAE76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F651CD4"/>
    <w:multiLevelType w:val="hybridMultilevel"/>
    <w:tmpl w:val="4DD8ED5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1D6FBC"/>
    <w:multiLevelType w:val="multilevel"/>
    <w:tmpl w:val="0426001F"/>
    <w:lvl w:ilvl="0">
      <w:start w:val="1"/>
      <w:numFmt w:val="decimal"/>
      <w:lvlText w:val="%1."/>
      <w:lvlJc w:val="left"/>
      <w:pPr>
        <w:ind w:left="3905" w:hanging="360"/>
      </w:pPr>
    </w:lvl>
    <w:lvl w:ilvl="1">
      <w:start w:val="1"/>
      <w:numFmt w:val="decimal"/>
      <w:lvlText w:val="%1.%2."/>
      <w:lvlJc w:val="left"/>
      <w:pPr>
        <w:ind w:left="4402" w:hanging="432"/>
      </w:pPr>
    </w:lvl>
    <w:lvl w:ilvl="2">
      <w:start w:val="1"/>
      <w:numFmt w:val="decimal"/>
      <w:lvlText w:val="%1.%2.%3."/>
      <w:lvlJc w:val="left"/>
      <w:pPr>
        <w:ind w:left="4769"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12" w15:restartNumberingAfterBreak="0">
    <w:nsid w:val="22F71CAF"/>
    <w:multiLevelType w:val="hybridMultilevel"/>
    <w:tmpl w:val="14D44C80"/>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3C56497"/>
    <w:multiLevelType w:val="hybridMultilevel"/>
    <w:tmpl w:val="8DC67016"/>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2C242EA5"/>
    <w:multiLevelType w:val="multilevel"/>
    <w:tmpl w:val="AE84836C"/>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512EF8"/>
    <w:multiLevelType w:val="multilevel"/>
    <w:tmpl w:val="779C0590"/>
    <w:lvl w:ilvl="0">
      <w:start w:val="1"/>
      <w:numFmt w:val="decimal"/>
      <w:lvlText w:val="%1."/>
      <w:lvlJc w:val="left"/>
      <w:pPr>
        <w:ind w:left="1069" w:hanging="360"/>
      </w:pPr>
      <w:rPr>
        <w:rFonts w:hint="default"/>
      </w:rPr>
    </w:lvl>
    <w:lvl w:ilvl="1">
      <w:start w:val="1"/>
      <w:numFmt w:val="decimal"/>
      <w:isLgl/>
      <w:lvlText w:val="%1.%2."/>
      <w:lvlJc w:val="left"/>
      <w:pPr>
        <w:ind w:left="1254" w:hanging="540"/>
      </w:pPr>
      <w:rPr>
        <w:rFonts w:hint="default"/>
      </w:rPr>
    </w:lvl>
    <w:lvl w:ilvl="2">
      <w:start w:val="7"/>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6" w15:restartNumberingAfterBreak="0">
    <w:nsid w:val="2E8A1512"/>
    <w:multiLevelType w:val="hybridMultilevel"/>
    <w:tmpl w:val="82662800"/>
    <w:lvl w:ilvl="0" w:tplc="91701C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28B46DC"/>
    <w:multiLevelType w:val="multilevel"/>
    <w:tmpl w:val="66D4597E"/>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52780D"/>
    <w:multiLevelType w:val="multilevel"/>
    <w:tmpl w:val="A88207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211"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C33D1"/>
    <w:multiLevelType w:val="hybridMultilevel"/>
    <w:tmpl w:val="3C0AA1DE"/>
    <w:lvl w:ilvl="0" w:tplc="04260005">
      <w:start w:val="1"/>
      <w:numFmt w:val="bullet"/>
      <w:lvlText w:val=""/>
      <w:lvlJc w:val="left"/>
      <w:pPr>
        <w:ind w:left="1440" w:hanging="360"/>
      </w:pPr>
      <w:rPr>
        <w:rFonts w:ascii="Wingdings" w:hAnsi="Wingdings" w:hint="default"/>
      </w:rPr>
    </w:lvl>
    <w:lvl w:ilvl="1" w:tplc="04260005">
      <w:start w:val="1"/>
      <w:numFmt w:val="bullet"/>
      <w:lvlText w:val=""/>
      <w:lvlJc w:val="left"/>
      <w:pPr>
        <w:ind w:left="2160" w:hanging="360"/>
      </w:pPr>
      <w:rPr>
        <w:rFonts w:ascii="Wingdings" w:hAnsi="Wingdings"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7267CBD"/>
    <w:multiLevelType w:val="hybridMultilevel"/>
    <w:tmpl w:val="104C83E0"/>
    <w:lvl w:ilvl="0" w:tplc="58EA6744">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3D49BB"/>
    <w:multiLevelType w:val="hybridMultilevel"/>
    <w:tmpl w:val="C444FC34"/>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3C0ADD"/>
    <w:multiLevelType w:val="hybridMultilevel"/>
    <w:tmpl w:val="CDCC8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6E3F5D"/>
    <w:multiLevelType w:val="hybridMultilevel"/>
    <w:tmpl w:val="34FE7F08"/>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A608FC"/>
    <w:multiLevelType w:val="hybridMultilevel"/>
    <w:tmpl w:val="D5EEBB2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EE6F03"/>
    <w:multiLevelType w:val="multilevel"/>
    <w:tmpl w:val="AE84836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12D7AE3"/>
    <w:multiLevelType w:val="multilevel"/>
    <w:tmpl w:val="0A629DC4"/>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A4C6BC4"/>
    <w:multiLevelType w:val="hybridMultilevel"/>
    <w:tmpl w:val="3994423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B94DB0"/>
    <w:multiLevelType w:val="hybridMultilevel"/>
    <w:tmpl w:val="50D0AA6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1F2536B"/>
    <w:multiLevelType w:val="hybridMultilevel"/>
    <w:tmpl w:val="D598B0BA"/>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29F3850"/>
    <w:multiLevelType w:val="multilevel"/>
    <w:tmpl w:val="490486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B55768"/>
    <w:multiLevelType w:val="hybridMultilevel"/>
    <w:tmpl w:val="CE182AE6"/>
    <w:lvl w:ilvl="0" w:tplc="C47C3E98">
      <w:start w:val="1"/>
      <w:numFmt w:val="decimal"/>
      <w:lvlText w:val="%1."/>
      <w:lvlJc w:val="left"/>
      <w:pPr>
        <w:ind w:left="1129" w:hanging="360"/>
      </w:pPr>
      <w:rPr>
        <w:rFonts w:hint="default"/>
        <w:color w:val="000000"/>
      </w:r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abstractNum w:abstractNumId="32" w15:restartNumberingAfterBreak="0">
    <w:nsid w:val="641379CB"/>
    <w:multiLevelType w:val="hybridMultilevel"/>
    <w:tmpl w:val="385A6378"/>
    <w:lvl w:ilvl="0" w:tplc="6E1CBFF8">
      <w:start w:val="26"/>
      <w:numFmt w:val="bullet"/>
      <w:lvlText w:val=""/>
      <w:lvlJc w:val="left"/>
      <w:pPr>
        <w:ind w:left="420" w:hanging="360"/>
      </w:pPr>
      <w:rPr>
        <w:rFonts w:ascii="Symbol" w:eastAsiaTheme="minorHAnsi"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3" w15:restartNumberingAfterBreak="0">
    <w:nsid w:val="6983233B"/>
    <w:multiLevelType w:val="multilevel"/>
    <w:tmpl w:val="AE84836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72190C95"/>
    <w:multiLevelType w:val="multilevel"/>
    <w:tmpl w:val="AE84836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A333876"/>
    <w:multiLevelType w:val="hybridMultilevel"/>
    <w:tmpl w:val="5886937E"/>
    <w:lvl w:ilvl="0" w:tplc="13D4FC3E">
      <w:start w:val="2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34"/>
  </w:num>
  <w:num w:numId="3">
    <w:abstractNumId w:val="27"/>
  </w:num>
  <w:num w:numId="4">
    <w:abstractNumId w:val="31"/>
  </w:num>
  <w:num w:numId="5">
    <w:abstractNumId w:val="23"/>
  </w:num>
  <w:num w:numId="6">
    <w:abstractNumId w:val="0"/>
  </w:num>
  <w:num w:numId="7">
    <w:abstractNumId w:val="4"/>
  </w:num>
  <w:num w:numId="8">
    <w:abstractNumId w:val="24"/>
  </w:num>
  <w:num w:numId="9">
    <w:abstractNumId w:val="10"/>
  </w:num>
  <w:num w:numId="10">
    <w:abstractNumId w:val="19"/>
  </w:num>
  <w:num w:numId="11">
    <w:abstractNumId w:val="1"/>
  </w:num>
  <w:num w:numId="12">
    <w:abstractNumId w:val="15"/>
  </w:num>
  <w:num w:numId="13">
    <w:abstractNumId w:val="5"/>
  </w:num>
  <w:num w:numId="14">
    <w:abstractNumId w:val="30"/>
  </w:num>
  <w:num w:numId="15">
    <w:abstractNumId w:val="18"/>
  </w:num>
  <w:num w:numId="16">
    <w:abstractNumId w:val="35"/>
  </w:num>
  <w:num w:numId="17">
    <w:abstractNumId w:val="25"/>
  </w:num>
  <w:num w:numId="18">
    <w:abstractNumId w:val="2"/>
  </w:num>
  <w:num w:numId="19">
    <w:abstractNumId w:val="9"/>
  </w:num>
  <w:num w:numId="20">
    <w:abstractNumId w:val="33"/>
  </w:num>
  <w:num w:numId="21">
    <w:abstractNumId w:val="14"/>
  </w:num>
  <w:num w:numId="22">
    <w:abstractNumId w:val="22"/>
  </w:num>
  <w:num w:numId="23">
    <w:abstractNumId w:val="17"/>
  </w:num>
  <w:num w:numId="24">
    <w:abstractNumId w:val="20"/>
  </w:num>
  <w:num w:numId="25">
    <w:abstractNumId w:val="3"/>
  </w:num>
  <w:num w:numId="26">
    <w:abstractNumId w:val="36"/>
  </w:num>
  <w:num w:numId="27">
    <w:abstractNumId w:val="21"/>
  </w:num>
  <w:num w:numId="28">
    <w:abstractNumId w:val="6"/>
  </w:num>
  <w:num w:numId="29">
    <w:abstractNumId w:val="8"/>
  </w:num>
  <w:num w:numId="30">
    <w:abstractNumId w:val="26"/>
  </w:num>
  <w:num w:numId="31">
    <w:abstractNumId w:val="13"/>
  </w:num>
  <w:num w:numId="32">
    <w:abstractNumId w:val="12"/>
  </w:num>
  <w:num w:numId="33">
    <w:abstractNumId w:val="7"/>
  </w:num>
  <w:num w:numId="34">
    <w:abstractNumId w:val="16"/>
  </w:num>
  <w:num w:numId="35">
    <w:abstractNumId w:val="32"/>
  </w:num>
  <w:num w:numId="36">
    <w:abstractNumId w:val="29"/>
  </w:num>
  <w:num w:numId="37">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70"/>
    <w:rsid w:val="00000224"/>
    <w:rsid w:val="000006C4"/>
    <w:rsid w:val="000017AB"/>
    <w:rsid w:val="00002BFF"/>
    <w:rsid w:val="000046AF"/>
    <w:rsid w:val="00004A03"/>
    <w:rsid w:val="00004B91"/>
    <w:rsid w:val="00004FF9"/>
    <w:rsid w:val="00005A06"/>
    <w:rsid w:val="00005A3E"/>
    <w:rsid w:val="0000742F"/>
    <w:rsid w:val="00007886"/>
    <w:rsid w:val="00007F7D"/>
    <w:rsid w:val="000108A9"/>
    <w:rsid w:val="00010A18"/>
    <w:rsid w:val="00010AC6"/>
    <w:rsid w:val="00010B16"/>
    <w:rsid w:val="00011826"/>
    <w:rsid w:val="0001279B"/>
    <w:rsid w:val="0001297D"/>
    <w:rsid w:val="00012FD4"/>
    <w:rsid w:val="00013560"/>
    <w:rsid w:val="00013910"/>
    <w:rsid w:val="00014B3F"/>
    <w:rsid w:val="0001671F"/>
    <w:rsid w:val="00016DF0"/>
    <w:rsid w:val="00020012"/>
    <w:rsid w:val="0002028D"/>
    <w:rsid w:val="00021A91"/>
    <w:rsid w:val="000224B6"/>
    <w:rsid w:val="00023261"/>
    <w:rsid w:val="000237EB"/>
    <w:rsid w:val="00023A4D"/>
    <w:rsid w:val="00023C94"/>
    <w:rsid w:val="00024048"/>
    <w:rsid w:val="00024179"/>
    <w:rsid w:val="0002467D"/>
    <w:rsid w:val="00024BD2"/>
    <w:rsid w:val="00024EC7"/>
    <w:rsid w:val="00025EA0"/>
    <w:rsid w:val="00026045"/>
    <w:rsid w:val="00026B33"/>
    <w:rsid w:val="00026C21"/>
    <w:rsid w:val="000318A2"/>
    <w:rsid w:val="00031C57"/>
    <w:rsid w:val="00032EE2"/>
    <w:rsid w:val="00033628"/>
    <w:rsid w:val="00034CBC"/>
    <w:rsid w:val="00035846"/>
    <w:rsid w:val="00036134"/>
    <w:rsid w:val="000368B3"/>
    <w:rsid w:val="00040C38"/>
    <w:rsid w:val="00041234"/>
    <w:rsid w:val="00042A65"/>
    <w:rsid w:val="00042ACB"/>
    <w:rsid w:val="00042B9F"/>
    <w:rsid w:val="00042EFE"/>
    <w:rsid w:val="00043836"/>
    <w:rsid w:val="00043AA9"/>
    <w:rsid w:val="000444B0"/>
    <w:rsid w:val="00044667"/>
    <w:rsid w:val="00045386"/>
    <w:rsid w:val="00045982"/>
    <w:rsid w:val="00045CB2"/>
    <w:rsid w:val="00045D43"/>
    <w:rsid w:val="00045FB3"/>
    <w:rsid w:val="000465B1"/>
    <w:rsid w:val="00046AAF"/>
    <w:rsid w:val="00046DE3"/>
    <w:rsid w:val="00047DF5"/>
    <w:rsid w:val="0005043F"/>
    <w:rsid w:val="0005090B"/>
    <w:rsid w:val="00050ED4"/>
    <w:rsid w:val="00051B28"/>
    <w:rsid w:val="0005280E"/>
    <w:rsid w:val="00052B54"/>
    <w:rsid w:val="00052B6D"/>
    <w:rsid w:val="00052D53"/>
    <w:rsid w:val="00052F8B"/>
    <w:rsid w:val="00053C5C"/>
    <w:rsid w:val="00054903"/>
    <w:rsid w:val="00054EA1"/>
    <w:rsid w:val="00054FAB"/>
    <w:rsid w:val="00055558"/>
    <w:rsid w:val="00055F1E"/>
    <w:rsid w:val="00056617"/>
    <w:rsid w:val="00056A9D"/>
    <w:rsid w:val="00056AB6"/>
    <w:rsid w:val="00056F80"/>
    <w:rsid w:val="000575F0"/>
    <w:rsid w:val="00060191"/>
    <w:rsid w:val="0006051B"/>
    <w:rsid w:val="0006091E"/>
    <w:rsid w:val="0006096D"/>
    <w:rsid w:val="00060C2A"/>
    <w:rsid w:val="00060FB6"/>
    <w:rsid w:val="00061D01"/>
    <w:rsid w:val="000631DF"/>
    <w:rsid w:val="00064564"/>
    <w:rsid w:val="00065285"/>
    <w:rsid w:val="0006544E"/>
    <w:rsid w:val="00066604"/>
    <w:rsid w:val="00067527"/>
    <w:rsid w:val="00067701"/>
    <w:rsid w:val="000678E1"/>
    <w:rsid w:val="00067E81"/>
    <w:rsid w:val="00067FF0"/>
    <w:rsid w:val="00070041"/>
    <w:rsid w:val="00070457"/>
    <w:rsid w:val="000707FF"/>
    <w:rsid w:val="0007140B"/>
    <w:rsid w:val="00071DF2"/>
    <w:rsid w:val="0007279D"/>
    <w:rsid w:val="0007280C"/>
    <w:rsid w:val="0007302B"/>
    <w:rsid w:val="00073902"/>
    <w:rsid w:val="00073A85"/>
    <w:rsid w:val="00074607"/>
    <w:rsid w:val="00074FD1"/>
    <w:rsid w:val="00075B0E"/>
    <w:rsid w:val="000768C5"/>
    <w:rsid w:val="00076A9A"/>
    <w:rsid w:val="0007784D"/>
    <w:rsid w:val="00077F89"/>
    <w:rsid w:val="00081A66"/>
    <w:rsid w:val="00082EFC"/>
    <w:rsid w:val="0008325D"/>
    <w:rsid w:val="00083A91"/>
    <w:rsid w:val="0008420B"/>
    <w:rsid w:val="00085691"/>
    <w:rsid w:val="000859C3"/>
    <w:rsid w:val="0008611C"/>
    <w:rsid w:val="00086584"/>
    <w:rsid w:val="00086AE1"/>
    <w:rsid w:val="00090820"/>
    <w:rsid w:val="00090F2D"/>
    <w:rsid w:val="00091057"/>
    <w:rsid w:val="0009135C"/>
    <w:rsid w:val="000916F6"/>
    <w:rsid w:val="00092405"/>
    <w:rsid w:val="000924CD"/>
    <w:rsid w:val="0009549D"/>
    <w:rsid w:val="00095D68"/>
    <w:rsid w:val="00096206"/>
    <w:rsid w:val="00096930"/>
    <w:rsid w:val="0009757D"/>
    <w:rsid w:val="00097EA5"/>
    <w:rsid w:val="000A01E8"/>
    <w:rsid w:val="000A0426"/>
    <w:rsid w:val="000A0E74"/>
    <w:rsid w:val="000A0EEB"/>
    <w:rsid w:val="000A1217"/>
    <w:rsid w:val="000A1AFC"/>
    <w:rsid w:val="000A25BC"/>
    <w:rsid w:val="000A2ACE"/>
    <w:rsid w:val="000A3630"/>
    <w:rsid w:val="000A3D98"/>
    <w:rsid w:val="000A445A"/>
    <w:rsid w:val="000A4EFD"/>
    <w:rsid w:val="000A515E"/>
    <w:rsid w:val="000A6AD2"/>
    <w:rsid w:val="000A72AD"/>
    <w:rsid w:val="000A7972"/>
    <w:rsid w:val="000B055D"/>
    <w:rsid w:val="000B0E6A"/>
    <w:rsid w:val="000B2458"/>
    <w:rsid w:val="000B28D2"/>
    <w:rsid w:val="000B2EAB"/>
    <w:rsid w:val="000B390D"/>
    <w:rsid w:val="000B3A22"/>
    <w:rsid w:val="000B4A96"/>
    <w:rsid w:val="000B4AAD"/>
    <w:rsid w:val="000B4ADE"/>
    <w:rsid w:val="000B4E81"/>
    <w:rsid w:val="000B5110"/>
    <w:rsid w:val="000B52BE"/>
    <w:rsid w:val="000B54D1"/>
    <w:rsid w:val="000B564B"/>
    <w:rsid w:val="000B7555"/>
    <w:rsid w:val="000B7F3A"/>
    <w:rsid w:val="000C01D8"/>
    <w:rsid w:val="000C109B"/>
    <w:rsid w:val="000C1AB2"/>
    <w:rsid w:val="000C1DF2"/>
    <w:rsid w:val="000C2382"/>
    <w:rsid w:val="000C23EA"/>
    <w:rsid w:val="000C3AD4"/>
    <w:rsid w:val="000C3D0E"/>
    <w:rsid w:val="000C50F0"/>
    <w:rsid w:val="000C5C94"/>
    <w:rsid w:val="000C66E0"/>
    <w:rsid w:val="000C6CBF"/>
    <w:rsid w:val="000C7F07"/>
    <w:rsid w:val="000D12D8"/>
    <w:rsid w:val="000D2789"/>
    <w:rsid w:val="000D2BDF"/>
    <w:rsid w:val="000D2BF5"/>
    <w:rsid w:val="000D3974"/>
    <w:rsid w:val="000D42A5"/>
    <w:rsid w:val="000D4E35"/>
    <w:rsid w:val="000D69E2"/>
    <w:rsid w:val="000D6F8C"/>
    <w:rsid w:val="000E2840"/>
    <w:rsid w:val="000E289A"/>
    <w:rsid w:val="000E38A3"/>
    <w:rsid w:val="000E3DDC"/>
    <w:rsid w:val="000E3FC0"/>
    <w:rsid w:val="000E4651"/>
    <w:rsid w:val="000E49A2"/>
    <w:rsid w:val="000E553C"/>
    <w:rsid w:val="000E5A8F"/>
    <w:rsid w:val="000E5C01"/>
    <w:rsid w:val="000E5CC0"/>
    <w:rsid w:val="000E5D27"/>
    <w:rsid w:val="000E643F"/>
    <w:rsid w:val="000E6CE9"/>
    <w:rsid w:val="000E7FEE"/>
    <w:rsid w:val="000F1402"/>
    <w:rsid w:val="000F1D79"/>
    <w:rsid w:val="000F1FE7"/>
    <w:rsid w:val="000F22AC"/>
    <w:rsid w:val="000F2BA1"/>
    <w:rsid w:val="000F2F16"/>
    <w:rsid w:val="000F3745"/>
    <w:rsid w:val="000F3CEF"/>
    <w:rsid w:val="000F47DD"/>
    <w:rsid w:val="000F4B32"/>
    <w:rsid w:val="000F4C35"/>
    <w:rsid w:val="000F5AE6"/>
    <w:rsid w:val="000F7284"/>
    <w:rsid w:val="000F75EF"/>
    <w:rsid w:val="00100B36"/>
    <w:rsid w:val="001012CE"/>
    <w:rsid w:val="0010191A"/>
    <w:rsid w:val="00101B6C"/>
    <w:rsid w:val="0010213F"/>
    <w:rsid w:val="00102458"/>
    <w:rsid w:val="0010247D"/>
    <w:rsid w:val="0010262C"/>
    <w:rsid w:val="001035AF"/>
    <w:rsid w:val="001046D3"/>
    <w:rsid w:val="00104F21"/>
    <w:rsid w:val="00104F58"/>
    <w:rsid w:val="001051B9"/>
    <w:rsid w:val="0010546C"/>
    <w:rsid w:val="00105497"/>
    <w:rsid w:val="00105851"/>
    <w:rsid w:val="00105C1B"/>
    <w:rsid w:val="00106229"/>
    <w:rsid w:val="001066D0"/>
    <w:rsid w:val="00106926"/>
    <w:rsid w:val="00107173"/>
    <w:rsid w:val="00107905"/>
    <w:rsid w:val="00107927"/>
    <w:rsid w:val="001102D9"/>
    <w:rsid w:val="00110F01"/>
    <w:rsid w:val="001113E5"/>
    <w:rsid w:val="001128D8"/>
    <w:rsid w:val="0011299B"/>
    <w:rsid w:val="0011381D"/>
    <w:rsid w:val="00113985"/>
    <w:rsid w:val="00113AEA"/>
    <w:rsid w:val="001146CB"/>
    <w:rsid w:val="00114788"/>
    <w:rsid w:val="00114CF3"/>
    <w:rsid w:val="00115899"/>
    <w:rsid w:val="00115990"/>
    <w:rsid w:val="001168E6"/>
    <w:rsid w:val="00117E61"/>
    <w:rsid w:val="00120199"/>
    <w:rsid w:val="001209F2"/>
    <w:rsid w:val="00120BBD"/>
    <w:rsid w:val="001214FB"/>
    <w:rsid w:val="00121874"/>
    <w:rsid w:val="00121AC9"/>
    <w:rsid w:val="00121D10"/>
    <w:rsid w:val="00122AC3"/>
    <w:rsid w:val="00122C89"/>
    <w:rsid w:val="0012317D"/>
    <w:rsid w:val="00123698"/>
    <w:rsid w:val="00124055"/>
    <w:rsid w:val="00124326"/>
    <w:rsid w:val="0012589B"/>
    <w:rsid w:val="0012599C"/>
    <w:rsid w:val="00125A9A"/>
    <w:rsid w:val="0012644C"/>
    <w:rsid w:val="001270AF"/>
    <w:rsid w:val="00130A16"/>
    <w:rsid w:val="0013165B"/>
    <w:rsid w:val="00131CCF"/>
    <w:rsid w:val="00133A18"/>
    <w:rsid w:val="00133FEE"/>
    <w:rsid w:val="00134F4C"/>
    <w:rsid w:val="00137E44"/>
    <w:rsid w:val="00140233"/>
    <w:rsid w:val="00140338"/>
    <w:rsid w:val="0014078C"/>
    <w:rsid w:val="00140933"/>
    <w:rsid w:val="001417ED"/>
    <w:rsid w:val="00141A04"/>
    <w:rsid w:val="00141D96"/>
    <w:rsid w:val="00141E5B"/>
    <w:rsid w:val="00144087"/>
    <w:rsid w:val="00145068"/>
    <w:rsid w:val="001457FF"/>
    <w:rsid w:val="00146973"/>
    <w:rsid w:val="001506A7"/>
    <w:rsid w:val="001509A5"/>
    <w:rsid w:val="0015101B"/>
    <w:rsid w:val="00151356"/>
    <w:rsid w:val="00152E72"/>
    <w:rsid w:val="0015331A"/>
    <w:rsid w:val="001533B1"/>
    <w:rsid w:val="0015361E"/>
    <w:rsid w:val="00153625"/>
    <w:rsid w:val="001542DA"/>
    <w:rsid w:val="00154373"/>
    <w:rsid w:val="00155407"/>
    <w:rsid w:val="001555DC"/>
    <w:rsid w:val="00155CAA"/>
    <w:rsid w:val="00156A31"/>
    <w:rsid w:val="00157863"/>
    <w:rsid w:val="00157915"/>
    <w:rsid w:val="00157AE2"/>
    <w:rsid w:val="00160316"/>
    <w:rsid w:val="00160737"/>
    <w:rsid w:val="001614DE"/>
    <w:rsid w:val="00161D54"/>
    <w:rsid w:val="00161E92"/>
    <w:rsid w:val="00161F45"/>
    <w:rsid w:val="00162B6E"/>
    <w:rsid w:val="00163075"/>
    <w:rsid w:val="001630C6"/>
    <w:rsid w:val="00163DB2"/>
    <w:rsid w:val="001653D8"/>
    <w:rsid w:val="001707E2"/>
    <w:rsid w:val="001712BF"/>
    <w:rsid w:val="001715C8"/>
    <w:rsid w:val="00172009"/>
    <w:rsid w:val="00172823"/>
    <w:rsid w:val="00173111"/>
    <w:rsid w:val="0017367B"/>
    <w:rsid w:val="0017405A"/>
    <w:rsid w:val="00174138"/>
    <w:rsid w:val="00174607"/>
    <w:rsid w:val="00174D55"/>
    <w:rsid w:val="001763A1"/>
    <w:rsid w:val="0017650D"/>
    <w:rsid w:val="00176637"/>
    <w:rsid w:val="0017698C"/>
    <w:rsid w:val="0017795C"/>
    <w:rsid w:val="00177B31"/>
    <w:rsid w:val="00177C7E"/>
    <w:rsid w:val="00177F3B"/>
    <w:rsid w:val="001805A5"/>
    <w:rsid w:val="001807C9"/>
    <w:rsid w:val="00180838"/>
    <w:rsid w:val="001810FF"/>
    <w:rsid w:val="0018122B"/>
    <w:rsid w:val="00181622"/>
    <w:rsid w:val="00181979"/>
    <w:rsid w:val="00181D8B"/>
    <w:rsid w:val="001825E4"/>
    <w:rsid w:val="00182F34"/>
    <w:rsid w:val="00183547"/>
    <w:rsid w:val="00183E50"/>
    <w:rsid w:val="00184019"/>
    <w:rsid w:val="00184AD4"/>
    <w:rsid w:val="001851CD"/>
    <w:rsid w:val="001855A8"/>
    <w:rsid w:val="0018564B"/>
    <w:rsid w:val="00186A5D"/>
    <w:rsid w:val="001879A0"/>
    <w:rsid w:val="00190290"/>
    <w:rsid w:val="00190B3E"/>
    <w:rsid w:val="00190DCC"/>
    <w:rsid w:val="00191301"/>
    <w:rsid w:val="0019180B"/>
    <w:rsid w:val="00191AD4"/>
    <w:rsid w:val="00193709"/>
    <w:rsid w:val="00194926"/>
    <w:rsid w:val="00194FBC"/>
    <w:rsid w:val="00196761"/>
    <w:rsid w:val="001A0018"/>
    <w:rsid w:val="001A0BF4"/>
    <w:rsid w:val="001A1286"/>
    <w:rsid w:val="001A179D"/>
    <w:rsid w:val="001A20AA"/>
    <w:rsid w:val="001A2147"/>
    <w:rsid w:val="001A2493"/>
    <w:rsid w:val="001A2E91"/>
    <w:rsid w:val="001A39D4"/>
    <w:rsid w:val="001A402C"/>
    <w:rsid w:val="001A40BE"/>
    <w:rsid w:val="001A512F"/>
    <w:rsid w:val="001A51F3"/>
    <w:rsid w:val="001A5F37"/>
    <w:rsid w:val="001A6661"/>
    <w:rsid w:val="001A7B79"/>
    <w:rsid w:val="001A7BB1"/>
    <w:rsid w:val="001A7C5F"/>
    <w:rsid w:val="001B000F"/>
    <w:rsid w:val="001B10A1"/>
    <w:rsid w:val="001B1537"/>
    <w:rsid w:val="001B246E"/>
    <w:rsid w:val="001B3204"/>
    <w:rsid w:val="001B3AD3"/>
    <w:rsid w:val="001B3D8E"/>
    <w:rsid w:val="001B4529"/>
    <w:rsid w:val="001B5B49"/>
    <w:rsid w:val="001B5E9F"/>
    <w:rsid w:val="001B5F83"/>
    <w:rsid w:val="001B74B5"/>
    <w:rsid w:val="001C064B"/>
    <w:rsid w:val="001C0DEA"/>
    <w:rsid w:val="001C196E"/>
    <w:rsid w:val="001C33C1"/>
    <w:rsid w:val="001C44F3"/>
    <w:rsid w:val="001C47E5"/>
    <w:rsid w:val="001C5B74"/>
    <w:rsid w:val="001C773D"/>
    <w:rsid w:val="001C784B"/>
    <w:rsid w:val="001C7B29"/>
    <w:rsid w:val="001D097E"/>
    <w:rsid w:val="001D0E69"/>
    <w:rsid w:val="001D0EEE"/>
    <w:rsid w:val="001D12C1"/>
    <w:rsid w:val="001D1417"/>
    <w:rsid w:val="001D15E4"/>
    <w:rsid w:val="001D1721"/>
    <w:rsid w:val="001D1B09"/>
    <w:rsid w:val="001D2CBC"/>
    <w:rsid w:val="001D2D82"/>
    <w:rsid w:val="001D34A7"/>
    <w:rsid w:val="001D35CA"/>
    <w:rsid w:val="001D3685"/>
    <w:rsid w:val="001D49EE"/>
    <w:rsid w:val="001D4FF4"/>
    <w:rsid w:val="001D52F1"/>
    <w:rsid w:val="001D5D19"/>
    <w:rsid w:val="001D7399"/>
    <w:rsid w:val="001E043E"/>
    <w:rsid w:val="001E17F3"/>
    <w:rsid w:val="001E2804"/>
    <w:rsid w:val="001E3651"/>
    <w:rsid w:val="001E3E4E"/>
    <w:rsid w:val="001E3F2C"/>
    <w:rsid w:val="001E4D0A"/>
    <w:rsid w:val="001E6002"/>
    <w:rsid w:val="001E75F6"/>
    <w:rsid w:val="001E7A7F"/>
    <w:rsid w:val="001F052C"/>
    <w:rsid w:val="001F0C27"/>
    <w:rsid w:val="001F289F"/>
    <w:rsid w:val="001F2B22"/>
    <w:rsid w:val="001F2B47"/>
    <w:rsid w:val="001F2E84"/>
    <w:rsid w:val="001F331F"/>
    <w:rsid w:val="001F3DF8"/>
    <w:rsid w:val="001F3FC4"/>
    <w:rsid w:val="001F41FD"/>
    <w:rsid w:val="001F591A"/>
    <w:rsid w:val="00200130"/>
    <w:rsid w:val="00200CB0"/>
    <w:rsid w:val="00200F78"/>
    <w:rsid w:val="0020102F"/>
    <w:rsid w:val="00201998"/>
    <w:rsid w:val="002025E5"/>
    <w:rsid w:val="002032E0"/>
    <w:rsid w:val="00205CD4"/>
    <w:rsid w:val="0020611E"/>
    <w:rsid w:val="00207428"/>
    <w:rsid w:val="002077AA"/>
    <w:rsid w:val="00207D51"/>
    <w:rsid w:val="00210F0C"/>
    <w:rsid w:val="00211439"/>
    <w:rsid w:val="0021181E"/>
    <w:rsid w:val="002122BE"/>
    <w:rsid w:val="002125B9"/>
    <w:rsid w:val="00212DB5"/>
    <w:rsid w:val="00212ECB"/>
    <w:rsid w:val="002134DA"/>
    <w:rsid w:val="00214950"/>
    <w:rsid w:val="0021593C"/>
    <w:rsid w:val="00215FD4"/>
    <w:rsid w:val="0021627C"/>
    <w:rsid w:val="002173DB"/>
    <w:rsid w:val="00217405"/>
    <w:rsid w:val="00217A33"/>
    <w:rsid w:val="00220A1B"/>
    <w:rsid w:val="002215E4"/>
    <w:rsid w:val="00221DA8"/>
    <w:rsid w:val="0022223F"/>
    <w:rsid w:val="00223616"/>
    <w:rsid w:val="00223AC5"/>
    <w:rsid w:val="00223B9E"/>
    <w:rsid w:val="00224225"/>
    <w:rsid w:val="0022673D"/>
    <w:rsid w:val="00226C4D"/>
    <w:rsid w:val="00227362"/>
    <w:rsid w:val="0022740E"/>
    <w:rsid w:val="00230100"/>
    <w:rsid w:val="002308D8"/>
    <w:rsid w:val="00230E6B"/>
    <w:rsid w:val="00230EA2"/>
    <w:rsid w:val="0023122A"/>
    <w:rsid w:val="002319B5"/>
    <w:rsid w:val="00231C73"/>
    <w:rsid w:val="0023281F"/>
    <w:rsid w:val="00232BC9"/>
    <w:rsid w:val="00232C4F"/>
    <w:rsid w:val="00232DBC"/>
    <w:rsid w:val="002330A6"/>
    <w:rsid w:val="00233C7B"/>
    <w:rsid w:val="002346D6"/>
    <w:rsid w:val="00234732"/>
    <w:rsid w:val="0023486B"/>
    <w:rsid w:val="00234B48"/>
    <w:rsid w:val="00235397"/>
    <w:rsid w:val="0023630C"/>
    <w:rsid w:val="002364B2"/>
    <w:rsid w:val="0023660B"/>
    <w:rsid w:val="002370DE"/>
    <w:rsid w:val="00237A86"/>
    <w:rsid w:val="00240017"/>
    <w:rsid w:val="0024092A"/>
    <w:rsid w:val="00240A7A"/>
    <w:rsid w:val="00240E30"/>
    <w:rsid w:val="002415BF"/>
    <w:rsid w:val="00242941"/>
    <w:rsid w:val="00242C85"/>
    <w:rsid w:val="00243172"/>
    <w:rsid w:val="002432EC"/>
    <w:rsid w:val="0024353F"/>
    <w:rsid w:val="00243B92"/>
    <w:rsid w:val="00244134"/>
    <w:rsid w:val="00244D92"/>
    <w:rsid w:val="00245344"/>
    <w:rsid w:val="00245ACE"/>
    <w:rsid w:val="00246D9F"/>
    <w:rsid w:val="00246ECD"/>
    <w:rsid w:val="00247CD6"/>
    <w:rsid w:val="002518FC"/>
    <w:rsid w:val="00251B35"/>
    <w:rsid w:val="00251D44"/>
    <w:rsid w:val="00252681"/>
    <w:rsid w:val="0025333C"/>
    <w:rsid w:val="00253AAC"/>
    <w:rsid w:val="00253F6D"/>
    <w:rsid w:val="0025498A"/>
    <w:rsid w:val="00256595"/>
    <w:rsid w:val="00257472"/>
    <w:rsid w:val="00260651"/>
    <w:rsid w:val="00260730"/>
    <w:rsid w:val="002608BF"/>
    <w:rsid w:val="00261109"/>
    <w:rsid w:val="002615BC"/>
    <w:rsid w:val="0026171C"/>
    <w:rsid w:val="00261765"/>
    <w:rsid w:val="00262D9D"/>
    <w:rsid w:val="00263AFA"/>
    <w:rsid w:val="00263CF1"/>
    <w:rsid w:val="00264F6C"/>
    <w:rsid w:val="00265B68"/>
    <w:rsid w:val="002661C1"/>
    <w:rsid w:val="002663FD"/>
    <w:rsid w:val="002664DA"/>
    <w:rsid w:val="00266CC3"/>
    <w:rsid w:val="00267C75"/>
    <w:rsid w:val="00267D0F"/>
    <w:rsid w:val="00270FE1"/>
    <w:rsid w:val="00271275"/>
    <w:rsid w:val="00271513"/>
    <w:rsid w:val="00271B3A"/>
    <w:rsid w:val="0027251E"/>
    <w:rsid w:val="0027254A"/>
    <w:rsid w:val="00272560"/>
    <w:rsid w:val="00273339"/>
    <w:rsid w:val="00274CA2"/>
    <w:rsid w:val="00274E7D"/>
    <w:rsid w:val="0027567A"/>
    <w:rsid w:val="00275DA7"/>
    <w:rsid w:val="002806C8"/>
    <w:rsid w:val="00280B60"/>
    <w:rsid w:val="002811B8"/>
    <w:rsid w:val="00281809"/>
    <w:rsid w:val="00281EAE"/>
    <w:rsid w:val="002826C6"/>
    <w:rsid w:val="00282E6A"/>
    <w:rsid w:val="00282FC1"/>
    <w:rsid w:val="00283CAE"/>
    <w:rsid w:val="002841D6"/>
    <w:rsid w:val="0028586A"/>
    <w:rsid w:val="002863A6"/>
    <w:rsid w:val="0028763D"/>
    <w:rsid w:val="00287EB7"/>
    <w:rsid w:val="0029021F"/>
    <w:rsid w:val="00290FF6"/>
    <w:rsid w:val="00291AD7"/>
    <w:rsid w:val="00291D09"/>
    <w:rsid w:val="00291F04"/>
    <w:rsid w:val="00292917"/>
    <w:rsid w:val="00293688"/>
    <w:rsid w:val="00293A6B"/>
    <w:rsid w:val="00294239"/>
    <w:rsid w:val="0029423C"/>
    <w:rsid w:val="00294E8D"/>
    <w:rsid w:val="00294EF7"/>
    <w:rsid w:val="002954E0"/>
    <w:rsid w:val="0029581C"/>
    <w:rsid w:val="00296A03"/>
    <w:rsid w:val="00297B71"/>
    <w:rsid w:val="002A236E"/>
    <w:rsid w:val="002A2453"/>
    <w:rsid w:val="002A2CA3"/>
    <w:rsid w:val="002A351C"/>
    <w:rsid w:val="002A3E00"/>
    <w:rsid w:val="002A4355"/>
    <w:rsid w:val="002A442F"/>
    <w:rsid w:val="002A5037"/>
    <w:rsid w:val="002A6111"/>
    <w:rsid w:val="002A66BD"/>
    <w:rsid w:val="002A7813"/>
    <w:rsid w:val="002A7DAF"/>
    <w:rsid w:val="002B024F"/>
    <w:rsid w:val="002B0D40"/>
    <w:rsid w:val="002B1130"/>
    <w:rsid w:val="002B15F0"/>
    <w:rsid w:val="002B2040"/>
    <w:rsid w:val="002B2539"/>
    <w:rsid w:val="002B342D"/>
    <w:rsid w:val="002B36D3"/>
    <w:rsid w:val="002B3745"/>
    <w:rsid w:val="002B4027"/>
    <w:rsid w:val="002B4483"/>
    <w:rsid w:val="002B48FA"/>
    <w:rsid w:val="002B501C"/>
    <w:rsid w:val="002B55E6"/>
    <w:rsid w:val="002B58AD"/>
    <w:rsid w:val="002B5B37"/>
    <w:rsid w:val="002B64E7"/>
    <w:rsid w:val="002B6BD1"/>
    <w:rsid w:val="002B76B0"/>
    <w:rsid w:val="002C01BA"/>
    <w:rsid w:val="002C2BC7"/>
    <w:rsid w:val="002C37BB"/>
    <w:rsid w:val="002C3AFB"/>
    <w:rsid w:val="002C3C4A"/>
    <w:rsid w:val="002C4338"/>
    <w:rsid w:val="002C437F"/>
    <w:rsid w:val="002C4A66"/>
    <w:rsid w:val="002C4DF4"/>
    <w:rsid w:val="002C5096"/>
    <w:rsid w:val="002C51F8"/>
    <w:rsid w:val="002C64DC"/>
    <w:rsid w:val="002C756C"/>
    <w:rsid w:val="002C7A1E"/>
    <w:rsid w:val="002D1E33"/>
    <w:rsid w:val="002D25E1"/>
    <w:rsid w:val="002D273E"/>
    <w:rsid w:val="002D2D71"/>
    <w:rsid w:val="002D2E4C"/>
    <w:rsid w:val="002D3954"/>
    <w:rsid w:val="002D630D"/>
    <w:rsid w:val="002D643E"/>
    <w:rsid w:val="002D68DE"/>
    <w:rsid w:val="002D6C55"/>
    <w:rsid w:val="002D703E"/>
    <w:rsid w:val="002D747F"/>
    <w:rsid w:val="002E05E0"/>
    <w:rsid w:val="002E06C6"/>
    <w:rsid w:val="002E1443"/>
    <w:rsid w:val="002E29EA"/>
    <w:rsid w:val="002E2A17"/>
    <w:rsid w:val="002E30FA"/>
    <w:rsid w:val="002E3531"/>
    <w:rsid w:val="002E3E3A"/>
    <w:rsid w:val="002E4986"/>
    <w:rsid w:val="002E4B50"/>
    <w:rsid w:val="002E4C2B"/>
    <w:rsid w:val="002E52F8"/>
    <w:rsid w:val="002E5ABA"/>
    <w:rsid w:val="002E6A18"/>
    <w:rsid w:val="002F0C6D"/>
    <w:rsid w:val="002F2B00"/>
    <w:rsid w:val="002F3C81"/>
    <w:rsid w:val="002F4338"/>
    <w:rsid w:val="002F4C10"/>
    <w:rsid w:val="002F56D9"/>
    <w:rsid w:val="002F5928"/>
    <w:rsid w:val="002F5D46"/>
    <w:rsid w:val="002F6388"/>
    <w:rsid w:val="002F704B"/>
    <w:rsid w:val="002F745E"/>
    <w:rsid w:val="002F7E15"/>
    <w:rsid w:val="003005BF"/>
    <w:rsid w:val="003012BE"/>
    <w:rsid w:val="00301B7F"/>
    <w:rsid w:val="003023D1"/>
    <w:rsid w:val="0030341C"/>
    <w:rsid w:val="00303706"/>
    <w:rsid w:val="00304CC1"/>
    <w:rsid w:val="00304CC9"/>
    <w:rsid w:val="00305C5A"/>
    <w:rsid w:val="00305E78"/>
    <w:rsid w:val="00306BC3"/>
    <w:rsid w:val="003071C3"/>
    <w:rsid w:val="0030733C"/>
    <w:rsid w:val="00307DFA"/>
    <w:rsid w:val="00310016"/>
    <w:rsid w:val="003104BA"/>
    <w:rsid w:val="00310818"/>
    <w:rsid w:val="00310A44"/>
    <w:rsid w:val="003114FB"/>
    <w:rsid w:val="00311712"/>
    <w:rsid w:val="003126C6"/>
    <w:rsid w:val="00312DA7"/>
    <w:rsid w:val="00313541"/>
    <w:rsid w:val="003136B2"/>
    <w:rsid w:val="003140AA"/>
    <w:rsid w:val="003143C2"/>
    <w:rsid w:val="00315286"/>
    <w:rsid w:val="0031576F"/>
    <w:rsid w:val="00316116"/>
    <w:rsid w:val="003163BE"/>
    <w:rsid w:val="003166FA"/>
    <w:rsid w:val="00317DF8"/>
    <w:rsid w:val="003201C9"/>
    <w:rsid w:val="00320295"/>
    <w:rsid w:val="003206E7"/>
    <w:rsid w:val="00320E9B"/>
    <w:rsid w:val="003226DC"/>
    <w:rsid w:val="00322C77"/>
    <w:rsid w:val="003231AF"/>
    <w:rsid w:val="00323BE4"/>
    <w:rsid w:val="00323BF0"/>
    <w:rsid w:val="00323FE7"/>
    <w:rsid w:val="00324883"/>
    <w:rsid w:val="00324B84"/>
    <w:rsid w:val="00324E4D"/>
    <w:rsid w:val="003254AB"/>
    <w:rsid w:val="00326283"/>
    <w:rsid w:val="0032746B"/>
    <w:rsid w:val="0032769C"/>
    <w:rsid w:val="00327B72"/>
    <w:rsid w:val="003302EC"/>
    <w:rsid w:val="00330EAF"/>
    <w:rsid w:val="003314E3"/>
    <w:rsid w:val="00331C90"/>
    <w:rsid w:val="003320DB"/>
    <w:rsid w:val="00332ACE"/>
    <w:rsid w:val="00333941"/>
    <w:rsid w:val="00333AE0"/>
    <w:rsid w:val="00333F2B"/>
    <w:rsid w:val="00334308"/>
    <w:rsid w:val="0033486B"/>
    <w:rsid w:val="0033571A"/>
    <w:rsid w:val="0033574C"/>
    <w:rsid w:val="003357CF"/>
    <w:rsid w:val="00336553"/>
    <w:rsid w:val="0033675C"/>
    <w:rsid w:val="00337A54"/>
    <w:rsid w:val="00337B24"/>
    <w:rsid w:val="00337BE2"/>
    <w:rsid w:val="003406FC"/>
    <w:rsid w:val="00341E53"/>
    <w:rsid w:val="0034228B"/>
    <w:rsid w:val="00342F2F"/>
    <w:rsid w:val="003435A5"/>
    <w:rsid w:val="00343E8A"/>
    <w:rsid w:val="00343FA4"/>
    <w:rsid w:val="00346520"/>
    <w:rsid w:val="00346A55"/>
    <w:rsid w:val="003470EE"/>
    <w:rsid w:val="00347A30"/>
    <w:rsid w:val="00347A5A"/>
    <w:rsid w:val="00350DED"/>
    <w:rsid w:val="00352524"/>
    <w:rsid w:val="003525C3"/>
    <w:rsid w:val="00353C0E"/>
    <w:rsid w:val="00354D42"/>
    <w:rsid w:val="003551A1"/>
    <w:rsid w:val="00355D27"/>
    <w:rsid w:val="0035610E"/>
    <w:rsid w:val="00356139"/>
    <w:rsid w:val="0035679C"/>
    <w:rsid w:val="00356825"/>
    <w:rsid w:val="00357451"/>
    <w:rsid w:val="0035795A"/>
    <w:rsid w:val="0036062A"/>
    <w:rsid w:val="0036244A"/>
    <w:rsid w:val="0036283F"/>
    <w:rsid w:val="00363BC8"/>
    <w:rsid w:val="0036401B"/>
    <w:rsid w:val="00364C21"/>
    <w:rsid w:val="00364FF4"/>
    <w:rsid w:val="00366679"/>
    <w:rsid w:val="00366EE1"/>
    <w:rsid w:val="003677BD"/>
    <w:rsid w:val="00367A10"/>
    <w:rsid w:val="00370647"/>
    <w:rsid w:val="00370A97"/>
    <w:rsid w:val="0037166B"/>
    <w:rsid w:val="00371872"/>
    <w:rsid w:val="00371CAC"/>
    <w:rsid w:val="00372C6B"/>
    <w:rsid w:val="003730EA"/>
    <w:rsid w:val="003739A2"/>
    <w:rsid w:val="003741AC"/>
    <w:rsid w:val="0037472F"/>
    <w:rsid w:val="00375F17"/>
    <w:rsid w:val="00376EB7"/>
    <w:rsid w:val="0037741B"/>
    <w:rsid w:val="0037755C"/>
    <w:rsid w:val="00377A64"/>
    <w:rsid w:val="003801A7"/>
    <w:rsid w:val="003804E4"/>
    <w:rsid w:val="00380501"/>
    <w:rsid w:val="003805B7"/>
    <w:rsid w:val="00380602"/>
    <w:rsid w:val="00380A72"/>
    <w:rsid w:val="00381CA6"/>
    <w:rsid w:val="0038241F"/>
    <w:rsid w:val="003825C6"/>
    <w:rsid w:val="003836A0"/>
    <w:rsid w:val="0038373F"/>
    <w:rsid w:val="00383845"/>
    <w:rsid w:val="00385419"/>
    <w:rsid w:val="0038564D"/>
    <w:rsid w:val="003875AA"/>
    <w:rsid w:val="003877BB"/>
    <w:rsid w:val="0038782E"/>
    <w:rsid w:val="00387F82"/>
    <w:rsid w:val="00390A84"/>
    <w:rsid w:val="00391D0D"/>
    <w:rsid w:val="00391FE2"/>
    <w:rsid w:val="0039218A"/>
    <w:rsid w:val="00392495"/>
    <w:rsid w:val="00393E6F"/>
    <w:rsid w:val="00393EFC"/>
    <w:rsid w:val="00394896"/>
    <w:rsid w:val="003956BE"/>
    <w:rsid w:val="00397905"/>
    <w:rsid w:val="003A09BF"/>
    <w:rsid w:val="003A0C37"/>
    <w:rsid w:val="003A1660"/>
    <w:rsid w:val="003A24BA"/>
    <w:rsid w:val="003A2CC3"/>
    <w:rsid w:val="003A4CD4"/>
    <w:rsid w:val="003A5334"/>
    <w:rsid w:val="003A5AF1"/>
    <w:rsid w:val="003A7F49"/>
    <w:rsid w:val="003B0176"/>
    <w:rsid w:val="003B06CF"/>
    <w:rsid w:val="003B146C"/>
    <w:rsid w:val="003B1518"/>
    <w:rsid w:val="003B163C"/>
    <w:rsid w:val="003B1B5C"/>
    <w:rsid w:val="003B21C2"/>
    <w:rsid w:val="003B2B44"/>
    <w:rsid w:val="003B33F4"/>
    <w:rsid w:val="003B3629"/>
    <w:rsid w:val="003B46CA"/>
    <w:rsid w:val="003B4AA9"/>
    <w:rsid w:val="003B6D2C"/>
    <w:rsid w:val="003B6DC4"/>
    <w:rsid w:val="003C0333"/>
    <w:rsid w:val="003C0CD1"/>
    <w:rsid w:val="003C117B"/>
    <w:rsid w:val="003C2151"/>
    <w:rsid w:val="003C3BA5"/>
    <w:rsid w:val="003C3EFB"/>
    <w:rsid w:val="003C517D"/>
    <w:rsid w:val="003C56D8"/>
    <w:rsid w:val="003C5941"/>
    <w:rsid w:val="003C5F6B"/>
    <w:rsid w:val="003C60E5"/>
    <w:rsid w:val="003C72B6"/>
    <w:rsid w:val="003C73B6"/>
    <w:rsid w:val="003D0672"/>
    <w:rsid w:val="003D1B42"/>
    <w:rsid w:val="003D1B96"/>
    <w:rsid w:val="003D2069"/>
    <w:rsid w:val="003D24D6"/>
    <w:rsid w:val="003D2504"/>
    <w:rsid w:val="003D25FD"/>
    <w:rsid w:val="003D2819"/>
    <w:rsid w:val="003D2970"/>
    <w:rsid w:val="003D5B93"/>
    <w:rsid w:val="003D6B9B"/>
    <w:rsid w:val="003D6DE9"/>
    <w:rsid w:val="003D73E6"/>
    <w:rsid w:val="003D7945"/>
    <w:rsid w:val="003D7D19"/>
    <w:rsid w:val="003E06A6"/>
    <w:rsid w:val="003E0CAE"/>
    <w:rsid w:val="003E0DBE"/>
    <w:rsid w:val="003E1BD7"/>
    <w:rsid w:val="003E1FF2"/>
    <w:rsid w:val="003E23DC"/>
    <w:rsid w:val="003E2C8D"/>
    <w:rsid w:val="003E3BCD"/>
    <w:rsid w:val="003E4500"/>
    <w:rsid w:val="003E4BD3"/>
    <w:rsid w:val="003E5F34"/>
    <w:rsid w:val="003E6124"/>
    <w:rsid w:val="003E6594"/>
    <w:rsid w:val="003F0508"/>
    <w:rsid w:val="003F0C5B"/>
    <w:rsid w:val="003F0F9D"/>
    <w:rsid w:val="003F139E"/>
    <w:rsid w:val="003F13D6"/>
    <w:rsid w:val="003F1724"/>
    <w:rsid w:val="003F1C46"/>
    <w:rsid w:val="003F33C9"/>
    <w:rsid w:val="003F3417"/>
    <w:rsid w:val="003F357D"/>
    <w:rsid w:val="003F3CA3"/>
    <w:rsid w:val="003F3CF1"/>
    <w:rsid w:val="003F4804"/>
    <w:rsid w:val="003F6184"/>
    <w:rsid w:val="003F724D"/>
    <w:rsid w:val="003F791A"/>
    <w:rsid w:val="00400610"/>
    <w:rsid w:val="0040099D"/>
    <w:rsid w:val="004018CD"/>
    <w:rsid w:val="004019B8"/>
    <w:rsid w:val="00401A33"/>
    <w:rsid w:val="00401D33"/>
    <w:rsid w:val="0040217B"/>
    <w:rsid w:val="004023DC"/>
    <w:rsid w:val="00402C8D"/>
    <w:rsid w:val="00403291"/>
    <w:rsid w:val="00403CD7"/>
    <w:rsid w:val="0040419E"/>
    <w:rsid w:val="004046B9"/>
    <w:rsid w:val="00404A4D"/>
    <w:rsid w:val="00405193"/>
    <w:rsid w:val="0040524C"/>
    <w:rsid w:val="00406CF9"/>
    <w:rsid w:val="0040747C"/>
    <w:rsid w:val="004109FB"/>
    <w:rsid w:val="00410A9F"/>
    <w:rsid w:val="004113BC"/>
    <w:rsid w:val="004115A0"/>
    <w:rsid w:val="004119EB"/>
    <w:rsid w:val="0041289F"/>
    <w:rsid w:val="004131C2"/>
    <w:rsid w:val="0041332F"/>
    <w:rsid w:val="004138A9"/>
    <w:rsid w:val="00413F59"/>
    <w:rsid w:val="004167BD"/>
    <w:rsid w:val="004206B9"/>
    <w:rsid w:val="00420971"/>
    <w:rsid w:val="00421E82"/>
    <w:rsid w:val="00422119"/>
    <w:rsid w:val="00422449"/>
    <w:rsid w:val="00423CDF"/>
    <w:rsid w:val="0042410D"/>
    <w:rsid w:val="00425CCC"/>
    <w:rsid w:val="0042618B"/>
    <w:rsid w:val="0042674D"/>
    <w:rsid w:val="0042696A"/>
    <w:rsid w:val="00426BC0"/>
    <w:rsid w:val="00426C19"/>
    <w:rsid w:val="00426DD7"/>
    <w:rsid w:val="0042779C"/>
    <w:rsid w:val="004278E2"/>
    <w:rsid w:val="00427943"/>
    <w:rsid w:val="00427B5E"/>
    <w:rsid w:val="00427EC0"/>
    <w:rsid w:val="0043008A"/>
    <w:rsid w:val="00430247"/>
    <w:rsid w:val="00430550"/>
    <w:rsid w:val="00431048"/>
    <w:rsid w:val="0043107A"/>
    <w:rsid w:val="0043129A"/>
    <w:rsid w:val="004317A8"/>
    <w:rsid w:val="00431D94"/>
    <w:rsid w:val="00433F11"/>
    <w:rsid w:val="004341DC"/>
    <w:rsid w:val="00434776"/>
    <w:rsid w:val="004352E6"/>
    <w:rsid w:val="00435588"/>
    <w:rsid w:val="004358FB"/>
    <w:rsid w:val="00436B8E"/>
    <w:rsid w:val="00437384"/>
    <w:rsid w:val="00440788"/>
    <w:rsid w:val="00440AA4"/>
    <w:rsid w:val="00441933"/>
    <w:rsid w:val="00441FEE"/>
    <w:rsid w:val="00442C5F"/>
    <w:rsid w:val="00443A18"/>
    <w:rsid w:val="00443F42"/>
    <w:rsid w:val="0044417C"/>
    <w:rsid w:val="0044452A"/>
    <w:rsid w:val="00444FB6"/>
    <w:rsid w:val="004461E7"/>
    <w:rsid w:val="00446D23"/>
    <w:rsid w:val="00446E82"/>
    <w:rsid w:val="00447BC4"/>
    <w:rsid w:val="00450BC0"/>
    <w:rsid w:val="00451E53"/>
    <w:rsid w:val="00452DB2"/>
    <w:rsid w:val="00453471"/>
    <w:rsid w:val="00453519"/>
    <w:rsid w:val="00453BA0"/>
    <w:rsid w:val="004547B5"/>
    <w:rsid w:val="00455048"/>
    <w:rsid w:val="004553C2"/>
    <w:rsid w:val="00455600"/>
    <w:rsid w:val="00455CB3"/>
    <w:rsid w:val="00455E8B"/>
    <w:rsid w:val="00456657"/>
    <w:rsid w:val="00460358"/>
    <w:rsid w:val="004622DA"/>
    <w:rsid w:val="00463077"/>
    <w:rsid w:val="004633CF"/>
    <w:rsid w:val="00464353"/>
    <w:rsid w:val="004644AC"/>
    <w:rsid w:val="00464BD8"/>
    <w:rsid w:val="004652D4"/>
    <w:rsid w:val="00466C4D"/>
    <w:rsid w:val="004672EA"/>
    <w:rsid w:val="00467BA5"/>
    <w:rsid w:val="00467BEC"/>
    <w:rsid w:val="00470DA6"/>
    <w:rsid w:val="004717E9"/>
    <w:rsid w:val="004724BF"/>
    <w:rsid w:val="00472FE4"/>
    <w:rsid w:val="00473D36"/>
    <w:rsid w:val="00473FB7"/>
    <w:rsid w:val="00474DA8"/>
    <w:rsid w:val="00475AE5"/>
    <w:rsid w:val="00475B33"/>
    <w:rsid w:val="00476403"/>
    <w:rsid w:val="00476BE2"/>
    <w:rsid w:val="00477B0C"/>
    <w:rsid w:val="00477BAB"/>
    <w:rsid w:val="00477F35"/>
    <w:rsid w:val="00477F74"/>
    <w:rsid w:val="0048111C"/>
    <w:rsid w:val="00482199"/>
    <w:rsid w:val="00482735"/>
    <w:rsid w:val="00483621"/>
    <w:rsid w:val="004837EB"/>
    <w:rsid w:val="00484131"/>
    <w:rsid w:val="00484E58"/>
    <w:rsid w:val="00486227"/>
    <w:rsid w:val="004869A0"/>
    <w:rsid w:val="00487B5B"/>
    <w:rsid w:val="0049208A"/>
    <w:rsid w:val="004924C5"/>
    <w:rsid w:val="00492E90"/>
    <w:rsid w:val="0049316C"/>
    <w:rsid w:val="00493467"/>
    <w:rsid w:val="00494136"/>
    <w:rsid w:val="00494645"/>
    <w:rsid w:val="00494BC5"/>
    <w:rsid w:val="004956A8"/>
    <w:rsid w:val="00495B1F"/>
    <w:rsid w:val="00495C91"/>
    <w:rsid w:val="00496B04"/>
    <w:rsid w:val="00496F20"/>
    <w:rsid w:val="004970E4"/>
    <w:rsid w:val="004978D2"/>
    <w:rsid w:val="004A07C4"/>
    <w:rsid w:val="004A0865"/>
    <w:rsid w:val="004A0888"/>
    <w:rsid w:val="004A20C3"/>
    <w:rsid w:val="004A21D1"/>
    <w:rsid w:val="004A3CE4"/>
    <w:rsid w:val="004A5103"/>
    <w:rsid w:val="004A5B95"/>
    <w:rsid w:val="004A5DEF"/>
    <w:rsid w:val="004A65F2"/>
    <w:rsid w:val="004A68D5"/>
    <w:rsid w:val="004A7002"/>
    <w:rsid w:val="004A72C1"/>
    <w:rsid w:val="004B0AD6"/>
    <w:rsid w:val="004B0B9B"/>
    <w:rsid w:val="004B129D"/>
    <w:rsid w:val="004B140B"/>
    <w:rsid w:val="004B2B57"/>
    <w:rsid w:val="004B376A"/>
    <w:rsid w:val="004B3E85"/>
    <w:rsid w:val="004B479B"/>
    <w:rsid w:val="004B4C90"/>
    <w:rsid w:val="004B5171"/>
    <w:rsid w:val="004B51FA"/>
    <w:rsid w:val="004B55C3"/>
    <w:rsid w:val="004B5790"/>
    <w:rsid w:val="004B5D87"/>
    <w:rsid w:val="004B6A36"/>
    <w:rsid w:val="004B6A7F"/>
    <w:rsid w:val="004B7752"/>
    <w:rsid w:val="004B7A09"/>
    <w:rsid w:val="004B7EB6"/>
    <w:rsid w:val="004B7FB0"/>
    <w:rsid w:val="004C09BE"/>
    <w:rsid w:val="004C1238"/>
    <w:rsid w:val="004C1683"/>
    <w:rsid w:val="004C3031"/>
    <w:rsid w:val="004C3680"/>
    <w:rsid w:val="004C3A75"/>
    <w:rsid w:val="004C4287"/>
    <w:rsid w:val="004C4704"/>
    <w:rsid w:val="004C4A3A"/>
    <w:rsid w:val="004C4F7F"/>
    <w:rsid w:val="004C5261"/>
    <w:rsid w:val="004C582C"/>
    <w:rsid w:val="004C593C"/>
    <w:rsid w:val="004C6241"/>
    <w:rsid w:val="004C6B78"/>
    <w:rsid w:val="004C7343"/>
    <w:rsid w:val="004C75C5"/>
    <w:rsid w:val="004D001C"/>
    <w:rsid w:val="004D045B"/>
    <w:rsid w:val="004D1029"/>
    <w:rsid w:val="004D1243"/>
    <w:rsid w:val="004D142A"/>
    <w:rsid w:val="004D1ACA"/>
    <w:rsid w:val="004D1EBA"/>
    <w:rsid w:val="004D1F50"/>
    <w:rsid w:val="004D20B8"/>
    <w:rsid w:val="004D2845"/>
    <w:rsid w:val="004D344B"/>
    <w:rsid w:val="004D490F"/>
    <w:rsid w:val="004D4B58"/>
    <w:rsid w:val="004D510C"/>
    <w:rsid w:val="004D54F6"/>
    <w:rsid w:val="004D59AB"/>
    <w:rsid w:val="004D5A60"/>
    <w:rsid w:val="004D610A"/>
    <w:rsid w:val="004D620A"/>
    <w:rsid w:val="004D68BE"/>
    <w:rsid w:val="004D7E58"/>
    <w:rsid w:val="004E009A"/>
    <w:rsid w:val="004E0139"/>
    <w:rsid w:val="004E0309"/>
    <w:rsid w:val="004E056A"/>
    <w:rsid w:val="004E0D83"/>
    <w:rsid w:val="004E0E69"/>
    <w:rsid w:val="004E1623"/>
    <w:rsid w:val="004E1F14"/>
    <w:rsid w:val="004E2E01"/>
    <w:rsid w:val="004E31FB"/>
    <w:rsid w:val="004E4030"/>
    <w:rsid w:val="004E470B"/>
    <w:rsid w:val="004E47F4"/>
    <w:rsid w:val="004E4D55"/>
    <w:rsid w:val="004E5D17"/>
    <w:rsid w:val="004E6753"/>
    <w:rsid w:val="004E74EB"/>
    <w:rsid w:val="004E76F4"/>
    <w:rsid w:val="004F0EB8"/>
    <w:rsid w:val="004F1302"/>
    <w:rsid w:val="004F32D2"/>
    <w:rsid w:val="004F334E"/>
    <w:rsid w:val="004F37CE"/>
    <w:rsid w:val="004F413C"/>
    <w:rsid w:val="004F48F4"/>
    <w:rsid w:val="004F5743"/>
    <w:rsid w:val="004F5DB2"/>
    <w:rsid w:val="004F6377"/>
    <w:rsid w:val="004F63AC"/>
    <w:rsid w:val="005002BF"/>
    <w:rsid w:val="0050223A"/>
    <w:rsid w:val="00502CE5"/>
    <w:rsid w:val="00502D34"/>
    <w:rsid w:val="00502FB4"/>
    <w:rsid w:val="005033C5"/>
    <w:rsid w:val="00503A1D"/>
    <w:rsid w:val="0050484E"/>
    <w:rsid w:val="005048E8"/>
    <w:rsid w:val="00504EF9"/>
    <w:rsid w:val="005057AE"/>
    <w:rsid w:val="00505818"/>
    <w:rsid w:val="00506C6F"/>
    <w:rsid w:val="005076DF"/>
    <w:rsid w:val="00507E96"/>
    <w:rsid w:val="00507FCD"/>
    <w:rsid w:val="00511732"/>
    <w:rsid w:val="00511EF8"/>
    <w:rsid w:val="00512600"/>
    <w:rsid w:val="005128DA"/>
    <w:rsid w:val="00512FC3"/>
    <w:rsid w:val="00513084"/>
    <w:rsid w:val="005131B2"/>
    <w:rsid w:val="00513412"/>
    <w:rsid w:val="00514827"/>
    <w:rsid w:val="00515040"/>
    <w:rsid w:val="005150F0"/>
    <w:rsid w:val="00515933"/>
    <w:rsid w:val="00516DF4"/>
    <w:rsid w:val="00517EDE"/>
    <w:rsid w:val="00521221"/>
    <w:rsid w:val="00522CA2"/>
    <w:rsid w:val="00522E77"/>
    <w:rsid w:val="0052426D"/>
    <w:rsid w:val="00524F50"/>
    <w:rsid w:val="005252BE"/>
    <w:rsid w:val="00525D36"/>
    <w:rsid w:val="0052685C"/>
    <w:rsid w:val="00526A7D"/>
    <w:rsid w:val="00526C85"/>
    <w:rsid w:val="00526E92"/>
    <w:rsid w:val="0052743E"/>
    <w:rsid w:val="00527EE4"/>
    <w:rsid w:val="005302A9"/>
    <w:rsid w:val="005321E1"/>
    <w:rsid w:val="00532F03"/>
    <w:rsid w:val="00533989"/>
    <w:rsid w:val="005347BD"/>
    <w:rsid w:val="00534DDF"/>
    <w:rsid w:val="00535458"/>
    <w:rsid w:val="00535B4B"/>
    <w:rsid w:val="00536A98"/>
    <w:rsid w:val="00537DC4"/>
    <w:rsid w:val="00540ACE"/>
    <w:rsid w:val="00540B01"/>
    <w:rsid w:val="00541B64"/>
    <w:rsid w:val="00541E8D"/>
    <w:rsid w:val="005423DB"/>
    <w:rsid w:val="0054277F"/>
    <w:rsid w:val="00542869"/>
    <w:rsid w:val="005429E2"/>
    <w:rsid w:val="00543703"/>
    <w:rsid w:val="00543CA4"/>
    <w:rsid w:val="00544472"/>
    <w:rsid w:val="00544B9B"/>
    <w:rsid w:val="005451B0"/>
    <w:rsid w:val="0054595C"/>
    <w:rsid w:val="005459E8"/>
    <w:rsid w:val="00545AA6"/>
    <w:rsid w:val="00546B70"/>
    <w:rsid w:val="005477AF"/>
    <w:rsid w:val="00547802"/>
    <w:rsid w:val="00547BBF"/>
    <w:rsid w:val="005507D0"/>
    <w:rsid w:val="005511D6"/>
    <w:rsid w:val="00552708"/>
    <w:rsid w:val="00552B74"/>
    <w:rsid w:val="00552DD4"/>
    <w:rsid w:val="005536E3"/>
    <w:rsid w:val="00553D2F"/>
    <w:rsid w:val="005555DC"/>
    <w:rsid w:val="00555B66"/>
    <w:rsid w:val="00555D08"/>
    <w:rsid w:val="00556E14"/>
    <w:rsid w:val="005571A8"/>
    <w:rsid w:val="0055737F"/>
    <w:rsid w:val="00557384"/>
    <w:rsid w:val="00557617"/>
    <w:rsid w:val="00560715"/>
    <w:rsid w:val="00561944"/>
    <w:rsid w:val="0056229C"/>
    <w:rsid w:val="005630CF"/>
    <w:rsid w:val="00563332"/>
    <w:rsid w:val="00565200"/>
    <w:rsid w:val="00570AFD"/>
    <w:rsid w:val="00570E37"/>
    <w:rsid w:val="00571884"/>
    <w:rsid w:val="00571D4C"/>
    <w:rsid w:val="005723C3"/>
    <w:rsid w:val="005729EA"/>
    <w:rsid w:val="00573493"/>
    <w:rsid w:val="005742AC"/>
    <w:rsid w:val="00574860"/>
    <w:rsid w:val="0057512D"/>
    <w:rsid w:val="00575448"/>
    <w:rsid w:val="00576020"/>
    <w:rsid w:val="00577BE2"/>
    <w:rsid w:val="00577D9E"/>
    <w:rsid w:val="00580FED"/>
    <w:rsid w:val="0058184F"/>
    <w:rsid w:val="00582496"/>
    <w:rsid w:val="0058284D"/>
    <w:rsid w:val="00583196"/>
    <w:rsid w:val="00584553"/>
    <w:rsid w:val="00584B43"/>
    <w:rsid w:val="00585C92"/>
    <w:rsid w:val="00590031"/>
    <w:rsid w:val="005918EF"/>
    <w:rsid w:val="00592212"/>
    <w:rsid w:val="0059241E"/>
    <w:rsid w:val="00592833"/>
    <w:rsid w:val="00592BAC"/>
    <w:rsid w:val="00592BC0"/>
    <w:rsid w:val="00592BEC"/>
    <w:rsid w:val="00593967"/>
    <w:rsid w:val="00593E69"/>
    <w:rsid w:val="005948E0"/>
    <w:rsid w:val="00594CC0"/>
    <w:rsid w:val="005954A6"/>
    <w:rsid w:val="0059581C"/>
    <w:rsid w:val="00596684"/>
    <w:rsid w:val="00596738"/>
    <w:rsid w:val="005A0333"/>
    <w:rsid w:val="005A0C4E"/>
    <w:rsid w:val="005A0EB0"/>
    <w:rsid w:val="005A16E5"/>
    <w:rsid w:val="005A1A9A"/>
    <w:rsid w:val="005A2E38"/>
    <w:rsid w:val="005A329D"/>
    <w:rsid w:val="005A4215"/>
    <w:rsid w:val="005A48EE"/>
    <w:rsid w:val="005A4F14"/>
    <w:rsid w:val="005A5B75"/>
    <w:rsid w:val="005A5D0B"/>
    <w:rsid w:val="005A7B7D"/>
    <w:rsid w:val="005B039A"/>
    <w:rsid w:val="005B05F6"/>
    <w:rsid w:val="005B08F5"/>
    <w:rsid w:val="005B0DA4"/>
    <w:rsid w:val="005B318C"/>
    <w:rsid w:val="005B4179"/>
    <w:rsid w:val="005B46C3"/>
    <w:rsid w:val="005B4817"/>
    <w:rsid w:val="005B48B8"/>
    <w:rsid w:val="005B5190"/>
    <w:rsid w:val="005B605F"/>
    <w:rsid w:val="005B7508"/>
    <w:rsid w:val="005C031B"/>
    <w:rsid w:val="005C0519"/>
    <w:rsid w:val="005C079A"/>
    <w:rsid w:val="005C0E93"/>
    <w:rsid w:val="005C1579"/>
    <w:rsid w:val="005C1FEA"/>
    <w:rsid w:val="005C2A2A"/>
    <w:rsid w:val="005C2BF2"/>
    <w:rsid w:val="005C2C16"/>
    <w:rsid w:val="005C3470"/>
    <w:rsid w:val="005C36B5"/>
    <w:rsid w:val="005C391F"/>
    <w:rsid w:val="005C3955"/>
    <w:rsid w:val="005C4112"/>
    <w:rsid w:val="005C462D"/>
    <w:rsid w:val="005C468F"/>
    <w:rsid w:val="005C4A08"/>
    <w:rsid w:val="005C63F8"/>
    <w:rsid w:val="005C6DEC"/>
    <w:rsid w:val="005C6EB9"/>
    <w:rsid w:val="005D08D0"/>
    <w:rsid w:val="005D11EA"/>
    <w:rsid w:val="005D20AC"/>
    <w:rsid w:val="005D255B"/>
    <w:rsid w:val="005D2D9A"/>
    <w:rsid w:val="005D2EDD"/>
    <w:rsid w:val="005D3060"/>
    <w:rsid w:val="005D32F3"/>
    <w:rsid w:val="005D335B"/>
    <w:rsid w:val="005D37BB"/>
    <w:rsid w:val="005D37C7"/>
    <w:rsid w:val="005D4CFA"/>
    <w:rsid w:val="005D538B"/>
    <w:rsid w:val="005D53A4"/>
    <w:rsid w:val="005D5C4B"/>
    <w:rsid w:val="005D5E8E"/>
    <w:rsid w:val="005D6664"/>
    <w:rsid w:val="005D6714"/>
    <w:rsid w:val="005E1632"/>
    <w:rsid w:val="005E1867"/>
    <w:rsid w:val="005E1B42"/>
    <w:rsid w:val="005E1FB0"/>
    <w:rsid w:val="005E22FC"/>
    <w:rsid w:val="005E28A3"/>
    <w:rsid w:val="005E2976"/>
    <w:rsid w:val="005E2ED1"/>
    <w:rsid w:val="005E30C5"/>
    <w:rsid w:val="005E334C"/>
    <w:rsid w:val="005E3C7D"/>
    <w:rsid w:val="005E3D78"/>
    <w:rsid w:val="005E3F4A"/>
    <w:rsid w:val="005E4BCB"/>
    <w:rsid w:val="005E4EF7"/>
    <w:rsid w:val="005E5F54"/>
    <w:rsid w:val="005E6043"/>
    <w:rsid w:val="005E6586"/>
    <w:rsid w:val="005E680B"/>
    <w:rsid w:val="005E683C"/>
    <w:rsid w:val="005F077F"/>
    <w:rsid w:val="005F0A79"/>
    <w:rsid w:val="005F1071"/>
    <w:rsid w:val="005F1081"/>
    <w:rsid w:val="005F1A69"/>
    <w:rsid w:val="005F250A"/>
    <w:rsid w:val="005F2991"/>
    <w:rsid w:val="005F2DEA"/>
    <w:rsid w:val="005F3677"/>
    <w:rsid w:val="005F3CFA"/>
    <w:rsid w:val="005F58F7"/>
    <w:rsid w:val="005F5FD4"/>
    <w:rsid w:val="005F65DE"/>
    <w:rsid w:val="005F71B2"/>
    <w:rsid w:val="005F764C"/>
    <w:rsid w:val="005F7779"/>
    <w:rsid w:val="005F7A1A"/>
    <w:rsid w:val="005F7D97"/>
    <w:rsid w:val="006008A7"/>
    <w:rsid w:val="00600CCA"/>
    <w:rsid w:val="00601375"/>
    <w:rsid w:val="00601E1A"/>
    <w:rsid w:val="0060233A"/>
    <w:rsid w:val="006030CE"/>
    <w:rsid w:val="006033D8"/>
    <w:rsid w:val="00603D6D"/>
    <w:rsid w:val="00603DA5"/>
    <w:rsid w:val="006041A0"/>
    <w:rsid w:val="00604864"/>
    <w:rsid w:val="00605196"/>
    <w:rsid w:val="00605CF1"/>
    <w:rsid w:val="0060611D"/>
    <w:rsid w:val="006062C8"/>
    <w:rsid w:val="00606693"/>
    <w:rsid w:val="00606952"/>
    <w:rsid w:val="00606DF8"/>
    <w:rsid w:val="006079E2"/>
    <w:rsid w:val="00607D8C"/>
    <w:rsid w:val="00607DFC"/>
    <w:rsid w:val="00607ED9"/>
    <w:rsid w:val="00607F04"/>
    <w:rsid w:val="00607F0A"/>
    <w:rsid w:val="00610264"/>
    <w:rsid w:val="0061077E"/>
    <w:rsid w:val="006108B3"/>
    <w:rsid w:val="006109DF"/>
    <w:rsid w:val="00611DBB"/>
    <w:rsid w:val="00612166"/>
    <w:rsid w:val="00612493"/>
    <w:rsid w:val="006134C6"/>
    <w:rsid w:val="00613835"/>
    <w:rsid w:val="00613881"/>
    <w:rsid w:val="0061549C"/>
    <w:rsid w:val="006166FC"/>
    <w:rsid w:val="00617636"/>
    <w:rsid w:val="00617D72"/>
    <w:rsid w:val="0062086D"/>
    <w:rsid w:val="00620F2B"/>
    <w:rsid w:val="006213DE"/>
    <w:rsid w:val="00621704"/>
    <w:rsid w:val="006229F6"/>
    <w:rsid w:val="00622D1E"/>
    <w:rsid w:val="00622DF5"/>
    <w:rsid w:val="006240D2"/>
    <w:rsid w:val="00624C65"/>
    <w:rsid w:val="00624D3D"/>
    <w:rsid w:val="00624EA8"/>
    <w:rsid w:val="00625901"/>
    <w:rsid w:val="006272F2"/>
    <w:rsid w:val="00630AB7"/>
    <w:rsid w:val="00630B5D"/>
    <w:rsid w:val="00631FCF"/>
    <w:rsid w:val="00632416"/>
    <w:rsid w:val="006325B4"/>
    <w:rsid w:val="00632759"/>
    <w:rsid w:val="006328F9"/>
    <w:rsid w:val="00632B23"/>
    <w:rsid w:val="00632F4C"/>
    <w:rsid w:val="00632FF0"/>
    <w:rsid w:val="00633A54"/>
    <w:rsid w:val="00633B09"/>
    <w:rsid w:val="00633EA3"/>
    <w:rsid w:val="00634284"/>
    <w:rsid w:val="00634E48"/>
    <w:rsid w:val="00635FD9"/>
    <w:rsid w:val="006363CE"/>
    <w:rsid w:val="006370C8"/>
    <w:rsid w:val="006379F4"/>
    <w:rsid w:val="00637CAD"/>
    <w:rsid w:val="00637EE8"/>
    <w:rsid w:val="00640456"/>
    <w:rsid w:val="006437A6"/>
    <w:rsid w:val="00643B41"/>
    <w:rsid w:val="00644AC6"/>
    <w:rsid w:val="00644DB1"/>
    <w:rsid w:val="00645951"/>
    <w:rsid w:val="00645AD7"/>
    <w:rsid w:val="00647770"/>
    <w:rsid w:val="00647EBC"/>
    <w:rsid w:val="006502D1"/>
    <w:rsid w:val="0065090B"/>
    <w:rsid w:val="00651ABF"/>
    <w:rsid w:val="0065216B"/>
    <w:rsid w:val="00652298"/>
    <w:rsid w:val="0065299A"/>
    <w:rsid w:val="006529A2"/>
    <w:rsid w:val="00653333"/>
    <w:rsid w:val="00653364"/>
    <w:rsid w:val="0065366C"/>
    <w:rsid w:val="00653AE4"/>
    <w:rsid w:val="00653D1C"/>
    <w:rsid w:val="006545C0"/>
    <w:rsid w:val="006545ED"/>
    <w:rsid w:val="00654EA5"/>
    <w:rsid w:val="0065502B"/>
    <w:rsid w:val="00655664"/>
    <w:rsid w:val="0065597C"/>
    <w:rsid w:val="00656208"/>
    <w:rsid w:val="0065623E"/>
    <w:rsid w:val="006565E4"/>
    <w:rsid w:val="006565E7"/>
    <w:rsid w:val="006571C5"/>
    <w:rsid w:val="006576D1"/>
    <w:rsid w:val="0066058E"/>
    <w:rsid w:val="00660C96"/>
    <w:rsid w:val="00662299"/>
    <w:rsid w:val="006623C1"/>
    <w:rsid w:val="00662A07"/>
    <w:rsid w:val="00662B12"/>
    <w:rsid w:val="00662B24"/>
    <w:rsid w:val="00663A26"/>
    <w:rsid w:val="0066537E"/>
    <w:rsid w:val="006654CF"/>
    <w:rsid w:val="006670B4"/>
    <w:rsid w:val="00667150"/>
    <w:rsid w:val="0066732C"/>
    <w:rsid w:val="00667376"/>
    <w:rsid w:val="00667408"/>
    <w:rsid w:val="00667F5C"/>
    <w:rsid w:val="00670444"/>
    <w:rsid w:val="0067196A"/>
    <w:rsid w:val="00672728"/>
    <w:rsid w:val="00676138"/>
    <w:rsid w:val="00676E1F"/>
    <w:rsid w:val="006779AC"/>
    <w:rsid w:val="00677FD7"/>
    <w:rsid w:val="006804F3"/>
    <w:rsid w:val="006807F5"/>
    <w:rsid w:val="00680B6E"/>
    <w:rsid w:val="00681155"/>
    <w:rsid w:val="00681B7B"/>
    <w:rsid w:val="00681DBC"/>
    <w:rsid w:val="00681FF5"/>
    <w:rsid w:val="00681FF6"/>
    <w:rsid w:val="006822C7"/>
    <w:rsid w:val="0068241D"/>
    <w:rsid w:val="00682D75"/>
    <w:rsid w:val="00682E32"/>
    <w:rsid w:val="00683226"/>
    <w:rsid w:val="006833E9"/>
    <w:rsid w:val="0068380B"/>
    <w:rsid w:val="00683903"/>
    <w:rsid w:val="00683D53"/>
    <w:rsid w:val="00683DB3"/>
    <w:rsid w:val="00684B02"/>
    <w:rsid w:val="006851DA"/>
    <w:rsid w:val="00685390"/>
    <w:rsid w:val="006866BF"/>
    <w:rsid w:val="0068674A"/>
    <w:rsid w:val="00686ADD"/>
    <w:rsid w:val="00686D78"/>
    <w:rsid w:val="0069031F"/>
    <w:rsid w:val="00691636"/>
    <w:rsid w:val="006922CE"/>
    <w:rsid w:val="006937DB"/>
    <w:rsid w:val="006956E4"/>
    <w:rsid w:val="006964DE"/>
    <w:rsid w:val="00697DE5"/>
    <w:rsid w:val="006A0829"/>
    <w:rsid w:val="006A0F64"/>
    <w:rsid w:val="006A1047"/>
    <w:rsid w:val="006A1185"/>
    <w:rsid w:val="006A13B7"/>
    <w:rsid w:val="006A169C"/>
    <w:rsid w:val="006A17B5"/>
    <w:rsid w:val="006A251C"/>
    <w:rsid w:val="006A2B1A"/>
    <w:rsid w:val="006A2BDF"/>
    <w:rsid w:val="006A37D6"/>
    <w:rsid w:val="006A3A29"/>
    <w:rsid w:val="006A4046"/>
    <w:rsid w:val="006A47EA"/>
    <w:rsid w:val="006A5379"/>
    <w:rsid w:val="006A56B2"/>
    <w:rsid w:val="006A5996"/>
    <w:rsid w:val="006A5E19"/>
    <w:rsid w:val="006A762C"/>
    <w:rsid w:val="006B07C5"/>
    <w:rsid w:val="006B097E"/>
    <w:rsid w:val="006B0CDD"/>
    <w:rsid w:val="006B0DAA"/>
    <w:rsid w:val="006B12CC"/>
    <w:rsid w:val="006B2CC2"/>
    <w:rsid w:val="006B462E"/>
    <w:rsid w:val="006B4AE2"/>
    <w:rsid w:val="006B536E"/>
    <w:rsid w:val="006B53C8"/>
    <w:rsid w:val="006B594F"/>
    <w:rsid w:val="006B5B61"/>
    <w:rsid w:val="006B5D31"/>
    <w:rsid w:val="006B5D55"/>
    <w:rsid w:val="006B6040"/>
    <w:rsid w:val="006B60C8"/>
    <w:rsid w:val="006B683F"/>
    <w:rsid w:val="006B6D34"/>
    <w:rsid w:val="006B70F9"/>
    <w:rsid w:val="006B760D"/>
    <w:rsid w:val="006C073F"/>
    <w:rsid w:val="006C1945"/>
    <w:rsid w:val="006C1A18"/>
    <w:rsid w:val="006C2B06"/>
    <w:rsid w:val="006C3AD0"/>
    <w:rsid w:val="006C3C5F"/>
    <w:rsid w:val="006C401F"/>
    <w:rsid w:val="006C461D"/>
    <w:rsid w:val="006C462C"/>
    <w:rsid w:val="006C46E7"/>
    <w:rsid w:val="006C6033"/>
    <w:rsid w:val="006C67FF"/>
    <w:rsid w:val="006C68C7"/>
    <w:rsid w:val="006C7210"/>
    <w:rsid w:val="006C7E4C"/>
    <w:rsid w:val="006D076E"/>
    <w:rsid w:val="006D2131"/>
    <w:rsid w:val="006D23F5"/>
    <w:rsid w:val="006D262F"/>
    <w:rsid w:val="006D270B"/>
    <w:rsid w:val="006D3E55"/>
    <w:rsid w:val="006D4036"/>
    <w:rsid w:val="006D4CE4"/>
    <w:rsid w:val="006D5454"/>
    <w:rsid w:val="006D5EF0"/>
    <w:rsid w:val="006D63E1"/>
    <w:rsid w:val="006D6687"/>
    <w:rsid w:val="006D6896"/>
    <w:rsid w:val="006D6E6C"/>
    <w:rsid w:val="006D7E41"/>
    <w:rsid w:val="006E022B"/>
    <w:rsid w:val="006E0B19"/>
    <w:rsid w:val="006E1087"/>
    <w:rsid w:val="006E1158"/>
    <w:rsid w:val="006E1FFA"/>
    <w:rsid w:val="006E24D5"/>
    <w:rsid w:val="006E300B"/>
    <w:rsid w:val="006E3035"/>
    <w:rsid w:val="006E3AF1"/>
    <w:rsid w:val="006E4B90"/>
    <w:rsid w:val="006E5357"/>
    <w:rsid w:val="006E5564"/>
    <w:rsid w:val="006E62E7"/>
    <w:rsid w:val="006F131B"/>
    <w:rsid w:val="006F1ABA"/>
    <w:rsid w:val="006F2E02"/>
    <w:rsid w:val="006F3F45"/>
    <w:rsid w:val="006F5185"/>
    <w:rsid w:val="006F5597"/>
    <w:rsid w:val="006F5F1E"/>
    <w:rsid w:val="006F635A"/>
    <w:rsid w:val="006F684D"/>
    <w:rsid w:val="00700DAA"/>
    <w:rsid w:val="007021E7"/>
    <w:rsid w:val="00702A1E"/>
    <w:rsid w:val="00702CE8"/>
    <w:rsid w:val="00703CB6"/>
    <w:rsid w:val="0070423D"/>
    <w:rsid w:val="007042AB"/>
    <w:rsid w:val="007042B8"/>
    <w:rsid w:val="0070613C"/>
    <w:rsid w:val="00706AD0"/>
    <w:rsid w:val="007070E1"/>
    <w:rsid w:val="007076E3"/>
    <w:rsid w:val="007079AA"/>
    <w:rsid w:val="0071020D"/>
    <w:rsid w:val="007106E8"/>
    <w:rsid w:val="00710CEA"/>
    <w:rsid w:val="007114F8"/>
    <w:rsid w:val="00711B35"/>
    <w:rsid w:val="00711C85"/>
    <w:rsid w:val="00711F19"/>
    <w:rsid w:val="007123E1"/>
    <w:rsid w:val="00712861"/>
    <w:rsid w:val="00713C58"/>
    <w:rsid w:val="00713D1C"/>
    <w:rsid w:val="00714CC3"/>
    <w:rsid w:val="00714D84"/>
    <w:rsid w:val="007151CC"/>
    <w:rsid w:val="00715B3F"/>
    <w:rsid w:val="007169E9"/>
    <w:rsid w:val="00717A49"/>
    <w:rsid w:val="007218DC"/>
    <w:rsid w:val="00721B4B"/>
    <w:rsid w:val="00722941"/>
    <w:rsid w:val="007233E7"/>
    <w:rsid w:val="007242E8"/>
    <w:rsid w:val="00724895"/>
    <w:rsid w:val="00724B00"/>
    <w:rsid w:val="00725158"/>
    <w:rsid w:val="00726509"/>
    <w:rsid w:val="00726DAA"/>
    <w:rsid w:val="00727ED5"/>
    <w:rsid w:val="007321E1"/>
    <w:rsid w:val="007321E9"/>
    <w:rsid w:val="007325B7"/>
    <w:rsid w:val="00732D55"/>
    <w:rsid w:val="0073300C"/>
    <w:rsid w:val="00733284"/>
    <w:rsid w:val="0073336D"/>
    <w:rsid w:val="007336E2"/>
    <w:rsid w:val="00733E86"/>
    <w:rsid w:val="00736686"/>
    <w:rsid w:val="0073684D"/>
    <w:rsid w:val="0073690A"/>
    <w:rsid w:val="00736AD9"/>
    <w:rsid w:val="00736CA1"/>
    <w:rsid w:val="00740A17"/>
    <w:rsid w:val="00741304"/>
    <w:rsid w:val="00741917"/>
    <w:rsid w:val="00742970"/>
    <w:rsid w:val="00742F84"/>
    <w:rsid w:val="00743831"/>
    <w:rsid w:val="00743993"/>
    <w:rsid w:val="00744BA8"/>
    <w:rsid w:val="0074506F"/>
    <w:rsid w:val="00745091"/>
    <w:rsid w:val="00745B7D"/>
    <w:rsid w:val="00745DF2"/>
    <w:rsid w:val="00747CD4"/>
    <w:rsid w:val="00751FD5"/>
    <w:rsid w:val="00752027"/>
    <w:rsid w:val="00752D99"/>
    <w:rsid w:val="00753B1D"/>
    <w:rsid w:val="00753BFE"/>
    <w:rsid w:val="00753C87"/>
    <w:rsid w:val="007540A7"/>
    <w:rsid w:val="00755627"/>
    <w:rsid w:val="00755D53"/>
    <w:rsid w:val="00757702"/>
    <w:rsid w:val="00757AA0"/>
    <w:rsid w:val="007600FA"/>
    <w:rsid w:val="007608DE"/>
    <w:rsid w:val="0076109C"/>
    <w:rsid w:val="00761200"/>
    <w:rsid w:val="00761524"/>
    <w:rsid w:val="00761A7C"/>
    <w:rsid w:val="00761DC4"/>
    <w:rsid w:val="00762749"/>
    <w:rsid w:val="00763B98"/>
    <w:rsid w:val="007641AD"/>
    <w:rsid w:val="007649C4"/>
    <w:rsid w:val="00765CEA"/>
    <w:rsid w:val="00765E41"/>
    <w:rsid w:val="00767A7E"/>
    <w:rsid w:val="00767B8A"/>
    <w:rsid w:val="00767D76"/>
    <w:rsid w:val="007701FB"/>
    <w:rsid w:val="00770F35"/>
    <w:rsid w:val="00772EB4"/>
    <w:rsid w:val="00773412"/>
    <w:rsid w:val="00773962"/>
    <w:rsid w:val="007743B8"/>
    <w:rsid w:val="00775546"/>
    <w:rsid w:val="00775879"/>
    <w:rsid w:val="00775F98"/>
    <w:rsid w:val="007767C0"/>
    <w:rsid w:val="00776C1A"/>
    <w:rsid w:val="00776E10"/>
    <w:rsid w:val="0077705D"/>
    <w:rsid w:val="00777E80"/>
    <w:rsid w:val="00780676"/>
    <w:rsid w:val="00780921"/>
    <w:rsid w:val="0078140E"/>
    <w:rsid w:val="007815BC"/>
    <w:rsid w:val="00781D6D"/>
    <w:rsid w:val="007823BB"/>
    <w:rsid w:val="00782828"/>
    <w:rsid w:val="00783A5F"/>
    <w:rsid w:val="0078437D"/>
    <w:rsid w:val="007845BD"/>
    <w:rsid w:val="0078569B"/>
    <w:rsid w:val="007861E9"/>
    <w:rsid w:val="007864F1"/>
    <w:rsid w:val="0078794A"/>
    <w:rsid w:val="00787B87"/>
    <w:rsid w:val="00787D08"/>
    <w:rsid w:val="00787F5A"/>
    <w:rsid w:val="00790978"/>
    <w:rsid w:val="00791840"/>
    <w:rsid w:val="00791EB1"/>
    <w:rsid w:val="00792326"/>
    <w:rsid w:val="0079278F"/>
    <w:rsid w:val="00792D1F"/>
    <w:rsid w:val="00793052"/>
    <w:rsid w:val="00793C28"/>
    <w:rsid w:val="00793D50"/>
    <w:rsid w:val="00795F40"/>
    <w:rsid w:val="0079658A"/>
    <w:rsid w:val="0079688A"/>
    <w:rsid w:val="0079752C"/>
    <w:rsid w:val="00797611"/>
    <w:rsid w:val="00797777"/>
    <w:rsid w:val="007A05F9"/>
    <w:rsid w:val="007A0BC9"/>
    <w:rsid w:val="007A12F1"/>
    <w:rsid w:val="007A17D2"/>
    <w:rsid w:val="007A1C57"/>
    <w:rsid w:val="007A233D"/>
    <w:rsid w:val="007A2375"/>
    <w:rsid w:val="007A336D"/>
    <w:rsid w:val="007A3FA0"/>
    <w:rsid w:val="007A4D68"/>
    <w:rsid w:val="007A52C7"/>
    <w:rsid w:val="007A54FF"/>
    <w:rsid w:val="007A5A72"/>
    <w:rsid w:val="007A5C03"/>
    <w:rsid w:val="007A623D"/>
    <w:rsid w:val="007A66C7"/>
    <w:rsid w:val="007A7BC7"/>
    <w:rsid w:val="007B00F9"/>
    <w:rsid w:val="007B124E"/>
    <w:rsid w:val="007B1FC7"/>
    <w:rsid w:val="007B2282"/>
    <w:rsid w:val="007B2D1B"/>
    <w:rsid w:val="007B2D72"/>
    <w:rsid w:val="007B3A84"/>
    <w:rsid w:val="007B3CC7"/>
    <w:rsid w:val="007B414F"/>
    <w:rsid w:val="007B5D61"/>
    <w:rsid w:val="007B5DEF"/>
    <w:rsid w:val="007B67BB"/>
    <w:rsid w:val="007B6DDF"/>
    <w:rsid w:val="007B70F9"/>
    <w:rsid w:val="007B78BB"/>
    <w:rsid w:val="007B79DA"/>
    <w:rsid w:val="007C0844"/>
    <w:rsid w:val="007C0EFC"/>
    <w:rsid w:val="007C181A"/>
    <w:rsid w:val="007C18B5"/>
    <w:rsid w:val="007C1A3E"/>
    <w:rsid w:val="007C27D0"/>
    <w:rsid w:val="007C2B0B"/>
    <w:rsid w:val="007C2E1B"/>
    <w:rsid w:val="007C3CBA"/>
    <w:rsid w:val="007C4ABE"/>
    <w:rsid w:val="007C5326"/>
    <w:rsid w:val="007C56F6"/>
    <w:rsid w:val="007C57AF"/>
    <w:rsid w:val="007C5B09"/>
    <w:rsid w:val="007C642E"/>
    <w:rsid w:val="007C6763"/>
    <w:rsid w:val="007C789F"/>
    <w:rsid w:val="007D040E"/>
    <w:rsid w:val="007D0CB9"/>
    <w:rsid w:val="007D12B6"/>
    <w:rsid w:val="007D1420"/>
    <w:rsid w:val="007D1795"/>
    <w:rsid w:val="007D17BF"/>
    <w:rsid w:val="007D2B33"/>
    <w:rsid w:val="007D2CE0"/>
    <w:rsid w:val="007D4098"/>
    <w:rsid w:val="007D42B6"/>
    <w:rsid w:val="007D4E33"/>
    <w:rsid w:val="007D5718"/>
    <w:rsid w:val="007D5F99"/>
    <w:rsid w:val="007D6645"/>
    <w:rsid w:val="007D6AB3"/>
    <w:rsid w:val="007D6D0B"/>
    <w:rsid w:val="007D7356"/>
    <w:rsid w:val="007D78AA"/>
    <w:rsid w:val="007E1BA2"/>
    <w:rsid w:val="007E1F77"/>
    <w:rsid w:val="007E24E3"/>
    <w:rsid w:val="007E26DD"/>
    <w:rsid w:val="007E2A64"/>
    <w:rsid w:val="007E2B61"/>
    <w:rsid w:val="007E2BB2"/>
    <w:rsid w:val="007E3357"/>
    <w:rsid w:val="007E4767"/>
    <w:rsid w:val="007E4AEC"/>
    <w:rsid w:val="007E4EA9"/>
    <w:rsid w:val="007E5696"/>
    <w:rsid w:val="007E5833"/>
    <w:rsid w:val="007E5DF1"/>
    <w:rsid w:val="007E619C"/>
    <w:rsid w:val="007E65EF"/>
    <w:rsid w:val="007E6AF1"/>
    <w:rsid w:val="007E6C88"/>
    <w:rsid w:val="007E76D9"/>
    <w:rsid w:val="007E773B"/>
    <w:rsid w:val="007F1F2A"/>
    <w:rsid w:val="007F26CB"/>
    <w:rsid w:val="007F2ED1"/>
    <w:rsid w:val="007F392F"/>
    <w:rsid w:val="007F3A08"/>
    <w:rsid w:val="007F410D"/>
    <w:rsid w:val="007F523A"/>
    <w:rsid w:val="007F52FD"/>
    <w:rsid w:val="007F62E9"/>
    <w:rsid w:val="007F658F"/>
    <w:rsid w:val="007F672E"/>
    <w:rsid w:val="007F6A84"/>
    <w:rsid w:val="00801197"/>
    <w:rsid w:val="008039A0"/>
    <w:rsid w:val="00803AFE"/>
    <w:rsid w:val="00803E8E"/>
    <w:rsid w:val="008049DF"/>
    <w:rsid w:val="00805042"/>
    <w:rsid w:val="00806DFC"/>
    <w:rsid w:val="00807345"/>
    <w:rsid w:val="008079FC"/>
    <w:rsid w:val="008108BD"/>
    <w:rsid w:val="00810D26"/>
    <w:rsid w:val="00810D29"/>
    <w:rsid w:val="0081141B"/>
    <w:rsid w:val="00811F71"/>
    <w:rsid w:val="00812901"/>
    <w:rsid w:val="00812C9E"/>
    <w:rsid w:val="00812F3B"/>
    <w:rsid w:val="00812F77"/>
    <w:rsid w:val="00813108"/>
    <w:rsid w:val="00813BAC"/>
    <w:rsid w:val="00813BD6"/>
    <w:rsid w:val="00813E96"/>
    <w:rsid w:val="008146D4"/>
    <w:rsid w:val="008156D3"/>
    <w:rsid w:val="008168B7"/>
    <w:rsid w:val="00816A38"/>
    <w:rsid w:val="00817C12"/>
    <w:rsid w:val="00820900"/>
    <w:rsid w:val="00820AB0"/>
    <w:rsid w:val="0082148A"/>
    <w:rsid w:val="00821B8B"/>
    <w:rsid w:val="00821E55"/>
    <w:rsid w:val="00822914"/>
    <w:rsid w:val="00822FFC"/>
    <w:rsid w:val="008230CA"/>
    <w:rsid w:val="00823356"/>
    <w:rsid w:val="00823491"/>
    <w:rsid w:val="00824051"/>
    <w:rsid w:val="00825973"/>
    <w:rsid w:val="008265D8"/>
    <w:rsid w:val="00826884"/>
    <w:rsid w:val="00826D57"/>
    <w:rsid w:val="00827001"/>
    <w:rsid w:val="00827204"/>
    <w:rsid w:val="00827235"/>
    <w:rsid w:val="008278D1"/>
    <w:rsid w:val="00830701"/>
    <w:rsid w:val="00831231"/>
    <w:rsid w:val="00832E36"/>
    <w:rsid w:val="008331C3"/>
    <w:rsid w:val="00833C2A"/>
    <w:rsid w:val="00833CC8"/>
    <w:rsid w:val="00833D61"/>
    <w:rsid w:val="00834732"/>
    <w:rsid w:val="00834B00"/>
    <w:rsid w:val="008355F7"/>
    <w:rsid w:val="00835B5A"/>
    <w:rsid w:val="008367E2"/>
    <w:rsid w:val="00837048"/>
    <w:rsid w:val="00840077"/>
    <w:rsid w:val="008407F8"/>
    <w:rsid w:val="00841891"/>
    <w:rsid w:val="00841918"/>
    <w:rsid w:val="00842135"/>
    <w:rsid w:val="00843D20"/>
    <w:rsid w:val="0084501C"/>
    <w:rsid w:val="00845149"/>
    <w:rsid w:val="008463B6"/>
    <w:rsid w:val="00846488"/>
    <w:rsid w:val="008465A1"/>
    <w:rsid w:val="00846CC9"/>
    <w:rsid w:val="00846DA4"/>
    <w:rsid w:val="00847710"/>
    <w:rsid w:val="0085007F"/>
    <w:rsid w:val="00850ABF"/>
    <w:rsid w:val="00851243"/>
    <w:rsid w:val="0085137B"/>
    <w:rsid w:val="00851402"/>
    <w:rsid w:val="00851458"/>
    <w:rsid w:val="0085238C"/>
    <w:rsid w:val="008523D8"/>
    <w:rsid w:val="00853DA3"/>
    <w:rsid w:val="00853F12"/>
    <w:rsid w:val="00854698"/>
    <w:rsid w:val="008548F1"/>
    <w:rsid w:val="008549EA"/>
    <w:rsid w:val="00854C6D"/>
    <w:rsid w:val="00855047"/>
    <w:rsid w:val="00856BA7"/>
    <w:rsid w:val="00857EFE"/>
    <w:rsid w:val="00860177"/>
    <w:rsid w:val="008603A3"/>
    <w:rsid w:val="00861507"/>
    <w:rsid w:val="00861EC1"/>
    <w:rsid w:val="0086258C"/>
    <w:rsid w:val="008629AF"/>
    <w:rsid w:val="00862F26"/>
    <w:rsid w:val="00862F37"/>
    <w:rsid w:val="008630F4"/>
    <w:rsid w:val="008638F7"/>
    <w:rsid w:val="0086477B"/>
    <w:rsid w:val="00865058"/>
    <w:rsid w:val="00865EB2"/>
    <w:rsid w:val="0086718D"/>
    <w:rsid w:val="008707A5"/>
    <w:rsid w:val="00870A3B"/>
    <w:rsid w:val="00871B88"/>
    <w:rsid w:val="008724B8"/>
    <w:rsid w:val="008727E2"/>
    <w:rsid w:val="0087312D"/>
    <w:rsid w:val="00873B3D"/>
    <w:rsid w:val="00875074"/>
    <w:rsid w:val="008771BF"/>
    <w:rsid w:val="00880545"/>
    <w:rsid w:val="00880DC1"/>
    <w:rsid w:val="0088180E"/>
    <w:rsid w:val="00882F96"/>
    <w:rsid w:val="00883921"/>
    <w:rsid w:val="0088429E"/>
    <w:rsid w:val="0088544E"/>
    <w:rsid w:val="00886879"/>
    <w:rsid w:val="00886A9A"/>
    <w:rsid w:val="00886FB7"/>
    <w:rsid w:val="00887289"/>
    <w:rsid w:val="00887313"/>
    <w:rsid w:val="00887E0A"/>
    <w:rsid w:val="00890002"/>
    <w:rsid w:val="00890093"/>
    <w:rsid w:val="00890961"/>
    <w:rsid w:val="0089171E"/>
    <w:rsid w:val="00891832"/>
    <w:rsid w:val="0089189F"/>
    <w:rsid w:val="00891EA4"/>
    <w:rsid w:val="008924C4"/>
    <w:rsid w:val="00892B43"/>
    <w:rsid w:val="008931A3"/>
    <w:rsid w:val="0089372F"/>
    <w:rsid w:val="00895EE3"/>
    <w:rsid w:val="008A0017"/>
    <w:rsid w:val="008A00DF"/>
    <w:rsid w:val="008A0682"/>
    <w:rsid w:val="008A0E37"/>
    <w:rsid w:val="008A280B"/>
    <w:rsid w:val="008A2999"/>
    <w:rsid w:val="008A2E40"/>
    <w:rsid w:val="008A3C65"/>
    <w:rsid w:val="008A41C2"/>
    <w:rsid w:val="008A441A"/>
    <w:rsid w:val="008A57C4"/>
    <w:rsid w:val="008A5BBD"/>
    <w:rsid w:val="008A69AA"/>
    <w:rsid w:val="008A7127"/>
    <w:rsid w:val="008A7A9D"/>
    <w:rsid w:val="008B00E9"/>
    <w:rsid w:val="008B067D"/>
    <w:rsid w:val="008B08AA"/>
    <w:rsid w:val="008B0F8F"/>
    <w:rsid w:val="008B11BB"/>
    <w:rsid w:val="008B2424"/>
    <w:rsid w:val="008B2F87"/>
    <w:rsid w:val="008B30EC"/>
    <w:rsid w:val="008B4BDF"/>
    <w:rsid w:val="008B592D"/>
    <w:rsid w:val="008B5C1F"/>
    <w:rsid w:val="008B66C4"/>
    <w:rsid w:val="008B689A"/>
    <w:rsid w:val="008B7EA8"/>
    <w:rsid w:val="008C0517"/>
    <w:rsid w:val="008C20BA"/>
    <w:rsid w:val="008C2A48"/>
    <w:rsid w:val="008C2ABD"/>
    <w:rsid w:val="008C2D06"/>
    <w:rsid w:val="008C369D"/>
    <w:rsid w:val="008C3D4F"/>
    <w:rsid w:val="008C418F"/>
    <w:rsid w:val="008C49EF"/>
    <w:rsid w:val="008C4E0C"/>
    <w:rsid w:val="008C523E"/>
    <w:rsid w:val="008C5997"/>
    <w:rsid w:val="008C5D88"/>
    <w:rsid w:val="008C6BCD"/>
    <w:rsid w:val="008C7026"/>
    <w:rsid w:val="008D17BE"/>
    <w:rsid w:val="008D17BF"/>
    <w:rsid w:val="008D24E3"/>
    <w:rsid w:val="008D27DA"/>
    <w:rsid w:val="008D2D14"/>
    <w:rsid w:val="008D3F6D"/>
    <w:rsid w:val="008D3FB5"/>
    <w:rsid w:val="008D4345"/>
    <w:rsid w:val="008D45A2"/>
    <w:rsid w:val="008D4C07"/>
    <w:rsid w:val="008D5925"/>
    <w:rsid w:val="008D6006"/>
    <w:rsid w:val="008D6211"/>
    <w:rsid w:val="008D68F5"/>
    <w:rsid w:val="008E1A1F"/>
    <w:rsid w:val="008E374D"/>
    <w:rsid w:val="008E3857"/>
    <w:rsid w:val="008E49A4"/>
    <w:rsid w:val="008E5730"/>
    <w:rsid w:val="008E5EDC"/>
    <w:rsid w:val="008E62D4"/>
    <w:rsid w:val="008E6406"/>
    <w:rsid w:val="008E64F7"/>
    <w:rsid w:val="008E6745"/>
    <w:rsid w:val="008E71DC"/>
    <w:rsid w:val="008E7252"/>
    <w:rsid w:val="008E7421"/>
    <w:rsid w:val="008E7E1A"/>
    <w:rsid w:val="008F03DA"/>
    <w:rsid w:val="008F0BE6"/>
    <w:rsid w:val="008F1502"/>
    <w:rsid w:val="008F1508"/>
    <w:rsid w:val="008F215E"/>
    <w:rsid w:val="008F2839"/>
    <w:rsid w:val="008F31A8"/>
    <w:rsid w:val="008F3558"/>
    <w:rsid w:val="008F391A"/>
    <w:rsid w:val="008F4394"/>
    <w:rsid w:val="008F4619"/>
    <w:rsid w:val="008F5B22"/>
    <w:rsid w:val="008F5EAE"/>
    <w:rsid w:val="008F6433"/>
    <w:rsid w:val="008F66FF"/>
    <w:rsid w:val="008F6821"/>
    <w:rsid w:val="008F6972"/>
    <w:rsid w:val="008F6DE4"/>
    <w:rsid w:val="008F7052"/>
    <w:rsid w:val="008F76CF"/>
    <w:rsid w:val="008F79F7"/>
    <w:rsid w:val="00900545"/>
    <w:rsid w:val="00900613"/>
    <w:rsid w:val="009007B9"/>
    <w:rsid w:val="00900951"/>
    <w:rsid w:val="00900BE0"/>
    <w:rsid w:val="009016D5"/>
    <w:rsid w:val="00901A9F"/>
    <w:rsid w:val="00901D7E"/>
    <w:rsid w:val="00902013"/>
    <w:rsid w:val="00902333"/>
    <w:rsid w:val="00902668"/>
    <w:rsid w:val="00903283"/>
    <w:rsid w:val="00903853"/>
    <w:rsid w:val="009048A6"/>
    <w:rsid w:val="00904D11"/>
    <w:rsid w:val="009054AD"/>
    <w:rsid w:val="0090601E"/>
    <w:rsid w:val="00906F5B"/>
    <w:rsid w:val="00907D0B"/>
    <w:rsid w:val="00910443"/>
    <w:rsid w:val="00910EE6"/>
    <w:rsid w:val="0091204F"/>
    <w:rsid w:val="00912088"/>
    <w:rsid w:val="00912C0D"/>
    <w:rsid w:val="0091373C"/>
    <w:rsid w:val="009146BD"/>
    <w:rsid w:val="0091471E"/>
    <w:rsid w:val="00914832"/>
    <w:rsid w:val="00915043"/>
    <w:rsid w:val="009160CC"/>
    <w:rsid w:val="009166F6"/>
    <w:rsid w:val="00916BB8"/>
    <w:rsid w:val="00921B16"/>
    <w:rsid w:val="00921C55"/>
    <w:rsid w:val="00922111"/>
    <w:rsid w:val="0092305E"/>
    <w:rsid w:val="00923892"/>
    <w:rsid w:val="0092468B"/>
    <w:rsid w:val="00924AEC"/>
    <w:rsid w:val="0092509A"/>
    <w:rsid w:val="009267AC"/>
    <w:rsid w:val="009268C2"/>
    <w:rsid w:val="00926A2D"/>
    <w:rsid w:val="009270CF"/>
    <w:rsid w:val="009274E2"/>
    <w:rsid w:val="0093090B"/>
    <w:rsid w:val="009328FC"/>
    <w:rsid w:val="00932BC8"/>
    <w:rsid w:val="00932C76"/>
    <w:rsid w:val="00932FC7"/>
    <w:rsid w:val="009335F3"/>
    <w:rsid w:val="00934089"/>
    <w:rsid w:val="009348E7"/>
    <w:rsid w:val="00935126"/>
    <w:rsid w:val="00935650"/>
    <w:rsid w:val="0093588C"/>
    <w:rsid w:val="00935CB7"/>
    <w:rsid w:val="00935EE3"/>
    <w:rsid w:val="00937641"/>
    <w:rsid w:val="00937D3B"/>
    <w:rsid w:val="00940D29"/>
    <w:rsid w:val="009424F3"/>
    <w:rsid w:val="00942754"/>
    <w:rsid w:val="009427C6"/>
    <w:rsid w:val="00943450"/>
    <w:rsid w:val="00944414"/>
    <w:rsid w:val="00945071"/>
    <w:rsid w:val="009460BE"/>
    <w:rsid w:val="0094624B"/>
    <w:rsid w:val="0094626C"/>
    <w:rsid w:val="00946433"/>
    <w:rsid w:val="00946E21"/>
    <w:rsid w:val="0095083E"/>
    <w:rsid w:val="00950AC7"/>
    <w:rsid w:val="00950B5E"/>
    <w:rsid w:val="00950CD9"/>
    <w:rsid w:val="00951846"/>
    <w:rsid w:val="00951A97"/>
    <w:rsid w:val="00951ADD"/>
    <w:rsid w:val="00952214"/>
    <w:rsid w:val="009529E3"/>
    <w:rsid w:val="009529E6"/>
    <w:rsid w:val="009531C7"/>
    <w:rsid w:val="0095350A"/>
    <w:rsid w:val="0095378C"/>
    <w:rsid w:val="00953931"/>
    <w:rsid w:val="0095430E"/>
    <w:rsid w:val="00954CA6"/>
    <w:rsid w:val="009553C8"/>
    <w:rsid w:val="0095573B"/>
    <w:rsid w:val="00955BDE"/>
    <w:rsid w:val="00955D86"/>
    <w:rsid w:val="00955DCC"/>
    <w:rsid w:val="0095650E"/>
    <w:rsid w:val="009565FE"/>
    <w:rsid w:val="00956798"/>
    <w:rsid w:val="00956839"/>
    <w:rsid w:val="00956F1E"/>
    <w:rsid w:val="00957715"/>
    <w:rsid w:val="00957BCF"/>
    <w:rsid w:val="00957F87"/>
    <w:rsid w:val="00960034"/>
    <w:rsid w:val="00960045"/>
    <w:rsid w:val="00960B8C"/>
    <w:rsid w:val="00960DF3"/>
    <w:rsid w:val="00961A20"/>
    <w:rsid w:val="00962FD2"/>
    <w:rsid w:val="00964465"/>
    <w:rsid w:val="0096452D"/>
    <w:rsid w:val="00964BD6"/>
    <w:rsid w:val="00964E40"/>
    <w:rsid w:val="00965B23"/>
    <w:rsid w:val="0096627B"/>
    <w:rsid w:val="00967C8A"/>
    <w:rsid w:val="00970158"/>
    <w:rsid w:val="00971705"/>
    <w:rsid w:val="009719A5"/>
    <w:rsid w:val="00971CA2"/>
    <w:rsid w:val="00971F3A"/>
    <w:rsid w:val="00972391"/>
    <w:rsid w:val="009728FC"/>
    <w:rsid w:val="0097328C"/>
    <w:rsid w:val="009738D4"/>
    <w:rsid w:val="00974101"/>
    <w:rsid w:val="00974358"/>
    <w:rsid w:val="00974794"/>
    <w:rsid w:val="00974974"/>
    <w:rsid w:val="009749EF"/>
    <w:rsid w:val="00974F00"/>
    <w:rsid w:val="009765A5"/>
    <w:rsid w:val="00980C47"/>
    <w:rsid w:val="00980E83"/>
    <w:rsid w:val="009815C5"/>
    <w:rsid w:val="009824BD"/>
    <w:rsid w:val="00982B3C"/>
    <w:rsid w:val="009832CC"/>
    <w:rsid w:val="00983A53"/>
    <w:rsid w:val="00984F32"/>
    <w:rsid w:val="00984FF6"/>
    <w:rsid w:val="00985267"/>
    <w:rsid w:val="00985FC9"/>
    <w:rsid w:val="00985FD1"/>
    <w:rsid w:val="009868AE"/>
    <w:rsid w:val="00986CBA"/>
    <w:rsid w:val="00986D4A"/>
    <w:rsid w:val="00990068"/>
    <w:rsid w:val="00990362"/>
    <w:rsid w:val="00990524"/>
    <w:rsid w:val="009910E1"/>
    <w:rsid w:val="00992055"/>
    <w:rsid w:val="00992242"/>
    <w:rsid w:val="00992C9F"/>
    <w:rsid w:val="00992F1A"/>
    <w:rsid w:val="00993086"/>
    <w:rsid w:val="0099326E"/>
    <w:rsid w:val="0099353C"/>
    <w:rsid w:val="00993659"/>
    <w:rsid w:val="009940BF"/>
    <w:rsid w:val="0099415D"/>
    <w:rsid w:val="0099514E"/>
    <w:rsid w:val="0099534D"/>
    <w:rsid w:val="009954BF"/>
    <w:rsid w:val="009977C7"/>
    <w:rsid w:val="00997D2C"/>
    <w:rsid w:val="009A090F"/>
    <w:rsid w:val="009A0C5E"/>
    <w:rsid w:val="009A2716"/>
    <w:rsid w:val="009A3B35"/>
    <w:rsid w:val="009A3EF6"/>
    <w:rsid w:val="009A43E6"/>
    <w:rsid w:val="009A4C2D"/>
    <w:rsid w:val="009A51B0"/>
    <w:rsid w:val="009A5526"/>
    <w:rsid w:val="009A5D85"/>
    <w:rsid w:val="009A5E63"/>
    <w:rsid w:val="009A5F3F"/>
    <w:rsid w:val="009A62D2"/>
    <w:rsid w:val="009A662B"/>
    <w:rsid w:val="009A6A2B"/>
    <w:rsid w:val="009A6F23"/>
    <w:rsid w:val="009B0D1D"/>
    <w:rsid w:val="009B0D80"/>
    <w:rsid w:val="009B193F"/>
    <w:rsid w:val="009B1C41"/>
    <w:rsid w:val="009B201B"/>
    <w:rsid w:val="009B20D0"/>
    <w:rsid w:val="009B3166"/>
    <w:rsid w:val="009B4BBD"/>
    <w:rsid w:val="009B4C16"/>
    <w:rsid w:val="009B4DEB"/>
    <w:rsid w:val="009B53CB"/>
    <w:rsid w:val="009B6C00"/>
    <w:rsid w:val="009B6E32"/>
    <w:rsid w:val="009B6F2E"/>
    <w:rsid w:val="009C012D"/>
    <w:rsid w:val="009C10D1"/>
    <w:rsid w:val="009C282B"/>
    <w:rsid w:val="009C36DA"/>
    <w:rsid w:val="009C3EB7"/>
    <w:rsid w:val="009C40B1"/>
    <w:rsid w:val="009C4B66"/>
    <w:rsid w:val="009C545B"/>
    <w:rsid w:val="009C5E39"/>
    <w:rsid w:val="009C736B"/>
    <w:rsid w:val="009C769D"/>
    <w:rsid w:val="009D10FE"/>
    <w:rsid w:val="009D17CE"/>
    <w:rsid w:val="009D2021"/>
    <w:rsid w:val="009D216F"/>
    <w:rsid w:val="009D26EB"/>
    <w:rsid w:val="009D2B9F"/>
    <w:rsid w:val="009D3A3F"/>
    <w:rsid w:val="009D3BE6"/>
    <w:rsid w:val="009D3E10"/>
    <w:rsid w:val="009D750D"/>
    <w:rsid w:val="009D78A8"/>
    <w:rsid w:val="009E0050"/>
    <w:rsid w:val="009E031B"/>
    <w:rsid w:val="009E109E"/>
    <w:rsid w:val="009E1575"/>
    <w:rsid w:val="009E1FDB"/>
    <w:rsid w:val="009E2BE1"/>
    <w:rsid w:val="009E3A1D"/>
    <w:rsid w:val="009E4C98"/>
    <w:rsid w:val="009E6390"/>
    <w:rsid w:val="009E66AD"/>
    <w:rsid w:val="009E66EF"/>
    <w:rsid w:val="009E6C30"/>
    <w:rsid w:val="009E7D7B"/>
    <w:rsid w:val="009E7DCD"/>
    <w:rsid w:val="009F003B"/>
    <w:rsid w:val="009F059C"/>
    <w:rsid w:val="009F080E"/>
    <w:rsid w:val="009F0CA6"/>
    <w:rsid w:val="009F0CEF"/>
    <w:rsid w:val="009F1C10"/>
    <w:rsid w:val="009F3011"/>
    <w:rsid w:val="009F350E"/>
    <w:rsid w:val="009F3712"/>
    <w:rsid w:val="009F3B7B"/>
    <w:rsid w:val="009F462A"/>
    <w:rsid w:val="00A00655"/>
    <w:rsid w:val="00A00827"/>
    <w:rsid w:val="00A00E52"/>
    <w:rsid w:val="00A0142C"/>
    <w:rsid w:val="00A016E0"/>
    <w:rsid w:val="00A01C4F"/>
    <w:rsid w:val="00A01E3E"/>
    <w:rsid w:val="00A01E9D"/>
    <w:rsid w:val="00A020C2"/>
    <w:rsid w:val="00A023B1"/>
    <w:rsid w:val="00A02D3F"/>
    <w:rsid w:val="00A0494D"/>
    <w:rsid w:val="00A0553D"/>
    <w:rsid w:val="00A056F9"/>
    <w:rsid w:val="00A05C19"/>
    <w:rsid w:val="00A05C69"/>
    <w:rsid w:val="00A07737"/>
    <w:rsid w:val="00A07774"/>
    <w:rsid w:val="00A07829"/>
    <w:rsid w:val="00A105A9"/>
    <w:rsid w:val="00A106EE"/>
    <w:rsid w:val="00A11AF7"/>
    <w:rsid w:val="00A1288B"/>
    <w:rsid w:val="00A12ADA"/>
    <w:rsid w:val="00A13071"/>
    <w:rsid w:val="00A13426"/>
    <w:rsid w:val="00A134D4"/>
    <w:rsid w:val="00A138D3"/>
    <w:rsid w:val="00A13A51"/>
    <w:rsid w:val="00A1575C"/>
    <w:rsid w:val="00A1598D"/>
    <w:rsid w:val="00A15D12"/>
    <w:rsid w:val="00A17EEC"/>
    <w:rsid w:val="00A20AFD"/>
    <w:rsid w:val="00A210D7"/>
    <w:rsid w:val="00A2162A"/>
    <w:rsid w:val="00A2173B"/>
    <w:rsid w:val="00A21D66"/>
    <w:rsid w:val="00A21EFB"/>
    <w:rsid w:val="00A222A3"/>
    <w:rsid w:val="00A22B70"/>
    <w:rsid w:val="00A23321"/>
    <w:rsid w:val="00A233E9"/>
    <w:rsid w:val="00A238BA"/>
    <w:rsid w:val="00A24C7A"/>
    <w:rsid w:val="00A25232"/>
    <w:rsid w:val="00A25248"/>
    <w:rsid w:val="00A26047"/>
    <w:rsid w:val="00A26C46"/>
    <w:rsid w:val="00A26CA3"/>
    <w:rsid w:val="00A275F5"/>
    <w:rsid w:val="00A30451"/>
    <w:rsid w:val="00A30DC6"/>
    <w:rsid w:val="00A320D4"/>
    <w:rsid w:val="00A3319E"/>
    <w:rsid w:val="00A33AD1"/>
    <w:rsid w:val="00A33DE9"/>
    <w:rsid w:val="00A34EE8"/>
    <w:rsid w:val="00A35EC1"/>
    <w:rsid w:val="00A36349"/>
    <w:rsid w:val="00A36357"/>
    <w:rsid w:val="00A36A05"/>
    <w:rsid w:val="00A379D0"/>
    <w:rsid w:val="00A37A10"/>
    <w:rsid w:val="00A400FB"/>
    <w:rsid w:val="00A401E0"/>
    <w:rsid w:val="00A406EF"/>
    <w:rsid w:val="00A40B98"/>
    <w:rsid w:val="00A411C6"/>
    <w:rsid w:val="00A4123F"/>
    <w:rsid w:val="00A42D49"/>
    <w:rsid w:val="00A43A5F"/>
    <w:rsid w:val="00A45EF5"/>
    <w:rsid w:val="00A50A70"/>
    <w:rsid w:val="00A50AD4"/>
    <w:rsid w:val="00A51A9F"/>
    <w:rsid w:val="00A5372A"/>
    <w:rsid w:val="00A54174"/>
    <w:rsid w:val="00A5570A"/>
    <w:rsid w:val="00A557BA"/>
    <w:rsid w:val="00A55BE3"/>
    <w:rsid w:val="00A56226"/>
    <w:rsid w:val="00A562DE"/>
    <w:rsid w:val="00A56A0F"/>
    <w:rsid w:val="00A602C0"/>
    <w:rsid w:val="00A62063"/>
    <w:rsid w:val="00A62C56"/>
    <w:rsid w:val="00A631F6"/>
    <w:rsid w:val="00A63DC8"/>
    <w:rsid w:val="00A6464B"/>
    <w:rsid w:val="00A64E52"/>
    <w:rsid w:val="00A65DAF"/>
    <w:rsid w:val="00A70445"/>
    <w:rsid w:val="00A71851"/>
    <w:rsid w:val="00A728BB"/>
    <w:rsid w:val="00A7366F"/>
    <w:rsid w:val="00A7385A"/>
    <w:rsid w:val="00A74083"/>
    <w:rsid w:val="00A75180"/>
    <w:rsid w:val="00A76184"/>
    <w:rsid w:val="00A76403"/>
    <w:rsid w:val="00A76490"/>
    <w:rsid w:val="00A766B6"/>
    <w:rsid w:val="00A77024"/>
    <w:rsid w:val="00A777BF"/>
    <w:rsid w:val="00A77DCA"/>
    <w:rsid w:val="00A80952"/>
    <w:rsid w:val="00A80B54"/>
    <w:rsid w:val="00A81563"/>
    <w:rsid w:val="00A81E84"/>
    <w:rsid w:val="00A82339"/>
    <w:rsid w:val="00A82849"/>
    <w:rsid w:val="00A82F65"/>
    <w:rsid w:val="00A83950"/>
    <w:rsid w:val="00A84A28"/>
    <w:rsid w:val="00A84A77"/>
    <w:rsid w:val="00A84E8A"/>
    <w:rsid w:val="00A853FD"/>
    <w:rsid w:val="00A86179"/>
    <w:rsid w:val="00A86FE4"/>
    <w:rsid w:val="00A871B7"/>
    <w:rsid w:val="00A90647"/>
    <w:rsid w:val="00A908F6"/>
    <w:rsid w:val="00A91E57"/>
    <w:rsid w:val="00A91F6B"/>
    <w:rsid w:val="00A9258E"/>
    <w:rsid w:val="00A93328"/>
    <w:rsid w:val="00A937D8"/>
    <w:rsid w:val="00A93EF8"/>
    <w:rsid w:val="00A94435"/>
    <w:rsid w:val="00A966D7"/>
    <w:rsid w:val="00A96A39"/>
    <w:rsid w:val="00A96E3E"/>
    <w:rsid w:val="00A97D28"/>
    <w:rsid w:val="00AA06FB"/>
    <w:rsid w:val="00AA11CE"/>
    <w:rsid w:val="00AA157F"/>
    <w:rsid w:val="00AA2C47"/>
    <w:rsid w:val="00AA2C64"/>
    <w:rsid w:val="00AA377A"/>
    <w:rsid w:val="00AA4138"/>
    <w:rsid w:val="00AA5B59"/>
    <w:rsid w:val="00AA624B"/>
    <w:rsid w:val="00AA6AF1"/>
    <w:rsid w:val="00AA6BDD"/>
    <w:rsid w:val="00AA6D86"/>
    <w:rsid w:val="00AA6DDC"/>
    <w:rsid w:val="00AA7C49"/>
    <w:rsid w:val="00AA7E40"/>
    <w:rsid w:val="00AB1896"/>
    <w:rsid w:val="00AB1CF9"/>
    <w:rsid w:val="00AB2395"/>
    <w:rsid w:val="00AB2DD4"/>
    <w:rsid w:val="00AB4743"/>
    <w:rsid w:val="00AB4A24"/>
    <w:rsid w:val="00AB4ACD"/>
    <w:rsid w:val="00AB517B"/>
    <w:rsid w:val="00AB5291"/>
    <w:rsid w:val="00AB58D8"/>
    <w:rsid w:val="00AB5A6B"/>
    <w:rsid w:val="00AB5C93"/>
    <w:rsid w:val="00AB68E7"/>
    <w:rsid w:val="00AB6A87"/>
    <w:rsid w:val="00AB740E"/>
    <w:rsid w:val="00AB761B"/>
    <w:rsid w:val="00AB7C24"/>
    <w:rsid w:val="00AC1616"/>
    <w:rsid w:val="00AC1A03"/>
    <w:rsid w:val="00AC1B42"/>
    <w:rsid w:val="00AC281A"/>
    <w:rsid w:val="00AC3C6A"/>
    <w:rsid w:val="00AC4BD8"/>
    <w:rsid w:val="00AC4D0C"/>
    <w:rsid w:val="00AC4D65"/>
    <w:rsid w:val="00AC4E15"/>
    <w:rsid w:val="00AC59FC"/>
    <w:rsid w:val="00AC620C"/>
    <w:rsid w:val="00AC7CF2"/>
    <w:rsid w:val="00AD006D"/>
    <w:rsid w:val="00AD00AE"/>
    <w:rsid w:val="00AD04F8"/>
    <w:rsid w:val="00AD0693"/>
    <w:rsid w:val="00AD06AB"/>
    <w:rsid w:val="00AD0F46"/>
    <w:rsid w:val="00AD136B"/>
    <w:rsid w:val="00AD14B4"/>
    <w:rsid w:val="00AD17AD"/>
    <w:rsid w:val="00AD2E4B"/>
    <w:rsid w:val="00AD318E"/>
    <w:rsid w:val="00AD32B2"/>
    <w:rsid w:val="00AD348B"/>
    <w:rsid w:val="00AD36D4"/>
    <w:rsid w:val="00AD3930"/>
    <w:rsid w:val="00AD3DF1"/>
    <w:rsid w:val="00AD40F5"/>
    <w:rsid w:val="00AD473A"/>
    <w:rsid w:val="00AD4C0D"/>
    <w:rsid w:val="00AD5028"/>
    <w:rsid w:val="00AD5311"/>
    <w:rsid w:val="00AD5E58"/>
    <w:rsid w:val="00AD6166"/>
    <w:rsid w:val="00AD65E4"/>
    <w:rsid w:val="00AD69DC"/>
    <w:rsid w:val="00AE14DD"/>
    <w:rsid w:val="00AE208B"/>
    <w:rsid w:val="00AE2171"/>
    <w:rsid w:val="00AE3EF2"/>
    <w:rsid w:val="00AE4086"/>
    <w:rsid w:val="00AE413D"/>
    <w:rsid w:val="00AE4C46"/>
    <w:rsid w:val="00AE4D12"/>
    <w:rsid w:val="00AE5499"/>
    <w:rsid w:val="00AE58B2"/>
    <w:rsid w:val="00AE5DD6"/>
    <w:rsid w:val="00AE68A0"/>
    <w:rsid w:val="00AE69A3"/>
    <w:rsid w:val="00AE762E"/>
    <w:rsid w:val="00AF00F4"/>
    <w:rsid w:val="00AF121B"/>
    <w:rsid w:val="00AF2486"/>
    <w:rsid w:val="00AF24A3"/>
    <w:rsid w:val="00AF2B79"/>
    <w:rsid w:val="00AF3141"/>
    <w:rsid w:val="00AF3603"/>
    <w:rsid w:val="00AF39BA"/>
    <w:rsid w:val="00AF41EC"/>
    <w:rsid w:val="00AF4272"/>
    <w:rsid w:val="00AF48F3"/>
    <w:rsid w:val="00AF49FD"/>
    <w:rsid w:val="00AF530A"/>
    <w:rsid w:val="00AF688C"/>
    <w:rsid w:val="00AF697D"/>
    <w:rsid w:val="00AF6CBC"/>
    <w:rsid w:val="00AF6DC4"/>
    <w:rsid w:val="00AF6EF1"/>
    <w:rsid w:val="00AF7BC0"/>
    <w:rsid w:val="00AF7E0C"/>
    <w:rsid w:val="00B00E63"/>
    <w:rsid w:val="00B016E0"/>
    <w:rsid w:val="00B020C4"/>
    <w:rsid w:val="00B025E1"/>
    <w:rsid w:val="00B02A31"/>
    <w:rsid w:val="00B03485"/>
    <w:rsid w:val="00B042B6"/>
    <w:rsid w:val="00B0439A"/>
    <w:rsid w:val="00B04518"/>
    <w:rsid w:val="00B050F2"/>
    <w:rsid w:val="00B05827"/>
    <w:rsid w:val="00B05EA6"/>
    <w:rsid w:val="00B06B43"/>
    <w:rsid w:val="00B06BD7"/>
    <w:rsid w:val="00B0730E"/>
    <w:rsid w:val="00B07B2E"/>
    <w:rsid w:val="00B07D89"/>
    <w:rsid w:val="00B1004B"/>
    <w:rsid w:val="00B10150"/>
    <w:rsid w:val="00B10363"/>
    <w:rsid w:val="00B10DAF"/>
    <w:rsid w:val="00B1185E"/>
    <w:rsid w:val="00B13261"/>
    <w:rsid w:val="00B13B14"/>
    <w:rsid w:val="00B14066"/>
    <w:rsid w:val="00B14D0D"/>
    <w:rsid w:val="00B14E8E"/>
    <w:rsid w:val="00B15286"/>
    <w:rsid w:val="00B15C03"/>
    <w:rsid w:val="00B165D5"/>
    <w:rsid w:val="00B1685C"/>
    <w:rsid w:val="00B17626"/>
    <w:rsid w:val="00B20275"/>
    <w:rsid w:val="00B209FD"/>
    <w:rsid w:val="00B2130A"/>
    <w:rsid w:val="00B21EC6"/>
    <w:rsid w:val="00B2238F"/>
    <w:rsid w:val="00B22835"/>
    <w:rsid w:val="00B22C38"/>
    <w:rsid w:val="00B22E35"/>
    <w:rsid w:val="00B22E7D"/>
    <w:rsid w:val="00B22F53"/>
    <w:rsid w:val="00B23EEF"/>
    <w:rsid w:val="00B24449"/>
    <w:rsid w:val="00B2511D"/>
    <w:rsid w:val="00B267A5"/>
    <w:rsid w:val="00B26800"/>
    <w:rsid w:val="00B27BB0"/>
    <w:rsid w:val="00B27D46"/>
    <w:rsid w:val="00B27E0F"/>
    <w:rsid w:val="00B309D2"/>
    <w:rsid w:val="00B30E39"/>
    <w:rsid w:val="00B33893"/>
    <w:rsid w:val="00B33929"/>
    <w:rsid w:val="00B33D7B"/>
    <w:rsid w:val="00B34F72"/>
    <w:rsid w:val="00B36013"/>
    <w:rsid w:val="00B37523"/>
    <w:rsid w:val="00B37AAC"/>
    <w:rsid w:val="00B4051A"/>
    <w:rsid w:val="00B40BB9"/>
    <w:rsid w:val="00B40CC2"/>
    <w:rsid w:val="00B40CF1"/>
    <w:rsid w:val="00B42926"/>
    <w:rsid w:val="00B432F1"/>
    <w:rsid w:val="00B433A7"/>
    <w:rsid w:val="00B433E2"/>
    <w:rsid w:val="00B43488"/>
    <w:rsid w:val="00B435BE"/>
    <w:rsid w:val="00B44F27"/>
    <w:rsid w:val="00B45666"/>
    <w:rsid w:val="00B45E7B"/>
    <w:rsid w:val="00B461D0"/>
    <w:rsid w:val="00B473E3"/>
    <w:rsid w:val="00B478A7"/>
    <w:rsid w:val="00B479C9"/>
    <w:rsid w:val="00B50354"/>
    <w:rsid w:val="00B504C5"/>
    <w:rsid w:val="00B50B12"/>
    <w:rsid w:val="00B5217B"/>
    <w:rsid w:val="00B5305F"/>
    <w:rsid w:val="00B530FC"/>
    <w:rsid w:val="00B5319D"/>
    <w:rsid w:val="00B53E68"/>
    <w:rsid w:val="00B541BF"/>
    <w:rsid w:val="00B54246"/>
    <w:rsid w:val="00B55C3E"/>
    <w:rsid w:val="00B55D67"/>
    <w:rsid w:val="00B578C1"/>
    <w:rsid w:val="00B57FEE"/>
    <w:rsid w:val="00B6035E"/>
    <w:rsid w:val="00B60867"/>
    <w:rsid w:val="00B615BE"/>
    <w:rsid w:val="00B61BFC"/>
    <w:rsid w:val="00B61FB2"/>
    <w:rsid w:val="00B62023"/>
    <w:rsid w:val="00B622A9"/>
    <w:rsid w:val="00B6457F"/>
    <w:rsid w:val="00B6475E"/>
    <w:rsid w:val="00B648DB"/>
    <w:rsid w:val="00B64E63"/>
    <w:rsid w:val="00B65C7D"/>
    <w:rsid w:val="00B667A2"/>
    <w:rsid w:val="00B67D30"/>
    <w:rsid w:val="00B67FB6"/>
    <w:rsid w:val="00B70269"/>
    <w:rsid w:val="00B70A40"/>
    <w:rsid w:val="00B71B67"/>
    <w:rsid w:val="00B72032"/>
    <w:rsid w:val="00B727A7"/>
    <w:rsid w:val="00B7398B"/>
    <w:rsid w:val="00B741D8"/>
    <w:rsid w:val="00B74B13"/>
    <w:rsid w:val="00B74EFE"/>
    <w:rsid w:val="00B75E51"/>
    <w:rsid w:val="00B80BA1"/>
    <w:rsid w:val="00B811EB"/>
    <w:rsid w:val="00B816FE"/>
    <w:rsid w:val="00B818E4"/>
    <w:rsid w:val="00B830BD"/>
    <w:rsid w:val="00B833DE"/>
    <w:rsid w:val="00B83946"/>
    <w:rsid w:val="00B83D76"/>
    <w:rsid w:val="00B83DF4"/>
    <w:rsid w:val="00B84CFC"/>
    <w:rsid w:val="00B854BC"/>
    <w:rsid w:val="00B8551A"/>
    <w:rsid w:val="00B86031"/>
    <w:rsid w:val="00B86033"/>
    <w:rsid w:val="00B86C8F"/>
    <w:rsid w:val="00B87639"/>
    <w:rsid w:val="00B90211"/>
    <w:rsid w:val="00B90565"/>
    <w:rsid w:val="00B905BE"/>
    <w:rsid w:val="00B91342"/>
    <w:rsid w:val="00B917C4"/>
    <w:rsid w:val="00B91891"/>
    <w:rsid w:val="00B93956"/>
    <w:rsid w:val="00B9510E"/>
    <w:rsid w:val="00B952E2"/>
    <w:rsid w:val="00B95678"/>
    <w:rsid w:val="00B95DF0"/>
    <w:rsid w:val="00B95E66"/>
    <w:rsid w:val="00B968A2"/>
    <w:rsid w:val="00B96CDA"/>
    <w:rsid w:val="00BA0264"/>
    <w:rsid w:val="00BA028F"/>
    <w:rsid w:val="00BA09DB"/>
    <w:rsid w:val="00BA0C19"/>
    <w:rsid w:val="00BA14CB"/>
    <w:rsid w:val="00BA1D9F"/>
    <w:rsid w:val="00BA2D35"/>
    <w:rsid w:val="00BA3AD3"/>
    <w:rsid w:val="00BA4BF8"/>
    <w:rsid w:val="00BA63E3"/>
    <w:rsid w:val="00BA6772"/>
    <w:rsid w:val="00BA6C41"/>
    <w:rsid w:val="00BA6F98"/>
    <w:rsid w:val="00BA749E"/>
    <w:rsid w:val="00BB0FD7"/>
    <w:rsid w:val="00BB110C"/>
    <w:rsid w:val="00BB2F0D"/>
    <w:rsid w:val="00BB3BBA"/>
    <w:rsid w:val="00BB4714"/>
    <w:rsid w:val="00BB49CB"/>
    <w:rsid w:val="00BB4D88"/>
    <w:rsid w:val="00BB5DF8"/>
    <w:rsid w:val="00BB77E5"/>
    <w:rsid w:val="00BB796A"/>
    <w:rsid w:val="00BB7B08"/>
    <w:rsid w:val="00BB7B14"/>
    <w:rsid w:val="00BB7C9A"/>
    <w:rsid w:val="00BC038F"/>
    <w:rsid w:val="00BC11A6"/>
    <w:rsid w:val="00BC11E8"/>
    <w:rsid w:val="00BC1687"/>
    <w:rsid w:val="00BC2160"/>
    <w:rsid w:val="00BC241E"/>
    <w:rsid w:val="00BC431E"/>
    <w:rsid w:val="00BC4BBC"/>
    <w:rsid w:val="00BC4FF6"/>
    <w:rsid w:val="00BC65AF"/>
    <w:rsid w:val="00BC70FB"/>
    <w:rsid w:val="00BC77AE"/>
    <w:rsid w:val="00BD0AAB"/>
    <w:rsid w:val="00BD15E3"/>
    <w:rsid w:val="00BD17C7"/>
    <w:rsid w:val="00BD33A5"/>
    <w:rsid w:val="00BD4296"/>
    <w:rsid w:val="00BD4E18"/>
    <w:rsid w:val="00BD510D"/>
    <w:rsid w:val="00BD53DE"/>
    <w:rsid w:val="00BD5D01"/>
    <w:rsid w:val="00BD5FE2"/>
    <w:rsid w:val="00BD6BEC"/>
    <w:rsid w:val="00BD73D7"/>
    <w:rsid w:val="00BD7921"/>
    <w:rsid w:val="00BE0613"/>
    <w:rsid w:val="00BE13B4"/>
    <w:rsid w:val="00BE146D"/>
    <w:rsid w:val="00BE1F7C"/>
    <w:rsid w:val="00BE2F17"/>
    <w:rsid w:val="00BE3951"/>
    <w:rsid w:val="00BE4C99"/>
    <w:rsid w:val="00BE4DFD"/>
    <w:rsid w:val="00BE4FC6"/>
    <w:rsid w:val="00BE6168"/>
    <w:rsid w:val="00BE6DA8"/>
    <w:rsid w:val="00BE6F25"/>
    <w:rsid w:val="00BE7619"/>
    <w:rsid w:val="00BE761F"/>
    <w:rsid w:val="00BE784C"/>
    <w:rsid w:val="00BE7897"/>
    <w:rsid w:val="00BE793C"/>
    <w:rsid w:val="00BF070D"/>
    <w:rsid w:val="00BF15F3"/>
    <w:rsid w:val="00BF16C4"/>
    <w:rsid w:val="00BF2046"/>
    <w:rsid w:val="00BF2128"/>
    <w:rsid w:val="00BF245F"/>
    <w:rsid w:val="00BF2CA1"/>
    <w:rsid w:val="00BF33A9"/>
    <w:rsid w:val="00BF3D03"/>
    <w:rsid w:val="00BF3E35"/>
    <w:rsid w:val="00BF5649"/>
    <w:rsid w:val="00BF5880"/>
    <w:rsid w:val="00BF5910"/>
    <w:rsid w:val="00BF7355"/>
    <w:rsid w:val="00BF75DE"/>
    <w:rsid w:val="00BF7CF8"/>
    <w:rsid w:val="00C002BE"/>
    <w:rsid w:val="00C00B3C"/>
    <w:rsid w:val="00C00D33"/>
    <w:rsid w:val="00C00FCE"/>
    <w:rsid w:val="00C01384"/>
    <w:rsid w:val="00C013F5"/>
    <w:rsid w:val="00C014B5"/>
    <w:rsid w:val="00C01BB5"/>
    <w:rsid w:val="00C01ED4"/>
    <w:rsid w:val="00C01F1E"/>
    <w:rsid w:val="00C02190"/>
    <w:rsid w:val="00C03A7C"/>
    <w:rsid w:val="00C03CF5"/>
    <w:rsid w:val="00C047AB"/>
    <w:rsid w:val="00C04B2F"/>
    <w:rsid w:val="00C0594C"/>
    <w:rsid w:val="00C06728"/>
    <w:rsid w:val="00C06A0E"/>
    <w:rsid w:val="00C07913"/>
    <w:rsid w:val="00C104AE"/>
    <w:rsid w:val="00C10EF2"/>
    <w:rsid w:val="00C111BF"/>
    <w:rsid w:val="00C11FC8"/>
    <w:rsid w:val="00C1214D"/>
    <w:rsid w:val="00C14920"/>
    <w:rsid w:val="00C14EC0"/>
    <w:rsid w:val="00C15151"/>
    <w:rsid w:val="00C15AC1"/>
    <w:rsid w:val="00C16159"/>
    <w:rsid w:val="00C169EE"/>
    <w:rsid w:val="00C16BFB"/>
    <w:rsid w:val="00C17089"/>
    <w:rsid w:val="00C17903"/>
    <w:rsid w:val="00C17A96"/>
    <w:rsid w:val="00C201FD"/>
    <w:rsid w:val="00C205F3"/>
    <w:rsid w:val="00C23A90"/>
    <w:rsid w:val="00C2453C"/>
    <w:rsid w:val="00C2622C"/>
    <w:rsid w:val="00C26D1C"/>
    <w:rsid w:val="00C26F51"/>
    <w:rsid w:val="00C27E21"/>
    <w:rsid w:val="00C27FD7"/>
    <w:rsid w:val="00C3032D"/>
    <w:rsid w:val="00C31428"/>
    <w:rsid w:val="00C32611"/>
    <w:rsid w:val="00C32A54"/>
    <w:rsid w:val="00C32E70"/>
    <w:rsid w:val="00C33865"/>
    <w:rsid w:val="00C33AA3"/>
    <w:rsid w:val="00C33F8B"/>
    <w:rsid w:val="00C352B0"/>
    <w:rsid w:val="00C36479"/>
    <w:rsid w:val="00C36493"/>
    <w:rsid w:val="00C36AAF"/>
    <w:rsid w:val="00C36B39"/>
    <w:rsid w:val="00C37968"/>
    <w:rsid w:val="00C40327"/>
    <w:rsid w:val="00C4086F"/>
    <w:rsid w:val="00C40C31"/>
    <w:rsid w:val="00C40C5D"/>
    <w:rsid w:val="00C41337"/>
    <w:rsid w:val="00C41464"/>
    <w:rsid w:val="00C41B58"/>
    <w:rsid w:val="00C42CA2"/>
    <w:rsid w:val="00C432E5"/>
    <w:rsid w:val="00C44A12"/>
    <w:rsid w:val="00C44EB9"/>
    <w:rsid w:val="00C463E3"/>
    <w:rsid w:val="00C46801"/>
    <w:rsid w:val="00C46E28"/>
    <w:rsid w:val="00C474D3"/>
    <w:rsid w:val="00C47B7A"/>
    <w:rsid w:val="00C503EC"/>
    <w:rsid w:val="00C50463"/>
    <w:rsid w:val="00C516C9"/>
    <w:rsid w:val="00C549D0"/>
    <w:rsid w:val="00C54C18"/>
    <w:rsid w:val="00C55AE1"/>
    <w:rsid w:val="00C55BC3"/>
    <w:rsid w:val="00C56384"/>
    <w:rsid w:val="00C565B5"/>
    <w:rsid w:val="00C575E8"/>
    <w:rsid w:val="00C579E0"/>
    <w:rsid w:val="00C606E8"/>
    <w:rsid w:val="00C60994"/>
    <w:rsid w:val="00C62A48"/>
    <w:rsid w:val="00C62B35"/>
    <w:rsid w:val="00C62B37"/>
    <w:rsid w:val="00C63697"/>
    <w:rsid w:val="00C63CA1"/>
    <w:rsid w:val="00C642B2"/>
    <w:rsid w:val="00C65664"/>
    <w:rsid w:val="00C667AC"/>
    <w:rsid w:val="00C66EF2"/>
    <w:rsid w:val="00C67031"/>
    <w:rsid w:val="00C674D3"/>
    <w:rsid w:val="00C67CBF"/>
    <w:rsid w:val="00C7003C"/>
    <w:rsid w:val="00C70ECE"/>
    <w:rsid w:val="00C7165D"/>
    <w:rsid w:val="00C71CEF"/>
    <w:rsid w:val="00C722FF"/>
    <w:rsid w:val="00C72532"/>
    <w:rsid w:val="00C734B0"/>
    <w:rsid w:val="00C737CC"/>
    <w:rsid w:val="00C746C2"/>
    <w:rsid w:val="00C753C0"/>
    <w:rsid w:val="00C75A7F"/>
    <w:rsid w:val="00C75E36"/>
    <w:rsid w:val="00C76167"/>
    <w:rsid w:val="00C763A5"/>
    <w:rsid w:val="00C76782"/>
    <w:rsid w:val="00C76818"/>
    <w:rsid w:val="00C7691B"/>
    <w:rsid w:val="00C76D14"/>
    <w:rsid w:val="00C76F5D"/>
    <w:rsid w:val="00C77521"/>
    <w:rsid w:val="00C77E43"/>
    <w:rsid w:val="00C80F13"/>
    <w:rsid w:val="00C81046"/>
    <w:rsid w:val="00C813A5"/>
    <w:rsid w:val="00C82029"/>
    <w:rsid w:val="00C84450"/>
    <w:rsid w:val="00C84E6D"/>
    <w:rsid w:val="00C86312"/>
    <w:rsid w:val="00C865F4"/>
    <w:rsid w:val="00C86BE9"/>
    <w:rsid w:val="00C87ACD"/>
    <w:rsid w:val="00C90AD6"/>
    <w:rsid w:val="00C910D0"/>
    <w:rsid w:val="00C91EB9"/>
    <w:rsid w:val="00C92433"/>
    <w:rsid w:val="00C9365B"/>
    <w:rsid w:val="00C9382B"/>
    <w:rsid w:val="00C93BBE"/>
    <w:rsid w:val="00C93C30"/>
    <w:rsid w:val="00C95176"/>
    <w:rsid w:val="00C9535C"/>
    <w:rsid w:val="00C95E24"/>
    <w:rsid w:val="00C96B46"/>
    <w:rsid w:val="00C96C3D"/>
    <w:rsid w:val="00C9763E"/>
    <w:rsid w:val="00CA0635"/>
    <w:rsid w:val="00CA10EE"/>
    <w:rsid w:val="00CA1B4B"/>
    <w:rsid w:val="00CA1B5E"/>
    <w:rsid w:val="00CA2533"/>
    <w:rsid w:val="00CA2DC8"/>
    <w:rsid w:val="00CA32FD"/>
    <w:rsid w:val="00CA3647"/>
    <w:rsid w:val="00CA3A7B"/>
    <w:rsid w:val="00CA3F6F"/>
    <w:rsid w:val="00CA466B"/>
    <w:rsid w:val="00CA472B"/>
    <w:rsid w:val="00CA5831"/>
    <w:rsid w:val="00CA6088"/>
    <w:rsid w:val="00CA75BD"/>
    <w:rsid w:val="00CA7C6F"/>
    <w:rsid w:val="00CA7CD4"/>
    <w:rsid w:val="00CB0002"/>
    <w:rsid w:val="00CB02DC"/>
    <w:rsid w:val="00CB0541"/>
    <w:rsid w:val="00CB074D"/>
    <w:rsid w:val="00CB0EB0"/>
    <w:rsid w:val="00CB0EB3"/>
    <w:rsid w:val="00CB0FC4"/>
    <w:rsid w:val="00CB1F24"/>
    <w:rsid w:val="00CB24E5"/>
    <w:rsid w:val="00CB36E9"/>
    <w:rsid w:val="00CB3FE4"/>
    <w:rsid w:val="00CB4395"/>
    <w:rsid w:val="00CB4F41"/>
    <w:rsid w:val="00CB5749"/>
    <w:rsid w:val="00CB63C7"/>
    <w:rsid w:val="00CB6FC3"/>
    <w:rsid w:val="00CB7391"/>
    <w:rsid w:val="00CB78E4"/>
    <w:rsid w:val="00CC0828"/>
    <w:rsid w:val="00CC0E3B"/>
    <w:rsid w:val="00CC1CE0"/>
    <w:rsid w:val="00CC214A"/>
    <w:rsid w:val="00CC2383"/>
    <w:rsid w:val="00CC2CA8"/>
    <w:rsid w:val="00CC2F3F"/>
    <w:rsid w:val="00CC319B"/>
    <w:rsid w:val="00CC5355"/>
    <w:rsid w:val="00CC5567"/>
    <w:rsid w:val="00CC63A7"/>
    <w:rsid w:val="00CC663D"/>
    <w:rsid w:val="00CC6958"/>
    <w:rsid w:val="00CC6AF9"/>
    <w:rsid w:val="00CC6BF6"/>
    <w:rsid w:val="00CC7515"/>
    <w:rsid w:val="00CD02B0"/>
    <w:rsid w:val="00CD0464"/>
    <w:rsid w:val="00CD0FD4"/>
    <w:rsid w:val="00CD135E"/>
    <w:rsid w:val="00CD16D8"/>
    <w:rsid w:val="00CD1B9F"/>
    <w:rsid w:val="00CD1D69"/>
    <w:rsid w:val="00CD1DF7"/>
    <w:rsid w:val="00CD2322"/>
    <w:rsid w:val="00CD3D41"/>
    <w:rsid w:val="00CD4DA9"/>
    <w:rsid w:val="00CD4F3E"/>
    <w:rsid w:val="00CD591B"/>
    <w:rsid w:val="00CD5D08"/>
    <w:rsid w:val="00CD71A2"/>
    <w:rsid w:val="00CE0677"/>
    <w:rsid w:val="00CE0ABE"/>
    <w:rsid w:val="00CE0D91"/>
    <w:rsid w:val="00CE1E27"/>
    <w:rsid w:val="00CE299A"/>
    <w:rsid w:val="00CE42F4"/>
    <w:rsid w:val="00CE5367"/>
    <w:rsid w:val="00CE5702"/>
    <w:rsid w:val="00CE57CD"/>
    <w:rsid w:val="00CE57DC"/>
    <w:rsid w:val="00CE60D8"/>
    <w:rsid w:val="00CE635D"/>
    <w:rsid w:val="00CE6A18"/>
    <w:rsid w:val="00CE729E"/>
    <w:rsid w:val="00CE7E89"/>
    <w:rsid w:val="00CF02A5"/>
    <w:rsid w:val="00CF070D"/>
    <w:rsid w:val="00CF0744"/>
    <w:rsid w:val="00CF0768"/>
    <w:rsid w:val="00CF0A9C"/>
    <w:rsid w:val="00CF19D9"/>
    <w:rsid w:val="00CF1B26"/>
    <w:rsid w:val="00CF2D2F"/>
    <w:rsid w:val="00CF32DE"/>
    <w:rsid w:val="00CF3813"/>
    <w:rsid w:val="00CF44B4"/>
    <w:rsid w:val="00CF5363"/>
    <w:rsid w:val="00CF54AE"/>
    <w:rsid w:val="00CF5D1C"/>
    <w:rsid w:val="00CF61A2"/>
    <w:rsid w:val="00CF6636"/>
    <w:rsid w:val="00CF6C64"/>
    <w:rsid w:val="00CF75FF"/>
    <w:rsid w:val="00D00C17"/>
    <w:rsid w:val="00D00F4C"/>
    <w:rsid w:val="00D0100E"/>
    <w:rsid w:val="00D0116D"/>
    <w:rsid w:val="00D011BC"/>
    <w:rsid w:val="00D01377"/>
    <w:rsid w:val="00D03600"/>
    <w:rsid w:val="00D04808"/>
    <w:rsid w:val="00D04C43"/>
    <w:rsid w:val="00D06235"/>
    <w:rsid w:val="00D07242"/>
    <w:rsid w:val="00D07823"/>
    <w:rsid w:val="00D07B90"/>
    <w:rsid w:val="00D07FF2"/>
    <w:rsid w:val="00D1022D"/>
    <w:rsid w:val="00D10269"/>
    <w:rsid w:val="00D1112C"/>
    <w:rsid w:val="00D11171"/>
    <w:rsid w:val="00D122B7"/>
    <w:rsid w:val="00D123F3"/>
    <w:rsid w:val="00D127E3"/>
    <w:rsid w:val="00D1321B"/>
    <w:rsid w:val="00D135BB"/>
    <w:rsid w:val="00D1445F"/>
    <w:rsid w:val="00D14718"/>
    <w:rsid w:val="00D148CE"/>
    <w:rsid w:val="00D14AA5"/>
    <w:rsid w:val="00D15EE5"/>
    <w:rsid w:val="00D1749E"/>
    <w:rsid w:val="00D176AC"/>
    <w:rsid w:val="00D17A02"/>
    <w:rsid w:val="00D20EEF"/>
    <w:rsid w:val="00D215A7"/>
    <w:rsid w:val="00D21740"/>
    <w:rsid w:val="00D218C5"/>
    <w:rsid w:val="00D22157"/>
    <w:rsid w:val="00D226ED"/>
    <w:rsid w:val="00D22762"/>
    <w:rsid w:val="00D229E9"/>
    <w:rsid w:val="00D22CAF"/>
    <w:rsid w:val="00D234A0"/>
    <w:rsid w:val="00D23A75"/>
    <w:rsid w:val="00D24A2B"/>
    <w:rsid w:val="00D24A40"/>
    <w:rsid w:val="00D252B6"/>
    <w:rsid w:val="00D2641C"/>
    <w:rsid w:val="00D265D7"/>
    <w:rsid w:val="00D271CF"/>
    <w:rsid w:val="00D27E4C"/>
    <w:rsid w:val="00D30B12"/>
    <w:rsid w:val="00D30C6B"/>
    <w:rsid w:val="00D31C70"/>
    <w:rsid w:val="00D31F3B"/>
    <w:rsid w:val="00D32D01"/>
    <w:rsid w:val="00D337DA"/>
    <w:rsid w:val="00D35E5F"/>
    <w:rsid w:val="00D362F4"/>
    <w:rsid w:val="00D3667E"/>
    <w:rsid w:val="00D367E4"/>
    <w:rsid w:val="00D36B81"/>
    <w:rsid w:val="00D37078"/>
    <w:rsid w:val="00D378F0"/>
    <w:rsid w:val="00D4097D"/>
    <w:rsid w:val="00D42296"/>
    <w:rsid w:val="00D42A58"/>
    <w:rsid w:val="00D42E95"/>
    <w:rsid w:val="00D43BCD"/>
    <w:rsid w:val="00D44803"/>
    <w:rsid w:val="00D45115"/>
    <w:rsid w:val="00D45122"/>
    <w:rsid w:val="00D452B9"/>
    <w:rsid w:val="00D45321"/>
    <w:rsid w:val="00D4609B"/>
    <w:rsid w:val="00D46164"/>
    <w:rsid w:val="00D46321"/>
    <w:rsid w:val="00D47C2D"/>
    <w:rsid w:val="00D502FC"/>
    <w:rsid w:val="00D50C90"/>
    <w:rsid w:val="00D51183"/>
    <w:rsid w:val="00D512C9"/>
    <w:rsid w:val="00D51DD4"/>
    <w:rsid w:val="00D51E07"/>
    <w:rsid w:val="00D52232"/>
    <w:rsid w:val="00D52EF8"/>
    <w:rsid w:val="00D5382C"/>
    <w:rsid w:val="00D53A76"/>
    <w:rsid w:val="00D54E0D"/>
    <w:rsid w:val="00D5520B"/>
    <w:rsid w:val="00D5566D"/>
    <w:rsid w:val="00D56D8A"/>
    <w:rsid w:val="00D576B1"/>
    <w:rsid w:val="00D60D1A"/>
    <w:rsid w:val="00D61351"/>
    <w:rsid w:val="00D6165D"/>
    <w:rsid w:val="00D629E6"/>
    <w:rsid w:val="00D62BF6"/>
    <w:rsid w:val="00D6429B"/>
    <w:rsid w:val="00D645B4"/>
    <w:rsid w:val="00D649FA"/>
    <w:rsid w:val="00D64D54"/>
    <w:rsid w:val="00D652C8"/>
    <w:rsid w:val="00D65532"/>
    <w:rsid w:val="00D6610C"/>
    <w:rsid w:val="00D66167"/>
    <w:rsid w:val="00D66ADC"/>
    <w:rsid w:val="00D66B12"/>
    <w:rsid w:val="00D67A5F"/>
    <w:rsid w:val="00D67C7B"/>
    <w:rsid w:val="00D67DAB"/>
    <w:rsid w:val="00D7041F"/>
    <w:rsid w:val="00D70A14"/>
    <w:rsid w:val="00D70FD0"/>
    <w:rsid w:val="00D71855"/>
    <w:rsid w:val="00D722B3"/>
    <w:rsid w:val="00D724BA"/>
    <w:rsid w:val="00D734D1"/>
    <w:rsid w:val="00D744DD"/>
    <w:rsid w:val="00D759E8"/>
    <w:rsid w:val="00D75EAB"/>
    <w:rsid w:val="00D76538"/>
    <w:rsid w:val="00D76DF3"/>
    <w:rsid w:val="00D77295"/>
    <w:rsid w:val="00D80889"/>
    <w:rsid w:val="00D8173A"/>
    <w:rsid w:val="00D82070"/>
    <w:rsid w:val="00D82937"/>
    <w:rsid w:val="00D83841"/>
    <w:rsid w:val="00D8391F"/>
    <w:rsid w:val="00D83C94"/>
    <w:rsid w:val="00D8500F"/>
    <w:rsid w:val="00D85887"/>
    <w:rsid w:val="00D8645C"/>
    <w:rsid w:val="00D869FC"/>
    <w:rsid w:val="00D87D7A"/>
    <w:rsid w:val="00D9000B"/>
    <w:rsid w:val="00D91423"/>
    <w:rsid w:val="00D915C9"/>
    <w:rsid w:val="00D91862"/>
    <w:rsid w:val="00D91A88"/>
    <w:rsid w:val="00D91D58"/>
    <w:rsid w:val="00D92F97"/>
    <w:rsid w:val="00D939AC"/>
    <w:rsid w:val="00D95C27"/>
    <w:rsid w:val="00D95C8E"/>
    <w:rsid w:val="00D95E41"/>
    <w:rsid w:val="00D9648B"/>
    <w:rsid w:val="00D96532"/>
    <w:rsid w:val="00D969C3"/>
    <w:rsid w:val="00D96C67"/>
    <w:rsid w:val="00D9713E"/>
    <w:rsid w:val="00D97452"/>
    <w:rsid w:val="00DA104C"/>
    <w:rsid w:val="00DA156B"/>
    <w:rsid w:val="00DA1A54"/>
    <w:rsid w:val="00DA1CBD"/>
    <w:rsid w:val="00DA2096"/>
    <w:rsid w:val="00DA24DD"/>
    <w:rsid w:val="00DA25AF"/>
    <w:rsid w:val="00DA3071"/>
    <w:rsid w:val="00DA3751"/>
    <w:rsid w:val="00DA3A33"/>
    <w:rsid w:val="00DA4A2F"/>
    <w:rsid w:val="00DA4FC9"/>
    <w:rsid w:val="00DA50B1"/>
    <w:rsid w:val="00DA743B"/>
    <w:rsid w:val="00DA7D14"/>
    <w:rsid w:val="00DB0086"/>
    <w:rsid w:val="00DB01CF"/>
    <w:rsid w:val="00DB06C1"/>
    <w:rsid w:val="00DB1C00"/>
    <w:rsid w:val="00DB1E43"/>
    <w:rsid w:val="00DB2CDB"/>
    <w:rsid w:val="00DB3644"/>
    <w:rsid w:val="00DB5320"/>
    <w:rsid w:val="00DB5452"/>
    <w:rsid w:val="00DB5531"/>
    <w:rsid w:val="00DB633F"/>
    <w:rsid w:val="00DB6AFC"/>
    <w:rsid w:val="00DB73D6"/>
    <w:rsid w:val="00DB79C3"/>
    <w:rsid w:val="00DB7E95"/>
    <w:rsid w:val="00DC0805"/>
    <w:rsid w:val="00DC2093"/>
    <w:rsid w:val="00DC2CD0"/>
    <w:rsid w:val="00DC337B"/>
    <w:rsid w:val="00DC36B2"/>
    <w:rsid w:val="00DC3900"/>
    <w:rsid w:val="00DC3A91"/>
    <w:rsid w:val="00DC50A5"/>
    <w:rsid w:val="00DC5896"/>
    <w:rsid w:val="00DC5D31"/>
    <w:rsid w:val="00DC7641"/>
    <w:rsid w:val="00DC7C3F"/>
    <w:rsid w:val="00DC7DB4"/>
    <w:rsid w:val="00DD0254"/>
    <w:rsid w:val="00DD0465"/>
    <w:rsid w:val="00DD059A"/>
    <w:rsid w:val="00DD075F"/>
    <w:rsid w:val="00DD0B05"/>
    <w:rsid w:val="00DD0BD7"/>
    <w:rsid w:val="00DD0FDB"/>
    <w:rsid w:val="00DD14CD"/>
    <w:rsid w:val="00DD1628"/>
    <w:rsid w:val="00DD16F8"/>
    <w:rsid w:val="00DD2628"/>
    <w:rsid w:val="00DD2FB2"/>
    <w:rsid w:val="00DD3DEB"/>
    <w:rsid w:val="00DD4CAB"/>
    <w:rsid w:val="00DD54E1"/>
    <w:rsid w:val="00DD6132"/>
    <w:rsid w:val="00DD61AE"/>
    <w:rsid w:val="00DD78B5"/>
    <w:rsid w:val="00DE0331"/>
    <w:rsid w:val="00DE0F79"/>
    <w:rsid w:val="00DE1BD8"/>
    <w:rsid w:val="00DE2E8A"/>
    <w:rsid w:val="00DE3C94"/>
    <w:rsid w:val="00DE3F07"/>
    <w:rsid w:val="00DE494B"/>
    <w:rsid w:val="00DE4DFD"/>
    <w:rsid w:val="00DE5381"/>
    <w:rsid w:val="00DE56E4"/>
    <w:rsid w:val="00DE572C"/>
    <w:rsid w:val="00DE5B2C"/>
    <w:rsid w:val="00DE6F6A"/>
    <w:rsid w:val="00DE7431"/>
    <w:rsid w:val="00DE7A7B"/>
    <w:rsid w:val="00DE7CB4"/>
    <w:rsid w:val="00DE7EB9"/>
    <w:rsid w:val="00DF0904"/>
    <w:rsid w:val="00DF2926"/>
    <w:rsid w:val="00DF56D4"/>
    <w:rsid w:val="00DF57C6"/>
    <w:rsid w:val="00DF5DBB"/>
    <w:rsid w:val="00DF5E80"/>
    <w:rsid w:val="00DF67C7"/>
    <w:rsid w:val="00DF6B71"/>
    <w:rsid w:val="00DF7C74"/>
    <w:rsid w:val="00E004DA"/>
    <w:rsid w:val="00E0069C"/>
    <w:rsid w:val="00E008CE"/>
    <w:rsid w:val="00E00914"/>
    <w:rsid w:val="00E00975"/>
    <w:rsid w:val="00E01854"/>
    <w:rsid w:val="00E024F5"/>
    <w:rsid w:val="00E02EEC"/>
    <w:rsid w:val="00E03441"/>
    <w:rsid w:val="00E0415F"/>
    <w:rsid w:val="00E04AAF"/>
    <w:rsid w:val="00E062FF"/>
    <w:rsid w:val="00E0734B"/>
    <w:rsid w:val="00E07D3C"/>
    <w:rsid w:val="00E07DCA"/>
    <w:rsid w:val="00E1247E"/>
    <w:rsid w:val="00E12A0C"/>
    <w:rsid w:val="00E12FC9"/>
    <w:rsid w:val="00E130C0"/>
    <w:rsid w:val="00E14251"/>
    <w:rsid w:val="00E14824"/>
    <w:rsid w:val="00E14FA6"/>
    <w:rsid w:val="00E15148"/>
    <w:rsid w:val="00E153A7"/>
    <w:rsid w:val="00E1600B"/>
    <w:rsid w:val="00E160C8"/>
    <w:rsid w:val="00E1616C"/>
    <w:rsid w:val="00E16275"/>
    <w:rsid w:val="00E16559"/>
    <w:rsid w:val="00E1655F"/>
    <w:rsid w:val="00E16C8C"/>
    <w:rsid w:val="00E1703E"/>
    <w:rsid w:val="00E17347"/>
    <w:rsid w:val="00E17517"/>
    <w:rsid w:val="00E20AE2"/>
    <w:rsid w:val="00E211F4"/>
    <w:rsid w:val="00E21B31"/>
    <w:rsid w:val="00E21CE4"/>
    <w:rsid w:val="00E22252"/>
    <w:rsid w:val="00E2265E"/>
    <w:rsid w:val="00E22BFF"/>
    <w:rsid w:val="00E22F86"/>
    <w:rsid w:val="00E24021"/>
    <w:rsid w:val="00E2434A"/>
    <w:rsid w:val="00E24BA5"/>
    <w:rsid w:val="00E26B12"/>
    <w:rsid w:val="00E26E5B"/>
    <w:rsid w:val="00E27D21"/>
    <w:rsid w:val="00E31C1D"/>
    <w:rsid w:val="00E32066"/>
    <w:rsid w:val="00E320D5"/>
    <w:rsid w:val="00E32646"/>
    <w:rsid w:val="00E3340B"/>
    <w:rsid w:val="00E33AF5"/>
    <w:rsid w:val="00E355AD"/>
    <w:rsid w:val="00E356C4"/>
    <w:rsid w:val="00E3626E"/>
    <w:rsid w:val="00E36604"/>
    <w:rsid w:val="00E369B7"/>
    <w:rsid w:val="00E372AD"/>
    <w:rsid w:val="00E3742E"/>
    <w:rsid w:val="00E37BCC"/>
    <w:rsid w:val="00E37D25"/>
    <w:rsid w:val="00E37EA1"/>
    <w:rsid w:val="00E37EEB"/>
    <w:rsid w:val="00E40559"/>
    <w:rsid w:val="00E42A83"/>
    <w:rsid w:val="00E42CB9"/>
    <w:rsid w:val="00E4359E"/>
    <w:rsid w:val="00E43708"/>
    <w:rsid w:val="00E43E0A"/>
    <w:rsid w:val="00E45512"/>
    <w:rsid w:val="00E458C2"/>
    <w:rsid w:val="00E45A36"/>
    <w:rsid w:val="00E469B4"/>
    <w:rsid w:val="00E50E75"/>
    <w:rsid w:val="00E51873"/>
    <w:rsid w:val="00E51976"/>
    <w:rsid w:val="00E51B6D"/>
    <w:rsid w:val="00E51BC1"/>
    <w:rsid w:val="00E51C43"/>
    <w:rsid w:val="00E520B7"/>
    <w:rsid w:val="00E5291E"/>
    <w:rsid w:val="00E53425"/>
    <w:rsid w:val="00E53751"/>
    <w:rsid w:val="00E53C90"/>
    <w:rsid w:val="00E54347"/>
    <w:rsid w:val="00E5477F"/>
    <w:rsid w:val="00E54D8B"/>
    <w:rsid w:val="00E54E92"/>
    <w:rsid w:val="00E56340"/>
    <w:rsid w:val="00E5798F"/>
    <w:rsid w:val="00E60057"/>
    <w:rsid w:val="00E60CF0"/>
    <w:rsid w:val="00E61E4A"/>
    <w:rsid w:val="00E64403"/>
    <w:rsid w:val="00E64717"/>
    <w:rsid w:val="00E65FA2"/>
    <w:rsid w:val="00E670EF"/>
    <w:rsid w:val="00E674EE"/>
    <w:rsid w:val="00E67C42"/>
    <w:rsid w:val="00E7030C"/>
    <w:rsid w:val="00E7037A"/>
    <w:rsid w:val="00E70395"/>
    <w:rsid w:val="00E7056C"/>
    <w:rsid w:val="00E709F7"/>
    <w:rsid w:val="00E70ECE"/>
    <w:rsid w:val="00E712EC"/>
    <w:rsid w:val="00E7160C"/>
    <w:rsid w:val="00E71A97"/>
    <w:rsid w:val="00E73234"/>
    <w:rsid w:val="00E740D6"/>
    <w:rsid w:val="00E7455C"/>
    <w:rsid w:val="00E748E1"/>
    <w:rsid w:val="00E749FC"/>
    <w:rsid w:val="00E74A08"/>
    <w:rsid w:val="00E74B80"/>
    <w:rsid w:val="00E74EC0"/>
    <w:rsid w:val="00E75503"/>
    <w:rsid w:val="00E7677A"/>
    <w:rsid w:val="00E7759F"/>
    <w:rsid w:val="00E77AE2"/>
    <w:rsid w:val="00E77D39"/>
    <w:rsid w:val="00E77DDE"/>
    <w:rsid w:val="00E80AD7"/>
    <w:rsid w:val="00E816E2"/>
    <w:rsid w:val="00E81800"/>
    <w:rsid w:val="00E81EE7"/>
    <w:rsid w:val="00E81FA7"/>
    <w:rsid w:val="00E837EE"/>
    <w:rsid w:val="00E84347"/>
    <w:rsid w:val="00E84A31"/>
    <w:rsid w:val="00E8524B"/>
    <w:rsid w:val="00E8548B"/>
    <w:rsid w:val="00E85C8A"/>
    <w:rsid w:val="00E863BE"/>
    <w:rsid w:val="00E86842"/>
    <w:rsid w:val="00E86AEE"/>
    <w:rsid w:val="00E91E74"/>
    <w:rsid w:val="00E92757"/>
    <w:rsid w:val="00E929D3"/>
    <w:rsid w:val="00E92A64"/>
    <w:rsid w:val="00E92ED5"/>
    <w:rsid w:val="00E9404B"/>
    <w:rsid w:val="00E95ECC"/>
    <w:rsid w:val="00E96106"/>
    <w:rsid w:val="00E971CE"/>
    <w:rsid w:val="00EA0B40"/>
    <w:rsid w:val="00EA1CE4"/>
    <w:rsid w:val="00EA3B7C"/>
    <w:rsid w:val="00EA3F63"/>
    <w:rsid w:val="00EA445A"/>
    <w:rsid w:val="00EA457E"/>
    <w:rsid w:val="00EA5298"/>
    <w:rsid w:val="00EA57FE"/>
    <w:rsid w:val="00EA7B04"/>
    <w:rsid w:val="00EA7C7F"/>
    <w:rsid w:val="00EB01AE"/>
    <w:rsid w:val="00EB0FFF"/>
    <w:rsid w:val="00EB1489"/>
    <w:rsid w:val="00EB1FE5"/>
    <w:rsid w:val="00EB2DE3"/>
    <w:rsid w:val="00EB3029"/>
    <w:rsid w:val="00EB32C9"/>
    <w:rsid w:val="00EB3CE5"/>
    <w:rsid w:val="00EB4483"/>
    <w:rsid w:val="00EB45FD"/>
    <w:rsid w:val="00EB53ED"/>
    <w:rsid w:val="00EB5653"/>
    <w:rsid w:val="00EB5EF4"/>
    <w:rsid w:val="00EB68D7"/>
    <w:rsid w:val="00EB6B27"/>
    <w:rsid w:val="00EB7861"/>
    <w:rsid w:val="00EC04F5"/>
    <w:rsid w:val="00EC0899"/>
    <w:rsid w:val="00EC0AC6"/>
    <w:rsid w:val="00EC1BD2"/>
    <w:rsid w:val="00EC1CFB"/>
    <w:rsid w:val="00EC2110"/>
    <w:rsid w:val="00EC2FC1"/>
    <w:rsid w:val="00EC33EC"/>
    <w:rsid w:val="00EC4207"/>
    <w:rsid w:val="00EC450D"/>
    <w:rsid w:val="00EC5675"/>
    <w:rsid w:val="00EC58CD"/>
    <w:rsid w:val="00EC5913"/>
    <w:rsid w:val="00EC5F5C"/>
    <w:rsid w:val="00EC6306"/>
    <w:rsid w:val="00EC70F3"/>
    <w:rsid w:val="00EC7F1B"/>
    <w:rsid w:val="00ED04CC"/>
    <w:rsid w:val="00ED067C"/>
    <w:rsid w:val="00ED0829"/>
    <w:rsid w:val="00ED12DE"/>
    <w:rsid w:val="00ED1862"/>
    <w:rsid w:val="00ED2403"/>
    <w:rsid w:val="00ED27FE"/>
    <w:rsid w:val="00ED2824"/>
    <w:rsid w:val="00ED3331"/>
    <w:rsid w:val="00ED34F8"/>
    <w:rsid w:val="00ED424B"/>
    <w:rsid w:val="00ED521E"/>
    <w:rsid w:val="00ED5E7D"/>
    <w:rsid w:val="00ED6300"/>
    <w:rsid w:val="00ED657D"/>
    <w:rsid w:val="00ED69A6"/>
    <w:rsid w:val="00ED74D4"/>
    <w:rsid w:val="00ED74F7"/>
    <w:rsid w:val="00ED7890"/>
    <w:rsid w:val="00EE0058"/>
    <w:rsid w:val="00EE009B"/>
    <w:rsid w:val="00EE379D"/>
    <w:rsid w:val="00EE37EF"/>
    <w:rsid w:val="00EE4194"/>
    <w:rsid w:val="00EE4FAB"/>
    <w:rsid w:val="00EE50F5"/>
    <w:rsid w:val="00EE5799"/>
    <w:rsid w:val="00EE5C3E"/>
    <w:rsid w:val="00EE5F59"/>
    <w:rsid w:val="00EE5FEC"/>
    <w:rsid w:val="00EE6583"/>
    <w:rsid w:val="00EE68B6"/>
    <w:rsid w:val="00EE7D8B"/>
    <w:rsid w:val="00EF1644"/>
    <w:rsid w:val="00EF1CF9"/>
    <w:rsid w:val="00EF1D98"/>
    <w:rsid w:val="00EF2020"/>
    <w:rsid w:val="00EF2BBC"/>
    <w:rsid w:val="00EF31CE"/>
    <w:rsid w:val="00EF3495"/>
    <w:rsid w:val="00EF36E2"/>
    <w:rsid w:val="00EF47C0"/>
    <w:rsid w:val="00EF5320"/>
    <w:rsid w:val="00EF709B"/>
    <w:rsid w:val="00EF7158"/>
    <w:rsid w:val="00EF766E"/>
    <w:rsid w:val="00EF7888"/>
    <w:rsid w:val="00EF7AE4"/>
    <w:rsid w:val="00F00728"/>
    <w:rsid w:val="00F0099C"/>
    <w:rsid w:val="00F01784"/>
    <w:rsid w:val="00F02503"/>
    <w:rsid w:val="00F026E0"/>
    <w:rsid w:val="00F02E70"/>
    <w:rsid w:val="00F03575"/>
    <w:rsid w:val="00F03958"/>
    <w:rsid w:val="00F04156"/>
    <w:rsid w:val="00F047AE"/>
    <w:rsid w:val="00F055AE"/>
    <w:rsid w:val="00F058E8"/>
    <w:rsid w:val="00F05C17"/>
    <w:rsid w:val="00F06009"/>
    <w:rsid w:val="00F066A5"/>
    <w:rsid w:val="00F070F2"/>
    <w:rsid w:val="00F079C1"/>
    <w:rsid w:val="00F10418"/>
    <w:rsid w:val="00F111E9"/>
    <w:rsid w:val="00F11F21"/>
    <w:rsid w:val="00F125EC"/>
    <w:rsid w:val="00F13640"/>
    <w:rsid w:val="00F13E0B"/>
    <w:rsid w:val="00F14481"/>
    <w:rsid w:val="00F14752"/>
    <w:rsid w:val="00F149BF"/>
    <w:rsid w:val="00F1536C"/>
    <w:rsid w:val="00F15E63"/>
    <w:rsid w:val="00F163DA"/>
    <w:rsid w:val="00F1677C"/>
    <w:rsid w:val="00F16A9D"/>
    <w:rsid w:val="00F17D6C"/>
    <w:rsid w:val="00F201F1"/>
    <w:rsid w:val="00F20EC9"/>
    <w:rsid w:val="00F20F78"/>
    <w:rsid w:val="00F2103D"/>
    <w:rsid w:val="00F21F83"/>
    <w:rsid w:val="00F22611"/>
    <w:rsid w:val="00F23381"/>
    <w:rsid w:val="00F24472"/>
    <w:rsid w:val="00F25398"/>
    <w:rsid w:val="00F2558B"/>
    <w:rsid w:val="00F25738"/>
    <w:rsid w:val="00F2636A"/>
    <w:rsid w:val="00F26AAC"/>
    <w:rsid w:val="00F30523"/>
    <w:rsid w:val="00F3087A"/>
    <w:rsid w:val="00F31456"/>
    <w:rsid w:val="00F31A99"/>
    <w:rsid w:val="00F338FC"/>
    <w:rsid w:val="00F33F76"/>
    <w:rsid w:val="00F34018"/>
    <w:rsid w:val="00F34185"/>
    <w:rsid w:val="00F346C5"/>
    <w:rsid w:val="00F346FC"/>
    <w:rsid w:val="00F3479B"/>
    <w:rsid w:val="00F34D67"/>
    <w:rsid w:val="00F35A99"/>
    <w:rsid w:val="00F35E97"/>
    <w:rsid w:val="00F35EB5"/>
    <w:rsid w:val="00F369DC"/>
    <w:rsid w:val="00F36C52"/>
    <w:rsid w:val="00F370AB"/>
    <w:rsid w:val="00F378F7"/>
    <w:rsid w:val="00F40803"/>
    <w:rsid w:val="00F40872"/>
    <w:rsid w:val="00F40B5F"/>
    <w:rsid w:val="00F413C0"/>
    <w:rsid w:val="00F42442"/>
    <w:rsid w:val="00F4260B"/>
    <w:rsid w:val="00F42B5E"/>
    <w:rsid w:val="00F43208"/>
    <w:rsid w:val="00F43229"/>
    <w:rsid w:val="00F4410D"/>
    <w:rsid w:val="00F44542"/>
    <w:rsid w:val="00F449F8"/>
    <w:rsid w:val="00F4600A"/>
    <w:rsid w:val="00F46247"/>
    <w:rsid w:val="00F46497"/>
    <w:rsid w:val="00F50309"/>
    <w:rsid w:val="00F50702"/>
    <w:rsid w:val="00F50D6C"/>
    <w:rsid w:val="00F512EF"/>
    <w:rsid w:val="00F51E7C"/>
    <w:rsid w:val="00F52C98"/>
    <w:rsid w:val="00F52F7C"/>
    <w:rsid w:val="00F538E2"/>
    <w:rsid w:val="00F53BBC"/>
    <w:rsid w:val="00F53F59"/>
    <w:rsid w:val="00F546E3"/>
    <w:rsid w:val="00F55171"/>
    <w:rsid w:val="00F56A99"/>
    <w:rsid w:val="00F56B25"/>
    <w:rsid w:val="00F5779C"/>
    <w:rsid w:val="00F57D24"/>
    <w:rsid w:val="00F57FB6"/>
    <w:rsid w:val="00F60662"/>
    <w:rsid w:val="00F60978"/>
    <w:rsid w:val="00F615C8"/>
    <w:rsid w:val="00F616B3"/>
    <w:rsid w:val="00F61921"/>
    <w:rsid w:val="00F61CBF"/>
    <w:rsid w:val="00F62AD3"/>
    <w:rsid w:val="00F634E5"/>
    <w:rsid w:val="00F63FA5"/>
    <w:rsid w:val="00F64670"/>
    <w:rsid w:val="00F65280"/>
    <w:rsid w:val="00F654A2"/>
    <w:rsid w:val="00F6792B"/>
    <w:rsid w:val="00F702A9"/>
    <w:rsid w:val="00F70D42"/>
    <w:rsid w:val="00F717FE"/>
    <w:rsid w:val="00F71FB0"/>
    <w:rsid w:val="00F72018"/>
    <w:rsid w:val="00F72057"/>
    <w:rsid w:val="00F72647"/>
    <w:rsid w:val="00F72B98"/>
    <w:rsid w:val="00F72CA5"/>
    <w:rsid w:val="00F7398D"/>
    <w:rsid w:val="00F740C7"/>
    <w:rsid w:val="00F7422A"/>
    <w:rsid w:val="00F750A2"/>
    <w:rsid w:val="00F75298"/>
    <w:rsid w:val="00F75408"/>
    <w:rsid w:val="00F75425"/>
    <w:rsid w:val="00F754B5"/>
    <w:rsid w:val="00F75525"/>
    <w:rsid w:val="00F75690"/>
    <w:rsid w:val="00F76D47"/>
    <w:rsid w:val="00F77541"/>
    <w:rsid w:val="00F80484"/>
    <w:rsid w:val="00F80998"/>
    <w:rsid w:val="00F80C28"/>
    <w:rsid w:val="00F825A0"/>
    <w:rsid w:val="00F828C5"/>
    <w:rsid w:val="00F86021"/>
    <w:rsid w:val="00F860CC"/>
    <w:rsid w:val="00F861BD"/>
    <w:rsid w:val="00F8744D"/>
    <w:rsid w:val="00F87793"/>
    <w:rsid w:val="00F87A35"/>
    <w:rsid w:val="00F87E2E"/>
    <w:rsid w:val="00F90B4D"/>
    <w:rsid w:val="00F90E31"/>
    <w:rsid w:val="00F91251"/>
    <w:rsid w:val="00F91701"/>
    <w:rsid w:val="00F9188E"/>
    <w:rsid w:val="00F932B7"/>
    <w:rsid w:val="00F938E1"/>
    <w:rsid w:val="00F943A1"/>
    <w:rsid w:val="00F952C3"/>
    <w:rsid w:val="00F952D8"/>
    <w:rsid w:val="00F956C3"/>
    <w:rsid w:val="00F95B38"/>
    <w:rsid w:val="00F95F1F"/>
    <w:rsid w:val="00F96171"/>
    <w:rsid w:val="00F96533"/>
    <w:rsid w:val="00F965EA"/>
    <w:rsid w:val="00F96A1E"/>
    <w:rsid w:val="00F973E9"/>
    <w:rsid w:val="00F978DF"/>
    <w:rsid w:val="00F97C3C"/>
    <w:rsid w:val="00F97F7F"/>
    <w:rsid w:val="00FA1B51"/>
    <w:rsid w:val="00FA1D26"/>
    <w:rsid w:val="00FA247B"/>
    <w:rsid w:val="00FA29FC"/>
    <w:rsid w:val="00FA2F2F"/>
    <w:rsid w:val="00FA302E"/>
    <w:rsid w:val="00FA34B0"/>
    <w:rsid w:val="00FA37E8"/>
    <w:rsid w:val="00FA3D33"/>
    <w:rsid w:val="00FA3F3C"/>
    <w:rsid w:val="00FA4A73"/>
    <w:rsid w:val="00FA4FE2"/>
    <w:rsid w:val="00FA5885"/>
    <w:rsid w:val="00FA5CF4"/>
    <w:rsid w:val="00FA6259"/>
    <w:rsid w:val="00FA6571"/>
    <w:rsid w:val="00FA6BE6"/>
    <w:rsid w:val="00FA7950"/>
    <w:rsid w:val="00FA7A0E"/>
    <w:rsid w:val="00FA7D70"/>
    <w:rsid w:val="00FB010E"/>
    <w:rsid w:val="00FB02D7"/>
    <w:rsid w:val="00FB04BF"/>
    <w:rsid w:val="00FB0627"/>
    <w:rsid w:val="00FB0ADF"/>
    <w:rsid w:val="00FB0B05"/>
    <w:rsid w:val="00FB1762"/>
    <w:rsid w:val="00FB1992"/>
    <w:rsid w:val="00FB2615"/>
    <w:rsid w:val="00FB2C10"/>
    <w:rsid w:val="00FB2FE0"/>
    <w:rsid w:val="00FB37C8"/>
    <w:rsid w:val="00FB3F35"/>
    <w:rsid w:val="00FB4114"/>
    <w:rsid w:val="00FB42B8"/>
    <w:rsid w:val="00FB460C"/>
    <w:rsid w:val="00FB466F"/>
    <w:rsid w:val="00FB4B07"/>
    <w:rsid w:val="00FB4E61"/>
    <w:rsid w:val="00FB5046"/>
    <w:rsid w:val="00FB6020"/>
    <w:rsid w:val="00FB6BED"/>
    <w:rsid w:val="00FB6C80"/>
    <w:rsid w:val="00FC053C"/>
    <w:rsid w:val="00FC0864"/>
    <w:rsid w:val="00FC0A75"/>
    <w:rsid w:val="00FC0B57"/>
    <w:rsid w:val="00FC1059"/>
    <w:rsid w:val="00FC128D"/>
    <w:rsid w:val="00FC1A61"/>
    <w:rsid w:val="00FC235A"/>
    <w:rsid w:val="00FC273D"/>
    <w:rsid w:val="00FC368E"/>
    <w:rsid w:val="00FC49F2"/>
    <w:rsid w:val="00FC506D"/>
    <w:rsid w:val="00FC5371"/>
    <w:rsid w:val="00FC5431"/>
    <w:rsid w:val="00FC54A2"/>
    <w:rsid w:val="00FC5940"/>
    <w:rsid w:val="00FC61A9"/>
    <w:rsid w:val="00FC6DD3"/>
    <w:rsid w:val="00FC73CF"/>
    <w:rsid w:val="00FC79D5"/>
    <w:rsid w:val="00FC7CAD"/>
    <w:rsid w:val="00FD0087"/>
    <w:rsid w:val="00FD0797"/>
    <w:rsid w:val="00FD136B"/>
    <w:rsid w:val="00FD1D13"/>
    <w:rsid w:val="00FD2E99"/>
    <w:rsid w:val="00FD30B9"/>
    <w:rsid w:val="00FD360F"/>
    <w:rsid w:val="00FD3627"/>
    <w:rsid w:val="00FD3F38"/>
    <w:rsid w:val="00FD4838"/>
    <w:rsid w:val="00FD5697"/>
    <w:rsid w:val="00FD7006"/>
    <w:rsid w:val="00FD70CE"/>
    <w:rsid w:val="00FD7A96"/>
    <w:rsid w:val="00FE19C5"/>
    <w:rsid w:val="00FE1DF8"/>
    <w:rsid w:val="00FE400C"/>
    <w:rsid w:val="00FE4211"/>
    <w:rsid w:val="00FE4859"/>
    <w:rsid w:val="00FE4DAC"/>
    <w:rsid w:val="00FE5123"/>
    <w:rsid w:val="00FE512D"/>
    <w:rsid w:val="00FE51F9"/>
    <w:rsid w:val="00FE5F7F"/>
    <w:rsid w:val="00FE60F7"/>
    <w:rsid w:val="00FE6D58"/>
    <w:rsid w:val="00FE6F82"/>
    <w:rsid w:val="00FE7002"/>
    <w:rsid w:val="00FE7856"/>
    <w:rsid w:val="00FE7B2D"/>
    <w:rsid w:val="00FE7DAA"/>
    <w:rsid w:val="00FF0C32"/>
    <w:rsid w:val="00FF1CB2"/>
    <w:rsid w:val="00FF1FF7"/>
    <w:rsid w:val="00FF2D0B"/>
    <w:rsid w:val="00FF3078"/>
    <w:rsid w:val="00FF367A"/>
    <w:rsid w:val="00FF4261"/>
    <w:rsid w:val="00FF4D3B"/>
    <w:rsid w:val="00FF6CF7"/>
    <w:rsid w:val="014CF95E"/>
    <w:rsid w:val="01B23054"/>
    <w:rsid w:val="025C042A"/>
    <w:rsid w:val="05A54FFD"/>
    <w:rsid w:val="06F26051"/>
    <w:rsid w:val="0796AF19"/>
    <w:rsid w:val="081EAB34"/>
    <w:rsid w:val="0A8FEC27"/>
    <w:rsid w:val="0B40444C"/>
    <w:rsid w:val="0B5A6F43"/>
    <w:rsid w:val="0D4DD748"/>
    <w:rsid w:val="0DDF57A2"/>
    <w:rsid w:val="0E394FF1"/>
    <w:rsid w:val="0FD2F7F8"/>
    <w:rsid w:val="100E607D"/>
    <w:rsid w:val="102B3827"/>
    <w:rsid w:val="10BF5A45"/>
    <w:rsid w:val="10D2B1E3"/>
    <w:rsid w:val="12841B06"/>
    <w:rsid w:val="12893A72"/>
    <w:rsid w:val="12DB8654"/>
    <w:rsid w:val="1329DCA2"/>
    <w:rsid w:val="1467952D"/>
    <w:rsid w:val="1492C317"/>
    <w:rsid w:val="18AD9735"/>
    <w:rsid w:val="1A30D0D5"/>
    <w:rsid w:val="1B1BF8FB"/>
    <w:rsid w:val="1B37EE77"/>
    <w:rsid w:val="1B4B6A88"/>
    <w:rsid w:val="1BE33FB9"/>
    <w:rsid w:val="1D938010"/>
    <w:rsid w:val="1DD91301"/>
    <w:rsid w:val="1FAF9A7E"/>
    <w:rsid w:val="21D9C7BB"/>
    <w:rsid w:val="220B80FD"/>
    <w:rsid w:val="242EFA52"/>
    <w:rsid w:val="24BB286F"/>
    <w:rsid w:val="25CEDFA2"/>
    <w:rsid w:val="27C43BC8"/>
    <w:rsid w:val="282EE5BE"/>
    <w:rsid w:val="2905AB83"/>
    <w:rsid w:val="29B85AB6"/>
    <w:rsid w:val="2A68FA6F"/>
    <w:rsid w:val="2AD4B6AF"/>
    <w:rsid w:val="2B448E6F"/>
    <w:rsid w:val="2B6847D0"/>
    <w:rsid w:val="2DB93291"/>
    <w:rsid w:val="2E2BC297"/>
    <w:rsid w:val="313BCE3F"/>
    <w:rsid w:val="33EBA09F"/>
    <w:rsid w:val="35756CDB"/>
    <w:rsid w:val="3584ECDD"/>
    <w:rsid w:val="35B3888E"/>
    <w:rsid w:val="36D2B56C"/>
    <w:rsid w:val="374C2729"/>
    <w:rsid w:val="3792040C"/>
    <w:rsid w:val="3840C1C8"/>
    <w:rsid w:val="39B2280D"/>
    <w:rsid w:val="39C169AB"/>
    <w:rsid w:val="3ACA226B"/>
    <w:rsid w:val="3AD1B5E2"/>
    <w:rsid w:val="3B54C884"/>
    <w:rsid w:val="3B808C7E"/>
    <w:rsid w:val="3BB8B794"/>
    <w:rsid w:val="3BB9CCA9"/>
    <w:rsid w:val="3C932AEC"/>
    <w:rsid w:val="3CD44DA9"/>
    <w:rsid w:val="3D2AD62A"/>
    <w:rsid w:val="3DF2C1AD"/>
    <w:rsid w:val="3E97E651"/>
    <w:rsid w:val="3FD832AF"/>
    <w:rsid w:val="4113A385"/>
    <w:rsid w:val="41CC50A2"/>
    <w:rsid w:val="4221E825"/>
    <w:rsid w:val="42B27E6E"/>
    <w:rsid w:val="43218F95"/>
    <w:rsid w:val="439FFD9D"/>
    <w:rsid w:val="4405FDE1"/>
    <w:rsid w:val="4421C08C"/>
    <w:rsid w:val="4522A7FF"/>
    <w:rsid w:val="46B1C6E5"/>
    <w:rsid w:val="46B3B1C0"/>
    <w:rsid w:val="46BE1521"/>
    <w:rsid w:val="470FD816"/>
    <w:rsid w:val="480F1326"/>
    <w:rsid w:val="491BA4D4"/>
    <w:rsid w:val="4A1F80A4"/>
    <w:rsid w:val="4AE948BA"/>
    <w:rsid w:val="4B62E998"/>
    <w:rsid w:val="4BE75DFB"/>
    <w:rsid w:val="4C3DC197"/>
    <w:rsid w:val="4C5F1E13"/>
    <w:rsid w:val="4CB39BEC"/>
    <w:rsid w:val="4ECA7551"/>
    <w:rsid w:val="4F280142"/>
    <w:rsid w:val="4F54785F"/>
    <w:rsid w:val="5065C0B5"/>
    <w:rsid w:val="50A53646"/>
    <w:rsid w:val="50E309F8"/>
    <w:rsid w:val="51B2209B"/>
    <w:rsid w:val="51BE7FEA"/>
    <w:rsid w:val="51F36477"/>
    <w:rsid w:val="52780018"/>
    <w:rsid w:val="527FCBE0"/>
    <w:rsid w:val="5299D3B6"/>
    <w:rsid w:val="52E9389E"/>
    <w:rsid w:val="5331C5FA"/>
    <w:rsid w:val="53DE05F8"/>
    <w:rsid w:val="548A2C1B"/>
    <w:rsid w:val="54FD3951"/>
    <w:rsid w:val="553C4E6E"/>
    <w:rsid w:val="5541E0C9"/>
    <w:rsid w:val="55AFD92B"/>
    <w:rsid w:val="57326167"/>
    <w:rsid w:val="57D43AC1"/>
    <w:rsid w:val="59382F83"/>
    <w:rsid w:val="5A068AEE"/>
    <w:rsid w:val="5ACC2889"/>
    <w:rsid w:val="5DD2C7D7"/>
    <w:rsid w:val="5F236F93"/>
    <w:rsid w:val="5F67F743"/>
    <w:rsid w:val="5FB0EE5E"/>
    <w:rsid w:val="603284F7"/>
    <w:rsid w:val="606321C4"/>
    <w:rsid w:val="623BB0C2"/>
    <w:rsid w:val="62A7FB45"/>
    <w:rsid w:val="64319C8E"/>
    <w:rsid w:val="64A95A4D"/>
    <w:rsid w:val="64B9498E"/>
    <w:rsid w:val="64BA6CEB"/>
    <w:rsid w:val="64EE45A9"/>
    <w:rsid w:val="64EF2522"/>
    <w:rsid w:val="665BF4CF"/>
    <w:rsid w:val="67BAA248"/>
    <w:rsid w:val="6A5AF1DB"/>
    <w:rsid w:val="6AF3BCB0"/>
    <w:rsid w:val="6D848D52"/>
    <w:rsid w:val="6EED12CB"/>
    <w:rsid w:val="704497EF"/>
    <w:rsid w:val="710B67F8"/>
    <w:rsid w:val="71307882"/>
    <w:rsid w:val="71D18E0E"/>
    <w:rsid w:val="722010F5"/>
    <w:rsid w:val="723CB2D6"/>
    <w:rsid w:val="727A7158"/>
    <w:rsid w:val="739EA3C7"/>
    <w:rsid w:val="7727D04D"/>
    <w:rsid w:val="77305291"/>
    <w:rsid w:val="77F410A1"/>
    <w:rsid w:val="780A8F57"/>
    <w:rsid w:val="78874BD0"/>
    <w:rsid w:val="78E3BD94"/>
    <w:rsid w:val="79298964"/>
    <w:rsid w:val="79424C1F"/>
    <w:rsid w:val="7A0F6A84"/>
    <w:rsid w:val="7AB6713B"/>
    <w:rsid w:val="7AE53175"/>
    <w:rsid w:val="7AEA8762"/>
    <w:rsid w:val="7AF403D4"/>
    <w:rsid w:val="7BBB3C34"/>
    <w:rsid w:val="7BE025ED"/>
    <w:rsid w:val="7C72A8E1"/>
    <w:rsid w:val="7CAE0DA0"/>
    <w:rsid w:val="7CC706F2"/>
    <w:rsid w:val="7D0DCEE1"/>
    <w:rsid w:val="7DC98A36"/>
    <w:rsid w:val="7E460A2B"/>
    <w:rsid w:val="7EC72F27"/>
    <w:rsid w:val="7F0E1E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0A7ACE"/>
  <w15:docId w15:val="{65C51267-BB60-43DE-ACB6-E196A612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51A"/>
    <w:rPr>
      <w:lang w:val="lv-LV"/>
    </w:rPr>
  </w:style>
  <w:style w:type="paragraph" w:styleId="Heading1">
    <w:name w:val="heading 1"/>
    <w:basedOn w:val="Normal"/>
    <w:next w:val="Normal"/>
    <w:link w:val="Heading1Char"/>
    <w:uiPriority w:val="9"/>
    <w:qFormat/>
    <w:rsid w:val="00FA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3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742970"/>
    <w:pPr>
      <w:ind w:left="720"/>
      <w:contextualSpacing/>
    </w:pPr>
    <w:rPr>
      <w:rFonts w:ascii="Calibri" w:eastAsia="Calibri" w:hAnsi="Calibri" w:cs="Times New Roman"/>
      <w:lang w:val="en-US"/>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742970"/>
    <w:rPr>
      <w:rFonts w:ascii="Calibri" w:eastAsia="Calibri" w:hAnsi="Calibri" w:cs="Times New Roman"/>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742970"/>
    <w:pPr>
      <w:spacing w:after="0" w:line="240" w:lineRule="auto"/>
    </w:pPr>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742970"/>
    <w:rPr>
      <w:sz w:val="20"/>
      <w:szCs w:val="20"/>
      <w:lang w:val="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vertAlign w:val="superscript"/>
      <w:lang w:val="en-US"/>
    </w:rPr>
  </w:style>
  <w:style w:type="paragraph" w:styleId="BalloonText">
    <w:name w:val="Balloon Text"/>
    <w:basedOn w:val="Normal"/>
    <w:link w:val="BalloonTextChar"/>
    <w:uiPriority w:val="99"/>
    <w:semiHidden/>
    <w:unhideWhenUsed/>
    <w:rsid w:val="007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D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aliases w:val=" Char,Char"/>
    <w:basedOn w:val="Normal"/>
    <w:link w:val="CommentTextChar"/>
    <w:unhideWhenUsed/>
    <w:rsid w:val="00291D09"/>
    <w:pPr>
      <w:spacing w:line="240" w:lineRule="auto"/>
    </w:pPr>
    <w:rPr>
      <w:sz w:val="20"/>
      <w:szCs w:val="20"/>
    </w:rPr>
  </w:style>
  <w:style w:type="character" w:customStyle="1" w:styleId="CommentTextChar">
    <w:name w:val="Comment Text Char"/>
    <w:aliases w:val=" Char Char,Char Char"/>
    <w:basedOn w:val="DefaultParagraphFont"/>
    <w:link w:val="CommentText"/>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pakapesvirsraksts">
    <w:name w:val="1. pakapes virsraksts"/>
    <w:basedOn w:val="Normal"/>
    <w:rsid w:val="00BD53DE"/>
    <w:pPr>
      <w:numPr>
        <w:numId w:val="2"/>
      </w:numPr>
    </w:pPr>
  </w:style>
  <w:style w:type="paragraph" w:customStyle="1" w:styleId="2pakapesvirsraksts">
    <w:name w:val="2. pakapes virsraksts"/>
    <w:basedOn w:val="Normal"/>
    <w:rsid w:val="00BD53DE"/>
    <w:pPr>
      <w:numPr>
        <w:ilvl w:val="1"/>
        <w:numId w:val="2"/>
      </w:numPr>
      <w:ind w:left="547"/>
    </w:pPr>
  </w:style>
  <w:style w:type="paragraph" w:customStyle="1" w:styleId="3pakapesvirsraksts">
    <w:name w:val="3. pakapes virsraksts"/>
    <w:basedOn w:val="Normal"/>
    <w:rsid w:val="00BD53DE"/>
    <w:pPr>
      <w:numPr>
        <w:ilvl w:val="2"/>
        <w:numId w:val="2"/>
      </w:numPr>
    </w:pPr>
  </w:style>
  <w:style w:type="paragraph" w:customStyle="1" w:styleId="4pakapesvirsraksts">
    <w:name w:val="4. pakapes virsraksts"/>
    <w:basedOn w:val="Normal"/>
    <w:rsid w:val="00BD53DE"/>
    <w:pPr>
      <w:numPr>
        <w:ilvl w:val="3"/>
        <w:numId w:val="2"/>
      </w:numPr>
    </w:p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rmal1,No Spacing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rmal1 Char,No Spacing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10A18"/>
    <w:pPr>
      <w:spacing w:after="0" w:line="240" w:lineRule="auto"/>
    </w:pPr>
    <w:rPr>
      <w:lang w:val="lv-LV"/>
    </w:rPr>
  </w:style>
  <w:style w:type="character" w:styleId="FollowedHyperlink">
    <w:name w:val="FollowedHyperlink"/>
    <w:basedOn w:val="DefaultParagraphFont"/>
    <w:uiPriority w:val="99"/>
    <w:semiHidden/>
    <w:unhideWhenUsed/>
    <w:rsid w:val="00E37BCC"/>
    <w:rPr>
      <w:color w:val="800080" w:themeColor="followedHyperlink"/>
      <w:u w:val="single"/>
    </w:rPr>
  </w:style>
  <w:style w:type="table" w:customStyle="1" w:styleId="TableGrid0">
    <w:name w:val="Table Grid0"/>
    <w:rsid w:val="00231C73"/>
    <w:pPr>
      <w:spacing w:after="0" w:line="240" w:lineRule="auto"/>
    </w:pPr>
    <w:rPr>
      <w:rFonts w:eastAsiaTheme="minorEastAsia"/>
      <w:lang w:val="lv-LV" w:eastAsia="lv-LV"/>
    </w:rPr>
    <w:tblPr>
      <w:tblCellMar>
        <w:top w:w="0" w:type="dxa"/>
        <w:left w:w="0" w:type="dxa"/>
        <w:bottom w:w="0" w:type="dxa"/>
        <w:right w:w="0" w:type="dxa"/>
      </w:tblCellMar>
    </w:tblPr>
  </w:style>
  <w:style w:type="table" w:styleId="GridTable1Light-Accent1">
    <w:name w:val="Grid Table 1 Light Accent 1"/>
    <w:basedOn w:val="TableNormal"/>
    <w:uiPriority w:val="46"/>
    <w:rsid w:val="0089372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6359">
      <w:bodyDiv w:val="1"/>
      <w:marLeft w:val="0"/>
      <w:marRight w:val="0"/>
      <w:marTop w:val="0"/>
      <w:marBottom w:val="0"/>
      <w:divBdr>
        <w:top w:val="none" w:sz="0" w:space="0" w:color="auto"/>
        <w:left w:val="none" w:sz="0" w:space="0" w:color="auto"/>
        <w:bottom w:val="none" w:sz="0" w:space="0" w:color="auto"/>
        <w:right w:val="none" w:sz="0" w:space="0" w:color="auto"/>
      </w:divBdr>
    </w:div>
    <w:div w:id="54623111">
      <w:bodyDiv w:val="1"/>
      <w:marLeft w:val="0"/>
      <w:marRight w:val="0"/>
      <w:marTop w:val="0"/>
      <w:marBottom w:val="0"/>
      <w:divBdr>
        <w:top w:val="none" w:sz="0" w:space="0" w:color="auto"/>
        <w:left w:val="none" w:sz="0" w:space="0" w:color="auto"/>
        <w:bottom w:val="none" w:sz="0" w:space="0" w:color="auto"/>
        <w:right w:val="none" w:sz="0" w:space="0" w:color="auto"/>
      </w:divBdr>
    </w:div>
    <w:div w:id="56905054">
      <w:bodyDiv w:val="1"/>
      <w:marLeft w:val="0"/>
      <w:marRight w:val="0"/>
      <w:marTop w:val="0"/>
      <w:marBottom w:val="0"/>
      <w:divBdr>
        <w:top w:val="none" w:sz="0" w:space="0" w:color="auto"/>
        <w:left w:val="none" w:sz="0" w:space="0" w:color="auto"/>
        <w:bottom w:val="none" w:sz="0" w:space="0" w:color="auto"/>
        <w:right w:val="none" w:sz="0" w:space="0" w:color="auto"/>
      </w:divBdr>
    </w:div>
    <w:div w:id="71859112">
      <w:bodyDiv w:val="1"/>
      <w:marLeft w:val="0"/>
      <w:marRight w:val="0"/>
      <w:marTop w:val="0"/>
      <w:marBottom w:val="0"/>
      <w:divBdr>
        <w:top w:val="none" w:sz="0" w:space="0" w:color="auto"/>
        <w:left w:val="none" w:sz="0" w:space="0" w:color="auto"/>
        <w:bottom w:val="none" w:sz="0" w:space="0" w:color="auto"/>
        <w:right w:val="none" w:sz="0" w:space="0" w:color="auto"/>
      </w:divBdr>
    </w:div>
    <w:div w:id="82729108">
      <w:bodyDiv w:val="1"/>
      <w:marLeft w:val="0"/>
      <w:marRight w:val="0"/>
      <w:marTop w:val="0"/>
      <w:marBottom w:val="0"/>
      <w:divBdr>
        <w:top w:val="none" w:sz="0" w:space="0" w:color="auto"/>
        <w:left w:val="none" w:sz="0" w:space="0" w:color="auto"/>
        <w:bottom w:val="none" w:sz="0" w:space="0" w:color="auto"/>
        <w:right w:val="none" w:sz="0" w:space="0" w:color="auto"/>
      </w:divBdr>
    </w:div>
    <w:div w:id="98261875">
      <w:bodyDiv w:val="1"/>
      <w:marLeft w:val="0"/>
      <w:marRight w:val="0"/>
      <w:marTop w:val="0"/>
      <w:marBottom w:val="0"/>
      <w:divBdr>
        <w:top w:val="none" w:sz="0" w:space="0" w:color="auto"/>
        <w:left w:val="none" w:sz="0" w:space="0" w:color="auto"/>
        <w:bottom w:val="none" w:sz="0" w:space="0" w:color="auto"/>
        <w:right w:val="none" w:sz="0" w:space="0" w:color="auto"/>
      </w:divBdr>
    </w:div>
    <w:div w:id="133455429">
      <w:bodyDiv w:val="1"/>
      <w:marLeft w:val="0"/>
      <w:marRight w:val="0"/>
      <w:marTop w:val="0"/>
      <w:marBottom w:val="0"/>
      <w:divBdr>
        <w:top w:val="none" w:sz="0" w:space="0" w:color="auto"/>
        <w:left w:val="none" w:sz="0" w:space="0" w:color="auto"/>
        <w:bottom w:val="none" w:sz="0" w:space="0" w:color="auto"/>
        <w:right w:val="none" w:sz="0" w:space="0" w:color="auto"/>
      </w:divBdr>
    </w:div>
    <w:div w:id="134034404">
      <w:bodyDiv w:val="1"/>
      <w:marLeft w:val="0"/>
      <w:marRight w:val="0"/>
      <w:marTop w:val="0"/>
      <w:marBottom w:val="0"/>
      <w:divBdr>
        <w:top w:val="none" w:sz="0" w:space="0" w:color="auto"/>
        <w:left w:val="none" w:sz="0" w:space="0" w:color="auto"/>
        <w:bottom w:val="none" w:sz="0" w:space="0" w:color="auto"/>
        <w:right w:val="none" w:sz="0" w:space="0" w:color="auto"/>
      </w:divBdr>
    </w:div>
    <w:div w:id="142964955">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8883551">
      <w:bodyDiv w:val="1"/>
      <w:marLeft w:val="0"/>
      <w:marRight w:val="0"/>
      <w:marTop w:val="0"/>
      <w:marBottom w:val="0"/>
      <w:divBdr>
        <w:top w:val="none" w:sz="0" w:space="0" w:color="auto"/>
        <w:left w:val="none" w:sz="0" w:space="0" w:color="auto"/>
        <w:bottom w:val="none" w:sz="0" w:space="0" w:color="auto"/>
        <w:right w:val="none" w:sz="0" w:space="0" w:color="auto"/>
      </w:divBdr>
    </w:div>
    <w:div w:id="190995251">
      <w:bodyDiv w:val="1"/>
      <w:marLeft w:val="0"/>
      <w:marRight w:val="0"/>
      <w:marTop w:val="0"/>
      <w:marBottom w:val="0"/>
      <w:divBdr>
        <w:top w:val="none" w:sz="0" w:space="0" w:color="auto"/>
        <w:left w:val="none" w:sz="0" w:space="0" w:color="auto"/>
        <w:bottom w:val="none" w:sz="0" w:space="0" w:color="auto"/>
        <w:right w:val="none" w:sz="0" w:space="0" w:color="auto"/>
      </w:divBdr>
    </w:div>
    <w:div w:id="205533961">
      <w:bodyDiv w:val="1"/>
      <w:marLeft w:val="0"/>
      <w:marRight w:val="0"/>
      <w:marTop w:val="0"/>
      <w:marBottom w:val="0"/>
      <w:divBdr>
        <w:top w:val="none" w:sz="0" w:space="0" w:color="auto"/>
        <w:left w:val="none" w:sz="0" w:space="0" w:color="auto"/>
        <w:bottom w:val="none" w:sz="0" w:space="0" w:color="auto"/>
        <w:right w:val="none" w:sz="0" w:space="0" w:color="auto"/>
      </w:divBdr>
    </w:div>
    <w:div w:id="228345018">
      <w:bodyDiv w:val="1"/>
      <w:marLeft w:val="0"/>
      <w:marRight w:val="0"/>
      <w:marTop w:val="0"/>
      <w:marBottom w:val="0"/>
      <w:divBdr>
        <w:top w:val="none" w:sz="0" w:space="0" w:color="auto"/>
        <w:left w:val="none" w:sz="0" w:space="0" w:color="auto"/>
        <w:bottom w:val="none" w:sz="0" w:space="0" w:color="auto"/>
        <w:right w:val="none" w:sz="0" w:space="0" w:color="auto"/>
      </w:divBdr>
    </w:div>
    <w:div w:id="241451789">
      <w:bodyDiv w:val="1"/>
      <w:marLeft w:val="0"/>
      <w:marRight w:val="0"/>
      <w:marTop w:val="0"/>
      <w:marBottom w:val="0"/>
      <w:divBdr>
        <w:top w:val="none" w:sz="0" w:space="0" w:color="auto"/>
        <w:left w:val="none" w:sz="0" w:space="0" w:color="auto"/>
        <w:bottom w:val="none" w:sz="0" w:space="0" w:color="auto"/>
        <w:right w:val="none" w:sz="0" w:space="0" w:color="auto"/>
      </w:divBdr>
    </w:div>
    <w:div w:id="244875101">
      <w:bodyDiv w:val="1"/>
      <w:marLeft w:val="0"/>
      <w:marRight w:val="0"/>
      <w:marTop w:val="0"/>
      <w:marBottom w:val="0"/>
      <w:divBdr>
        <w:top w:val="none" w:sz="0" w:space="0" w:color="auto"/>
        <w:left w:val="none" w:sz="0" w:space="0" w:color="auto"/>
        <w:bottom w:val="none" w:sz="0" w:space="0" w:color="auto"/>
        <w:right w:val="none" w:sz="0" w:space="0" w:color="auto"/>
      </w:divBdr>
    </w:div>
    <w:div w:id="324820903">
      <w:bodyDiv w:val="1"/>
      <w:marLeft w:val="0"/>
      <w:marRight w:val="0"/>
      <w:marTop w:val="0"/>
      <w:marBottom w:val="0"/>
      <w:divBdr>
        <w:top w:val="none" w:sz="0" w:space="0" w:color="auto"/>
        <w:left w:val="none" w:sz="0" w:space="0" w:color="auto"/>
        <w:bottom w:val="none" w:sz="0" w:space="0" w:color="auto"/>
        <w:right w:val="none" w:sz="0" w:space="0" w:color="auto"/>
      </w:divBdr>
    </w:div>
    <w:div w:id="384716017">
      <w:bodyDiv w:val="1"/>
      <w:marLeft w:val="0"/>
      <w:marRight w:val="0"/>
      <w:marTop w:val="0"/>
      <w:marBottom w:val="0"/>
      <w:divBdr>
        <w:top w:val="none" w:sz="0" w:space="0" w:color="auto"/>
        <w:left w:val="none" w:sz="0" w:space="0" w:color="auto"/>
        <w:bottom w:val="none" w:sz="0" w:space="0" w:color="auto"/>
        <w:right w:val="none" w:sz="0" w:space="0" w:color="auto"/>
      </w:divBdr>
    </w:div>
    <w:div w:id="392049318">
      <w:bodyDiv w:val="1"/>
      <w:marLeft w:val="0"/>
      <w:marRight w:val="0"/>
      <w:marTop w:val="0"/>
      <w:marBottom w:val="0"/>
      <w:divBdr>
        <w:top w:val="none" w:sz="0" w:space="0" w:color="auto"/>
        <w:left w:val="none" w:sz="0" w:space="0" w:color="auto"/>
        <w:bottom w:val="none" w:sz="0" w:space="0" w:color="auto"/>
        <w:right w:val="none" w:sz="0" w:space="0" w:color="auto"/>
      </w:divBdr>
    </w:div>
    <w:div w:id="432282900">
      <w:bodyDiv w:val="1"/>
      <w:marLeft w:val="0"/>
      <w:marRight w:val="0"/>
      <w:marTop w:val="0"/>
      <w:marBottom w:val="0"/>
      <w:divBdr>
        <w:top w:val="none" w:sz="0" w:space="0" w:color="auto"/>
        <w:left w:val="none" w:sz="0" w:space="0" w:color="auto"/>
        <w:bottom w:val="none" w:sz="0" w:space="0" w:color="auto"/>
        <w:right w:val="none" w:sz="0" w:space="0" w:color="auto"/>
      </w:divBdr>
    </w:div>
    <w:div w:id="517281714">
      <w:bodyDiv w:val="1"/>
      <w:marLeft w:val="0"/>
      <w:marRight w:val="0"/>
      <w:marTop w:val="0"/>
      <w:marBottom w:val="0"/>
      <w:divBdr>
        <w:top w:val="none" w:sz="0" w:space="0" w:color="auto"/>
        <w:left w:val="none" w:sz="0" w:space="0" w:color="auto"/>
        <w:bottom w:val="none" w:sz="0" w:space="0" w:color="auto"/>
        <w:right w:val="none" w:sz="0" w:space="0" w:color="auto"/>
      </w:divBdr>
    </w:div>
    <w:div w:id="530921284">
      <w:bodyDiv w:val="1"/>
      <w:marLeft w:val="0"/>
      <w:marRight w:val="0"/>
      <w:marTop w:val="0"/>
      <w:marBottom w:val="0"/>
      <w:divBdr>
        <w:top w:val="none" w:sz="0" w:space="0" w:color="auto"/>
        <w:left w:val="none" w:sz="0" w:space="0" w:color="auto"/>
        <w:bottom w:val="none" w:sz="0" w:space="0" w:color="auto"/>
        <w:right w:val="none" w:sz="0" w:space="0" w:color="auto"/>
      </w:divBdr>
    </w:div>
    <w:div w:id="547492592">
      <w:bodyDiv w:val="1"/>
      <w:marLeft w:val="0"/>
      <w:marRight w:val="0"/>
      <w:marTop w:val="0"/>
      <w:marBottom w:val="0"/>
      <w:divBdr>
        <w:top w:val="none" w:sz="0" w:space="0" w:color="auto"/>
        <w:left w:val="none" w:sz="0" w:space="0" w:color="auto"/>
        <w:bottom w:val="none" w:sz="0" w:space="0" w:color="auto"/>
        <w:right w:val="none" w:sz="0" w:space="0" w:color="auto"/>
      </w:divBdr>
    </w:div>
    <w:div w:id="573128146">
      <w:bodyDiv w:val="1"/>
      <w:marLeft w:val="0"/>
      <w:marRight w:val="0"/>
      <w:marTop w:val="0"/>
      <w:marBottom w:val="0"/>
      <w:divBdr>
        <w:top w:val="none" w:sz="0" w:space="0" w:color="auto"/>
        <w:left w:val="none" w:sz="0" w:space="0" w:color="auto"/>
        <w:bottom w:val="none" w:sz="0" w:space="0" w:color="auto"/>
        <w:right w:val="none" w:sz="0" w:space="0" w:color="auto"/>
      </w:divBdr>
    </w:div>
    <w:div w:id="588849082">
      <w:bodyDiv w:val="1"/>
      <w:marLeft w:val="0"/>
      <w:marRight w:val="0"/>
      <w:marTop w:val="0"/>
      <w:marBottom w:val="0"/>
      <w:divBdr>
        <w:top w:val="none" w:sz="0" w:space="0" w:color="auto"/>
        <w:left w:val="none" w:sz="0" w:space="0" w:color="auto"/>
        <w:bottom w:val="none" w:sz="0" w:space="0" w:color="auto"/>
        <w:right w:val="none" w:sz="0" w:space="0" w:color="auto"/>
      </w:divBdr>
    </w:div>
    <w:div w:id="606474440">
      <w:bodyDiv w:val="1"/>
      <w:marLeft w:val="0"/>
      <w:marRight w:val="0"/>
      <w:marTop w:val="0"/>
      <w:marBottom w:val="0"/>
      <w:divBdr>
        <w:top w:val="none" w:sz="0" w:space="0" w:color="auto"/>
        <w:left w:val="none" w:sz="0" w:space="0" w:color="auto"/>
        <w:bottom w:val="none" w:sz="0" w:space="0" w:color="auto"/>
        <w:right w:val="none" w:sz="0" w:space="0" w:color="auto"/>
      </w:divBdr>
    </w:div>
    <w:div w:id="624772373">
      <w:bodyDiv w:val="1"/>
      <w:marLeft w:val="0"/>
      <w:marRight w:val="0"/>
      <w:marTop w:val="0"/>
      <w:marBottom w:val="0"/>
      <w:divBdr>
        <w:top w:val="none" w:sz="0" w:space="0" w:color="auto"/>
        <w:left w:val="none" w:sz="0" w:space="0" w:color="auto"/>
        <w:bottom w:val="none" w:sz="0" w:space="0" w:color="auto"/>
        <w:right w:val="none" w:sz="0" w:space="0" w:color="auto"/>
      </w:divBdr>
    </w:div>
    <w:div w:id="628169238">
      <w:bodyDiv w:val="1"/>
      <w:marLeft w:val="0"/>
      <w:marRight w:val="0"/>
      <w:marTop w:val="0"/>
      <w:marBottom w:val="0"/>
      <w:divBdr>
        <w:top w:val="none" w:sz="0" w:space="0" w:color="auto"/>
        <w:left w:val="none" w:sz="0" w:space="0" w:color="auto"/>
        <w:bottom w:val="none" w:sz="0" w:space="0" w:color="auto"/>
        <w:right w:val="none" w:sz="0" w:space="0" w:color="auto"/>
      </w:divBdr>
    </w:div>
    <w:div w:id="650594583">
      <w:bodyDiv w:val="1"/>
      <w:marLeft w:val="0"/>
      <w:marRight w:val="0"/>
      <w:marTop w:val="0"/>
      <w:marBottom w:val="0"/>
      <w:divBdr>
        <w:top w:val="none" w:sz="0" w:space="0" w:color="auto"/>
        <w:left w:val="none" w:sz="0" w:space="0" w:color="auto"/>
        <w:bottom w:val="none" w:sz="0" w:space="0" w:color="auto"/>
        <w:right w:val="none" w:sz="0" w:space="0" w:color="auto"/>
      </w:divBdr>
    </w:div>
    <w:div w:id="667754344">
      <w:bodyDiv w:val="1"/>
      <w:marLeft w:val="0"/>
      <w:marRight w:val="0"/>
      <w:marTop w:val="0"/>
      <w:marBottom w:val="0"/>
      <w:divBdr>
        <w:top w:val="none" w:sz="0" w:space="0" w:color="auto"/>
        <w:left w:val="none" w:sz="0" w:space="0" w:color="auto"/>
        <w:bottom w:val="none" w:sz="0" w:space="0" w:color="auto"/>
        <w:right w:val="none" w:sz="0" w:space="0" w:color="auto"/>
      </w:divBdr>
    </w:div>
    <w:div w:id="670913937">
      <w:bodyDiv w:val="1"/>
      <w:marLeft w:val="0"/>
      <w:marRight w:val="0"/>
      <w:marTop w:val="0"/>
      <w:marBottom w:val="0"/>
      <w:divBdr>
        <w:top w:val="none" w:sz="0" w:space="0" w:color="auto"/>
        <w:left w:val="none" w:sz="0" w:space="0" w:color="auto"/>
        <w:bottom w:val="none" w:sz="0" w:space="0" w:color="auto"/>
        <w:right w:val="none" w:sz="0" w:space="0" w:color="auto"/>
      </w:divBdr>
    </w:div>
    <w:div w:id="674497163">
      <w:bodyDiv w:val="1"/>
      <w:marLeft w:val="0"/>
      <w:marRight w:val="0"/>
      <w:marTop w:val="0"/>
      <w:marBottom w:val="0"/>
      <w:divBdr>
        <w:top w:val="none" w:sz="0" w:space="0" w:color="auto"/>
        <w:left w:val="none" w:sz="0" w:space="0" w:color="auto"/>
        <w:bottom w:val="none" w:sz="0" w:space="0" w:color="auto"/>
        <w:right w:val="none" w:sz="0" w:space="0" w:color="auto"/>
      </w:divBdr>
    </w:div>
    <w:div w:id="696393515">
      <w:bodyDiv w:val="1"/>
      <w:marLeft w:val="0"/>
      <w:marRight w:val="0"/>
      <w:marTop w:val="0"/>
      <w:marBottom w:val="0"/>
      <w:divBdr>
        <w:top w:val="none" w:sz="0" w:space="0" w:color="auto"/>
        <w:left w:val="none" w:sz="0" w:space="0" w:color="auto"/>
        <w:bottom w:val="none" w:sz="0" w:space="0" w:color="auto"/>
        <w:right w:val="none" w:sz="0" w:space="0" w:color="auto"/>
      </w:divBdr>
    </w:div>
    <w:div w:id="713696077">
      <w:bodyDiv w:val="1"/>
      <w:marLeft w:val="0"/>
      <w:marRight w:val="0"/>
      <w:marTop w:val="0"/>
      <w:marBottom w:val="0"/>
      <w:divBdr>
        <w:top w:val="none" w:sz="0" w:space="0" w:color="auto"/>
        <w:left w:val="none" w:sz="0" w:space="0" w:color="auto"/>
        <w:bottom w:val="none" w:sz="0" w:space="0" w:color="auto"/>
        <w:right w:val="none" w:sz="0" w:space="0" w:color="auto"/>
      </w:divBdr>
    </w:div>
    <w:div w:id="715357540">
      <w:bodyDiv w:val="1"/>
      <w:marLeft w:val="0"/>
      <w:marRight w:val="0"/>
      <w:marTop w:val="0"/>
      <w:marBottom w:val="0"/>
      <w:divBdr>
        <w:top w:val="none" w:sz="0" w:space="0" w:color="auto"/>
        <w:left w:val="none" w:sz="0" w:space="0" w:color="auto"/>
        <w:bottom w:val="none" w:sz="0" w:space="0" w:color="auto"/>
        <w:right w:val="none" w:sz="0" w:space="0" w:color="auto"/>
      </w:divBdr>
    </w:div>
    <w:div w:id="719211920">
      <w:bodyDiv w:val="1"/>
      <w:marLeft w:val="0"/>
      <w:marRight w:val="0"/>
      <w:marTop w:val="0"/>
      <w:marBottom w:val="0"/>
      <w:divBdr>
        <w:top w:val="none" w:sz="0" w:space="0" w:color="auto"/>
        <w:left w:val="none" w:sz="0" w:space="0" w:color="auto"/>
        <w:bottom w:val="none" w:sz="0" w:space="0" w:color="auto"/>
        <w:right w:val="none" w:sz="0" w:space="0" w:color="auto"/>
      </w:divBdr>
    </w:div>
    <w:div w:id="730887731">
      <w:bodyDiv w:val="1"/>
      <w:marLeft w:val="0"/>
      <w:marRight w:val="0"/>
      <w:marTop w:val="0"/>
      <w:marBottom w:val="0"/>
      <w:divBdr>
        <w:top w:val="none" w:sz="0" w:space="0" w:color="auto"/>
        <w:left w:val="none" w:sz="0" w:space="0" w:color="auto"/>
        <w:bottom w:val="none" w:sz="0" w:space="0" w:color="auto"/>
        <w:right w:val="none" w:sz="0" w:space="0" w:color="auto"/>
      </w:divBdr>
    </w:div>
    <w:div w:id="745342228">
      <w:bodyDiv w:val="1"/>
      <w:marLeft w:val="0"/>
      <w:marRight w:val="0"/>
      <w:marTop w:val="0"/>
      <w:marBottom w:val="0"/>
      <w:divBdr>
        <w:top w:val="none" w:sz="0" w:space="0" w:color="auto"/>
        <w:left w:val="none" w:sz="0" w:space="0" w:color="auto"/>
        <w:bottom w:val="none" w:sz="0" w:space="0" w:color="auto"/>
        <w:right w:val="none" w:sz="0" w:space="0" w:color="auto"/>
      </w:divBdr>
    </w:div>
    <w:div w:id="767821147">
      <w:bodyDiv w:val="1"/>
      <w:marLeft w:val="0"/>
      <w:marRight w:val="0"/>
      <w:marTop w:val="0"/>
      <w:marBottom w:val="0"/>
      <w:divBdr>
        <w:top w:val="none" w:sz="0" w:space="0" w:color="auto"/>
        <w:left w:val="none" w:sz="0" w:space="0" w:color="auto"/>
        <w:bottom w:val="none" w:sz="0" w:space="0" w:color="auto"/>
        <w:right w:val="none" w:sz="0" w:space="0" w:color="auto"/>
      </w:divBdr>
    </w:div>
    <w:div w:id="793325234">
      <w:bodyDiv w:val="1"/>
      <w:marLeft w:val="0"/>
      <w:marRight w:val="0"/>
      <w:marTop w:val="0"/>
      <w:marBottom w:val="0"/>
      <w:divBdr>
        <w:top w:val="none" w:sz="0" w:space="0" w:color="auto"/>
        <w:left w:val="none" w:sz="0" w:space="0" w:color="auto"/>
        <w:bottom w:val="none" w:sz="0" w:space="0" w:color="auto"/>
        <w:right w:val="none" w:sz="0" w:space="0" w:color="auto"/>
      </w:divBdr>
    </w:div>
    <w:div w:id="831606542">
      <w:bodyDiv w:val="1"/>
      <w:marLeft w:val="0"/>
      <w:marRight w:val="0"/>
      <w:marTop w:val="0"/>
      <w:marBottom w:val="0"/>
      <w:divBdr>
        <w:top w:val="none" w:sz="0" w:space="0" w:color="auto"/>
        <w:left w:val="none" w:sz="0" w:space="0" w:color="auto"/>
        <w:bottom w:val="none" w:sz="0" w:space="0" w:color="auto"/>
        <w:right w:val="none" w:sz="0" w:space="0" w:color="auto"/>
      </w:divBdr>
    </w:div>
    <w:div w:id="836263383">
      <w:bodyDiv w:val="1"/>
      <w:marLeft w:val="0"/>
      <w:marRight w:val="0"/>
      <w:marTop w:val="0"/>
      <w:marBottom w:val="0"/>
      <w:divBdr>
        <w:top w:val="none" w:sz="0" w:space="0" w:color="auto"/>
        <w:left w:val="none" w:sz="0" w:space="0" w:color="auto"/>
        <w:bottom w:val="none" w:sz="0" w:space="0" w:color="auto"/>
        <w:right w:val="none" w:sz="0" w:space="0" w:color="auto"/>
      </w:divBdr>
    </w:div>
    <w:div w:id="848369323">
      <w:bodyDiv w:val="1"/>
      <w:marLeft w:val="0"/>
      <w:marRight w:val="0"/>
      <w:marTop w:val="0"/>
      <w:marBottom w:val="0"/>
      <w:divBdr>
        <w:top w:val="none" w:sz="0" w:space="0" w:color="auto"/>
        <w:left w:val="none" w:sz="0" w:space="0" w:color="auto"/>
        <w:bottom w:val="none" w:sz="0" w:space="0" w:color="auto"/>
        <w:right w:val="none" w:sz="0" w:space="0" w:color="auto"/>
      </w:divBdr>
    </w:div>
    <w:div w:id="851191111">
      <w:bodyDiv w:val="1"/>
      <w:marLeft w:val="0"/>
      <w:marRight w:val="0"/>
      <w:marTop w:val="0"/>
      <w:marBottom w:val="0"/>
      <w:divBdr>
        <w:top w:val="none" w:sz="0" w:space="0" w:color="auto"/>
        <w:left w:val="none" w:sz="0" w:space="0" w:color="auto"/>
        <w:bottom w:val="none" w:sz="0" w:space="0" w:color="auto"/>
        <w:right w:val="none" w:sz="0" w:space="0" w:color="auto"/>
      </w:divBdr>
    </w:div>
    <w:div w:id="852383543">
      <w:bodyDiv w:val="1"/>
      <w:marLeft w:val="0"/>
      <w:marRight w:val="0"/>
      <w:marTop w:val="0"/>
      <w:marBottom w:val="0"/>
      <w:divBdr>
        <w:top w:val="none" w:sz="0" w:space="0" w:color="auto"/>
        <w:left w:val="none" w:sz="0" w:space="0" w:color="auto"/>
        <w:bottom w:val="none" w:sz="0" w:space="0" w:color="auto"/>
        <w:right w:val="none" w:sz="0" w:space="0" w:color="auto"/>
      </w:divBdr>
    </w:div>
    <w:div w:id="858201439">
      <w:bodyDiv w:val="1"/>
      <w:marLeft w:val="0"/>
      <w:marRight w:val="0"/>
      <w:marTop w:val="0"/>
      <w:marBottom w:val="0"/>
      <w:divBdr>
        <w:top w:val="none" w:sz="0" w:space="0" w:color="auto"/>
        <w:left w:val="none" w:sz="0" w:space="0" w:color="auto"/>
        <w:bottom w:val="none" w:sz="0" w:space="0" w:color="auto"/>
        <w:right w:val="none" w:sz="0" w:space="0" w:color="auto"/>
      </w:divBdr>
    </w:div>
    <w:div w:id="927615982">
      <w:bodyDiv w:val="1"/>
      <w:marLeft w:val="0"/>
      <w:marRight w:val="0"/>
      <w:marTop w:val="0"/>
      <w:marBottom w:val="0"/>
      <w:divBdr>
        <w:top w:val="none" w:sz="0" w:space="0" w:color="auto"/>
        <w:left w:val="none" w:sz="0" w:space="0" w:color="auto"/>
        <w:bottom w:val="none" w:sz="0" w:space="0" w:color="auto"/>
        <w:right w:val="none" w:sz="0" w:space="0" w:color="auto"/>
      </w:divBdr>
    </w:div>
    <w:div w:id="969358757">
      <w:bodyDiv w:val="1"/>
      <w:marLeft w:val="0"/>
      <w:marRight w:val="0"/>
      <w:marTop w:val="0"/>
      <w:marBottom w:val="0"/>
      <w:divBdr>
        <w:top w:val="none" w:sz="0" w:space="0" w:color="auto"/>
        <w:left w:val="none" w:sz="0" w:space="0" w:color="auto"/>
        <w:bottom w:val="none" w:sz="0" w:space="0" w:color="auto"/>
        <w:right w:val="none" w:sz="0" w:space="0" w:color="auto"/>
      </w:divBdr>
    </w:div>
    <w:div w:id="984897761">
      <w:bodyDiv w:val="1"/>
      <w:marLeft w:val="0"/>
      <w:marRight w:val="0"/>
      <w:marTop w:val="0"/>
      <w:marBottom w:val="0"/>
      <w:divBdr>
        <w:top w:val="none" w:sz="0" w:space="0" w:color="auto"/>
        <w:left w:val="none" w:sz="0" w:space="0" w:color="auto"/>
        <w:bottom w:val="none" w:sz="0" w:space="0" w:color="auto"/>
        <w:right w:val="none" w:sz="0" w:space="0" w:color="auto"/>
      </w:divBdr>
    </w:div>
    <w:div w:id="990448927">
      <w:bodyDiv w:val="1"/>
      <w:marLeft w:val="0"/>
      <w:marRight w:val="0"/>
      <w:marTop w:val="0"/>
      <w:marBottom w:val="0"/>
      <w:divBdr>
        <w:top w:val="none" w:sz="0" w:space="0" w:color="auto"/>
        <w:left w:val="none" w:sz="0" w:space="0" w:color="auto"/>
        <w:bottom w:val="none" w:sz="0" w:space="0" w:color="auto"/>
        <w:right w:val="none" w:sz="0" w:space="0" w:color="auto"/>
      </w:divBdr>
    </w:div>
    <w:div w:id="1014772877">
      <w:bodyDiv w:val="1"/>
      <w:marLeft w:val="0"/>
      <w:marRight w:val="0"/>
      <w:marTop w:val="0"/>
      <w:marBottom w:val="0"/>
      <w:divBdr>
        <w:top w:val="none" w:sz="0" w:space="0" w:color="auto"/>
        <w:left w:val="none" w:sz="0" w:space="0" w:color="auto"/>
        <w:bottom w:val="none" w:sz="0" w:space="0" w:color="auto"/>
        <w:right w:val="none" w:sz="0" w:space="0" w:color="auto"/>
      </w:divBdr>
    </w:div>
    <w:div w:id="1082603691">
      <w:bodyDiv w:val="1"/>
      <w:marLeft w:val="0"/>
      <w:marRight w:val="0"/>
      <w:marTop w:val="0"/>
      <w:marBottom w:val="0"/>
      <w:divBdr>
        <w:top w:val="none" w:sz="0" w:space="0" w:color="auto"/>
        <w:left w:val="none" w:sz="0" w:space="0" w:color="auto"/>
        <w:bottom w:val="none" w:sz="0" w:space="0" w:color="auto"/>
        <w:right w:val="none" w:sz="0" w:space="0" w:color="auto"/>
      </w:divBdr>
    </w:div>
    <w:div w:id="1088036917">
      <w:bodyDiv w:val="1"/>
      <w:marLeft w:val="0"/>
      <w:marRight w:val="0"/>
      <w:marTop w:val="0"/>
      <w:marBottom w:val="0"/>
      <w:divBdr>
        <w:top w:val="none" w:sz="0" w:space="0" w:color="auto"/>
        <w:left w:val="none" w:sz="0" w:space="0" w:color="auto"/>
        <w:bottom w:val="none" w:sz="0" w:space="0" w:color="auto"/>
        <w:right w:val="none" w:sz="0" w:space="0" w:color="auto"/>
      </w:divBdr>
    </w:div>
    <w:div w:id="1100947338">
      <w:bodyDiv w:val="1"/>
      <w:marLeft w:val="0"/>
      <w:marRight w:val="0"/>
      <w:marTop w:val="0"/>
      <w:marBottom w:val="0"/>
      <w:divBdr>
        <w:top w:val="none" w:sz="0" w:space="0" w:color="auto"/>
        <w:left w:val="none" w:sz="0" w:space="0" w:color="auto"/>
        <w:bottom w:val="none" w:sz="0" w:space="0" w:color="auto"/>
        <w:right w:val="none" w:sz="0" w:space="0" w:color="auto"/>
      </w:divBdr>
    </w:div>
    <w:div w:id="1128010481">
      <w:bodyDiv w:val="1"/>
      <w:marLeft w:val="0"/>
      <w:marRight w:val="0"/>
      <w:marTop w:val="0"/>
      <w:marBottom w:val="0"/>
      <w:divBdr>
        <w:top w:val="none" w:sz="0" w:space="0" w:color="auto"/>
        <w:left w:val="none" w:sz="0" w:space="0" w:color="auto"/>
        <w:bottom w:val="none" w:sz="0" w:space="0" w:color="auto"/>
        <w:right w:val="none" w:sz="0" w:space="0" w:color="auto"/>
      </w:divBdr>
    </w:div>
    <w:div w:id="1131096509">
      <w:bodyDiv w:val="1"/>
      <w:marLeft w:val="0"/>
      <w:marRight w:val="0"/>
      <w:marTop w:val="0"/>
      <w:marBottom w:val="0"/>
      <w:divBdr>
        <w:top w:val="none" w:sz="0" w:space="0" w:color="auto"/>
        <w:left w:val="none" w:sz="0" w:space="0" w:color="auto"/>
        <w:bottom w:val="none" w:sz="0" w:space="0" w:color="auto"/>
        <w:right w:val="none" w:sz="0" w:space="0" w:color="auto"/>
      </w:divBdr>
    </w:div>
    <w:div w:id="1162694058">
      <w:bodyDiv w:val="1"/>
      <w:marLeft w:val="0"/>
      <w:marRight w:val="0"/>
      <w:marTop w:val="0"/>
      <w:marBottom w:val="0"/>
      <w:divBdr>
        <w:top w:val="none" w:sz="0" w:space="0" w:color="auto"/>
        <w:left w:val="none" w:sz="0" w:space="0" w:color="auto"/>
        <w:bottom w:val="none" w:sz="0" w:space="0" w:color="auto"/>
        <w:right w:val="none" w:sz="0" w:space="0" w:color="auto"/>
      </w:divBdr>
    </w:div>
    <w:div w:id="1168666926">
      <w:bodyDiv w:val="1"/>
      <w:marLeft w:val="0"/>
      <w:marRight w:val="0"/>
      <w:marTop w:val="0"/>
      <w:marBottom w:val="0"/>
      <w:divBdr>
        <w:top w:val="none" w:sz="0" w:space="0" w:color="auto"/>
        <w:left w:val="none" w:sz="0" w:space="0" w:color="auto"/>
        <w:bottom w:val="none" w:sz="0" w:space="0" w:color="auto"/>
        <w:right w:val="none" w:sz="0" w:space="0" w:color="auto"/>
      </w:divBdr>
    </w:div>
    <w:div w:id="1178009676">
      <w:bodyDiv w:val="1"/>
      <w:marLeft w:val="0"/>
      <w:marRight w:val="0"/>
      <w:marTop w:val="0"/>
      <w:marBottom w:val="0"/>
      <w:divBdr>
        <w:top w:val="none" w:sz="0" w:space="0" w:color="auto"/>
        <w:left w:val="none" w:sz="0" w:space="0" w:color="auto"/>
        <w:bottom w:val="none" w:sz="0" w:space="0" w:color="auto"/>
        <w:right w:val="none" w:sz="0" w:space="0" w:color="auto"/>
      </w:divBdr>
    </w:div>
    <w:div w:id="1228876369">
      <w:bodyDiv w:val="1"/>
      <w:marLeft w:val="0"/>
      <w:marRight w:val="0"/>
      <w:marTop w:val="0"/>
      <w:marBottom w:val="0"/>
      <w:divBdr>
        <w:top w:val="none" w:sz="0" w:space="0" w:color="auto"/>
        <w:left w:val="none" w:sz="0" w:space="0" w:color="auto"/>
        <w:bottom w:val="none" w:sz="0" w:space="0" w:color="auto"/>
        <w:right w:val="none" w:sz="0" w:space="0" w:color="auto"/>
      </w:divBdr>
      <w:divsChild>
        <w:div w:id="753819807">
          <w:marLeft w:val="547"/>
          <w:marRight w:val="0"/>
          <w:marTop w:val="144"/>
          <w:marBottom w:val="0"/>
          <w:divBdr>
            <w:top w:val="none" w:sz="0" w:space="0" w:color="auto"/>
            <w:left w:val="none" w:sz="0" w:space="0" w:color="auto"/>
            <w:bottom w:val="none" w:sz="0" w:space="0" w:color="auto"/>
            <w:right w:val="none" w:sz="0" w:space="0" w:color="auto"/>
          </w:divBdr>
        </w:div>
      </w:divsChild>
    </w:div>
    <w:div w:id="1360424744">
      <w:bodyDiv w:val="1"/>
      <w:marLeft w:val="0"/>
      <w:marRight w:val="0"/>
      <w:marTop w:val="0"/>
      <w:marBottom w:val="0"/>
      <w:divBdr>
        <w:top w:val="none" w:sz="0" w:space="0" w:color="auto"/>
        <w:left w:val="none" w:sz="0" w:space="0" w:color="auto"/>
        <w:bottom w:val="none" w:sz="0" w:space="0" w:color="auto"/>
        <w:right w:val="none" w:sz="0" w:space="0" w:color="auto"/>
      </w:divBdr>
    </w:div>
    <w:div w:id="1381630760">
      <w:bodyDiv w:val="1"/>
      <w:marLeft w:val="0"/>
      <w:marRight w:val="0"/>
      <w:marTop w:val="0"/>
      <w:marBottom w:val="0"/>
      <w:divBdr>
        <w:top w:val="none" w:sz="0" w:space="0" w:color="auto"/>
        <w:left w:val="none" w:sz="0" w:space="0" w:color="auto"/>
        <w:bottom w:val="none" w:sz="0" w:space="0" w:color="auto"/>
        <w:right w:val="none" w:sz="0" w:space="0" w:color="auto"/>
      </w:divBdr>
    </w:div>
    <w:div w:id="1428190103">
      <w:bodyDiv w:val="1"/>
      <w:marLeft w:val="0"/>
      <w:marRight w:val="0"/>
      <w:marTop w:val="0"/>
      <w:marBottom w:val="0"/>
      <w:divBdr>
        <w:top w:val="none" w:sz="0" w:space="0" w:color="auto"/>
        <w:left w:val="none" w:sz="0" w:space="0" w:color="auto"/>
        <w:bottom w:val="none" w:sz="0" w:space="0" w:color="auto"/>
        <w:right w:val="none" w:sz="0" w:space="0" w:color="auto"/>
      </w:divBdr>
    </w:div>
    <w:div w:id="1475026603">
      <w:bodyDiv w:val="1"/>
      <w:marLeft w:val="0"/>
      <w:marRight w:val="0"/>
      <w:marTop w:val="0"/>
      <w:marBottom w:val="0"/>
      <w:divBdr>
        <w:top w:val="none" w:sz="0" w:space="0" w:color="auto"/>
        <w:left w:val="none" w:sz="0" w:space="0" w:color="auto"/>
        <w:bottom w:val="none" w:sz="0" w:space="0" w:color="auto"/>
        <w:right w:val="none" w:sz="0" w:space="0" w:color="auto"/>
      </w:divBdr>
    </w:div>
    <w:div w:id="1483740126">
      <w:bodyDiv w:val="1"/>
      <w:marLeft w:val="0"/>
      <w:marRight w:val="0"/>
      <w:marTop w:val="0"/>
      <w:marBottom w:val="0"/>
      <w:divBdr>
        <w:top w:val="none" w:sz="0" w:space="0" w:color="auto"/>
        <w:left w:val="none" w:sz="0" w:space="0" w:color="auto"/>
        <w:bottom w:val="none" w:sz="0" w:space="0" w:color="auto"/>
        <w:right w:val="none" w:sz="0" w:space="0" w:color="auto"/>
      </w:divBdr>
    </w:div>
    <w:div w:id="1484198620">
      <w:bodyDiv w:val="1"/>
      <w:marLeft w:val="0"/>
      <w:marRight w:val="0"/>
      <w:marTop w:val="0"/>
      <w:marBottom w:val="0"/>
      <w:divBdr>
        <w:top w:val="none" w:sz="0" w:space="0" w:color="auto"/>
        <w:left w:val="none" w:sz="0" w:space="0" w:color="auto"/>
        <w:bottom w:val="none" w:sz="0" w:space="0" w:color="auto"/>
        <w:right w:val="none" w:sz="0" w:space="0" w:color="auto"/>
      </w:divBdr>
    </w:div>
    <w:div w:id="1502700605">
      <w:bodyDiv w:val="1"/>
      <w:marLeft w:val="0"/>
      <w:marRight w:val="0"/>
      <w:marTop w:val="0"/>
      <w:marBottom w:val="0"/>
      <w:divBdr>
        <w:top w:val="none" w:sz="0" w:space="0" w:color="auto"/>
        <w:left w:val="none" w:sz="0" w:space="0" w:color="auto"/>
        <w:bottom w:val="none" w:sz="0" w:space="0" w:color="auto"/>
        <w:right w:val="none" w:sz="0" w:space="0" w:color="auto"/>
      </w:divBdr>
    </w:div>
    <w:div w:id="1525052134">
      <w:bodyDiv w:val="1"/>
      <w:marLeft w:val="0"/>
      <w:marRight w:val="0"/>
      <w:marTop w:val="0"/>
      <w:marBottom w:val="0"/>
      <w:divBdr>
        <w:top w:val="none" w:sz="0" w:space="0" w:color="auto"/>
        <w:left w:val="none" w:sz="0" w:space="0" w:color="auto"/>
        <w:bottom w:val="none" w:sz="0" w:space="0" w:color="auto"/>
        <w:right w:val="none" w:sz="0" w:space="0" w:color="auto"/>
      </w:divBdr>
    </w:div>
    <w:div w:id="1526752985">
      <w:bodyDiv w:val="1"/>
      <w:marLeft w:val="0"/>
      <w:marRight w:val="0"/>
      <w:marTop w:val="0"/>
      <w:marBottom w:val="0"/>
      <w:divBdr>
        <w:top w:val="none" w:sz="0" w:space="0" w:color="auto"/>
        <w:left w:val="none" w:sz="0" w:space="0" w:color="auto"/>
        <w:bottom w:val="none" w:sz="0" w:space="0" w:color="auto"/>
        <w:right w:val="none" w:sz="0" w:space="0" w:color="auto"/>
      </w:divBdr>
    </w:div>
    <w:div w:id="1545822845">
      <w:bodyDiv w:val="1"/>
      <w:marLeft w:val="0"/>
      <w:marRight w:val="0"/>
      <w:marTop w:val="0"/>
      <w:marBottom w:val="0"/>
      <w:divBdr>
        <w:top w:val="none" w:sz="0" w:space="0" w:color="auto"/>
        <w:left w:val="none" w:sz="0" w:space="0" w:color="auto"/>
        <w:bottom w:val="none" w:sz="0" w:space="0" w:color="auto"/>
        <w:right w:val="none" w:sz="0" w:space="0" w:color="auto"/>
      </w:divBdr>
      <w:divsChild>
        <w:div w:id="1201018030">
          <w:marLeft w:val="0"/>
          <w:marRight w:val="0"/>
          <w:marTop w:val="0"/>
          <w:marBottom w:val="0"/>
          <w:divBdr>
            <w:top w:val="none" w:sz="0" w:space="0" w:color="auto"/>
            <w:left w:val="none" w:sz="0" w:space="0" w:color="auto"/>
            <w:bottom w:val="none" w:sz="0" w:space="0" w:color="auto"/>
            <w:right w:val="none" w:sz="0" w:space="0" w:color="auto"/>
          </w:divBdr>
          <w:divsChild>
            <w:div w:id="252203542">
              <w:marLeft w:val="0"/>
              <w:marRight w:val="0"/>
              <w:marTop w:val="0"/>
              <w:marBottom w:val="0"/>
              <w:divBdr>
                <w:top w:val="none" w:sz="0" w:space="0" w:color="auto"/>
                <w:left w:val="none" w:sz="0" w:space="0" w:color="auto"/>
                <w:bottom w:val="none" w:sz="0" w:space="0" w:color="auto"/>
                <w:right w:val="none" w:sz="0" w:space="0" w:color="auto"/>
              </w:divBdr>
              <w:divsChild>
                <w:div w:id="1321813431">
                  <w:marLeft w:val="0"/>
                  <w:marRight w:val="0"/>
                  <w:marTop w:val="0"/>
                  <w:marBottom w:val="0"/>
                  <w:divBdr>
                    <w:top w:val="none" w:sz="0" w:space="0" w:color="auto"/>
                    <w:left w:val="none" w:sz="0" w:space="0" w:color="auto"/>
                    <w:bottom w:val="none" w:sz="0" w:space="0" w:color="auto"/>
                    <w:right w:val="none" w:sz="0" w:space="0" w:color="auto"/>
                  </w:divBdr>
                  <w:divsChild>
                    <w:div w:id="632711371">
                      <w:marLeft w:val="0"/>
                      <w:marRight w:val="0"/>
                      <w:marTop w:val="0"/>
                      <w:marBottom w:val="0"/>
                      <w:divBdr>
                        <w:top w:val="none" w:sz="0" w:space="0" w:color="auto"/>
                        <w:left w:val="none" w:sz="0" w:space="0" w:color="auto"/>
                        <w:bottom w:val="none" w:sz="0" w:space="0" w:color="auto"/>
                        <w:right w:val="none" w:sz="0" w:space="0" w:color="auto"/>
                      </w:divBdr>
                      <w:divsChild>
                        <w:div w:id="1408379941">
                          <w:marLeft w:val="0"/>
                          <w:marRight w:val="0"/>
                          <w:marTop w:val="0"/>
                          <w:marBottom w:val="0"/>
                          <w:divBdr>
                            <w:top w:val="none" w:sz="0" w:space="0" w:color="auto"/>
                            <w:left w:val="none" w:sz="0" w:space="0" w:color="auto"/>
                            <w:bottom w:val="none" w:sz="0" w:space="0" w:color="auto"/>
                            <w:right w:val="none" w:sz="0" w:space="0" w:color="auto"/>
                          </w:divBdr>
                          <w:divsChild>
                            <w:div w:id="195966788">
                              <w:marLeft w:val="0"/>
                              <w:marRight w:val="0"/>
                              <w:marTop w:val="0"/>
                              <w:marBottom w:val="0"/>
                              <w:divBdr>
                                <w:top w:val="none" w:sz="0" w:space="0" w:color="auto"/>
                                <w:left w:val="none" w:sz="0" w:space="0" w:color="auto"/>
                                <w:bottom w:val="none" w:sz="0" w:space="0" w:color="auto"/>
                                <w:right w:val="none" w:sz="0" w:space="0" w:color="auto"/>
                              </w:divBdr>
                              <w:divsChild>
                                <w:div w:id="824050982">
                                  <w:marLeft w:val="0"/>
                                  <w:marRight w:val="0"/>
                                  <w:marTop w:val="0"/>
                                  <w:marBottom w:val="0"/>
                                  <w:divBdr>
                                    <w:top w:val="none" w:sz="0" w:space="0" w:color="auto"/>
                                    <w:left w:val="none" w:sz="0" w:space="0" w:color="auto"/>
                                    <w:bottom w:val="none" w:sz="0" w:space="0" w:color="auto"/>
                                    <w:right w:val="none" w:sz="0" w:space="0" w:color="auto"/>
                                  </w:divBdr>
                                  <w:divsChild>
                                    <w:div w:id="947587037">
                                      <w:marLeft w:val="0"/>
                                      <w:marRight w:val="0"/>
                                      <w:marTop w:val="0"/>
                                      <w:marBottom w:val="0"/>
                                      <w:divBdr>
                                        <w:top w:val="none" w:sz="0" w:space="0" w:color="auto"/>
                                        <w:left w:val="none" w:sz="0" w:space="0" w:color="auto"/>
                                        <w:bottom w:val="none" w:sz="0" w:space="0" w:color="auto"/>
                                        <w:right w:val="none" w:sz="0" w:space="0" w:color="auto"/>
                                      </w:divBdr>
                                      <w:divsChild>
                                        <w:div w:id="185947457">
                                          <w:marLeft w:val="0"/>
                                          <w:marRight w:val="0"/>
                                          <w:marTop w:val="0"/>
                                          <w:marBottom w:val="0"/>
                                          <w:divBdr>
                                            <w:top w:val="none" w:sz="0" w:space="0" w:color="auto"/>
                                            <w:left w:val="none" w:sz="0" w:space="0" w:color="auto"/>
                                            <w:bottom w:val="none" w:sz="0" w:space="0" w:color="auto"/>
                                            <w:right w:val="none" w:sz="0" w:space="0" w:color="auto"/>
                                          </w:divBdr>
                                          <w:divsChild>
                                            <w:div w:id="1568878349">
                                              <w:marLeft w:val="0"/>
                                              <w:marRight w:val="0"/>
                                              <w:marTop w:val="0"/>
                                              <w:marBottom w:val="0"/>
                                              <w:divBdr>
                                                <w:top w:val="none" w:sz="0" w:space="0" w:color="auto"/>
                                                <w:left w:val="none" w:sz="0" w:space="0" w:color="auto"/>
                                                <w:bottom w:val="none" w:sz="0" w:space="0" w:color="auto"/>
                                                <w:right w:val="none" w:sz="0" w:space="0" w:color="auto"/>
                                              </w:divBdr>
                                              <w:divsChild>
                                                <w:div w:id="1314409540">
                                                  <w:marLeft w:val="0"/>
                                                  <w:marRight w:val="0"/>
                                                  <w:marTop w:val="0"/>
                                                  <w:marBottom w:val="0"/>
                                                  <w:divBdr>
                                                    <w:top w:val="none" w:sz="0" w:space="0" w:color="auto"/>
                                                    <w:left w:val="none" w:sz="0" w:space="0" w:color="auto"/>
                                                    <w:bottom w:val="none" w:sz="0" w:space="0" w:color="auto"/>
                                                    <w:right w:val="none" w:sz="0" w:space="0" w:color="auto"/>
                                                  </w:divBdr>
                                                  <w:divsChild>
                                                    <w:div w:id="1738091762">
                                                      <w:marLeft w:val="0"/>
                                                      <w:marRight w:val="0"/>
                                                      <w:marTop w:val="0"/>
                                                      <w:marBottom w:val="0"/>
                                                      <w:divBdr>
                                                        <w:top w:val="none" w:sz="0" w:space="0" w:color="auto"/>
                                                        <w:left w:val="none" w:sz="0" w:space="0" w:color="auto"/>
                                                        <w:bottom w:val="none" w:sz="0" w:space="0" w:color="auto"/>
                                                        <w:right w:val="none" w:sz="0" w:space="0" w:color="auto"/>
                                                      </w:divBdr>
                                                      <w:divsChild>
                                                        <w:div w:id="1875803888">
                                                          <w:marLeft w:val="0"/>
                                                          <w:marRight w:val="0"/>
                                                          <w:marTop w:val="0"/>
                                                          <w:marBottom w:val="0"/>
                                                          <w:divBdr>
                                                            <w:top w:val="none" w:sz="0" w:space="0" w:color="auto"/>
                                                            <w:left w:val="none" w:sz="0" w:space="0" w:color="auto"/>
                                                            <w:bottom w:val="none" w:sz="0" w:space="0" w:color="auto"/>
                                                            <w:right w:val="none" w:sz="0" w:space="0" w:color="auto"/>
                                                          </w:divBdr>
                                                          <w:divsChild>
                                                            <w:div w:id="647133876">
                                                              <w:marLeft w:val="0"/>
                                                              <w:marRight w:val="0"/>
                                                              <w:marTop w:val="0"/>
                                                              <w:marBottom w:val="0"/>
                                                              <w:divBdr>
                                                                <w:top w:val="none" w:sz="0" w:space="0" w:color="auto"/>
                                                                <w:left w:val="none" w:sz="0" w:space="0" w:color="auto"/>
                                                                <w:bottom w:val="none" w:sz="0" w:space="0" w:color="auto"/>
                                                                <w:right w:val="none" w:sz="0" w:space="0" w:color="auto"/>
                                                              </w:divBdr>
                                                              <w:divsChild>
                                                                <w:div w:id="1325860545">
                                                                  <w:marLeft w:val="0"/>
                                                                  <w:marRight w:val="0"/>
                                                                  <w:marTop w:val="0"/>
                                                                  <w:marBottom w:val="0"/>
                                                                  <w:divBdr>
                                                                    <w:top w:val="none" w:sz="0" w:space="0" w:color="auto"/>
                                                                    <w:left w:val="none" w:sz="0" w:space="0" w:color="auto"/>
                                                                    <w:bottom w:val="none" w:sz="0" w:space="0" w:color="auto"/>
                                                                    <w:right w:val="none" w:sz="0" w:space="0" w:color="auto"/>
                                                                  </w:divBdr>
                                                                  <w:divsChild>
                                                                    <w:div w:id="1157453969">
                                                                      <w:marLeft w:val="0"/>
                                                                      <w:marRight w:val="0"/>
                                                                      <w:marTop w:val="0"/>
                                                                      <w:marBottom w:val="0"/>
                                                                      <w:divBdr>
                                                                        <w:top w:val="none" w:sz="0" w:space="0" w:color="auto"/>
                                                                        <w:left w:val="none" w:sz="0" w:space="0" w:color="auto"/>
                                                                        <w:bottom w:val="none" w:sz="0" w:space="0" w:color="auto"/>
                                                                        <w:right w:val="none" w:sz="0" w:space="0" w:color="auto"/>
                                                                      </w:divBdr>
                                                                      <w:divsChild>
                                                                        <w:div w:id="2116439731">
                                                                          <w:marLeft w:val="0"/>
                                                                          <w:marRight w:val="0"/>
                                                                          <w:marTop w:val="0"/>
                                                                          <w:marBottom w:val="0"/>
                                                                          <w:divBdr>
                                                                            <w:top w:val="none" w:sz="0" w:space="0" w:color="auto"/>
                                                                            <w:left w:val="none" w:sz="0" w:space="0" w:color="auto"/>
                                                                            <w:bottom w:val="none" w:sz="0" w:space="0" w:color="auto"/>
                                                                            <w:right w:val="none" w:sz="0" w:space="0" w:color="auto"/>
                                                                          </w:divBdr>
                                                                          <w:divsChild>
                                                                            <w:div w:id="842088909">
                                                                              <w:marLeft w:val="0"/>
                                                                              <w:marRight w:val="0"/>
                                                                              <w:marTop w:val="0"/>
                                                                              <w:marBottom w:val="0"/>
                                                                              <w:divBdr>
                                                                                <w:top w:val="none" w:sz="0" w:space="0" w:color="auto"/>
                                                                                <w:left w:val="none" w:sz="0" w:space="0" w:color="auto"/>
                                                                                <w:bottom w:val="none" w:sz="0" w:space="0" w:color="auto"/>
                                                                                <w:right w:val="none" w:sz="0" w:space="0" w:color="auto"/>
                                                                              </w:divBdr>
                                                                              <w:divsChild>
                                                                                <w:div w:id="720253193">
                                                                                  <w:marLeft w:val="0"/>
                                                                                  <w:marRight w:val="0"/>
                                                                                  <w:marTop w:val="0"/>
                                                                                  <w:marBottom w:val="0"/>
                                                                                  <w:divBdr>
                                                                                    <w:top w:val="none" w:sz="0" w:space="0" w:color="auto"/>
                                                                                    <w:left w:val="none" w:sz="0" w:space="0" w:color="auto"/>
                                                                                    <w:bottom w:val="none" w:sz="0" w:space="0" w:color="auto"/>
                                                                                    <w:right w:val="none" w:sz="0" w:space="0" w:color="auto"/>
                                                                                  </w:divBdr>
                                                                                  <w:divsChild>
                                                                                    <w:div w:id="532889909">
                                                                                      <w:marLeft w:val="0"/>
                                                                                      <w:marRight w:val="0"/>
                                                                                      <w:marTop w:val="0"/>
                                                                                      <w:marBottom w:val="0"/>
                                                                                      <w:divBdr>
                                                                                        <w:top w:val="none" w:sz="0" w:space="0" w:color="auto"/>
                                                                                        <w:left w:val="none" w:sz="0" w:space="0" w:color="auto"/>
                                                                                        <w:bottom w:val="none" w:sz="0" w:space="0" w:color="auto"/>
                                                                                        <w:right w:val="none" w:sz="0" w:space="0" w:color="auto"/>
                                                                                      </w:divBdr>
                                                                                      <w:divsChild>
                                                                                        <w:div w:id="440681951">
                                                                                          <w:marLeft w:val="0"/>
                                                                                          <w:marRight w:val="0"/>
                                                                                          <w:marTop w:val="0"/>
                                                                                          <w:marBottom w:val="0"/>
                                                                                          <w:divBdr>
                                                                                            <w:top w:val="none" w:sz="0" w:space="0" w:color="auto"/>
                                                                                            <w:left w:val="none" w:sz="0" w:space="0" w:color="auto"/>
                                                                                            <w:bottom w:val="none" w:sz="0" w:space="0" w:color="auto"/>
                                                                                            <w:right w:val="none" w:sz="0" w:space="0" w:color="auto"/>
                                                                                          </w:divBdr>
                                                                                          <w:divsChild>
                                                                                            <w:div w:id="1566796628">
                                                                                              <w:marLeft w:val="0"/>
                                                                                              <w:marRight w:val="0"/>
                                                                                              <w:marTop w:val="0"/>
                                                                                              <w:marBottom w:val="0"/>
                                                                                              <w:divBdr>
                                                                                                <w:top w:val="none" w:sz="0" w:space="0" w:color="auto"/>
                                                                                                <w:left w:val="none" w:sz="0" w:space="0" w:color="auto"/>
                                                                                                <w:bottom w:val="none" w:sz="0" w:space="0" w:color="auto"/>
                                                                                                <w:right w:val="none" w:sz="0" w:space="0" w:color="auto"/>
                                                                                              </w:divBdr>
                                                                                              <w:divsChild>
                                                                                                <w:div w:id="160244981">
                                                                                                  <w:marLeft w:val="0"/>
                                                                                                  <w:marRight w:val="0"/>
                                                                                                  <w:marTop w:val="0"/>
                                                                                                  <w:marBottom w:val="0"/>
                                                                                                  <w:divBdr>
                                                                                                    <w:top w:val="none" w:sz="0" w:space="0" w:color="auto"/>
                                                                                                    <w:left w:val="none" w:sz="0" w:space="0" w:color="auto"/>
                                                                                                    <w:bottom w:val="none" w:sz="0" w:space="0" w:color="auto"/>
                                                                                                    <w:right w:val="none" w:sz="0" w:space="0" w:color="auto"/>
                                                                                                  </w:divBdr>
                                                                                                  <w:divsChild>
                                                                                                    <w:div w:id="1384208287">
                                                                                                      <w:marLeft w:val="0"/>
                                                                                                      <w:marRight w:val="0"/>
                                                                                                      <w:marTop w:val="0"/>
                                                                                                      <w:marBottom w:val="0"/>
                                                                                                      <w:divBdr>
                                                                                                        <w:top w:val="none" w:sz="0" w:space="0" w:color="auto"/>
                                                                                                        <w:left w:val="none" w:sz="0" w:space="0" w:color="auto"/>
                                                                                                        <w:bottom w:val="none" w:sz="0" w:space="0" w:color="auto"/>
                                                                                                        <w:right w:val="none" w:sz="0" w:space="0" w:color="auto"/>
                                                                                                      </w:divBdr>
                                                                                                      <w:divsChild>
                                                                                                        <w:div w:id="1079793525">
                                                                                                          <w:marLeft w:val="0"/>
                                                                                                          <w:marRight w:val="0"/>
                                                                                                          <w:marTop w:val="0"/>
                                                                                                          <w:marBottom w:val="0"/>
                                                                                                          <w:divBdr>
                                                                                                            <w:top w:val="none" w:sz="0" w:space="0" w:color="auto"/>
                                                                                                            <w:left w:val="none" w:sz="0" w:space="0" w:color="auto"/>
                                                                                                            <w:bottom w:val="none" w:sz="0" w:space="0" w:color="auto"/>
                                                                                                            <w:right w:val="none" w:sz="0" w:space="0" w:color="auto"/>
                                                                                                          </w:divBdr>
                                                                                                          <w:divsChild>
                                                                                                            <w:div w:id="1098715923">
                                                                                                              <w:marLeft w:val="0"/>
                                                                                                              <w:marRight w:val="0"/>
                                                                                                              <w:marTop w:val="0"/>
                                                                                                              <w:marBottom w:val="0"/>
                                                                                                              <w:divBdr>
                                                                                                                <w:top w:val="none" w:sz="0" w:space="0" w:color="auto"/>
                                                                                                                <w:left w:val="none" w:sz="0" w:space="0" w:color="auto"/>
                                                                                                                <w:bottom w:val="none" w:sz="0" w:space="0" w:color="auto"/>
                                                                                                                <w:right w:val="none" w:sz="0" w:space="0" w:color="auto"/>
                                                                                                              </w:divBdr>
                                                                                                              <w:divsChild>
                                                                                                                <w:div w:id="12925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026263">
      <w:bodyDiv w:val="1"/>
      <w:marLeft w:val="0"/>
      <w:marRight w:val="0"/>
      <w:marTop w:val="0"/>
      <w:marBottom w:val="0"/>
      <w:divBdr>
        <w:top w:val="none" w:sz="0" w:space="0" w:color="auto"/>
        <w:left w:val="none" w:sz="0" w:space="0" w:color="auto"/>
        <w:bottom w:val="none" w:sz="0" w:space="0" w:color="auto"/>
        <w:right w:val="none" w:sz="0" w:space="0" w:color="auto"/>
      </w:divBdr>
    </w:div>
    <w:div w:id="1565792298">
      <w:bodyDiv w:val="1"/>
      <w:marLeft w:val="0"/>
      <w:marRight w:val="0"/>
      <w:marTop w:val="0"/>
      <w:marBottom w:val="0"/>
      <w:divBdr>
        <w:top w:val="none" w:sz="0" w:space="0" w:color="auto"/>
        <w:left w:val="none" w:sz="0" w:space="0" w:color="auto"/>
        <w:bottom w:val="none" w:sz="0" w:space="0" w:color="auto"/>
        <w:right w:val="none" w:sz="0" w:space="0" w:color="auto"/>
      </w:divBdr>
    </w:div>
    <w:div w:id="1574580344">
      <w:bodyDiv w:val="1"/>
      <w:marLeft w:val="0"/>
      <w:marRight w:val="0"/>
      <w:marTop w:val="0"/>
      <w:marBottom w:val="0"/>
      <w:divBdr>
        <w:top w:val="none" w:sz="0" w:space="0" w:color="auto"/>
        <w:left w:val="none" w:sz="0" w:space="0" w:color="auto"/>
        <w:bottom w:val="none" w:sz="0" w:space="0" w:color="auto"/>
        <w:right w:val="none" w:sz="0" w:space="0" w:color="auto"/>
      </w:divBdr>
    </w:div>
    <w:div w:id="1589729983">
      <w:bodyDiv w:val="1"/>
      <w:marLeft w:val="0"/>
      <w:marRight w:val="0"/>
      <w:marTop w:val="0"/>
      <w:marBottom w:val="0"/>
      <w:divBdr>
        <w:top w:val="none" w:sz="0" w:space="0" w:color="auto"/>
        <w:left w:val="none" w:sz="0" w:space="0" w:color="auto"/>
        <w:bottom w:val="none" w:sz="0" w:space="0" w:color="auto"/>
        <w:right w:val="none" w:sz="0" w:space="0" w:color="auto"/>
      </w:divBdr>
    </w:div>
    <w:div w:id="1604729446">
      <w:bodyDiv w:val="1"/>
      <w:marLeft w:val="0"/>
      <w:marRight w:val="0"/>
      <w:marTop w:val="0"/>
      <w:marBottom w:val="0"/>
      <w:divBdr>
        <w:top w:val="none" w:sz="0" w:space="0" w:color="auto"/>
        <w:left w:val="none" w:sz="0" w:space="0" w:color="auto"/>
        <w:bottom w:val="none" w:sz="0" w:space="0" w:color="auto"/>
        <w:right w:val="none" w:sz="0" w:space="0" w:color="auto"/>
      </w:divBdr>
    </w:div>
    <w:div w:id="1646004615">
      <w:bodyDiv w:val="1"/>
      <w:marLeft w:val="0"/>
      <w:marRight w:val="0"/>
      <w:marTop w:val="0"/>
      <w:marBottom w:val="0"/>
      <w:divBdr>
        <w:top w:val="none" w:sz="0" w:space="0" w:color="auto"/>
        <w:left w:val="none" w:sz="0" w:space="0" w:color="auto"/>
        <w:bottom w:val="none" w:sz="0" w:space="0" w:color="auto"/>
        <w:right w:val="none" w:sz="0" w:space="0" w:color="auto"/>
      </w:divBdr>
    </w:div>
    <w:div w:id="1646541554">
      <w:bodyDiv w:val="1"/>
      <w:marLeft w:val="0"/>
      <w:marRight w:val="0"/>
      <w:marTop w:val="0"/>
      <w:marBottom w:val="0"/>
      <w:divBdr>
        <w:top w:val="none" w:sz="0" w:space="0" w:color="auto"/>
        <w:left w:val="none" w:sz="0" w:space="0" w:color="auto"/>
        <w:bottom w:val="none" w:sz="0" w:space="0" w:color="auto"/>
        <w:right w:val="none" w:sz="0" w:space="0" w:color="auto"/>
      </w:divBdr>
      <w:divsChild>
        <w:div w:id="1851095730">
          <w:marLeft w:val="0"/>
          <w:marRight w:val="0"/>
          <w:marTop w:val="0"/>
          <w:marBottom w:val="0"/>
          <w:divBdr>
            <w:top w:val="none" w:sz="0" w:space="0" w:color="auto"/>
            <w:left w:val="none" w:sz="0" w:space="0" w:color="auto"/>
            <w:bottom w:val="none" w:sz="0" w:space="0" w:color="auto"/>
            <w:right w:val="none" w:sz="0" w:space="0" w:color="auto"/>
          </w:divBdr>
        </w:div>
        <w:div w:id="1773353540">
          <w:marLeft w:val="0"/>
          <w:marRight w:val="0"/>
          <w:marTop w:val="0"/>
          <w:marBottom w:val="0"/>
          <w:divBdr>
            <w:top w:val="none" w:sz="0" w:space="0" w:color="auto"/>
            <w:left w:val="none" w:sz="0" w:space="0" w:color="auto"/>
            <w:bottom w:val="none" w:sz="0" w:space="0" w:color="auto"/>
            <w:right w:val="none" w:sz="0" w:space="0" w:color="auto"/>
          </w:divBdr>
        </w:div>
      </w:divsChild>
    </w:div>
    <w:div w:id="1679773039">
      <w:bodyDiv w:val="1"/>
      <w:marLeft w:val="0"/>
      <w:marRight w:val="0"/>
      <w:marTop w:val="0"/>
      <w:marBottom w:val="0"/>
      <w:divBdr>
        <w:top w:val="none" w:sz="0" w:space="0" w:color="auto"/>
        <w:left w:val="none" w:sz="0" w:space="0" w:color="auto"/>
        <w:bottom w:val="none" w:sz="0" w:space="0" w:color="auto"/>
        <w:right w:val="none" w:sz="0" w:space="0" w:color="auto"/>
      </w:divBdr>
    </w:div>
    <w:div w:id="1747875831">
      <w:bodyDiv w:val="1"/>
      <w:marLeft w:val="0"/>
      <w:marRight w:val="0"/>
      <w:marTop w:val="0"/>
      <w:marBottom w:val="0"/>
      <w:divBdr>
        <w:top w:val="none" w:sz="0" w:space="0" w:color="auto"/>
        <w:left w:val="none" w:sz="0" w:space="0" w:color="auto"/>
        <w:bottom w:val="none" w:sz="0" w:space="0" w:color="auto"/>
        <w:right w:val="none" w:sz="0" w:space="0" w:color="auto"/>
      </w:divBdr>
    </w:div>
    <w:div w:id="1765805039">
      <w:bodyDiv w:val="1"/>
      <w:marLeft w:val="0"/>
      <w:marRight w:val="0"/>
      <w:marTop w:val="0"/>
      <w:marBottom w:val="0"/>
      <w:divBdr>
        <w:top w:val="none" w:sz="0" w:space="0" w:color="auto"/>
        <w:left w:val="none" w:sz="0" w:space="0" w:color="auto"/>
        <w:bottom w:val="none" w:sz="0" w:space="0" w:color="auto"/>
        <w:right w:val="none" w:sz="0" w:space="0" w:color="auto"/>
      </w:divBdr>
    </w:div>
    <w:div w:id="1812402533">
      <w:bodyDiv w:val="1"/>
      <w:marLeft w:val="0"/>
      <w:marRight w:val="0"/>
      <w:marTop w:val="0"/>
      <w:marBottom w:val="0"/>
      <w:divBdr>
        <w:top w:val="none" w:sz="0" w:space="0" w:color="auto"/>
        <w:left w:val="none" w:sz="0" w:space="0" w:color="auto"/>
        <w:bottom w:val="none" w:sz="0" w:space="0" w:color="auto"/>
        <w:right w:val="none" w:sz="0" w:space="0" w:color="auto"/>
      </w:divBdr>
    </w:div>
    <w:div w:id="1869027653">
      <w:bodyDiv w:val="1"/>
      <w:marLeft w:val="0"/>
      <w:marRight w:val="0"/>
      <w:marTop w:val="0"/>
      <w:marBottom w:val="0"/>
      <w:divBdr>
        <w:top w:val="none" w:sz="0" w:space="0" w:color="auto"/>
        <w:left w:val="none" w:sz="0" w:space="0" w:color="auto"/>
        <w:bottom w:val="none" w:sz="0" w:space="0" w:color="auto"/>
        <w:right w:val="none" w:sz="0" w:space="0" w:color="auto"/>
      </w:divBdr>
    </w:div>
    <w:div w:id="1880170107">
      <w:bodyDiv w:val="1"/>
      <w:marLeft w:val="0"/>
      <w:marRight w:val="0"/>
      <w:marTop w:val="0"/>
      <w:marBottom w:val="0"/>
      <w:divBdr>
        <w:top w:val="none" w:sz="0" w:space="0" w:color="auto"/>
        <w:left w:val="none" w:sz="0" w:space="0" w:color="auto"/>
        <w:bottom w:val="none" w:sz="0" w:space="0" w:color="auto"/>
        <w:right w:val="none" w:sz="0" w:space="0" w:color="auto"/>
      </w:divBdr>
    </w:div>
    <w:div w:id="1880504544">
      <w:bodyDiv w:val="1"/>
      <w:marLeft w:val="0"/>
      <w:marRight w:val="0"/>
      <w:marTop w:val="0"/>
      <w:marBottom w:val="0"/>
      <w:divBdr>
        <w:top w:val="none" w:sz="0" w:space="0" w:color="auto"/>
        <w:left w:val="none" w:sz="0" w:space="0" w:color="auto"/>
        <w:bottom w:val="none" w:sz="0" w:space="0" w:color="auto"/>
        <w:right w:val="none" w:sz="0" w:space="0" w:color="auto"/>
      </w:divBdr>
    </w:div>
    <w:div w:id="1923560258">
      <w:bodyDiv w:val="1"/>
      <w:marLeft w:val="0"/>
      <w:marRight w:val="0"/>
      <w:marTop w:val="0"/>
      <w:marBottom w:val="0"/>
      <w:divBdr>
        <w:top w:val="none" w:sz="0" w:space="0" w:color="auto"/>
        <w:left w:val="none" w:sz="0" w:space="0" w:color="auto"/>
        <w:bottom w:val="none" w:sz="0" w:space="0" w:color="auto"/>
        <w:right w:val="none" w:sz="0" w:space="0" w:color="auto"/>
      </w:divBdr>
    </w:div>
    <w:div w:id="1946960856">
      <w:bodyDiv w:val="1"/>
      <w:marLeft w:val="0"/>
      <w:marRight w:val="0"/>
      <w:marTop w:val="0"/>
      <w:marBottom w:val="0"/>
      <w:divBdr>
        <w:top w:val="none" w:sz="0" w:space="0" w:color="auto"/>
        <w:left w:val="none" w:sz="0" w:space="0" w:color="auto"/>
        <w:bottom w:val="none" w:sz="0" w:space="0" w:color="auto"/>
        <w:right w:val="none" w:sz="0" w:space="0" w:color="auto"/>
      </w:divBdr>
    </w:div>
    <w:div w:id="1964997987">
      <w:bodyDiv w:val="1"/>
      <w:marLeft w:val="0"/>
      <w:marRight w:val="0"/>
      <w:marTop w:val="0"/>
      <w:marBottom w:val="0"/>
      <w:divBdr>
        <w:top w:val="none" w:sz="0" w:space="0" w:color="auto"/>
        <w:left w:val="none" w:sz="0" w:space="0" w:color="auto"/>
        <w:bottom w:val="none" w:sz="0" w:space="0" w:color="auto"/>
        <w:right w:val="none" w:sz="0" w:space="0" w:color="auto"/>
      </w:divBdr>
      <w:divsChild>
        <w:div w:id="1094473497">
          <w:marLeft w:val="547"/>
          <w:marRight w:val="0"/>
          <w:marTop w:val="96"/>
          <w:marBottom w:val="0"/>
          <w:divBdr>
            <w:top w:val="none" w:sz="0" w:space="0" w:color="auto"/>
            <w:left w:val="none" w:sz="0" w:space="0" w:color="auto"/>
            <w:bottom w:val="none" w:sz="0" w:space="0" w:color="auto"/>
            <w:right w:val="none" w:sz="0" w:space="0" w:color="auto"/>
          </w:divBdr>
        </w:div>
      </w:divsChild>
    </w:div>
    <w:div w:id="1972591259">
      <w:bodyDiv w:val="1"/>
      <w:marLeft w:val="0"/>
      <w:marRight w:val="0"/>
      <w:marTop w:val="0"/>
      <w:marBottom w:val="0"/>
      <w:divBdr>
        <w:top w:val="none" w:sz="0" w:space="0" w:color="auto"/>
        <w:left w:val="none" w:sz="0" w:space="0" w:color="auto"/>
        <w:bottom w:val="none" w:sz="0" w:space="0" w:color="auto"/>
        <w:right w:val="none" w:sz="0" w:space="0" w:color="auto"/>
      </w:divBdr>
    </w:div>
    <w:div w:id="1987280283">
      <w:bodyDiv w:val="1"/>
      <w:marLeft w:val="0"/>
      <w:marRight w:val="0"/>
      <w:marTop w:val="0"/>
      <w:marBottom w:val="0"/>
      <w:divBdr>
        <w:top w:val="none" w:sz="0" w:space="0" w:color="auto"/>
        <w:left w:val="none" w:sz="0" w:space="0" w:color="auto"/>
        <w:bottom w:val="none" w:sz="0" w:space="0" w:color="auto"/>
        <w:right w:val="none" w:sz="0" w:space="0" w:color="auto"/>
      </w:divBdr>
    </w:div>
    <w:div w:id="2005012209">
      <w:bodyDiv w:val="1"/>
      <w:marLeft w:val="0"/>
      <w:marRight w:val="0"/>
      <w:marTop w:val="0"/>
      <w:marBottom w:val="0"/>
      <w:divBdr>
        <w:top w:val="none" w:sz="0" w:space="0" w:color="auto"/>
        <w:left w:val="none" w:sz="0" w:space="0" w:color="auto"/>
        <w:bottom w:val="none" w:sz="0" w:space="0" w:color="auto"/>
        <w:right w:val="none" w:sz="0" w:space="0" w:color="auto"/>
      </w:divBdr>
    </w:div>
    <w:div w:id="2010475147">
      <w:bodyDiv w:val="1"/>
      <w:marLeft w:val="0"/>
      <w:marRight w:val="0"/>
      <w:marTop w:val="0"/>
      <w:marBottom w:val="0"/>
      <w:divBdr>
        <w:top w:val="none" w:sz="0" w:space="0" w:color="auto"/>
        <w:left w:val="none" w:sz="0" w:space="0" w:color="auto"/>
        <w:bottom w:val="none" w:sz="0" w:space="0" w:color="auto"/>
        <w:right w:val="none" w:sz="0" w:space="0" w:color="auto"/>
      </w:divBdr>
    </w:div>
    <w:div w:id="2013213507">
      <w:bodyDiv w:val="1"/>
      <w:marLeft w:val="0"/>
      <w:marRight w:val="0"/>
      <w:marTop w:val="0"/>
      <w:marBottom w:val="0"/>
      <w:divBdr>
        <w:top w:val="none" w:sz="0" w:space="0" w:color="auto"/>
        <w:left w:val="none" w:sz="0" w:space="0" w:color="auto"/>
        <w:bottom w:val="none" w:sz="0" w:space="0" w:color="auto"/>
        <w:right w:val="none" w:sz="0" w:space="0" w:color="auto"/>
      </w:divBdr>
    </w:div>
    <w:div w:id="2039352976">
      <w:bodyDiv w:val="1"/>
      <w:marLeft w:val="0"/>
      <w:marRight w:val="0"/>
      <w:marTop w:val="0"/>
      <w:marBottom w:val="0"/>
      <w:divBdr>
        <w:top w:val="none" w:sz="0" w:space="0" w:color="auto"/>
        <w:left w:val="none" w:sz="0" w:space="0" w:color="auto"/>
        <w:bottom w:val="none" w:sz="0" w:space="0" w:color="auto"/>
        <w:right w:val="none" w:sz="0" w:space="0" w:color="auto"/>
      </w:divBdr>
    </w:div>
    <w:div w:id="2041975768">
      <w:bodyDiv w:val="1"/>
      <w:marLeft w:val="0"/>
      <w:marRight w:val="0"/>
      <w:marTop w:val="0"/>
      <w:marBottom w:val="0"/>
      <w:divBdr>
        <w:top w:val="none" w:sz="0" w:space="0" w:color="auto"/>
        <w:left w:val="none" w:sz="0" w:space="0" w:color="auto"/>
        <w:bottom w:val="none" w:sz="0" w:space="0" w:color="auto"/>
        <w:right w:val="none" w:sz="0" w:space="0" w:color="auto"/>
      </w:divBdr>
    </w:div>
    <w:div w:id="2047095328">
      <w:bodyDiv w:val="1"/>
      <w:marLeft w:val="0"/>
      <w:marRight w:val="0"/>
      <w:marTop w:val="0"/>
      <w:marBottom w:val="0"/>
      <w:divBdr>
        <w:top w:val="none" w:sz="0" w:space="0" w:color="auto"/>
        <w:left w:val="none" w:sz="0" w:space="0" w:color="auto"/>
        <w:bottom w:val="none" w:sz="0" w:space="0" w:color="auto"/>
        <w:right w:val="none" w:sz="0" w:space="0" w:color="auto"/>
      </w:divBdr>
    </w:div>
    <w:div w:id="2072655511">
      <w:bodyDiv w:val="1"/>
      <w:marLeft w:val="0"/>
      <w:marRight w:val="0"/>
      <w:marTop w:val="0"/>
      <w:marBottom w:val="0"/>
      <w:divBdr>
        <w:top w:val="none" w:sz="0" w:space="0" w:color="auto"/>
        <w:left w:val="none" w:sz="0" w:space="0" w:color="auto"/>
        <w:bottom w:val="none" w:sz="0" w:space="0" w:color="auto"/>
        <w:right w:val="none" w:sz="0" w:space="0" w:color="auto"/>
      </w:divBdr>
    </w:div>
    <w:div w:id="2137212054">
      <w:bodyDiv w:val="1"/>
      <w:marLeft w:val="0"/>
      <w:marRight w:val="0"/>
      <w:marTop w:val="0"/>
      <w:marBottom w:val="0"/>
      <w:divBdr>
        <w:top w:val="none" w:sz="0" w:space="0" w:color="auto"/>
        <w:left w:val="none" w:sz="0" w:space="0" w:color="auto"/>
        <w:bottom w:val="none" w:sz="0" w:space="0" w:color="auto"/>
        <w:right w:val="none" w:sz="0" w:space="0" w:color="auto"/>
      </w:divBdr>
    </w:div>
    <w:div w:id="21440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hrq.gov/downloads/pub/ahrqqi/pqiguide.pdf" TargetMode="External"/><Relationship Id="rId2" Type="http://schemas.openxmlformats.org/officeDocument/2006/relationships/hyperlink" Target="http://onlinelibrary.wiley.com/doi/10.1002/dmrr.798/abstract;jsessionid=37A56EE1DD129D66016580D5B2793921.f02t03" TargetMode="External"/><Relationship Id="rId1" Type="http://schemas.openxmlformats.org/officeDocument/2006/relationships/hyperlink" Target="http://www.euro.who.int/__data/assets/pdf_file/0007/145294/E63674.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vnozare.pri\vm\Redirect_profiles\akasparans\Desktop\34M_zinojums\PZMG_prognoze%20(Autosaved).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vnozare.pri\vm\Redirect_profiles\akasparans\Desktop\34M_zinojums\Nepieejam&#299;bas%20att&#275;l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vnozare.pri\vm\Redirect_profiles\akasparans\Desktop\7_procenti_7_gados_programma\reformu_zinojumam_290617.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nozare.pri\vm\strukturvienibas\_SVD\SVD_VVN\HIVAIDS\HIV%20plans\EXgrafiki\tabulas_HIVpl_290517_LIND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VM_Vija_Ozolina\AppData\Roaming\Microsoft\Excel\Book1%20(version%201).xlsb"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nda.treide\Desktop\ME\ZI&#325;OJUMS%202016\SAS%2015\Liel_Diagn_gr_SAS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87289703541155"/>
          <c:y val="0.1141711404016416"/>
          <c:w val="0.8799694176771421"/>
          <c:h val="0.51953245856664854"/>
        </c:manualLayout>
      </c:layout>
      <c:barChart>
        <c:barDir val="col"/>
        <c:grouping val="clustered"/>
        <c:varyColors val="0"/>
        <c:ser>
          <c:idx val="0"/>
          <c:order val="0"/>
          <c:tx>
            <c:strRef>
              <c:f>Sheet1!$B$3</c:f>
              <c:strCache>
                <c:ptCount val="1"/>
                <c:pt idx="0">
                  <c:v>Ceļa locītavas endoprotezēšana, t.sk.ar konsīlija slēdzienu</c:v>
                </c:pt>
              </c:strCache>
            </c:strRef>
          </c:tx>
          <c:spPr>
            <a:solidFill>
              <a:schemeClr val="accent6">
                <a:lumMod val="40000"/>
                <a:lumOff val="60000"/>
              </a:schemeClr>
            </a:solidFill>
            <a:ln>
              <a:noFill/>
            </a:ln>
            <a:effectLst/>
          </c:spPr>
          <c:invertIfNegative val="0"/>
          <c:cat>
            <c:strRef>
              <c:f>Sheet1!$C$2:$F$2</c:f>
              <c:strCache>
                <c:ptCount val="4"/>
                <c:pt idx="0">
                  <c:v>2018.g.</c:v>
                </c:pt>
                <c:pt idx="1">
                  <c:v>2019.g.</c:v>
                </c:pt>
                <c:pt idx="2">
                  <c:v>2020.g.</c:v>
                </c:pt>
                <c:pt idx="3">
                  <c:v>2021.g.</c:v>
                </c:pt>
              </c:strCache>
            </c:strRef>
          </c:cat>
          <c:val>
            <c:numRef>
              <c:f>Sheet1!$C$3:$F$3</c:f>
              <c:numCache>
                <c:formatCode>0.00%</c:formatCode>
                <c:ptCount val="4"/>
                <c:pt idx="0">
                  <c:v>6.8405716664354105E-2</c:v>
                </c:pt>
                <c:pt idx="1">
                  <c:v>0.23380047176356319</c:v>
                </c:pt>
                <c:pt idx="2">
                  <c:v>0.31067018176772582</c:v>
                </c:pt>
                <c:pt idx="3">
                  <c:v>0.47578742888858055</c:v>
                </c:pt>
              </c:numCache>
            </c:numRef>
          </c:val>
          <c:extLst>
            <c:ext xmlns:c16="http://schemas.microsoft.com/office/drawing/2014/chart" uri="{C3380CC4-5D6E-409C-BE32-E72D297353CC}">
              <c16:uniqueId val="{00000000-0DEF-40FB-A43E-3006C1FC7A2B}"/>
            </c:ext>
          </c:extLst>
        </c:ser>
        <c:ser>
          <c:idx val="1"/>
          <c:order val="1"/>
          <c:tx>
            <c:strRef>
              <c:f>Sheet1!$B$4</c:f>
              <c:strCache>
                <c:ptCount val="1"/>
                <c:pt idx="0">
                  <c:v>Ceļa locītavas endoprotezēšana ar 50 % apmaksu</c:v>
                </c:pt>
              </c:strCache>
            </c:strRef>
          </c:tx>
          <c:spPr>
            <a:solidFill>
              <a:schemeClr val="accent6">
                <a:lumMod val="75000"/>
              </a:schemeClr>
            </a:solidFill>
            <a:ln>
              <a:noFill/>
            </a:ln>
            <a:effectLst/>
          </c:spPr>
          <c:invertIfNegative val="0"/>
          <c:cat>
            <c:strRef>
              <c:f>Sheet1!$C$2:$F$2</c:f>
              <c:strCache>
                <c:ptCount val="4"/>
                <c:pt idx="0">
                  <c:v>2018.g.</c:v>
                </c:pt>
                <c:pt idx="1">
                  <c:v>2019.g.</c:v>
                </c:pt>
                <c:pt idx="2">
                  <c:v>2020.g.</c:v>
                </c:pt>
                <c:pt idx="3">
                  <c:v>2021.g.</c:v>
                </c:pt>
              </c:strCache>
            </c:strRef>
          </c:cat>
          <c:val>
            <c:numRef>
              <c:f>Sheet1!$C$4:$F$4</c:f>
              <c:numCache>
                <c:formatCode>0.00%</c:formatCode>
                <c:ptCount val="4"/>
                <c:pt idx="0">
                  <c:v>0.73350253807106602</c:v>
                </c:pt>
                <c:pt idx="1">
                  <c:v>0.73350253807106602</c:v>
                </c:pt>
                <c:pt idx="2">
                  <c:v>0.73350253807106602</c:v>
                </c:pt>
                <c:pt idx="3">
                  <c:v>0.73350253807106602</c:v>
                </c:pt>
              </c:numCache>
            </c:numRef>
          </c:val>
          <c:extLst>
            <c:ext xmlns:c16="http://schemas.microsoft.com/office/drawing/2014/chart" uri="{C3380CC4-5D6E-409C-BE32-E72D297353CC}">
              <c16:uniqueId val="{00000001-0DEF-40FB-A43E-3006C1FC7A2B}"/>
            </c:ext>
          </c:extLst>
        </c:ser>
        <c:ser>
          <c:idx val="2"/>
          <c:order val="2"/>
          <c:tx>
            <c:strRef>
              <c:f>Sheet1!$B$5</c:f>
              <c:strCache>
                <c:ptCount val="1"/>
                <c:pt idx="0">
                  <c:v>Revīzijas endoprotezēšana</c:v>
                </c:pt>
              </c:strCache>
            </c:strRef>
          </c:tx>
          <c:spPr>
            <a:solidFill>
              <a:schemeClr val="accent2">
                <a:lumMod val="40000"/>
                <a:lumOff val="60000"/>
              </a:schemeClr>
            </a:solidFill>
            <a:ln>
              <a:solidFill>
                <a:schemeClr val="accent2">
                  <a:lumMod val="60000"/>
                  <a:lumOff val="40000"/>
                </a:schemeClr>
              </a:solidFill>
            </a:ln>
            <a:effectLst/>
          </c:spPr>
          <c:invertIfNegative val="0"/>
          <c:cat>
            <c:strRef>
              <c:f>Sheet1!$C$2:$F$2</c:f>
              <c:strCache>
                <c:ptCount val="4"/>
                <c:pt idx="0">
                  <c:v>2018.g.</c:v>
                </c:pt>
                <c:pt idx="1">
                  <c:v>2019.g.</c:v>
                </c:pt>
                <c:pt idx="2">
                  <c:v>2020.g.</c:v>
                </c:pt>
                <c:pt idx="3">
                  <c:v>2021.g.</c:v>
                </c:pt>
              </c:strCache>
            </c:strRef>
          </c:cat>
          <c:val>
            <c:numRef>
              <c:f>Sheet1!$C$5:$F$5</c:f>
              <c:numCache>
                <c:formatCode>0.00%</c:formatCode>
                <c:ptCount val="4"/>
                <c:pt idx="0">
                  <c:v>0.8728070175438597</c:v>
                </c:pt>
                <c:pt idx="1">
                  <c:v>0.91666666666666663</c:v>
                </c:pt>
                <c:pt idx="2">
                  <c:v>0.91666666666666663</c:v>
                </c:pt>
                <c:pt idx="3">
                  <c:v>0.91666666666666663</c:v>
                </c:pt>
              </c:numCache>
            </c:numRef>
          </c:val>
          <c:extLst>
            <c:ext xmlns:c16="http://schemas.microsoft.com/office/drawing/2014/chart" uri="{C3380CC4-5D6E-409C-BE32-E72D297353CC}">
              <c16:uniqueId val="{00000002-0DEF-40FB-A43E-3006C1FC7A2B}"/>
            </c:ext>
          </c:extLst>
        </c:ser>
        <c:ser>
          <c:idx val="3"/>
          <c:order val="3"/>
          <c:tx>
            <c:strRef>
              <c:f>Sheet1!$B$6</c:f>
              <c:strCache>
                <c:ptCount val="1"/>
                <c:pt idx="0">
                  <c:v>Gūžas locītavas endoprotezēšana , t.sk. ar konsīlija slēdzienu</c:v>
                </c:pt>
              </c:strCache>
            </c:strRef>
          </c:tx>
          <c:spPr>
            <a:solidFill>
              <a:srgbClr val="FF9900"/>
            </a:solidFill>
            <a:ln>
              <a:noFill/>
            </a:ln>
            <a:effectLst/>
          </c:spPr>
          <c:invertIfNegative val="0"/>
          <c:cat>
            <c:strRef>
              <c:f>Sheet1!$C$2:$F$2</c:f>
              <c:strCache>
                <c:ptCount val="4"/>
                <c:pt idx="0">
                  <c:v>2018.g.</c:v>
                </c:pt>
                <c:pt idx="1">
                  <c:v>2019.g.</c:v>
                </c:pt>
                <c:pt idx="2">
                  <c:v>2020.g.</c:v>
                </c:pt>
                <c:pt idx="3">
                  <c:v>2021.g.</c:v>
                </c:pt>
              </c:strCache>
            </c:strRef>
          </c:cat>
          <c:val>
            <c:numRef>
              <c:f>Sheet1!$C$6:$F$6</c:f>
              <c:numCache>
                <c:formatCode>0.00%</c:formatCode>
                <c:ptCount val="4"/>
                <c:pt idx="0">
                  <c:v>0</c:v>
                </c:pt>
                <c:pt idx="1">
                  <c:v>0.17829457364341086</c:v>
                </c:pt>
                <c:pt idx="2">
                  <c:v>0.33333333333333331</c:v>
                </c:pt>
                <c:pt idx="3">
                  <c:v>0.47286821705426357</c:v>
                </c:pt>
              </c:numCache>
            </c:numRef>
          </c:val>
          <c:extLst>
            <c:ext xmlns:c16="http://schemas.microsoft.com/office/drawing/2014/chart" uri="{C3380CC4-5D6E-409C-BE32-E72D297353CC}">
              <c16:uniqueId val="{00000003-0DEF-40FB-A43E-3006C1FC7A2B}"/>
            </c:ext>
          </c:extLst>
        </c:ser>
        <c:ser>
          <c:idx val="4"/>
          <c:order val="4"/>
          <c:tx>
            <c:strRef>
              <c:f>Sheet1!$B$7</c:f>
              <c:strCache>
                <c:ptCount val="1"/>
                <c:pt idx="0">
                  <c:v>Gūžas locītavas endoprotezēšana ar 50 % apmaksu</c:v>
                </c:pt>
              </c:strCache>
            </c:strRef>
          </c:tx>
          <c:spPr>
            <a:solidFill>
              <a:srgbClr val="FFFF00"/>
            </a:solidFill>
            <a:ln>
              <a:noFill/>
            </a:ln>
            <a:effectLst/>
          </c:spPr>
          <c:invertIfNegative val="0"/>
          <c:cat>
            <c:strRef>
              <c:f>Sheet1!$C$2:$F$2</c:f>
              <c:strCache>
                <c:ptCount val="4"/>
                <c:pt idx="0">
                  <c:v>2018.g.</c:v>
                </c:pt>
                <c:pt idx="1">
                  <c:v>2019.g.</c:v>
                </c:pt>
                <c:pt idx="2">
                  <c:v>2020.g.</c:v>
                </c:pt>
                <c:pt idx="3">
                  <c:v>2021.g.</c:v>
                </c:pt>
              </c:strCache>
            </c:strRef>
          </c:cat>
          <c:val>
            <c:numRef>
              <c:f>Sheet1!$C$7:$F$7</c:f>
              <c:numCache>
                <c:formatCode>0.00%</c:formatCode>
                <c:ptCount val="4"/>
                <c:pt idx="0">
                  <c:v>0</c:v>
                </c:pt>
                <c:pt idx="1">
                  <c:v>0.34782608695652173</c:v>
                </c:pt>
                <c:pt idx="2">
                  <c:v>0.46376811594202899</c:v>
                </c:pt>
                <c:pt idx="3">
                  <c:v>0.69565217391304346</c:v>
                </c:pt>
              </c:numCache>
            </c:numRef>
          </c:val>
          <c:extLst>
            <c:ext xmlns:c16="http://schemas.microsoft.com/office/drawing/2014/chart" uri="{C3380CC4-5D6E-409C-BE32-E72D297353CC}">
              <c16:uniqueId val="{00000004-0DEF-40FB-A43E-3006C1FC7A2B}"/>
            </c:ext>
          </c:extLst>
        </c:ser>
        <c:ser>
          <c:idx val="5"/>
          <c:order val="5"/>
          <c:tx>
            <c:strRef>
              <c:f>Sheet1!$B$8</c:f>
              <c:strCache>
                <c:ptCount val="1"/>
                <c:pt idx="0">
                  <c:v>Plecu locītavas endoprotezēšana</c:v>
                </c:pt>
              </c:strCache>
            </c:strRef>
          </c:tx>
          <c:spPr>
            <a:solidFill>
              <a:srgbClr val="FFDA65"/>
            </a:solidFill>
            <a:ln>
              <a:noFill/>
            </a:ln>
            <a:effectLst/>
          </c:spPr>
          <c:invertIfNegative val="0"/>
          <c:cat>
            <c:strRef>
              <c:f>Sheet1!$C$2:$F$2</c:f>
              <c:strCache>
                <c:ptCount val="4"/>
                <c:pt idx="0">
                  <c:v>2018.g.</c:v>
                </c:pt>
                <c:pt idx="1">
                  <c:v>2019.g.</c:v>
                </c:pt>
                <c:pt idx="2">
                  <c:v>2020.g.</c:v>
                </c:pt>
                <c:pt idx="3">
                  <c:v>2021.g.</c:v>
                </c:pt>
              </c:strCache>
            </c:strRef>
          </c:cat>
          <c:val>
            <c:numRef>
              <c:f>Sheet1!$C$8:$F$8</c:f>
              <c:numCache>
                <c:formatCode>0.00%</c:formatCode>
                <c:ptCount val="4"/>
                <c:pt idx="0">
                  <c:v>0</c:v>
                </c:pt>
                <c:pt idx="1">
                  <c:v>0.27777777777777779</c:v>
                </c:pt>
                <c:pt idx="2">
                  <c:v>0.39473684210526316</c:v>
                </c:pt>
                <c:pt idx="3">
                  <c:v>0.54093567251461994</c:v>
                </c:pt>
              </c:numCache>
            </c:numRef>
          </c:val>
          <c:extLst>
            <c:ext xmlns:c16="http://schemas.microsoft.com/office/drawing/2014/chart" uri="{C3380CC4-5D6E-409C-BE32-E72D297353CC}">
              <c16:uniqueId val="{00000005-0DEF-40FB-A43E-3006C1FC7A2B}"/>
            </c:ext>
          </c:extLst>
        </c:ser>
        <c:ser>
          <c:idx val="6"/>
          <c:order val="6"/>
          <c:tx>
            <c:strRef>
              <c:f>Sheet1!$B$9</c:f>
              <c:strCache>
                <c:ptCount val="1"/>
                <c:pt idx="0">
                  <c:v>Plecu locītavas endoprotezēšana ar 50 % apmaksu</c:v>
                </c:pt>
              </c:strCache>
            </c:strRef>
          </c:tx>
          <c:spPr>
            <a:solidFill>
              <a:schemeClr val="bg2">
                <a:lumMod val="50000"/>
              </a:schemeClr>
            </a:solidFill>
            <a:ln>
              <a:noFill/>
            </a:ln>
            <a:effectLst/>
          </c:spPr>
          <c:invertIfNegative val="0"/>
          <c:cat>
            <c:strRef>
              <c:f>Sheet1!$C$2:$F$2</c:f>
              <c:strCache>
                <c:ptCount val="4"/>
                <c:pt idx="0">
                  <c:v>2018.g.</c:v>
                </c:pt>
                <c:pt idx="1">
                  <c:v>2019.g.</c:v>
                </c:pt>
                <c:pt idx="2">
                  <c:v>2020.g.</c:v>
                </c:pt>
                <c:pt idx="3">
                  <c:v>2021.g.</c:v>
                </c:pt>
              </c:strCache>
            </c:strRef>
          </c:cat>
          <c:val>
            <c:numRef>
              <c:f>Sheet1!$C$9:$F$9</c:f>
              <c:numCache>
                <c:formatCode>0.00%</c:formatCode>
                <c:ptCount val="4"/>
                <c:pt idx="0">
                  <c:v>0</c:v>
                </c:pt>
                <c:pt idx="1">
                  <c:v>0</c:v>
                </c:pt>
                <c:pt idx="2">
                  <c:v>0</c:v>
                </c:pt>
                <c:pt idx="3">
                  <c:v>0</c:v>
                </c:pt>
              </c:numCache>
            </c:numRef>
          </c:val>
          <c:extLst>
            <c:ext xmlns:c16="http://schemas.microsoft.com/office/drawing/2014/chart" uri="{C3380CC4-5D6E-409C-BE32-E72D297353CC}">
              <c16:uniqueId val="{00000006-0DEF-40FB-A43E-3006C1FC7A2B}"/>
            </c:ext>
          </c:extLst>
        </c:ser>
        <c:dLbls>
          <c:showLegendKey val="0"/>
          <c:showVal val="0"/>
          <c:showCatName val="0"/>
          <c:showSerName val="0"/>
          <c:showPercent val="0"/>
          <c:showBubbleSize val="0"/>
        </c:dLbls>
        <c:gapWidth val="219"/>
        <c:overlap val="-27"/>
        <c:axId val="358881040"/>
        <c:axId val="358881696"/>
      </c:barChart>
      <c:catAx>
        <c:axId val="35888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58881696"/>
        <c:crosses val="autoZero"/>
        <c:auto val="1"/>
        <c:lblAlgn val="ctr"/>
        <c:lblOffset val="100"/>
        <c:noMultiLvlLbl val="0"/>
      </c:catAx>
      <c:valAx>
        <c:axId val="358881696"/>
        <c:scaling>
          <c:orientation val="minMax"/>
        </c:scaling>
        <c:delete val="0"/>
        <c:axPos val="l"/>
        <c:majorGridlines>
          <c:spPr>
            <a:ln w="9525" cap="flat" cmpd="sng" algn="ctr">
              <a:solidFill>
                <a:schemeClr val="tx1">
                  <a:lumMod val="50000"/>
                  <a:lumOff val="50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58881040"/>
        <c:crosses val="autoZero"/>
        <c:crossBetween val="between"/>
      </c:valAx>
      <c:spPr>
        <a:noFill/>
        <a:ln>
          <a:solidFill>
            <a:schemeClr val="tx1">
              <a:lumMod val="50000"/>
              <a:lumOff val="50000"/>
            </a:schemeClr>
          </a:solidFill>
        </a:ln>
        <a:effectLst/>
      </c:spPr>
    </c:plotArea>
    <c:legend>
      <c:legendPos val="b"/>
      <c:layout>
        <c:manualLayout>
          <c:xMode val="edge"/>
          <c:yMode val="edge"/>
          <c:x val="8.1090142420721989E-2"/>
          <c:y val="0.71478726910934354"/>
          <c:w val="0.71673043328600328"/>
          <c:h val="0.2624154026001228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rgbClr val="CC6600"/>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PZMG!$A$81</c:f>
              <c:strCache>
                <c:ptCount val="1"/>
                <c:pt idx="0">
                  <c:v>Sievietes</c:v>
                </c:pt>
              </c:strCache>
            </c:strRef>
          </c:tx>
          <c:spPr>
            <a:ln w="28575" cap="rnd">
              <a:solidFill>
                <a:schemeClr val="accent6">
                  <a:shade val="65000"/>
                </a:schemeClr>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PZMG!$B$80:$L$80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PZMG!$B$81:$L$81</c:f>
              <c:numCache>
                <c:formatCode>General</c:formatCode>
                <c:ptCount val="11"/>
                <c:pt idx="0">
                  <c:v>32200.5</c:v>
                </c:pt>
                <c:pt idx="1">
                  <c:v>29996</c:v>
                </c:pt>
                <c:pt idx="2">
                  <c:v>27578.5</c:v>
                </c:pt>
                <c:pt idx="3">
                  <c:v>28365</c:v>
                </c:pt>
                <c:pt idx="4">
                  <c:v>25900.5</c:v>
                </c:pt>
                <c:pt idx="5">
                  <c:v>24419.5</c:v>
                </c:pt>
                <c:pt idx="6">
                  <c:v>24419.5</c:v>
                </c:pt>
                <c:pt idx="7">
                  <c:v>24419.5</c:v>
                </c:pt>
                <c:pt idx="8">
                  <c:v>23456</c:v>
                </c:pt>
                <c:pt idx="9">
                  <c:v>22478</c:v>
                </c:pt>
                <c:pt idx="10">
                  <c:v>21567</c:v>
                </c:pt>
              </c:numCache>
            </c:numRef>
          </c:val>
          <c:smooth val="0"/>
          <c:extLst>
            <c:ext xmlns:c16="http://schemas.microsoft.com/office/drawing/2014/chart" uri="{C3380CC4-5D6E-409C-BE32-E72D297353CC}">
              <c16:uniqueId val="{00000000-A14F-4C6C-88E6-4E05DB88F7A4}"/>
            </c:ext>
          </c:extLst>
        </c:ser>
        <c:ser>
          <c:idx val="1"/>
          <c:order val="1"/>
          <c:tx>
            <c:strRef>
              <c:f>PZMG!$A$82</c:f>
              <c:strCache>
                <c:ptCount val="1"/>
                <c:pt idx="0">
                  <c:v>Vīrieši</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PZMG!$B$80:$L$80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PZMG!$B$82:$L$82</c:f>
              <c:numCache>
                <c:formatCode>General</c:formatCode>
                <c:ptCount val="11"/>
                <c:pt idx="0">
                  <c:v>78904</c:v>
                </c:pt>
                <c:pt idx="1">
                  <c:v>73125</c:v>
                </c:pt>
                <c:pt idx="2">
                  <c:v>71225.5</c:v>
                </c:pt>
                <c:pt idx="3">
                  <c:v>68266</c:v>
                </c:pt>
                <c:pt idx="4">
                  <c:v>67473.5</c:v>
                </c:pt>
                <c:pt idx="5">
                  <c:v>63771.5</c:v>
                </c:pt>
                <c:pt idx="6">
                  <c:v>63771.5</c:v>
                </c:pt>
                <c:pt idx="7">
                  <c:v>63122</c:v>
                </c:pt>
                <c:pt idx="8">
                  <c:v>62887</c:v>
                </c:pt>
                <c:pt idx="9">
                  <c:v>62567</c:v>
                </c:pt>
                <c:pt idx="10">
                  <c:v>62346</c:v>
                </c:pt>
              </c:numCache>
            </c:numRef>
          </c:val>
          <c:smooth val="0"/>
          <c:extLst>
            <c:ext xmlns:c16="http://schemas.microsoft.com/office/drawing/2014/chart" uri="{C3380CC4-5D6E-409C-BE32-E72D297353CC}">
              <c16:uniqueId val="{00000001-A14F-4C6C-88E6-4E05DB88F7A4}"/>
            </c:ext>
          </c:extLst>
        </c:ser>
        <c:ser>
          <c:idx val="2"/>
          <c:order val="2"/>
          <c:tx>
            <c:strRef>
              <c:f>PZMG!$A$83</c:f>
              <c:strCache>
                <c:ptCount val="1"/>
                <c:pt idx="0">
                  <c:v>Kopā</c:v>
                </c:pt>
              </c:strCache>
            </c:strRef>
          </c:tx>
          <c:spPr>
            <a:ln w="28575" cap="rnd">
              <a:solidFill>
                <a:schemeClr val="accent6">
                  <a:tint val="65000"/>
                </a:schemeClr>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PZMG!$B$80:$L$80</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PZMG!$B$83:$L$83</c:f>
              <c:numCache>
                <c:formatCode>General</c:formatCode>
                <c:ptCount val="11"/>
                <c:pt idx="0">
                  <c:v>111104.5</c:v>
                </c:pt>
                <c:pt idx="1">
                  <c:v>103121</c:v>
                </c:pt>
                <c:pt idx="2">
                  <c:v>98804</c:v>
                </c:pt>
                <c:pt idx="3">
                  <c:v>96631</c:v>
                </c:pt>
                <c:pt idx="4">
                  <c:v>93374</c:v>
                </c:pt>
                <c:pt idx="5">
                  <c:v>88191</c:v>
                </c:pt>
                <c:pt idx="6">
                  <c:v>88191</c:v>
                </c:pt>
                <c:pt idx="7">
                  <c:v>87541.5</c:v>
                </c:pt>
                <c:pt idx="8">
                  <c:v>86343</c:v>
                </c:pt>
                <c:pt idx="9">
                  <c:v>85045</c:v>
                </c:pt>
                <c:pt idx="10">
                  <c:v>83913</c:v>
                </c:pt>
              </c:numCache>
            </c:numRef>
          </c:val>
          <c:smooth val="0"/>
          <c:extLst>
            <c:ext xmlns:c16="http://schemas.microsoft.com/office/drawing/2014/chart" uri="{C3380CC4-5D6E-409C-BE32-E72D297353CC}">
              <c16:uniqueId val="{00000002-A14F-4C6C-88E6-4E05DB88F7A4}"/>
            </c:ext>
          </c:extLst>
        </c:ser>
        <c:dLbls>
          <c:showLegendKey val="0"/>
          <c:showVal val="0"/>
          <c:showCatName val="0"/>
          <c:showSerName val="0"/>
          <c:showPercent val="0"/>
          <c:showBubbleSize val="0"/>
        </c:dLbls>
        <c:smooth val="0"/>
        <c:axId val="447348592"/>
        <c:axId val="447340392"/>
      </c:lineChart>
      <c:catAx>
        <c:axId val="44734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47340392"/>
        <c:crosses val="autoZero"/>
        <c:auto val="1"/>
        <c:lblAlgn val="ctr"/>
        <c:lblOffset val="100"/>
        <c:noMultiLvlLbl val="0"/>
      </c:catAx>
      <c:valAx>
        <c:axId val="447340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4734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4.5484858621174407E-2"/>
          <c:y val="0.19101604830778676"/>
          <c:w val="0.80356511122941254"/>
          <c:h val="0.54502520206544181"/>
        </c:manualLayout>
      </c:layout>
      <c:lineChart>
        <c:grouping val="standard"/>
        <c:varyColors val="0"/>
        <c:ser>
          <c:idx val="2"/>
          <c:order val="0"/>
          <c:tx>
            <c:strRef>
              <c:f>Sheet1!$D$1</c:f>
              <c:strCache>
                <c:ptCount val="1"/>
                <c:pt idx="0">
                  <c:v>Zemākā kvintele</c:v>
                </c:pt>
              </c:strCache>
            </c:strRef>
          </c:tx>
          <c:spPr>
            <a:ln w="28575" cap="rnd">
              <a:noFill/>
              <a:round/>
            </a:ln>
            <a:effectLst/>
          </c:spPr>
          <c:marker>
            <c:symbol val="circle"/>
            <c:size val="7"/>
            <c:spPr>
              <a:solidFill>
                <a:schemeClr val="accent6">
                  <a:tint val="65000"/>
                </a:schemeClr>
              </a:solidFill>
              <a:ln w="9525">
                <a:solidFill>
                  <a:schemeClr val="accent6">
                    <a:tint val="65000"/>
                  </a:schemeClr>
                </a:solidFill>
              </a:ln>
              <a:effectLst/>
            </c:spPr>
          </c:marker>
          <c:dPt>
            <c:idx val="5"/>
            <c:marker>
              <c:symbol val="circle"/>
              <c:size val="7"/>
              <c:spPr>
                <a:solidFill>
                  <a:schemeClr val="accent6">
                    <a:tint val="65000"/>
                  </a:schemeClr>
                </a:solidFill>
                <a:ln w="9525">
                  <a:solidFill>
                    <a:schemeClr val="accent6">
                      <a:tint val="65000"/>
                    </a:schemeClr>
                  </a:solidFill>
                </a:ln>
                <a:effectLst/>
              </c:spPr>
            </c:marker>
            <c:bubble3D val="0"/>
            <c:extLst>
              <c:ext xmlns:c16="http://schemas.microsoft.com/office/drawing/2014/chart" uri="{C3380CC4-5D6E-409C-BE32-E72D297353CC}">
                <c16:uniqueId val="{00000000-16E9-4FCC-9085-F224290CCDED}"/>
              </c:ext>
            </c:extLst>
          </c:dPt>
          <c:cat>
            <c:strRef>
              <c:f>Sheet1!$A$2:$A$34</c:f>
              <c:strCache>
                <c:ptCount val="7"/>
                <c:pt idx="0">
                  <c:v>Igaunija</c:v>
                </c:pt>
                <c:pt idx="1">
                  <c:v>Lietuva</c:v>
                </c:pt>
                <c:pt idx="2">
                  <c:v>EU 28 valstis</c:v>
                </c:pt>
                <c:pt idx="3">
                  <c:v>Bulgārija</c:v>
                </c:pt>
                <c:pt idx="4">
                  <c:v>Rumānija</c:v>
                </c:pt>
                <c:pt idx="5">
                  <c:v>Latvjia</c:v>
                </c:pt>
                <c:pt idx="6">
                  <c:v>Latvija (pēc ieguldījumu veikšanas)</c:v>
                </c:pt>
              </c:strCache>
            </c:strRef>
          </c:cat>
          <c:val>
            <c:numRef>
              <c:f>Sheet1!$D$2:$D$34</c:f>
              <c:numCache>
                <c:formatCode>0.00</c:formatCode>
                <c:ptCount val="7"/>
                <c:pt idx="0">
                  <c:v>1.2</c:v>
                </c:pt>
                <c:pt idx="1">
                  <c:v>1.6</c:v>
                </c:pt>
                <c:pt idx="2">
                  <c:v>5.0999999999999996</c:v>
                </c:pt>
                <c:pt idx="3">
                  <c:v>9.6</c:v>
                </c:pt>
                <c:pt idx="4">
                  <c:v>12</c:v>
                </c:pt>
                <c:pt idx="5">
                  <c:v>23.6</c:v>
                </c:pt>
                <c:pt idx="6">
                  <c:v>13.6</c:v>
                </c:pt>
              </c:numCache>
            </c:numRef>
          </c:val>
          <c:smooth val="0"/>
          <c:extLst>
            <c:ext xmlns:c16="http://schemas.microsoft.com/office/drawing/2014/chart" uri="{C3380CC4-5D6E-409C-BE32-E72D297353CC}">
              <c16:uniqueId val="{00000001-16E9-4FCC-9085-F224290CCDED}"/>
            </c:ext>
          </c:extLst>
        </c:ser>
        <c:ser>
          <c:idx val="0"/>
          <c:order val="1"/>
          <c:tx>
            <c:strRef>
              <c:f>Sheet1!$B$1</c:f>
              <c:strCache>
                <c:ptCount val="1"/>
                <c:pt idx="0">
                  <c:v>Vidējā kvintele </c:v>
                </c:pt>
              </c:strCache>
            </c:strRef>
          </c:tx>
          <c:spPr>
            <a:ln w="28575" cap="rnd">
              <a:noFill/>
              <a:round/>
            </a:ln>
            <a:effectLst/>
          </c:spPr>
          <c:marker>
            <c:symbol val="circle"/>
            <c:size val="7"/>
            <c:spPr>
              <a:solidFill>
                <a:schemeClr val="accent6">
                  <a:shade val="65000"/>
                </a:schemeClr>
              </a:solidFill>
              <a:ln w="9525">
                <a:solidFill>
                  <a:schemeClr val="accent6">
                    <a:shade val="65000"/>
                  </a:schemeClr>
                </a:solidFill>
              </a:ln>
              <a:effectLst/>
            </c:spPr>
          </c:marker>
          <c:cat>
            <c:strRef>
              <c:f>Sheet1!$A$2:$A$34</c:f>
              <c:strCache>
                <c:ptCount val="7"/>
                <c:pt idx="0">
                  <c:v>Igaunija</c:v>
                </c:pt>
                <c:pt idx="1">
                  <c:v>Lietuva</c:v>
                </c:pt>
                <c:pt idx="2">
                  <c:v>EU 28 valstis</c:v>
                </c:pt>
                <c:pt idx="3">
                  <c:v>Bulgārija</c:v>
                </c:pt>
                <c:pt idx="4">
                  <c:v>Rumānija</c:v>
                </c:pt>
                <c:pt idx="5">
                  <c:v>Latvjia</c:v>
                </c:pt>
                <c:pt idx="6">
                  <c:v>Latvija (pēc ieguldījumu veikšanas)</c:v>
                </c:pt>
              </c:strCache>
            </c:strRef>
          </c:cat>
          <c:val>
            <c:numRef>
              <c:f>Sheet1!$B$2:$B$34</c:f>
              <c:numCache>
                <c:formatCode>0.00</c:formatCode>
                <c:ptCount val="7"/>
                <c:pt idx="0">
                  <c:v>0.8</c:v>
                </c:pt>
                <c:pt idx="1">
                  <c:v>0.9</c:v>
                </c:pt>
                <c:pt idx="2">
                  <c:v>3.55</c:v>
                </c:pt>
                <c:pt idx="3">
                  <c:v>6.6</c:v>
                </c:pt>
                <c:pt idx="4">
                  <c:v>10.35</c:v>
                </c:pt>
                <c:pt idx="5">
                  <c:v>16.149999999999999</c:v>
                </c:pt>
                <c:pt idx="6">
                  <c:v>9.65</c:v>
                </c:pt>
              </c:numCache>
            </c:numRef>
          </c:val>
          <c:smooth val="0"/>
          <c:extLst>
            <c:ext xmlns:c16="http://schemas.microsoft.com/office/drawing/2014/chart" uri="{C3380CC4-5D6E-409C-BE32-E72D297353CC}">
              <c16:uniqueId val="{00000002-16E9-4FCC-9085-F224290CCDED}"/>
            </c:ext>
          </c:extLst>
        </c:ser>
        <c:ser>
          <c:idx val="1"/>
          <c:order val="2"/>
          <c:tx>
            <c:strRef>
              <c:f>Sheet1!$C$1</c:f>
              <c:strCache>
                <c:ptCount val="1"/>
                <c:pt idx="0">
                  <c:v>Augstākā kvintele </c:v>
                </c:pt>
              </c:strCache>
            </c:strRef>
          </c:tx>
          <c:spPr>
            <a:ln w="28575" cap="rnd">
              <a:noFill/>
              <a:round/>
            </a:ln>
            <a:effectLst/>
          </c:spPr>
          <c:marker>
            <c:symbol val="circle"/>
            <c:size val="7"/>
            <c:spPr>
              <a:solidFill>
                <a:schemeClr val="accent6"/>
              </a:solidFill>
              <a:ln w="9525">
                <a:solidFill>
                  <a:schemeClr val="accent6"/>
                </a:solidFill>
              </a:ln>
              <a:effectLst/>
            </c:spPr>
          </c:marker>
          <c:cat>
            <c:strRef>
              <c:f>Sheet1!$A$2:$A$34</c:f>
              <c:strCache>
                <c:ptCount val="7"/>
                <c:pt idx="0">
                  <c:v>Igaunija</c:v>
                </c:pt>
                <c:pt idx="1">
                  <c:v>Lietuva</c:v>
                </c:pt>
                <c:pt idx="2">
                  <c:v>EU 28 valstis</c:v>
                </c:pt>
                <c:pt idx="3">
                  <c:v>Bulgārija</c:v>
                </c:pt>
                <c:pt idx="4">
                  <c:v>Rumānija</c:v>
                </c:pt>
                <c:pt idx="5">
                  <c:v>Latvjia</c:v>
                </c:pt>
                <c:pt idx="6">
                  <c:v>Latvija (pēc ieguldījumu veikšanas)</c:v>
                </c:pt>
              </c:strCache>
            </c:strRef>
          </c:cat>
          <c:val>
            <c:numRef>
              <c:f>Sheet1!$C$2:$C$34</c:f>
              <c:numCache>
                <c:formatCode>0.00</c:formatCode>
                <c:ptCount val="7"/>
                <c:pt idx="0">
                  <c:v>0.4</c:v>
                </c:pt>
                <c:pt idx="1">
                  <c:v>0.2</c:v>
                </c:pt>
                <c:pt idx="2">
                  <c:v>2</c:v>
                </c:pt>
                <c:pt idx="3">
                  <c:v>3.6</c:v>
                </c:pt>
                <c:pt idx="4">
                  <c:v>8.6999999999999993</c:v>
                </c:pt>
                <c:pt idx="5">
                  <c:v>8.6999999999999993</c:v>
                </c:pt>
                <c:pt idx="6">
                  <c:v>5.7</c:v>
                </c:pt>
              </c:numCache>
            </c:numRef>
          </c:val>
          <c:smooth val="0"/>
          <c:extLst>
            <c:ext xmlns:c16="http://schemas.microsoft.com/office/drawing/2014/chart" uri="{C3380CC4-5D6E-409C-BE32-E72D297353CC}">
              <c16:uniqueId val="{00000003-16E9-4FCC-9085-F224290CCDED}"/>
            </c:ext>
          </c:extLst>
        </c:ser>
        <c:dLbls>
          <c:showLegendKey val="0"/>
          <c:showVal val="0"/>
          <c:showCatName val="0"/>
          <c:showSerName val="0"/>
          <c:showPercent val="0"/>
          <c:showBubbleSize val="0"/>
        </c:dLbls>
        <c:hiLowLines>
          <c:spPr>
            <a:ln w="15875" cap="flat" cmpd="sng" algn="ctr">
              <a:solidFill>
                <a:schemeClr val="tx1">
                  <a:lumMod val="75000"/>
                  <a:lumOff val="25000"/>
                </a:schemeClr>
              </a:solidFill>
              <a:round/>
            </a:ln>
            <a:effectLst/>
          </c:spPr>
        </c:hiLowLines>
        <c:marker val="1"/>
        <c:smooth val="0"/>
        <c:axId val="1168037600"/>
        <c:axId val="1168016824"/>
      </c:lineChart>
      <c:catAx>
        <c:axId val="116803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68016824"/>
        <c:crosses val="autoZero"/>
        <c:auto val="1"/>
        <c:lblAlgn val="ctr"/>
        <c:lblOffset val="100"/>
        <c:noMultiLvlLbl val="0"/>
      </c:catAx>
      <c:valAx>
        <c:axId val="1168016824"/>
        <c:scaling>
          <c:orientation val="minMax"/>
          <c:max val="25"/>
          <c:min val="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low"/>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68037600"/>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zero"/>
    <c:showDLblsOverMax val="0"/>
  </c:chart>
  <c:spPr>
    <a:solidFill>
      <a:schemeClr val="bg1"/>
    </a:solidFill>
    <a:ln w="9525" cap="sq" cmpd="sng" algn="ctr">
      <a:solidFill>
        <a:schemeClr val="tx1">
          <a:lumMod val="15000"/>
          <a:lumOff val="85000"/>
        </a:schemeClr>
      </a:solidFill>
      <a:miter lim="800000"/>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accent6"/>
              </a:solidFill>
              <a:ln w="9525">
                <a:solidFill>
                  <a:schemeClr val="accent6"/>
                </a:solidFill>
              </a:ln>
              <a:effectLst/>
            </c:spPr>
          </c:marker>
          <c:dPt>
            <c:idx val="13"/>
            <c:marker>
              <c:symbol val="circle"/>
              <c:size val="5"/>
              <c:spPr>
                <a:solidFill>
                  <a:schemeClr val="accent2"/>
                </a:solidFill>
                <a:ln w="9525">
                  <a:solidFill>
                    <a:schemeClr val="accent6"/>
                  </a:solidFill>
                </a:ln>
                <a:effectLst/>
              </c:spPr>
            </c:marker>
            <c:bubble3D val="0"/>
            <c:extLst>
              <c:ext xmlns:c16="http://schemas.microsoft.com/office/drawing/2014/chart" uri="{C3380CC4-5D6E-409C-BE32-E72D297353CC}">
                <c16:uniqueId val="{00000000-BF85-4C6C-86E3-73724B71377B}"/>
              </c:ext>
            </c:extLst>
          </c:dPt>
          <c:dPt>
            <c:idx val="14"/>
            <c:marker>
              <c:symbol val="circle"/>
              <c:size val="5"/>
              <c:spPr>
                <a:solidFill>
                  <a:schemeClr val="accent2"/>
                </a:solidFill>
                <a:ln w="9525">
                  <a:solidFill>
                    <a:schemeClr val="accent6"/>
                  </a:solidFill>
                </a:ln>
                <a:effectLst/>
              </c:spPr>
            </c:marker>
            <c:bubble3D val="0"/>
            <c:extLst>
              <c:ext xmlns:c16="http://schemas.microsoft.com/office/drawing/2014/chart" uri="{C3380CC4-5D6E-409C-BE32-E72D297353CC}">
                <c16:uniqueId val="{00000001-BF85-4C6C-86E3-73724B71377B}"/>
              </c:ext>
            </c:extLst>
          </c:dPt>
          <c:trendline>
            <c:spPr>
              <a:ln w="19050" cap="rnd">
                <a:solidFill>
                  <a:schemeClr val="accent6"/>
                </a:solidFill>
                <a:prstDash val="sysDot"/>
              </a:ln>
              <a:effectLst/>
            </c:spPr>
            <c:trendlineType val="power"/>
            <c:dispRSqr val="1"/>
            <c:dispEq val="1"/>
            <c:trendlineLbl>
              <c:layout>
                <c:manualLayout>
                  <c:x val="0.1478595684890941"/>
                  <c:y val="0.1248948133491349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trendlineLbl>
          </c:trendline>
          <c:xVal>
            <c:numRef>
              <c:f>Veselības_ekonomikas_grafiki!$B$71:$B$102</c:f>
              <c:numCache>
                <c:formatCode>General</c:formatCode>
                <c:ptCount val="32"/>
                <c:pt idx="0">
                  <c:v>3809.4695614532011</c:v>
                </c:pt>
                <c:pt idx="1">
                  <c:v>544.93154696120621</c:v>
                </c:pt>
                <c:pt idx="2">
                  <c:v>1356.7786072914364</c:v>
                </c:pt>
                <c:pt idx="3">
                  <c:v>4735.2925931575046</c:v>
                </c:pt>
                <c:pt idx="4">
                  <c:v>3381.2992037812719</c:v>
                </c:pt>
                <c:pt idx="5">
                  <c:v>1001.9287362313542</c:v>
                </c:pt>
                <c:pt idx="6">
                  <c:v>4617.3027895283549</c:v>
                </c:pt>
                <c:pt idx="7">
                  <c:v>1089.2622404130773</c:v>
                </c:pt>
                <c:pt idx="8">
                  <c:v>1934.3349140414848</c:v>
                </c:pt>
                <c:pt idx="9">
                  <c:v>3435.2125149114327</c:v>
                </c:pt>
                <c:pt idx="10">
                  <c:v>849.93226679137206</c:v>
                </c:pt>
                <c:pt idx="11">
                  <c:v>2445.6828417786501</c:v>
                </c:pt>
                <c:pt idx="12">
                  <c:v>1162.4804281391755</c:v>
                </c:pt>
                <c:pt idx="13">
                  <c:v>724.99289560235002</c:v>
                </c:pt>
                <c:pt idx="15">
                  <c:v>1028.9986889050851</c:v>
                </c:pt>
                <c:pt idx="16">
                  <c:v>5356.869303517441</c:v>
                </c:pt>
                <c:pt idx="17">
                  <c:v>827.37927008115594</c:v>
                </c:pt>
                <c:pt idx="18">
                  <c:v>1728.4374160409748</c:v>
                </c:pt>
                <c:pt idx="19">
                  <c:v>3980.4843689184545</c:v>
                </c:pt>
                <c:pt idx="20">
                  <c:v>4058.7821215049294</c:v>
                </c:pt>
                <c:pt idx="21">
                  <c:v>720.15086684591029</c:v>
                </c:pt>
                <c:pt idx="22">
                  <c:v>1604.4109041293273</c:v>
                </c:pt>
                <c:pt idx="23">
                  <c:v>378.63236884712063</c:v>
                </c:pt>
                <c:pt idx="24">
                  <c:v>1662.2204584630354</c:v>
                </c:pt>
                <c:pt idx="25">
                  <c:v>371.52175124670805</c:v>
                </c:pt>
                <c:pt idx="26">
                  <c:v>4157.0779986449588</c:v>
                </c:pt>
                <c:pt idx="27">
                  <c:v>3844.0497889148965</c:v>
                </c:pt>
                <c:pt idx="28">
                  <c:v>3186.7403026670872</c:v>
                </c:pt>
                <c:pt idx="29">
                  <c:v>3716.3596359706921</c:v>
                </c:pt>
                <c:pt idx="30">
                  <c:v>6753.7616109543378</c:v>
                </c:pt>
                <c:pt idx="31">
                  <c:v>2216.111926122122</c:v>
                </c:pt>
              </c:numCache>
            </c:numRef>
          </c:xVal>
          <c:yVal>
            <c:numRef>
              <c:f>Veselības_ekonomikas_grafiki!$C$71:$C$102</c:f>
              <c:numCache>
                <c:formatCode>General</c:formatCode>
                <c:ptCount val="32"/>
                <c:pt idx="0">
                  <c:v>94.1</c:v>
                </c:pt>
                <c:pt idx="1">
                  <c:v>249.4</c:v>
                </c:pt>
                <c:pt idx="2">
                  <c:v>175.6</c:v>
                </c:pt>
                <c:pt idx="3">
                  <c:v>93.9</c:v>
                </c:pt>
                <c:pt idx="4">
                  <c:v>106.8</c:v>
                </c:pt>
                <c:pt idx="5">
                  <c:v>218.5</c:v>
                </c:pt>
                <c:pt idx="6">
                  <c:v>106</c:v>
                </c:pt>
                <c:pt idx="7">
                  <c:v>113.6</c:v>
                </c:pt>
                <c:pt idx="8">
                  <c:v>82.9</c:v>
                </c:pt>
                <c:pt idx="9">
                  <c:v>72.900000000000006</c:v>
                </c:pt>
                <c:pt idx="10">
                  <c:v>187.3</c:v>
                </c:pt>
                <c:pt idx="11">
                  <c:v>85</c:v>
                </c:pt>
                <c:pt idx="12">
                  <c:v>83.3</c:v>
                </c:pt>
                <c:pt idx="13">
                  <c:v>320.39999999999998</c:v>
                </c:pt>
                <c:pt idx="15">
                  <c:v>297.7</c:v>
                </c:pt>
                <c:pt idx="16">
                  <c:v>102.7</c:v>
                </c:pt>
                <c:pt idx="17">
                  <c:v>245</c:v>
                </c:pt>
                <c:pt idx="18">
                  <c:v>113.5</c:v>
                </c:pt>
                <c:pt idx="19">
                  <c:v>86.5</c:v>
                </c:pt>
                <c:pt idx="20">
                  <c:v>101.3</c:v>
                </c:pt>
                <c:pt idx="21">
                  <c:v>166.8</c:v>
                </c:pt>
                <c:pt idx="22">
                  <c:v>103.5</c:v>
                </c:pt>
                <c:pt idx="23">
                  <c:v>295.89999999999998</c:v>
                </c:pt>
                <c:pt idx="24">
                  <c:v>118.2</c:v>
                </c:pt>
                <c:pt idx="25">
                  <c:v>237.3</c:v>
                </c:pt>
                <c:pt idx="26">
                  <c:v>107</c:v>
                </c:pt>
                <c:pt idx="27">
                  <c:v>92.6</c:v>
                </c:pt>
                <c:pt idx="28">
                  <c:v>108.1</c:v>
                </c:pt>
                <c:pt idx="30">
                  <c:v>86.5</c:v>
                </c:pt>
                <c:pt idx="31">
                  <c:v>70.400000000000006</c:v>
                </c:pt>
              </c:numCache>
            </c:numRef>
          </c:yVal>
          <c:smooth val="0"/>
          <c:extLst>
            <c:ext xmlns:c16="http://schemas.microsoft.com/office/drawing/2014/chart" uri="{C3380CC4-5D6E-409C-BE32-E72D297353CC}">
              <c16:uniqueId val="{00000003-BF85-4C6C-86E3-73724B71377B}"/>
            </c:ext>
          </c:extLst>
        </c:ser>
        <c:dLbls>
          <c:showLegendKey val="0"/>
          <c:showVal val="0"/>
          <c:showCatName val="0"/>
          <c:showSerName val="0"/>
          <c:showPercent val="0"/>
          <c:showBubbleSize val="0"/>
        </c:dLbls>
        <c:axId val="524486576"/>
        <c:axId val="524481000"/>
      </c:scatterChart>
      <c:valAx>
        <c:axId val="5244865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Veselības izdevumi uz 1 iedzīvotāju, euro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4481000"/>
        <c:crosses val="autoZero"/>
        <c:crossBetween val="midCat"/>
      </c:valAx>
      <c:valAx>
        <c:axId val="524481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Koriģējamā</a:t>
                </a:r>
                <a:r>
                  <a:rPr lang="lv-LV" baseline="0"/>
                  <a:t> mirstība uz 100 000 iedzīvotājiem</a:t>
                </a:r>
                <a:endParaRPr lang="lv-LV"/>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44865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onkol_statisktika!$B$8</c:f>
              <c:strCache>
                <c:ptCount val="1"/>
                <c:pt idx="0">
                  <c:v>Finansējuma patēriņš (EUR) (kreisā ass)</c:v>
                </c:pt>
              </c:strCache>
            </c:strRef>
          </c:tx>
          <c:spPr>
            <a:solidFill>
              <a:schemeClr val="accent6">
                <a:shade val="76000"/>
              </a:schemeClr>
            </a:solidFill>
            <a:ln>
              <a:noFill/>
            </a:ln>
            <a:effectLst/>
          </c:spPr>
          <c:invertIfNegative val="0"/>
          <c:cat>
            <c:strRef>
              <c:f>onkol_statisktika!$C$7:$I$7</c:f>
              <c:strCache>
                <c:ptCount val="7"/>
                <c:pt idx="0">
                  <c:v>2011</c:v>
                </c:pt>
                <c:pt idx="1">
                  <c:v>2012</c:v>
                </c:pt>
                <c:pt idx="2">
                  <c:v>2013</c:v>
                </c:pt>
                <c:pt idx="3">
                  <c:v>2014</c:v>
                </c:pt>
                <c:pt idx="4">
                  <c:v>2015</c:v>
                </c:pt>
                <c:pt idx="5">
                  <c:v>2016</c:v>
                </c:pt>
                <c:pt idx="6">
                  <c:v>2017 (prognoze)</c:v>
                </c:pt>
              </c:strCache>
            </c:strRef>
          </c:cat>
          <c:val>
            <c:numRef>
              <c:f>onkol_statisktika!$C$8:$I$8</c:f>
              <c:numCache>
                <c:formatCode>#,##0</c:formatCode>
                <c:ptCount val="7"/>
                <c:pt idx="0">
                  <c:v>16843534.809999999</c:v>
                </c:pt>
                <c:pt idx="1">
                  <c:v>16942786.649999999</c:v>
                </c:pt>
                <c:pt idx="2">
                  <c:v>17024277.289999999</c:v>
                </c:pt>
                <c:pt idx="3">
                  <c:v>19547672.93</c:v>
                </c:pt>
                <c:pt idx="4">
                  <c:v>20695817.920000002</c:v>
                </c:pt>
                <c:pt idx="5">
                  <c:v>21899214.920000002</c:v>
                </c:pt>
                <c:pt idx="6">
                  <c:v>24485563</c:v>
                </c:pt>
              </c:numCache>
            </c:numRef>
          </c:val>
          <c:extLst>
            <c:ext xmlns:c16="http://schemas.microsoft.com/office/drawing/2014/chart" uri="{C3380CC4-5D6E-409C-BE32-E72D297353CC}">
              <c16:uniqueId val="{00000000-D484-4E5B-ABEF-3B0389FE6348}"/>
            </c:ext>
          </c:extLst>
        </c:ser>
        <c:dLbls>
          <c:showLegendKey val="0"/>
          <c:showVal val="0"/>
          <c:showCatName val="0"/>
          <c:showSerName val="0"/>
          <c:showPercent val="0"/>
          <c:showBubbleSize val="0"/>
        </c:dLbls>
        <c:gapWidth val="219"/>
        <c:axId val="524217856"/>
        <c:axId val="524218184"/>
      </c:barChart>
      <c:lineChart>
        <c:grouping val="standard"/>
        <c:varyColors val="0"/>
        <c:ser>
          <c:idx val="1"/>
          <c:order val="1"/>
          <c:tx>
            <c:strRef>
              <c:f>onkol_statisktika!$B$9</c:f>
              <c:strCache>
                <c:ptCount val="1"/>
                <c:pt idx="0">
                  <c:v>Pacientu skaits (labā ass)</c:v>
                </c:pt>
              </c:strCache>
            </c:strRef>
          </c:tx>
          <c:spPr>
            <a:ln w="28575" cap="rnd">
              <a:solidFill>
                <a:schemeClr val="accent6">
                  <a:tint val="77000"/>
                </a:schemeClr>
              </a:solidFill>
              <a:round/>
            </a:ln>
            <a:effectLst/>
          </c:spPr>
          <c:marker>
            <c:symbol val="none"/>
          </c:marker>
          <c:cat>
            <c:strRef>
              <c:f>onkol_statisktika!$C$7:$I$7</c:f>
              <c:strCache>
                <c:ptCount val="7"/>
                <c:pt idx="0">
                  <c:v>2011</c:v>
                </c:pt>
                <c:pt idx="1">
                  <c:v>2012</c:v>
                </c:pt>
                <c:pt idx="2">
                  <c:v>2013</c:v>
                </c:pt>
                <c:pt idx="3">
                  <c:v>2014</c:v>
                </c:pt>
                <c:pt idx="4">
                  <c:v>2015</c:v>
                </c:pt>
                <c:pt idx="5">
                  <c:v>2016</c:v>
                </c:pt>
                <c:pt idx="6">
                  <c:v>2017 (prognoze)</c:v>
                </c:pt>
              </c:strCache>
            </c:strRef>
          </c:cat>
          <c:val>
            <c:numRef>
              <c:f>onkol_statisktika!$C$9:$I$9</c:f>
              <c:numCache>
                <c:formatCode>#,##0</c:formatCode>
                <c:ptCount val="7"/>
                <c:pt idx="0">
                  <c:v>19307</c:v>
                </c:pt>
                <c:pt idx="1">
                  <c:v>19834</c:v>
                </c:pt>
                <c:pt idx="2">
                  <c:v>20697</c:v>
                </c:pt>
                <c:pt idx="3">
                  <c:v>21636</c:v>
                </c:pt>
                <c:pt idx="4">
                  <c:v>22472</c:v>
                </c:pt>
                <c:pt idx="5">
                  <c:v>23188</c:v>
                </c:pt>
                <c:pt idx="6">
                  <c:v>26966</c:v>
                </c:pt>
              </c:numCache>
            </c:numRef>
          </c:val>
          <c:smooth val="0"/>
          <c:extLst>
            <c:ext xmlns:c16="http://schemas.microsoft.com/office/drawing/2014/chart" uri="{C3380CC4-5D6E-409C-BE32-E72D297353CC}">
              <c16:uniqueId val="{00000001-D484-4E5B-ABEF-3B0389FE6348}"/>
            </c:ext>
          </c:extLst>
        </c:ser>
        <c:dLbls>
          <c:showLegendKey val="0"/>
          <c:showVal val="0"/>
          <c:showCatName val="0"/>
          <c:showSerName val="0"/>
          <c:showPercent val="0"/>
          <c:showBubbleSize val="0"/>
        </c:dLbls>
        <c:marker val="1"/>
        <c:smooth val="0"/>
        <c:axId val="568411072"/>
        <c:axId val="568415008"/>
      </c:lineChart>
      <c:catAx>
        <c:axId val="52421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4218184"/>
        <c:crosses val="autoZero"/>
        <c:auto val="1"/>
        <c:lblAlgn val="ctr"/>
        <c:lblOffset val="100"/>
        <c:noMultiLvlLbl val="0"/>
      </c:catAx>
      <c:valAx>
        <c:axId val="524218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4217856"/>
        <c:crosses val="autoZero"/>
        <c:crossBetween val="between"/>
      </c:valAx>
      <c:valAx>
        <c:axId val="56841500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8411072"/>
        <c:crosses val="max"/>
        <c:crossBetween val="between"/>
      </c:valAx>
      <c:catAx>
        <c:axId val="568411072"/>
        <c:scaling>
          <c:orientation val="minMax"/>
        </c:scaling>
        <c:delete val="1"/>
        <c:axPos val="b"/>
        <c:numFmt formatCode="General" sourceLinked="1"/>
        <c:majorTickMark val="out"/>
        <c:minorTickMark val="none"/>
        <c:tickLblPos val="nextTo"/>
        <c:crossAx val="5684150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onkol_statisktika!$B$19</c:f>
              <c:strCache>
                <c:ptCount val="1"/>
                <c:pt idx="0">
                  <c:v>Pacientu skaits (kreisā ass)</c:v>
                </c:pt>
              </c:strCache>
            </c:strRef>
          </c:tx>
          <c:spPr>
            <a:solidFill>
              <a:schemeClr val="accent6">
                <a:shade val="76000"/>
              </a:schemeClr>
            </a:solidFill>
            <a:ln>
              <a:noFill/>
            </a:ln>
            <a:effectLst/>
          </c:spPr>
          <c:invertIfNegative val="0"/>
          <c:cat>
            <c:strRef>
              <c:f>onkol_statisktika!$C$18:$I$18</c:f>
              <c:strCache>
                <c:ptCount val="7"/>
                <c:pt idx="0">
                  <c:v>2011</c:v>
                </c:pt>
                <c:pt idx="1">
                  <c:v>2012</c:v>
                </c:pt>
                <c:pt idx="2">
                  <c:v>2013</c:v>
                </c:pt>
                <c:pt idx="3">
                  <c:v>2014</c:v>
                </c:pt>
                <c:pt idx="4">
                  <c:v>2015</c:v>
                </c:pt>
                <c:pt idx="5">
                  <c:v>2016</c:v>
                </c:pt>
                <c:pt idx="6">
                  <c:v>2017 (dati uz 1.11)</c:v>
                </c:pt>
              </c:strCache>
            </c:strRef>
          </c:cat>
          <c:val>
            <c:numRef>
              <c:f>onkol_statisktika!$C$19:$I$19</c:f>
              <c:numCache>
                <c:formatCode>General</c:formatCode>
                <c:ptCount val="7"/>
                <c:pt idx="0">
                  <c:v>67</c:v>
                </c:pt>
                <c:pt idx="1">
                  <c:v>73</c:v>
                </c:pt>
                <c:pt idx="2">
                  <c:v>76</c:v>
                </c:pt>
                <c:pt idx="3">
                  <c:v>47</c:v>
                </c:pt>
                <c:pt idx="4">
                  <c:v>58</c:v>
                </c:pt>
                <c:pt idx="5">
                  <c:v>102</c:v>
                </c:pt>
                <c:pt idx="6">
                  <c:v>136</c:v>
                </c:pt>
              </c:numCache>
            </c:numRef>
          </c:val>
          <c:extLst>
            <c:ext xmlns:c16="http://schemas.microsoft.com/office/drawing/2014/chart" uri="{C3380CC4-5D6E-409C-BE32-E72D297353CC}">
              <c16:uniqueId val="{00000000-E882-4D09-9823-43B17557E683}"/>
            </c:ext>
          </c:extLst>
        </c:ser>
        <c:dLbls>
          <c:showLegendKey val="0"/>
          <c:showVal val="0"/>
          <c:showCatName val="0"/>
          <c:showSerName val="0"/>
          <c:showPercent val="0"/>
          <c:showBubbleSize val="0"/>
        </c:dLbls>
        <c:gapWidth val="219"/>
        <c:axId val="524218512"/>
        <c:axId val="524219496"/>
      </c:barChart>
      <c:lineChart>
        <c:grouping val="standard"/>
        <c:varyColors val="0"/>
        <c:ser>
          <c:idx val="1"/>
          <c:order val="1"/>
          <c:tx>
            <c:strRef>
              <c:f>onkol_statisktika!$B$20</c:f>
              <c:strCache>
                <c:ptCount val="1"/>
                <c:pt idx="0">
                  <c:v>Izlietotais finansējums (EUR, labā ass)</c:v>
                </c:pt>
              </c:strCache>
            </c:strRef>
          </c:tx>
          <c:spPr>
            <a:ln w="28575" cap="rnd">
              <a:solidFill>
                <a:schemeClr val="accent6">
                  <a:tint val="77000"/>
                </a:schemeClr>
              </a:solidFill>
              <a:round/>
            </a:ln>
            <a:effectLst/>
          </c:spPr>
          <c:marker>
            <c:symbol val="none"/>
          </c:marker>
          <c:cat>
            <c:strRef>
              <c:f>onkol_statisktika!$C$18:$I$18</c:f>
              <c:strCache>
                <c:ptCount val="7"/>
                <c:pt idx="0">
                  <c:v>2011</c:v>
                </c:pt>
                <c:pt idx="1">
                  <c:v>2012</c:v>
                </c:pt>
                <c:pt idx="2">
                  <c:v>2013</c:v>
                </c:pt>
                <c:pt idx="3">
                  <c:v>2014</c:v>
                </c:pt>
                <c:pt idx="4">
                  <c:v>2015</c:v>
                </c:pt>
                <c:pt idx="5">
                  <c:v>2016</c:v>
                </c:pt>
                <c:pt idx="6">
                  <c:v>2017 (dati uz 1.11)</c:v>
                </c:pt>
              </c:strCache>
            </c:strRef>
          </c:cat>
          <c:val>
            <c:numRef>
              <c:f>onkol_statisktika!$C$20:$I$20</c:f>
              <c:numCache>
                <c:formatCode>#,##0</c:formatCode>
                <c:ptCount val="7"/>
                <c:pt idx="0">
                  <c:v>285011.25</c:v>
                </c:pt>
                <c:pt idx="1">
                  <c:v>356082.29</c:v>
                </c:pt>
                <c:pt idx="2">
                  <c:v>679081.08</c:v>
                </c:pt>
                <c:pt idx="3">
                  <c:v>374661.87</c:v>
                </c:pt>
                <c:pt idx="4">
                  <c:v>473675.9</c:v>
                </c:pt>
                <c:pt idx="5">
                  <c:v>842109.52</c:v>
                </c:pt>
                <c:pt idx="6">
                  <c:v>898243.92</c:v>
                </c:pt>
              </c:numCache>
            </c:numRef>
          </c:val>
          <c:smooth val="0"/>
          <c:extLst>
            <c:ext xmlns:c16="http://schemas.microsoft.com/office/drawing/2014/chart" uri="{C3380CC4-5D6E-409C-BE32-E72D297353CC}">
              <c16:uniqueId val="{00000001-E882-4D09-9823-43B17557E683}"/>
            </c:ext>
          </c:extLst>
        </c:ser>
        <c:dLbls>
          <c:showLegendKey val="0"/>
          <c:showVal val="0"/>
          <c:showCatName val="0"/>
          <c:showSerName val="0"/>
          <c:showPercent val="0"/>
          <c:showBubbleSize val="0"/>
        </c:dLbls>
        <c:marker val="1"/>
        <c:smooth val="0"/>
        <c:axId val="429864584"/>
        <c:axId val="429861304"/>
      </c:lineChart>
      <c:catAx>
        <c:axId val="52421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lv-LV"/>
          </a:p>
        </c:txPr>
        <c:crossAx val="524219496"/>
        <c:crosses val="autoZero"/>
        <c:auto val="1"/>
        <c:lblAlgn val="ctr"/>
        <c:lblOffset val="100"/>
        <c:noMultiLvlLbl val="0"/>
      </c:catAx>
      <c:valAx>
        <c:axId val="524219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lv-LV"/>
          </a:p>
        </c:txPr>
        <c:crossAx val="524218512"/>
        <c:crosses val="autoZero"/>
        <c:crossBetween val="between"/>
      </c:valAx>
      <c:valAx>
        <c:axId val="42986130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lv-LV"/>
          </a:p>
        </c:txPr>
        <c:crossAx val="429864584"/>
        <c:crosses val="max"/>
        <c:crossBetween val="between"/>
      </c:valAx>
      <c:catAx>
        <c:axId val="429864584"/>
        <c:scaling>
          <c:orientation val="minMax"/>
        </c:scaling>
        <c:delete val="1"/>
        <c:axPos val="b"/>
        <c:numFmt formatCode="General" sourceLinked="1"/>
        <c:majorTickMark val="out"/>
        <c:minorTickMark val="none"/>
        <c:tickLblPos val="nextTo"/>
        <c:crossAx val="4298613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ln>
            <a:noFill/>
          </a:ln>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960">
                <a:latin typeface="Times New Roman" panose="02020603050405020304" pitchFamily="18" charset="0"/>
                <a:cs typeface="Times New Roman" panose="02020603050405020304" pitchFamily="18" charset="0"/>
              </a:rPr>
              <a:t>HIV</a:t>
            </a:r>
            <a:r>
              <a:rPr lang="lv-LV" sz="960" baseline="0">
                <a:latin typeface="Times New Roman" panose="02020603050405020304" pitchFamily="18" charset="0"/>
                <a:cs typeface="Times New Roman" panose="02020603050405020304" pitchFamily="18" charset="0"/>
              </a:rPr>
              <a:t> saslimšanas gadījumi uz 100 000 iedzīvotājiem, 2015</a:t>
            </a:r>
            <a:endParaRPr lang="lv-LV" sz="96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strRef>
              <c:f>'HIV 2015'!$A$1:$A$32</c:f>
              <c:strCache>
                <c:ptCount val="32"/>
                <c:pt idx="0">
                  <c:v>Austrija</c:v>
                </c:pt>
                <c:pt idx="1">
                  <c:v>Beļģija</c:v>
                </c:pt>
                <c:pt idx="2">
                  <c:v>Bulgārija</c:v>
                </c:pt>
                <c:pt idx="3">
                  <c:v>Horvātija</c:v>
                </c:pt>
                <c:pt idx="4">
                  <c:v>Kipra</c:v>
                </c:pt>
                <c:pt idx="5">
                  <c:v>Čehija</c:v>
                </c:pt>
                <c:pt idx="6">
                  <c:v>Dānija</c:v>
                </c:pt>
                <c:pt idx="7">
                  <c:v>Igaunija</c:v>
                </c:pt>
                <c:pt idx="8">
                  <c:v>Somija</c:v>
                </c:pt>
                <c:pt idx="9">
                  <c:v>Francija</c:v>
                </c:pt>
                <c:pt idx="10">
                  <c:v>Vācija</c:v>
                </c:pt>
                <c:pt idx="11">
                  <c:v>Grieķija</c:v>
                </c:pt>
                <c:pt idx="12">
                  <c:v>Ungārija</c:v>
                </c:pt>
                <c:pt idx="13">
                  <c:v>Islande</c:v>
                </c:pt>
                <c:pt idx="14">
                  <c:v>Īrija</c:v>
                </c:pt>
                <c:pt idx="15">
                  <c:v>Itālija</c:v>
                </c:pt>
                <c:pt idx="16">
                  <c:v>Latvija</c:v>
                </c:pt>
                <c:pt idx="17">
                  <c:v>Lihtenšteina</c:v>
                </c:pt>
                <c:pt idx="18">
                  <c:v>Lietuva</c:v>
                </c:pt>
                <c:pt idx="19">
                  <c:v>Luksemburga</c:v>
                </c:pt>
                <c:pt idx="20">
                  <c:v>Malta</c:v>
                </c:pt>
                <c:pt idx="21">
                  <c:v>Nīderlande</c:v>
                </c:pt>
                <c:pt idx="22">
                  <c:v>Norvēģija</c:v>
                </c:pt>
                <c:pt idx="23">
                  <c:v>Polija</c:v>
                </c:pt>
                <c:pt idx="24">
                  <c:v>Portugāle</c:v>
                </c:pt>
                <c:pt idx="25">
                  <c:v>Rumānija</c:v>
                </c:pt>
                <c:pt idx="26">
                  <c:v>Slovākija</c:v>
                </c:pt>
                <c:pt idx="27">
                  <c:v>Slovēnija</c:v>
                </c:pt>
                <c:pt idx="28">
                  <c:v>Spānija</c:v>
                </c:pt>
                <c:pt idx="29">
                  <c:v>Zviedrija</c:v>
                </c:pt>
                <c:pt idx="30">
                  <c:v>Lielbritānija</c:v>
                </c:pt>
                <c:pt idx="31">
                  <c:v>Kopumā ES/EEZ</c:v>
                </c:pt>
              </c:strCache>
            </c:strRef>
          </c:cat>
          <c:val>
            <c:numRef>
              <c:f>'HIV 2015'!$B$1:$B$32</c:f>
              <c:numCache>
                <c:formatCode>General</c:formatCode>
                <c:ptCount val="32"/>
                <c:pt idx="0">
                  <c:v>3.1</c:v>
                </c:pt>
                <c:pt idx="1">
                  <c:v>8.9</c:v>
                </c:pt>
                <c:pt idx="2">
                  <c:v>3.1</c:v>
                </c:pt>
                <c:pt idx="3">
                  <c:v>2.8</c:v>
                </c:pt>
                <c:pt idx="4">
                  <c:v>9.4</c:v>
                </c:pt>
                <c:pt idx="5">
                  <c:v>2.5</c:v>
                </c:pt>
                <c:pt idx="6">
                  <c:v>4.9000000000000004</c:v>
                </c:pt>
                <c:pt idx="7">
                  <c:v>20.6</c:v>
                </c:pt>
                <c:pt idx="8">
                  <c:v>3.2</c:v>
                </c:pt>
                <c:pt idx="9">
                  <c:v>5.9</c:v>
                </c:pt>
                <c:pt idx="10">
                  <c:v>4.5</c:v>
                </c:pt>
                <c:pt idx="11">
                  <c:v>6.4</c:v>
                </c:pt>
                <c:pt idx="12">
                  <c:v>2.7</c:v>
                </c:pt>
                <c:pt idx="13">
                  <c:v>3.6</c:v>
                </c:pt>
                <c:pt idx="14">
                  <c:v>10.5</c:v>
                </c:pt>
                <c:pt idx="15">
                  <c:v>5.0999999999999996</c:v>
                </c:pt>
                <c:pt idx="16">
                  <c:v>19.8</c:v>
                </c:pt>
                <c:pt idx="17">
                  <c:v>0</c:v>
                </c:pt>
                <c:pt idx="18">
                  <c:v>5.4</c:v>
                </c:pt>
                <c:pt idx="19">
                  <c:v>10.1</c:v>
                </c:pt>
                <c:pt idx="20">
                  <c:v>14.2</c:v>
                </c:pt>
                <c:pt idx="21">
                  <c:v>4.7</c:v>
                </c:pt>
                <c:pt idx="22">
                  <c:v>4.3</c:v>
                </c:pt>
                <c:pt idx="23">
                  <c:v>2.7</c:v>
                </c:pt>
                <c:pt idx="24">
                  <c:v>9.5</c:v>
                </c:pt>
                <c:pt idx="25">
                  <c:v>3.8</c:v>
                </c:pt>
                <c:pt idx="26">
                  <c:v>1.6</c:v>
                </c:pt>
                <c:pt idx="27">
                  <c:v>2.2999999999999998</c:v>
                </c:pt>
                <c:pt idx="28">
                  <c:v>7.4</c:v>
                </c:pt>
                <c:pt idx="29">
                  <c:v>4.5999999999999996</c:v>
                </c:pt>
                <c:pt idx="30">
                  <c:v>9.4</c:v>
                </c:pt>
                <c:pt idx="31">
                  <c:v>5.8</c:v>
                </c:pt>
              </c:numCache>
            </c:numRef>
          </c:val>
          <c:extLst>
            <c:ext xmlns:c16="http://schemas.microsoft.com/office/drawing/2014/chart" uri="{C3380CC4-5D6E-409C-BE32-E72D297353CC}">
              <c16:uniqueId val="{00000000-B19D-4C8C-9B29-18E30A8BE454}"/>
            </c:ext>
          </c:extLst>
        </c:ser>
        <c:dLbls>
          <c:showLegendKey val="0"/>
          <c:showVal val="1"/>
          <c:showCatName val="0"/>
          <c:showSerName val="0"/>
          <c:showPercent val="0"/>
          <c:showBubbleSize val="0"/>
        </c:dLbls>
        <c:gapWidth val="65"/>
        <c:axId val="112857088"/>
        <c:axId val="112911488"/>
      </c:barChart>
      <c:catAx>
        <c:axId val="11285708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112911488"/>
        <c:crosses val="autoZero"/>
        <c:auto val="1"/>
        <c:lblAlgn val="ctr"/>
        <c:lblOffset val="100"/>
        <c:noMultiLvlLbl val="0"/>
      </c:catAx>
      <c:valAx>
        <c:axId val="112911488"/>
        <c:scaling>
          <c:orientation val="minMax"/>
        </c:scaling>
        <c:delete val="0"/>
        <c:axPos val="b"/>
        <c:majorGridlines>
          <c:spPr>
            <a:ln w="9525" cap="flat" cmpd="sng" algn="ctr">
              <a:gradFill rotWithShape="0">
                <a:gsLst>
                  <a:gs pos="0">
                    <a:schemeClr val="lt1">
                      <a:lumMod val="75000"/>
                      <a:alpha val="36000"/>
                    </a:schemeClr>
                  </a:gs>
                  <a:gs pos="100000">
                    <a:schemeClr val="dk1">
                      <a:lumMod val="95000"/>
                      <a:lumOff val="5000"/>
                      <a:alpha val="42000"/>
                    </a:schemeClr>
                  </a:gs>
                </a:gsLst>
                <a:lin ang="5400000" scaled="0"/>
              </a:gra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112857088"/>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960">
                <a:latin typeface="Times New Roman" panose="02020603050405020304" pitchFamily="18" charset="0"/>
                <a:cs typeface="Times New Roman" panose="02020603050405020304" pitchFamily="18" charset="0"/>
              </a:rPr>
              <a:t>AIDS</a:t>
            </a:r>
            <a:r>
              <a:rPr lang="lv-LV" sz="960" baseline="0">
                <a:latin typeface="Times New Roman" panose="02020603050405020304" pitchFamily="18" charset="0"/>
                <a:cs typeface="Times New Roman" panose="02020603050405020304" pitchFamily="18" charset="0"/>
              </a:rPr>
              <a:t> saslimšanas gadījumi uz </a:t>
            </a:r>
          </a:p>
          <a:p>
            <a:pPr>
              <a:defRPr>
                <a:solidFill>
                  <a:schemeClr val="dk1">
                    <a:lumMod val="75000"/>
                    <a:lumOff val="25000"/>
                  </a:schemeClr>
                </a:solidFill>
              </a:defRPr>
            </a:pPr>
            <a:r>
              <a:rPr lang="lv-LV" sz="960" baseline="0">
                <a:latin typeface="Times New Roman" panose="02020603050405020304" pitchFamily="18" charset="0"/>
                <a:cs typeface="Times New Roman" panose="02020603050405020304" pitchFamily="18" charset="0"/>
              </a:rPr>
              <a:t>100 000  iedzīvotājiem, 2015</a:t>
            </a:r>
            <a:endParaRPr lang="lv-LV" sz="96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clip"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strRef>
              <c:f>'AIDS 2015'!$A$1:$A$32</c:f>
              <c:strCache>
                <c:ptCount val="32"/>
                <c:pt idx="0">
                  <c:v>Austrija</c:v>
                </c:pt>
                <c:pt idx="1">
                  <c:v>Beļģija</c:v>
                </c:pt>
                <c:pt idx="2">
                  <c:v>Bulgārija</c:v>
                </c:pt>
                <c:pt idx="3">
                  <c:v>Horvātija</c:v>
                </c:pt>
                <c:pt idx="4">
                  <c:v>Kipra</c:v>
                </c:pt>
                <c:pt idx="5">
                  <c:v>Čehija</c:v>
                </c:pt>
                <c:pt idx="6">
                  <c:v>Dānija</c:v>
                </c:pt>
                <c:pt idx="7">
                  <c:v>Igaunija</c:v>
                </c:pt>
                <c:pt idx="8">
                  <c:v>Somija</c:v>
                </c:pt>
                <c:pt idx="9">
                  <c:v>Francija</c:v>
                </c:pt>
                <c:pt idx="10">
                  <c:v>Vācija</c:v>
                </c:pt>
                <c:pt idx="11">
                  <c:v>Grieķija</c:v>
                </c:pt>
                <c:pt idx="12">
                  <c:v>Ungārija</c:v>
                </c:pt>
                <c:pt idx="13">
                  <c:v>Islande</c:v>
                </c:pt>
                <c:pt idx="14">
                  <c:v>Īrija</c:v>
                </c:pt>
                <c:pt idx="15">
                  <c:v>Itālija</c:v>
                </c:pt>
                <c:pt idx="16">
                  <c:v>Latvija</c:v>
                </c:pt>
                <c:pt idx="17">
                  <c:v>Lihtenšteina</c:v>
                </c:pt>
                <c:pt idx="18">
                  <c:v>Lietuva</c:v>
                </c:pt>
                <c:pt idx="19">
                  <c:v>Luksemburga</c:v>
                </c:pt>
                <c:pt idx="20">
                  <c:v>Malta</c:v>
                </c:pt>
                <c:pt idx="21">
                  <c:v>Nīderlande</c:v>
                </c:pt>
                <c:pt idx="22">
                  <c:v>Norvēģija</c:v>
                </c:pt>
                <c:pt idx="23">
                  <c:v>Polija</c:v>
                </c:pt>
                <c:pt idx="24">
                  <c:v>Portugāle</c:v>
                </c:pt>
                <c:pt idx="25">
                  <c:v>Rumānija</c:v>
                </c:pt>
                <c:pt idx="26">
                  <c:v>Slovākija</c:v>
                </c:pt>
                <c:pt idx="27">
                  <c:v>Slovēnija</c:v>
                </c:pt>
                <c:pt idx="28">
                  <c:v>Spānija</c:v>
                </c:pt>
                <c:pt idx="29">
                  <c:v>Zviedrija</c:v>
                </c:pt>
                <c:pt idx="30">
                  <c:v>Lielbritānija</c:v>
                </c:pt>
                <c:pt idx="31">
                  <c:v>Kopumā ES/EEZ</c:v>
                </c:pt>
              </c:strCache>
            </c:strRef>
          </c:cat>
          <c:val>
            <c:numRef>
              <c:f>'AIDS 2015'!$B$1:$B$32</c:f>
              <c:numCache>
                <c:formatCode>General</c:formatCode>
                <c:ptCount val="32"/>
                <c:pt idx="0">
                  <c:v>0.8</c:v>
                </c:pt>
                <c:pt idx="2">
                  <c:v>0.60000000000000064</c:v>
                </c:pt>
                <c:pt idx="3">
                  <c:v>0.4</c:v>
                </c:pt>
                <c:pt idx="4">
                  <c:v>0.70000000000000062</c:v>
                </c:pt>
                <c:pt idx="5">
                  <c:v>0.30000000000000032</c:v>
                </c:pt>
                <c:pt idx="6">
                  <c:v>0.70000000000000062</c:v>
                </c:pt>
                <c:pt idx="7">
                  <c:v>1.4</c:v>
                </c:pt>
                <c:pt idx="8">
                  <c:v>0.30000000000000032</c:v>
                </c:pt>
                <c:pt idx="9">
                  <c:v>0.60000000000000064</c:v>
                </c:pt>
                <c:pt idx="10">
                  <c:v>0.2</c:v>
                </c:pt>
                <c:pt idx="11">
                  <c:v>1.1000000000000001</c:v>
                </c:pt>
                <c:pt idx="12">
                  <c:v>0.4</c:v>
                </c:pt>
                <c:pt idx="13">
                  <c:v>0</c:v>
                </c:pt>
                <c:pt idx="14">
                  <c:v>0.60000000000000064</c:v>
                </c:pt>
                <c:pt idx="15">
                  <c:v>1.3</c:v>
                </c:pt>
                <c:pt idx="16">
                  <c:v>6.6</c:v>
                </c:pt>
                <c:pt idx="17">
                  <c:v>0</c:v>
                </c:pt>
                <c:pt idx="18">
                  <c:v>1.2</c:v>
                </c:pt>
                <c:pt idx="19">
                  <c:v>1.4</c:v>
                </c:pt>
                <c:pt idx="20">
                  <c:v>0.5</c:v>
                </c:pt>
                <c:pt idx="21">
                  <c:v>0.9</c:v>
                </c:pt>
                <c:pt idx="22">
                  <c:v>0.4</c:v>
                </c:pt>
                <c:pt idx="23">
                  <c:v>0.30000000000000032</c:v>
                </c:pt>
                <c:pt idx="24">
                  <c:v>2.2999999999999998</c:v>
                </c:pt>
                <c:pt idx="25">
                  <c:v>1.7</c:v>
                </c:pt>
                <c:pt idx="26">
                  <c:v>0.1</c:v>
                </c:pt>
                <c:pt idx="27">
                  <c:v>0.5</c:v>
                </c:pt>
                <c:pt idx="28">
                  <c:v>1.5</c:v>
                </c:pt>
                <c:pt idx="30">
                  <c:v>0.70000000000000062</c:v>
                </c:pt>
                <c:pt idx="31">
                  <c:v>0.8</c:v>
                </c:pt>
              </c:numCache>
            </c:numRef>
          </c:val>
          <c:extLst>
            <c:ext xmlns:c16="http://schemas.microsoft.com/office/drawing/2014/chart" uri="{C3380CC4-5D6E-409C-BE32-E72D297353CC}">
              <c16:uniqueId val="{00000000-0B9C-4BD6-8842-5F2E4A36CAF2}"/>
            </c:ext>
          </c:extLst>
        </c:ser>
        <c:dLbls>
          <c:showLegendKey val="0"/>
          <c:showVal val="1"/>
          <c:showCatName val="0"/>
          <c:showSerName val="0"/>
          <c:showPercent val="0"/>
          <c:showBubbleSize val="0"/>
        </c:dLbls>
        <c:gapWidth val="65"/>
        <c:axId val="122007936"/>
        <c:axId val="122010240"/>
      </c:barChart>
      <c:catAx>
        <c:axId val="12200793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122010240"/>
        <c:crosses val="autoZero"/>
        <c:auto val="1"/>
        <c:lblAlgn val="ctr"/>
        <c:lblOffset val="100"/>
        <c:noMultiLvlLbl val="0"/>
      </c:catAx>
      <c:valAx>
        <c:axId val="122010240"/>
        <c:scaling>
          <c:orientation val="minMax"/>
        </c:scaling>
        <c:delete val="0"/>
        <c:axPos val="b"/>
        <c:majorGridlines>
          <c:spPr>
            <a:ln w="9525" cap="flat" cmpd="sng" algn="ctr">
              <a:gradFill rotWithShape="0">
                <a:gsLst>
                  <a:gs pos="0">
                    <a:schemeClr val="lt1">
                      <a:lumMod val="75000"/>
                      <a:alpha val="36000"/>
                    </a:schemeClr>
                  </a:gs>
                  <a:gs pos="100000">
                    <a:schemeClr val="dk1">
                      <a:lumMod val="95000"/>
                      <a:lumOff val="5000"/>
                      <a:alpha val="42000"/>
                    </a:schemeClr>
                  </a:gs>
                </a:gsLst>
                <a:lin ang="5400000" scaled="0"/>
              </a:gra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122007936"/>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1"/>
          <c:order val="1"/>
          <c:tx>
            <c:strRef>
              <c:f>Sheet1!$C$25</c:f>
              <c:strCache>
                <c:ptCount val="1"/>
                <c:pt idx="0">
                  <c:v>ART izmaksas gadā (milj.eiro)</c:v>
                </c:pt>
              </c:strCache>
            </c:strRef>
          </c:tx>
          <c:spPr>
            <a:solidFill>
              <a:schemeClr val="accent6"/>
            </a:solidFill>
            <a:ln>
              <a:noFill/>
            </a:ln>
            <a:effectLst/>
          </c:spPr>
          <c:invertIfNegative val="0"/>
          <c:dLbls>
            <c:dLbl>
              <c:idx val="0"/>
              <c:layout>
                <c:manualLayout>
                  <c:x val="-1.2731334408020082E-17"/>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BB-490A-AE33-75EF06BD23D9}"/>
                </c:ext>
              </c:extLst>
            </c:dLbl>
            <c:dLbl>
              <c:idx val="1"/>
              <c:layout>
                <c:manualLayout>
                  <c:x val="0"/>
                  <c:y val="6.9444444444444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BB-490A-AE33-75EF06BD23D9}"/>
                </c:ext>
              </c:extLst>
            </c:dLbl>
            <c:dLbl>
              <c:idx val="2"/>
              <c:layout>
                <c:manualLayout>
                  <c:x val="0"/>
                  <c:y val="7.8703703703703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BB-490A-AE33-75EF06BD23D9}"/>
                </c:ext>
              </c:extLst>
            </c:dLbl>
            <c:dLbl>
              <c:idx val="3"/>
              <c:layout>
                <c:manualLayout>
                  <c:x val="0"/>
                  <c:y val="7.40740740740740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BB-490A-AE33-75EF06BD23D9}"/>
                </c:ext>
              </c:extLst>
            </c:dLbl>
            <c:dLbl>
              <c:idx val="4"/>
              <c:layout>
                <c:manualLayout>
                  <c:x val="0"/>
                  <c:y val="0.1388888888888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BB-490A-AE33-75EF06BD23D9}"/>
                </c:ext>
              </c:extLst>
            </c:dLbl>
            <c:dLbl>
              <c:idx val="5"/>
              <c:layout>
                <c:manualLayout>
                  <c:x val="2.7777777777777883E-3"/>
                  <c:y val="0.203703703703703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2BB-490A-AE33-75EF06BD23D9}"/>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Sheet1!$A$26:$A$31</c:f>
              <c:numCache>
                <c:formatCode>General</c:formatCode>
                <c:ptCount val="6"/>
                <c:pt idx="0">
                  <c:v>2011</c:v>
                </c:pt>
                <c:pt idx="1">
                  <c:v>2012</c:v>
                </c:pt>
                <c:pt idx="2">
                  <c:v>2013</c:v>
                </c:pt>
                <c:pt idx="3">
                  <c:v>2014</c:v>
                </c:pt>
                <c:pt idx="4">
                  <c:v>2015</c:v>
                </c:pt>
                <c:pt idx="5">
                  <c:v>2016</c:v>
                </c:pt>
              </c:numCache>
            </c:numRef>
          </c:cat>
          <c:val>
            <c:numRef>
              <c:f>Sheet1!$C$26:$C$31</c:f>
              <c:numCache>
                <c:formatCode>General</c:formatCode>
                <c:ptCount val="6"/>
                <c:pt idx="0">
                  <c:v>2.46</c:v>
                </c:pt>
                <c:pt idx="1">
                  <c:v>2.88</c:v>
                </c:pt>
                <c:pt idx="2">
                  <c:v>3.48</c:v>
                </c:pt>
                <c:pt idx="3">
                  <c:v>5.72</c:v>
                </c:pt>
                <c:pt idx="4">
                  <c:v>7.7</c:v>
                </c:pt>
                <c:pt idx="5">
                  <c:v>10.6</c:v>
                </c:pt>
              </c:numCache>
            </c:numRef>
          </c:val>
          <c:extLst>
            <c:ext xmlns:c16="http://schemas.microsoft.com/office/drawing/2014/chart" uri="{C3380CC4-5D6E-409C-BE32-E72D297353CC}">
              <c16:uniqueId val="{00000006-A2BB-490A-AE33-75EF06BD23D9}"/>
            </c:ext>
          </c:extLst>
        </c:ser>
        <c:dLbls>
          <c:showLegendKey val="0"/>
          <c:showVal val="1"/>
          <c:showCatName val="0"/>
          <c:showSerName val="0"/>
          <c:showPercent val="0"/>
          <c:showBubbleSize val="0"/>
        </c:dLbls>
        <c:gapWidth val="219"/>
        <c:overlap val="-27"/>
        <c:axId val="65711488"/>
        <c:axId val="65721472"/>
      </c:barChart>
      <c:lineChart>
        <c:grouping val="standard"/>
        <c:varyColors val="0"/>
        <c:ser>
          <c:idx val="0"/>
          <c:order val="0"/>
          <c:tx>
            <c:strRef>
              <c:f>Sheet1!$B$25</c:f>
              <c:strCache>
                <c:ptCount val="1"/>
                <c:pt idx="0">
                  <c:v>ART terapiju saņēmušo pacientu skaits (unikālo pacientu skaits)</c:v>
                </c:pt>
              </c:strCache>
            </c:strRef>
          </c:tx>
          <c:spPr>
            <a:ln w="28575" cap="rnd">
              <a:solidFill>
                <a:schemeClr val="accent6">
                  <a:shade val="65000"/>
                </a:schemeClr>
              </a:solidFill>
              <a:round/>
            </a:ln>
            <a:effectLst/>
          </c:spPr>
          <c:marker>
            <c:symbol val="none"/>
          </c:marker>
          <c:dLbls>
            <c:dLbl>
              <c:idx val="0"/>
              <c:layout>
                <c:manualLayout>
                  <c:x val="-3.888888888888889E-2"/>
                  <c:y val="-2.777777777777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2BB-490A-AE33-75EF06BD23D9}"/>
                </c:ext>
              </c:extLst>
            </c:dLbl>
            <c:dLbl>
              <c:idx val="1"/>
              <c:layout>
                <c:manualLayout>
                  <c:x val="-4.4444444444444502E-2"/>
                  <c:y val="-2.7777777777777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2BB-490A-AE33-75EF06BD23D9}"/>
                </c:ext>
              </c:extLst>
            </c:dLbl>
            <c:dLbl>
              <c:idx val="2"/>
              <c:layout>
                <c:manualLayout>
                  <c:x val="-4.7222222222222297E-2"/>
                  <c:y val="-4.1666666666666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2BB-490A-AE33-75EF06BD23D9}"/>
                </c:ext>
              </c:extLst>
            </c:dLbl>
            <c:dLbl>
              <c:idx val="3"/>
              <c:layout>
                <c:manualLayout>
                  <c:x val="-5.5555555555555469E-2"/>
                  <c:y val="-3.2407407407407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2BB-490A-AE33-75EF06BD23D9}"/>
                </c:ext>
              </c:extLst>
            </c:dLbl>
            <c:dLbl>
              <c:idx val="4"/>
              <c:layout>
                <c:manualLayout>
                  <c:x val="-4.7222222222222332E-2"/>
                  <c:y val="-4.1666666666666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2BB-490A-AE33-75EF06BD23D9}"/>
                </c:ext>
              </c:extLst>
            </c:dLbl>
            <c:dLbl>
              <c:idx val="5"/>
              <c:layout>
                <c:manualLayout>
                  <c:x val="-4.7222222222222332E-2"/>
                  <c:y val="-8.79629629629631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2BB-490A-AE33-75EF06BD23D9}"/>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Sheet1!$A$26:$A$31</c:f>
              <c:numCache>
                <c:formatCode>General</c:formatCode>
                <c:ptCount val="6"/>
                <c:pt idx="0">
                  <c:v>2011</c:v>
                </c:pt>
                <c:pt idx="1">
                  <c:v>2012</c:v>
                </c:pt>
                <c:pt idx="2">
                  <c:v>2013</c:v>
                </c:pt>
                <c:pt idx="3">
                  <c:v>2014</c:v>
                </c:pt>
                <c:pt idx="4">
                  <c:v>2015</c:v>
                </c:pt>
                <c:pt idx="5">
                  <c:v>2016</c:v>
                </c:pt>
              </c:numCache>
            </c:numRef>
          </c:cat>
          <c:val>
            <c:numRef>
              <c:f>Sheet1!$B$26:$B$31</c:f>
              <c:numCache>
                <c:formatCode>General</c:formatCode>
                <c:ptCount val="6"/>
                <c:pt idx="0">
                  <c:v>791</c:v>
                </c:pt>
                <c:pt idx="1">
                  <c:v>904</c:v>
                </c:pt>
                <c:pt idx="2">
                  <c:v>1114</c:v>
                </c:pt>
                <c:pt idx="3">
                  <c:v>1337</c:v>
                </c:pt>
                <c:pt idx="4">
                  <c:v>1640</c:v>
                </c:pt>
                <c:pt idx="5">
                  <c:v>1926</c:v>
                </c:pt>
              </c:numCache>
            </c:numRef>
          </c:val>
          <c:smooth val="0"/>
          <c:extLst>
            <c:ext xmlns:c16="http://schemas.microsoft.com/office/drawing/2014/chart" uri="{C3380CC4-5D6E-409C-BE32-E72D297353CC}">
              <c16:uniqueId val="{0000000D-A2BB-490A-AE33-75EF06BD23D9}"/>
            </c:ext>
          </c:extLst>
        </c:ser>
        <c:ser>
          <c:idx val="2"/>
          <c:order val="2"/>
          <c:tx>
            <c:strRef>
              <c:f>Sheet1!$D$25</c:f>
              <c:strCache>
                <c:ptCount val="1"/>
                <c:pt idx="0">
                  <c:v>ART izmaksas 1 cilvēkam mēnesī (eiro)</c:v>
                </c:pt>
              </c:strCache>
            </c:strRef>
          </c:tx>
          <c:spPr>
            <a:ln w="28575" cap="rnd">
              <a:solidFill>
                <a:schemeClr val="accent6">
                  <a:tint val="65000"/>
                </a:schemeClr>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Sheet1!$A$26:$A$31</c:f>
              <c:numCache>
                <c:formatCode>General</c:formatCode>
                <c:ptCount val="6"/>
                <c:pt idx="0">
                  <c:v>2011</c:v>
                </c:pt>
                <c:pt idx="1">
                  <c:v>2012</c:v>
                </c:pt>
                <c:pt idx="2">
                  <c:v>2013</c:v>
                </c:pt>
                <c:pt idx="3">
                  <c:v>2014</c:v>
                </c:pt>
                <c:pt idx="4">
                  <c:v>2015</c:v>
                </c:pt>
                <c:pt idx="5">
                  <c:v>2016</c:v>
                </c:pt>
              </c:numCache>
            </c:numRef>
          </c:cat>
          <c:val>
            <c:numRef>
              <c:f>Sheet1!$D$26:$D$31</c:f>
              <c:numCache>
                <c:formatCode>General</c:formatCode>
                <c:ptCount val="6"/>
                <c:pt idx="0">
                  <c:v>259</c:v>
                </c:pt>
                <c:pt idx="1">
                  <c:v>266</c:v>
                </c:pt>
                <c:pt idx="2">
                  <c:v>260</c:v>
                </c:pt>
                <c:pt idx="3">
                  <c:v>357</c:v>
                </c:pt>
                <c:pt idx="4">
                  <c:v>391</c:v>
                </c:pt>
                <c:pt idx="5">
                  <c:v>459</c:v>
                </c:pt>
              </c:numCache>
            </c:numRef>
          </c:val>
          <c:smooth val="0"/>
          <c:extLst>
            <c:ext xmlns:c16="http://schemas.microsoft.com/office/drawing/2014/chart" uri="{C3380CC4-5D6E-409C-BE32-E72D297353CC}">
              <c16:uniqueId val="{0000000E-A2BB-490A-AE33-75EF06BD23D9}"/>
            </c:ext>
          </c:extLst>
        </c:ser>
        <c:dLbls>
          <c:showLegendKey val="0"/>
          <c:showVal val="1"/>
          <c:showCatName val="0"/>
          <c:showSerName val="0"/>
          <c:showPercent val="0"/>
          <c:showBubbleSize val="0"/>
        </c:dLbls>
        <c:marker val="1"/>
        <c:smooth val="0"/>
        <c:axId val="112832896"/>
        <c:axId val="65723008"/>
      </c:lineChart>
      <c:catAx>
        <c:axId val="6571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5721472"/>
        <c:crosses val="autoZero"/>
        <c:auto val="1"/>
        <c:lblAlgn val="ctr"/>
        <c:lblOffset val="100"/>
        <c:noMultiLvlLbl val="0"/>
      </c:catAx>
      <c:valAx>
        <c:axId val="6572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5711488"/>
        <c:crosses val="autoZero"/>
        <c:crossBetween val="between"/>
      </c:valAx>
      <c:valAx>
        <c:axId val="65723008"/>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12832896"/>
        <c:crosses val="max"/>
        <c:crossBetween val="between"/>
      </c:valAx>
      <c:catAx>
        <c:axId val="112832896"/>
        <c:scaling>
          <c:orientation val="minMax"/>
        </c:scaling>
        <c:delete val="1"/>
        <c:axPos val="b"/>
        <c:numFmt formatCode="General" sourceLinked="1"/>
        <c:majorTickMark val="none"/>
        <c:minorTickMark val="none"/>
        <c:tickLblPos val="none"/>
        <c:crossAx val="657230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2.6486876956417049E-2"/>
          <c:y val="0.19465106560802339"/>
          <c:w val="0.9470262460871659"/>
          <c:h val="0.62305345972998671"/>
        </c:manualLayout>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zobi_statistika!$C$16:$H$16</c:f>
              <c:strCache>
                <c:ptCount val="6"/>
                <c:pt idx="0">
                  <c:v>2011.gadā</c:v>
                </c:pt>
                <c:pt idx="1">
                  <c:v>2012.gadā</c:v>
                </c:pt>
                <c:pt idx="2">
                  <c:v>2013.gadā</c:v>
                </c:pt>
                <c:pt idx="3">
                  <c:v>2014.gadā</c:v>
                </c:pt>
                <c:pt idx="4">
                  <c:v>2015.gadā</c:v>
                </c:pt>
                <c:pt idx="5">
                  <c:v>2016.gadā</c:v>
                </c:pt>
              </c:strCache>
            </c:strRef>
          </c:cat>
          <c:val>
            <c:numRef>
              <c:f>zobi_statistika!$C$17:$H$17</c:f>
              <c:numCache>
                <c:formatCode>_-* #,##0_-;\-* #,##0_-;_-* "-"??_-;_-@_-</c:formatCode>
                <c:ptCount val="6"/>
                <c:pt idx="0">
                  <c:v>596958</c:v>
                </c:pt>
                <c:pt idx="1">
                  <c:v>592589</c:v>
                </c:pt>
                <c:pt idx="2">
                  <c:v>578866</c:v>
                </c:pt>
                <c:pt idx="3" formatCode="#,##0">
                  <c:v>583455</c:v>
                </c:pt>
                <c:pt idx="4" formatCode="#,##0">
                  <c:v>545865</c:v>
                </c:pt>
                <c:pt idx="5" formatCode="#,##0">
                  <c:v>521652</c:v>
                </c:pt>
              </c:numCache>
            </c:numRef>
          </c:val>
          <c:extLst>
            <c:ext xmlns:c16="http://schemas.microsoft.com/office/drawing/2014/chart" uri="{C3380CC4-5D6E-409C-BE32-E72D297353CC}">
              <c16:uniqueId val="{00000000-627D-421D-9FCE-FE04AEB23889}"/>
            </c:ext>
          </c:extLst>
        </c:ser>
        <c:dLbls>
          <c:showLegendKey val="0"/>
          <c:showVal val="0"/>
          <c:showCatName val="0"/>
          <c:showSerName val="0"/>
          <c:showPercent val="0"/>
          <c:showBubbleSize val="0"/>
        </c:dLbls>
        <c:gapWidth val="219"/>
        <c:overlap val="-27"/>
        <c:axId val="243702920"/>
        <c:axId val="243703576"/>
      </c:barChart>
      <c:catAx>
        <c:axId val="24370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43703576"/>
        <c:crosses val="autoZero"/>
        <c:auto val="1"/>
        <c:lblAlgn val="ctr"/>
        <c:lblOffset val="100"/>
        <c:noMultiLvlLbl val="0"/>
      </c:catAx>
      <c:valAx>
        <c:axId val="243703576"/>
        <c:scaling>
          <c:orientation val="minMax"/>
        </c:scaling>
        <c:delete val="1"/>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crossAx val="243702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0444763250212638"/>
          <c:y val="5.1412977351341829E-2"/>
          <c:w val="0.86012175444361916"/>
          <c:h val="0.700599160773693"/>
        </c:manualLayout>
      </c:layout>
      <c:lineChart>
        <c:grouping val="standard"/>
        <c:varyColors val="0"/>
        <c:ser>
          <c:idx val="0"/>
          <c:order val="0"/>
          <c:tx>
            <c:strRef>
              <c:f>Sheet1!$B$1</c:f>
              <c:strCache>
                <c:ptCount val="1"/>
                <c:pt idx="0">
                  <c:v>Latvija</c:v>
                </c:pt>
              </c:strCache>
            </c:strRef>
          </c:tx>
          <c:spPr>
            <a:ln w="28575" cap="rnd">
              <a:solidFill>
                <a:schemeClr val="accent6">
                  <a:shade val="58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c:formatCode>
                <c:ptCount val="9"/>
                <c:pt idx="0">
                  <c:v>2006</c:v>
                </c:pt>
                <c:pt idx="1">
                  <c:v>2007</c:v>
                </c:pt>
                <c:pt idx="2">
                  <c:v>2008</c:v>
                </c:pt>
                <c:pt idx="3">
                  <c:v>2009</c:v>
                </c:pt>
                <c:pt idx="4">
                  <c:v>2010</c:v>
                </c:pt>
                <c:pt idx="5">
                  <c:v>2011</c:v>
                </c:pt>
                <c:pt idx="6">
                  <c:v>2012</c:v>
                </c:pt>
                <c:pt idx="7">
                  <c:v>2013</c:v>
                </c:pt>
                <c:pt idx="8">
                  <c:v>2014</c:v>
                </c:pt>
              </c:numCache>
            </c:numRef>
          </c:cat>
          <c:val>
            <c:numRef>
              <c:f>Sheet1!$B$2:$B$10</c:f>
              <c:numCache>
                <c:formatCode>0.0</c:formatCode>
                <c:ptCount val="9"/>
                <c:pt idx="0">
                  <c:v>188.05</c:v>
                </c:pt>
                <c:pt idx="1">
                  <c:v>182.72</c:v>
                </c:pt>
                <c:pt idx="2">
                  <c:v>157.01</c:v>
                </c:pt>
                <c:pt idx="3">
                  <c:v>144.19999999999999</c:v>
                </c:pt>
                <c:pt idx="4">
                  <c:v>140.24</c:v>
                </c:pt>
                <c:pt idx="5">
                  <c:v>136.41</c:v>
                </c:pt>
                <c:pt idx="6">
                  <c:v>130.16</c:v>
                </c:pt>
                <c:pt idx="7">
                  <c:v>127.12</c:v>
                </c:pt>
                <c:pt idx="8">
                  <c:v>123.95</c:v>
                </c:pt>
              </c:numCache>
            </c:numRef>
          </c:val>
          <c:smooth val="0"/>
          <c:extLst>
            <c:ext xmlns:c16="http://schemas.microsoft.com/office/drawing/2014/chart" uri="{C3380CC4-5D6E-409C-BE32-E72D297353CC}">
              <c16:uniqueId val="{00000000-ECAC-4822-B8C0-8326300B96F9}"/>
            </c:ext>
          </c:extLst>
        </c:ser>
        <c:ser>
          <c:idx val="1"/>
          <c:order val="1"/>
          <c:tx>
            <c:strRef>
              <c:f>Sheet1!$C$1</c:f>
              <c:strCache>
                <c:ptCount val="1"/>
                <c:pt idx="0">
                  <c:v>Igaunija</c:v>
                </c:pt>
              </c:strCache>
            </c:strRef>
          </c:tx>
          <c:spPr>
            <a:ln w="28575" cap="rnd">
              <a:solidFill>
                <a:schemeClr val="accent6">
                  <a:shade val="86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c:formatCode>
                <c:ptCount val="9"/>
                <c:pt idx="0">
                  <c:v>2006</c:v>
                </c:pt>
                <c:pt idx="1">
                  <c:v>2007</c:v>
                </c:pt>
                <c:pt idx="2">
                  <c:v>2008</c:v>
                </c:pt>
                <c:pt idx="3">
                  <c:v>2009</c:v>
                </c:pt>
                <c:pt idx="4">
                  <c:v>2010</c:v>
                </c:pt>
                <c:pt idx="5">
                  <c:v>2011</c:v>
                </c:pt>
                <c:pt idx="6">
                  <c:v>2012</c:v>
                </c:pt>
                <c:pt idx="7">
                  <c:v>2013</c:v>
                </c:pt>
                <c:pt idx="8">
                  <c:v>2014</c:v>
                </c:pt>
              </c:numCache>
            </c:numRef>
          </c:cat>
          <c:val>
            <c:numRef>
              <c:f>Sheet1!$C$2:$C$10</c:f>
              <c:numCache>
                <c:formatCode>0.0</c:formatCode>
                <c:ptCount val="9"/>
                <c:pt idx="0">
                  <c:v>124.81</c:v>
                </c:pt>
                <c:pt idx="1">
                  <c:v>117.42</c:v>
                </c:pt>
                <c:pt idx="2">
                  <c:v>112.08</c:v>
                </c:pt>
                <c:pt idx="3">
                  <c:v>99.02</c:v>
                </c:pt>
                <c:pt idx="4">
                  <c:v>91.2</c:v>
                </c:pt>
                <c:pt idx="5">
                  <c:v>79.84</c:v>
                </c:pt>
                <c:pt idx="6">
                  <c:v>79.849999999999994</c:v>
                </c:pt>
                <c:pt idx="7">
                  <c:v>80.010000000000005</c:v>
                </c:pt>
                <c:pt idx="8">
                  <c:v>77</c:v>
                </c:pt>
              </c:numCache>
            </c:numRef>
          </c:val>
          <c:smooth val="0"/>
          <c:extLst>
            <c:ext xmlns:c16="http://schemas.microsoft.com/office/drawing/2014/chart" uri="{C3380CC4-5D6E-409C-BE32-E72D297353CC}">
              <c16:uniqueId val="{00000001-ECAC-4822-B8C0-8326300B96F9}"/>
            </c:ext>
          </c:extLst>
        </c:ser>
        <c:ser>
          <c:idx val="2"/>
          <c:order val="2"/>
          <c:tx>
            <c:strRef>
              <c:f>Sheet1!$D$1</c:f>
              <c:strCache>
                <c:ptCount val="1"/>
                <c:pt idx="0">
                  <c:v>Lietuva</c:v>
                </c:pt>
              </c:strCache>
            </c:strRef>
          </c:tx>
          <c:spPr>
            <a:ln w="28575" cap="rnd">
              <a:solidFill>
                <a:schemeClr val="accent6">
                  <a:tint val="86000"/>
                </a:schemeClr>
              </a:solidFill>
              <a:round/>
            </a:ln>
            <a:effectLst/>
          </c:spPr>
          <c:marker>
            <c:symbol val="none"/>
          </c:marker>
          <c:dLbls>
            <c:dLbl>
              <c:idx val="0"/>
              <c:layout>
                <c:manualLayout>
                  <c:x val="-4.8859787263434179E-2"/>
                  <c:y val="4.66795881284070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AC-4822-B8C0-8326300B96F9}"/>
                </c:ext>
              </c:extLst>
            </c:dLbl>
            <c:dLbl>
              <c:idx val="1"/>
              <c:layout>
                <c:manualLayout>
                  <c:x val="-6.1821524766119254E-2"/>
                  <c:y val="6.19688667948764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AC-4822-B8C0-8326300B96F9}"/>
                </c:ext>
              </c:extLst>
            </c:dLbl>
            <c:dLbl>
              <c:idx val="2"/>
              <c:layout>
                <c:manualLayout>
                  <c:x val="-5.9467882304185662E-2"/>
                  <c:y val="4.1551383000201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AC-4822-B8C0-8326300B96F9}"/>
                </c:ext>
              </c:extLst>
            </c:dLbl>
            <c:dLbl>
              <c:idx val="3"/>
              <c:layout>
                <c:manualLayout>
                  <c:x val="-5.4789519731086249E-2"/>
                  <c:y val="3.6423177871996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AC-4822-B8C0-8326300B96F9}"/>
                </c:ext>
              </c:extLst>
            </c:dLbl>
            <c:dLbl>
              <c:idx val="4"/>
              <c:layout>
                <c:manualLayout>
                  <c:x val="-6.1807063590735366E-2"/>
                  <c:y val="3.64231778719968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CAC-4822-B8C0-8326300B96F9}"/>
                </c:ext>
              </c:extLst>
            </c:dLbl>
            <c:dLbl>
              <c:idx val="5"/>
              <c:layout>
                <c:manualLayout>
                  <c:x val="-6.1807063590735366E-2"/>
                  <c:y val="4.66795881284070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CAC-4822-B8C0-8326300B96F9}"/>
                </c:ext>
              </c:extLst>
            </c:dLbl>
            <c:dLbl>
              <c:idx val="6"/>
              <c:layout>
                <c:manualLayout>
                  <c:x val="-5.4789519731086249E-2"/>
                  <c:y val="5.69359983848172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CAC-4822-B8C0-8326300B96F9}"/>
                </c:ext>
              </c:extLst>
            </c:dLbl>
            <c:dLbl>
              <c:idx val="7"/>
              <c:layout>
                <c:manualLayout>
                  <c:x val="-5.4789519731086249E-2"/>
                  <c:y val="3.64231778719967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CAC-4822-B8C0-8326300B96F9}"/>
                </c:ext>
              </c:extLst>
            </c:dLbl>
            <c:dLbl>
              <c:idx val="8"/>
              <c:layout>
                <c:manualLayout>
                  <c:x val="-2.9595432149928626E-2"/>
                  <c:y val="5.18077932566121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CAC-4822-B8C0-8326300B96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c:formatCode>
                <c:ptCount val="9"/>
                <c:pt idx="0">
                  <c:v>2006</c:v>
                </c:pt>
                <c:pt idx="1">
                  <c:v>2007</c:v>
                </c:pt>
                <c:pt idx="2">
                  <c:v>2008</c:v>
                </c:pt>
                <c:pt idx="3">
                  <c:v>2009</c:v>
                </c:pt>
                <c:pt idx="4">
                  <c:v>2010</c:v>
                </c:pt>
                <c:pt idx="5">
                  <c:v>2011</c:v>
                </c:pt>
                <c:pt idx="6">
                  <c:v>2012</c:v>
                </c:pt>
                <c:pt idx="7">
                  <c:v>2013</c:v>
                </c:pt>
                <c:pt idx="8">
                  <c:v>2014</c:v>
                </c:pt>
              </c:numCache>
            </c:numRef>
          </c:cat>
          <c:val>
            <c:numRef>
              <c:f>Sheet1!$D$2:$D$10</c:f>
              <c:numCache>
                <c:formatCode>0.0</c:formatCode>
                <c:ptCount val="9"/>
                <c:pt idx="0">
                  <c:v>156.9</c:v>
                </c:pt>
                <c:pt idx="1">
                  <c:v>159.71</c:v>
                </c:pt>
                <c:pt idx="2">
                  <c:v>139.66999999999999</c:v>
                </c:pt>
                <c:pt idx="3">
                  <c:v>126.76</c:v>
                </c:pt>
                <c:pt idx="4">
                  <c:v>125.38</c:v>
                </c:pt>
                <c:pt idx="5">
                  <c:v>121.91</c:v>
                </c:pt>
                <c:pt idx="6">
                  <c:v>119.16</c:v>
                </c:pt>
                <c:pt idx="7">
                  <c:v>112.14</c:v>
                </c:pt>
                <c:pt idx="8">
                  <c:v>107.01</c:v>
                </c:pt>
              </c:numCache>
            </c:numRef>
          </c:val>
          <c:smooth val="0"/>
          <c:extLst>
            <c:ext xmlns:c16="http://schemas.microsoft.com/office/drawing/2014/chart" uri="{C3380CC4-5D6E-409C-BE32-E72D297353CC}">
              <c16:uniqueId val="{0000000B-ECAC-4822-B8C0-8326300B96F9}"/>
            </c:ext>
          </c:extLst>
        </c:ser>
        <c:ser>
          <c:idx val="3"/>
          <c:order val="3"/>
          <c:tx>
            <c:strRef>
              <c:f>Sheet1!$E$1</c:f>
              <c:strCache>
                <c:ptCount val="1"/>
                <c:pt idx="0">
                  <c:v>vidēji ES</c:v>
                </c:pt>
              </c:strCache>
            </c:strRef>
          </c:tx>
          <c:spPr>
            <a:ln w="28575" cap="rnd">
              <a:solidFill>
                <a:schemeClr val="accent6">
                  <a:tint val="58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c:formatCode>
                <c:ptCount val="9"/>
                <c:pt idx="0">
                  <c:v>2006</c:v>
                </c:pt>
                <c:pt idx="1">
                  <c:v>2007</c:v>
                </c:pt>
                <c:pt idx="2">
                  <c:v>2008</c:v>
                </c:pt>
                <c:pt idx="3">
                  <c:v>2009</c:v>
                </c:pt>
                <c:pt idx="4">
                  <c:v>2010</c:v>
                </c:pt>
                <c:pt idx="5">
                  <c:v>2011</c:v>
                </c:pt>
                <c:pt idx="6">
                  <c:v>2012</c:v>
                </c:pt>
                <c:pt idx="7">
                  <c:v>2013</c:v>
                </c:pt>
                <c:pt idx="8">
                  <c:v>2014</c:v>
                </c:pt>
              </c:numCache>
            </c:numRef>
          </c:cat>
          <c:val>
            <c:numRef>
              <c:f>Sheet1!$E$2:$E$10</c:f>
              <c:numCache>
                <c:formatCode>0.0</c:formatCode>
                <c:ptCount val="9"/>
                <c:pt idx="0">
                  <c:v>50.42</c:v>
                </c:pt>
                <c:pt idx="1">
                  <c:v>48.74</c:v>
                </c:pt>
                <c:pt idx="2">
                  <c:v>46.88</c:v>
                </c:pt>
                <c:pt idx="3">
                  <c:v>45.31</c:v>
                </c:pt>
                <c:pt idx="4">
                  <c:v>43.38</c:v>
                </c:pt>
                <c:pt idx="5">
                  <c:v>41.23</c:v>
                </c:pt>
                <c:pt idx="6">
                  <c:v>40.15</c:v>
                </c:pt>
                <c:pt idx="7">
                  <c:v>39.11</c:v>
                </c:pt>
                <c:pt idx="8">
                  <c:v>38.03</c:v>
                </c:pt>
              </c:numCache>
            </c:numRef>
          </c:val>
          <c:smooth val="0"/>
          <c:extLst>
            <c:ext xmlns:c16="http://schemas.microsoft.com/office/drawing/2014/chart" uri="{C3380CC4-5D6E-409C-BE32-E72D297353CC}">
              <c16:uniqueId val="{0000000C-ECAC-4822-B8C0-8326300B96F9}"/>
            </c:ext>
          </c:extLst>
        </c:ser>
        <c:dLbls>
          <c:dLblPos val="b"/>
          <c:showLegendKey val="0"/>
          <c:showVal val="1"/>
          <c:showCatName val="0"/>
          <c:showSerName val="0"/>
          <c:showPercent val="0"/>
          <c:showBubbleSize val="0"/>
        </c:dLbls>
        <c:smooth val="0"/>
        <c:axId val="65484576"/>
        <c:axId val="65481440"/>
      </c:lineChart>
      <c:catAx>
        <c:axId val="65484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Gads</a:t>
                </a:r>
              </a:p>
            </c:rich>
          </c:tx>
          <c:layout>
            <c:manualLayout>
              <c:xMode val="edge"/>
              <c:yMode val="edge"/>
              <c:x val="0.49864880047888749"/>
              <c:y val="0.835419362902217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5481440"/>
        <c:crosses val="autoZero"/>
        <c:auto val="1"/>
        <c:lblAlgn val="ctr"/>
        <c:lblOffset val="100"/>
        <c:noMultiLvlLbl val="0"/>
      </c:catAx>
      <c:valAx>
        <c:axId val="65481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Uz 100 000 iedzīvotāju</a:t>
                </a:r>
              </a:p>
            </c:rich>
          </c:tx>
          <c:layout>
            <c:manualLayout>
              <c:xMode val="edge"/>
              <c:yMode val="edge"/>
              <c:x val="8.4254870984730133E-3"/>
              <c:y val="0.119764478109438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548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0419409475019821"/>
          <c:y val="4.2383512843843139E-2"/>
          <c:w val="0.87311352314907265"/>
          <c:h val="0.64410045468984656"/>
        </c:manualLayout>
      </c:layout>
      <c:lineChart>
        <c:grouping val="standard"/>
        <c:varyColors val="0"/>
        <c:ser>
          <c:idx val="0"/>
          <c:order val="0"/>
          <c:tx>
            <c:strRef>
              <c:f>Sheet1!$O$17</c:f>
              <c:strCache>
                <c:ptCount val="1"/>
                <c:pt idx="0">
                  <c:v>SAS</c:v>
                </c:pt>
              </c:strCache>
            </c:strRef>
          </c:tx>
          <c:spPr>
            <a:ln w="28575" cap="rnd">
              <a:solidFill>
                <a:schemeClr val="accent6">
                  <a:shade val="58000"/>
                </a:schemeClr>
              </a:solidFill>
              <a:round/>
            </a:ln>
            <a:effectLst/>
          </c:spPr>
          <c:marker>
            <c:symbol val="none"/>
          </c:marker>
          <c:dLbls>
            <c:dLbl>
              <c:idx val="3"/>
              <c:delete val="1"/>
              <c:extLst>
                <c:ext xmlns:c15="http://schemas.microsoft.com/office/drawing/2012/chart" uri="{CE6537A1-D6FC-4f65-9D91-7224C49458BB}"/>
                <c:ext xmlns:c16="http://schemas.microsoft.com/office/drawing/2014/chart" uri="{C3380CC4-5D6E-409C-BE32-E72D297353CC}">
                  <c16:uniqueId val="{00000000-FBBD-47F1-AA36-01570A2973C5}"/>
                </c:ext>
              </c:extLst>
            </c:dLbl>
            <c:dLbl>
              <c:idx val="4"/>
              <c:delete val="1"/>
              <c:extLst>
                <c:ext xmlns:c15="http://schemas.microsoft.com/office/drawing/2012/chart" uri="{CE6537A1-D6FC-4f65-9D91-7224C49458BB}"/>
                <c:ext xmlns:c16="http://schemas.microsoft.com/office/drawing/2014/chart" uri="{C3380CC4-5D6E-409C-BE32-E72D297353CC}">
                  <c16:uniqueId val="{00000001-FBBD-47F1-AA36-01570A2973C5}"/>
                </c:ext>
              </c:extLst>
            </c:dLbl>
            <c:dLbl>
              <c:idx val="5"/>
              <c:delete val="1"/>
              <c:extLst>
                <c:ext xmlns:c15="http://schemas.microsoft.com/office/drawing/2012/chart" uri="{CE6537A1-D6FC-4f65-9D91-7224C49458BB}"/>
                <c:ext xmlns:c16="http://schemas.microsoft.com/office/drawing/2014/chart" uri="{C3380CC4-5D6E-409C-BE32-E72D297353CC}">
                  <c16:uniqueId val="{00000002-FBBD-47F1-AA36-01570A2973C5}"/>
                </c:ext>
              </c:extLst>
            </c:dLbl>
            <c:dLbl>
              <c:idx val="6"/>
              <c:delete val="1"/>
              <c:extLst>
                <c:ext xmlns:c15="http://schemas.microsoft.com/office/drawing/2012/chart" uri="{CE6537A1-D6FC-4f65-9D91-7224C49458BB}"/>
                <c:ext xmlns:c16="http://schemas.microsoft.com/office/drawing/2014/chart" uri="{C3380CC4-5D6E-409C-BE32-E72D297353CC}">
                  <c16:uniqueId val="{00000003-FBBD-47F1-AA36-01570A2973C5}"/>
                </c:ext>
              </c:extLst>
            </c:dLbl>
            <c:dLbl>
              <c:idx val="7"/>
              <c:delete val="1"/>
              <c:extLst>
                <c:ext xmlns:c15="http://schemas.microsoft.com/office/drawing/2012/chart" uri="{CE6537A1-D6FC-4f65-9D91-7224C49458BB}"/>
                <c:ext xmlns:c16="http://schemas.microsoft.com/office/drawing/2014/chart" uri="{C3380CC4-5D6E-409C-BE32-E72D297353CC}">
                  <c16:uniqueId val="{00000004-FBBD-47F1-AA36-01570A2973C5}"/>
                </c:ext>
              </c:extLst>
            </c:dLbl>
            <c:dLbl>
              <c:idx val="8"/>
              <c:delete val="1"/>
              <c:extLst>
                <c:ext xmlns:c15="http://schemas.microsoft.com/office/drawing/2012/chart" uri="{CE6537A1-D6FC-4f65-9D91-7224C49458BB}"/>
                <c:ext xmlns:c16="http://schemas.microsoft.com/office/drawing/2014/chart" uri="{C3380CC4-5D6E-409C-BE32-E72D297353CC}">
                  <c16:uniqueId val="{00000005-FBBD-47F1-AA36-01570A2973C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Sheet1!$P$16:$Y$16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Sheet1!$P$17:$Y$17</c:f>
              <c:numCache>
                <c:formatCode>0.0</c:formatCode>
                <c:ptCount val="10"/>
                <c:pt idx="0">
                  <c:v>799.24015836945989</c:v>
                </c:pt>
                <c:pt idx="1">
                  <c:v>819.96977719200549</c:v>
                </c:pt>
                <c:pt idx="2">
                  <c:v>758.5465080497969</c:v>
                </c:pt>
                <c:pt idx="3">
                  <c:v>750.72291750032332</c:v>
                </c:pt>
                <c:pt idx="4">
                  <c:v>767.69484990360854</c:v>
                </c:pt>
                <c:pt idx="5">
                  <c:v>755.46911339748749</c:v>
                </c:pt>
                <c:pt idx="6">
                  <c:v>797.82356626253841</c:v>
                </c:pt>
                <c:pt idx="7">
                  <c:v>808.32087754623353</c:v>
                </c:pt>
                <c:pt idx="8">
                  <c:v>803.21044353444574</c:v>
                </c:pt>
                <c:pt idx="9">
                  <c:v>817.13190695548201</c:v>
                </c:pt>
              </c:numCache>
            </c:numRef>
          </c:val>
          <c:smooth val="0"/>
          <c:extLst>
            <c:ext xmlns:c16="http://schemas.microsoft.com/office/drawing/2014/chart" uri="{C3380CC4-5D6E-409C-BE32-E72D297353CC}">
              <c16:uniqueId val="{00000006-FBBD-47F1-AA36-01570A2973C5}"/>
            </c:ext>
          </c:extLst>
        </c:ser>
        <c:ser>
          <c:idx val="1"/>
          <c:order val="1"/>
          <c:tx>
            <c:strRef>
              <c:f>Sheet1!$O$18</c:f>
              <c:strCache>
                <c:ptCount val="1"/>
                <c:pt idx="0">
                  <c:v>t.sk. sirds išēmiskās slimības</c:v>
                </c:pt>
              </c:strCache>
            </c:strRef>
          </c:tx>
          <c:spPr>
            <a:ln w="28575" cap="rnd">
              <a:solidFill>
                <a:schemeClr val="accent6">
                  <a:shade val="86000"/>
                </a:schemeClr>
              </a:solidFill>
              <a:round/>
            </a:ln>
            <a:effectLst/>
          </c:spPr>
          <c:marker>
            <c:symbol val="none"/>
          </c:marker>
          <c:dLbls>
            <c:dLbl>
              <c:idx val="3"/>
              <c:delete val="1"/>
              <c:extLst>
                <c:ext xmlns:c15="http://schemas.microsoft.com/office/drawing/2012/chart" uri="{CE6537A1-D6FC-4f65-9D91-7224C49458BB}"/>
                <c:ext xmlns:c16="http://schemas.microsoft.com/office/drawing/2014/chart" uri="{C3380CC4-5D6E-409C-BE32-E72D297353CC}">
                  <c16:uniqueId val="{00000007-FBBD-47F1-AA36-01570A2973C5}"/>
                </c:ext>
              </c:extLst>
            </c:dLbl>
            <c:dLbl>
              <c:idx val="4"/>
              <c:delete val="1"/>
              <c:extLst>
                <c:ext xmlns:c15="http://schemas.microsoft.com/office/drawing/2012/chart" uri="{CE6537A1-D6FC-4f65-9D91-7224C49458BB}"/>
                <c:ext xmlns:c16="http://schemas.microsoft.com/office/drawing/2014/chart" uri="{C3380CC4-5D6E-409C-BE32-E72D297353CC}">
                  <c16:uniqueId val="{00000008-FBBD-47F1-AA36-01570A2973C5}"/>
                </c:ext>
              </c:extLst>
            </c:dLbl>
            <c:dLbl>
              <c:idx val="5"/>
              <c:delete val="1"/>
              <c:extLst>
                <c:ext xmlns:c15="http://schemas.microsoft.com/office/drawing/2012/chart" uri="{CE6537A1-D6FC-4f65-9D91-7224C49458BB}"/>
                <c:ext xmlns:c16="http://schemas.microsoft.com/office/drawing/2014/chart" uri="{C3380CC4-5D6E-409C-BE32-E72D297353CC}">
                  <c16:uniqueId val="{00000009-FBBD-47F1-AA36-01570A2973C5}"/>
                </c:ext>
              </c:extLst>
            </c:dLbl>
            <c:dLbl>
              <c:idx val="6"/>
              <c:delete val="1"/>
              <c:extLst>
                <c:ext xmlns:c15="http://schemas.microsoft.com/office/drawing/2012/chart" uri="{CE6537A1-D6FC-4f65-9D91-7224C49458BB}"/>
                <c:ext xmlns:c16="http://schemas.microsoft.com/office/drawing/2014/chart" uri="{C3380CC4-5D6E-409C-BE32-E72D297353CC}">
                  <c16:uniqueId val="{0000000A-FBBD-47F1-AA36-01570A2973C5}"/>
                </c:ext>
              </c:extLst>
            </c:dLbl>
            <c:dLbl>
              <c:idx val="7"/>
              <c:delete val="1"/>
              <c:extLst>
                <c:ext xmlns:c15="http://schemas.microsoft.com/office/drawing/2012/chart" uri="{CE6537A1-D6FC-4f65-9D91-7224C49458BB}"/>
                <c:ext xmlns:c16="http://schemas.microsoft.com/office/drawing/2014/chart" uri="{C3380CC4-5D6E-409C-BE32-E72D297353CC}">
                  <c16:uniqueId val="{0000000B-FBBD-47F1-AA36-01570A2973C5}"/>
                </c:ext>
              </c:extLst>
            </c:dLbl>
            <c:dLbl>
              <c:idx val="8"/>
              <c:delete val="1"/>
              <c:extLst>
                <c:ext xmlns:c15="http://schemas.microsoft.com/office/drawing/2012/chart" uri="{CE6537A1-D6FC-4f65-9D91-7224C49458BB}"/>
                <c:ext xmlns:c16="http://schemas.microsoft.com/office/drawing/2014/chart" uri="{C3380CC4-5D6E-409C-BE32-E72D297353CC}">
                  <c16:uniqueId val="{0000000C-FBBD-47F1-AA36-01570A2973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Sheet1!$P$16:$Y$16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Sheet1!$P$18:$Y$18</c:f>
              <c:numCache>
                <c:formatCode>0.0</c:formatCode>
                <c:ptCount val="10"/>
                <c:pt idx="0">
                  <c:v>395.38270891475088</c:v>
                </c:pt>
                <c:pt idx="1">
                  <c:v>435.61746560167251</c:v>
                </c:pt>
                <c:pt idx="2">
                  <c:v>396.72588620332732</c:v>
                </c:pt>
                <c:pt idx="3">
                  <c:v>401.22913484763217</c:v>
                </c:pt>
                <c:pt idx="4">
                  <c:v>405.13953286577151</c:v>
                </c:pt>
                <c:pt idx="5">
                  <c:v>403.25748756992402</c:v>
                </c:pt>
                <c:pt idx="6">
                  <c:v>416.46840077796844</c:v>
                </c:pt>
                <c:pt idx="7">
                  <c:v>409.71921979420159</c:v>
                </c:pt>
                <c:pt idx="8">
                  <c:v>404.0534247862069</c:v>
                </c:pt>
                <c:pt idx="9">
                  <c:v>407.07419091476208</c:v>
                </c:pt>
              </c:numCache>
            </c:numRef>
          </c:val>
          <c:smooth val="0"/>
          <c:extLst>
            <c:ext xmlns:c16="http://schemas.microsoft.com/office/drawing/2014/chart" uri="{C3380CC4-5D6E-409C-BE32-E72D297353CC}">
              <c16:uniqueId val="{0000000D-FBBD-47F1-AA36-01570A2973C5}"/>
            </c:ext>
          </c:extLst>
        </c:ser>
        <c:ser>
          <c:idx val="2"/>
          <c:order val="2"/>
          <c:tx>
            <c:strRef>
              <c:f>Sheet1!$O$19</c:f>
              <c:strCache>
                <c:ptCount val="1"/>
                <c:pt idx="0">
                  <c:v>t.sk. cerebrovaskulārās slimības</c:v>
                </c:pt>
              </c:strCache>
            </c:strRef>
          </c:tx>
          <c:spPr>
            <a:ln w="28575" cap="rnd">
              <a:solidFill>
                <a:schemeClr val="accent6">
                  <a:tint val="86000"/>
                </a:schemeClr>
              </a:solidFill>
              <a:round/>
            </a:ln>
            <a:effectLst/>
          </c:spPr>
          <c:marker>
            <c:symbol val="none"/>
          </c:marker>
          <c:dLbls>
            <c:dLbl>
              <c:idx val="3"/>
              <c:delete val="1"/>
              <c:extLst>
                <c:ext xmlns:c15="http://schemas.microsoft.com/office/drawing/2012/chart" uri="{CE6537A1-D6FC-4f65-9D91-7224C49458BB}"/>
                <c:ext xmlns:c16="http://schemas.microsoft.com/office/drawing/2014/chart" uri="{C3380CC4-5D6E-409C-BE32-E72D297353CC}">
                  <c16:uniqueId val="{0000000E-FBBD-47F1-AA36-01570A2973C5}"/>
                </c:ext>
              </c:extLst>
            </c:dLbl>
            <c:dLbl>
              <c:idx val="4"/>
              <c:delete val="1"/>
              <c:extLst>
                <c:ext xmlns:c15="http://schemas.microsoft.com/office/drawing/2012/chart" uri="{CE6537A1-D6FC-4f65-9D91-7224C49458BB}"/>
                <c:ext xmlns:c16="http://schemas.microsoft.com/office/drawing/2014/chart" uri="{C3380CC4-5D6E-409C-BE32-E72D297353CC}">
                  <c16:uniqueId val="{0000000F-FBBD-47F1-AA36-01570A2973C5}"/>
                </c:ext>
              </c:extLst>
            </c:dLbl>
            <c:dLbl>
              <c:idx val="5"/>
              <c:delete val="1"/>
              <c:extLst>
                <c:ext xmlns:c15="http://schemas.microsoft.com/office/drawing/2012/chart" uri="{CE6537A1-D6FC-4f65-9D91-7224C49458BB}"/>
                <c:ext xmlns:c16="http://schemas.microsoft.com/office/drawing/2014/chart" uri="{C3380CC4-5D6E-409C-BE32-E72D297353CC}">
                  <c16:uniqueId val="{00000010-FBBD-47F1-AA36-01570A2973C5}"/>
                </c:ext>
              </c:extLst>
            </c:dLbl>
            <c:dLbl>
              <c:idx val="6"/>
              <c:delete val="1"/>
              <c:extLst>
                <c:ext xmlns:c15="http://schemas.microsoft.com/office/drawing/2012/chart" uri="{CE6537A1-D6FC-4f65-9D91-7224C49458BB}"/>
                <c:ext xmlns:c16="http://schemas.microsoft.com/office/drawing/2014/chart" uri="{C3380CC4-5D6E-409C-BE32-E72D297353CC}">
                  <c16:uniqueId val="{00000011-FBBD-47F1-AA36-01570A2973C5}"/>
                </c:ext>
              </c:extLst>
            </c:dLbl>
            <c:dLbl>
              <c:idx val="7"/>
              <c:delete val="1"/>
              <c:extLst>
                <c:ext xmlns:c15="http://schemas.microsoft.com/office/drawing/2012/chart" uri="{CE6537A1-D6FC-4f65-9D91-7224C49458BB}"/>
                <c:ext xmlns:c16="http://schemas.microsoft.com/office/drawing/2014/chart" uri="{C3380CC4-5D6E-409C-BE32-E72D297353CC}">
                  <c16:uniqueId val="{00000012-FBBD-47F1-AA36-01570A2973C5}"/>
                </c:ext>
              </c:extLst>
            </c:dLbl>
            <c:dLbl>
              <c:idx val="8"/>
              <c:delete val="1"/>
              <c:extLst>
                <c:ext xmlns:c15="http://schemas.microsoft.com/office/drawing/2012/chart" uri="{CE6537A1-D6FC-4f65-9D91-7224C49458BB}"/>
                <c:ext xmlns:c16="http://schemas.microsoft.com/office/drawing/2014/chart" uri="{C3380CC4-5D6E-409C-BE32-E72D297353CC}">
                  <c16:uniqueId val="{00000013-FBBD-47F1-AA36-01570A2973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Sheet1!$P$16:$Y$16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Sheet1!$P$19:$Y$19</c:f>
              <c:numCache>
                <c:formatCode>0.0</c:formatCode>
                <c:ptCount val="10"/>
                <c:pt idx="0">
                  <c:v>256.27074451947993</c:v>
                </c:pt>
                <c:pt idx="1">
                  <c:v>236.46506766045925</c:v>
                </c:pt>
                <c:pt idx="2">
                  <c:v>224.77153126638942</c:v>
                </c:pt>
                <c:pt idx="3">
                  <c:v>216.46669023084212</c:v>
                </c:pt>
                <c:pt idx="4">
                  <c:v>219.75907614416079</c:v>
                </c:pt>
                <c:pt idx="5">
                  <c:v>210.69070979776788</c:v>
                </c:pt>
                <c:pt idx="6">
                  <c:v>234.54467474531725</c:v>
                </c:pt>
                <c:pt idx="7">
                  <c:v>241.47344755599096</c:v>
                </c:pt>
                <c:pt idx="8">
                  <c:v>243.52125539853748</c:v>
                </c:pt>
                <c:pt idx="9">
                  <c:v>258.35304861907036</c:v>
                </c:pt>
              </c:numCache>
            </c:numRef>
          </c:val>
          <c:smooth val="0"/>
          <c:extLst>
            <c:ext xmlns:c16="http://schemas.microsoft.com/office/drawing/2014/chart" uri="{C3380CC4-5D6E-409C-BE32-E72D297353CC}">
              <c16:uniqueId val="{00000014-FBBD-47F1-AA36-01570A2973C5}"/>
            </c:ext>
          </c:extLst>
        </c:ser>
        <c:ser>
          <c:idx val="3"/>
          <c:order val="3"/>
          <c:tx>
            <c:strRef>
              <c:f>Sheet1!$O$20</c:f>
              <c:strCache>
                <c:ptCount val="1"/>
                <c:pt idx="0">
                  <c:v>t.sk. hipertensīvas slimības</c:v>
                </c:pt>
              </c:strCache>
            </c:strRef>
          </c:tx>
          <c:spPr>
            <a:ln w="28575" cap="rnd">
              <a:solidFill>
                <a:schemeClr val="accent6">
                  <a:tint val="58000"/>
                </a:schemeClr>
              </a:solidFill>
              <a:round/>
            </a:ln>
            <a:effectLst/>
          </c:spPr>
          <c:marker>
            <c:symbol val="none"/>
          </c:marker>
          <c:dLbls>
            <c:dLbl>
              <c:idx val="3"/>
              <c:delete val="1"/>
              <c:extLst>
                <c:ext xmlns:c15="http://schemas.microsoft.com/office/drawing/2012/chart" uri="{CE6537A1-D6FC-4f65-9D91-7224C49458BB}"/>
                <c:ext xmlns:c16="http://schemas.microsoft.com/office/drawing/2014/chart" uri="{C3380CC4-5D6E-409C-BE32-E72D297353CC}">
                  <c16:uniqueId val="{00000015-FBBD-47F1-AA36-01570A2973C5}"/>
                </c:ext>
              </c:extLst>
            </c:dLbl>
            <c:dLbl>
              <c:idx val="4"/>
              <c:delete val="1"/>
              <c:extLst>
                <c:ext xmlns:c15="http://schemas.microsoft.com/office/drawing/2012/chart" uri="{CE6537A1-D6FC-4f65-9D91-7224C49458BB}"/>
                <c:ext xmlns:c16="http://schemas.microsoft.com/office/drawing/2014/chart" uri="{C3380CC4-5D6E-409C-BE32-E72D297353CC}">
                  <c16:uniqueId val="{00000016-FBBD-47F1-AA36-01570A2973C5}"/>
                </c:ext>
              </c:extLst>
            </c:dLbl>
            <c:dLbl>
              <c:idx val="5"/>
              <c:delete val="1"/>
              <c:extLst>
                <c:ext xmlns:c15="http://schemas.microsoft.com/office/drawing/2012/chart" uri="{CE6537A1-D6FC-4f65-9D91-7224C49458BB}"/>
                <c:ext xmlns:c16="http://schemas.microsoft.com/office/drawing/2014/chart" uri="{C3380CC4-5D6E-409C-BE32-E72D297353CC}">
                  <c16:uniqueId val="{00000017-FBBD-47F1-AA36-01570A2973C5}"/>
                </c:ext>
              </c:extLst>
            </c:dLbl>
            <c:dLbl>
              <c:idx val="6"/>
              <c:delete val="1"/>
              <c:extLst>
                <c:ext xmlns:c15="http://schemas.microsoft.com/office/drawing/2012/chart" uri="{CE6537A1-D6FC-4f65-9D91-7224C49458BB}"/>
                <c:ext xmlns:c16="http://schemas.microsoft.com/office/drawing/2014/chart" uri="{C3380CC4-5D6E-409C-BE32-E72D297353CC}">
                  <c16:uniqueId val="{00000018-FBBD-47F1-AA36-01570A2973C5}"/>
                </c:ext>
              </c:extLst>
            </c:dLbl>
            <c:dLbl>
              <c:idx val="7"/>
              <c:delete val="1"/>
              <c:extLst>
                <c:ext xmlns:c15="http://schemas.microsoft.com/office/drawing/2012/chart" uri="{CE6537A1-D6FC-4f65-9D91-7224C49458BB}"/>
                <c:ext xmlns:c16="http://schemas.microsoft.com/office/drawing/2014/chart" uri="{C3380CC4-5D6E-409C-BE32-E72D297353CC}">
                  <c16:uniqueId val="{00000019-FBBD-47F1-AA36-01570A2973C5}"/>
                </c:ext>
              </c:extLst>
            </c:dLbl>
            <c:dLbl>
              <c:idx val="8"/>
              <c:delete val="1"/>
              <c:extLst>
                <c:ext xmlns:c15="http://schemas.microsoft.com/office/drawing/2012/chart" uri="{CE6537A1-D6FC-4f65-9D91-7224C49458BB}"/>
                <c:ext xmlns:c16="http://schemas.microsoft.com/office/drawing/2014/chart" uri="{C3380CC4-5D6E-409C-BE32-E72D297353CC}">
                  <c16:uniqueId val="{0000001A-FBBD-47F1-AA36-01570A2973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Sheet1!$P$16:$Y$16</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Sheet1!$P$20:$Y$20</c:f>
              <c:numCache>
                <c:formatCode>0.0</c:formatCode>
                <c:ptCount val="10"/>
                <c:pt idx="0">
                  <c:v>25.063594362855032</c:v>
                </c:pt>
                <c:pt idx="1">
                  <c:v>36.721847908831649</c:v>
                </c:pt>
                <c:pt idx="2">
                  <c:v>37.385375245370263</c:v>
                </c:pt>
                <c:pt idx="3">
                  <c:v>36.840426788639995</c:v>
                </c:pt>
                <c:pt idx="4">
                  <c:v>38.434259025212462</c:v>
                </c:pt>
                <c:pt idx="5">
                  <c:v>42.176703517055053</c:v>
                </c:pt>
                <c:pt idx="6">
                  <c:v>45.432027280734225</c:v>
                </c:pt>
                <c:pt idx="7">
                  <c:v>54.896050794905683</c:v>
                </c:pt>
                <c:pt idx="8">
                  <c:v>53.810503090731395</c:v>
                </c:pt>
                <c:pt idx="9">
                  <c:v>54.310270936950992</c:v>
                </c:pt>
              </c:numCache>
            </c:numRef>
          </c:val>
          <c:smooth val="0"/>
          <c:extLst>
            <c:ext xmlns:c16="http://schemas.microsoft.com/office/drawing/2014/chart" uri="{C3380CC4-5D6E-409C-BE32-E72D297353CC}">
              <c16:uniqueId val="{0000001B-FBBD-47F1-AA36-01570A2973C5}"/>
            </c:ext>
          </c:extLst>
        </c:ser>
        <c:dLbls>
          <c:showLegendKey val="0"/>
          <c:showVal val="1"/>
          <c:showCatName val="0"/>
          <c:showSerName val="0"/>
          <c:showPercent val="0"/>
          <c:showBubbleSize val="0"/>
        </c:dLbls>
        <c:smooth val="0"/>
        <c:axId val="159539968"/>
        <c:axId val="159541504"/>
      </c:lineChart>
      <c:catAx>
        <c:axId val="15953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9541504"/>
        <c:crosses val="autoZero"/>
        <c:auto val="1"/>
        <c:lblAlgn val="ctr"/>
        <c:lblOffset val="100"/>
        <c:noMultiLvlLbl val="0"/>
      </c:catAx>
      <c:valAx>
        <c:axId val="159541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Uz 100 000 iedzīvotāju</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9539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9">
  <a:schemeClr val="accent6"/>
</cs:colorStyle>
</file>

<file path=word/charts/colors11.xml><?xml version="1.0" encoding="utf-8"?>
<cs:colorStyle xmlns:cs="http://schemas.microsoft.com/office/drawing/2012/chartStyle" xmlns:a="http://schemas.openxmlformats.org/drawingml/2006/main" meth="withinLinear" id="19">
  <a:schemeClr val="accent6"/>
</cs:colorStyle>
</file>

<file path=word/charts/colors12.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 id="19">
  <a:schemeClr val="accent6"/>
</cs:colorStyle>
</file>

<file path=word/charts/colors5.xml><?xml version="1.0" encoding="utf-8"?>
<cs:colorStyle xmlns:cs="http://schemas.microsoft.com/office/drawing/2012/chartStyle" xmlns:a="http://schemas.openxmlformats.org/drawingml/2006/main" meth="withinLinear" id="19">
  <a:schemeClr val="accent6"/>
</cs:colorStyle>
</file>

<file path=word/charts/colors6.xml><?xml version="1.0" encoding="utf-8"?>
<cs:colorStyle xmlns:cs="http://schemas.microsoft.com/office/drawing/2012/chartStyle" xmlns:a="http://schemas.openxmlformats.org/drawingml/2006/main" meth="withinLinear" id="19">
  <a:schemeClr val="accent6"/>
</cs:colorStyle>
</file>

<file path=word/charts/colors7.xml><?xml version="1.0" encoding="utf-8"?>
<cs:colorStyle xmlns:cs="http://schemas.microsoft.com/office/drawing/2012/chartStyle" xmlns:a="http://schemas.openxmlformats.org/drawingml/2006/main" meth="withinLinear" id="19">
  <a:schemeClr val="accent6"/>
</cs:colorStyle>
</file>

<file path=word/charts/colors8.xml><?xml version="1.0" encoding="utf-8"?>
<cs:colorStyle xmlns:cs="http://schemas.microsoft.com/office/drawing/2012/chartStyle" xmlns:a="http://schemas.openxmlformats.org/drawingml/2006/main" meth="withinLinear" id="19">
  <a:schemeClr val="accent6"/>
</cs:colorStyle>
</file>

<file path=word/charts/colors9.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0.18036</cdr:x>
      <cdr:y>0.06259</cdr:y>
    </cdr:from>
    <cdr:to>
      <cdr:x>0.32875</cdr:x>
      <cdr:y>0.12158</cdr:y>
    </cdr:to>
    <cdr:sp macro="" textlink="">
      <cdr:nvSpPr>
        <cdr:cNvPr id="4" name="TextBox 3">
          <a:extLst xmlns:a="http://schemas.openxmlformats.org/drawingml/2006/main">
            <a:ext uri="{FF2B5EF4-FFF2-40B4-BE49-F238E27FC236}">
              <a16:creationId xmlns:a16="http://schemas.microsoft.com/office/drawing/2014/main" id="{7DE066EF-D0C6-4CB6-8850-185210BA06F6}"/>
            </a:ext>
          </a:extLst>
        </cdr:cNvPr>
        <cdr:cNvSpPr txBox="1"/>
      </cdr:nvSpPr>
      <cdr:spPr>
        <a:xfrm xmlns:a="http://schemas.openxmlformats.org/drawingml/2006/main">
          <a:off x="1042069" y="245186"/>
          <a:ext cx="857377" cy="2310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solidFill>
                <a:srgbClr val="C00000"/>
              </a:solidFill>
            </a:rPr>
            <a:t>Latvija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AF09-2C99-46C0-88E1-35C6FE70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56</Pages>
  <Words>104669</Words>
  <Characters>59662</Characters>
  <Application>Microsoft Office Word</Application>
  <DocSecurity>0</DocSecurity>
  <Lines>497</Lines>
  <Paragraphs>328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veselības reformas pasākumu īstenošanas turpināšanu 2017.gadā”</vt:lpstr>
      <vt:lpstr>Informatīvais ziņojums “Par veselības reformas pasākumu īstenošanas turpināšanu 2017.gadā”</vt:lpstr>
    </vt:vector>
  </TitlesOfParts>
  <Company>Veselības ministrija</Company>
  <LinksUpToDate>false</LinksUpToDate>
  <CharactersWithSpaces>164003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veselības reformas pasākumu īstenošanas turpināšanu 2017.gadā”</dc:title>
  <dc:subject>Informatīvais ziņojums</dc:subject>
  <dc:creator>Āris Kasparans</dc:creator>
  <cp:keywords/>
  <dc:description>Āris Kasparāns_x000d_
Veselības ministrijas_x000d_
Resursu vadības departamenta direktors _x000d_
Tālr. Nr. 67876043_x000d_
Aris.Kasparans@vm.gov.lv</dc:description>
  <cp:lastModifiedBy>Āris Kasparāns</cp:lastModifiedBy>
  <cp:revision>7</cp:revision>
  <cp:lastPrinted>2017-12-11T08:12:00Z</cp:lastPrinted>
  <dcterms:created xsi:type="dcterms:W3CDTF">2017-12-14T09:46:00Z</dcterms:created>
  <dcterms:modified xsi:type="dcterms:W3CDTF">2017-12-14T09:57:00Z</dcterms:modified>
</cp:coreProperties>
</file>