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38771" w14:textId="77777777" w:rsidR="00FF0EAE" w:rsidRPr="00422E3B" w:rsidRDefault="00F31E6F" w:rsidP="00F31E6F">
      <w:pPr>
        <w:spacing w:after="0" w:line="240" w:lineRule="auto"/>
        <w:jc w:val="center"/>
        <w:rPr>
          <w:rFonts w:ascii="Times New Roman" w:hAnsi="Times New Roman"/>
          <w:b/>
          <w:sz w:val="28"/>
          <w:szCs w:val="28"/>
        </w:rPr>
      </w:pPr>
      <w:r w:rsidRPr="00422E3B">
        <w:rPr>
          <w:rFonts w:ascii="Times New Roman" w:hAnsi="Times New Roman"/>
          <w:b/>
          <w:sz w:val="28"/>
          <w:szCs w:val="28"/>
        </w:rPr>
        <w:t xml:space="preserve">Ministru kabineta noteikumu projekta </w:t>
      </w:r>
      <w:r w:rsidR="00F55B66" w:rsidRPr="00422E3B">
        <w:rPr>
          <w:rFonts w:ascii="Times New Roman" w:hAnsi="Times New Roman"/>
          <w:b/>
          <w:sz w:val="28"/>
          <w:szCs w:val="28"/>
        </w:rPr>
        <w:t>“</w:t>
      </w:r>
      <w:r w:rsidRPr="00422E3B">
        <w:rPr>
          <w:rFonts w:ascii="Times New Roman" w:hAnsi="Times New Roman"/>
          <w:b/>
          <w:sz w:val="28"/>
          <w:szCs w:val="28"/>
        </w:rPr>
        <w:t>Grozījumi Ministru kabineta 2009.</w:t>
      </w:r>
      <w:r w:rsidR="008F1644" w:rsidRPr="00422E3B">
        <w:rPr>
          <w:rFonts w:ascii="Times New Roman" w:hAnsi="Times New Roman"/>
          <w:b/>
          <w:sz w:val="28"/>
          <w:szCs w:val="28"/>
        </w:rPr>
        <w:t xml:space="preserve">  </w:t>
      </w:r>
      <w:r w:rsidRPr="00422E3B">
        <w:rPr>
          <w:rFonts w:ascii="Times New Roman" w:hAnsi="Times New Roman"/>
          <w:b/>
          <w:sz w:val="28"/>
          <w:szCs w:val="28"/>
        </w:rPr>
        <w:t>gada 30.</w:t>
      </w:r>
      <w:r w:rsidR="008F1644" w:rsidRPr="00422E3B">
        <w:rPr>
          <w:rFonts w:ascii="Times New Roman" w:hAnsi="Times New Roman"/>
          <w:b/>
          <w:sz w:val="28"/>
          <w:szCs w:val="28"/>
        </w:rPr>
        <w:t xml:space="preserve"> </w:t>
      </w:r>
      <w:r w:rsidRPr="00422E3B">
        <w:rPr>
          <w:rFonts w:ascii="Times New Roman" w:hAnsi="Times New Roman"/>
          <w:b/>
          <w:sz w:val="28"/>
          <w:szCs w:val="28"/>
        </w:rPr>
        <w:t>novembra noteikumos Nr.</w:t>
      </w:r>
      <w:r w:rsidR="008F1644" w:rsidRPr="00422E3B">
        <w:rPr>
          <w:rFonts w:ascii="Times New Roman" w:hAnsi="Times New Roman"/>
          <w:b/>
          <w:sz w:val="28"/>
          <w:szCs w:val="28"/>
        </w:rPr>
        <w:t xml:space="preserve"> </w:t>
      </w:r>
      <w:r w:rsidRPr="00422E3B">
        <w:rPr>
          <w:rFonts w:ascii="Times New Roman" w:hAnsi="Times New Roman"/>
          <w:b/>
          <w:sz w:val="28"/>
          <w:szCs w:val="28"/>
        </w:rPr>
        <w:t xml:space="preserve">1375 </w:t>
      </w:r>
      <w:r w:rsidR="00F55B66" w:rsidRPr="00422E3B">
        <w:rPr>
          <w:rFonts w:ascii="Times New Roman" w:hAnsi="Times New Roman"/>
          <w:b/>
          <w:sz w:val="28"/>
          <w:szCs w:val="28"/>
        </w:rPr>
        <w:t>“</w:t>
      </w:r>
      <w:r w:rsidRPr="00422E3B">
        <w:rPr>
          <w:rFonts w:ascii="Times New Roman" w:hAnsi="Times New Roman"/>
          <w:b/>
          <w:sz w:val="28"/>
          <w:szCs w:val="28"/>
        </w:rPr>
        <w:t xml:space="preserve">Noteikumi par rūpnieciskās zvejas limitiem un to izmantošanas </w:t>
      </w:r>
    </w:p>
    <w:p w14:paraId="02D89099" w14:textId="211FCD26" w:rsidR="00F31E6F" w:rsidRPr="00422E3B" w:rsidRDefault="00F31E6F" w:rsidP="00F31E6F">
      <w:pPr>
        <w:spacing w:after="0" w:line="240" w:lineRule="auto"/>
        <w:jc w:val="center"/>
        <w:rPr>
          <w:rFonts w:ascii="Times New Roman" w:hAnsi="Times New Roman"/>
          <w:b/>
          <w:sz w:val="28"/>
          <w:szCs w:val="28"/>
        </w:rPr>
      </w:pPr>
      <w:r w:rsidRPr="00422E3B">
        <w:rPr>
          <w:rFonts w:ascii="Times New Roman" w:hAnsi="Times New Roman"/>
          <w:b/>
          <w:sz w:val="28"/>
          <w:szCs w:val="28"/>
        </w:rPr>
        <w:t>kārtību piekrastes ūdeņos””</w:t>
      </w:r>
    </w:p>
    <w:p w14:paraId="00779708" w14:textId="493001EB" w:rsidR="00D06177" w:rsidRPr="00422E3B" w:rsidRDefault="00F31E6F" w:rsidP="00F31E6F">
      <w:pPr>
        <w:spacing w:after="0" w:line="240" w:lineRule="auto"/>
        <w:jc w:val="center"/>
        <w:rPr>
          <w:rFonts w:ascii="Times New Roman" w:hAnsi="Times New Roman"/>
          <w:b/>
          <w:sz w:val="28"/>
          <w:szCs w:val="28"/>
        </w:rPr>
      </w:pPr>
      <w:r w:rsidRPr="00422E3B">
        <w:rPr>
          <w:rFonts w:ascii="Times New Roman" w:hAnsi="Times New Roman"/>
          <w:b/>
          <w:sz w:val="28"/>
          <w:szCs w:val="28"/>
        </w:rPr>
        <w:t>sākotnējās ietekmes novērtējuma ziņojums (anotācija)</w:t>
      </w:r>
    </w:p>
    <w:p w14:paraId="51C66106" w14:textId="77777777" w:rsidR="00F31E6F" w:rsidRPr="00422E3B" w:rsidRDefault="00F31E6F" w:rsidP="00F31E6F">
      <w:pPr>
        <w:spacing w:after="0" w:line="240" w:lineRule="auto"/>
        <w:jc w:val="center"/>
        <w:rPr>
          <w:rFonts w:ascii="Times New Roman" w:eastAsia="Times New Roman" w:hAnsi="Times New Roman"/>
          <w:b/>
          <w:bCs/>
          <w:sz w:val="24"/>
          <w:szCs w:val="24"/>
          <w:lang w:eastAsia="lv-LV"/>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1493"/>
        <w:gridCol w:w="7716"/>
      </w:tblGrid>
      <w:tr w:rsidR="00422E3B" w:rsidRPr="00422E3B" w14:paraId="7444FF40" w14:textId="77777777" w:rsidTr="008C69A0">
        <w:trPr>
          <w:trHeight w:val="227"/>
          <w:jc w:val="center"/>
        </w:trPr>
        <w:tc>
          <w:tcPr>
            <w:tcW w:w="9640" w:type="dxa"/>
            <w:gridSpan w:val="3"/>
          </w:tcPr>
          <w:p w14:paraId="71416177" w14:textId="77777777" w:rsidR="00E52AAB" w:rsidRPr="00422E3B" w:rsidRDefault="00E52AAB" w:rsidP="00422CA6">
            <w:pPr>
              <w:pStyle w:val="Bezatstarpm"/>
              <w:jc w:val="center"/>
              <w:rPr>
                <w:rFonts w:ascii="Times New Roman" w:hAnsi="Times New Roman"/>
                <w:b/>
                <w:sz w:val="24"/>
                <w:szCs w:val="24"/>
              </w:rPr>
            </w:pPr>
            <w:r w:rsidRPr="00422E3B">
              <w:rPr>
                <w:rFonts w:ascii="Times New Roman" w:hAnsi="Times New Roman"/>
                <w:b/>
                <w:sz w:val="24"/>
                <w:szCs w:val="24"/>
              </w:rPr>
              <w:t>I. Tiesību akta projekta izstrādes nepieciešamība</w:t>
            </w:r>
          </w:p>
        </w:tc>
      </w:tr>
      <w:tr w:rsidR="00422E3B" w:rsidRPr="00422E3B" w14:paraId="153E5FF4" w14:textId="77777777" w:rsidTr="008C69A0">
        <w:trPr>
          <w:trHeight w:val="227"/>
          <w:jc w:val="center"/>
        </w:trPr>
        <w:tc>
          <w:tcPr>
            <w:tcW w:w="568" w:type="dxa"/>
          </w:tcPr>
          <w:p w14:paraId="16011F2E" w14:textId="77777777" w:rsidR="00E52AAB" w:rsidRPr="00422E3B" w:rsidRDefault="00E52AAB" w:rsidP="00422CA6">
            <w:pPr>
              <w:pStyle w:val="Bezatstarpm"/>
              <w:rPr>
                <w:rFonts w:ascii="Times New Roman" w:hAnsi="Times New Roman"/>
              </w:rPr>
            </w:pPr>
            <w:r w:rsidRPr="00422E3B">
              <w:rPr>
                <w:rFonts w:ascii="Times New Roman" w:hAnsi="Times New Roman"/>
              </w:rPr>
              <w:t>1.</w:t>
            </w:r>
          </w:p>
        </w:tc>
        <w:tc>
          <w:tcPr>
            <w:tcW w:w="2013" w:type="dxa"/>
          </w:tcPr>
          <w:p w14:paraId="4415F4F6" w14:textId="77777777" w:rsidR="00E52AAB" w:rsidRPr="00422E3B" w:rsidRDefault="00E52AAB" w:rsidP="00422CA6">
            <w:pPr>
              <w:pStyle w:val="Bezatstarpm"/>
              <w:rPr>
                <w:rFonts w:ascii="Times New Roman" w:hAnsi="Times New Roman"/>
              </w:rPr>
            </w:pPr>
            <w:r w:rsidRPr="00422E3B">
              <w:rPr>
                <w:rFonts w:ascii="Times New Roman" w:hAnsi="Times New Roman"/>
              </w:rPr>
              <w:t>Pamatojums</w:t>
            </w:r>
          </w:p>
        </w:tc>
        <w:tc>
          <w:tcPr>
            <w:tcW w:w="7059" w:type="dxa"/>
          </w:tcPr>
          <w:p w14:paraId="39C51D3C" w14:textId="1F554528" w:rsidR="00F31E6F" w:rsidRPr="00422E3B" w:rsidRDefault="00F31E6F" w:rsidP="00F31E6F">
            <w:pPr>
              <w:pStyle w:val="Bezatstarpm"/>
              <w:jc w:val="both"/>
              <w:rPr>
                <w:rFonts w:ascii="Times New Roman" w:hAnsi="Times New Roman"/>
                <w:iCs/>
                <w:sz w:val="24"/>
                <w:szCs w:val="24"/>
              </w:rPr>
            </w:pPr>
            <w:r w:rsidRPr="00422E3B">
              <w:rPr>
                <w:rFonts w:ascii="Times New Roman" w:hAnsi="Times New Roman"/>
                <w:iCs/>
                <w:sz w:val="24"/>
                <w:szCs w:val="24"/>
              </w:rPr>
              <w:t xml:space="preserve">1) Zvejniecības likuma 11. panta </w:t>
            </w:r>
            <w:proofErr w:type="gramStart"/>
            <w:r w:rsidR="008F1644" w:rsidRPr="00422E3B">
              <w:rPr>
                <w:rFonts w:ascii="Times New Roman" w:hAnsi="Times New Roman"/>
                <w:iCs/>
                <w:sz w:val="24"/>
                <w:szCs w:val="24"/>
              </w:rPr>
              <w:t>4.</w:t>
            </w:r>
            <w:r w:rsidR="008F1644" w:rsidRPr="00422E3B">
              <w:rPr>
                <w:rFonts w:ascii="Times New Roman" w:hAnsi="Times New Roman"/>
                <w:iCs/>
                <w:sz w:val="24"/>
                <w:szCs w:val="24"/>
                <w:vertAlign w:val="superscript"/>
              </w:rPr>
              <w:t>2</w:t>
            </w:r>
            <w:r w:rsidR="008F1644" w:rsidRPr="00422E3B">
              <w:rPr>
                <w:rFonts w:ascii="Times New Roman" w:hAnsi="Times New Roman"/>
                <w:iCs/>
                <w:sz w:val="24"/>
                <w:szCs w:val="24"/>
              </w:rPr>
              <w:t xml:space="preserve"> </w:t>
            </w:r>
            <w:r w:rsidRPr="00422E3B">
              <w:rPr>
                <w:rFonts w:ascii="Times New Roman" w:hAnsi="Times New Roman"/>
                <w:iCs/>
                <w:sz w:val="24"/>
                <w:szCs w:val="24"/>
              </w:rPr>
              <w:t>daļa</w:t>
            </w:r>
            <w:proofErr w:type="gramEnd"/>
            <w:r w:rsidRPr="00422E3B">
              <w:rPr>
                <w:rFonts w:ascii="Times New Roman" w:hAnsi="Times New Roman"/>
                <w:iCs/>
                <w:sz w:val="24"/>
                <w:szCs w:val="24"/>
              </w:rPr>
              <w:t>;</w:t>
            </w:r>
          </w:p>
          <w:p w14:paraId="196365A0" w14:textId="78EF205C" w:rsidR="00824F00" w:rsidRPr="00422E3B" w:rsidRDefault="00F31E6F" w:rsidP="00F55B66">
            <w:pPr>
              <w:pStyle w:val="Bezatstarpm"/>
              <w:jc w:val="both"/>
              <w:rPr>
                <w:rFonts w:ascii="Times New Roman" w:hAnsi="Times New Roman"/>
                <w:iCs/>
                <w:sz w:val="24"/>
                <w:szCs w:val="24"/>
              </w:rPr>
            </w:pPr>
            <w:r w:rsidRPr="00422E3B">
              <w:rPr>
                <w:rFonts w:ascii="Times New Roman" w:hAnsi="Times New Roman"/>
                <w:iCs/>
                <w:sz w:val="24"/>
                <w:szCs w:val="24"/>
              </w:rPr>
              <w:t xml:space="preserve">2) Ministru kabineta 2009. gada 30. novembra noteikumu Nr. 1375 </w:t>
            </w:r>
            <w:r w:rsidR="00F55B66" w:rsidRPr="00422E3B">
              <w:rPr>
                <w:rFonts w:ascii="Times New Roman" w:hAnsi="Times New Roman"/>
                <w:iCs/>
                <w:sz w:val="24"/>
                <w:szCs w:val="24"/>
              </w:rPr>
              <w:t>“</w:t>
            </w:r>
            <w:r w:rsidRPr="00422E3B">
              <w:rPr>
                <w:rFonts w:ascii="Times New Roman" w:hAnsi="Times New Roman"/>
                <w:iCs/>
                <w:sz w:val="24"/>
                <w:szCs w:val="24"/>
              </w:rPr>
              <w:t>Noteikumi par rūpnieciskās zvejas limitiem un to izmantošanas kārtību piekrastes ūdeņos” (turpmāk – MK noteikumi Nr. 1375) 11. un 12. punkts.</w:t>
            </w:r>
          </w:p>
        </w:tc>
      </w:tr>
      <w:tr w:rsidR="00422E3B" w:rsidRPr="00422E3B" w14:paraId="15599EA8" w14:textId="77777777" w:rsidTr="008C69A0">
        <w:trPr>
          <w:trHeight w:val="227"/>
          <w:jc w:val="center"/>
        </w:trPr>
        <w:tc>
          <w:tcPr>
            <w:tcW w:w="568" w:type="dxa"/>
          </w:tcPr>
          <w:p w14:paraId="14F3C94B" w14:textId="0A86680A" w:rsidR="00E52AAB" w:rsidRPr="00422E3B" w:rsidRDefault="00E52AAB" w:rsidP="00422CA6">
            <w:pPr>
              <w:pStyle w:val="Bezatstarpm"/>
              <w:rPr>
                <w:rFonts w:ascii="Times New Roman" w:hAnsi="Times New Roman"/>
              </w:rPr>
            </w:pPr>
            <w:r w:rsidRPr="00422E3B">
              <w:rPr>
                <w:rFonts w:ascii="Times New Roman" w:hAnsi="Times New Roman"/>
              </w:rPr>
              <w:t>2.</w:t>
            </w:r>
          </w:p>
        </w:tc>
        <w:tc>
          <w:tcPr>
            <w:tcW w:w="2013" w:type="dxa"/>
          </w:tcPr>
          <w:p w14:paraId="677DF7D1" w14:textId="6D46F68A" w:rsidR="003226CA" w:rsidRPr="00422E3B" w:rsidRDefault="00E52AAB" w:rsidP="00422CA6">
            <w:pPr>
              <w:pStyle w:val="Bezatstarpm"/>
              <w:rPr>
                <w:rFonts w:ascii="Times New Roman" w:hAnsi="Times New Roman"/>
              </w:rPr>
            </w:pPr>
            <w:r w:rsidRPr="00422E3B">
              <w:rPr>
                <w:rFonts w:ascii="Times New Roman" w:hAnsi="Times New Roman"/>
              </w:rPr>
              <w:t>Pašreizējā situācija un problēmas, kuru risināšanai tiesību akta projekts izstrādāts, tiesiskā regulējuma mērķis un būtība</w:t>
            </w:r>
          </w:p>
          <w:p w14:paraId="02D8AE9C" w14:textId="77777777" w:rsidR="003226CA" w:rsidRPr="00422E3B" w:rsidRDefault="003226CA" w:rsidP="00422CA6">
            <w:pPr>
              <w:spacing w:after="0" w:line="240" w:lineRule="auto"/>
            </w:pPr>
          </w:p>
          <w:p w14:paraId="5AA50F7E" w14:textId="77777777" w:rsidR="003226CA" w:rsidRPr="00422E3B" w:rsidRDefault="003226CA" w:rsidP="00422CA6">
            <w:pPr>
              <w:spacing w:after="0" w:line="240" w:lineRule="auto"/>
            </w:pPr>
          </w:p>
          <w:p w14:paraId="65F9191C" w14:textId="77777777" w:rsidR="003226CA" w:rsidRPr="00422E3B" w:rsidRDefault="003226CA" w:rsidP="00422CA6">
            <w:pPr>
              <w:spacing w:after="0" w:line="240" w:lineRule="auto"/>
            </w:pPr>
          </w:p>
          <w:p w14:paraId="17581E88" w14:textId="77777777" w:rsidR="003226CA" w:rsidRPr="00422E3B" w:rsidRDefault="003226CA" w:rsidP="00422CA6">
            <w:pPr>
              <w:spacing w:after="0" w:line="240" w:lineRule="auto"/>
            </w:pPr>
          </w:p>
          <w:p w14:paraId="253E0DBB" w14:textId="77777777" w:rsidR="003226CA" w:rsidRPr="00422E3B" w:rsidRDefault="003226CA" w:rsidP="00422CA6">
            <w:pPr>
              <w:spacing w:after="0" w:line="240" w:lineRule="auto"/>
            </w:pPr>
          </w:p>
          <w:p w14:paraId="46A04171" w14:textId="77777777" w:rsidR="003226CA" w:rsidRPr="00422E3B" w:rsidRDefault="003226CA" w:rsidP="00422CA6">
            <w:pPr>
              <w:spacing w:after="0" w:line="240" w:lineRule="auto"/>
            </w:pPr>
          </w:p>
          <w:p w14:paraId="25D3B2BB" w14:textId="77777777" w:rsidR="003226CA" w:rsidRPr="00422E3B" w:rsidRDefault="003226CA" w:rsidP="00422CA6">
            <w:pPr>
              <w:spacing w:after="0" w:line="240" w:lineRule="auto"/>
            </w:pPr>
          </w:p>
          <w:p w14:paraId="566CEC7D" w14:textId="457C8042" w:rsidR="003226CA" w:rsidRPr="00422E3B" w:rsidRDefault="003226CA" w:rsidP="00422CA6">
            <w:pPr>
              <w:spacing w:after="0" w:line="240" w:lineRule="auto"/>
            </w:pPr>
          </w:p>
          <w:p w14:paraId="54513306" w14:textId="77777777" w:rsidR="00E52AAB" w:rsidRPr="00422E3B" w:rsidRDefault="00E52AAB" w:rsidP="00422CA6">
            <w:pPr>
              <w:spacing w:after="0" w:line="240" w:lineRule="auto"/>
              <w:jc w:val="center"/>
            </w:pPr>
          </w:p>
        </w:tc>
        <w:tc>
          <w:tcPr>
            <w:tcW w:w="7059" w:type="dxa"/>
          </w:tcPr>
          <w:p w14:paraId="15F55971" w14:textId="3C8D6C47" w:rsidR="00F31E6F" w:rsidRPr="00422E3B" w:rsidRDefault="00F31E6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Ministru kabineta noteikumu projekts </w:t>
            </w:r>
            <w:r w:rsidR="00F55B66" w:rsidRPr="00422E3B">
              <w:rPr>
                <w:rFonts w:ascii="Times New Roman" w:hAnsi="Times New Roman"/>
                <w:sz w:val="24"/>
                <w:szCs w:val="24"/>
              </w:rPr>
              <w:t>“</w:t>
            </w:r>
            <w:r w:rsidRPr="00422E3B">
              <w:rPr>
                <w:rFonts w:ascii="Times New Roman" w:hAnsi="Times New Roman"/>
                <w:sz w:val="24"/>
                <w:szCs w:val="24"/>
              </w:rPr>
              <w:t xml:space="preserve">Grozījumi Ministru kabineta 2009. gada 30. novembra noteikumos Nr. 1375 „Noteikumi par rūpnieciskās zvejas limitiem un to izmantošanas kārtību piekrastes ūdeņos”” (turpmāk – noteikumu projekts) sagatavots atbilstoši MK noteikumu Nr. 1375 11. punktam, kas paredz pašvaldībām reizi gadā līdz </w:t>
            </w:r>
            <w:proofErr w:type="gramStart"/>
            <w:r w:rsidRPr="00422E3B">
              <w:rPr>
                <w:rFonts w:ascii="Times New Roman" w:hAnsi="Times New Roman"/>
                <w:sz w:val="24"/>
                <w:szCs w:val="24"/>
              </w:rPr>
              <w:t>1.jūlijam</w:t>
            </w:r>
            <w:proofErr w:type="gramEnd"/>
            <w:r w:rsidRPr="00422E3B">
              <w:rPr>
                <w:rFonts w:ascii="Times New Roman" w:hAnsi="Times New Roman"/>
                <w:sz w:val="24"/>
                <w:szCs w:val="24"/>
              </w:rPr>
              <w:t xml:space="preserve"> valsts zinātniskajā institūtā </w:t>
            </w:r>
            <w:r w:rsidR="00F55B66" w:rsidRPr="00422E3B">
              <w:rPr>
                <w:rFonts w:ascii="Times New Roman" w:hAnsi="Times New Roman"/>
                <w:sz w:val="24"/>
                <w:szCs w:val="24"/>
              </w:rPr>
              <w:t>“</w:t>
            </w:r>
            <w:r w:rsidRPr="00422E3B">
              <w:rPr>
                <w:rFonts w:ascii="Times New Roman" w:hAnsi="Times New Roman"/>
                <w:sz w:val="24"/>
                <w:szCs w:val="24"/>
              </w:rPr>
              <w:t xml:space="preserve">Pārtikas drošības, dzīvnieku veselības un vides zinātniskais institūts </w:t>
            </w:r>
            <w:r w:rsidR="00F55B66" w:rsidRPr="00422E3B">
              <w:rPr>
                <w:rFonts w:ascii="Times New Roman" w:hAnsi="Times New Roman"/>
                <w:sz w:val="24"/>
                <w:szCs w:val="24"/>
              </w:rPr>
              <w:t>“</w:t>
            </w:r>
            <w:r w:rsidRPr="00422E3B">
              <w:rPr>
                <w:rFonts w:ascii="Times New Roman" w:hAnsi="Times New Roman"/>
                <w:sz w:val="24"/>
                <w:szCs w:val="24"/>
              </w:rPr>
              <w:t xml:space="preserve">BIOR”” (turpmāk − institūts) iesniegt priekšlikumus par piekrastes ūdeņos noteikto zvejas limitu izmaiņām. Institūts mēneša laikā izvērtē iesniegtos priekšlikumus un iesniedz Zemkopības ministrijā (turpmāk – </w:t>
            </w:r>
            <w:r w:rsidR="00D24456" w:rsidRPr="00422E3B">
              <w:rPr>
                <w:rFonts w:ascii="Times New Roman" w:hAnsi="Times New Roman"/>
                <w:sz w:val="24"/>
                <w:szCs w:val="24"/>
              </w:rPr>
              <w:t>ZM</w:t>
            </w:r>
            <w:r w:rsidRPr="00422E3B">
              <w:rPr>
                <w:rFonts w:ascii="Times New Roman" w:hAnsi="Times New Roman"/>
                <w:sz w:val="24"/>
                <w:szCs w:val="24"/>
              </w:rPr>
              <w:t xml:space="preserve">) zinātniski pamatotu rekomendāciju (turpmāk – rekomendācija) par pašvaldību priekšlikumiem zvejas limitu izmaiņām. </w:t>
            </w:r>
            <w:r w:rsidR="00FC6053" w:rsidRPr="00422E3B">
              <w:rPr>
                <w:rFonts w:ascii="Times New Roman" w:hAnsi="Times New Roman"/>
                <w:sz w:val="24"/>
                <w:szCs w:val="24"/>
              </w:rPr>
              <w:t>ZM</w:t>
            </w:r>
            <w:r w:rsidRPr="00422E3B">
              <w:rPr>
                <w:rFonts w:ascii="Times New Roman" w:hAnsi="Times New Roman"/>
                <w:sz w:val="24"/>
                <w:szCs w:val="24"/>
              </w:rPr>
              <w:t xml:space="preserve">, ievērojot iepriekšminēto noteikumu 12. punkta prasības, apkopo institūta izvērtētos un atbalstītos priekšlikumus par zvejas limitu izmaiņām un iesniedz Ministru kabinetā </w:t>
            </w:r>
            <w:r w:rsidR="00EA2A6B" w:rsidRPr="00422E3B">
              <w:rPr>
                <w:rFonts w:ascii="Times New Roman" w:hAnsi="Times New Roman"/>
                <w:sz w:val="24"/>
                <w:szCs w:val="24"/>
              </w:rPr>
              <w:t>noteikumu</w:t>
            </w:r>
            <w:r w:rsidRPr="00422E3B">
              <w:rPr>
                <w:rFonts w:ascii="Times New Roman" w:hAnsi="Times New Roman"/>
                <w:sz w:val="24"/>
                <w:szCs w:val="24"/>
              </w:rPr>
              <w:t xml:space="preserve"> projektu.</w:t>
            </w:r>
          </w:p>
          <w:p w14:paraId="007511C1" w14:textId="5E14D5F6" w:rsidR="00F31E6F" w:rsidRPr="00422E3B" w:rsidRDefault="00F31E6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Līdz 2017. gada 1. jūlijam institūts saņēma priekšlikumus zvejas limitu izmaiņām no Nīcas, Pāvilostas, Rucavas novadu, Liepājas un Ventspils pilsēt</w:t>
            </w:r>
            <w:r w:rsidR="005450C9" w:rsidRPr="00422E3B">
              <w:rPr>
                <w:rFonts w:ascii="Times New Roman" w:hAnsi="Times New Roman"/>
                <w:sz w:val="24"/>
                <w:szCs w:val="24"/>
              </w:rPr>
              <w:t>as</w:t>
            </w:r>
            <w:r w:rsidRPr="00422E3B">
              <w:rPr>
                <w:rFonts w:ascii="Times New Roman" w:hAnsi="Times New Roman"/>
                <w:sz w:val="24"/>
                <w:szCs w:val="24"/>
              </w:rPr>
              <w:t xml:space="preserve"> pašvaldībām. </w:t>
            </w:r>
          </w:p>
          <w:p w14:paraId="2636DA74" w14:textId="1CEAD7B0" w:rsidR="00F31E6F" w:rsidRPr="00422E3B" w:rsidRDefault="00F31E6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Institūts 2017. gada 26. jūlijā sniedza </w:t>
            </w:r>
            <w:r w:rsidR="00F55B66" w:rsidRPr="00422E3B">
              <w:rPr>
                <w:rFonts w:ascii="Times New Roman" w:hAnsi="Times New Roman"/>
                <w:sz w:val="24"/>
                <w:szCs w:val="24"/>
              </w:rPr>
              <w:t xml:space="preserve">ministrijai </w:t>
            </w:r>
            <w:r w:rsidRPr="00422E3B">
              <w:rPr>
                <w:rFonts w:ascii="Times New Roman" w:hAnsi="Times New Roman"/>
                <w:sz w:val="24"/>
                <w:szCs w:val="24"/>
              </w:rPr>
              <w:t xml:space="preserve">rekomendāciju </w:t>
            </w:r>
            <w:r w:rsidR="00EA2A6B" w:rsidRPr="00422E3B">
              <w:rPr>
                <w:rFonts w:ascii="Times New Roman" w:hAnsi="Times New Roman"/>
                <w:sz w:val="24"/>
                <w:szCs w:val="24"/>
              </w:rPr>
              <w:t>(Nr.1-6/913-e</w:t>
            </w:r>
            <w:r w:rsidR="008A1A16" w:rsidRPr="00422E3B">
              <w:rPr>
                <w:rFonts w:ascii="Times New Roman" w:hAnsi="Times New Roman"/>
                <w:sz w:val="24"/>
                <w:szCs w:val="24"/>
              </w:rPr>
              <w:t xml:space="preserve">, pieejama </w:t>
            </w:r>
            <w:r w:rsidR="00712662" w:rsidRPr="00422E3B">
              <w:rPr>
                <w:rFonts w:ascii="Times New Roman" w:hAnsi="Times New Roman"/>
                <w:sz w:val="24"/>
                <w:szCs w:val="24"/>
              </w:rPr>
              <w:t>ZM</w:t>
            </w:r>
            <w:r w:rsidR="00EA2A6B" w:rsidRPr="00422E3B">
              <w:rPr>
                <w:rFonts w:ascii="Times New Roman" w:hAnsi="Times New Roman"/>
                <w:sz w:val="24"/>
                <w:szCs w:val="24"/>
              </w:rPr>
              <w:t xml:space="preserve">) </w:t>
            </w:r>
            <w:r w:rsidRPr="00422E3B">
              <w:rPr>
                <w:rFonts w:ascii="Times New Roman" w:hAnsi="Times New Roman"/>
                <w:sz w:val="24"/>
                <w:szCs w:val="24"/>
              </w:rPr>
              <w:t xml:space="preserve">par pašvaldību priekšlikumiem zvejas limitu </w:t>
            </w:r>
            <w:r w:rsidR="00FF135F" w:rsidRPr="00422E3B">
              <w:rPr>
                <w:rFonts w:ascii="Times New Roman" w:hAnsi="Times New Roman"/>
                <w:sz w:val="24"/>
                <w:szCs w:val="24"/>
              </w:rPr>
              <w:t>iz</w:t>
            </w:r>
            <w:r w:rsidRPr="00422E3B">
              <w:rPr>
                <w:rFonts w:ascii="Times New Roman" w:hAnsi="Times New Roman"/>
                <w:sz w:val="24"/>
                <w:szCs w:val="24"/>
              </w:rPr>
              <w:t>maiņ</w:t>
            </w:r>
            <w:r w:rsidR="00FF135F" w:rsidRPr="00422E3B">
              <w:rPr>
                <w:rFonts w:ascii="Times New Roman" w:hAnsi="Times New Roman"/>
                <w:sz w:val="24"/>
                <w:szCs w:val="24"/>
              </w:rPr>
              <w:t>ām</w:t>
            </w:r>
            <w:r w:rsidRPr="00422E3B">
              <w:rPr>
                <w:rFonts w:ascii="Times New Roman" w:hAnsi="Times New Roman"/>
                <w:sz w:val="24"/>
                <w:szCs w:val="24"/>
              </w:rPr>
              <w:t xml:space="preserve"> piekrastes ūdeņos. Minētās pašvaldības tika informētas par atbalstītajiem un neatbalstītajiem priekšlikumiem.</w:t>
            </w:r>
          </w:p>
          <w:p w14:paraId="2167569B" w14:textId="60611AAD" w:rsidR="00F31E6F" w:rsidRPr="00422E3B" w:rsidRDefault="00EA2A6B"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 Noteikumu projektā ietverti š</w:t>
            </w:r>
            <w:r w:rsidR="005450C9" w:rsidRPr="00422E3B">
              <w:rPr>
                <w:rFonts w:ascii="Times New Roman" w:hAnsi="Times New Roman"/>
                <w:sz w:val="24"/>
                <w:szCs w:val="24"/>
              </w:rPr>
              <w:t>ād</w:t>
            </w:r>
            <w:r w:rsidRPr="00422E3B">
              <w:rPr>
                <w:rFonts w:ascii="Times New Roman" w:hAnsi="Times New Roman"/>
                <w:sz w:val="24"/>
                <w:szCs w:val="24"/>
              </w:rPr>
              <w:t>i</w:t>
            </w:r>
            <w:r w:rsidR="00FF135F" w:rsidRPr="00422E3B">
              <w:rPr>
                <w:rFonts w:ascii="Times New Roman" w:hAnsi="Times New Roman"/>
                <w:sz w:val="24"/>
                <w:szCs w:val="24"/>
              </w:rPr>
              <w:t xml:space="preserve"> institūta atbalstītie</w:t>
            </w:r>
            <w:r w:rsidRPr="00422E3B">
              <w:rPr>
                <w:rFonts w:ascii="Times New Roman" w:hAnsi="Times New Roman"/>
                <w:sz w:val="24"/>
                <w:szCs w:val="24"/>
              </w:rPr>
              <w:t xml:space="preserve"> pašvaldību priekšlikumi</w:t>
            </w:r>
            <w:r w:rsidR="00F31E6F" w:rsidRPr="00422E3B">
              <w:rPr>
                <w:rFonts w:ascii="Times New Roman" w:hAnsi="Times New Roman"/>
                <w:sz w:val="24"/>
                <w:szCs w:val="24"/>
              </w:rPr>
              <w:t>:</w:t>
            </w:r>
          </w:p>
          <w:p w14:paraId="3075201E" w14:textId="084956A9" w:rsidR="00F31E6F" w:rsidRPr="00422E3B" w:rsidRDefault="00EA2A6B"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1.1.</w:t>
            </w:r>
            <w:r w:rsidR="00F31E6F" w:rsidRPr="00422E3B">
              <w:rPr>
                <w:rFonts w:ascii="Times New Roman" w:hAnsi="Times New Roman"/>
                <w:sz w:val="24"/>
                <w:szCs w:val="24"/>
              </w:rPr>
              <w:t xml:space="preserve"> </w:t>
            </w:r>
            <w:r w:rsidR="00F31E6F" w:rsidRPr="00422E3B">
              <w:rPr>
                <w:rFonts w:ascii="Times New Roman" w:hAnsi="Times New Roman"/>
                <w:sz w:val="24"/>
                <w:szCs w:val="24"/>
                <w:u w:val="single"/>
              </w:rPr>
              <w:t>Nīcas novada pašvaldības</w:t>
            </w:r>
            <w:r w:rsidR="00F31E6F" w:rsidRPr="00422E3B">
              <w:rPr>
                <w:rFonts w:ascii="Times New Roman" w:hAnsi="Times New Roman"/>
                <w:sz w:val="24"/>
                <w:szCs w:val="24"/>
              </w:rPr>
              <w:t xml:space="preserve"> ierosinājums </w:t>
            </w:r>
            <w:r w:rsidR="009763D4" w:rsidRPr="00422E3B">
              <w:rPr>
                <w:rFonts w:ascii="Times New Roman" w:hAnsi="Times New Roman"/>
                <w:sz w:val="24"/>
                <w:szCs w:val="24"/>
              </w:rPr>
              <w:t xml:space="preserve">tās pašvaldības teritorijas piekrastes ūdeņos </w:t>
            </w:r>
            <w:r w:rsidR="00F31E6F" w:rsidRPr="00422E3B">
              <w:rPr>
                <w:rFonts w:ascii="Times New Roman" w:hAnsi="Times New Roman"/>
                <w:sz w:val="24"/>
                <w:szCs w:val="24"/>
              </w:rPr>
              <w:t xml:space="preserve">atļaut </w:t>
            </w:r>
            <w:proofErr w:type="spellStart"/>
            <w:r w:rsidR="009763D4" w:rsidRPr="00422E3B">
              <w:rPr>
                <w:rFonts w:ascii="Times New Roman" w:hAnsi="Times New Roman"/>
                <w:sz w:val="24"/>
                <w:szCs w:val="24"/>
              </w:rPr>
              <w:t>komerczvejniekiem</w:t>
            </w:r>
            <w:proofErr w:type="spellEnd"/>
            <w:r w:rsidR="009763D4" w:rsidRPr="00422E3B">
              <w:rPr>
                <w:rFonts w:ascii="Times New Roman" w:hAnsi="Times New Roman"/>
                <w:sz w:val="24"/>
                <w:szCs w:val="24"/>
              </w:rPr>
              <w:t xml:space="preserve"> </w:t>
            </w:r>
            <w:r w:rsidR="00F31E6F" w:rsidRPr="00422E3B">
              <w:rPr>
                <w:rFonts w:ascii="Times New Roman" w:hAnsi="Times New Roman"/>
                <w:sz w:val="24"/>
                <w:szCs w:val="24"/>
              </w:rPr>
              <w:t xml:space="preserve">ar piešķirtajiem zivju tīklu limitiem zvejot </w:t>
            </w:r>
            <w:r w:rsidR="009763D4" w:rsidRPr="00422E3B">
              <w:rPr>
                <w:rFonts w:ascii="Times New Roman" w:hAnsi="Times New Roman"/>
                <w:sz w:val="24"/>
                <w:szCs w:val="24"/>
              </w:rPr>
              <w:t xml:space="preserve">apaļos </w:t>
            </w:r>
            <w:r w:rsidR="00F31E6F" w:rsidRPr="00422E3B">
              <w:rPr>
                <w:rFonts w:ascii="Times New Roman" w:hAnsi="Times New Roman"/>
                <w:sz w:val="24"/>
                <w:szCs w:val="24"/>
              </w:rPr>
              <w:t>jūrasgrunduļus</w:t>
            </w:r>
            <w:r w:rsidR="009763D4" w:rsidRPr="00422E3B">
              <w:rPr>
                <w:rFonts w:ascii="Times New Roman" w:hAnsi="Times New Roman"/>
                <w:sz w:val="24"/>
                <w:szCs w:val="24"/>
              </w:rPr>
              <w:t xml:space="preserve"> ar tīkliem, kuru</w:t>
            </w:r>
            <w:r w:rsidR="00F31E6F" w:rsidRPr="00422E3B">
              <w:rPr>
                <w:rFonts w:ascii="Times New Roman" w:hAnsi="Times New Roman"/>
                <w:sz w:val="24"/>
                <w:szCs w:val="24"/>
              </w:rPr>
              <w:t xml:space="preserve"> acu izmēr</w:t>
            </w:r>
            <w:r w:rsidR="009763D4" w:rsidRPr="00422E3B">
              <w:rPr>
                <w:rFonts w:ascii="Times New Roman" w:hAnsi="Times New Roman"/>
                <w:sz w:val="24"/>
                <w:szCs w:val="24"/>
              </w:rPr>
              <w:t>s ir</w:t>
            </w:r>
            <w:r w:rsidR="00F31E6F" w:rsidRPr="00422E3B">
              <w:rPr>
                <w:rFonts w:ascii="Times New Roman" w:hAnsi="Times New Roman"/>
                <w:sz w:val="24"/>
                <w:szCs w:val="24"/>
              </w:rPr>
              <w:t xml:space="preserve"> no 30 līdz 35 mm</w:t>
            </w:r>
            <w:r w:rsidR="005450C9" w:rsidRPr="00422E3B">
              <w:rPr>
                <w:rFonts w:ascii="Times New Roman" w:hAnsi="Times New Roman"/>
                <w:sz w:val="24"/>
                <w:szCs w:val="24"/>
              </w:rPr>
              <w:t>,</w:t>
            </w:r>
            <w:r w:rsidR="00F31E6F" w:rsidRPr="00422E3B">
              <w:rPr>
                <w:rFonts w:ascii="Times New Roman" w:hAnsi="Times New Roman"/>
                <w:sz w:val="24"/>
                <w:szCs w:val="24"/>
              </w:rPr>
              <w:t xml:space="preserve"> laikā no 1. aprīļa līdz 30. jūnijam ir </w:t>
            </w:r>
            <w:r w:rsidRPr="00422E3B">
              <w:rPr>
                <w:rFonts w:ascii="Times New Roman" w:hAnsi="Times New Roman"/>
                <w:sz w:val="24"/>
                <w:szCs w:val="24"/>
              </w:rPr>
              <w:t>daļēji atbalstīts</w:t>
            </w:r>
            <w:r w:rsidR="00F31E6F" w:rsidRPr="00422E3B">
              <w:rPr>
                <w:rFonts w:ascii="Times New Roman" w:hAnsi="Times New Roman"/>
                <w:sz w:val="24"/>
                <w:szCs w:val="24"/>
              </w:rPr>
              <w:t xml:space="preserve">. </w:t>
            </w:r>
          </w:p>
          <w:p w14:paraId="65008420" w14:textId="252A2209" w:rsidR="003A1D86" w:rsidRPr="00422E3B" w:rsidRDefault="005450C9"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Tāpat</w:t>
            </w:r>
            <w:r w:rsidR="00FF135F" w:rsidRPr="00422E3B">
              <w:rPr>
                <w:rFonts w:ascii="Times New Roman" w:hAnsi="Times New Roman"/>
                <w:sz w:val="24"/>
                <w:szCs w:val="24"/>
              </w:rPr>
              <w:t xml:space="preserve"> arī citās</w:t>
            </w:r>
            <w:r w:rsidR="00F31E6F" w:rsidRPr="00422E3B">
              <w:rPr>
                <w:rFonts w:ascii="Times New Roman" w:hAnsi="Times New Roman"/>
                <w:sz w:val="24"/>
                <w:szCs w:val="24"/>
              </w:rPr>
              <w:t xml:space="preserve"> pašvaldībās (Liepāj</w:t>
            </w:r>
            <w:r w:rsidRPr="00422E3B">
              <w:rPr>
                <w:rFonts w:ascii="Times New Roman" w:hAnsi="Times New Roman"/>
                <w:sz w:val="24"/>
                <w:szCs w:val="24"/>
              </w:rPr>
              <w:t>ā</w:t>
            </w:r>
            <w:r w:rsidR="00F31E6F" w:rsidRPr="00422E3B">
              <w:rPr>
                <w:rFonts w:ascii="Times New Roman" w:hAnsi="Times New Roman"/>
                <w:sz w:val="24"/>
                <w:szCs w:val="24"/>
              </w:rPr>
              <w:t xml:space="preserve"> un Rucav</w:t>
            </w:r>
            <w:r w:rsidRPr="00422E3B">
              <w:rPr>
                <w:rFonts w:ascii="Times New Roman" w:hAnsi="Times New Roman"/>
                <w:sz w:val="24"/>
                <w:szCs w:val="24"/>
              </w:rPr>
              <w:t>ā</w:t>
            </w:r>
            <w:r w:rsidR="00F31E6F" w:rsidRPr="00422E3B">
              <w:rPr>
                <w:rFonts w:ascii="Times New Roman" w:hAnsi="Times New Roman"/>
                <w:sz w:val="24"/>
                <w:szCs w:val="24"/>
              </w:rPr>
              <w:t xml:space="preserve">) </w:t>
            </w:r>
            <w:r w:rsidR="009763D4" w:rsidRPr="00422E3B">
              <w:rPr>
                <w:rFonts w:ascii="Times New Roman" w:hAnsi="Times New Roman"/>
                <w:sz w:val="24"/>
                <w:szCs w:val="24"/>
              </w:rPr>
              <w:t xml:space="preserve">jau </w:t>
            </w:r>
            <w:r w:rsidR="00F31E6F" w:rsidRPr="00422E3B">
              <w:rPr>
                <w:rFonts w:ascii="Times New Roman" w:hAnsi="Times New Roman"/>
                <w:sz w:val="24"/>
                <w:szCs w:val="24"/>
              </w:rPr>
              <w:t>ir atļauts daļu zivju tīkl</w:t>
            </w:r>
            <w:r w:rsidRPr="00422E3B">
              <w:rPr>
                <w:rFonts w:ascii="Times New Roman" w:hAnsi="Times New Roman"/>
                <w:sz w:val="24"/>
                <w:szCs w:val="24"/>
              </w:rPr>
              <w:t>u</w:t>
            </w:r>
            <w:r w:rsidR="00F31E6F" w:rsidRPr="00422E3B">
              <w:rPr>
                <w:rFonts w:ascii="Times New Roman" w:hAnsi="Times New Roman"/>
                <w:sz w:val="24"/>
                <w:szCs w:val="24"/>
              </w:rPr>
              <w:t xml:space="preserve"> izmantot apaļā jūrasgrunduļa zvejā laikposmā no 1. aprīļa līdz 30.</w:t>
            </w:r>
            <w:r w:rsidRPr="00422E3B">
              <w:rPr>
                <w:rFonts w:ascii="Times New Roman" w:hAnsi="Times New Roman"/>
                <w:sz w:val="24"/>
                <w:szCs w:val="24"/>
              </w:rPr>
              <w:t> </w:t>
            </w:r>
            <w:r w:rsidR="00F31E6F" w:rsidRPr="00422E3B">
              <w:rPr>
                <w:rFonts w:ascii="Times New Roman" w:hAnsi="Times New Roman"/>
                <w:sz w:val="24"/>
                <w:szCs w:val="24"/>
              </w:rPr>
              <w:t xml:space="preserve">jūnijam. </w:t>
            </w:r>
            <w:r w:rsidRPr="00422E3B">
              <w:rPr>
                <w:rFonts w:ascii="Times New Roman" w:hAnsi="Times New Roman"/>
                <w:sz w:val="24"/>
                <w:szCs w:val="24"/>
              </w:rPr>
              <w:t>Pamatojo</w:t>
            </w:r>
            <w:r w:rsidR="00F31E6F" w:rsidRPr="00422E3B">
              <w:rPr>
                <w:rFonts w:ascii="Times New Roman" w:hAnsi="Times New Roman"/>
                <w:sz w:val="24"/>
                <w:szCs w:val="24"/>
              </w:rPr>
              <w:t xml:space="preserve">ties uz </w:t>
            </w:r>
            <w:r w:rsidRPr="00422E3B">
              <w:rPr>
                <w:rFonts w:ascii="Times New Roman" w:hAnsi="Times New Roman"/>
                <w:sz w:val="24"/>
                <w:szCs w:val="24"/>
              </w:rPr>
              <w:t xml:space="preserve">piekrastes zvejas žurnālu </w:t>
            </w:r>
            <w:r w:rsidR="00F31E6F" w:rsidRPr="00422E3B">
              <w:rPr>
                <w:rFonts w:ascii="Times New Roman" w:hAnsi="Times New Roman"/>
                <w:sz w:val="24"/>
                <w:szCs w:val="24"/>
              </w:rPr>
              <w:t xml:space="preserve">informāciju, tīklu izmantošana šajā periodā </w:t>
            </w:r>
            <w:r w:rsidR="00FF135F" w:rsidRPr="00422E3B">
              <w:rPr>
                <w:rFonts w:ascii="Times New Roman" w:hAnsi="Times New Roman"/>
                <w:sz w:val="24"/>
                <w:szCs w:val="24"/>
              </w:rPr>
              <w:t xml:space="preserve">invazīvās sugas – apaļā jūrasgrunduļa </w:t>
            </w:r>
            <w:r w:rsidRPr="00422E3B">
              <w:rPr>
                <w:rFonts w:ascii="Times New Roman" w:hAnsi="Times New Roman"/>
                <w:sz w:val="24"/>
                <w:szCs w:val="24"/>
              </w:rPr>
              <w:t xml:space="preserve">– </w:t>
            </w:r>
            <w:r w:rsidR="00FF135F" w:rsidRPr="00422E3B">
              <w:rPr>
                <w:rFonts w:ascii="Times New Roman" w:hAnsi="Times New Roman"/>
                <w:sz w:val="24"/>
                <w:szCs w:val="24"/>
              </w:rPr>
              <w:t xml:space="preserve">zvejai </w:t>
            </w:r>
            <w:r w:rsidR="00F31E6F" w:rsidRPr="00422E3B">
              <w:rPr>
                <w:rFonts w:ascii="Times New Roman" w:hAnsi="Times New Roman"/>
                <w:sz w:val="24"/>
                <w:szCs w:val="24"/>
              </w:rPr>
              <w:t>ir vērtējama kā efektīva. Pēc institūta rīcībā esošās informācijas</w:t>
            </w:r>
            <w:r w:rsidRPr="00422E3B">
              <w:rPr>
                <w:rFonts w:ascii="Times New Roman" w:hAnsi="Times New Roman"/>
                <w:sz w:val="24"/>
                <w:szCs w:val="24"/>
              </w:rPr>
              <w:t>,</w:t>
            </w:r>
            <w:r w:rsidR="00F31E6F" w:rsidRPr="00422E3B">
              <w:rPr>
                <w:rFonts w:ascii="Times New Roman" w:hAnsi="Times New Roman"/>
                <w:sz w:val="24"/>
                <w:szCs w:val="24"/>
              </w:rPr>
              <w:t xml:space="preserve"> ar zivju tīkliem laikposmā no 1. aprīļa līdz 30. jūnijam </w:t>
            </w:r>
            <w:proofErr w:type="gramStart"/>
            <w:r w:rsidR="009763D4" w:rsidRPr="00422E3B">
              <w:rPr>
                <w:rFonts w:ascii="Times New Roman" w:hAnsi="Times New Roman"/>
                <w:sz w:val="24"/>
                <w:szCs w:val="24"/>
              </w:rPr>
              <w:t>2017.gadā</w:t>
            </w:r>
            <w:proofErr w:type="gramEnd"/>
            <w:r w:rsidR="00F31E6F" w:rsidRPr="00422E3B">
              <w:rPr>
                <w:rFonts w:ascii="Times New Roman" w:hAnsi="Times New Roman"/>
                <w:sz w:val="24"/>
                <w:szCs w:val="24"/>
              </w:rPr>
              <w:t xml:space="preserve"> ir </w:t>
            </w:r>
            <w:r w:rsidR="00FF135F" w:rsidRPr="00422E3B">
              <w:rPr>
                <w:rFonts w:ascii="Times New Roman" w:hAnsi="Times New Roman"/>
                <w:sz w:val="24"/>
                <w:szCs w:val="24"/>
              </w:rPr>
              <w:t>iegūt</w:t>
            </w:r>
            <w:r w:rsidRPr="00422E3B">
              <w:rPr>
                <w:rFonts w:ascii="Times New Roman" w:hAnsi="Times New Roman"/>
                <w:sz w:val="24"/>
                <w:szCs w:val="24"/>
              </w:rPr>
              <w:t>i</w:t>
            </w:r>
            <w:r w:rsidR="00F31E6F" w:rsidRPr="00422E3B">
              <w:rPr>
                <w:rFonts w:ascii="Times New Roman" w:hAnsi="Times New Roman"/>
                <w:sz w:val="24"/>
                <w:szCs w:val="24"/>
              </w:rPr>
              <w:t xml:space="preserve"> 31,5% no šī gada kopējās apaļā jūrasgrunduļa nozvejas piekrastē un citu sugu piezvejas apjoms ir mazāks par 1%. Nīcas novada piekrastē gan komerciālajā, gan institūta veiktajā pētnieciskajā zvejā ir vērojama </w:t>
            </w:r>
            <w:r w:rsidRPr="00422E3B">
              <w:rPr>
                <w:rFonts w:ascii="Times New Roman" w:hAnsi="Times New Roman"/>
                <w:sz w:val="24"/>
                <w:szCs w:val="24"/>
              </w:rPr>
              <w:t>liela</w:t>
            </w:r>
            <w:r w:rsidR="00F31E6F" w:rsidRPr="00422E3B">
              <w:rPr>
                <w:rFonts w:ascii="Times New Roman" w:hAnsi="Times New Roman"/>
                <w:sz w:val="24"/>
                <w:szCs w:val="24"/>
              </w:rPr>
              <w:t xml:space="preserve"> šīs sugas īpatņu koncentrācija, tāpēc institūts atbalsta apaļā jūrasgrunduļa zvejas intensitātes palielināšanu </w:t>
            </w:r>
            <w:r w:rsidR="009763D4" w:rsidRPr="00422E3B">
              <w:rPr>
                <w:rFonts w:ascii="Times New Roman" w:hAnsi="Times New Roman"/>
                <w:sz w:val="24"/>
                <w:szCs w:val="24"/>
              </w:rPr>
              <w:t>p</w:t>
            </w:r>
            <w:r w:rsidR="00F31E6F" w:rsidRPr="00422E3B">
              <w:rPr>
                <w:rFonts w:ascii="Times New Roman" w:hAnsi="Times New Roman"/>
                <w:sz w:val="24"/>
                <w:szCs w:val="24"/>
              </w:rPr>
              <w:t xml:space="preserve">ar 100 </w:t>
            </w:r>
            <w:r w:rsidR="009763D4" w:rsidRPr="00422E3B">
              <w:rPr>
                <w:rFonts w:ascii="Times New Roman" w:hAnsi="Times New Roman"/>
                <w:sz w:val="24"/>
                <w:szCs w:val="24"/>
              </w:rPr>
              <w:t xml:space="preserve">grunts </w:t>
            </w:r>
            <w:r w:rsidR="00F31E6F" w:rsidRPr="00422E3B">
              <w:rPr>
                <w:rFonts w:ascii="Times New Roman" w:hAnsi="Times New Roman"/>
                <w:sz w:val="24"/>
                <w:szCs w:val="24"/>
              </w:rPr>
              <w:t>zivju tīkliem ar acs izmēru no 60</w:t>
            </w:r>
            <w:r w:rsidRPr="00422E3B">
              <w:rPr>
                <w:rFonts w:ascii="Times New Roman" w:hAnsi="Times New Roman"/>
                <w:sz w:val="24"/>
                <w:szCs w:val="24"/>
              </w:rPr>
              <w:t xml:space="preserve"> līdz </w:t>
            </w:r>
            <w:r w:rsidR="00F31E6F" w:rsidRPr="00422E3B">
              <w:rPr>
                <w:rFonts w:ascii="Times New Roman" w:hAnsi="Times New Roman"/>
                <w:sz w:val="24"/>
                <w:szCs w:val="24"/>
              </w:rPr>
              <w:t>70 mm laikposmā no 1. aprīļa līdz 30. jūnijam</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00F31E6F" w:rsidRPr="00422E3B">
              <w:rPr>
                <w:rFonts w:ascii="Times New Roman" w:hAnsi="Times New Roman"/>
                <w:sz w:val="24"/>
                <w:szCs w:val="24"/>
              </w:rPr>
              <w:t>;</w:t>
            </w:r>
          </w:p>
          <w:p w14:paraId="76037C27" w14:textId="0E30DFE4" w:rsidR="00F31E6F" w:rsidRPr="00422E3B" w:rsidRDefault="00EA2A6B"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1.2.</w:t>
            </w:r>
            <w:r w:rsidR="00F31E6F" w:rsidRPr="00422E3B">
              <w:rPr>
                <w:rFonts w:ascii="Times New Roman" w:hAnsi="Times New Roman"/>
                <w:sz w:val="24"/>
                <w:szCs w:val="24"/>
              </w:rPr>
              <w:t xml:space="preserve"> </w:t>
            </w:r>
            <w:r w:rsidR="00F31E6F" w:rsidRPr="00422E3B">
              <w:rPr>
                <w:rFonts w:ascii="Times New Roman" w:hAnsi="Times New Roman"/>
                <w:sz w:val="24"/>
                <w:szCs w:val="24"/>
                <w:u w:val="single"/>
              </w:rPr>
              <w:t>Pāvilostas novada pašvaldības</w:t>
            </w:r>
            <w:r w:rsidR="00F31E6F" w:rsidRPr="00422E3B">
              <w:rPr>
                <w:rFonts w:ascii="Times New Roman" w:hAnsi="Times New Roman"/>
                <w:sz w:val="24"/>
                <w:szCs w:val="24"/>
              </w:rPr>
              <w:t xml:space="preserve"> ierosinājums </w:t>
            </w:r>
            <w:r w:rsidR="009763D4" w:rsidRPr="00422E3B">
              <w:rPr>
                <w:rFonts w:ascii="Times New Roman" w:hAnsi="Times New Roman"/>
                <w:sz w:val="24"/>
                <w:szCs w:val="24"/>
              </w:rPr>
              <w:t xml:space="preserve">apaļā jūrasgrunduļa zvejai </w:t>
            </w:r>
            <w:r w:rsidR="005450C9" w:rsidRPr="00422E3B">
              <w:rPr>
                <w:rFonts w:ascii="Times New Roman" w:hAnsi="Times New Roman"/>
                <w:sz w:val="24"/>
                <w:szCs w:val="24"/>
              </w:rPr>
              <w:t xml:space="preserve">papildus </w:t>
            </w:r>
            <w:r w:rsidR="00F31E6F" w:rsidRPr="00422E3B">
              <w:rPr>
                <w:rFonts w:ascii="Times New Roman" w:hAnsi="Times New Roman"/>
                <w:sz w:val="24"/>
                <w:szCs w:val="24"/>
              </w:rPr>
              <w:t xml:space="preserve">piešķirt 24 zivju murdus, 7 lucīšu murdus, 1 reņģu stāvvadu un atļaut </w:t>
            </w:r>
            <w:proofErr w:type="spellStart"/>
            <w:r w:rsidR="00F31E6F" w:rsidRPr="00422E3B">
              <w:rPr>
                <w:rFonts w:ascii="Times New Roman" w:hAnsi="Times New Roman"/>
                <w:sz w:val="24"/>
                <w:szCs w:val="24"/>
              </w:rPr>
              <w:lastRenderedPageBreak/>
              <w:t>komerczvej</w:t>
            </w:r>
            <w:r w:rsidR="009763D4" w:rsidRPr="00422E3B">
              <w:rPr>
                <w:rFonts w:ascii="Times New Roman" w:hAnsi="Times New Roman"/>
                <w:sz w:val="24"/>
                <w:szCs w:val="24"/>
              </w:rPr>
              <w:t>ā</w:t>
            </w:r>
            <w:proofErr w:type="spellEnd"/>
            <w:r w:rsidR="00F31E6F" w:rsidRPr="00422E3B">
              <w:rPr>
                <w:rFonts w:ascii="Times New Roman" w:hAnsi="Times New Roman"/>
                <w:sz w:val="24"/>
                <w:szCs w:val="24"/>
              </w:rPr>
              <w:t xml:space="preserve"> </w:t>
            </w:r>
            <w:r w:rsidR="009763D4" w:rsidRPr="00422E3B">
              <w:rPr>
                <w:rFonts w:ascii="Times New Roman" w:hAnsi="Times New Roman"/>
                <w:sz w:val="24"/>
                <w:szCs w:val="24"/>
              </w:rPr>
              <w:t xml:space="preserve">izmantot </w:t>
            </w:r>
            <w:r w:rsidR="00F31E6F" w:rsidRPr="00422E3B">
              <w:rPr>
                <w:rFonts w:ascii="Times New Roman" w:hAnsi="Times New Roman"/>
                <w:sz w:val="24"/>
                <w:szCs w:val="24"/>
              </w:rPr>
              <w:t>50% no pašvaldības piešķirtajiem zivju tīkliem kā grunts tīklus ar acs izmēru no 60</w:t>
            </w:r>
            <w:r w:rsidR="005450C9" w:rsidRPr="00422E3B">
              <w:rPr>
                <w:rFonts w:ascii="Times New Roman" w:hAnsi="Times New Roman"/>
                <w:sz w:val="24"/>
                <w:szCs w:val="24"/>
              </w:rPr>
              <w:t xml:space="preserve"> līdz </w:t>
            </w:r>
            <w:r w:rsidR="00F31E6F" w:rsidRPr="00422E3B">
              <w:rPr>
                <w:rFonts w:ascii="Times New Roman" w:hAnsi="Times New Roman"/>
                <w:sz w:val="24"/>
                <w:szCs w:val="24"/>
              </w:rPr>
              <w:t>70 mm apaļo jūrasgrunduļu zvejai ir daļēji atbalst</w:t>
            </w:r>
            <w:r w:rsidRPr="00422E3B">
              <w:rPr>
                <w:rFonts w:ascii="Times New Roman" w:hAnsi="Times New Roman"/>
                <w:sz w:val="24"/>
                <w:szCs w:val="24"/>
              </w:rPr>
              <w:t>īts</w:t>
            </w:r>
            <w:r w:rsidR="00F31E6F" w:rsidRPr="00422E3B">
              <w:rPr>
                <w:rFonts w:ascii="Times New Roman" w:hAnsi="Times New Roman"/>
                <w:sz w:val="24"/>
                <w:szCs w:val="24"/>
              </w:rPr>
              <w:t xml:space="preserve">. </w:t>
            </w:r>
          </w:p>
          <w:p w14:paraId="03942DA3" w14:textId="24D13A26" w:rsidR="0084221F" w:rsidRPr="00422E3B" w:rsidRDefault="00F31E6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Lai veicinātu apaļā jūrasgrunduļa nozveju, institūts Pāvilostas novadam ir ierosinājis piešķirt 10 apaļo jūrasgrunduļu murdu</w:t>
            </w:r>
            <w:r w:rsidR="00EA2A6B"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EA2A6B" w:rsidRPr="00422E3B">
              <w:rPr>
                <w:rFonts w:ascii="Times New Roman" w:hAnsi="Times New Roman"/>
                <w:sz w:val="24"/>
                <w:szCs w:val="24"/>
              </w:rPr>
              <w:t>.</w:t>
            </w:r>
            <w:r w:rsidR="00E22A13" w:rsidRPr="00422E3B">
              <w:rPr>
                <w:rFonts w:ascii="Times New Roman" w:hAnsi="Times New Roman"/>
                <w:sz w:val="24"/>
                <w:szCs w:val="24"/>
              </w:rPr>
              <w:t xml:space="preserve"> </w:t>
            </w:r>
            <w:r w:rsidR="00EA2A6B" w:rsidRPr="00422E3B">
              <w:rPr>
                <w:rFonts w:ascii="Times New Roman" w:hAnsi="Times New Roman"/>
                <w:sz w:val="24"/>
                <w:szCs w:val="24"/>
              </w:rPr>
              <w:t>apakšpunkts)</w:t>
            </w:r>
            <w:r w:rsidRPr="00422E3B">
              <w:rPr>
                <w:rFonts w:ascii="Times New Roman" w:hAnsi="Times New Roman"/>
                <w:sz w:val="24"/>
                <w:szCs w:val="24"/>
              </w:rPr>
              <w:t>. Tā kā tas ir jauns zvejas rīks, sākotnēji, nosakot rīku skaitu, ir nepieciešams ievērot piesardzī</w:t>
            </w:r>
            <w:r w:rsidR="005450C9" w:rsidRPr="00422E3B">
              <w:rPr>
                <w:rFonts w:ascii="Times New Roman" w:hAnsi="Times New Roman"/>
                <w:sz w:val="24"/>
                <w:szCs w:val="24"/>
              </w:rPr>
              <w:t>bu</w:t>
            </w:r>
            <w:r w:rsidRPr="00422E3B">
              <w:rPr>
                <w:rFonts w:ascii="Times New Roman" w:hAnsi="Times New Roman"/>
                <w:sz w:val="24"/>
                <w:szCs w:val="24"/>
              </w:rPr>
              <w:t xml:space="preserve">. Rīku skaita palielinājums ir iespējams pēc zvejas rezultātu </w:t>
            </w:r>
            <w:r w:rsidR="009763D4" w:rsidRPr="00422E3B">
              <w:rPr>
                <w:rFonts w:ascii="Times New Roman" w:hAnsi="Times New Roman"/>
                <w:sz w:val="24"/>
                <w:szCs w:val="24"/>
              </w:rPr>
              <w:t xml:space="preserve">un ietekmes uz citām zivju sugām </w:t>
            </w:r>
            <w:r w:rsidRPr="00422E3B">
              <w:rPr>
                <w:rFonts w:ascii="Times New Roman" w:hAnsi="Times New Roman"/>
                <w:sz w:val="24"/>
                <w:szCs w:val="24"/>
              </w:rPr>
              <w:t>izvērtēšanas. Institūts ierosina Pāvilostas novad</w:t>
            </w:r>
            <w:r w:rsidR="00151E40" w:rsidRPr="00422E3B">
              <w:rPr>
                <w:rFonts w:ascii="Times New Roman" w:hAnsi="Times New Roman"/>
                <w:sz w:val="24"/>
                <w:szCs w:val="24"/>
              </w:rPr>
              <w:t>am</w:t>
            </w:r>
            <w:r w:rsidRPr="00422E3B">
              <w:rPr>
                <w:rFonts w:ascii="Times New Roman" w:hAnsi="Times New Roman"/>
                <w:sz w:val="24"/>
                <w:szCs w:val="24"/>
              </w:rPr>
              <w:t xml:space="preserve"> laikposmā no 1.</w:t>
            </w:r>
            <w:r w:rsidR="005450C9" w:rsidRPr="00422E3B">
              <w:rPr>
                <w:rFonts w:ascii="Times New Roman" w:hAnsi="Times New Roman"/>
                <w:sz w:val="24"/>
                <w:szCs w:val="24"/>
              </w:rPr>
              <w:t> </w:t>
            </w:r>
            <w:r w:rsidRPr="00422E3B">
              <w:rPr>
                <w:rFonts w:ascii="Times New Roman" w:hAnsi="Times New Roman"/>
                <w:sz w:val="24"/>
                <w:szCs w:val="24"/>
              </w:rPr>
              <w:t xml:space="preserve">aprīļa līdz 30. jūnijam </w:t>
            </w:r>
            <w:r w:rsidR="00151E40" w:rsidRPr="00422E3B">
              <w:rPr>
                <w:rFonts w:ascii="Times New Roman" w:hAnsi="Times New Roman"/>
                <w:sz w:val="24"/>
                <w:szCs w:val="24"/>
              </w:rPr>
              <w:t xml:space="preserve">apaļo jūrasgrunduļu zvejai papildus piešķirt </w:t>
            </w:r>
            <w:r w:rsidRPr="00422E3B">
              <w:rPr>
                <w:rFonts w:ascii="Times New Roman" w:hAnsi="Times New Roman"/>
                <w:sz w:val="24"/>
                <w:szCs w:val="24"/>
              </w:rPr>
              <w:t xml:space="preserve">100 </w:t>
            </w:r>
            <w:r w:rsidR="009763D4" w:rsidRPr="00422E3B">
              <w:rPr>
                <w:rFonts w:ascii="Times New Roman" w:hAnsi="Times New Roman"/>
                <w:sz w:val="24"/>
                <w:szCs w:val="24"/>
              </w:rPr>
              <w:t xml:space="preserve">grunts </w:t>
            </w:r>
            <w:r w:rsidRPr="00422E3B">
              <w:rPr>
                <w:rFonts w:ascii="Times New Roman" w:hAnsi="Times New Roman"/>
                <w:sz w:val="24"/>
                <w:szCs w:val="24"/>
              </w:rPr>
              <w:t>zivju tīkl</w:t>
            </w:r>
            <w:r w:rsidR="00151E40" w:rsidRPr="00422E3B">
              <w:rPr>
                <w:rFonts w:ascii="Times New Roman" w:hAnsi="Times New Roman"/>
                <w:sz w:val="24"/>
                <w:szCs w:val="24"/>
              </w:rPr>
              <w:t>u</w:t>
            </w:r>
            <w:r w:rsidRPr="00422E3B">
              <w:rPr>
                <w:rFonts w:ascii="Times New Roman" w:hAnsi="Times New Roman"/>
                <w:sz w:val="24"/>
                <w:szCs w:val="24"/>
              </w:rPr>
              <w:t xml:space="preserve"> ar acs izmēru no 60</w:t>
            </w:r>
            <w:r w:rsidR="005450C9" w:rsidRPr="00422E3B">
              <w:rPr>
                <w:rFonts w:ascii="Times New Roman" w:hAnsi="Times New Roman"/>
                <w:sz w:val="24"/>
                <w:szCs w:val="24"/>
              </w:rPr>
              <w:t xml:space="preserve"> līdz </w:t>
            </w:r>
            <w:r w:rsidRPr="00422E3B">
              <w:rPr>
                <w:rFonts w:ascii="Times New Roman" w:hAnsi="Times New Roman"/>
                <w:sz w:val="24"/>
                <w:szCs w:val="24"/>
              </w:rPr>
              <w:t xml:space="preserve">70 mm </w:t>
            </w:r>
            <w:r w:rsidR="0084221F" w:rsidRPr="00422E3B">
              <w:rPr>
                <w:rFonts w:ascii="Times New Roman" w:hAnsi="Times New Roman"/>
                <w:sz w:val="24"/>
                <w:szCs w:val="24"/>
              </w:rPr>
              <w:t>(noteikumu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Pr="00422E3B">
              <w:rPr>
                <w:rFonts w:ascii="Times New Roman" w:hAnsi="Times New Roman"/>
                <w:sz w:val="24"/>
                <w:szCs w:val="24"/>
              </w:rPr>
              <w:t xml:space="preserve">. </w:t>
            </w:r>
          </w:p>
          <w:p w14:paraId="34062A91" w14:textId="215691D4" w:rsidR="00F31E6F" w:rsidRPr="00422E3B" w:rsidRDefault="005450C9"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Pamatojo</w:t>
            </w:r>
            <w:r w:rsidR="00F31E6F" w:rsidRPr="00422E3B">
              <w:rPr>
                <w:rFonts w:ascii="Times New Roman" w:hAnsi="Times New Roman"/>
                <w:sz w:val="24"/>
                <w:szCs w:val="24"/>
              </w:rPr>
              <w:t>ties uz piekrastes zvejas žurnāl</w:t>
            </w:r>
            <w:r w:rsidRPr="00422E3B">
              <w:rPr>
                <w:rFonts w:ascii="Times New Roman" w:hAnsi="Times New Roman"/>
                <w:sz w:val="24"/>
                <w:szCs w:val="24"/>
              </w:rPr>
              <w:t>u informāciju</w:t>
            </w:r>
            <w:r w:rsidR="00F31E6F" w:rsidRPr="00422E3B">
              <w:rPr>
                <w:rFonts w:ascii="Times New Roman" w:hAnsi="Times New Roman"/>
                <w:sz w:val="24"/>
                <w:szCs w:val="24"/>
              </w:rPr>
              <w:t xml:space="preserve">, 2016. gadā ar lucīšu murdiem Pāvilostā ir nozvejoti tikai apaļie jūrasgrunduļi. No apaļā jūrasgrunduļa kopējās nozvejas piekrastē vidēji mazāk par 7% tiek </w:t>
            </w:r>
            <w:r w:rsidR="00151E40" w:rsidRPr="00422E3B">
              <w:rPr>
                <w:rFonts w:ascii="Times New Roman" w:hAnsi="Times New Roman"/>
                <w:sz w:val="24"/>
                <w:szCs w:val="24"/>
              </w:rPr>
              <w:t>iegūti</w:t>
            </w:r>
            <w:r w:rsidR="00F31E6F" w:rsidRPr="00422E3B">
              <w:rPr>
                <w:rFonts w:ascii="Times New Roman" w:hAnsi="Times New Roman"/>
                <w:sz w:val="24"/>
                <w:szCs w:val="24"/>
              </w:rPr>
              <w:t xml:space="preserve"> ar lucīšu murdiem, tāpēc institūts neatbalsta lucīšu murdu skaita palielināšanu Pāvilostas novadā un uzskata, ka efektīvāka apaļo jūrasgrunduļu zveja ir iespējama ar apaļo jūrasgrunduļu murdiem.</w:t>
            </w:r>
          </w:p>
          <w:p w14:paraId="2191104F" w14:textId="4074C95C" w:rsidR="00F31E6F" w:rsidRPr="00422E3B" w:rsidRDefault="00F31E6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Reņģu zveja ar stāvvadiem Pāvilostas novadā ir mainīga. Pēc institūta rīcībā esošās informācijas</w:t>
            </w:r>
            <w:r w:rsidR="005450C9" w:rsidRPr="00422E3B">
              <w:rPr>
                <w:rFonts w:ascii="Times New Roman" w:hAnsi="Times New Roman"/>
                <w:sz w:val="24"/>
                <w:szCs w:val="24"/>
              </w:rPr>
              <w:t>,</w:t>
            </w:r>
            <w:r w:rsidRPr="00422E3B">
              <w:rPr>
                <w:rFonts w:ascii="Times New Roman" w:hAnsi="Times New Roman"/>
                <w:sz w:val="24"/>
                <w:szCs w:val="24"/>
              </w:rPr>
              <w:t xml:space="preserve"> 2016. gadā Pāvilostas novadā reņģes pēc svara veidoja 45% no stāvvadu loma sastāva, savukārt šogad ievērojamā daudzumā tiek zvejoti apaļie jūrasgrunduļi un vējzivis, bet reņģes nozvejas nepārsniedz 6%. </w:t>
            </w:r>
            <w:r w:rsidR="005450C9" w:rsidRPr="00422E3B">
              <w:rPr>
                <w:rFonts w:ascii="Times New Roman" w:hAnsi="Times New Roman"/>
                <w:sz w:val="24"/>
                <w:szCs w:val="24"/>
              </w:rPr>
              <w:t>Tā kā</w:t>
            </w:r>
            <w:r w:rsidRPr="00422E3B">
              <w:rPr>
                <w:rFonts w:ascii="Times New Roman" w:hAnsi="Times New Roman"/>
                <w:sz w:val="24"/>
                <w:szCs w:val="24"/>
              </w:rPr>
              <w:t xml:space="preserve"> Starptautiskās </w:t>
            </w:r>
            <w:r w:rsidR="005450C9" w:rsidRPr="00422E3B">
              <w:rPr>
                <w:rFonts w:ascii="Times New Roman" w:hAnsi="Times New Roman"/>
                <w:sz w:val="24"/>
                <w:szCs w:val="24"/>
              </w:rPr>
              <w:t>J</w:t>
            </w:r>
            <w:r w:rsidRPr="00422E3B">
              <w:rPr>
                <w:rFonts w:ascii="Times New Roman" w:hAnsi="Times New Roman"/>
                <w:sz w:val="24"/>
                <w:szCs w:val="24"/>
              </w:rPr>
              <w:t>ūras pētniecības padomes veiktā zivju krājumu analītiskā novērtējuma</w:t>
            </w:r>
            <w:r w:rsidR="005450C9" w:rsidRPr="00422E3B">
              <w:rPr>
                <w:rFonts w:ascii="Times New Roman" w:hAnsi="Times New Roman"/>
                <w:sz w:val="24"/>
                <w:szCs w:val="24"/>
              </w:rPr>
              <w:t xml:space="preserve"> rezultāti </w:t>
            </w:r>
            <w:r w:rsidR="00984558" w:rsidRPr="00422E3B">
              <w:rPr>
                <w:rFonts w:ascii="Times New Roman" w:hAnsi="Times New Roman"/>
                <w:sz w:val="24"/>
                <w:szCs w:val="24"/>
              </w:rPr>
              <w:t>(</w:t>
            </w:r>
            <w:hyperlink r:id="rId8" w:history="1">
              <w:r w:rsidR="00984558" w:rsidRPr="00422E3B">
                <w:rPr>
                  <w:rStyle w:val="Hipersaite"/>
                  <w:rFonts w:ascii="Times New Roman" w:hAnsi="Times New Roman"/>
                  <w:color w:val="auto"/>
                  <w:sz w:val="24"/>
                  <w:szCs w:val="24"/>
                </w:rPr>
                <w:t>http://ices.dk/sites/pub/Publication%20Reports/Advice/2017/2017/her.27.25-2932.pdf</w:t>
              </w:r>
            </w:hyperlink>
            <w:r w:rsidR="00984558" w:rsidRPr="00422E3B">
              <w:rPr>
                <w:rFonts w:ascii="Times New Roman" w:hAnsi="Times New Roman"/>
                <w:sz w:val="24"/>
                <w:szCs w:val="24"/>
              </w:rPr>
              <w:t xml:space="preserve">) </w:t>
            </w:r>
            <w:r w:rsidR="005450C9" w:rsidRPr="00422E3B">
              <w:rPr>
                <w:rFonts w:ascii="Times New Roman" w:hAnsi="Times New Roman"/>
                <w:sz w:val="24"/>
                <w:szCs w:val="24"/>
              </w:rPr>
              <w:t>liecina, ka</w:t>
            </w:r>
            <w:r w:rsidRPr="00422E3B">
              <w:rPr>
                <w:rFonts w:ascii="Times New Roman" w:hAnsi="Times New Roman"/>
                <w:sz w:val="24"/>
                <w:szCs w:val="24"/>
              </w:rPr>
              <w:t xml:space="preserve"> pēdējos gados reņģ</w:t>
            </w:r>
            <w:r w:rsidR="005450C9" w:rsidRPr="00422E3B">
              <w:rPr>
                <w:rFonts w:ascii="Times New Roman" w:hAnsi="Times New Roman"/>
                <w:sz w:val="24"/>
                <w:szCs w:val="24"/>
              </w:rPr>
              <w:t>u</w:t>
            </w:r>
            <w:r w:rsidRPr="00422E3B">
              <w:rPr>
                <w:rFonts w:ascii="Times New Roman" w:hAnsi="Times New Roman"/>
                <w:sz w:val="24"/>
                <w:szCs w:val="24"/>
              </w:rPr>
              <w:t xml:space="preserve"> daudzums Baltijas jūras atklātajā daļā ir p</w:t>
            </w:r>
            <w:r w:rsidR="005450C9" w:rsidRPr="00422E3B">
              <w:rPr>
                <w:rFonts w:ascii="Times New Roman" w:hAnsi="Times New Roman"/>
                <w:sz w:val="24"/>
                <w:szCs w:val="24"/>
              </w:rPr>
              <w:t>alielinājies</w:t>
            </w:r>
            <w:r w:rsidRPr="00422E3B">
              <w:rPr>
                <w:rFonts w:ascii="Times New Roman" w:hAnsi="Times New Roman"/>
                <w:sz w:val="24"/>
                <w:szCs w:val="24"/>
              </w:rPr>
              <w:t xml:space="preserve"> un pārējām Pāvilostas novada reņģu stāvvadu piezvejā dominējošajām sugām nav </w:t>
            </w:r>
            <w:r w:rsidR="00151E40" w:rsidRPr="00422E3B">
              <w:rPr>
                <w:rFonts w:ascii="Times New Roman" w:hAnsi="Times New Roman"/>
                <w:sz w:val="24"/>
                <w:szCs w:val="24"/>
              </w:rPr>
              <w:t>noteikti nozvejas limiti, i</w:t>
            </w:r>
            <w:r w:rsidRPr="00422E3B">
              <w:rPr>
                <w:rFonts w:ascii="Times New Roman" w:hAnsi="Times New Roman"/>
                <w:sz w:val="24"/>
                <w:szCs w:val="24"/>
              </w:rPr>
              <w:t xml:space="preserve">nstitūts atbalsta ierosinājumu Pāvilostas novadā </w:t>
            </w:r>
            <w:r w:rsidR="005450C9" w:rsidRPr="00422E3B">
              <w:rPr>
                <w:rFonts w:ascii="Times New Roman" w:hAnsi="Times New Roman"/>
                <w:sz w:val="24"/>
                <w:szCs w:val="24"/>
              </w:rPr>
              <w:t xml:space="preserve">papildus </w:t>
            </w:r>
            <w:r w:rsidRPr="00422E3B">
              <w:rPr>
                <w:rFonts w:ascii="Times New Roman" w:hAnsi="Times New Roman"/>
                <w:sz w:val="24"/>
                <w:szCs w:val="24"/>
              </w:rPr>
              <w:t xml:space="preserve">piešķirt </w:t>
            </w:r>
            <w:r w:rsidR="005450C9" w:rsidRPr="00422E3B">
              <w:rPr>
                <w:rFonts w:ascii="Times New Roman" w:hAnsi="Times New Roman"/>
                <w:sz w:val="24"/>
                <w:szCs w:val="24"/>
              </w:rPr>
              <w:t>vienu</w:t>
            </w:r>
            <w:r w:rsidRPr="00422E3B">
              <w:rPr>
                <w:rFonts w:ascii="Times New Roman" w:hAnsi="Times New Roman"/>
                <w:sz w:val="24"/>
                <w:szCs w:val="24"/>
              </w:rPr>
              <w:t xml:space="preserve"> reņģu stāvvadu</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Pr="00422E3B">
              <w:rPr>
                <w:rFonts w:ascii="Times New Roman" w:hAnsi="Times New Roman"/>
                <w:sz w:val="24"/>
                <w:szCs w:val="24"/>
              </w:rPr>
              <w:t>;</w:t>
            </w:r>
          </w:p>
          <w:p w14:paraId="350040F3" w14:textId="625CF7C6" w:rsidR="00F31E6F" w:rsidRPr="00422E3B" w:rsidRDefault="0084221F" w:rsidP="00F31E6F">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1.3.</w:t>
            </w:r>
            <w:r w:rsidR="00F31E6F" w:rsidRPr="00422E3B">
              <w:rPr>
                <w:rFonts w:ascii="Times New Roman" w:hAnsi="Times New Roman"/>
                <w:sz w:val="24"/>
                <w:szCs w:val="24"/>
              </w:rPr>
              <w:t xml:space="preserve"> </w:t>
            </w:r>
            <w:r w:rsidR="00F31E6F" w:rsidRPr="00422E3B">
              <w:rPr>
                <w:rFonts w:ascii="Times New Roman" w:hAnsi="Times New Roman"/>
                <w:sz w:val="24"/>
                <w:szCs w:val="24"/>
                <w:u w:val="single"/>
              </w:rPr>
              <w:t>Rucavas novada pašvaldības</w:t>
            </w:r>
            <w:r w:rsidR="00F31E6F" w:rsidRPr="00422E3B">
              <w:rPr>
                <w:rFonts w:ascii="Times New Roman" w:hAnsi="Times New Roman"/>
                <w:sz w:val="24"/>
                <w:szCs w:val="24"/>
              </w:rPr>
              <w:t xml:space="preserve"> priekšlikums </w:t>
            </w:r>
            <w:r w:rsidR="005450C9" w:rsidRPr="00422E3B">
              <w:rPr>
                <w:rFonts w:ascii="Times New Roman" w:hAnsi="Times New Roman"/>
                <w:sz w:val="24"/>
                <w:szCs w:val="24"/>
              </w:rPr>
              <w:t xml:space="preserve">papildus </w:t>
            </w:r>
            <w:r w:rsidR="00F31E6F" w:rsidRPr="00422E3B">
              <w:rPr>
                <w:rFonts w:ascii="Times New Roman" w:hAnsi="Times New Roman"/>
                <w:sz w:val="24"/>
                <w:szCs w:val="24"/>
              </w:rPr>
              <w:t>piešķirt 30</w:t>
            </w:r>
            <w:r w:rsidR="005450C9" w:rsidRPr="00422E3B">
              <w:rPr>
                <w:rFonts w:ascii="Times New Roman" w:hAnsi="Times New Roman"/>
                <w:sz w:val="24"/>
                <w:szCs w:val="24"/>
              </w:rPr>
              <w:t> </w:t>
            </w:r>
            <w:r w:rsidR="00F31E6F" w:rsidRPr="00422E3B">
              <w:rPr>
                <w:rFonts w:ascii="Times New Roman" w:hAnsi="Times New Roman"/>
                <w:sz w:val="24"/>
                <w:szCs w:val="24"/>
              </w:rPr>
              <w:t>lucīšu murdu ir daļēji</w:t>
            </w:r>
            <w:r w:rsidRPr="00422E3B">
              <w:rPr>
                <w:rFonts w:ascii="Times New Roman" w:hAnsi="Times New Roman"/>
                <w:sz w:val="24"/>
                <w:szCs w:val="24"/>
              </w:rPr>
              <w:t xml:space="preserve"> atbalstīts</w:t>
            </w:r>
            <w:r w:rsidR="00F31E6F" w:rsidRPr="00422E3B">
              <w:rPr>
                <w:rFonts w:ascii="Times New Roman" w:hAnsi="Times New Roman"/>
                <w:sz w:val="24"/>
                <w:szCs w:val="24"/>
              </w:rPr>
              <w:t xml:space="preserve">. </w:t>
            </w:r>
          </w:p>
          <w:p w14:paraId="02F70A60" w14:textId="5637429A" w:rsidR="00F31E6F" w:rsidRPr="00422E3B" w:rsidRDefault="00F31E6F"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Saskaņā ar </w:t>
            </w:r>
            <w:r w:rsidR="00AD6BAC" w:rsidRPr="00422E3B">
              <w:rPr>
                <w:rFonts w:ascii="Times New Roman" w:hAnsi="Times New Roman"/>
                <w:sz w:val="24"/>
                <w:szCs w:val="24"/>
              </w:rPr>
              <w:t xml:space="preserve">MK noteikumu </w:t>
            </w:r>
            <w:r w:rsidR="0084221F" w:rsidRPr="00422E3B">
              <w:rPr>
                <w:rFonts w:ascii="Times New Roman" w:hAnsi="Times New Roman"/>
                <w:sz w:val="24"/>
                <w:szCs w:val="24"/>
              </w:rPr>
              <w:t xml:space="preserve">Nr.1375 </w:t>
            </w:r>
            <w:r w:rsidR="00AD6BAC" w:rsidRPr="00422E3B">
              <w:rPr>
                <w:rFonts w:ascii="Times New Roman" w:hAnsi="Times New Roman"/>
                <w:sz w:val="24"/>
                <w:szCs w:val="24"/>
              </w:rPr>
              <w:t>2</w:t>
            </w:r>
            <w:r w:rsidRPr="00422E3B">
              <w:rPr>
                <w:rFonts w:ascii="Times New Roman" w:hAnsi="Times New Roman"/>
                <w:sz w:val="24"/>
                <w:szCs w:val="24"/>
              </w:rPr>
              <w:t xml:space="preserve">. pielikumu Rucavas novadam </w:t>
            </w:r>
            <w:r w:rsidR="005450C9" w:rsidRPr="00422E3B">
              <w:rPr>
                <w:rFonts w:ascii="Times New Roman" w:hAnsi="Times New Roman"/>
                <w:sz w:val="24"/>
                <w:szCs w:val="24"/>
              </w:rPr>
              <w:t>patlaban</w:t>
            </w:r>
            <w:r w:rsidRPr="00422E3B">
              <w:rPr>
                <w:rFonts w:ascii="Times New Roman" w:hAnsi="Times New Roman"/>
                <w:sz w:val="24"/>
                <w:szCs w:val="24"/>
              </w:rPr>
              <w:t xml:space="preserve"> nav attiecināts lucīšu murdu limits. </w:t>
            </w:r>
            <w:r w:rsidR="005450C9" w:rsidRPr="00422E3B">
              <w:rPr>
                <w:rFonts w:ascii="Times New Roman" w:hAnsi="Times New Roman"/>
                <w:sz w:val="24"/>
                <w:szCs w:val="24"/>
              </w:rPr>
              <w:t>Pamatojoties uz piekrastes zvejas žurnālu informāciju</w:t>
            </w:r>
            <w:r w:rsidRPr="00422E3B">
              <w:rPr>
                <w:rFonts w:ascii="Times New Roman" w:hAnsi="Times New Roman"/>
                <w:sz w:val="24"/>
                <w:szCs w:val="24"/>
              </w:rPr>
              <w:t>, Latvijas piekrastes dienvidrietumu daļā (Liepājas pilsēt</w:t>
            </w:r>
            <w:r w:rsidR="005450C9" w:rsidRPr="00422E3B">
              <w:rPr>
                <w:rFonts w:ascii="Times New Roman" w:hAnsi="Times New Roman"/>
                <w:sz w:val="24"/>
                <w:szCs w:val="24"/>
              </w:rPr>
              <w:t>ā</w:t>
            </w:r>
            <w:r w:rsidRPr="00422E3B">
              <w:rPr>
                <w:rFonts w:ascii="Times New Roman" w:hAnsi="Times New Roman"/>
                <w:sz w:val="24"/>
                <w:szCs w:val="24"/>
              </w:rPr>
              <w:t>, Nīcas un Pāvilostas novad</w:t>
            </w:r>
            <w:r w:rsidR="005450C9" w:rsidRPr="00422E3B">
              <w:rPr>
                <w:rFonts w:ascii="Times New Roman" w:hAnsi="Times New Roman"/>
                <w:sz w:val="24"/>
                <w:szCs w:val="24"/>
              </w:rPr>
              <w:t>ā</w:t>
            </w:r>
            <w:r w:rsidRPr="00422E3B">
              <w:rPr>
                <w:rFonts w:ascii="Times New Roman" w:hAnsi="Times New Roman"/>
                <w:sz w:val="24"/>
                <w:szCs w:val="24"/>
              </w:rPr>
              <w:t>) ar lucīšu murdiem pēdējos gados p</w:t>
            </w:r>
            <w:r w:rsidR="005450C9" w:rsidRPr="00422E3B">
              <w:rPr>
                <w:rFonts w:ascii="Times New Roman" w:hAnsi="Times New Roman"/>
                <w:sz w:val="24"/>
                <w:szCs w:val="24"/>
              </w:rPr>
              <w:t>ārsvarā</w:t>
            </w:r>
            <w:r w:rsidRPr="00422E3B">
              <w:rPr>
                <w:rFonts w:ascii="Times New Roman" w:hAnsi="Times New Roman"/>
                <w:sz w:val="24"/>
                <w:szCs w:val="24"/>
              </w:rPr>
              <w:t xml:space="preserve"> tiek zvejoti apaļie jūrasgrunduļi. Pēc </w:t>
            </w:r>
            <w:r w:rsidR="00AD6BAC" w:rsidRPr="00422E3B">
              <w:rPr>
                <w:rFonts w:ascii="Times New Roman" w:hAnsi="Times New Roman"/>
                <w:sz w:val="24"/>
                <w:szCs w:val="24"/>
              </w:rPr>
              <w:t>i</w:t>
            </w:r>
            <w:r w:rsidRPr="00422E3B">
              <w:rPr>
                <w:rFonts w:ascii="Times New Roman" w:hAnsi="Times New Roman"/>
                <w:sz w:val="24"/>
                <w:szCs w:val="24"/>
              </w:rPr>
              <w:t>nstitūta rīcībā esošās informācijas</w:t>
            </w:r>
            <w:r w:rsidR="005450C9" w:rsidRPr="00422E3B">
              <w:rPr>
                <w:rFonts w:ascii="Times New Roman" w:hAnsi="Times New Roman"/>
                <w:sz w:val="24"/>
                <w:szCs w:val="24"/>
              </w:rPr>
              <w:t>,</w:t>
            </w:r>
            <w:r w:rsidRPr="00422E3B">
              <w:rPr>
                <w:rFonts w:ascii="Times New Roman" w:hAnsi="Times New Roman"/>
                <w:sz w:val="24"/>
                <w:szCs w:val="24"/>
              </w:rPr>
              <w:t xml:space="preserve"> 2016. gadā Latvijas piekrastes dienvidrietumu daļā apaļais jūrasgrundulis pēc svara veidoja 96% no lucīšu murdu loma sastāva, tāpēc domājams, ka lucīšu murdu izmantošana Rucavas novadā ir paredzēta apaļā jūrasgrunduļa zvejai</w:t>
            </w:r>
            <w:r w:rsidR="005450C9" w:rsidRPr="00422E3B">
              <w:rPr>
                <w:rFonts w:ascii="Times New Roman" w:hAnsi="Times New Roman"/>
                <w:sz w:val="24"/>
                <w:szCs w:val="24"/>
              </w:rPr>
              <w:t>.</w:t>
            </w:r>
            <w:r w:rsidRPr="00422E3B">
              <w:rPr>
                <w:rFonts w:ascii="Times New Roman" w:hAnsi="Times New Roman"/>
                <w:sz w:val="24"/>
                <w:szCs w:val="24"/>
              </w:rPr>
              <w:t xml:space="preserve"> </w:t>
            </w:r>
            <w:r w:rsidR="005450C9" w:rsidRPr="00422E3B">
              <w:rPr>
                <w:rFonts w:ascii="Times New Roman" w:hAnsi="Times New Roman"/>
                <w:sz w:val="24"/>
                <w:szCs w:val="24"/>
              </w:rPr>
              <w:t>Ievērojot minēto,</w:t>
            </w:r>
            <w:r w:rsidRPr="00422E3B">
              <w:rPr>
                <w:rFonts w:ascii="Times New Roman" w:hAnsi="Times New Roman"/>
                <w:sz w:val="24"/>
                <w:szCs w:val="24"/>
              </w:rPr>
              <w:t xml:space="preserve"> </w:t>
            </w:r>
            <w:r w:rsidR="00AD6BAC" w:rsidRPr="00422E3B">
              <w:rPr>
                <w:rFonts w:ascii="Times New Roman" w:hAnsi="Times New Roman"/>
                <w:sz w:val="24"/>
                <w:szCs w:val="24"/>
              </w:rPr>
              <w:t>i</w:t>
            </w:r>
            <w:r w:rsidRPr="00422E3B">
              <w:rPr>
                <w:rFonts w:ascii="Times New Roman" w:hAnsi="Times New Roman"/>
                <w:sz w:val="24"/>
                <w:szCs w:val="24"/>
              </w:rPr>
              <w:t>nstitūts neatbalsta lucīšu murdu limita noteikšanu, bet, lai veicinātu apaļā jūrasgrunduļa nozveju, ierosina Rucavas novadam piešķirt 10 apaļo jūrasgrunduļu murdu</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00AD6BAC" w:rsidRPr="00422E3B">
              <w:rPr>
                <w:rFonts w:ascii="Times New Roman" w:hAnsi="Times New Roman"/>
                <w:sz w:val="24"/>
                <w:szCs w:val="24"/>
              </w:rPr>
              <w:t>;</w:t>
            </w:r>
          </w:p>
          <w:p w14:paraId="023BB4F2" w14:textId="2102F460" w:rsidR="00AD6BAC" w:rsidRPr="00422E3B" w:rsidRDefault="0084221F"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1.4.</w:t>
            </w:r>
            <w:r w:rsidR="00AD6BAC" w:rsidRPr="00422E3B">
              <w:rPr>
                <w:rFonts w:ascii="Times New Roman" w:hAnsi="Times New Roman"/>
                <w:sz w:val="24"/>
                <w:szCs w:val="24"/>
              </w:rPr>
              <w:t xml:space="preserve"> </w:t>
            </w:r>
            <w:r w:rsidR="00AD6BAC" w:rsidRPr="00422E3B">
              <w:rPr>
                <w:rFonts w:ascii="Times New Roman" w:hAnsi="Times New Roman"/>
                <w:sz w:val="24"/>
                <w:szCs w:val="24"/>
                <w:u w:val="single"/>
              </w:rPr>
              <w:t>Liepājas pilsētas pašvaldības</w:t>
            </w:r>
            <w:r w:rsidR="00AD6BAC" w:rsidRPr="00422E3B">
              <w:rPr>
                <w:rFonts w:ascii="Times New Roman" w:hAnsi="Times New Roman"/>
                <w:sz w:val="24"/>
                <w:szCs w:val="24"/>
              </w:rPr>
              <w:t xml:space="preserve"> priekšlikums palielināt zvejas rīku limitu par 50 tīkliem apaļā jūrasgrunduļa zvejai un 5 </w:t>
            </w:r>
            <w:proofErr w:type="spellStart"/>
            <w:r w:rsidR="00AD6BAC" w:rsidRPr="00422E3B">
              <w:rPr>
                <w:rFonts w:ascii="Times New Roman" w:hAnsi="Times New Roman"/>
                <w:sz w:val="24"/>
                <w:szCs w:val="24"/>
              </w:rPr>
              <w:t>sīkzivju</w:t>
            </w:r>
            <w:proofErr w:type="spellEnd"/>
            <w:r w:rsidR="00AD6BAC" w:rsidRPr="00422E3B">
              <w:rPr>
                <w:rFonts w:ascii="Times New Roman" w:hAnsi="Times New Roman"/>
                <w:sz w:val="24"/>
                <w:szCs w:val="24"/>
              </w:rPr>
              <w:t xml:space="preserve"> murdiem ir daļēji</w:t>
            </w:r>
            <w:r w:rsidRPr="00422E3B">
              <w:rPr>
                <w:rFonts w:ascii="Times New Roman" w:hAnsi="Times New Roman"/>
                <w:sz w:val="24"/>
                <w:szCs w:val="24"/>
              </w:rPr>
              <w:t xml:space="preserve"> atbalstīts</w:t>
            </w:r>
            <w:r w:rsidR="00AD6BAC" w:rsidRPr="00422E3B">
              <w:rPr>
                <w:rFonts w:ascii="Times New Roman" w:hAnsi="Times New Roman"/>
                <w:sz w:val="24"/>
                <w:szCs w:val="24"/>
              </w:rPr>
              <w:t xml:space="preserve">. </w:t>
            </w:r>
            <w:r w:rsidR="005E5BB8" w:rsidRPr="00422E3B">
              <w:rPr>
                <w:rFonts w:ascii="Times New Roman" w:hAnsi="Times New Roman"/>
                <w:sz w:val="24"/>
                <w:szCs w:val="24"/>
              </w:rPr>
              <w:t>Pašval</w:t>
            </w:r>
            <w:r w:rsidR="005450C9" w:rsidRPr="00422E3B">
              <w:rPr>
                <w:rFonts w:ascii="Times New Roman" w:hAnsi="Times New Roman"/>
                <w:sz w:val="24"/>
                <w:szCs w:val="24"/>
              </w:rPr>
              <w:t>d</w:t>
            </w:r>
            <w:r w:rsidR="005E5BB8" w:rsidRPr="00422E3B">
              <w:rPr>
                <w:rFonts w:ascii="Times New Roman" w:hAnsi="Times New Roman"/>
                <w:sz w:val="24"/>
                <w:szCs w:val="24"/>
              </w:rPr>
              <w:t>ības v</w:t>
            </w:r>
            <w:r w:rsidR="00AD6BAC" w:rsidRPr="00422E3B">
              <w:rPr>
                <w:rFonts w:ascii="Times New Roman" w:hAnsi="Times New Roman"/>
                <w:sz w:val="24"/>
                <w:szCs w:val="24"/>
              </w:rPr>
              <w:t>ēstules pielikumā esošajā ZS “OSKARS” iesniegumā pamatota minēto zvejas rīku izmantošana apaļā jūrasgrunduļa zvejā, kā arī tas, ka apaļā jūrasgrunduļa zveja ar lucīšu murdiem nav efektīva.</w:t>
            </w:r>
          </w:p>
          <w:p w14:paraId="42B4BBAA" w14:textId="4E22BEC9" w:rsidR="00AD6BAC" w:rsidRPr="00422E3B" w:rsidRDefault="00AD6BAC"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Lai veicinātu apaļā jūrasgrunduļa nozveju, </w:t>
            </w:r>
            <w:r w:rsidR="0084221F" w:rsidRPr="00422E3B">
              <w:rPr>
                <w:rFonts w:ascii="Times New Roman" w:hAnsi="Times New Roman"/>
                <w:sz w:val="24"/>
                <w:szCs w:val="24"/>
              </w:rPr>
              <w:t>i</w:t>
            </w:r>
            <w:r w:rsidRPr="00422E3B">
              <w:rPr>
                <w:rFonts w:ascii="Times New Roman" w:hAnsi="Times New Roman"/>
                <w:sz w:val="24"/>
                <w:szCs w:val="24"/>
              </w:rPr>
              <w:t>nstitūts ir ierosinājis Liepājas pilsētai piešķirt 12 apaļo jūrasgrunduļu murdu</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Pr="00422E3B">
              <w:rPr>
                <w:rFonts w:ascii="Times New Roman" w:hAnsi="Times New Roman"/>
                <w:sz w:val="24"/>
                <w:szCs w:val="24"/>
              </w:rPr>
              <w:t xml:space="preserve">, kā arī palielināt Liepājas pilsētai piešķirto zivju tīklu skaitu apaļā jūrasgrunduļa zvejai laikposmā no 1. </w:t>
            </w:r>
            <w:r w:rsidR="00E22A13" w:rsidRPr="00422E3B">
              <w:rPr>
                <w:rFonts w:ascii="Times New Roman" w:hAnsi="Times New Roman"/>
                <w:sz w:val="24"/>
                <w:szCs w:val="24"/>
              </w:rPr>
              <w:t> </w:t>
            </w:r>
            <w:r w:rsidRPr="00422E3B">
              <w:rPr>
                <w:rFonts w:ascii="Times New Roman" w:hAnsi="Times New Roman"/>
                <w:sz w:val="24"/>
                <w:szCs w:val="24"/>
              </w:rPr>
              <w:t xml:space="preserve">aprīļa līdz 30. jūnijam un atļaut zveju ar </w:t>
            </w:r>
            <w:r w:rsidRPr="00422E3B">
              <w:rPr>
                <w:rFonts w:ascii="Times New Roman" w:hAnsi="Times New Roman"/>
                <w:sz w:val="24"/>
                <w:szCs w:val="24"/>
              </w:rPr>
              <w:lastRenderedPageBreak/>
              <w:t>100 zivju tīkliem kā grunts tīkliem ar acs izmēru no 60</w:t>
            </w:r>
            <w:r w:rsidR="005450C9" w:rsidRPr="00422E3B">
              <w:rPr>
                <w:rFonts w:ascii="Times New Roman" w:hAnsi="Times New Roman"/>
                <w:sz w:val="24"/>
                <w:szCs w:val="24"/>
              </w:rPr>
              <w:t xml:space="preserve"> līdz </w:t>
            </w:r>
            <w:r w:rsidRPr="00422E3B">
              <w:rPr>
                <w:rFonts w:ascii="Times New Roman" w:hAnsi="Times New Roman"/>
                <w:sz w:val="24"/>
                <w:szCs w:val="24"/>
              </w:rPr>
              <w:t>70 mm apaļo jūrasgrunduļu zvejai</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Pr="00422E3B">
              <w:rPr>
                <w:rFonts w:ascii="Times New Roman" w:hAnsi="Times New Roman"/>
                <w:sz w:val="24"/>
                <w:szCs w:val="24"/>
              </w:rPr>
              <w:t>;</w:t>
            </w:r>
          </w:p>
          <w:p w14:paraId="13C547B5" w14:textId="63A2089A" w:rsidR="00AD6BAC" w:rsidRPr="00422E3B" w:rsidRDefault="0084221F"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1.5.</w:t>
            </w:r>
            <w:r w:rsidR="00AD6BAC" w:rsidRPr="00422E3B">
              <w:rPr>
                <w:rFonts w:ascii="Times New Roman" w:hAnsi="Times New Roman"/>
                <w:sz w:val="24"/>
                <w:szCs w:val="24"/>
              </w:rPr>
              <w:t xml:space="preserve"> </w:t>
            </w:r>
            <w:r w:rsidR="00AD6BAC" w:rsidRPr="00422E3B">
              <w:rPr>
                <w:rFonts w:ascii="Times New Roman" w:hAnsi="Times New Roman"/>
                <w:sz w:val="24"/>
                <w:szCs w:val="24"/>
                <w:u w:val="single"/>
              </w:rPr>
              <w:t>Ventspils pilsētas pašvaldības</w:t>
            </w:r>
            <w:r w:rsidR="00AD6BAC" w:rsidRPr="00422E3B">
              <w:rPr>
                <w:rFonts w:ascii="Times New Roman" w:hAnsi="Times New Roman"/>
                <w:sz w:val="24"/>
                <w:szCs w:val="24"/>
              </w:rPr>
              <w:t xml:space="preserve"> priekšlikums palielināt par 10%</w:t>
            </w:r>
            <w:r w:rsidR="00151E40" w:rsidRPr="00422E3B">
              <w:rPr>
                <w:rFonts w:ascii="Times New Roman" w:hAnsi="Times New Roman"/>
                <w:sz w:val="24"/>
                <w:szCs w:val="24"/>
              </w:rPr>
              <w:t xml:space="preserve"> Ventspils pilsētai piešķirto</w:t>
            </w:r>
            <w:r w:rsidR="00AD6BAC" w:rsidRPr="00422E3B">
              <w:rPr>
                <w:rFonts w:ascii="Times New Roman" w:hAnsi="Times New Roman"/>
                <w:sz w:val="24"/>
                <w:szCs w:val="24"/>
              </w:rPr>
              <w:t xml:space="preserve"> zivju un reņģu tīklu</w:t>
            </w:r>
            <w:r w:rsidR="00151E40" w:rsidRPr="00422E3B">
              <w:rPr>
                <w:rFonts w:ascii="Times New Roman" w:hAnsi="Times New Roman"/>
                <w:sz w:val="24"/>
                <w:szCs w:val="24"/>
              </w:rPr>
              <w:t xml:space="preserve"> limitu</w:t>
            </w:r>
            <w:r w:rsidR="00AD6BAC" w:rsidRPr="00422E3B">
              <w:rPr>
                <w:rFonts w:ascii="Times New Roman" w:hAnsi="Times New Roman"/>
                <w:sz w:val="24"/>
                <w:szCs w:val="24"/>
              </w:rPr>
              <w:t xml:space="preserve"> ir atbalst</w:t>
            </w:r>
            <w:r w:rsidRPr="00422E3B">
              <w:rPr>
                <w:rFonts w:ascii="Times New Roman" w:hAnsi="Times New Roman"/>
                <w:sz w:val="24"/>
                <w:szCs w:val="24"/>
              </w:rPr>
              <w:t>īts</w:t>
            </w:r>
            <w:r w:rsidR="00AD6BAC" w:rsidRPr="00422E3B">
              <w:rPr>
                <w:rFonts w:ascii="Times New Roman" w:hAnsi="Times New Roman"/>
                <w:sz w:val="24"/>
                <w:szCs w:val="24"/>
              </w:rPr>
              <w:t>.</w:t>
            </w:r>
          </w:p>
          <w:p w14:paraId="51E03BB8" w14:textId="7EC70BB3" w:rsidR="00AD6BAC" w:rsidRPr="00422E3B" w:rsidRDefault="005450C9"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Pamatojoties uz piekrastes zvejas žurnālu informāciju</w:t>
            </w:r>
            <w:r w:rsidR="00AD6BAC" w:rsidRPr="00422E3B">
              <w:rPr>
                <w:rFonts w:ascii="Times New Roman" w:hAnsi="Times New Roman"/>
                <w:sz w:val="24"/>
                <w:szCs w:val="24"/>
              </w:rPr>
              <w:t xml:space="preserve">, Ventspils pilsētas zivju tīklu nozvejā 2016. gadā dominējošās sugas bija vimba (24,8%), asaris (15,3%), plekste (14,1%) un menca (12,4%), savukārt nozvejā ar reņģu tīkliem 2016. gadā dominēja reņģe </w:t>
            </w:r>
            <w:proofErr w:type="gramStart"/>
            <w:r w:rsidR="00AD6BAC" w:rsidRPr="00422E3B">
              <w:rPr>
                <w:rFonts w:ascii="Times New Roman" w:hAnsi="Times New Roman"/>
                <w:sz w:val="24"/>
                <w:szCs w:val="24"/>
              </w:rPr>
              <w:t>(</w:t>
            </w:r>
            <w:proofErr w:type="gramEnd"/>
            <w:r w:rsidR="00AD6BAC" w:rsidRPr="00422E3B">
              <w:rPr>
                <w:rFonts w:ascii="Times New Roman" w:hAnsi="Times New Roman"/>
                <w:sz w:val="24"/>
                <w:szCs w:val="24"/>
              </w:rPr>
              <w:t>69,2%) un salaka (18%).</w:t>
            </w:r>
            <w:r w:rsidR="0084221F" w:rsidRPr="00422E3B">
              <w:rPr>
                <w:rFonts w:ascii="Times New Roman" w:hAnsi="Times New Roman"/>
                <w:sz w:val="24"/>
                <w:szCs w:val="24"/>
              </w:rPr>
              <w:t xml:space="preserve"> </w:t>
            </w:r>
            <w:r w:rsidR="00AD6BAC" w:rsidRPr="00422E3B">
              <w:rPr>
                <w:rFonts w:ascii="Times New Roman" w:hAnsi="Times New Roman"/>
                <w:sz w:val="24"/>
                <w:szCs w:val="24"/>
              </w:rPr>
              <w:t xml:space="preserve">Saskaņā ar MK noteikumu Nr.1375 2. pielikumu Ventspils pilsētai </w:t>
            </w:r>
            <w:r w:rsidRPr="00422E3B">
              <w:rPr>
                <w:rFonts w:ascii="Times New Roman" w:hAnsi="Times New Roman"/>
                <w:sz w:val="24"/>
                <w:szCs w:val="24"/>
              </w:rPr>
              <w:t>patlaban</w:t>
            </w:r>
            <w:r w:rsidR="00AD6BAC" w:rsidRPr="00422E3B">
              <w:rPr>
                <w:rFonts w:ascii="Times New Roman" w:hAnsi="Times New Roman"/>
                <w:sz w:val="24"/>
                <w:szCs w:val="24"/>
              </w:rPr>
              <w:t xml:space="preserve"> ir attiecināms 69 zivju tīklu un 30 reņģu tīklu skaita limits. Institūts </w:t>
            </w:r>
            <w:r w:rsidR="00151E40" w:rsidRPr="00422E3B">
              <w:rPr>
                <w:rFonts w:ascii="Times New Roman" w:hAnsi="Times New Roman"/>
                <w:sz w:val="24"/>
                <w:szCs w:val="24"/>
              </w:rPr>
              <w:t xml:space="preserve">atbalsta </w:t>
            </w:r>
            <w:r w:rsidRPr="00422E3B">
              <w:rPr>
                <w:rFonts w:ascii="Times New Roman" w:hAnsi="Times New Roman"/>
                <w:sz w:val="24"/>
                <w:szCs w:val="24"/>
              </w:rPr>
              <w:t xml:space="preserve">ierosinājumu </w:t>
            </w:r>
            <w:r w:rsidR="00151E40" w:rsidRPr="00422E3B">
              <w:rPr>
                <w:rFonts w:ascii="Times New Roman" w:hAnsi="Times New Roman"/>
                <w:sz w:val="24"/>
                <w:szCs w:val="24"/>
              </w:rPr>
              <w:t>par</w:t>
            </w:r>
            <w:r w:rsidR="00AD6BAC" w:rsidRPr="00422E3B">
              <w:rPr>
                <w:rFonts w:ascii="Times New Roman" w:hAnsi="Times New Roman"/>
                <w:sz w:val="24"/>
                <w:szCs w:val="24"/>
              </w:rPr>
              <w:t xml:space="preserve"> 10% palielināt </w:t>
            </w:r>
            <w:r w:rsidR="00151E40" w:rsidRPr="00422E3B">
              <w:rPr>
                <w:rFonts w:ascii="Times New Roman" w:hAnsi="Times New Roman"/>
                <w:sz w:val="24"/>
                <w:szCs w:val="24"/>
              </w:rPr>
              <w:t xml:space="preserve">Ventspils pilsētai piešķirto </w:t>
            </w:r>
            <w:r w:rsidR="00AD6BAC" w:rsidRPr="00422E3B">
              <w:rPr>
                <w:rFonts w:ascii="Times New Roman" w:hAnsi="Times New Roman"/>
                <w:sz w:val="24"/>
                <w:szCs w:val="24"/>
              </w:rPr>
              <w:t xml:space="preserve">zivju tīklu un reņģu tīklu </w:t>
            </w:r>
            <w:r w:rsidR="00151E40" w:rsidRPr="00422E3B">
              <w:rPr>
                <w:rFonts w:ascii="Times New Roman" w:hAnsi="Times New Roman"/>
                <w:sz w:val="24"/>
                <w:szCs w:val="24"/>
              </w:rPr>
              <w:t xml:space="preserve">limita </w:t>
            </w:r>
            <w:r w:rsidR="00AD6BAC" w:rsidRPr="00422E3B">
              <w:rPr>
                <w:rFonts w:ascii="Times New Roman" w:hAnsi="Times New Roman"/>
                <w:sz w:val="24"/>
                <w:szCs w:val="24"/>
              </w:rPr>
              <w:t>skaitu</w:t>
            </w:r>
            <w:r w:rsidR="0084221F" w:rsidRPr="00422E3B">
              <w:rPr>
                <w:rFonts w:ascii="Times New Roman" w:hAnsi="Times New Roman"/>
                <w:sz w:val="24"/>
                <w:szCs w:val="24"/>
              </w:rPr>
              <w:t xml:space="preserve"> (noteikumu projekta 1.</w:t>
            </w:r>
            <w:r w:rsidR="00E22A13" w:rsidRPr="00422E3B">
              <w:rPr>
                <w:rFonts w:ascii="Times New Roman" w:hAnsi="Times New Roman"/>
                <w:sz w:val="24"/>
                <w:szCs w:val="24"/>
              </w:rPr>
              <w:t>4</w:t>
            </w:r>
            <w:r w:rsidR="0084221F" w:rsidRPr="00422E3B">
              <w:rPr>
                <w:rFonts w:ascii="Times New Roman" w:hAnsi="Times New Roman"/>
                <w:sz w:val="24"/>
                <w:szCs w:val="24"/>
              </w:rPr>
              <w:t>.</w:t>
            </w:r>
            <w:r w:rsidR="00E22A13" w:rsidRPr="00422E3B">
              <w:rPr>
                <w:rFonts w:ascii="Times New Roman" w:hAnsi="Times New Roman"/>
                <w:sz w:val="24"/>
                <w:szCs w:val="24"/>
              </w:rPr>
              <w:t xml:space="preserve">  </w:t>
            </w:r>
            <w:r w:rsidR="0084221F" w:rsidRPr="00422E3B">
              <w:rPr>
                <w:rFonts w:ascii="Times New Roman" w:hAnsi="Times New Roman"/>
                <w:sz w:val="24"/>
                <w:szCs w:val="24"/>
              </w:rPr>
              <w:t>apakšpunkts)</w:t>
            </w:r>
            <w:r w:rsidR="00AD6BAC" w:rsidRPr="00422E3B">
              <w:rPr>
                <w:rFonts w:ascii="Times New Roman" w:hAnsi="Times New Roman"/>
                <w:sz w:val="24"/>
                <w:szCs w:val="24"/>
              </w:rPr>
              <w:t>;</w:t>
            </w:r>
          </w:p>
          <w:p w14:paraId="342DEDEB" w14:textId="7333DDD7" w:rsidR="00EA2A6B" w:rsidRPr="00422E3B" w:rsidRDefault="0084221F" w:rsidP="00EA2A6B">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2. Papildus pašvaldību priekšlikumiem noteikumu projektā ir ietverti grozījumi, kas saistīti ar apaļā jūrasgrunduļa zvejas intensificēšanu. Institūts sniedza rekomendāciju</w:t>
            </w:r>
            <w:r w:rsidR="005450C9" w:rsidRPr="00422E3B">
              <w:rPr>
                <w:rFonts w:ascii="Times New Roman" w:hAnsi="Times New Roman"/>
                <w:sz w:val="24"/>
                <w:szCs w:val="24"/>
              </w:rPr>
              <w:t>, kad tika</w:t>
            </w:r>
            <w:r w:rsidRPr="00422E3B">
              <w:rPr>
                <w:rFonts w:ascii="Times New Roman" w:hAnsi="Times New Roman"/>
                <w:sz w:val="24"/>
                <w:szCs w:val="24"/>
              </w:rPr>
              <w:t xml:space="preserve"> </w:t>
            </w:r>
            <w:r w:rsidR="004037AC" w:rsidRPr="00422E3B">
              <w:rPr>
                <w:rFonts w:ascii="Times New Roman" w:hAnsi="Times New Roman"/>
                <w:sz w:val="24"/>
                <w:szCs w:val="24"/>
              </w:rPr>
              <w:t>sagatavo</w:t>
            </w:r>
            <w:r w:rsidR="005450C9" w:rsidRPr="00422E3B">
              <w:rPr>
                <w:rFonts w:ascii="Times New Roman" w:hAnsi="Times New Roman"/>
                <w:sz w:val="24"/>
                <w:szCs w:val="24"/>
              </w:rPr>
              <w:t>ti</w:t>
            </w:r>
            <w:r w:rsidRPr="00422E3B">
              <w:rPr>
                <w:rFonts w:ascii="Times New Roman" w:hAnsi="Times New Roman"/>
                <w:sz w:val="24"/>
                <w:szCs w:val="24"/>
              </w:rPr>
              <w:t xml:space="preserve"> M</w:t>
            </w:r>
            <w:r w:rsidR="004037AC" w:rsidRPr="00422E3B">
              <w:rPr>
                <w:rFonts w:ascii="Times New Roman" w:hAnsi="Times New Roman"/>
                <w:sz w:val="24"/>
                <w:szCs w:val="24"/>
              </w:rPr>
              <w:t xml:space="preserve">inistru kabineta 2017.  gada 7. augusta </w:t>
            </w:r>
            <w:r w:rsidRPr="00422E3B">
              <w:rPr>
                <w:rFonts w:ascii="Times New Roman" w:hAnsi="Times New Roman"/>
                <w:sz w:val="24"/>
                <w:szCs w:val="24"/>
              </w:rPr>
              <w:t>noteikum</w:t>
            </w:r>
            <w:r w:rsidR="005450C9" w:rsidRPr="00422E3B">
              <w:rPr>
                <w:rFonts w:ascii="Times New Roman" w:hAnsi="Times New Roman"/>
                <w:sz w:val="24"/>
                <w:szCs w:val="24"/>
              </w:rPr>
              <w:t>i</w:t>
            </w:r>
            <w:r w:rsidRPr="00422E3B">
              <w:rPr>
                <w:rFonts w:ascii="Times New Roman" w:hAnsi="Times New Roman"/>
                <w:sz w:val="24"/>
                <w:szCs w:val="24"/>
              </w:rPr>
              <w:t xml:space="preserve"> Nr.</w:t>
            </w:r>
            <w:r w:rsidR="00E22A13" w:rsidRPr="00422E3B">
              <w:rPr>
                <w:rFonts w:ascii="Times New Roman" w:hAnsi="Times New Roman"/>
                <w:sz w:val="24"/>
                <w:szCs w:val="24"/>
              </w:rPr>
              <w:t xml:space="preserve"> </w:t>
            </w:r>
            <w:r w:rsidR="004037AC" w:rsidRPr="00422E3B">
              <w:rPr>
                <w:rFonts w:ascii="Times New Roman" w:hAnsi="Times New Roman"/>
                <w:sz w:val="24"/>
                <w:szCs w:val="24"/>
              </w:rPr>
              <w:t xml:space="preserve">460 </w:t>
            </w:r>
            <w:r w:rsidR="008C07EA" w:rsidRPr="00422E3B">
              <w:rPr>
                <w:rFonts w:ascii="Times New Roman" w:hAnsi="Times New Roman"/>
                <w:sz w:val="24"/>
                <w:szCs w:val="24"/>
              </w:rPr>
              <w:t>“</w:t>
            </w:r>
            <w:r w:rsidR="004037AC" w:rsidRPr="00422E3B">
              <w:rPr>
                <w:rFonts w:ascii="Times New Roman" w:hAnsi="Times New Roman"/>
                <w:sz w:val="24"/>
                <w:szCs w:val="24"/>
              </w:rPr>
              <w:t>Grozījumi Ministru kabineta 2007. gada 2. maija noteikumos Nr. 296 "</w:t>
            </w:r>
            <w:hyperlink r:id="rId9" w:tgtFrame="_blank" w:history="1">
              <w:r w:rsidR="004037AC" w:rsidRPr="00422E3B">
                <w:rPr>
                  <w:rFonts w:ascii="Times New Roman" w:hAnsi="Times New Roman"/>
                  <w:sz w:val="24"/>
                  <w:szCs w:val="24"/>
                </w:rPr>
                <w:t>Noteikumi par rūpniecisko zveju teritoriālajos ūdeņos un ekonomiskās zonas ūdeņos</w:t>
              </w:r>
            </w:hyperlink>
            <w:r w:rsidR="008C07EA" w:rsidRPr="00422E3B">
              <w:rPr>
                <w:rFonts w:ascii="Times New Roman" w:hAnsi="Times New Roman"/>
                <w:sz w:val="24"/>
                <w:szCs w:val="24"/>
              </w:rPr>
              <w:t>””</w:t>
            </w:r>
            <w:r w:rsidR="00FC6053" w:rsidRPr="00422E3B">
              <w:rPr>
                <w:rFonts w:ascii="Times New Roman" w:hAnsi="Times New Roman"/>
                <w:sz w:val="24"/>
                <w:szCs w:val="24"/>
              </w:rPr>
              <w:t xml:space="preserve"> (pieejama </w:t>
            </w:r>
            <w:r w:rsidR="00712662" w:rsidRPr="00422E3B">
              <w:rPr>
                <w:rFonts w:ascii="Times New Roman" w:hAnsi="Times New Roman"/>
                <w:sz w:val="24"/>
                <w:szCs w:val="24"/>
              </w:rPr>
              <w:t>ZM</w:t>
            </w:r>
            <w:r w:rsidR="00FC6053" w:rsidRPr="00422E3B">
              <w:rPr>
                <w:rFonts w:ascii="Times New Roman" w:hAnsi="Times New Roman"/>
                <w:sz w:val="24"/>
                <w:szCs w:val="24"/>
              </w:rPr>
              <w:t>)</w:t>
            </w:r>
            <w:r w:rsidR="004037AC" w:rsidRPr="00422E3B">
              <w:rPr>
                <w:rFonts w:ascii="Times New Roman" w:hAnsi="Times New Roman"/>
                <w:sz w:val="24"/>
                <w:szCs w:val="24"/>
              </w:rPr>
              <w:t xml:space="preserve">, </w:t>
            </w:r>
            <w:r w:rsidRPr="00422E3B">
              <w:rPr>
                <w:rFonts w:ascii="Times New Roman" w:hAnsi="Times New Roman"/>
                <w:sz w:val="24"/>
                <w:szCs w:val="24"/>
              </w:rPr>
              <w:t>lai tajos ietvertu jaunu pasīvās zvejas rīku piekrastes ūdeņos – apaļā jūrasgrunduļa murdu. Savukārt</w:t>
            </w:r>
            <w:r w:rsidR="00EA2A6B" w:rsidRPr="00422E3B">
              <w:rPr>
                <w:rFonts w:ascii="Times New Roman" w:hAnsi="Times New Roman"/>
                <w:sz w:val="24"/>
                <w:szCs w:val="24"/>
              </w:rPr>
              <w:t xml:space="preserve"> MK noteikumos Nr.</w:t>
            </w:r>
            <w:r w:rsidR="008C07EA" w:rsidRPr="00422E3B">
              <w:rPr>
                <w:rFonts w:ascii="Times New Roman" w:hAnsi="Times New Roman"/>
                <w:sz w:val="24"/>
                <w:szCs w:val="24"/>
              </w:rPr>
              <w:t xml:space="preserve"> </w:t>
            </w:r>
            <w:r w:rsidR="00EA2A6B" w:rsidRPr="00422E3B">
              <w:rPr>
                <w:rFonts w:ascii="Times New Roman" w:hAnsi="Times New Roman"/>
                <w:sz w:val="24"/>
                <w:szCs w:val="24"/>
              </w:rPr>
              <w:t xml:space="preserve">1375 </w:t>
            </w:r>
            <w:r w:rsidRPr="00422E3B">
              <w:rPr>
                <w:rFonts w:ascii="Times New Roman" w:hAnsi="Times New Roman"/>
                <w:sz w:val="24"/>
                <w:szCs w:val="24"/>
              </w:rPr>
              <w:t xml:space="preserve">ir </w:t>
            </w:r>
            <w:r w:rsidR="00EA2A6B" w:rsidRPr="00422E3B">
              <w:rPr>
                <w:rFonts w:ascii="Times New Roman" w:hAnsi="Times New Roman"/>
                <w:sz w:val="24"/>
                <w:szCs w:val="24"/>
              </w:rPr>
              <w:t xml:space="preserve">nepieciešams </w:t>
            </w:r>
            <w:r w:rsidRPr="00422E3B">
              <w:rPr>
                <w:rFonts w:ascii="Times New Roman" w:hAnsi="Times New Roman"/>
                <w:sz w:val="24"/>
                <w:szCs w:val="24"/>
              </w:rPr>
              <w:t>paredzēt</w:t>
            </w:r>
            <w:r w:rsidR="00EA2A6B" w:rsidRPr="00422E3B">
              <w:rPr>
                <w:rFonts w:ascii="Times New Roman" w:hAnsi="Times New Roman"/>
                <w:sz w:val="24"/>
                <w:szCs w:val="24"/>
              </w:rPr>
              <w:t xml:space="preserve"> apaļā jūrasgrunduļa murda skaita limitu sadalījumā pa piekrastes pašvaldībām un apaļā jūrasgrunduļa zvejas </w:t>
            </w:r>
            <w:r w:rsidR="00151E40" w:rsidRPr="00422E3B">
              <w:rPr>
                <w:rFonts w:ascii="Times New Roman" w:hAnsi="Times New Roman"/>
                <w:sz w:val="24"/>
                <w:szCs w:val="24"/>
              </w:rPr>
              <w:t>limitu izmantošanas</w:t>
            </w:r>
            <w:r w:rsidR="00EA2A6B" w:rsidRPr="00422E3B">
              <w:rPr>
                <w:rFonts w:ascii="Times New Roman" w:hAnsi="Times New Roman"/>
                <w:sz w:val="24"/>
                <w:szCs w:val="24"/>
              </w:rPr>
              <w:t xml:space="preserve"> termiņus</w:t>
            </w:r>
            <w:r w:rsidR="003E68C6" w:rsidRPr="00422E3B">
              <w:rPr>
                <w:rFonts w:ascii="Times New Roman" w:hAnsi="Times New Roman"/>
                <w:sz w:val="24"/>
                <w:szCs w:val="24"/>
              </w:rPr>
              <w:t>.</w:t>
            </w:r>
          </w:p>
          <w:p w14:paraId="610D1395" w14:textId="7D4DA1B5" w:rsidR="00EA2A6B" w:rsidRPr="00422E3B" w:rsidRDefault="00EA2A6B" w:rsidP="00EA2A6B">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Apaļais jūrasgrundulis pēdējos gados Latvijā tiek nozvejots gan jūras, gan </w:t>
            </w:r>
            <w:r w:rsidR="00151E40" w:rsidRPr="00422E3B">
              <w:rPr>
                <w:rFonts w:ascii="Times New Roman" w:hAnsi="Times New Roman"/>
                <w:sz w:val="24"/>
                <w:szCs w:val="24"/>
              </w:rPr>
              <w:t xml:space="preserve">Rīgas jūras </w:t>
            </w:r>
            <w:r w:rsidRPr="00422E3B">
              <w:rPr>
                <w:rFonts w:ascii="Times New Roman" w:hAnsi="Times New Roman"/>
                <w:sz w:val="24"/>
                <w:szCs w:val="24"/>
              </w:rPr>
              <w:t>līča piekrastē, tomēr galvenie nozvej</w:t>
            </w:r>
            <w:r w:rsidR="005450C9" w:rsidRPr="00422E3B">
              <w:rPr>
                <w:rFonts w:ascii="Times New Roman" w:hAnsi="Times New Roman"/>
                <w:sz w:val="24"/>
                <w:szCs w:val="24"/>
              </w:rPr>
              <w:t>as</w:t>
            </w:r>
            <w:r w:rsidRPr="00422E3B">
              <w:rPr>
                <w:rFonts w:ascii="Times New Roman" w:hAnsi="Times New Roman"/>
                <w:sz w:val="24"/>
                <w:szCs w:val="24"/>
              </w:rPr>
              <w:t xml:space="preserve"> rajoni atrodas jūras atklātās daļas dienvidrietumu daļā – 2016. gadā vairāk</w:t>
            </w:r>
            <w:proofErr w:type="gramStart"/>
            <w:r w:rsidRPr="00422E3B">
              <w:rPr>
                <w:rFonts w:ascii="Times New Roman" w:hAnsi="Times New Roman"/>
                <w:sz w:val="24"/>
                <w:szCs w:val="24"/>
              </w:rPr>
              <w:t xml:space="preserve"> </w:t>
            </w:r>
            <w:r w:rsidR="005450C9" w:rsidRPr="00422E3B">
              <w:rPr>
                <w:rFonts w:ascii="Times New Roman" w:hAnsi="Times New Roman"/>
                <w:sz w:val="24"/>
                <w:szCs w:val="24"/>
              </w:rPr>
              <w:t>ne</w:t>
            </w:r>
            <w:r w:rsidRPr="00422E3B">
              <w:rPr>
                <w:rFonts w:ascii="Times New Roman" w:hAnsi="Times New Roman"/>
                <w:sz w:val="24"/>
                <w:szCs w:val="24"/>
              </w:rPr>
              <w:t xml:space="preserve">kā 80% no apaļā jūrasgrunduļa nozvejas tika </w:t>
            </w:r>
            <w:r w:rsidR="00FC22CA" w:rsidRPr="00422E3B">
              <w:rPr>
                <w:rFonts w:ascii="Times New Roman" w:hAnsi="Times New Roman"/>
                <w:sz w:val="24"/>
                <w:szCs w:val="24"/>
              </w:rPr>
              <w:t>iegūta</w:t>
            </w:r>
            <w:r w:rsidRPr="00422E3B">
              <w:rPr>
                <w:rFonts w:ascii="Times New Roman" w:hAnsi="Times New Roman"/>
                <w:sz w:val="24"/>
                <w:szCs w:val="24"/>
              </w:rPr>
              <w:t xml:space="preserve"> Liepājas pilsēt</w:t>
            </w:r>
            <w:r w:rsidR="005450C9" w:rsidRPr="00422E3B">
              <w:rPr>
                <w:rFonts w:ascii="Times New Roman" w:hAnsi="Times New Roman"/>
                <w:sz w:val="24"/>
                <w:szCs w:val="24"/>
              </w:rPr>
              <w:t>ā</w:t>
            </w:r>
            <w:r w:rsidRPr="00422E3B">
              <w:rPr>
                <w:rFonts w:ascii="Times New Roman" w:hAnsi="Times New Roman"/>
                <w:sz w:val="24"/>
                <w:szCs w:val="24"/>
              </w:rPr>
              <w:t>,</w:t>
            </w:r>
            <w:r w:rsidR="005450C9" w:rsidRPr="00422E3B">
              <w:rPr>
                <w:rFonts w:ascii="Times New Roman" w:hAnsi="Times New Roman"/>
                <w:sz w:val="24"/>
                <w:szCs w:val="24"/>
              </w:rPr>
              <w:t xml:space="preserve"> kā arī</w:t>
            </w:r>
            <w:r w:rsidRPr="00422E3B">
              <w:rPr>
                <w:rFonts w:ascii="Times New Roman" w:hAnsi="Times New Roman"/>
                <w:sz w:val="24"/>
                <w:szCs w:val="24"/>
              </w:rPr>
              <w:t xml:space="preserve"> Nīcas un Rucavas novad</w:t>
            </w:r>
            <w:r w:rsidR="005450C9" w:rsidRPr="00422E3B">
              <w:rPr>
                <w:rFonts w:ascii="Times New Roman" w:hAnsi="Times New Roman"/>
                <w:sz w:val="24"/>
                <w:szCs w:val="24"/>
              </w:rPr>
              <w:t>ā</w:t>
            </w:r>
            <w:proofErr w:type="gramEnd"/>
            <w:r w:rsidRPr="00422E3B">
              <w:rPr>
                <w:rFonts w:ascii="Times New Roman" w:hAnsi="Times New Roman"/>
                <w:sz w:val="24"/>
                <w:szCs w:val="24"/>
              </w:rPr>
              <w:t xml:space="preserve">. </w:t>
            </w:r>
          </w:p>
          <w:p w14:paraId="4DB51258" w14:textId="264190DB" w:rsidR="00EA2A6B" w:rsidRPr="00422E3B" w:rsidRDefault="00EA2A6B" w:rsidP="00EA2A6B">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Institūts, izvērtējot apaļā jūrasgrunduļa izplatības tendences Latvijas piekrastē un ņemot vērā esošo nozveju sadalījumu piekrastes zvejā, ierosina </w:t>
            </w:r>
            <w:r w:rsidR="003E68C6" w:rsidRPr="00422E3B">
              <w:rPr>
                <w:rFonts w:ascii="Times New Roman" w:hAnsi="Times New Roman"/>
                <w:sz w:val="24"/>
                <w:szCs w:val="24"/>
              </w:rPr>
              <w:t xml:space="preserve">attiecīgi </w:t>
            </w:r>
            <w:r w:rsidRPr="00422E3B">
              <w:rPr>
                <w:rFonts w:ascii="Times New Roman" w:hAnsi="Times New Roman"/>
                <w:sz w:val="24"/>
                <w:szCs w:val="24"/>
              </w:rPr>
              <w:t xml:space="preserve">papildināt </w:t>
            </w:r>
            <w:r w:rsidR="003E68C6" w:rsidRPr="00422E3B">
              <w:rPr>
                <w:rFonts w:ascii="Times New Roman" w:hAnsi="Times New Roman"/>
                <w:sz w:val="24"/>
                <w:szCs w:val="24"/>
              </w:rPr>
              <w:t>MK noteikumu</w:t>
            </w:r>
            <w:r w:rsidRPr="00422E3B">
              <w:rPr>
                <w:rFonts w:ascii="Times New Roman" w:hAnsi="Times New Roman"/>
                <w:sz w:val="24"/>
                <w:szCs w:val="24"/>
              </w:rPr>
              <w:t xml:space="preserve"> </w:t>
            </w:r>
            <w:r w:rsidR="003E68C6" w:rsidRPr="00422E3B">
              <w:rPr>
                <w:rFonts w:ascii="Times New Roman" w:hAnsi="Times New Roman"/>
                <w:sz w:val="24"/>
                <w:szCs w:val="24"/>
              </w:rPr>
              <w:t>Nr.</w:t>
            </w:r>
            <w:r w:rsidR="008C07EA" w:rsidRPr="00422E3B">
              <w:rPr>
                <w:rFonts w:ascii="Times New Roman" w:hAnsi="Times New Roman"/>
                <w:sz w:val="24"/>
                <w:szCs w:val="24"/>
              </w:rPr>
              <w:t xml:space="preserve"> </w:t>
            </w:r>
            <w:r w:rsidR="003E68C6" w:rsidRPr="00422E3B">
              <w:rPr>
                <w:rFonts w:ascii="Times New Roman" w:hAnsi="Times New Roman"/>
                <w:sz w:val="24"/>
                <w:szCs w:val="24"/>
              </w:rPr>
              <w:t xml:space="preserve">1375 </w:t>
            </w:r>
            <w:r w:rsidRPr="00422E3B">
              <w:rPr>
                <w:rFonts w:ascii="Times New Roman" w:hAnsi="Times New Roman"/>
                <w:sz w:val="24"/>
                <w:szCs w:val="24"/>
              </w:rPr>
              <w:t xml:space="preserve">2. pielikumu </w:t>
            </w:r>
            <w:r w:rsidR="003E68C6" w:rsidRPr="00422E3B">
              <w:rPr>
                <w:rFonts w:ascii="Times New Roman" w:hAnsi="Times New Roman"/>
                <w:sz w:val="24"/>
                <w:szCs w:val="24"/>
              </w:rPr>
              <w:t>(noteikumu projekta 1.</w:t>
            </w:r>
            <w:r w:rsidR="008C07EA" w:rsidRPr="00422E3B">
              <w:rPr>
                <w:rFonts w:ascii="Times New Roman" w:hAnsi="Times New Roman"/>
                <w:sz w:val="24"/>
                <w:szCs w:val="24"/>
              </w:rPr>
              <w:t>4</w:t>
            </w:r>
            <w:r w:rsidR="003E68C6" w:rsidRPr="00422E3B">
              <w:rPr>
                <w:rFonts w:ascii="Times New Roman" w:hAnsi="Times New Roman"/>
                <w:sz w:val="24"/>
                <w:szCs w:val="24"/>
              </w:rPr>
              <w:t>.</w:t>
            </w:r>
            <w:r w:rsidR="008C07EA" w:rsidRPr="00422E3B">
              <w:rPr>
                <w:rFonts w:ascii="Times New Roman" w:hAnsi="Times New Roman"/>
                <w:sz w:val="24"/>
                <w:szCs w:val="24"/>
              </w:rPr>
              <w:t xml:space="preserve"> </w:t>
            </w:r>
            <w:r w:rsidR="003E68C6" w:rsidRPr="00422E3B">
              <w:rPr>
                <w:rFonts w:ascii="Times New Roman" w:hAnsi="Times New Roman"/>
                <w:sz w:val="24"/>
                <w:szCs w:val="24"/>
              </w:rPr>
              <w:t>apakšpunkts) ar apaļā jūrasgrunduļa murda skaita limitu sadalījumu pa piekrastes pašvaldībām</w:t>
            </w:r>
            <w:r w:rsidRPr="00422E3B">
              <w:rPr>
                <w:rFonts w:ascii="Times New Roman" w:hAnsi="Times New Roman"/>
                <w:sz w:val="24"/>
                <w:szCs w:val="24"/>
              </w:rPr>
              <w:t>.</w:t>
            </w:r>
          </w:p>
          <w:p w14:paraId="368DA44B" w14:textId="7DA754AD" w:rsidR="00EA2A6B" w:rsidRPr="00422E3B" w:rsidRDefault="00EA2A6B" w:rsidP="00EA2A6B">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Apaļā jūrasgrunduļa zvejai ir sezonāls raksturs – vairāk nekā 95% no kopējās nozvejas tiek </w:t>
            </w:r>
            <w:r w:rsidR="001D41F9" w:rsidRPr="00422E3B">
              <w:rPr>
                <w:rFonts w:ascii="Times New Roman" w:hAnsi="Times New Roman"/>
                <w:sz w:val="24"/>
                <w:szCs w:val="24"/>
              </w:rPr>
              <w:t>iegūti</w:t>
            </w:r>
            <w:r w:rsidRPr="00422E3B">
              <w:rPr>
                <w:rFonts w:ascii="Times New Roman" w:hAnsi="Times New Roman"/>
                <w:sz w:val="24"/>
                <w:szCs w:val="24"/>
              </w:rPr>
              <w:t xml:space="preserve"> aprīlī, maijā un jūnijā ar pasīviem zvejas rīkiem (murdi</w:t>
            </w:r>
            <w:r w:rsidR="001D41F9" w:rsidRPr="00422E3B">
              <w:rPr>
                <w:rFonts w:ascii="Times New Roman" w:hAnsi="Times New Roman"/>
                <w:sz w:val="24"/>
                <w:szCs w:val="24"/>
              </w:rPr>
              <w:t>em</w:t>
            </w:r>
            <w:r w:rsidRPr="00422E3B">
              <w:rPr>
                <w:rFonts w:ascii="Times New Roman" w:hAnsi="Times New Roman"/>
                <w:sz w:val="24"/>
                <w:szCs w:val="24"/>
              </w:rPr>
              <w:t>, tīkli</w:t>
            </w:r>
            <w:r w:rsidR="001D41F9" w:rsidRPr="00422E3B">
              <w:rPr>
                <w:rFonts w:ascii="Times New Roman" w:hAnsi="Times New Roman"/>
                <w:sz w:val="24"/>
                <w:szCs w:val="24"/>
              </w:rPr>
              <w:t>em</w:t>
            </w:r>
            <w:r w:rsidRPr="00422E3B">
              <w:rPr>
                <w:rFonts w:ascii="Times New Roman" w:hAnsi="Times New Roman"/>
                <w:sz w:val="24"/>
                <w:szCs w:val="24"/>
              </w:rPr>
              <w:t>)</w:t>
            </w:r>
            <w:r w:rsidR="001D41F9" w:rsidRPr="00422E3B">
              <w:rPr>
                <w:rFonts w:ascii="Times New Roman" w:hAnsi="Times New Roman"/>
                <w:sz w:val="24"/>
                <w:szCs w:val="24"/>
              </w:rPr>
              <w:t>.</w:t>
            </w:r>
            <w:r w:rsidRPr="00422E3B">
              <w:rPr>
                <w:rFonts w:ascii="Times New Roman" w:hAnsi="Times New Roman"/>
                <w:sz w:val="24"/>
                <w:szCs w:val="24"/>
              </w:rPr>
              <w:t xml:space="preserve"> </w:t>
            </w:r>
            <w:r w:rsidR="001D41F9" w:rsidRPr="00422E3B">
              <w:rPr>
                <w:rFonts w:ascii="Times New Roman" w:hAnsi="Times New Roman"/>
                <w:sz w:val="24"/>
                <w:szCs w:val="24"/>
              </w:rPr>
              <w:t>T</w:t>
            </w:r>
            <w:r w:rsidRPr="00422E3B">
              <w:rPr>
                <w:rFonts w:ascii="Times New Roman" w:hAnsi="Times New Roman"/>
                <w:sz w:val="24"/>
                <w:szCs w:val="24"/>
              </w:rPr>
              <w:t xml:space="preserve">as ir </w:t>
            </w:r>
            <w:r w:rsidR="001D41F9" w:rsidRPr="00422E3B">
              <w:rPr>
                <w:rFonts w:ascii="Times New Roman" w:hAnsi="Times New Roman"/>
                <w:sz w:val="24"/>
                <w:szCs w:val="24"/>
              </w:rPr>
              <w:t>iz</w:t>
            </w:r>
            <w:r w:rsidRPr="00422E3B">
              <w:rPr>
                <w:rFonts w:ascii="Times New Roman" w:hAnsi="Times New Roman"/>
                <w:sz w:val="24"/>
                <w:szCs w:val="24"/>
              </w:rPr>
              <w:t>skaidrojams ar šīs sugas pa</w:t>
            </w:r>
            <w:r w:rsidR="001D41F9" w:rsidRPr="00422E3B">
              <w:rPr>
                <w:rFonts w:ascii="Times New Roman" w:hAnsi="Times New Roman"/>
                <w:sz w:val="24"/>
                <w:szCs w:val="24"/>
              </w:rPr>
              <w:t>liel</w:t>
            </w:r>
            <w:r w:rsidRPr="00422E3B">
              <w:rPr>
                <w:rFonts w:ascii="Times New Roman" w:hAnsi="Times New Roman"/>
                <w:sz w:val="24"/>
                <w:szCs w:val="24"/>
              </w:rPr>
              <w:t xml:space="preserve">inātu aktivitāti pavasarī un vasaras sākumā, tāpēc </w:t>
            </w:r>
            <w:r w:rsidR="003E68C6" w:rsidRPr="00422E3B">
              <w:rPr>
                <w:rFonts w:ascii="Times New Roman" w:hAnsi="Times New Roman"/>
                <w:sz w:val="24"/>
                <w:szCs w:val="24"/>
              </w:rPr>
              <w:t>i</w:t>
            </w:r>
            <w:r w:rsidRPr="00422E3B">
              <w:rPr>
                <w:rFonts w:ascii="Times New Roman" w:hAnsi="Times New Roman"/>
                <w:sz w:val="24"/>
                <w:szCs w:val="24"/>
              </w:rPr>
              <w:t>nstitūts ierosina zvejai ar apaļo jūrasgrunduļu murdu noteikt laikposmu no 1. aprīļa līdz 30. jūnijam</w:t>
            </w:r>
            <w:r w:rsidR="003E68C6" w:rsidRPr="00422E3B">
              <w:rPr>
                <w:rFonts w:ascii="Times New Roman" w:hAnsi="Times New Roman"/>
                <w:sz w:val="24"/>
                <w:szCs w:val="24"/>
              </w:rPr>
              <w:t xml:space="preserve"> (noteikumu projekta 1.</w:t>
            </w:r>
            <w:r w:rsidR="008C07EA" w:rsidRPr="00422E3B">
              <w:rPr>
                <w:rFonts w:ascii="Times New Roman" w:hAnsi="Times New Roman"/>
                <w:sz w:val="24"/>
                <w:szCs w:val="24"/>
              </w:rPr>
              <w:t>4</w:t>
            </w:r>
            <w:r w:rsidR="003E68C6" w:rsidRPr="00422E3B">
              <w:rPr>
                <w:rFonts w:ascii="Times New Roman" w:hAnsi="Times New Roman"/>
                <w:sz w:val="24"/>
                <w:szCs w:val="24"/>
              </w:rPr>
              <w:t>.</w:t>
            </w:r>
            <w:r w:rsidR="008C07EA" w:rsidRPr="00422E3B">
              <w:rPr>
                <w:rFonts w:ascii="Times New Roman" w:hAnsi="Times New Roman"/>
                <w:sz w:val="24"/>
                <w:szCs w:val="24"/>
              </w:rPr>
              <w:t xml:space="preserve"> </w:t>
            </w:r>
            <w:r w:rsidR="003E68C6" w:rsidRPr="00422E3B">
              <w:rPr>
                <w:rFonts w:ascii="Times New Roman" w:hAnsi="Times New Roman"/>
                <w:sz w:val="24"/>
                <w:szCs w:val="24"/>
              </w:rPr>
              <w:t>apakšpunkts)</w:t>
            </w:r>
            <w:r w:rsidRPr="00422E3B">
              <w:rPr>
                <w:rFonts w:ascii="Times New Roman" w:hAnsi="Times New Roman"/>
                <w:sz w:val="24"/>
                <w:szCs w:val="24"/>
              </w:rPr>
              <w:t xml:space="preserve">. </w:t>
            </w:r>
          </w:p>
          <w:p w14:paraId="252329E7" w14:textId="533B6756" w:rsidR="00AD6BAC" w:rsidRPr="00422E3B" w:rsidRDefault="003E68C6" w:rsidP="008C69A0">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3. </w:t>
            </w:r>
            <w:r w:rsidR="00AD6BAC" w:rsidRPr="00422E3B">
              <w:rPr>
                <w:rFonts w:ascii="Times New Roman" w:hAnsi="Times New Roman"/>
                <w:sz w:val="24"/>
                <w:szCs w:val="24"/>
              </w:rPr>
              <w:t xml:space="preserve">Papildus pašvaldību priekšlikumiem institūts sagatavoja rekomendāciju </w:t>
            </w:r>
            <w:r w:rsidR="000F70A1" w:rsidRPr="00422E3B">
              <w:rPr>
                <w:rFonts w:ascii="Times New Roman" w:hAnsi="Times New Roman"/>
                <w:sz w:val="24"/>
                <w:szCs w:val="24"/>
              </w:rPr>
              <w:t xml:space="preserve">(pieejama </w:t>
            </w:r>
            <w:r w:rsidR="00712662" w:rsidRPr="00422E3B">
              <w:rPr>
                <w:rFonts w:ascii="Times New Roman" w:hAnsi="Times New Roman"/>
                <w:sz w:val="24"/>
                <w:szCs w:val="24"/>
              </w:rPr>
              <w:t>ZM</w:t>
            </w:r>
            <w:r w:rsidR="000F70A1" w:rsidRPr="00422E3B">
              <w:rPr>
                <w:rFonts w:ascii="Times New Roman" w:hAnsi="Times New Roman"/>
                <w:sz w:val="24"/>
                <w:szCs w:val="24"/>
              </w:rPr>
              <w:t xml:space="preserve">) </w:t>
            </w:r>
            <w:r w:rsidRPr="00422E3B">
              <w:rPr>
                <w:rFonts w:ascii="Times New Roman" w:hAnsi="Times New Roman"/>
                <w:sz w:val="24"/>
                <w:szCs w:val="24"/>
              </w:rPr>
              <w:t xml:space="preserve">arī </w:t>
            </w:r>
            <w:r w:rsidR="00AD6BAC" w:rsidRPr="00422E3B">
              <w:rPr>
                <w:rFonts w:ascii="Times New Roman" w:hAnsi="Times New Roman"/>
                <w:sz w:val="24"/>
                <w:szCs w:val="24"/>
              </w:rPr>
              <w:t xml:space="preserve">par mencu </w:t>
            </w:r>
            <w:r w:rsidR="00FC22CA" w:rsidRPr="00422E3B">
              <w:rPr>
                <w:rFonts w:ascii="Times New Roman" w:hAnsi="Times New Roman"/>
                <w:sz w:val="24"/>
                <w:szCs w:val="24"/>
              </w:rPr>
              <w:t>zvejas iespēju izmantošanas</w:t>
            </w:r>
            <w:r w:rsidR="00AD6BAC" w:rsidRPr="00422E3B">
              <w:rPr>
                <w:rFonts w:ascii="Times New Roman" w:hAnsi="Times New Roman"/>
                <w:sz w:val="24"/>
                <w:szCs w:val="24"/>
              </w:rPr>
              <w:t xml:space="preserve"> pilnveidošanu piekrastes ūdeņos. Institūts </w:t>
            </w:r>
            <w:r w:rsidR="001D41F9" w:rsidRPr="00422E3B">
              <w:rPr>
                <w:rFonts w:ascii="Times New Roman" w:hAnsi="Times New Roman"/>
                <w:sz w:val="24"/>
                <w:szCs w:val="24"/>
              </w:rPr>
              <w:t>pēc</w:t>
            </w:r>
            <w:r w:rsidR="00AD6BAC" w:rsidRPr="00422E3B">
              <w:rPr>
                <w:rFonts w:ascii="Times New Roman" w:hAnsi="Times New Roman"/>
                <w:sz w:val="24"/>
                <w:szCs w:val="24"/>
              </w:rPr>
              <w:t xml:space="preserve"> nozvej</w:t>
            </w:r>
            <w:r w:rsidR="001D41F9" w:rsidRPr="00422E3B">
              <w:rPr>
                <w:rFonts w:ascii="Times New Roman" w:hAnsi="Times New Roman"/>
                <w:sz w:val="24"/>
                <w:szCs w:val="24"/>
              </w:rPr>
              <w:t>as</w:t>
            </w:r>
            <w:r w:rsidR="00AD6BAC" w:rsidRPr="00422E3B">
              <w:rPr>
                <w:rFonts w:ascii="Times New Roman" w:hAnsi="Times New Roman"/>
                <w:sz w:val="24"/>
                <w:szCs w:val="24"/>
              </w:rPr>
              <w:t xml:space="preserve"> datiem ir secinājis, ka menca neliel</w:t>
            </w:r>
            <w:r w:rsidR="001D41F9" w:rsidRPr="00422E3B">
              <w:rPr>
                <w:rFonts w:ascii="Times New Roman" w:hAnsi="Times New Roman"/>
                <w:sz w:val="24"/>
                <w:szCs w:val="24"/>
              </w:rPr>
              <w:t>ā</w:t>
            </w:r>
            <w:r w:rsidR="00AD6BAC" w:rsidRPr="00422E3B">
              <w:rPr>
                <w:rFonts w:ascii="Times New Roman" w:hAnsi="Times New Roman"/>
                <w:sz w:val="24"/>
                <w:szCs w:val="24"/>
              </w:rPr>
              <w:t xml:space="preserve"> apjom</w:t>
            </w:r>
            <w:r w:rsidR="001D41F9" w:rsidRPr="00422E3B">
              <w:rPr>
                <w:rFonts w:ascii="Times New Roman" w:hAnsi="Times New Roman"/>
                <w:sz w:val="24"/>
                <w:szCs w:val="24"/>
              </w:rPr>
              <w:t>ā</w:t>
            </w:r>
            <w:r w:rsidR="00AD6BAC" w:rsidRPr="00422E3B">
              <w:rPr>
                <w:rFonts w:ascii="Times New Roman" w:hAnsi="Times New Roman"/>
                <w:sz w:val="24"/>
                <w:szCs w:val="24"/>
              </w:rPr>
              <w:t xml:space="preserve"> </w:t>
            </w:r>
            <w:r w:rsidR="001D41F9" w:rsidRPr="00422E3B">
              <w:rPr>
                <w:rFonts w:ascii="Times New Roman" w:hAnsi="Times New Roman"/>
                <w:sz w:val="24"/>
                <w:szCs w:val="24"/>
              </w:rPr>
              <w:t xml:space="preserve">tiek nozvejota kā piezveja </w:t>
            </w:r>
            <w:r w:rsidR="00AD6BAC" w:rsidRPr="00422E3B">
              <w:rPr>
                <w:rFonts w:ascii="Times New Roman" w:hAnsi="Times New Roman"/>
                <w:sz w:val="24"/>
                <w:szCs w:val="24"/>
              </w:rPr>
              <w:t xml:space="preserve">citu zivju sugu zvejā arī Rīgas jūras līča piekrastē, taču zvejnieki mencu lomā paturēt nevar, jo mencai Rīgas jūras līcī nav noteikts nozvejas limits. Savukārt </w:t>
            </w:r>
            <w:r w:rsidR="008C69A0" w:rsidRPr="00422E3B">
              <w:rPr>
                <w:rFonts w:ascii="Times New Roman" w:hAnsi="Times New Roman"/>
                <w:sz w:val="24"/>
                <w:szCs w:val="24"/>
              </w:rPr>
              <w:t>Eiropas Parlamenta un padomes regula (ES) 2016/1139</w:t>
            </w:r>
            <w:r w:rsidR="004C467A" w:rsidRPr="00422E3B">
              <w:rPr>
                <w:rFonts w:ascii="Times New Roman" w:hAnsi="Times New Roman"/>
                <w:sz w:val="24"/>
                <w:szCs w:val="24"/>
              </w:rPr>
              <w:t xml:space="preserve"> </w:t>
            </w:r>
            <w:r w:rsidR="008C69A0" w:rsidRPr="00422E3B">
              <w:rPr>
                <w:rFonts w:ascii="Times New Roman" w:hAnsi="Times New Roman"/>
                <w:sz w:val="24"/>
                <w:szCs w:val="24"/>
              </w:rPr>
              <w:t xml:space="preserve">(2016. gada 6. jūlijs), ar kuru izveido daudzgadu plānu mencas, reņģes un brētliņas krājumiem Baltijas jūrā un </w:t>
            </w:r>
            <w:proofErr w:type="spellStart"/>
            <w:r w:rsidR="008C69A0" w:rsidRPr="00422E3B">
              <w:rPr>
                <w:rFonts w:ascii="Times New Roman" w:hAnsi="Times New Roman"/>
                <w:sz w:val="24"/>
                <w:szCs w:val="24"/>
              </w:rPr>
              <w:t>zvejniecībām</w:t>
            </w:r>
            <w:proofErr w:type="spellEnd"/>
            <w:r w:rsidR="008C69A0" w:rsidRPr="00422E3B">
              <w:rPr>
                <w:rFonts w:ascii="Times New Roman" w:hAnsi="Times New Roman"/>
                <w:sz w:val="24"/>
                <w:szCs w:val="24"/>
              </w:rPr>
              <w:t xml:space="preserve">, kas šos krājumus izmanto, un ar kuru groza Padomes Regulu (EK) Nr. 2187/2005 un atceļ Padomes Regulu </w:t>
            </w:r>
            <w:proofErr w:type="gramStart"/>
            <w:r w:rsidR="008C69A0" w:rsidRPr="00422E3B">
              <w:rPr>
                <w:rFonts w:ascii="Times New Roman" w:hAnsi="Times New Roman"/>
                <w:sz w:val="24"/>
                <w:szCs w:val="24"/>
              </w:rPr>
              <w:t>(</w:t>
            </w:r>
            <w:proofErr w:type="gramEnd"/>
            <w:r w:rsidR="008C69A0" w:rsidRPr="00422E3B">
              <w:rPr>
                <w:rFonts w:ascii="Times New Roman" w:hAnsi="Times New Roman"/>
                <w:sz w:val="24"/>
                <w:szCs w:val="24"/>
              </w:rPr>
              <w:t xml:space="preserve">EK) Nr. 1098/2007 </w:t>
            </w:r>
            <w:r w:rsidR="00AD6BAC" w:rsidRPr="00422E3B">
              <w:rPr>
                <w:rFonts w:ascii="Times New Roman" w:hAnsi="Times New Roman"/>
                <w:sz w:val="24"/>
                <w:szCs w:val="24"/>
              </w:rPr>
              <w:t xml:space="preserve">paredz obligātu pienākumu komerciālajā zvejā vest krastā visas tīklos nozvejotās mencas (no murdiem mencas ir atlaižamas dzīvas </w:t>
            </w:r>
            <w:r w:rsidR="001D41F9" w:rsidRPr="00422E3B">
              <w:rPr>
                <w:rFonts w:ascii="Times New Roman" w:hAnsi="Times New Roman"/>
                <w:sz w:val="24"/>
                <w:szCs w:val="24"/>
              </w:rPr>
              <w:t xml:space="preserve">atpakaļ </w:t>
            </w:r>
            <w:r w:rsidR="00AD6BAC" w:rsidRPr="00422E3B">
              <w:rPr>
                <w:rFonts w:ascii="Times New Roman" w:hAnsi="Times New Roman"/>
                <w:sz w:val="24"/>
                <w:szCs w:val="24"/>
              </w:rPr>
              <w:t xml:space="preserve">jūrā, tāpēc nav obligāts pienākums tās vest </w:t>
            </w:r>
            <w:r w:rsidR="00AD6BAC" w:rsidRPr="00422E3B">
              <w:rPr>
                <w:rFonts w:ascii="Times New Roman" w:hAnsi="Times New Roman"/>
                <w:sz w:val="24"/>
                <w:szCs w:val="24"/>
              </w:rPr>
              <w:lastRenderedPageBreak/>
              <w:t>krastā). Šī prasība neattiecas uz pašpatēriņa zveju, jo dalībvalstis to ir tiesīgas regulēt pašas.</w:t>
            </w:r>
          </w:p>
          <w:p w14:paraId="510B4DC5" w14:textId="7F438030" w:rsidR="00AD6BAC" w:rsidRPr="00422E3B" w:rsidRDefault="00AD6BAC"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Patlaban </w:t>
            </w:r>
            <w:r w:rsidR="008C69A0" w:rsidRPr="00422E3B">
              <w:rPr>
                <w:rFonts w:ascii="Times New Roman" w:hAnsi="Times New Roman"/>
                <w:sz w:val="24"/>
                <w:szCs w:val="24"/>
              </w:rPr>
              <w:t xml:space="preserve">MK noteikumos Nr.1375 </w:t>
            </w:r>
            <w:r w:rsidRPr="00422E3B">
              <w:rPr>
                <w:rFonts w:ascii="Times New Roman" w:hAnsi="Times New Roman"/>
                <w:sz w:val="24"/>
                <w:szCs w:val="24"/>
              </w:rPr>
              <w:t>mencu nozvejas apjom</w:t>
            </w:r>
            <w:r w:rsidR="001D41F9" w:rsidRPr="00422E3B">
              <w:rPr>
                <w:rFonts w:ascii="Times New Roman" w:hAnsi="Times New Roman"/>
                <w:sz w:val="24"/>
                <w:szCs w:val="24"/>
              </w:rPr>
              <w:t>a</w:t>
            </w:r>
            <w:r w:rsidRPr="00422E3B">
              <w:rPr>
                <w:rFonts w:ascii="Times New Roman" w:hAnsi="Times New Roman"/>
                <w:sz w:val="24"/>
                <w:szCs w:val="24"/>
              </w:rPr>
              <w:t xml:space="preserve"> limiti ir noteikti Baltijas jūras piekrastes pašvaldībām. Tie tiek sadalīti gan </w:t>
            </w:r>
            <w:proofErr w:type="spellStart"/>
            <w:r w:rsidRPr="00422E3B">
              <w:rPr>
                <w:rFonts w:ascii="Times New Roman" w:hAnsi="Times New Roman"/>
                <w:sz w:val="24"/>
                <w:szCs w:val="24"/>
              </w:rPr>
              <w:t>komerczvejai</w:t>
            </w:r>
            <w:proofErr w:type="spellEnd"/>
            <w:r w:rsidRPr="00422E3B">
              <w:rPr>
                <w:rFonts w:ascii="Times New Roman" w:hAnsi="Times New Roman"/>
                <w:sz w:val="24"/>
                <w:szCs w:val="24"/>
              </w:rPr>
              <w:t>, gan arī pa 200 kg var tikt iedalīti katram pašpatēriņa zvejniekam, taču, ja kādam zvejniekam citu zivju sugu zvejā kā piezveja nejauši gadās arī menca</w:t>
            </w:r>
            <w:r w:rsidR="001D41F9" w:rsidRPr="00422E3B">
              <w:rPr>
                <w:rFonts w:ascii="Times New Roman" w:hAnsi="Times New Roman"/>
                <w:sz w:val="24"/>
                <w:szCs w:val="24"/>
              </w:rPr>
              <w:t>,</w:t>
            </w:r>
            <w:r w:rsidRPr="00422E3B">
              <w:rPr>
                <w:rFonts w:ascii="Times New Roman" w:hAnsi="Times New Roman"/>
                <w:sz w:val="24"/>
                <w:szCs w:val="24"/>
              </w:rPr>
              <w:t xml:space="preserve"> to paturēt lomā ne Rīgas jūras līča, ne Baltijas jūras piekrastē ne</w:t>
            </w:r>
            <w:r w:rsidR="001D41F9" w:rsidRPr="00422E3B">
              <w:rPr>
                <w:rFonts w:ascii="Times New Roman" w:hAnsi="Times New Roman"/>
                <w:sz w:val="24"/>
                <w:szCs w:val="24"/>
              </w:rPr>
              <w:t>drīkst</w:t>
            </w:r>
            <w:r w:rsidRPr="00422E3B">
              <w:rPr>
                <w:rFonts w:ascii="Times New Roman" w:hAnsi="Times New Roman"/>
                <w:sz w:val="24"/>
                <w:szCs w:val="24"/>
              </w:rPr>
              <w:t>, jo normatīvais regulējums neparedz</w:t>
            </w:r>
            <w:r w:rsidR="001D41F9" w:rsidRPr="00422E3B">
              <w:rPr>
                <w:rFonts w:ascii="Times New Roman" w:hAnsi="Times New Roman"/>
                <w:sz w:val="24"/>
                <w:szCs w:val="24"/>
              </w:rPr>
              <w:t xml:space="preserve"> šādu piezveju</w:t>
            </w:r>
            <w:r w:rsidRPr="00422E3B">
              <w:rPr>
                <w:rFonts w:ascii="Times New Roman" w:hAnsi="Times New Roman"/>
                <w:sz w:val="24"/>
                <w:szCs w:val="24"/>
              </w:rPr>
              <w:t>.</w:t>
            </w:r>
          </w:p>
          <w:p w14:paraId="39B36A04" w14:textId="7E74049E" w:rsidR="00AD6BAC" w:rsidRPr="00422E3B" w:rsidRDefault="00BF3601"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N</w:t>
            </w:r>
            <w:r w:rsidR="00AD6BAC" w:rsidRPr="00422E3B">
              <w:rPr>
                <w:rFonts w:ascii="Times New Roman" w:hAnsi="Times New Roman"/>
                <w:sz w:val="24"/>
                <w:szCs w:val="24"/>
              </w:rPr>
              <w:t>oteikumu projektā tiek piedāvāts šāds risinājums:</w:t>
            </w:r>
          </w:p>
          <w:p w14:paraId="32F6E110" w14:textId="3A89980F" w:rsidR="00AD6BAC" w:rsidRPr="00422E3B" w:rsidRDefault="00AD6BAC" w:rsidP="00AD6BAC">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1) turpmāk pašpatēriņa zvejniekiem nebū</w:t>
            </w:r>
            <w:r w:rsidR="003E68C6" w:rsidRPr="00422E3B">
              <w:rPr>
                <w:rFonts w:ascii="Times New Roman" w:hAnsi="Times New Roman"/>
                <w:sz w:val="24"/>
                <w:szCs w:val="24"/>
              </w:rPr>
              <w:t>s</w:t>
            </w:r>
            <w:r w:rsidRPr="00422E3B">
              <w:rPr>
                <w:rFonts w:ascii="Times New Roman" w:hAnsi="Times New Roman"/>
                <w:sz w:val="24"/>
                <w:szCs w:val="24"/>
              </w:rPr>
              <w:t xml:space="preserve"> nepieciešams </w:t>
            </w:r>
            <w:r w:rsidR="00FC22CA" w:rsidRPr="00422E3B">
              <w:rPr>
                <w:rFonts w:ascii="Times New Roman" w:hAnsi="Times New Roman"/>
                <w:sz w:val="24"/>
                <w:szCs w:val="24"/>
              </w:rPr>
              <w:t>ie</w:t>
            </w:r>
            <w:r w:rsidRPr="00422E3B">
              <w:rPr>
                <w:rFonts w:ascii="Times New Roman" w:hAnsi="Times New Roman"/>
                <w:sz w:val="24"/>
                <w:szCs w:val="24"/>
              </w:rPr>
              <w:t>dalīt nozvejas apjoma limitu līdz 200 kg</w:t>
            </w:r>
            <w:r w:rsidR="00BF3601" w:rsidRPr="00422E3B">
              <w:rPr>
                <w:rFonts w:ascii="Times New Roman" w:hAnsi="Times New Roman"/>
                <w:sz w:val="24"/>
                <w:szCs w:val="24"/>
              </w:rPr>
              <w:t xml:space="preserve"> (noteikumu projekta</w:t>
            </w:r>
            <w:r w:rsidR="003E68C6" w:rsidRPr="00422E3B">
              <w:rPr>
                <w:rFonts w:ascii="Times New Roman" w:hAnsi="Times New Roman"/>
                <w:sz w:val="24"/>
                <w:szCs w:val="24"/>
              </w:rPr>
              <w:t xml:space="preserve"> 1.3.</w:t>
            </w:r>
            <w:r w:rsidR="008C07EA" w:rsidRPr="00422E3B">
              <w:t> </w:t>
            </w:r>
            <w:r w:rsidR="003E68C6" w:rsidRPr="00422E3B">
              <w:rPr>
                <w:rFonts w:ascii="Times New Roman" w:hAnsi="Times New Roman"/>
                <w:sz w:val="24"/>
                <w:szCs w:val="24"/>
              </w:rPr>
              <w:t>apakšpunkts</w:t>
            </w:r>
            <w:r w:rsidR="00BF3601" w:rsidRPr="00422E3B">
              <w:rPr>
                <w:rFonts w:ascii="Times New Roman" w:hAnsi="Times New Roman"/>
                <w:sz w:val="24"/>
                <w:szCs w:val="24"/>
              </w:rPr>
              <w:t>)</w:t>
            </w:r>
            <w:r w:rsidRPr="00422E3B">
              <w:rPr>
                <w:rFonts w:ascii="Times New Roman" w:hAnsi="Times New Roman"/>
                <w:sz w:val="24"/>
                <w:szCs w:val="24"/>
              </w:rPr>
              <w:t>, jo tie drīkstē</w:t>
            </w:r>
            <w:r w:rsidR="00FC22CA" w:rsidRPr="00422E3B">
              <w:rPr>
                <w:rFonts w:ascii="Times New Roman" w:hAnsi="Times New Roman"/>
                <w:sz w:val="24"/>
                <w:szCs w:val="24"/>
              </w:rPr>
              <w:t>s</w:t>
            </w:r>
            <w:r w:rsidRPr="00422E3B">
              <w:rPr>
                <w:rFonts w:ascii="Times New Roman" w:hAnsi="Times New Roman"/>
                <w:sz w:val="24"/>
                <w:szCs w:val="24"/>
              </w:rPr>
              <w:t xml:space="preserve"> paturēt mencu piezvejā līdz 10 % no kopējā nozvejas apjoma</w:t>
            </w:r>
            <w:r w:rsidR="008C07EA" w:rsidRPr="00422E3B">
              <w:rPr>
                <w:rFonts w:ascii="Times New Roman" w:hAnsi="Times New Roman"/>
                <w:sz w:val="24"/>
                <w:szCs w:val="24"/>
              </w:rPr>
              <w:t>.</w:t>
            </w:r>
            <w:r w:rsidR="00BF3601" w:rsidRPr="00422E3B">
              <w:rPr>
                <w:rFonts w:ascii="Times New Roman" w:hAnsi="Times New Roman"/>
                <w:sz w:val="24"/>
                <w:szCs w:val="24"/>
              </w:rPr>
              <w:t xml:space="preserve"> </w:t>
            </w:r>
            <w:r w:rsidR="008C07EA" w:rsidRPr="00422E3B">
              <w:rPr>
                <w:rFonts w:ascii="Times New Roman" w:hAnsi="Times New Roman"/>
                <w:sz w:val="24"/>
                <w:szCs w:val="24"/>
              </w:rPr>
              <w:t>Tas</w:t>
            </w:r>
            <w:r w:rsidR="00BF3601" w:rsidRPr="00422E3B">
              <w:rPr>
                <w:rFonts w:ascii="Times New Roman" w:hAnsi="Times New Roman"/>
                <w:sz w:val="24"/>
                <w:szCs w:val="24"/>
              </w:rPr>
              <w:t xml:space="preserve"> paredz</w:t>
            </w:r>
            <w:r w:rsidR="008C07EA" w:rsidRPr="00422E3B">
              <w:rPr>
                <w:rFonts w:ascii="Times New Roman" w:hAnsi="Times New Roman"/>
                <w:sz w:val="24"/>
                <w:szCs w:val="24"/>
              </w:rPr>
              <w:t>ēts</w:t>
            </w:r>
            <w:r w:rsidR="00BF3601" w:rsidRPr="00422E3B">
              <w:rPr>
                <w:rFonts w:ascii="Times New Roman" w:hAnsi="Times New Roman"/>
                <w:sz w:val="24"/>
                <w:szCs w:val="24"/>
              </w:rPr>
              <w:t xml:space="preserve"> </w:t>
            </w:r>
            <w:r w:rsidR="008C07EA" w:rsidRPr="00422E3B">
              <w:rPr>
                <w:rFonts w:ascii="Times New Roman" w:hAnsi="Times New Roman"/>
                <w:sz w:val="24"/>
                <w:szCs w:val="24"/>
              </w:rPr>
              <w:t>Ministru kabineta 2017. gada 7. augusta noteikum</w:t>
            </w:r>
            <w:r w:rsidR="008C69A0" w:rsidRPr="00422E3B">
              <w:rPr>
                <w:rFonts w:ascii="Times New Roman" w:hAnsi="Times New Roman"/>
                <w:sz w:val="24"/>
                <w:szCs w:val="24"/>
              </w:rPr>
              <w:t>o</w:t>
            </w:r>
            <w:r w:rsidR="008C07EA" w:rsidRPr="00422E3B">
              <w:rPr>
                <w:rFonts w:ascii="Times New Roman" w:hAnsi="Times New Roman"/>
                <w:sz w:val="24"/>
                <w:szCs w:val="24"/>
              </w:rPr>
              <w:t>s</w:t>
            </w:r>
            <w:r w:rsidR="008C69A0" w:rsidRPr="00422E3B">
              <w:rPr>
                <w:rFonts w:ascii="Times New Roman" w:hAnsi="Times New Roman"/>
                <w:sz w:val="24"/>
                <w:szCs w:val="24"/>
              </w:rPr>
              <w:t xml:space="preserve"> Nr.</w:t>
            </w:r>
            <w:r w:rsidR="008C07EA" w:rsidRPr="00422E3B">
              <w:rPr>
                <w:rFonts w:ascii="Times New Roman" w:hAnsi="Times New Roman"/>
                <w:sz w:val="24"/>
                <w:szCs w:val="24"/>
              </w:rPr>
              <w:t>460 “Grozījumi Ministru kabineta 2007.</w:t>
            </w:r>
            <w:r w:rsidR="001D41F9" w:rsidRPr="00422E3B">
              <w:rPr>
                <w:rFonts w:ascii="Times New Roman" w:hAnsi="Times New Roman"/>
                <w:sz w:val="24"/>
                <w:szCs w:val="24"/>
              </w:rPr>
              <w:t> </w:t>
            </w:r>
            <w:r w:rsidR="008C07EA" w:rsidRPr="00422E3B">
              <w:rPr>
                <w:rFonts w:ascii="Times New Roman" w:hAnsi="Times New Roman"/>
                <w:sz w:val="24"/>
                <w:szCs w:val="24"/>
              </w:rPr>
              <w:t xml:space="preserve">gada 2. maija noteikumos Nr. 296 </w:t>
            </w:r>
            <w:r w:rsidR="008C69A0" w:rsidRPr="00422E3B">
              <w:rPr>
                <w:rFonts w:ascii="Times New Roman" w:hAnsi="Times New Roman"/>
                <w:sz w:val="24"/>
                <w:szCs w:val="24"/>
              </w:rPr>
              <w:t>“</w:t>
            </w:r>
            <w:hyperlink r:id="rId10" w:tgtFrame="_blank" w:history="1">
              <w:r w:rsidR="008C07EA" w:rsidRPr="00422E3B">
                <w:rPr>
                  <w:rFonts w:ascii="Times New Roman" w:hAnsi="Times New Roman"/>
                  <w:sz w:val="24"/>
                  <w:szCs w:val="24"/>
                </w:rPr>
                <w:t>Noteikumi par rūpniecisko zveju teritoriālajos ūdeņos un ekonomiskās zonas ūdeņos</w:t>
              </w:r>
            </w:hyperlink>
            <w:r w:rsidR="008C07EA" w:rsidRPr="00422E3B">
              <w:rPr>
                <w:rFonts w:ascii="Times New Roman" w:hAnsi="Times New Roman"/>
                <w:sz w:val="24"/>
                <w:szCs w:val="24"/>
              </w:rPr>
              <w:t>””</w:t>
            </w:r>
            <w:r w:rsidRPr="00422E3B">
              <w:rPr>
                <w:rFonts w:ascii="Times New Roman" w:hAnsi="Times New Roman"/>
                <w:sz w:val="24"/>
                <w:szCs w:val="24"/>
              </w:rPr>
              <w:t>. Šis nozvejas apjoms netiks ieskaitīts kopējā mencas nozvejas kvotas apguvē,</w:t>
            </w:r>
            <w:r w:rsidR="001D41F9" w:rsidRPr="00422E3B">
              <w:rPr>
                <w:rFonts w:ascii="Times New Roman" w:hAnsi="Times New Roman"/>
                <w:sz w:val="24"/>
                <w:szCs w:val="24"/>
              </w:rPr>
              <w:t xml:space="preserve"> un</w:t>
            </w:r>
            <w:r w:rsidRPr="00422E3B">
              <w:rPr>
                <w:rFonts w:ascii="Times New Roman" w:hAnsi="Times New Roman"/>
                <w:sz w:val="24"/>
                <w:szCs w:val="24"/>
              </w:rPr>
              <w:t xml:space="preserve"> tā turpmāk tiks dalīta tikai </w:t>
            </w:r>
            <w:proofErr w:type="spellStart"/>
            <w:r w:rsidRPr="00422E3B">
              <w:rPr>
                <w:rFonts w:ascii="Times New Roman" w:hAnsi="Times New Roman"/>
                <w:sz w:val="24"/>
                <w:szCs w:val="24"/>
              </w:rPr>
              <w:t>komerczvejniekiem</w:t>
            </w:r>
            <w:proofErr w:type="spellEnd"/>
            <w:r w:rsidR="001D41F9" w:rsidRPr="00422E3B">
              <w:rPr>
                <w:rFonts w:ascii="Times New Roman" w:hAnsi="Times New Roman"/>
                <w:sz w:val="24"/>
                <w:szCs w:val="24"/>
              </w:rPr>
              <w:t>, tāpēc</w:t>
            </w:r>
            <w:r w:rsidRPr="00422E3B">
              <w:rPr>
                <w:rFonts w:ascii="Times New Roman" w:hAnsi="Times New Roman"/>
                <w:sz w:val="24"/>
                <w:szCs w:val="24"/>
              </w:rPr>
              <w:t xml:space="preserve"> pašpatēriņa zvejniekiem limitos </w:t>
            </w:r>
            <w:r w:rsidR="001D41F9" w:rsidRPr="00422E3B">
              <w:rPr>
                <w:rFonts w:ascii="Times New Roman" w:hAnsi="Times New Roman"/>
                <w:sz w:val="24"/>
                <w:szCs w:val="24"/>
              </w:rPr>
              <w:t>patlaban</w:t>
            </w:r>
            <w:r w:rsidRPr="00422E3B">
              <w:rPr>
                <w:rFonts w:ascii="Times New Roman" w:hAnsi="Times New Roman"/>
                <w:sz w:val="24"/>
                <w:szCs w:val="24"/>
              </w:rPr>
              <w:t xml:space="preserve"> sadalītā mencu apjoma daļa tiks saglabāta </w:t>
            </w:r>
            <w:proofErr w:type="spellStart"/>
            <w:r w:rsidRPr="00422E3B">
              <w:rPr>
                <w:rFonts w:ascii="Times New Roman" w:hAnsi="Times New Roman"/>
                <w:sz w:val="24"/>
                <w:szCs w:val="24"/>
              </w:rPr>
              <w:t>komerczvejai</w:t>
            </w:r>
            <w:proofErr w:type="spellEnd"/>
            <w:r w:rsidRPr="00422E3B">
              <w:rPr>
                <w:rFonts w:ascii="Times New Roman" w:hAnsi="Times New Roman"/>
                <w:sz w:val="24"/>
                <w:szCs w:val="24"/>
              </w:rPr>
              <w:t>;</w:t>
            </w:r>
          </w:p>
          <w:p w14:paraId="2BFC4BF8" w14:textId="56772A0E" w:rsidR="003E68C6" w:rsidRPr="00422E3B" w:rsidRDefault="00BF3601" w:rsidP="00BF3601">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2) </w:t>
            </w:r>
            <w:r w:rsidR="001D41F9" w:rsidRPr="00422E3B">
              <w:rPr>
                <w:rFonts w:ascii="Times New Roman" w:hAnsi="Times New Roman"/>
                <w:sz w:val="24"/>
                <w:szCs w:val="24"/>
              </w:rPr>
              <w:t>tā kā</w:t>
            </w:r>
            <w:r w:rsidR="00AD6BAC" w:rsidRPr="00422E3B">
              <w:rPr>
                <w:rFonts w:ascii="Times New Roman" w:hAnsi="Times New Roman"/>
                <w:sz w:val="24"/>
                <w:szCs w:val="24"/>
              </w:rPr>
              <w:t xml:space="preserve"> pašpatēriņa zvejas apjom</w:t>
            </w:r>
            <w:r w:rsidR="001D41F9" w:rsidRPr="00422E3B">
              <w:rPr>
                <w:rFonts w:ascii="Times New Roman" w:hAnsi="Times New Roman"/>
                <w:sz w:val="24"/>
                <w:szCs w:val="24"/>
              </w:rPr>
              <w:t>s</w:t>
            </w:r>
            <w:r w:rsidR="00AD6BAC" w:rsidRPr="00422E3B">
              <w:rPr>
                <w:rFonts w:ascii="Times New Roman" w:hAnsi="Times New Roman"/>
                <w:sz w:val="24"/>
                <w:szCs w:val="24"/>
              </w:rPr>
              <w:t xml:space="preserve"> no limitiem tiks izslēgt</w:t>
            </w:r>
            <w:r w:rsidR="001D41F9" w:rsidRPr="00422E3B">
              <w:rPr>
                <w:rFonts w:ascii="Times New Roman" w:hAnsi="Times New Roman"/>
                <w:sz w:val="24"/>
                <w:szCs w:val="24"/>
              </w:rPr>
              <w:t>s</w:t>
            </w:r>
            <w:r w:rsidR="00AD6BAC" w:rsidRPr="00422E3B">
              <w:rPr>
                <w:rFonts w:ascii="Times New Roman" w:hAnsi="Times New Roman"/>
                <w:sz w:val="24"/>
                <w:szCs w:val="24"/>
              </w:rPr>
              <w:t xml:space="preserve">, </w:t>
            </w:r>
            <w:proofErr w:type="spellStart"/>
            <w:r w:rsidR="00AD6BAC" w:rsidRPr="00422E3B">
              <w:rPr>
                <w:rFonts w:ascii="Times New Roman" w:hAnsi="Times New Roman"/>
                <w:sz w:val="24"/>
                <w:szCs w:val="24"/>
              </w:rPr>
              <w:t>komerczvejā</w:t>
            </w:r>
            <w:proofErr w:type="spellEnd"/>
            <w:r w:rsidR="00AD6BAC" w:rsidRPr="00422E3B">
              <w:rPr>
                <w:rFonts w:ascii="Times New Roman" w:hAnsi="Times New Roman"/>
                <w:sz w:val="24"/>
                <w:szCs w:val="24"/>
              </w:rPr>
              <w:t xml:space="preserve"> tiem zvejniekiem, k</w:t>
            </w:r>
            <w:r w:rsidR="001D41F9" w:rsidRPr="00422E3B">
              <w:rPr>
                <w:rFonts w:ascii="Times New Roman" w:hAnsi="Times New Roman"/>
                <w:sz w:val="24"/>
                <w:szCs w:val="24"/>
              </w:rPr>
              <w:t>a</w:t>
            </w:r>
            <w:r w:rsidR="00AD6BAC" w:rsidRPr="00422E3B">
              <w:rPr>
                <w:rFonts w:ascii="Times New Roman" w:hAnsi="Times New Roman"/>
                <w:sz w:val="24"/>
                <w:szCs w:val="24"/>
              </w:rPr>
              <w:t>m nebūs iedalīts atsevišķs mencu nozvejas apjoma limits, būs iespēja paturēt mencu lomā</w:t>
            </w:r>
            <w:r w:rsidR="001D41F9" w:rsidRPr="00422E3B">
              <w:rPr>
                <w:rFonts w:ascii="Times New Roman" w:hAnsi="Times New Roman"/>
                <w:sz w:val="24"/>
                <w:szCs w:val="24"/>
              </w:rPr>
              <w:t>,</w:t>
            </w:r>
            <w:r w:rsidR="00AD6BAC" w:rsidRPr="00422E3B">
              <w:rPr>
                <w:rFonts w:ascii="Times New Roman" w:hAnsi="Times New Roman"/>
                <w:sz w:val="24"/>
                <w:szCs w:val="24"/>
              </w:rPr>
              <w:t xml:space="preserve"> izmantojot kopējo Baltijas jūras piekrastei </w:t>
            </w:r>
            <w:proofErr w:type="gramStart"/>
            <w:r w:rsidR="00AD6BAC" w:rsidRPr="00422E3B">
              <w:rPr>
                <w:rFonts w:ascii="Times New Roman" w:hAnsi="Times New Roman"/>
                <w:sz w:val="24"/>
                <w:szCs w:val="24"/>
              </w:rPr>
              <w:t>(</w:t>
            </w:r>
            <w:proofErr w:type="gramEnd"/>
            <w:r w:rsidRPr="00422E3B">
              <w:rPr>
                <w:rFonts w:ascii="Times New Roman" w:hAnsi="Times New Roman"/>
                <w:sz w:val="24"/>
                <w:szCs w:val="24"/>
              </w:rPr>
              <w:t>noteikumu projekta 1.</w:t>
            </w:r>
            <w:r w:rsidR="003E68C6" w:rsidRPr="00422E3B">
              <w:rPr>
                <w:rFonts w:ascii="Times New Roman" w:hAnsi="Times New Roman"/>
                <w:sz w:val="24"/>
                <w:szCs w:val="24"/>
              </w:rPr>
              <w:t>1</w:t>
            </w:r>
            <w:r w:rsidRPr="00422E3B">
              <w:rPr>
                <w:rFonts w:ascii="Times New Roman" w:hAnsi="Times New Roman"/>
                <w:sz w:val="24"/>
                <w:szCs w:val="24"/>
              </w:rPr>
              <w:t>.</w:t>
            </w:r>
            <w:r w:rsidR="00A7151D" w:rsidRPr="00422E3B">
              <w:rPr>
                <w:rFonts w:ascii="Times New Roman" w:hAnsi="Times New Roman"/>
                <w:sz w:val="24"/>
                <w:szCs w:val="24"/>
              </w:rPr>
              <w:t xml:space="preserve"> un 1.4.</w:t>
            </w:r>
            <w:r w:rsidR="008C07EA" w:rsidRPr="00422E3B">
              <w:rPr>
                <w:rFonts w:ascii="Times New Roman" w:hAnsi="Times New Roman"/>
                <w:sz w:val="24"/>
                <w:szCs w:val="24"/>
              </w:rPr>
              <w:t xml:space="preserve">  </w:t>
            </w:r>
            <w:r w:rsidRPr="00422E3B">
              <w:rPr>
                <w:rFonts w:ascii="Times New Roman" w:hAnsi="Times New Roman"/>
                <w:sz w:val="24"/>
                <w:szCs w:val="24"/>
              </w:rPr>
              <w:t>apakšpunkts</w:t>
            </w:r>
            <w:r w:rsidR="00AD6BAC" w:rsidRPr="00422E3B">
              <w:rPr>
                <w:rFonts w:ascii="Times New Roman" w:hAnsi="Times New Roman"/>
                <w:sz w:val="24"/>
                <w:szCs w:val="24"/>
              </w:rPr>
              <w:t xml:space="preserve">) vai Rīgas jūras līča piekrastei noteikto nesadalīto piezvejas apjoma limitu. </w:t>
            </w:r>
            <w:r w:rsidR="00FC22CA" w:rsidRPr="00422E3B">
              <w:rPr>
                <w:rFonts w:ascii="Times New Roman" w:hAnsi="Times New Roman"/>
                <w:sz w:val="24"/>
                <w:szCs w:val="24"/>
              </w:rPr>
              <w:t xml:space="preserve">Tāpat </w:t>
            </w:r>
            <w:r w:rsidR="003E68C6" w:rsidRPr="00422E3B">
              <w:rPr>
                <w:rFonts w:ascii="Times New Roman" w:hAnsi="Times New Roman"/>
                <w:sz w:val="24"/>
                <w:szCs w:val="24"/>
              </w:rPr>
              <w:t>Baltijas jūras piekrastē komerciālajā zvejā paredzēts</w:t>
            </w:r>
            <w:r w:rsidR="001D41F9" w:rsidRPr="00422E3B">
              <w:rPr>
                <w:rFonts w:ascii="Times New Roman" w:hAnsi="Times New Roman"/>
                <w:sz w:val="24"/>
                <w:szCs w:val="24"/>
              </w:rPr>
              <w:t>:</w:t>
            </w:r>
            <w:r w:rsidR="003E68C6" w:rsidRPr="00422E3B">
              <w:rPr>
                <w:rFonts w:ascii="Times New Roman" w:hAnsi="Times New Roman"/>
                <w:sz w:val="24"/>
                <w:szCs w:val="24"/>
              </w:rPr>
              <w:t xml:space="preserve"> ja mencu piezvejas apjoms ir būtisks –</w:t>
            </w:r>
            <w:r w:rsidR="00A7151D" w:rsidRPr="00422E3B">
              <w:rPr>
                <w:rFonts w:ascii="Times New Roman" w:hAnsi="Times New Roman"/>
                <w:sz w:val="24"/>
                <w:szCs w:val="24"/>
              </w:rPr>
              <w:t xml:space="preserve"> </w:t>
            </w:r>
            <w:r w:rsidR="003E68C6" w:rsidRPr="00422E3B">
              <w:rPr>
                <w:rFonts w:ascii="Times New Roman" w:hAnsi="Times New Roman"/>
                <w:sz w:val="24"/>
                <w:szCs w:val="24"/>
              </w:rPr>
              <w:t xml:space="preserve">gadā sasniegtu 100 kg, zvejniekam pašvaldībā </w:t>
            </w:r>
            <w:r w:rsidR="001D41F9" w:rsidRPr="00422E3B">
              <w:rPr>
                <w:rFonts w:ascii="Times New Roman" w:hAnsi="Times New Roman"/>
                <w:sz w:val="24"/>
                <w:szCs w:val="24"/>
              </w:rPr>
              <w:t>būs jā</w:t>
            </w:r>
            <w:r w:rsidR="003E68C6" w:rsidRPr="00422E3B">
              <w:rPr>
                <w:rFonts w:ascii="Times New Roman" w:hAnsi="Times New Roman"/>
                <w:sz w:val="24"/>
                <w:szCs w:val="24"/>
              </w:rPr>
              <w:t>saņe</w:t>
            </w:r>
            <w:r w:rsidR="00A7151D" w:rsidRPr="00422E3B">
              <w:rPr>
                <w:rFonts w:ascii="Times New Roman" w:hAnsi="Times New Roman"/>
                <w:sz w:val="24"/>
                <w:szCs w:val="24"/>
              </w:rPr>
              <w:t>m mencu nozvejas apjoma limit</w:t>
            </w:r>
            <w:r w:rsidR="001D41F9" w:rsidRPr="00422E3B">
              <w:rPr>
                <w:rFonts w:ascii="Times New Roman" w:hAnsi="Times New Roman"/>
                <w:sz w:val="24"/>
                <w:szCs w:val="24"/>
              </w:rPr>
              <w:t>s</w:t>
            </w:r>
            <w:r w:rsidR="00A7151D" w:rsidRPr="00422E3B">
              <w:rPr>
                <w:rFonts w:ascii="Times New Roman" w:hAnsi="Times New Roman"/>
                <w:sz w:val="24"/>
                <w:szCs w:val="24"/>
              </w:rPr>
              <w:t xml:space="preserve"> (noteikumu projekta 1.2. un 1.4.</w:t>
            </w:r>
            <w:r w:rsidR="008C07EA" w:rsidRPr="00422E3B">
              <w:rPr>
                <w:rFonts w:ascii="Times New Roman" w:hAnsi="Times New Roman"/>
                <w:sz w:val="24"/>
                <w:szCs w:val="24"/>
              </w:rPr>
              <w:t xml:space="preserve"> </w:t>
            </w:r>
            <w:r w:rsidR="00A7151D" w:rsidRPr="00422E3B">
              <w:rPr>
                <w:rFonts w:ascii="Times New Roman" w:hAnsi="Times New Roman"/>
                <w:sz w:val="24"/>
                <w:szCs w:val="24"/>
              </w:rPr>
              <w:t>apakšpunkts).</w:t>
            </w:r>
          </w:p>
          <w:p w14:paraId="43E22798" w14:textId="08FB40C3" w:rsidR="00AD6BAC" w:rsidRPr="00422E3B" w:rsidRDefault="00AD6BAC" w:rsidP="00BF3601">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Kopumā piedāvātais risinājums nemaina pašvaldībām piešķirtās mencu nozvejas iespējas, jo no kopējā nozvejas apjoma limita tiks izņemti pašpatēriņa zvejniekiem piešķirtie nozvejas apjoma limiti, kas iepriekš tika ieskaitīti kopējā pašvaldībai piešķirtā nozvejas apjoma limitā.</w:t>
            </w:r>
          </w:p>
          <w:p w14:paraId="44AB8835" w14:textId="06B04C27" w:rsidR="00BF3601" w:rsidRPr="00422E3B" w:rsidRDefault="003E68C6" w:rsidP="00BF3601">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4. </w:t>
            </w:r>
            <w:r w:rsidR="00BF3601" w:rsidRPr="00422E3B">
              <w:rPr>
                <w:rFonts w:ascii="Times New Roman" w:hAnsi="Times New Roman"/>
                <w:sz w:val="24"/>
                <w:szCs w:val="24"/>
              </w:rPr>
              <w:t>Saskaņā ar MK noteikumu Nr.1375 5.</w:t>
            </w:r>
            <w:r w:rsidR="00760547" w:rsidRPr="00422E3B">
              <w:rPr>
                <w:rFonts w:ascii="Times New Roman" w:hAnsi="Times New Roman"/>
                <w:sz w:val="24"/>
                <w:szCs w:val="24"/>
                <w:vertAlign w:val="superscript"/>
              </w:rPr>
              <w:t>1</w:t>
            </w:r>
            <w:r w:rsidR="00BF3601" w:rsidRPr="00422E3B">
              <w:rPr>
                <w:rFonts w:ascii="Times New Roman" w:hAnsi="Times New Roman"/>
                <w:sz w:val="24"/>
                <w:szCs w:val="24"/>
              </w:rPr>
              <w:t xml:space="preserve"> punktu pašvaldība nedrīkst pārdalīt citiem zvejas tiesību nomniekiem to zvejas rīku limitu, kas bija iedalīts zvejas tiesību nomniekam, kurš nodevis sadalīšanai (</w:t>
            </w:r>
            <w:r w:rsidR="001D41F9" w:rsidRPr="00422E3B">
              <w:rPr>
                <w:rFonts w:ascii="Times New Roman" w:hAnsi="Times New Roman"/>
                <w:sz w:val="24"/>
                <w:szCs w:val="24"/>
              </w:rPr>
              <w:t>arī</w:t>
            </w:r>
            <w:r w:rsidR="00BF3601" w:rsidRPr="00422E3B">
              <w:rPr>
                <w:rFonts w:ascii="Times New Roman" w:hAnsi="Times New Roman"/>
                <w:sz w:val="24"/>
                <w:szCs w:val="24"/>
              </w:rPr>
              <w:t xml:space="preserve"> sagrie</w:t>
            </w:r>
            <w:r w:rsidR="001D41F9" w:rsidRPr="00422E3B">
              <w:rPr>
                <w:rFonts w:ascii="Times New Roman" w:hAnsi="Times New Roman"/>
                <w:sz w:val="24"/>
                <w:szCs w:val="24"/>
              </w:rPr>
              <w:t>šanai</w:t>
            </w:r>
            <w:r w:rsidR="00BF3601" w:rsidRPr="00422E3B">
              <w:rPr>
                <w:rFonts w:ascii="Times New Roman" w:hAnsi="Times New Roman"/>
                <w:sz w:val="24"/>
                <w:szCs w:val="24"/>
              </w:rPr>
              <w:t xml:space="preserve"> metāllūžņos) vai izmantošanai citiem</w:t>
            </w:r>
            <w:r w:rsidR="001D41F9" w:rsidRPr="00422E3B">
              <w:rPr>
                <w:rFonts w:ascii="Times New Roman" w:hAnsi="Times New Roman"/>
                <w:sz w:val="24"/>
                <w:szCs w:val="24"/>
              </w:rPr>
              <w:t>, ar</w:t>
            </w:r>
            <w:r w:rsidR="00BF3601" w:rsidRPr="00422E3B">
              <w:rPr>
                <w:rFonts w:ascii="Times New Roman" w:hAnsi="Times New Roman"/>
                <w:sz w:val="24"/>
                <w:szCs w:val="24"/>
              </w:rPr>
              <w:t xml:space="preserve"> </w:t>
            </w:r>
            <w:r w:rsidR="001D41F9" w:rsidRPr="00422E3B">
              <w:rPr>
                <w:rFonts w:ascii="Times New Roman" w:hAnsi="Times New Roman"/>
                <w:sz w:val="24"/>
                <w:szCs w:val="24"/>
              </w:rPr>
              <w:t xml:space="preserve">zvejniecību nesaistītiem </w:t>
            </w:r>
            <w:r w:rsidR="00BF3601" w:rsidRPr="00422E3B">
              <w:rPr>
                <w:rFonts w:ascii="Times New Roman" w:hAnsi="Times New Roman"/>
                <w:sz w:val="24"/>
                <w:szCs w:val="24"/>
              </w:rPr>
              <w:t xml:space="preserve">mērķiem pēdējo </w:t>
            </w:r>
            <w:r w:rsidR="001D41F9" w:rsidRPr="00422E3B">
              <w:rPr>
                <w:rFonts w:ascii="Times New Roman" w:hAnsi="Times New Roman"/>
                <w:sz w:val="24"/>
                <w:szCs w:val="24"/>
              </w:rPr>
              <w:t>savā</w:t>
            </w:r>
            <w:r w:rsidR="00BF3601" w:rsidRPr="00422E3B">
              <w:rPr>
                <w:rFonts w:ascii="Times New Roman" w:hAnsi="Times New Roman"/>
                <w:sz w:val="24"/>
                <w:szCs w:val="24"/>
              </w:rPr>
              <w:t xml:space="preserve"> īpašumā esošo zvejas kuģi un par to </w:t>
            </w:r>
            <w:r w:rsidR="001D41F9" w:rsidRPr="00422E3B">
              <w:rPr>
                <w:rFonts w:ascii="Times New Roman" w:hAnsi="Times New Roman"/>
                <w:sz w:val="24"/>
                <w:szCs w:val="24"/>
              </w:rPr>
              <w:t xml:space="preserve">saņēmis </w:t>
            </w:r>
            <w:r w:rsidR="00BF3601" w:rsidRPr="00422E3B">
              <w:rPr>
                <w:rFonts w:ascii="Times New Roman" w:hAnsi="Times New Roman"/>
                <w:sz w:val="24"/>
                <w:szCs w:val="24"/>
              </w:rPr>
              <w:t xml:space="preserve">atbalstu atbilstoši Ministru kabineta 2008. gada 6. maija noteikumiem Nr. 323 </w:t>
            </w:r>
            <w:r w:rsidR="008C69A0" w:rsidRPr="00422E3B">
              <w:rPr>
                <w:rFonts w:ascii="Times New Roman" w:hAnsi="Times New Roman"/>
                <w:sz w:val="24"/>
                <w:szCs w:val="24"/>
              </w:rPr>
              <w:t>“</w:t>
            </w:r>
            <w:r w:rsidR="00BF3601" w:rsidRPr="00422E3B">
              <w:rPr>
                <w:rFonts w:ascii="Times New Roman" w:hAnsi="Times New Roman"/>
                <w:sz w:val="24"/>
                <w:szCs w:val="24"/>
              </w:rPr>
              <w:t xml:space="preserve">Valsts un Eiropas Savienības atbalsta piešķiršanas kārtība zivsaimniecības attīstībai pasākumam "Zvejas aktivitāšu pilnīga pārtraukšana"". </w:t>
            </w:r>
            <w:r w:rsidR="001D41F9" w:rsidRPr="00422E3B">
              <w:rPr>
                <w:rFonts w:ascii="Times New Roman" w:hAnsi="Times New Roman"/>
                <w:sz w:val="24"/>
                <w:szCs w:val="24"/>
              </w:rPr>
              <w:t xml:space="preserve">Savukārt </w:t>
            </w:r>
            <w:r w:rsidR="00712662" w:rsidRPr="00422E3B">
              <w:rPr>
                <w:rFonts w:ascii="Times New Roman" w:hAnsi="Times New Roman"/>
                <w:sz w:val="24"/>
                <w:szCs w:val="24"/>
              </w:rPr>
              <w:t>ZM</w:t>
            </w:r>
            <w:r w:rsidR="00BF3601" w:rsidRPr="00422E3B">
              <w:rPr>
                <w:rFonts w:ascii="Times New Roman" w:hAnsi="Times New Roman"/>
                <w:sz w:val="24"/>
                <w:szCs w:val="24"/>
              </w:rPr>
              <w:t xml:space="preserve"> apkopo minēto informāciju un attiecīgajai piekrastes pašvaldībai samazina </w:t>
            </w:r>
            <w:r w:rsidR="00760547" w:rsidRPr="00422E3B">
              <w:rPr>
                <w:rFonts w:ascii="Times New Roman" w:hAnsi="Times New Roman"/>
                <w:sz w:val="24"/>
                <w:szCs w:val="24"/>
              </w:rPr>
              <w:t>MK</w:t>
            </w:r>
            <w:r w:rsidR="00BF3601" w:rsidRPr="00422E3B">
              <w:rPr>
                <w:rFonts w:ascii="Times New Roman" w:hAnsi="Times New Roman"/>
                <w:sz w:val="24"/>
                <w:szCs w:val="24"/>
              </w:rPr>
              <w:t xml:space="preserve"> noteikumu </w:t>
            </w:r>
            <w:r w:rsidR="00760547" w:rsidRPr="00422E3B">
              <w:rPr>
                <w:rFonts w:ascii="Times New Roman" w:hAnsi="Times New Roman"/>
                <w:sz w:val="24"/>
                <w:szCs w:val="24"/>
              </w:rPr>
              <w:t xml:space="preserve">Nr. 1375 </w:t>
            </w:r>
            <w:r w:rsidR="00BF3601" w:rsidRPr="00422E3B">
              <w:rPr>
                <w:rFonts w:ascii="Times New Roman" w:hAnsi="Times New Roman"/>
                <w:sz w:val="24"/>
                <w:szCs w:val="24"/>
              </w:rPr>
              <w:t>2.</w:t>
            </w:r>
            <w:r w:rsidR="00760547" w:rsidRPr="00422E3B">
              <w:rPr>
                <w:rFonts w:ascii="Times New Roman" w:hAnsi="Times New Roman"/>
                <w:sz w:val="24"/>
                <w:szCs w:val="24"/>
              </w:rPr>
              <w:t> </w:t>
            </w:r>
            <w:r w:rsidR="00BF3601" w:rsidRPr="00422E3B">
              <w:rPr>
                <w:rFonts w:ascii="Times New Roman" w:hAnsi="Times New Roman"/>
                <w:sz w:val="24"/>
                <w:szCs w:val="24"/>
              </w:rPr>
              <w:t xml:space="preserve">pielikumā </w:t>
            </w:r>
            <w:r w:rsidR="001D41F9" w:rsidRPr="00422E3B">
              <w:rPr>
                <w:rFonts w:ascii="Times New Roman" w:hAnsi="Times New Roman"/>
                <w:sz w:val="24"/>
                <w:szCs w:val="24"/>
              </w:rPr>
              <w:t xml:space="preserve">noteikto </w:t>
            </w:r>
            <w:r w:rsidR="00BF3601" w:rsidRPr="00422E3B">
              <w:rPr>
                <w:rFonts w:ascii="Times New Roman" w:hAnsi="Times New Roman"/>
                <w:sz w:val="24"/>
                <w:szCs w:val="24"/>
              </w:rPr>
              <w:t>kopējo tai piešķirto zvejas rīku skaita limitu</w:t>
            </w:r>
            <w:r w:rsidR="00A7151D" w:rsidRPr="00422E3B">
              <w:rPr>
                <w:rFonts w:ascii="Times New Roman" w:hAnsi="Times New Roman"/>
                <w:sz w:val="24"/>
                <w:szCs w:val="24"/>
              </w:rPr>
              <w:t>.</w:t>
            </w:r>
          </w:p>
          <w:p w14:paraId="34438E71" w14:textId="1FEFB86F" w:rsidR="00EA63D6" w:rsidRPr="00422E3B" w:rsidRDefault="001D41F9" w:rsidP="001D41F9">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Tā kā</w:t>
            </w:r>
            <w:r w:rsidR="00BF3601" w:rsidRPr="00422E3B">
              <w:rPr>
                <w:rFonts w:ascii="Times New Roman" w:hAnsi="Times New Roman"/>
                <w:sz w:val="24"/>
                <w:szCs w:val="24"/>
              </w:rPr>
              <w:t xml:space="preserve"> 2015.</w:t>
            </w:r>
            <w:r w:rsidR="00760547" w:rsidRPr="00422E3B">
              <w:rPr>
                <w:rFonts w:ascii="Times New Roman" w:hAnsi="Times New Roman"/>
                <w:sz w:val="24"/>
                <w:szCs w:val="24"/>
              </w:rPr>
              <w:t xml:space="preserve"> </w:t>
            </w:r>
            <w:r w:rsidR="00BF3601" w:rsidRPr="00422E3B">
              <w:rPr>
                <w:rFonts w:ascii="Times New Roman" w:hAnsi="Times New Roman"/>
                <w:sz w:val="24"/>
                <w:szCs w:val="24"/>
              </w:rPr>
              <w:t xml:space="preserve">gadā vairāki komersanti nodeva sadalīšanai pēdējo </w:t>
            </w:r>
            <w:r w:rsidRPr="00422E3B">
              <w:rPr>
                <w:rFonts w:ascii="Times New Roman" w:hAnsi="Times New Roman"/>
                <w:sz w:val="24"/>
                <w:szCs w:val="24"/>
              </w:rPr>
              <w:t>savā</w:t>
            </w:r>
            <w:r w:rsidR="00BF3601" w:rsidRPr="00422E3B">
              <w:rPr>
                <w:rFonts w:ascii="Times New Roman" w:hAnsi="Times New Roman"/>
                <w:sz w:val="24"/>
                <w:szCs w:val="24"/>
              </w:rPr>
              <w:t xml:space="preserve"> īpašumā esošo zvejas laivu un beidza komercdarbību zvejniecībā, ministrijai MK noteikumu Nr.</w:t>
            </w:r>
            <w:r w:rsidR="00760547" w:rsidRPr="00422E3B">
              <w:rPr>
                <w:rFonts w:ascii="Times New Roman" w:hAnsi="Times New Roman"/>
                <w:sz w:val="24"/>
                <w:szCs w:val="24"/>
              </w:rPr>
              <w:t xml:space="preserve"> </w:t>
            </w:r>
            <w:r w:rsidR="00BF3601" w:rsidRPr="00422E3B">
              <w:rPr>
                <w:rFonts w:ascii="Times New Roman" w:hAnsi="Times New Roman"/>
                <w:sz w:val="24"/>
                <w:szCs w:val="24"/>
              </w:rPr>
              <w:t>1375 2.</w:t>
            </w:r>
            <w:r w:rsidR="00760547" w:rsidRPr="00422E3B">
              <w:rPr>
                <w:rFonts w:ascii="Times New Roman" w:hAnsi="Times New Roman"/>
                <w:sz w:val="24"/>
                <w:szCs w:val="24"/>
              </w:rPr>
              <w:t xml:space="preserve"> </w:t>
            </w:r>
            <w:r w:rsidR="00BF3601" w:rsidRPr="00422E3B">
              <w:rPr>
                <w:rFonts w:ascii="Times New Roman" w:hAnsi="Times New Roman"/>
                <w:sz w:val="24"/>
                <w:szCs w:val="24"/>
              </w:rPr>
              <w:t>pielikumā ir jāsamazina</w:t>
            </w:r>
            <w:r w:rsidR="00EA63D6" w:rsidRPr="00422E3B">
              <w:rPr>
                <w:rFonts w:ascii="Times New Roman" w:hAnsi="Times New Roman"/>
                <w:sz w:val="24"/>
                <w:szCs w:val="24"/>
              </w:rPr>
              <w:t xml:space="preserve"> pašvaldībām noteiktie kopējie zvejas rīku limiti (noteikumu projekta 1.4. apakšpunkts):</w:t>
            </w:r>
          </w:p>
          <w:p w14:paraId="592A6D58" w14:textId="12897859" w:rsidR="00EA63D6" w:rsidRPr="00422E3B" w:rsidRDefault="00EA63D6" w:rsidP="00EA63D6">
            <w:pPr>
              <w:pStyle w:val="Sarakstarindkopa"/>
              <w:numPr>
                <w:ilvl w:val="0"/>
                <w:numId w:val="8"/>
              </w:num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Rīgas pilsētas pašvaldībai </w:t>
            </w:r>
            <w:r w:rsidR="00F85D8A" w:rsidRPr="00422E3B">
              <w:rPr>
                <w:rFonts w:ascii="Times New Roman" w:hAnsi="Times New Roman"/>
                <w:sz w:val="24"/>
                <w:szCs w:val="24"/>
              </w:rPr>
              <w:t>1</w:t>
            </w:r>
            <w:r w:rsidRPr="00422E3B">
              <w:rPr>
                <w:rFonts w:ascii="Times New Roman" w:hAnsi="Times New Roman"/>
                <w:sz w:val="24"/>
                <w:szCs w:val="24"/>
              </w:rPr>
              <w:t xml:space="preserve"> gab. z</w:t>
            </w:r>
            <w:r w:rsidR="00F85D8A" w:rsidRPr="00422E3B">
              <w:rPr>
                <w:rFonts w:ascii="Times New Roman" w:hAnsi="Times New Roman"/>
                <w:sz w:val="24"/>
                <w:szCs w:val="24"/>
              </w:rPr>
              <w:t>ivju murds</w:t>
            </w:r>
            <w:r w:rsidRPr="00422E3B">
              <w:rPr>
                <w:rFonts w:ascii="Times New Roman" w:hAnsi="Times New Roman"/>
                <w:sz w:val="24"/>
                <w:szCs w:val="24"/>
              </w:rPr>
              <w:t xml:space="preserve">, </w:t>
            </w:r>
            <w:r w:rsidR="00F85D8A" w:rsidRPr="00422E3B">
              <w:rPr>
                <w:rFonts w:ascii="Times New Roman" w:hAnsi="Times New Roman"/>
                <w:sz w:val="24"/>
                <w:szCs w:val="24"/>
              </w:rPr>
              <w:t>10</w:t>
            </w:r>
            <w:r w:rsidRPr="00422E3B">
              <w:rPr>
                <w:rFonts w:ascii="Times New Roman" w:hAnsi="Times New Roman"/>
                <w:sz w:val="24"/>
                <w:szCs w:val="24"/>
              </w:rPr>
              <w:t xml:space="preserve"> gab. zivju tīkli, </w:t>
            </w:r>
            <w:r w:rsidR="00F85D8A" w:rsidRPr="00422E3B">
              <w:rPr>
                <w:rFonts w:ascii="Times New Roman" w:hAnsi="Times New Roman"/>
                <w:sz w:val="24"/>
                <w:szCs w:val="24"/>
              </w:rPr>
              <w:t>2</w:t>
            </w:r>
            <w:r w:rsidRPr="00422E3B">
              <w:rPr>
                <w:rFonts w:ascii="Times New Roman" w:hAnsi="Times New Roman"/>
                <w:sz w:val="24"/>
                <w:szCs w:val="24"/>
              </w:rPr>
              <w:t>00 gab. zivju āķi;</w:t>
            </w:r>
          </w:p>
          <w:p w14:paraId="1690834F" w14:textId="77777777" w:rsidR="00EA63D6" w:rsidRPr="00422E3B" w:rsidRDefault="00BF3601" w:rsidP="00EA63D6">
            <w:pPr>
              <w:pStyle w:val="Sarakstarindkopa"/>
              <w:numPr>
                <w:ilvl w:val="0"/>
                <w:numId w:val="8"/>
              </w:num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Salacgrīvas novada</w:t>
            </w:r>
            <w:r w:rsidR="00EA63D6" w:rsidRPr="00422E3B">
              <w:rPr>
                <w:rFonts w:ascii="Times New Roman" w:hAnsi="Times New Roman"/>
                <w:sz w:val="24"/>
                <w:szCs w:val="24"/>
              </w:rPr>
              <w:t xml:space="preserve"> pašvaldībai 4 zivju tīkli;</w:t>
            </w:r>
          </w:p>
          <w:p w14:paraId="29282496" w14:textId="0F8075EC" w:rsidR="00BF3601" w:rsidRPr="00422E3B" w:rsidRDefault="00EA63D6" w:rsidP="00EA63D6">
            <w:pPr>
              <w:pStyle w:val="Sarakstarindkopa"/>
              <w:numPr>
                <w:ilvl w:val="0"/>
                <w:numId w:val="8"/>
              </w:num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Ventspils novada pašvaldībai </w:t>
            </w:r>
            <w:r w:rsidR="00F85D8A" w:rsidRPr="00422E3B">
              <w:rPr>
                <w:rFonts w:ascii="Times New Roman" w:hAnsi="Times New Roman"/>
                <w:sz w:val="24"/>
                <w:szCs w:val="24"/>
              </w:rPr>
              <w:t>10</w:t>
            </w:r>
            <w:r w:rsidRPr="00422E3B">
              <w:rPr>
                <w:rFonts w:ascii="Times New Roman" w:hAnsi="Times New Roman"/>
                <w:sz w:val="24"/>
                <w:szCs w:val="24"/>
              </w:rPr>
              <w:t xml:space="preserve"> gab. zivju tīkli, </w:t>
            </w:r>
            <w:r w:rsidR="00F85D8A" w:rsidRPr="00422E3B">
              <w:rPr>
                <w:rFonts w:ascii="Times New Roman" w:hAnsi="Times New Roman"/>
                <w:sz w:val="24"/>
                <w:szCs w:val="24"/>
              </w:rPr>
              <w:t>2</w:t>
            </w:r>
            <w:r w:rsidRPr="00422E3B">
              <w:rPr>
                <w:rFonts w:ascii="Times New Roman" w:hAnsi="Times New Roman"/>
                <w:sz w:val="24"/>
                <w:szCs w:val="24"/>
              </w:rPr>
              <w:t xml:space="preserve"> gab. reņģu tīkli, </w:t>
            </w:r>
            <w:r w:rsidR="00F85D8A" w:rsidRPr="00422E3B">
              <w:rPr>
                <w:rFonts w:ascii="Times New Roman" w:hAnsi="Times New Roman"/>
                <w:sz w:val="24"/>
                <w:szCs w:val="24"/>
              </w:rPr>
              <w:t>200</w:t>
            </w:r>
            <w:r w:rsidRPr="00422E3B">
              <w:rPr>
                <w:rFonts w:ascii="Times New Roman" w:hAnsi="Times New Roman"/>
                <w:sz w:val="24"/>
                <w:szCs w:val="24"/>
              </w:rPr>
              <w:t xml:space="preserve"> gab. zivju āķi</w:t>
            </w:r>
            <w:r w:rsidR="00CD7FFA" w:rsidRPr="00422E3B">
              <w:rPr>
                <w:rFonts w:ascii="Times New Roman" w:hAnsi="Times New Roman"/>
                <w:sz w:val="24"/>
                <w:szCs w:val="24"/>
              </w:rPr>
              <w:t>,</w:t>
            </w:r>
            <w:r w:rsidRPr="00422E3B">
              <w:rPr>
                <w:rFonts w:ascii="Times New Roman" w:hAnsi="Times New Roman"/>
                <w:sz w:val="24"/>
                <w:szCs w:val="24"/>
              </w:rPr>
              <w:t xml:space="preserve"> </w:t>
            </w:r>
            <w:r w:rsidR="00F85D8A" w:rsidRPr="00422E3B">
              <w:rPr>
                <w:rFonts w:ascii="Times New Roman" w:hAnsi="Times New Roman"/>
                <w:sz w:val="24"/>
                <w:szCs w:val="24"/>
              </w:rPr>
              <w:t>4</w:t>
            </w:r>
            <w:r w:rsidRPr="00422E3B">
              <w:rPr>
                <w:rFonts w:ascii="Times New Roman" w:hAnsi="Times New Roman"/>
                <w:sz w:val="24"/>
                <w:szCs w:val="24"/>
              </w:rPr>
              <w:t xml:space="preserve"> gab. </w:t>
            </w:r>
            <w:proofErr w:type="spellStart"/>
            <w:r w:rsidRPr="00422E3B">
              <w:rPr>
                <w:rFonts w:ascii="Times New Roman" w:hAnsi="Times New Roman"/>
                <w:sz w:val="24"/>
                <w:szCs w:val="24"/>
              </w:rPr>
              <w:t>akmeņplekstu</w:t>
            </w:r>
            <w:proofErr w:type="spellEnd"/>
            <w:r w:rsidRPr="00422E3B">
              <w:rPr>
                <w:rFonts w:ascii="Times New Roman" w:hAnsi="Times New Roman"/>
                <w:sz w:val="24"/>
                <w:szCs w:val="24"/>
              </w:rPr>
              <w:t xml:space="preserve"> tīkli</w:t>
            </w:r>
            <w:r w:rsidR="009122AE" w:rsidRPr="00422E3B">
              <w:rPr>
                <w:rFonts w:ascii="Times New Roman" w:hAnsi="Times New Roman"/>
                <w:sz w:val="24"/>
                <w:szCs w:val="24"/>
              </w:rPr>
              <w:t xml:space="preserve"> un </w:t>
            </w:r>
            <w:r w:rsidR="00F85D8A" w:rsidRPr="00422E3B">
              <w:rPr>
                <w:rFonts w:ascii="Times New Roman" w:hAnsi="Times New Roman"/>
                <w:sz w:val="24"/>
                <w:szCs w:val="24"/>
              </w:rPr>
              <w:t>viens</w:t>
            </w:r>
            <w:r w:rsidR="009122AE" w:rsidRPr="00422E3B">
              <w:rPr>
                <w:rFonts w:ascii="Times New Roman" w:hAnsi="Times New Roman"/>
                <w:sz w:val="24"/>
                <w:szCs w:val="24"/>
              </w:rPr>
              <w:t xml:space="preserve"> stāvvad</w:t>
            </w:r>
            <w:r w:rsidR="00F85D8A" w:rsidRPr="00422E3B">
              <w:rPr>
                <w:rFonts w:ascii="Times New Roman" w:hAnsi="Times New Roman"/>
                <w:sz w:val="24"/>
                <w:szCs w:val="24"/>
              </w:rPr>
              <w:t>s</w:t>
            </w:r>
            <w:r w:rsidRPr="00422E3B">
              <w:rPr>
                <w:rFonts w:ascii="Times New Roman" w:hAnsi="Times New Roman"/>
                <w:sz w:val="24"/>
                <w:szCs w:val="24"/>
              </w:rPr>
              <w:t>.</w:t>
            </w:r>
          </w:p>
          <w:p w14:paraId="713EE810" w14:textId="5FBC7648" w:rsidR="00EA63D6" w:rsidRPr="00422E3B" w:rsidRDefault="00712662" w:rsidP="001D41F9">
            <w:pPr>
              <w:tabs>
                <w:tab w:val="left" w:pos="6804"/>
              </w:tabs>
              <w:spacing w:after="0" w:line="240" w:lineRule="auto"/>
              <w:jc w:val="both"/>
              <w:rPr>
                <w:rFonts w:ascii="Times New Roman" w:hAnsi="Times New Roman"/>
                <w:sz w:val="24"/>
                <w:szCs w:val="24"/>
              </w:rPr>
            </w:pPr>
            <w:r w:rsidRPr="00422E3B">
              <w:rPr>
                <w:rFonts w:ascii="Times New Roman" w:hAnsi="Times New Roman"/>
                <w:sz w:val="24"/>
                <w:szCs w:val="24"/>
              </w:rPr>
              <w:t xml:space="preserve">5. </w:t>
            </w:r>
            <w:r w:rsidR="00EA63D6" w:rsidRPr="00422E3B">
              <w:rPr>
                <w:rFonts w:ascii="Times New Roman" w:hAnsi="Times New Roman"/>
                <w:sz w:val="24"/>
                <w:szCs w:val="24"/>
              </w:rPr>
              <w:t xml:space="preserve">Noteikumu projekts stājas spēkā ar </w:t>
            </w:r>
            <w:proofErr w:type="gramStart"/>
            <w:r w:rsidR="00EA63D6" w:rsidRPr="00422E3B">
              <w:rPr>
                <w:rFonts w:ascii="Times New Roman" w:hAnsi="Times New Roman"/>
                <w:sz w:val="24"/>
                <w:szCs w:val="24"/>
              </w:rPr>
              <w:t>2018.gada</w:t>
            </w:r>
            <w:proofErr w:type="gramEnd"/>
            <w:r w:rsidR="00EA63D6" w:rsidRPr="00422E3B">
              <w:rPr>
                <w:rFonts w:ascii="Times New Roman" w:hAnsi="Times New Roman"/>
                <w:sz w:val="24"/>
                <w:szCs w:val="24"/>
              </w:rPr>
              <w:t xml:space="preserve"> 1.janvāri, jo pašvaldības zvejniekiem konkrētā gadā izmantojamos limitus iedala katra kalendārā gada </w:t>
            </w:r>
            <w:r w:rsidR="00EA63D6" w:rsidRPr="00422E3B">
              <w:rPr>
                <w:rFonts w:ascii="Times New Roman" w:hAnsi="Times New Roman"/>
                <w:sz w:val="24"/>
                <w:szCs w:val="24"/>
              </w:rPr>
              <w:lastRenderedPageBreak/>
              <w:t>sākumā, noformējot par to attiecīgi rūpnieciskās zvejas tiesību nomas līguma protokolu. Šis limits ir izmantojams attiecīgajā gadā.</w:t>
            </w:r>
          </w:p>
        </w:tc>
      </w:tr>
      <w:tr w:rsidR="00422E3B" w:rsidRPr="00422E3B" w14:paraId="7DDB25B9" w14:textId="77777777" w:rsidTr="008C69A0">
        <w:trPr>
          <w:trHeight w:val="227"/>
          <w:jc w:val="center"/>
        </w:trPr>
        <w:tc>
          <w:tcPr>
            <w:tcW w:w="568" w:type="dxa"/>
          </w:tcPr>
          <w:p w14:paraId="2A285BCA" w14:textId="410A2705" w:rsidR="00E52AAB" w:rsidRPr="00422E3B" w:rsidRDefault="00E52AAB" w:rsidP="00422CA6">
            <w:pPr>
              <w:pStyle w:val="Bezatstarpm"/>
              <w:rPr>
                <w:rFonts w:ascii="Times New Roman" w:hAnsi="Times New Roman"/>
              </w:rPr>
            </w:pPr>
            <w:r w:rsidRPr="00422E3B">
              <w:rPr>
                <w:rFonts w:ascii="Times New Roman" w:hAnsi="Times New Roman"/>
              </w:rPr>
              <w:lastRenderedPageBreak/>
              <w:t>3.</w:t>
            </w:r>
          </w:p>
        </w:tc>
        <w:tc>
          <w:tcPr>
            <w:tcW w:w="2013" w:type="dxa"/>
          </w:tcPr>
          <w:p w14:paraId="6956162B" w14:textId="77777777" w:rsidR="00E52AAB" w:rsidRPr="00422E3B" w:rsidRDefault="00E52AAB" w:rsidP="00422CA6">
            <w:pPr>
              <w:pStyle w:val="Bezatstarpm"/>
              <w:rPr>
                <w:rFonts w:ascii="Times New Roman" w:hAnsi="Times New Roman"/>
              </w:rPr>
            </w:pPr>
            <w:r w:rsidRPr="00422E3B">
              <w:rPr>
                <w:rFonts w:ascii="Times New Roman" w:hAnsi="Times New Roman"/>
              </w:rPr>
              <w:t>Projekta izstrādē iesaistītās institūcijas</w:t>
            </w:r>
          </w:p>
        </w:tc>
        <w:tc>
          <w:tcPr>
            <w:tcW w:w="7059" w:type="dxa"/>
          </w:tcPr>
          <w:p w14:paraId="269D5BE5" w14:textId="67F371E5" w:rsidR="00824F00" w:rsidRPr="00422E3B" w:rsidRDefault="00F31E6F" w:rsidP="00DB0F7A">
            <w:pPr>
              <w:pStyle w:val="Bezatstarpm"/>
              <w:jc w:val="both"/>
              <w:rPr>
                <w:rFonts w:ascii="Times New Roman" w:hAnsi="Times New Roman"/>
                <w:sz w:val="24"/>
                <w:szCs w:val="24"/>
              </w:rPr>
            </w:pPr>
            <w:r w:rsidRPr="00422E3B">
              <w:rPr>
                <w:rFonts w:ascii="Times New Roman" w:hAnsi="Times New Roman"/>
                <w:sz w:val="24"/>
                <w:szCs w:val="24"/>
              </w:rPr>
              <w:t>Z</w:t>
            </w:r>
            <w:r w:rsidR="00332A63" w:rsidRPr="00422E3B">
              <w:rPr>
                <w:rFonts w:ascii="Times New Roman" w:hAnsi="Times New Roman"/>
                <w:sz w:val="24"/>
                <w:szCs w:val="24"/>
              </w:rPr>
              <w:t>M</w:t>
            </w:r>
            <w:r w:rsidRPr="00422E3B">
              <w:rPr>
                <w:rFonts w:ascii="Times New Roman" w:hAnsi="Times New Roman"/>
                <w:sz w:val="24"/>
                <w:szCs w:val="24"/>
              </w:rPr>
              <w:t xml:space="preserve"> un institūts, kā arī Nīcas, Pāvilostas, Rucavas novadu, Liepājas un Ventspils pilsētu pašvaldības, kas sniedza priekšlikumus </w:t>
            </w:r>
            <w:r w:rsidR="001D41F9" w:rsidRPr="00422E3B">
              <w:rPr>
                <w:rFonts w:ascii="Times New Roman" w:hAnsi="Times New Roman"/>
                <w:sz w:val="24"/>
                <w:szCs w:val="24"/>
              </w:rPr>
              <w:t xml:space="preserve">par </w:t>
            </w:r>
            <w:r w:rsidRPr="00422E3B">
              <w:rPr>
                <w:rFonts w:ascii="Times New Roman" w:hAnsi="Times New Roman"/>
                <w:sz w:val="24"/>
                <w:szCs w:val="24"/>
              </w:rPr>
              <w:t>zvejas limitu maiņ</w:t>
            </w:r>
            <w:r w:rsidR="001D41F9" w:rsidRPr="00422E3B">
              <w:rPr>
                <w:rFonts w:ascii="Times New Roman" w:hAnsi="Times New Roman"/>
                <w:sz w:val="24"/>
                <w:szCs w:val="24"/>
              </w:rPr>
              <w:t>u</w:t>
            </w:r>
            <w:r w:rsidR="00A15C34" w:rsidRPr="00422E3B">
              <w:rPr>
                <w:rFonts w:ascii="Times New Roman" w:hAnsi="Times New Roman"/>
                <w:sz w:val="24"/>
                <w:szCs w:val="24"/>
              </w:rPr>
              <w:t>.</w:t>
            </w:r>
          </w:p>
        </w:tc>
      </w:tr>
      <w:tr w:rsidR="00E52AAB" w:rsidRPr="00422E3B" w14:paraId="03AA5420" w14:textId="77777777" w:rsidTr="008C69A0">
        <w:trPr>
          <w:trHeight w:val="227"/>
          <w:jc w:val="center"/>
        </w:trPr>
        <w:tc>
          <w:tcPr>
            <w:tcW w:w="568" w:type="dxa"/>
          </w:tcPr>
          <w:p w14:paraId="5B4319A0" w14:textId="77777777" w:rsidR="00E52AAB" w:rsidRPr="00422E3B" w:rsidRDefault="00E52AAB" w:rsidP="00422CA6">
            <w:pPr>
              <w:pStyle w:val="Bezatstarpm"/>
              <w:rPr>
                <w:rFonts w:ascii="Times New Roman" w:hAnsi="Times New Roman"/>
              </w:rPr>
            </w:pPr>
            <w:r w:rsidRPr="00422E3B">
              <w:rPr>
                <w:rFonts w:ascii="Times New Roman" w:hAnsi="Times New Roman"/>
              </w:rPr>
              <w:t>4.</w:t>
            </w:r>
          </w:p>
        </w:tc>
        <w:tc>
          <w:tcPr>
            <w:tcW w:w="2013" w:type="dxa"/>
          </w:tcPr>
          <w:p w14:paraId="383AECDC" w14:textId="77777777" w:rsidR="00E52AAB" w:rsidRPr="00422E3B" w:rsidRDefault="00E52AAB" w:rsidP="00422CA6">
            <w:pPr>
              <w:pStyle w:val="Bezatstarpm"/>
              <w:rPr>
                <w:rFonts w:ascii="Times New Roman" w:hAnsi="Times New Roman"/>
              </w:rPr>
            </w:pPr>
            <w:r w:rsidRPr="00422E3B">
              <w:rPr>
                <w:rFonts w:ascii="Times New Roman" w:hAnsi="Times New Roman"/>
              </w:rPr>
              <w:t>Cita informācija</w:t>
            </w:r>
          </w:p>
        </w:tc>
        <w:tc>
          <w:tcPr>
            <w:tcW w:w="7059" w:type="dxa"/>
          </w:tcPr>
          <w:p w14:paraId="479D96AD" w14:textId="3BDC2FCA" w:rsidR="00E52AAB" w:rsidRPr="00422E3B" w:rsidRDefault="00D67778" w:rsidP="00422CA6">
            <w:pPr>
              <w:pStyle w:val="Bezatstarpm"/>
              <w:jc w:val="both"/>
              <w:rPr>
                <w:rFonts w:ascii="Times New Roman" w:hAnsi="Times New Roman"/>
                <w:sz w:val="24"/>
                <w:szCs w:val="24"/>
              </w:rPr>
            </w:pPr>
            <w:r w:rsidRPr="00422E3B">
              <w:rPr>
                <w:rFonts w:ascii="Times New Roman" w:hAnsi="Times New Roman"/>
                <w:sz w:val="24"/>
                <w:szCs w:val="24"/>
              </w:rPr>
              <w:t>Nav.</w:t>
            </w:r>
          </w:p>
        </w:tc>
      </w:tr>
    </w:tbl>
    <w:p w14:paraId="386A0AF8" w14:textId="77777777" w:rsidR="00E52AAB" w:rsidRPr="00422E3B" w:rsidRDefault="00E52AAB" w:rsidP="00422CA6">
      <w:pPr>
        <w:pStyle w:val="Bezatstarpm"/>
        <w:rPr>
          <w:rFonts w:ascii="Times New Roman" w:hAnsi="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273"/>
        <w:gridCol w:w="6940"/>
      </w:tblGrid>
      <w:tr w:rsidR="00422E3B" w:rsidRPr="00422E3B" w14:paraId="72A29CCE" w14:textId="77777777" w:rsidTr="008C69A0">
        <w:trPr>
          <w:trHeight w:val="227"/>
          <w:jc w:val="center"/>
        </w:trPr>
        <w:tc>
          <w:tcPr>
            <w:tcW w:w="9634" w:type="dxa"/>
            <w:gridSpan w:val="3"/>
          </w:tcPr>
          <w:p w14:paraId="5733A089" w14:textId="77777777" w:rsidR="00E52AAB" w:rsidRPr="00422E3B" w:rsidRDefault="00E52AAB" w:rsidP="00422CA6">
            <w:pPr>
              <w:pStyle w:val="Bezatstarpm"/>
              <w:jc w:val="center"/>
              <w:rPr>
                <w:rFonts w:ascii="Times New Roman" w:hAnsi="Times New Roman"/>
                <w:b/>
                <w:sz w:val="24"/>
                <w:szCs w:val="24"/>
              </w:rPr>
            </w:pPr>
            <w:r w:rsidRPr="00422E3B">
              <w:rPr>
                <w:rFonts w:ascii="Times New Roman" w:hAnsi="Times New Roman"/>
                <w:b/>
                <w:sz w:val="24"/>
                <w:szCs w:val="24"/>
              </w:rPr>
              <w:t>II. Tiesību akta projekta ietekme uz sabiedrību, tautsaimniecības attīstību un administratīvo slogu</w:t>
            </w:r>
          </w:p>
        </w:tc>
      </w:tr>
      <w:tr w:rsidR="00422E3B" w:rsidRPr="00422E3B" w14:paraId="0EFDAFE6" w14:textId="77777777" w:rsidTr="00712662">
        <w:trPr>
          <w:trHeight w:val="227"/>
          <w:jc w:val="center"/>
        </w:trPr>
        <w:tc>
          <w:tcPr>
            <w:tcW w:w="421" w:type="dxa"/>
          </w:tcPr>
          <w:p w14:paraId="63668066" w14:textId="77777777" w:rsidR="00E52AAB" w:rsidRPr="00422E3B" w:rsidRDefault="00E52AAB" w:rsidP="00422CA6">
            <w:pPr>
              <w:pStyle w:val="Bezatstarpm"/>
              <w:rPr>
                <w:rFonts w:ascii="Times New Roman" w:hAnsi="Times New Roman"/>
              </w:rPr>
            </w:pPr>
            <w:r w:rsidRPr="00422E3B">
              <w:rPr>
                <w:rFonts w:ascii="Times New Roman" w:hAnsi="Times New Roman"/>
              </w:rPr>
              <w:t>1.</w:t>
            </w:r>
          </w:p>
        </w:tc>
        <w:tc>
          <w:tcPr>
            <w:tcW w:w="2273" w:type="dxa"/>
          </w:tcPr>
          <w:p w14:paraId="6E58A2BE" w14:textId="0DF6E142" w:rsidR="00E52AAB" w:rsidRPr="00422E3B" w:rsidRDefault="00E52AAB" w:rsidP="00422CA6">
            <w:pPr>
              <w:pStyle w:val="Bezatstarpm"/>
              <w:rPr>
                <w:rFonts w:ascii="Times New Roman" w:hAnsi="Times New Roman"/>
              </w:rPr>
            </w:pPr>
            <w:r w:rsidRPr="00422E3B">
              <w:rPr>
                <w:rFonts w:ascii="Times New Roman" w:hAnsi="Times New Roman"/>
              </w:rPr>
              <w:t>Sabiedrības</w:t>
            </w:r>
            <w:r w:rsidR="00BD3C1D" w:rsidRPr="00422E3B">
              <w:rPr>
                <w:rFonts w:ascii="Times New Roman" w:hAnsi="Times New Roman"/>
              </w:rPr>
              <w:t xml:space="preserve"> </w:t>
            </w:r>
            <w:r w:rsidRPr="00422E3B">
              <w:rPr>
                <w:rFonts w:ascii="Times New Roman" w:hAnsi="Times New Roman"/>
              </w:rPr>
              <w:t>mērķgrupas, kuras tiesiskais regulējums ietekmē vai varētu ietekmēt</w:t>
            </w:r>
          </w:p>
        </w:tc>
        <w:tc>
          <w:tcPr>
            <w:tcW w:w="6940" w:type="dxa"/>
          </w:tcPr>
          <w:p w14:paraId="6B9B6E68" w14:textId="7471A038" w:rsidR="00F31E6F" w:rsidRPr="00422E3B" w:rsidRDefault="005E5BB8" w:rsidP="00F31E6F">
            <w:pPr>
              <w:pStyle w:val="Bezatstarpm"/>
              <w:jc w:val="both"/>
              <w:rPr>
                <w:rFonts w:ascii="Times New Roman" w:hAnsi="Times New Roman"/>
                <w:sz w:val="24"/>
                <w:szCs w:val="24"/>
              </w:rPr>
            </w:pPr>
            <w:proofErr w:type="spellStart"/>
            <w:r w:rsidRPr="00422E3B">
              <w:rPr>
                <w:rFonts w:ascii="Times New Roman" w:hAnsi="Times New Roman"/>
                <w:sz w:val="24"/>
                <w:szCs w:val="24"/>
              </w:rPr>
              <w:t>K</w:t>
            </w:r>
            <w:r w:rsidR="00F31E6F" w:rsidRPr="00422E3B">
              <w:rPr>
                <w:rFonts w:ascii="Times New Roman" w:hAnsi="Times New Roman"/>
                <w:sz w:val="24"/>
                <w:szCs w:val="24"/>
              </w:rPr>
              <w:t>omerczvejnieki</w:t>
            </w:r>
            <w:proofErr w:type="spellEnd"/>
            <w:r w:rsidR="00F31E6F" w:rsidRPr="00422E3B">
              <w:rPr>
                <w:rFonts w:ascii="Times New Roman" w:hAnsi="Times New Roman"/>
                <w:sz w:val="24"/>
                <w:szCs w:val="24"/>
              </w:rPr>
              <w:t xml:space="preserve">, pašpatēriņa zvejnieki, Valsts vides dienesta inspektori un </w:t>
            </w:r>
            <w:r w:rsidRPr="00422E3B">
              <w:rPr>
                <w:rFonts w:ascii="Times New Roman" w:hAnsi="Times New Roman"/>
                <w:sz w:val="24"/>
                <w:szCs w:val="24"/>
              </w:rPr>
              <w:t>piekrastes</w:t>
            </w:r>
            <w:r w:rsidR="00F31E6F" w:rsidRPr="00422E3B">
              <w:rPr>
                <w:rFonts w:ascii="Times New Roman" w:hAnsi="Times New Roman"/>
                <w:sz w:val="24"/>
                <w:szCs w:val="24"/>
              </w:rPr>
              <w:t xml:space="preserve"> pašvaldības. </w:t>
            </w:r>
          </w:p>
          <w:p w14:paraId="59683D1F" w14:textId="39646E7A" w:rsidR="00741EA2" w:rsidRPr="00422E3B" w:rsidRDefault="00F31E6F" w:rsidP="005E5BB8">
            <w:pPr>
              <w:pStyle w:val="Bezatstarpm"/>
              <w:jc w:val="both"/>
              <w:rPr>
                <w:rFonts w:ascii="Times New Roman" w:hAnsi="Times New Roman"/>
                <w:sz w:val="24"/>
                <w:szCs w:val="24"/>
              </w:rPr>
            </w:pPr>
            <w:r w:rsidRPr="00422E3B">
              <w:rPr>
                <w:rFonts w:ascii="Times New Roman" w:hAnsi="Times New Roman"/>
                <w:sz w:val="24"/>
                <w:szCs w:val="24"/>
              </w:rPr>
              <w:t xml:space="preserve">Pēc Latvijas Zivsaimniecības integrētās kontroles un informācijas sistēmā pieejamās informācijas, 2016. gadā piekrastes ūdeņos ar pašpatēriņa zveju </w:t>
            </w:r>
            <w:r w:rsidR="001D41F9" w:rsidRPr="00422E3B">
              <w:rPr>
                <w:rFonts w:ascii="Times New Roman" w:hAnsi="Times New Roman"/>
                <w:sz w:val="24"/>
                <w:szCs w:val="24"/>
              </w:rPr>
              <w:t xml:space="preserve">nodarbojās </w:t>
            </w:r>
            <w:r w:rsidR="005E5BB8" w:rsidRPr="00422E3B">
              <w:rPr>
                <w:rFonts w:ascii="Times New Roman" w:hAnsi="Times New Roman"/>
                <w:sz w:val="24"/>
                <w:szCs w:val="24"/>
              </w:rPr>
              <w:t xml:space="preserve">1044 </w:t>
            </w:r>
            <w:r w:rsidRPr="00422E3B">
              <w:rPr>
                <w:rFonts w:ascii="Times New Roman" w:hAnsi="Times New Roman"/>
                <w:sz w:val="24"/>
                <w:szCs w:val="24"/>
              </w:rPr>
              <w:t xml:space="preserve">personas, bet ar </w:t>
            </w:r>
            <w:proofErr w:type="spellStart"/>
            <w:r w:rsidRPr="00422E3B">
              <w:rPr>
                <w:rFonts w:ascii="Times New Roman" w:hAnsi="Times New Roman"/>
                <w:sz w:val="24"/>
                <w:szCs w:val="24"/>
              </w:rPr>
              <w:t>komerczveju</w:t>
            </w:r>
            <w:proofErr w:type="spellEnd"/>
            <w:r w:rsidRPr="00422E3B">
              <w:rPr>
                <w:rFonts w:ascii="Times New Roman" w:hAnsi="Times New Roman"/>
                <w:sz w:val="24"/>
                <w:szCs w:val="24"/>
              </w:rPr>
              <w:t xml:space="preserve"> –</w:t>
            </w:r>
            <w:r w:rsidR="001D41F9" w:rsidRPr="00422E3B">
              <w:rPr>
                <w:rFonts w:ascii="Times New Roman" w:hAnsi="Times New Roman"/>
                <w:sz w:val="24"/>
                <w:szCs w:val="24"/>
              </w:rPr>
              <w:t xml:space="preserve"> </w:t>
            </w:r>
            <w:r w:rsidR="00FF0EAE" w:rsidRPr="00422E3B">
              <w:rPr>
                <w:rFonts w:ascii="Times New Roman" w:hAnsi="Times New Roman"/>
                <w:sz w:val="24"/>
                <w:szCs w:val="24"/>
              </w:rPr>
              <w:t>199</w:t>
            </w:r>
            <w:r w:rsidR="001D41F9" w:rsidRPr="00422E3B">
              <w:rPr>
                <w:rFonts w:ascii="Times New Roman" w:hAnsi="Times New Roman"/>
                <w:sz w:val="24"/>
                <w:szCs w:val="24"/>
              </w:rPr>
              <w:t> </w:t>
            </w:r>
            <w:r w:rsidRPr="00422E3B">
              <w:rPr>
                <w:rFonts w:ascii="Times New Roman" w:hAnsi="Times New Roman"/>
                <w:sz w:val="24"/>
                <w:szCs w:val="24"/>
              </w:rPr>
              <w:t>komersanti</w:t>
            </w:r>
            <w:r w:rsidR="005E5BB8" w:rsidRPr="00422E3B">
              <w:rPr>
                <w:rFonts w:ascii="Times New Roman" w:hAnsi="Times New Roman"/>
                <w:sz w:val="24"/>
                <w:szCs w:val="24"/>
              </w:rPr>
              <w:t>.</w:t>
            </w:r>
            <w:r w:rsidRPr="00422E3B">
              <w:rPr>
                <w:rFonts w:ascii="Times New Roman" w:hAnsi="Times New Roman"/>
                <w:sz w:val="24"/>
                <w:szCs w:val="24"/>
              </w:rPr>
              <w:t xml:space="preserve"> </w:t>
            </w:r>
          </w:p>
        </w:tc>
      </w:tr>
      <w:tr w:rsidR="00422E3B" w:rsidRPr="00422E3B" w14:paraId="1DA4804D" w14:textId="77777777" w:rsidTr="00712662">
        <w:trPr>
          <w:trHeight w:val="227"/>
          <w:jc w:val="center"/>
        </w:trPr>
        <w:tc>
          <w:tcPr>
            <w:tcW w:w="421" w:type="dxa"/>
          </w:tcPr>
          <w:p w14:paraId="3551B1AB" w14:textId="61A6A0C9" w:rsidR="00E52AAB" w:rsidRPr="00422E3B" w:rsidRDefault="00E52AAB" w:rsidP="00422CA6">
            <w:pPr>
              <w:pStyle w:val="Bezatstarpm"/>
              <w:rPr>
                <w:rFonts w:ascii="Times New Roman" w:hAnsi="Times New Roman"/>
              </w:rPr>
            </w:pPr>
            <w:r w:rsidRPr="00422E3B">
              <w:rPr>
                <w:rFonts w:ascii="Times New Roman" w:hAnsi="Times New Roman"/>
              </w:rPr>
              <w:t>2.</w:t>
            </w:r>
          </w:p>
        </w:tc>
        <w:tc>
          <w:tcPr>
            <w:tcW w:w="2273" w:type="dxa"/>
          </w:tcPr>
          <w:p w14:paraId="1A19BFEB" w14:textId="77777777" w:rsidR="00E52AAB" w:rsidRPr="00422E3B" w:rsidRDefault="00E52AAB" w:rsidP="00422CA6">
            <w:pPr>
              <w:pStyle w:val="Bezatstarpm"/>
              <w:rPr>
                <w:rFonts w:ascii="Times New Roman" w:hAnsi="Times New Roman"/>
              </w:rPr>
            </w:pPr>
            <w:r w:rsidRPr="00422E3B">
              <w:rPr>
                <w:rFonts w:ascii="Times New Roman" w:hAnsi="Times New Roman"/>
              </w:rPr>
              <w:t>Tiesiskā regulējuma ietekme uz tautsaimniecību un administratīvo slogu</w:t>
            </w:r>
          </w:p>
        </w:tc>
        <w:tc>
          <w:tcPr>
            <w:tcW w:w="6940" w:type="dxa"/>
          </w:tcPr>
          <w:p w14:paraId="762D852C" w14:textId="77777777" w:rsidR="008C69A0" w:rsidRPr="00422E3B" w:rsidRDefault="008C69A0" w:rsidP="008C69A0">
            <w:pPr>
              <w:pStyle w:val="Bezatstarpm"/>
              <w:jc w:val="both"/>
              <w:rPr>
                <w:rFonts w:ascii="Times New Roman" w:hAnsi="Times New Roman"/>
                <w:sz w:val="24"/>
                <w:szCs w:val="24"/>
              </w:rPr>
            </w:pPr>
            <w:r w:rsidRPr="00422E3B">
              <w:rPr>
                <w:rFonts w:ascii="Times New Roman" w:hAnsi="Times New Roman"/>
                <w:sz w:val="24"/>
                <w:szCs w:val="24"/>
              </w:rPr>
              <w:t xml:space="preserve">Tiesiskais regulējums būtiski neietekmēs tautsaimniecības vai uzņēmējdarbības makroekonomiskos rādītājus. </w:t>
            </w:r>
          </w:p>
          <w:p w14:paraId="68E46932" w14:textId="4B5AE956" w:rsidR="00824F00" w:rsidRPr="00422E3B" w:rsidRDefault="008C69A0" w:rsidP="008C69A0">
            <w:pPr>
              <w:pStyle w:val="Bezatstarpm"/>
              <w:jc w:val="both"/>
              <w:rPr>
                <w:rFonts w:ascii="Times New Roman" w:hAnsi="Times New Roman"/>
                <w:sz w:val="24"/>
                <w:szCs w:val="24"/>
              </w:rPr>
            </w:pPr>
            <w:r w:rsidRPr="00422E3B">
              <w:rPr>
                <w:rFonts w:ascii="Times New Roman" w:hAnsi="Times New Roman"/>
                <w:sz w:val="24"/>
                <w:szCs w:val="24"/>
              </w:rPr>
              <w:t>Administratīvais slogs nemainās. Sabiedrības grupām un institūcijām projekta tiesiskais regulējums nemaina tiesības un pienākumus, kā arī veicamās darbības.</w:t>
            </w:r>
          </w:p>
        </w:tc>
      </w:tr>
      <w:tr w:rsidR="00422E3B" w:rsidRPr="00422E3B" w14:paraId="5E2EC7C0" w14:textId="77777777" w:rsidTr="00712662">
        <w:trPr>
          <w:trHeight w:val="227"/>
          <w:jc w:val="center"/>
        </w:trPr>
        <w:tc>
          <w:tcPr>
            <w:tcW w:w="421" w:type="dxa"/>
          </w:tcPr>
          <w:p w14:paraId="4ADADB58" w14:textId="46CDE456" w:rsidR="00E52AAB" w:rsidRPr="00422E3B" w:rsidRDefault="00E52AAB" w:rsidP="00422CA6">
            <w:pPr>
              <w:pStyle w:val="Bezatstarpm"/>
              <w:rPr>
                <w:rFonts w:ascii="Times New Roman" w:hAnsi="Times New Roman"/>
              </w:rPr>
            </w:pPr>
            <w:r w:rsidRPr="00422E3B">
              <w:rPr>
                <w:rFonts w:ascii="Times New Roman" w:hAnsi="Times New Roman"/>
              </w:rPr>
              <w:t>3.</w:t>
            </w:r>
          </w:p>
        </w:tc>
        <w:tc>
          <w:tcPr>
            <w:tcW w:w="2273" w:type="dxa"/>
          </w:tcPr>
          <w:p w14:paraId="491DA2D9" w14:textId="77777777" w:rsidR="00E52AAB" w:rsidRPr="00422E3B" w:rsidRDefault="00E52AAB" w:rsidP="00422CA6">
            <w:pPr>
              <w:pStyle w:val="Bezatstarpm"/>
              <w:rPr>
                <w:rFonts w:ascii="Times New Roman" w:hAnsi="Times New Roman"/>
              </w:rPr>
            </w:pPr>
            <w:r w:rsidRPr="00422E3B">
              <w:rPr>
                <w:rFonts w:ascii="Times New Roman" w:hAnsi="Times New Roman"/>
              </w:rPr>
              <w:t>Administratīvo izmaksu monetārs novērtējums</w:t>
            </w:r>
          </w:p>
        </w:tc>
        <w:tc>
          <w:tcPr>
            <w:tcW w:w="6940" w:type="dxa"/>
          </w:tcPr>
          <w:p w14:paraId="10FD3D8B" w14:textId="3FC70E91" w:rsidR="00824F00" w:rsidRPr="00422E3B" w:rsidRDefault="003448FD" w:rsidP="00422CA6">
            <w:pPr>
              <w:pStyle w:val="Bezatstarpm"/>
              <w:jc w:val="both"/>
              <w:rPr>
                <w:rFonts w:ascii="Times New Roman" w:hAnsi="Times New Roman"/>
                <w:sz w:val="24"/>
                <w:szCs w:val="24"/>
              </w:rPr>
            </w:pPr>
            <w:r w:rsidRPr="00422E3B">
              <w:rPr>
                <w:rFonts w:ascii="Times New Roman" w:hAnsi="Times New Roman"/>
                <w:sz w:val="24"/>
                <w:szCs w:val="24"/>
              </w:rPr>
              <w:t>Projekts šo jomu ne</w:t>
            </w:r>
            <w:r w:rsidR="003103AD" w:rsidRPr="00422E3B">
              <w:rPr>
                <w:rFonts w:ascii="Times New Roman" w:hAnsi="Times New Roman"/>
                <w:sz w:val="24"/>
                <w:szCs w:val="24"/>
              </w:rPr>
              <w:t>s</w:t>
            </w:r>
            <w:r w:rsidRPr="00422E3B">
              <w:rPr>
                <w:rFonts w:ascii="Times New Roman" w:hAnsi="Times New Roman"/>
                <w:sz w:val="24"/>
                <w:szCs w:val="24"/>
              </w:rPr>
              <w:t>kar</w:t>
            </w:r>
            <w:r w:rsidR="00760547" w:rsidRPr="00422E3B">
              <w:rPr>
                <w:rFonts w:ascii="Times New Roman" w:hAnsi="Times New Roman"/>
                <w:sz w:val="24"/>
                <w:szCs w:val="24"/>
              </w:rPr>
              <w:t>.</w:t>
            </w:r>
          </w:p>
        </w:tc>
      </w:tr>
      <w:tr w:rsidR="00E52AAB" w:rsidRPr="00422E3B" w14:paraId="2046B929" w14:textId="77777777" w:rsidTr="00712662">
        <w:trPr>
          <w:trHeight w:val="227"/>
          <w:jc w:val="center"/>
        </w:trPr>
        <w:tc>
          <w:tcPr>
            <w:tcW w:w="421" w:type="dxa"/>
          </w:tcPr>
          <w:p w14:paraId="43B1EAD0" w14:textId="24CE5ABD" w:rsidR="00E52AAB" w:rsidRPr="00422E3B" w:rsidRDefault="00E52AAB" w:rsidP="00422CA6">
            <w:pPr>
              <w:pStyle w:val="Bezatstarpm"/>
              <w:rPr>
                <w:rFonts w:ascii="Times New Roman" w:hAnsi="Times New Roman"/>
              </w:rPr>
            </w:pPr>
            <w:r w:rsidRPr="00422E3B">
              <w:rPr>
                <w:rFonts w:ascii="Times New Roman" w:hAnsi="Times New Roman"/>
              </w:rPr>
              <w:t>4.</w:t>
            </w:r>
          </w:p>
        </w:tc>
        <w:tc>
          <w:tcPr>
            <w:tcW w:w="2273" w:type="dxa"/>
          </w:tcPr>
          <w:p w14:paraId="1B8A1424" w14:textId="77777777" w:rsidR="00E52AAB" w:rsidRPr="00422E3B" w:rsidRDefault="00E52AAB" w:rsidP="00422CA6">
            <w:pPr>
              <w:pStyle w:val="Bezatstarpm"/>
              <w:rPr>
                <w:rFonts w:ascii="Times New Roman" w:hAnsi="Times New Roman"/>
              </w:rPr>
            </w:pPr>
            <w:r w:rsidRPr="00422E3B">
              <w:rPr>
                <w:rFonts w:ascii="Times New Roman" w:hAnsi="Times New Roman"/>
              </w:rPr>
              <w:t>Cita informācija</w:t>
            </w:r>
          </w:p>
        </w:tc>
        <w:tc>
          <w:tcPr>
            <w:tcW w:w="6940" w:type="dxa"/>
          </w:tcPr>
          <w:p w14:paraId="1B33761B" w14:textId="77777777" w:rsidR="00E52AAB" w:rsidRPr="00422E3B" w:rsidRDefault="00E52AAB" w:rsidP="00422CA6">
            <w:pPr>
              <w:pStyle w:val="Bezatstarpm"/>
              <w:rPr>
                <w:rFonts w:ascii="Times New Roman" w:hAnsi="Times New Roman"/>
                <w:sz w:val="24"/>
                <w:szCs w:val="24"/>
              </w:rPr>
            </w:pPr>
            <w:r w:rsidRPr="00422E3B">
              <w:rPr>
                <w:rFonts w:ascii="Times New Roman" w:hAnsi="Times New Roman"/>
                <w:sz w:val="24"/>
                <w:szCs w:val="24"/>
              </w:rPr>
              <w:t>Nav</w:t>
            </w:r>
          </w:p>
        </w:tc>
      </w:tr>
    </w:tbl>
    <w:p w14:paraId="12C97176" w14:textId="77777777" w:rsidR="00726928" w:rsidRPr="00422E3B" w:rsidRDefault="00726928" w:rsidP="00726928">
      <w:pPr>
        <w:spacing w:after="0" w:line="240" w:lineRule="auto"/>
        <w:rPr>
          <w:rFonts w:ascii="Times New Roman" w:hAnsi="Times New Roman"/>
          <w:sz w:val="24"/>
          <w:szCs w:val="24"/>
          <w:lang w:eastAsia="lv-LV"/>
        </w:rPr>
      </w:pPr>
    </w:p>
    <w:tbl>
      <w:tblPr>
        <w:tblStyle w:val="Reatabula"/>
        <w:tblW w:w="5316" w:type="pct"/>
        <w:jc w:val="center"/>
        <w:tblLayout w:type="fixed"/>
        <w:tblLook w:val="04A0" w:firstRow="1" w:lastRow="0" w:firstColumn="1" w:lastColumn="0" w:noHBand="0" w:noVBand="1"/>
      </w:tblPr>
      <w:tblGrid>
        <w:gridCol w:w="2695"/>
        <w:gridCol w:w="1412"/>
        <w:gridCol w:w="1200"/>
        <w:gridCol w:w="1493"/>
        <w:gridCol w:w="1493"/>
        <w:gridCol w:w="1341"/>
      </w:tblGrid>
      <w:tr w:rsidR="00422E3B" w:rsidRPr="00422E3B" w14:paraId="54CC4B99" w14:textId="77777777" w:rsidTr="004C467A">
        <w:trPr>
          <w:trHeight w:val="20"/>
          <w:jc w:val="center"/>
        </w:trPr>
        <w:tc>
          <w:tcPr>
            <w:tcW w:w="5000" w:type="pct"/>
            <w:gridSpan w:val="6"/>
            <w:hideMark/>
          </w:tcPr>
          <w:p w14:paraId="694D47E7" w14:textId="798EF625" w:rsidR="00EB2D6B" w:rsidRPr="00422E3B" w:rsidRDefault="00EB2D6B" w:rsidP="00EB2D6B">
            <w:pPr>
              <w:spacing w:after="0" w:line="240" w:lineRule="auto"/>
              <w:ind w:firstLine="301"/>
              <w:jc w:val="center"/>
              <w:rPr>
                <w:rFonts w:ascii="Times New Roman" w:eastAsia="Times New Roman" w:hAnsi="Times New Roman"/>
                <w:b/>
                <w:bCs/>
                <w:sz w:val="24"/>
                <w:szCs w:val="24"/>
                <w:lang w:eastAsia="lv-LV"/>
              </w:rPr>
            </w:pPr>
            <w:r w:rsidRPr="00422E3B">
              <w:rPr>
                <w:rFonts w:ascii="Times New Roman" w:eastAsia="Times New Roman" w:hAnsi="Times New Roman"/>
                <w:sz w:val="24"/>
                <w:szCs w:val="24"/>
                <w:lang w:eastAsia="lv-LV"/>
              </w:rPr>
              <w:t> </w:t>
            </w:r>
            <w:r w:rsidRPr="00422E3B">
              <w:rPr>
                <w:rFonts w:ascii="Times New Roman" w:eastAsia="Times New Roman" w:hAnsi="Times New Roman"/>
                <w:b/>
                <w:bCs/>
                <w:sz w:val="24"/>
                <w:szCs w:val="24"/>
                <w:lang w:eastAsia="lv-LV"/>
              </w:rPr>
              <w:t>III. Tiesību akta projekta ietekme uz valsts budžetu un pašvaldību budžetiem</w:t>
            </w:r>
          </w:p>
        </w:tc>
      </w:tr>
      <w:tr w:rsidR="00422E3B" w:rsidRPr="00422E3B" w14:paraId="015622A0" w14:textId="77777777" w:rsidTr="004C467A">
        <w:trPr>
          <w:trHeight w:val="20"/>
          <w:jc w:val="center"/>
        </w:trPr>
        <w:tc>
          <w:tcPr>
            <w:tcW w:w="1398" w:type="pct"/>
            <w:vMerge w:val="restart"/>
            <w:hideMark/>
          </w:tcPr>
          <w:p w14:paraId="3C7D0EE3" w14:textId="77777777" w:rsidR="00EB2D6B" w:rsidRPr="00422E3B" w:rsidRDefault="00EB2D6B" w:rsidP="00EB2D6B">
            <w:pPr>
              <w:spacing w:after="0" w:line="240" w:lineRule="auto"/>
              <w:ind w:firstLine="301"/>
              <w:jc w:val="center"/>
              <w:rPr>
                <w:rFonts w:ascii="Times New Roman" w:eastAsia="Times New Roman" w:hAnsi="Times New Roman"/>
                <w:b/>
                <w:bCs/>
                <w:lang w:eastAsia="lv-LV"/>
              </w:rPr>
            </w:pPr>
            <w:r w:rsidRPr="00422E3B">
              <w:rPr>
                <w:rFonts w:ascii="Times New Roman" w:eastAsia="Times New Roman" w:hAnsi="Times New Roman"/>
                <w:b/>
                <w:bCs/>
                <w:lang w:eastAsia="lv-LV"/>
              </w:rPr>
              <w:t>Rādītāji</w:t>
            </w:r>
          </w:p>
        </w:tc>
        <w:tc>
          <w:tcPr>
            <w:tcW w:w="1356" w:type="pct"/>
            <w:gridSpan w:val="2"/>
            <w:vMerge w:val="restart"/>
            <w:hideMark/>
          </w:tcPr>
          <w:p w14:paraId="24B1004B" w14:textId="1333AEBC" w:rsidR="00EB2D6B" w:rsidRPr="00422E3B" w:rsidRDefault="00EB2D6B" w:rsidP="00EB2D6B">
            <w:pPr>
              <w:spacing w:after="0" w:line="240" w:lineRule="auto"/>
              <w:ind w:firstLine="301"/>
              <w:jc w:val="center"/>
              <w:rPr>
                <w:rFonts w:ascii="Times New Roman" w:eastAsia="Times New Roman" w:hAnsi="Times New Roman"/>
                <w:b/>
                <w:bCs/>
                <w:lang w:eastAsia="lv-LV"/>
              </w:rPr>
            </w:pPr>
            <w:proofErr w:type="gramStart"/>
            <w:r w:rsidRPr="00422E3B">
              <w:rPr>
                <w:rFonts w:ascii="Times New Roman" w:eastAsia="Times New Roman" w:hAnsi="Times New Roman"/>
                <w:b/>
                <w:bCs/>
                <w:lang w:eastAsia="lv-LV"/>
              </w:rPr>
              <w:t>2017.gads</w:t>
            </w:r>
            <w:proofErr w:type="gramEnd"/>
          </w:p>
        </w:tc>
        <w:tc>
          <w:tcPr>
            <w:tcW w:w="2246" w:type="pct"/>
            <w:gridSpan w:val="3"/>
            <w:hideMark/>
          </w:tcPr>
          <w:p w14:paraId="35651151" w14:textId="77777777" w:rsidR="00EB2D6B" w:rsidRPr="00422E3B" w:rsidRDefault="00EB2D6B" w:rsidP="00EB2D6B">
            <w:pPr>
              <w:spacing w:after="0" w:line="240" w:lineRule="auto"/>
              <w:ind w:firstLine="301"/>
              <w:jc w:val="center"/>
              <w:rPr>
                <w:rFonts w:ascii="Times New Roman" w:eastAsia="Times New Roman" w:hAnsi="Times New Roman"/>
                <w:lang w:eastAsia="lv-LV"/>
              </w:rPr>
            </w:pPr>
            <w:r w:rsidRPr="00422E3B">
              <w:rPr>
                <w:rFonts w:ascii="Times New Roman" w:eastAsia="Times New Roman" w:hAnsi="Times New Roman"/>
                <w:lang w:eastAsia="lv-LV"/>
              </w:rPr>
              <w:t>Turpmākie trīs gadi (</w:t>
            </w:r>
            <w:proofErr w:type="spellStart"/>
            <w:r w:rsidRPr="00422E3B">
              <w:rPr>
                <w:rFonts w:ascii="Times New Roman" w:eastAsia="Times New Roman" w:hAnsi="Times New Roman"/>
                <w:i/>
                <w:iCs/>
                <w:lang w:eastAsia="lv-LV"/>
              </w:rPr>
              <w:t>euro</w:t>
            </w:r>
            <w:proofErr w:type="spellEnd"/>
            <w:r w:rsidRPr="00422E3B">
              <w:rPr>
                <w:rFonts w:ascii="Times New Roman" w:eastAsia="Times New Roman" w:hAnsi="Times New Roman"/>
                <w:lang w:eastAsia="lv-LV"/>
              </w:rPr>
              <w:t>)</w:t>
            </w:r>
          </w:p>
        </w:tc>
      </w:tr>
      <w:tr w:rsidR="00422E3B" w:rsidRPr="00422E3B" w14:paraId="5186320B" w14:textId="77777777" w:rsidTr="004C467A">
        <w:trPr>
          <w:trHeight w:val="20"/>
          <w:jc w:val="center"/>
        </w:trPr>
        <w:tc>
          <w:tcPr>
            <w:tcW w:w="1398" w:type="pct"/>
            <w:vMerge/>
            <w:hideMark/>
          </w:tcPr>
          <w:p w14:paraId="607B1191" w14:textId="77777777" w:rsidR="00EB2D6B" w:rsidRPr="00422E3B" w:rsidRDefault="00EB2D6B" w:rsidP="00EB2D6B">
            <w:pPr>
              <w:spacing w:after="0" w:line="240" w:lineRule="auto"/>
              <w:ind w:firstLine="301"/>
              <w:rPr>
                <w:rFonts w:ascii="Times New Roman" w:eastAsia="Times New Roman" w:hAnsi="Times New Roman"/>
                <w:b/>
                <w:bCs/>
                <w:lang w:eastAsia="lv-LV"/>
              </w:rPr>
            </w:pPr>
          </w:p>
        </w:tc>
        <w:tc>
          <w:tcPr>
            <w:tcW w:w="1356" w:type="pct"/>
            <w:gridSpan w:val="2"/>
            <w:vMerge/>
            <w:hideMark/>
          </w:tcPr>
          <w:p w14:paraId="6C5DBF6A" w14:textId="77777777" w:rsidR="00EB2D6B" w:rsidRPr="00422E3B" w:rsidRDefault="00EB2D6B" w:rsidP="00EB2D6B">
            <w:pPr>
              <w:spacing w:after="0" w:line="240" w:lineRule="auto"/>
              <w:ind w:firstLine="301"/>
              <w:rPr>
                <w:rFonts w:ascii="Times New Roman" w:eastAsia="Times New Roman" w:hAnsi="Times New Roman"/>
                <w:b/>
                <w:bCs/>
                <w:lang w:eastAsia="lv-LV"/>
              </w:rPr>
            </w:pPr>
          </w:p>
        </w:tc>
        <w:tc>
          <w:tcPr>
            <w:tcW w:w="775" w:type="pct"/>
            <w:hideMark/>
          </w:tcPr>
          <w:p w14:paraId="638545B5" w14:textId="2CF74EA0" w:rsidR="00EB2D6B" w:rsidRPr="00422E3B" w:rsidRDefault="00EB2D6B" w:rsidP="00EB2D6B">
            <w:pPr>
              <w:spacing w:after="0" w:line="240" w:lineRule="auto"/>
              <w:ind w:firstLine="301"/>
              <w:jc w:val="center"/>
              <w:rPr>
                <w:rFonts w:ascii="Times New Roman" w:eastAsia="Times New Roman" w:hAnsi="Times New Roman"/>
                <w:b/>
                <w:bCs/>
                <w:lang w:eastAsia="lv-LV"/>
              </w:rPr>
            </w:pPr>
            <w:r w:rsidRPr="00422E3B">
              <w:rPr>
                <w:rFonts w:ascii="Times New Roman" w:eastAsia="Times New Roman" w:hAnsi="Times New Roman"/>
                <w:b/>
                <w:bCs/>
                <w:lang w:eastAsia="lv-LV"/>
              </w:rPr>
              <w:t>2018</w:t>
            </w:r>
          </w:p>
        </w:tc>
        <w:tc>
          <w:tcPr>
            <w:tcW w:w="775" w:type="pct"/>
            <w:hideMark/>
          </w:tcPr>
          <w:p w14:paraId="0AD028DE" w14:textId="12CF962B" w:rsidR="00EB2D6B" w:rsidRPr="00422E3B" w:rsidRDefault="00EB2D6B" w:rsidP="00EB2D6B">
            <w:pPr>
              <w:spacing w:after="0" w:line="240" w:lineRule="auto"/>
              <w:ind w:firstLine="301"/>
              <w:jc w:val="center"/>
              <w:rPr>
                <w:rFonts w:ascii="Times New Roman" w:eastAsia="Times New Roman" w:hAnsi="Times New Roman"/>
                <w:b/>
                <w:bCs/>
                <w:lang w:eastAsia="lv-LV"/>
              </w:rPr>
            </w:pPr>
            <w:r w:rsidRPr="00422E3B">
              <w:rPr>
                <w:rFonts w:ascii="Times New Roman" w:eastAsia="Times New Roman" w:hAnsi="Times New Roman"/>
                <w:b/>
                <w:bCs/>
                <w:lang w:eastAsia="lv-LV"/>
              </w:rPr>
              <w:t>2019</w:t>
            </w:r>
          </w:p>
        </w:tc>
        <w:tc>
          <w:tcPr>
            <w:tcW w:w="696" w:type="pct"/>
            <w:hideMark/>
          </w:tcPr>
          <w:p w14:paraId="6EBC86A4" w14:textId="5465DC8E" w:rsidR="00EB2D6B" w:rsidRPr="00422E3B" w:rsidRDefault="00EB2D6B" w:rsidP="00EB2D6B">
            <w:pPr>
              <w:spacing w:after="0" w:line="240" w:lineRule="auto"/>
              <w:ind w:firstLine="301"/>
              <w:jc w:val="center"/>
              <w:rPr>
                <w:rFonts w:ascii="Times New Roman" w:eastAsia="Times New Roman" w:hAnsi="Times New Roman"/>
                <w:b/>
                <w:bCs/>
                <w:lang w:eastAsia="lv-LV"/>
              </w:rPr>
            </w:pPr>
            <w:r w:rsidRPr="00422E3B">
              <w:rPr>
                <w:rFonts w:ascii="Times New Roman" w:eastAsia="Times New Roman" w:hAnsi="Times New Roman"/>
                <w:b/>
                <w:bCs/>
                <w:lang w:eastAsia="lv-LV"/>
              </w:rPr>
              <w:t>2020</w:t>
            </w:r>
          </w:p>
        </w:tc>
      </w:tr>
      <w:tr w:rsidR="00422E3B" w:rsidRPr="00422E3B" w14:paraId="4FC58151" w14:textId="77777777" w:rsidTr="004D4EBE">
        <w:trPr>
          <w:trHeight w:val="20"/>
          <w:jc w:val="center"/>
        </w:trPr>
        <w:tc>
          <w:tcPr>
            <w:tcW w:w="1398" w:type="pct"/>
            <w:vMerge/>
            <w:hideMark/>
          </w:tcPr>
          <w:p w14:paraId="243AC290" w14:textId="77777777" w:rsidR="00EB2D6B" w:rsidRPr="00422E3B" w:rsidRDefault="00EB2D6B" w:rsidP="00EB2D6B">
            <w:pPr>
              <w:spacing w:after="0" w:line="240" w:lineRule="auto"/>
              <w:ind w:firstLine="301"/>
              <w:rPr>
                <w:rFonts w:ascii="Times New Roman" w:eastAsia="Times New Roman" w:hAnsi="Times New Roman"/>
                <w:b/>
                <w:bCs/>
                <w:lang w:eastAsia="lv-LV"/>
              </w:rPr>
            </w:pPr>
          </w:p>
        </w:tc>
        <w:tc>
          <w:tcPr>
            <w:tcW w:w="733" w:type="pct"/>
            <w:hideMark/>
          </w:tcPr>
          <w:p w14:paraId="7D46DDBC" w14:textId="77777777" w:rsidR="00EB2D6B" w:rsidRPr="00422E3B" w:rsidRDefault="00EB2D6B" w:rsidP="00EB2D6B">
            <w:pPr>
              <w:spacing w:after="0" w:line="240" w:lineRule="auto"/>
              <w:jc w:val="center"/>
              <w:rPr>
                <w:rFonts w:ascii="Times New Roman" w:eastAsia="Times New Roman" w:hAnsi="Times New Roman"/>
                <w:lang w:eastAsia="lv-LV"/>
              </w:rPr>
            </w:pPr>
            <w:r w:rsidRPr="00422E3B">
              <w:rPr>
                <w:rFonts w:ascii="Times New Roman" w:eastAsia="Times New Roman" w:hAnsi="Times New Roman"/>
                <w:lang w:eastAsia="lv-LV"/>
              </w:rPr>
              <w:t>saskaņā ar valsts budžetu kārtējam gadam</w:t>
            </w:r>
          </w:p>
        </w:tc>
        <w:tc>
          <w:tcPr>
            <w:tcW w:w="623" w:type="pct"/>
            <w:hideMark/>
          </w:tcPr>
          <w:p w14:paraId="22B563D1" w14:textId="77777777" w:rsidR="00EB2D6B" w:rsidRPr="00422E3B" w:rsidRDefault="00EB2D6B" w:rsidP="00EB2D6B">
            <w:pPr>
              <w:spacing w:after="0" w:line="240" w:lineRule="auto"/>
              <w:jc w:val="center"/>
              <w:rPr>
                <w:rFonts w:ascii="Times New Roman" w:eastAsia="Times New Roman" w:hAnsi="Times New Roman"/>
                <w:lang w:eastAsia="lv-LV"/>
              </w:rPr>
            </w:pPr>
            <w:r w:rsidRPr="00422E3B">
              <w:rPr>
                <w:rFonts w:ascii="Times New Roman" w:eastAsia="Times New Roman" w:hAnsi="Times New Roman"/>
                <w:lang w:eastAsia="lv-LV"/>
              </w:rPr>
              <w:t>izmaiņas kārtējā gadā, salīdzinot ar valsts budžetu kārtējam gadam</w:t>
            </w:r>
          </w:p>
        </w:tc>
        <w:tc>
          <w:tcPr>
            <w:tcW w:w="775" w:type="pct"/>
            <w:hideMark/>
          </w:tcPr>
          <w:p w14:paraId="23C31FC5" w14:textId="0DC4B327" w:rsidR="00EB2D6B" w:rsidRPr="00422E3B" w:rsidRDefault="00EB2D6B" w:rsidP="0006481D">
            <w:pPr>
              <w:spacing w:after="0" w:line="240" w:lineRule="auto"/>
              <w:jc w:val="center"/>
              <w:rPr>
                <w:rFonts w:ascii="Times New Roman" w:eastAsia="Times New Roman" w:hAnsi="Times New Roman"/>
                <w:lang w:eastAsia="lv-LV"/>
              </w:rPr>
            </w:pPr>
            <w:r w:rsidRPr="00422E3B">
              <w:rPr>
                <w:rFonts w:ascii="Times New Roman" w:eastAsia="Times New Roman" w:hAnsi="Times New Roman"/>
                <w:lang w:eastAsia="lv-LV"/>
              </w:rPr>
              <w:t xml:space="preserve">izmaiņas, salīdzinot ar </w:t>
            </w:r>
            <w:proofErr w:type="gramStart"/>
            <w:r w:rsidR="009B736C" w:rsidRPr="00422E3B">
              <w:rPr>
                <w:rFonts w:ascii="Times New Roman" w:eastAsia="Times New Roman" w:hAnsi="Times New Roman"/>
                <w:lang w:eastAsia="lv-LV"/>
              </w:rPr>
              <w:t>2017.</w:t>
            </w:r>
            <w:r w:rsidRPr="00422E3B">
              <w:rPr>
                <w:rFonts w:ascii="Times New Roman" w:eastAsia="Times New Roman" w:hAnsi="Times New Roman"/>
                <w:lang w:eastAsia="lv-LV"/>
              </w:rPr>
              <w:t>gadu</w:t>
            </w:r>
            <w:proofErr w:type="gramEnd"/>
          </w:p>
        </w:tc>
        <w:tc>
          <w:tcPr>
            <w:tcW w:w="775" w:type="pct"/>
            <w:hideMark/>
          </w:tcPr>
          <w:p w14:paraId="0FA6900D" w14:textId="17651AC8" w:rsidR="00EB2D6B" w:rsidRPr="00422E3B" w:rsidRDefault="00EB2D6B" w:rsidP="0006481D">
            <w:pPr>
              <w:spacing w:after="0" w:line="240" w:lineRule="auto"/>
              <w:jc w:val="center"/>
              <w:rPr>
                <w:rFonts w:ascii="Times New Roman" w:eastAsia="Times New Roman" w:hAnsi="Times New Roman"/>
                <w:lang w:eastAsia="lv-LV"/>
              </w:rPr>
            </w:pPr>
            <w:r w:rsidRPr="00422E3B">
              <w:rPr>
                <w:rFonts w:ascii="Times New Roman" w:eastAsia="Times New Roman" w:hAnsi="Times New Roman"/>
                <w:lang w:eastAsia="lv-LV"/>
              </w:rPr>
              <w:t xml:space="preserve">izmaiņas, salīdzinot ar </w:t>
            </w:r>
            <w:proofErr w:type="gramStart"/>
            <w:r w:rsidR="009B736C" w:rsidRPr="00422E3B">
              <w:rPr>
                <w:rFonts w:ascii="Times New Roman" w:eastAsia="Times New Roman" w:hAnsi="Times New Roman"/>
                <w:lang w:eastAsia="lv-LV"/>
              </w:rPr>
              <w:t>2017.</w:t>
            </w:r>
            <w:r w:rsidRPr="00422E3B">
              <w:rPr>
                <w:rFonts w:ascii="Times New Roman" w:eastAsia="Times New Roman" w:hAnsi="Times New Roman"/>
                <w:lang w:eastAsia="lv-LV"/>
              </w:rPr>
              <w:t>gadu</w:t>
            </w:r>
            <w:proofErr w:type="gramEnd"/>
          </w:p>
        </w:tc>
        <w:tc>
          <w:tcPr>
            <w:tcW w:w="696" w:type="pct"/>
            <w:hideMark/>
          </w:tcPr>
          <w:p w14:paraId="03F10124" w14:textId="44AB1C51" w:rsidR="00EB2D6B" w:rsidRPr="00422E3B" w:rsidRDefault="00EB2D6B" w:rsidP="0006481D">
            <w:pPr>
              <w:spacing w:after="0" w:line="240" w:lineRule="auto"/>
              <w:jc w:val="center"/>
              <w:rPr>
                <w:rFonts w:ascii="Times New Roman" w:eastAsia="Times New Roman" w:hAnsi="Times New Roman"/>
                <w:lang w:eastAsia="lv-LV"/>
              </w:rPr>
            </w:pPr>
            <w:r w:rsidRPr="00422E3B">
              <w:rPr>
                <w:rFonts w:ascii="Times New Roman" w:eastAsia="Times New Roman" w:hAnsi="Times New Roman"/>
                <w:lang w:eastAsia="lv-LV"/>
              </w:rPr>
              <w:t xml:space="preserve">izmaiņas, salīdzinot ar </w:t>
            </w:r>
            <w:proofErr w:type="gramStart"/>
            <w:r w:rsidR="009B736C" w:rsidRPr="00422E3B">
              <w:rPr>
                <w:rFonts w:ascii="Times New Roman" w:eastAsia="Times New Roman" w:hAnsi="Times New Roman"/>
                <w:lang w:eastAsia="lv-LV"/>
              </w:rPr>
              <w:t>2017.g</w:t>
            </w:r>
            <w:r w:rsidRPr="00422E3B">
              <w:rPr>
                <w:rFonts w:ascii="Times New Roman" w:eastAsia="Times New Roman" w:hAnsi="Times New Roman"/>
                <w:lang w:eastAsia="lv-LV"/>
              </w:rPr>
              <w:t>adu</w:t>
            </w:r>
            <w:proofErr w:type="gramEnd"/>
          </w:p>
        </w:tc>
      </w:tr>
      <w:tr w:rsidR="00422E3B" w:rsidRPr="00422E3B" w14:paraId="6206B0FB" w14:textId="77777777" w:rsidTr="004D4EBE">
        <w:trPr>
          <w:trHeight w:val="20"/>
          <w:jc w:val="center"/>
        </w:trPr>
        <w:tc>
          <w:tcPr>
            <w:tcW w:w="1398" w:type="pct"/>
            <w:hideMark/>
          </w:tcPr>
          <w:p w14:paraId="66FEE5F4"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w:t>
            </w:r>
          </w:p>
        </w:tc>
        <w:tc>
          <w:tcPr>
            <w:tcW w:w="733" w:type="pct"/>
            <w:hideMark/>
          </w:tcPr>
          <w:p w14:paraId="5BC8A033"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2</w:t>
            </w:r>
          </w:p>
        </w:tc>
        <w:tc>
          <w:tcPr>
            <w:tcW w:w="623" w:type="pct"/>
            <w:hideMark/>
          </w:tcPr>
          <w:p w14:paraId="3AB6A735"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w:t>
            </w:r>
          </w:p>
        </w:tc>
        <w:tc>
          <w:tcPr>
            <w:tcW w:w="775" w:type="pct"/>
            <w:hideMark/>
          </w:tcPr>
          <w:p w14:paraId="0C397E90"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4</w:t>
            </w:r>
          </w:p>
        </w:tc>
        <w:tc>
          <w:tcPr>
            <w:tcW w:w="775" w:type="pct"/>
            <w:hideMark/>
          </w:tcPr>
          <w:p w14:paraId="14B919C8"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5</w:t>
            </w:r>
          </w:p>
        </w:tc>
        <w:tc>
          <w:tcPr>
            <w:tcW w:w="696" w:type="pct"/>
            <w:hideMark/>
          </w:tcPr>
          <w:p w14:paraId="1C1EBB5D" w14:textId="77777777" w:rsidR="00EB2D6B" w:rsidRPr="00422E3B" w:rsidRDefault="00EB2D6B" w:rsidP="00EB2D6B">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6</w:t>
            </w:r>
          </w:p>
        </w:tc>
      </w:tr>
      <w:tr w:rsidR="00422E3B" w:rsidRPr="00422E3B" w14:paraId="7F37CC5F" w14:textId="77777777" w:rsidTr="004D4EBE">
        <w:trPr>
          <w:trHeight w:val="20"/>
          <w:jc w:val="center"/>
        </w:trPr>
        <w:tc>
          <w:tcPr>
            <w:tcW w:w="1398" w:type="pct"/>
            <w:hideMark/>
          </w:tcPr>
          <w:p w14:paraId="35C070FD" w14:textId="77777777" w:rsidR="00EA2B4E" w:rsidRPr="00422E3B" w:rsidRDefault="00EA2B4E" w:rsidP="00EA2B4E">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1. Budžeta ieņēmumi:</w:t>
            </w:r>
          </w:p>
        </w:tc>
        <w:tc>
          <w:tcPr>
            <w:tcW w:w="733" w:type="pct"/>
            <w:hideMark/>
          </w:tcPr>
          <w:p w14:paraId="32BB71A7" w14:textId="5CB9B1CF" w:rsidR="00EA2B4E" w:rsidRPr="00422E3B" w:rsidRDefault="00062C6A"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850 000</w:t>
            </w:r>
          </w:p>
        </w:tc>
        <w:tc>
          <w:tcPr>
            <w:tcW w:w="623" w:type="pct"/>
            <w:hideMark/>
          </w:tcPr>
          <w:p w14:paraId="5C03E20B" w14:textId="17F27AD1" w:rsidR="00EA2B4E" w:rsidRPr="00422E3B" w:rsidRDefault="00EA2B4E"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775" w:type="pct"/>
            <w:hideMark/>
          </w:tcPr>
          <w:p w14:paraId="1C0399B0" w14:textId="4EF05803" w:rsidR="00EA2B4E" w:rsidRPr="00422E3B" w:rsidRDefault="00EA2B4E" w:rsidP="008C1CB1">
            <w:pPr>
              <w:spacing w:after="0" w:line="240" w:lineRule="auto"/>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775" w:type="pct"/>
            <w:hideMark/>
          </w:tcPr>
          <w:p w14:paraId="512BB8AC" w14:textId="756D43F4" w:rsidR="00EA2B4E" w:rsidRPr="00422E3B" w:rsidRDefault="00EA2B4E"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696" w:type="pct"/>
            <w:hideMark/>
          </w:tcPr>
          <w:p w14:paraId="1558801E" w14:textId="7BD4D1D0" w:rsidR="00EA2B4E" w:rsidRPr="00422E3B" w:rsidRDefault="00EA2B4E"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r>
      <w:tr w:rsidR="00422E3B" w:rsidRPr="00422E3B" w14:paraId="10331682" w14:textId="77777777" w:rsidTr="004D4EBE">
        <w:trPr>
          <w:trHeight w:val="20"/>
          <w:jc w:val="center"/>
        </w:trPr>
        <w:tc>
          <w:tcPr>
            <w:tcW w:w="1398" w:type="pct"/>
            <w:hideMark/>
          </w:tcPr>
          <w:p w14:paraId="1AA851AC" w14:textId="77777777" w:rsidR="00EA2B4E" w:rsidRPr="00422E3B" w:rsidRDefault="00EA2B4E" w:rsidP="00EA2B4E">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1.1. valsts pamatbudžets, tai skaitā ieņēmumi no maksas pakalpojumiem un citi pašu ieņēmumi</w:t>
            </w:r>
          </w:p>
        </w:tc>
        <w:tc>
          <w:tcPr>
            <w:tcW w:w="733" w:type="pct"/>
            <w:hideMark/>
          </w:tcPr>
          <w:p w14:paraId="088A1B71" w14:textId="603BD46B" w:rsidR="00EA2B4E" w:rsidRPr="00422E3B" w:rsidRDefault="009B736C"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255</w:t>
            </w:r>
            <w:r w:rsidR="005A2EEE"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000</w:t>
            </w:r>
          </w:p>
          <w:p w14:paraId="46520262" w14:textId="394433F5" w:rsidR="00EA2B4E" w:rsidRPr="00422E3B" w:rsidRDefault="00EA2B4E" w:rsidP="00EA2B4E">
            <w:pPr>
              <w:spacing w:after="0" w:line="240" w:lineRule="auto"/>
              <w:ind w:firstLine="301"/>
              <w:rPr>
                <w:rFonts w:ascii="Times New Roman" w:eastAsia="Times New Roman" w:hAnsi="Times New Roman"/>
                <w:sz w:val="24"/>
                <w:szCs w:val="24"/>
                <w:lang w:eastAsia="lv-LV"/>
              </w:rPr>
            </w:pPr>
          </w:p>
        </w:tc>
        <w:tc>
          <w:tcPr>
            <w:tcW w:w="623" w:type="pct"/>
            <w:hideMark/>
          </w:tcPr>
          <w:p w14:paraId="53324DB4" w14:textId="4C5E7320" w:rsidR="00EA2B4E" w:rsidRPr="00422E3B" w:rsidRDefault="00EA2B4E"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775" w:type="pct"/>
            <w:hideMark/>
          </w:tcPr>
          <w:p w14:paraId="4BDBE601" w14:textId="5190B959" w:rsidR="00EA2B4E" w:rsidRPr="00422E3B" w:rsidRDefault="009B736C" w:rsidP="009B736C">
            <w:pPr>
              <w:spacing w:after="0" w:line="240" w:lineRule="auto"/>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c>
          <w:tcPr>
            <w:tcW w:w="775" w:type="pct"/>
            <w:hideMark/>
          </w:tcPr>
          <w:p w14:paraId="4E13989E" w14:textId="7434D193" w:rsidR="00EA2B4E" w:rsidRPr="00422E3B" w:rsidRDefault="00EA2B4E"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w:t>
            </w:r>
            <w:r w:rsidR="009B736C" w:rsidRPr="00422E3B">
              <w:rPr>
                <w:rFonts w:ascii="Times New Roman" w:eastAsia="Times New Roman" w:hAnsi="Times New Roman"/>
                <w:sz w:val="24"/>
                <w:szCs w:val="24"/>
                <w:lang w:eastAsia="lv-LV"/>
              </w:rPr>
              <w:t>6</w:t>
            </w:r>
          </w:p>
        </w:tc>
        <w:tc>
          <w:tcPr>
            <w:tcW w:w="696" w:type="pct"/>
            <w:hideMark/>
          </w:tcPr>
          <w:p w14:paraId="60D2C096" w14:textId="7F97AA88" w:rsidR="00EA2B4E" w:rsidRPr="00422E3B" w:rsidRDefault="00EA2B4E"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w:t>
            </w:r>
            <w:r w:rsidR="009B736C" w:rsidRPr="00422E3B">
              <w:rPr>
                <w:rFonts w:ascii="Times New Roman" w:eastAsia="Times New Roman" w:hAnsi="Times New Roman"/>
                <w:sz w:val="24"/>
                <w:szCs w:val="24"/>
                <w:lang w:eastAsia="lv-LV"/>
              </w:rPr>
              <w:t>6</w:t>
            </w:r>
          </w:p>
        </w:tc>
      </w:tr>
      <w:tr w:rsidR="00422E3B" w:rsidRPr="00422E3B" w14:paraId="39ADAA4D" w14:textId="77777777" w:rsidTr="004D4EBE">
        <w:trPr>
          <w:trHeight w:val="20"/>
          <w:jc w:val="center"/>
        </w:trPr>
        <w:tc>
          <w:tcPr>
            <w:tcW w:w="1398" w:type="pct"/>
            <w:hideMark/>
          </w:tcPr>
          <w:p w14:paraId="12F32ECE" w14:textId="354B84EF" w:rsidR="007C5221" w:rsidRPr="00422E3B" w:rsidRDefault="007C5221" w:rsidP="007C5221">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1.2. valsts speciālais budžets</w:t>
            </w:r>
          </w:p>
        </w:tc>
        <w:tc>
          <w:tcPr>
            <w:tcW w:w="733" w:type="pct"/>
            <w:hideMark/>
          </w:tcPr>
          <w:p w14:paraId="16574372" w14:textId="41B1B752" w:rsidR="007C5221" w:rsidRPr="00422E3B" w:rsidRDefault="007C5221" w:rsidP="007C522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23" w:type="pct"/>
            <w:hideMark/>
          </w:tcPr>
          <w:p w14:paraId="2CC31F24" w14:textId="0016986C" w:rsidR="007C5221" w:rsidRPr="00422E3B" w:rsidRDefault="007C5221" w:rsidP="007C522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548E80CB" w14:textId="67527C57" w:rsidR="007C5221" w:rsidRPr="00422E3B" w:rsidRDefault="007C5221" w:rsidP="007C522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79EFC7FB" w14:textId="55896E72" w:rsidR="007C5221" w:rsidRPr="00422E3B" w:rsidRDefault="007C5221" w:rsidP="007C522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7ED7D906" w14:textId="19652B14" w:rsidR="007C5221" w:rsidRPr="00422E3B" w:rsidRDefault="007C5221" w:rsidP="007C522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36228822" w14:textId="77777777" w:rsidTr="004D4EBE">
        <w:trPr>
          <w:trHeight w:val="20"/>
          <w:jc w:val="center"/>
        </w:trPr>
        <w:tc>
          <w:tcPr>
            <w:tcW w:w="1398" w:type="pct"/>
            <w:hideMark/>
          </w:tcPr>
          <w:p w14:paraId="566B0DD5" w14:textId="77777777" w:rsidR="00EA2B4E" w:rsidRPr="00422E3B" w:rsidRDefault="00EA2B4E" w:rsidP="00EA2B4E">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1.3. pašvaldību budžets</w:t>
            </w:r>
          </w:p>
        </w:tc>
        <w:tc>
          <w:tcPr>
            <w:tcW w:w="733" w:type="pct"/>
            <w:hideMark/>
          </w:tcPr>
          <w:p w14:paraId="63FE979E" w14:textId="38872EDD" w:rsidR="00EA2B4E" w:rsidRPr="00422E3B" w:rsidRDefault="00062C6A"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595 000</w:t>
            </w:r>
          </w:p>
        </w:tc>
        <w:tc>
          <w:tcPr>
            <w:tcW w:w="623" w:type="pct"/>
            <w:hideMark/>
          </w:tcPr>
          <w:p w14:paraId="390B702D" w14:textId="41BE5133" w:rsidR="00EA2B4E" w:rsidRPr="00422E3B" w:rsidRDefault="00EA2B4E" w:rsidP="00EA2B4E">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06DB37C8" w14:textId="5B071941" w:rsidR="00EA2B4E" w:rsidRPr="00422E3B" w:rsidRDefault="00EA2B4E"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w:t>
            </w:r>
            <w:r w:rsidR="009B736C" w:rsidRPr="00422E3B">
              <w:rPr>
                <w:rFonts w:ascii="Times New Roman" w:eastAsia="Times New Roman" w:hAnsi="Times New Roman"/>
                <w:sz w:val="24"/>
                <w:szCs w:val="24"/>
                <w:lang w:eastAsia="lv-LV"/>
              </w:rPr>
              <w:t>6</w:t>
            </w:r>
          </w:p>
        </w:tc>
        <w:tc>
          <w:tcPr>
            <w:tcW w:w="775" w:type="pct"/>
            <w:hideMark/>
          </w:tcPr>
          <w:p w14:paraId="22F7A76F" w14:textId="6D1665A7" w:rsidR="00EA2B4E" w:rsidRPr="00422E3B" w:rsidRDefault="00EA2B4E"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w:t>
            </w:r>
            <w:r w:rsidR="009B736C" w:rsidRPr="00422E3B">
              <w:rPr>
                <w:rFonts w:ascii="Times New Roman" w:eastAsia="Times New Roman" w:hAnsi="Times New Roman"/>
                <w:sz w:val="24"/>
                <w:szCs w:val="24"/>
                <w:lang w:eastAsia="lv-LV"/>
              </w:rPr>
              <w:t>6</w:t>
            </w:r>
          </w:p>
        </w:tc>
        <w:tc>
          <w:tcPr>
            <w:tcW w:w="696" w:type="pct"/>
            <w:hideMark/>
          </w:tcPr>
          <w:p w14:paraId="11DF1482" w14:textId="0F01B9D9" w:rsidR="00EA2B4E" w:rsidRPr="00422E3B" w:rsidRDefault="00EA2B4E"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w:t>
            </w:r>
            <w:r w:rsidR="009B736C" w:rsidRPr="00422E3B">
              <w:rPr>
                <w:rFonts w:ascii="Times New Roman" w:eastAsia="Times New Roman" w:hAnsi="Times New Roman"/>
                <w:sz w:val="24"/>
                <w:szCs w:val="24"/>
                <w:lang w:eastAsia="lv-LV"/>
              </w:rPr>
              <w:t>-246</w:t>
            </w:r>
          </w:p>
        </w:tc>
      </w:tr>
      <w:tr w:rsidR="00422E3B" w:rsidRPr="00422E3B" w14:paraId="63F2BC11" w14:textId="77777777" w:rsidTr="004D4EBE">
        <w:trPr>
          <w:trHeight w:val="20"/>
          <w:jc w:val="center"/>
        </w:trPr>
        <w:tc>
          <w:tcPr>
            <w:tcW w:w="1398" w:type="pct"/>
            <w:hideMark/>
          </w:tcPr>
          <w:p w14:paraId="65CD5013" w14:textId="77777777" w:rsidR="00B72251" w:rsidRPr="00422E3B" w:rsidRDefault="00B72251" w:rsidP="00B72251">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2. Budžeta izdevumi:</w:t>
            </w:r>
          </w:p>
        </w:tc>
        <w:tc>
          <w:tcPr>
            <w:tcW w:w="733" w:type="pct"/>
            <w:hideMark/>
          </w:tcPr>
          <w:p w14:paraId="1085CCEF" w14:textId="2E82013D"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850 000</w:t>
            </w:r>
          </w:p>
        </w:tc>
        <w:tc>
          <w:tcPr>
            <w:tcW w:w="623" w:type="pct"/>
            <w:hideMark/>
          </w:tcPr>
          <w:p w14:paraId="7813B31B" w14:textId="42BD3817"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26CAFB30" w14:textId="701DB128"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541314F6" w14:textId="3E222D77"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7B1807DE" w14:textId="4036F14B"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722E7B5A" w14:textId="77777777" w:rsidTr="004D4EBE">
        <w:trPr>
          <w:trHeight w:val="20"/>
          <w:jc w:val="center"/>
        </w:trPr>
        <w:tc>
          <w:tcPr>
            <w:tcW w:w="1398" w:type="pct"/>
            <w:hideMark/>
          </w:tcPr>
          <w:p w14:paraId="7225D215" w14:textId="77777777" w:rsidR="00B72251" w:rsidRPr="00422E3B" w:rsidRDefault="00B72251" w:rsidP="00B72251">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2.1. valsts pamatbudžets</w:t>
            </w:r>
          </w:p>
        </w:tc>
        <w:tc>
          <w:tcPr>
            <w:tcW w:w="733" w:type="pct"/>
            <w:hideMark/>
          </w:tcPr>
          <w:p w14:paraId="2FF95DC6" w14:textId="4C76518F"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255 000</w:t>
            </w:r>
          </w:p>
        </w:tc>
        <w:tc>
          <w:tcPr>
            <w:tcW w:w="623" w:type="pct"/>
            <w:hideMark/>
          </w:tcPr>
          <w:p w14:paraId="0C8F4F5F" w14:textId="6574C09F"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70E4AC33" w14:textId="06F39791"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0FAF25AE" w14:textId="050A4CD9"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4D452F25" w14:textId="73837251"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0F6AEF4F" w14:textId="77777777" w:rsidTr="004D4EBE">
        <w:trPr>
          <w:trHeight w:val="20"/>
          <w:jc w:val="center"/>
        </w:trPr>
        <w:tc>
          <w:tcPr>
            <w:tcW w:w="1398" w:type="pct"/>
            <w:hideMark/>
          </w:tcPr>
          <w:p w14:paraId="7C3F0E86" w14:textId="77777777" w:rsidR="00B72251" w:rsidRPr="00422E3B" w:rsidRDefault="00B72251" w:rsidP="00B72251">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2.2. valsts speciālais budžets</w:t>
            </w:r>
          </w:p>
        </w:tc>
        <w:tc>
          <w:tcPr>
            <w:tcW w:w="733" w:type="pct"/>
            <w:hideMark/>
          </w:tcPr>
          <w:p w14:paraId="1A1D1B00" w14:textId="7223B0F7"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23" w:type="pct"/>
            <w:hideMark/>
          </w:tcPr>
          <w:p w14:paraId="69A18D43" w14:textId="53ECEA7C"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75B5415E" w14:textId="057C9194"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4599A0EB" w14:textId="187B9847"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31BF3542" w14:textId="49F4B948"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557910BF" w14:textId="77777777" w:rsidTr="004D4EBE">
        <w:trPr>
          <w:trHeight w:val="20"/>
          <w:jc w:val="center"/>
        </w:trPr>
        <w:tc>
          <w:tcPr>
            <w:tcW w:w="1398" w:type="pct"/>
            <w:hideMark/>
          </w:tcPr>
          <w:p w14:paraId="146B645F" w14:textId="77777777" w:rsidR="00B72251" w:rsidRPr="00422E3B" w:rsidRDefault="00B72251" w:rsidP="00B72251">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2.3. pašvaldību budžets</w:t>
            </w:r>
          </w:p>
        </w:tc>
        <w:tc>
          <w:tcPr>
            <w:tcW w:w="733" w:type="pct"/>
            <w:hideMark/>
          </w:tcPr>
          <w:p w14:paraId="76F64C9A" w14:textId="5E48E1A6"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595 000</w:t>
            </w:r>
          </w:p>
        </w:tc>
        <w:tc>
          <w:tcPr>
            <w:tcW w:w="623" w:type="pct"/>
            <w:hideMark/>
          </w:tcPr>
          <w:p w14:paraId="61E5A3B5" w14:textId="131D3B1C"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41C64905" w14:textId="0E6D0E9C"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6EEC1EBA" w14:textId="1A556E67"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7363C492" w14:textId="750A2059" w:rsidR="00B72251" w:rsidRPr="00422E3B" w:rsidRDefault="00B72251" w:rsidP="00B7225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2AD54643" w14:textId="77777777" w:rsidTr="004D4EBE">
        <w:trPr>
          <w:trHeight w:val="20"/>
          <w:jc w:val="center"/>
        </w:trPr>
        <w:tc>
          <w:tcPr>
            <w:tcW w:w="1398" w:type="pct"/>
            <w:hideMark/>
          </w:tcPr>
          <w:p w14:paraId="20844508" w14:textId="77777777" w:rsidR="00062C6A" w:rsidRPr="00422E3B" w:rsidRDefault="00062C6A" w:rsidP="00062C6A">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3. Finansiālā ietekme:</w:t>
            </w:r>
          </w:p>
        </w:tc>
        <w:tc>
          <w:tcPr>
            <w:tcW w:w="733" w:type="pct"/>
            <w:hideMark/>
          </w:tcPr>
          <w:p w14:paraId="0D590EFD" w14:textId="2D058921" w:rsidR="00062C6A" w:rsidRPr="00422E3B" w:rsidRDefault="00B72251"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w:t>
            </w:r>
          </w:p>
        </w:tc>
        <w:tc>
          <w:tcPr>
            <w:tcW w:w="623" w:type="pct"/>
            <w:hideMark/>
          </w:tcPr>
          <w:p w14:paraId="2CA0B38A" w14:textId="536492A8"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2C146E61" w14:textId="10802B6C" w:rsidR="00062C6A" w:rsidRPr="00422E3B" w:rsidRDefault="00062C6A"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775" w:type="pct"/>
            <w:hideMark/>
          </w:tcPr>
          <w:p w14:paraId="26DB5063" w14:textId="68286E10" w:rsidR="00062C6A" w:rsidRPr="00422E3B" w:rsidRDefault="00062C6A"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696" w:type="pct"/>
            <w:hideMark/>
          </w:tcPr>
          <w:p w14:paraId="46A7B4F0" w14:textId="684E3EB2" w:rsidR="00062C6A" w:rsidRPr="00422E3B" w:rsidRDefault="00062C6A"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r>
      <w:tr w:rsidR="00422E3B" w:rsidRPr="00422E3B" w14:paraId="3B600C5F" w14:textId="77777777" w:rsidTr="004D4EBE">
        <w:trPr>
          <w:trHeight w:val="20"/>
          <w:jc w:val="center"/>
        </w:trPr>
        <w:tc>
          <w:tcPr>
            <w:tcW w:w="1398" w:type="pct"/>
            <w:hideMark/>
          </w:tcPr>
          <w:p w14:paraId="52F54178" w14:textId="77777777" w:rsidR="00062C6A" w:rsidRPr="00422E3B" w:rsidRDefault="00062C6A" w:rsidP="00062C6A">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lastRenderedPageBreak/>
              <w:t>3.1. valsts pamatbudžets</w:t>
            </w:r>
          </w:p>
        </w:tc>
        <w:tc>
          <w:tcPr>
            <w:tcW w:w="733" w:type="pct"/>
            <w:hideMark/>
          </w:tcPr>
          <w:p w14:paraId="25DD7D39" w14:textId="486A7913" w:rsidR="00062C6A" w:rsidRPr="00422E3B" w:rsidRDefault="00B72251"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w:t>
            </w:r>
          </w:p>
        </w:tc>
        <w:tc>
          <w:tcPr>
            <w:tcW w:w="623" w:type="pct"/>
            <w:hideMark/>
          </w:tcPr>
          <w:p w14:paraId="3D19CB60" w14:textId="545B0FAC"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219BE949" w14:textId="09F4A01F"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c>
          <w:tcPr>
            <w:tcW w:w="775" w:type="pct"/>
            <w:hideMark/>
          </w:tcPr>
          <w:p w14:paraId="75514CF7" w14:textId="0579F80B"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c>
          <w:tcPr>
            <w:tcW w:w="696" w:type="pct"/>
            <w:hideMark/>
          </w:tcPr>
          <w:p w14:paraId="4B028974" w14:textId="3AD13CC5"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r>
      <w:tr w:rsidR="00422E3B" w:rsidRPr="00422E3B" w14:paraId="24D98AE2" w14:textId="77777777" w:rsidTr="004D4EBE">
        <w:trPr>
          <w:trHeight w:val="20"/>
          <w:jc w:val="center"/>
        </w:trPr>
        <w:tc>
          <w:tcPr>
            <w:tcW w:w="1398" w:type="pct"/>
            <w:hideMark/>
          </w:tcPr>
          <w:p w14:paraId="6EC75B32" w14:textId="77777777" w:rsidR="00062C6A" w:rsidRPr="00422E3B" w:rsidRDefault="00062C6A" w:rsidP="00062C6A">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3.2. speciālais budžets</w:t>
            </w:r>
          </w:p>
        </w:tc>
        <w:tc>
          <w:tcPr>
            <w:tcW w:w="733" w:type="pct"/>
            <w:hideMark/>
          </w:tcPr>
          <w:p w14:paraId="71028054" w14:textId="7F909251"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23" w:type="pct"/>
            <w:hideMark/>
          </w:tcPr>
          <w:p w14:paraId="0801F767" w14:textId="0A28E4B6"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4E7CD8A6" w14:textId="2D2DDBFB"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269034EB" w14:textId="2F198FC1"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054AE255" w14:textId="360F8806"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4F6B3634" w14:textId="77777777" w:rsidTr="004D4EBE">
        <w:trPr>
          <w:trHeight w:val="20"/>
          <w:jc w:val="center"/>
        </w:trPr>
        <w:tc>
          <w:tcPr>
            <w:tcW w:w="1398" w:type="pct"/>
            <w:hideMark/>
          </w:tcPr>
          <w:p w14:paraId="48B1B5D3" w14:textId="77777777" w:rsidR="00062C6A" w:rsidRPr="00422E3B" w:rsidRDefault="00062C6A" w:rsidP="00062C6A">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3.3. pašvaldību budžets</w:t>
            </w:r>
          </w:p>
        </w:tc>
        <w:tc>
          <w:tcPr>
            <w:tcW w:w="733" w:type="pct"/>
            <w:hideMark/>
          </w:tcPr>
          <w:p w14:paraId="6499428E" w14:textId="37B3AFAF" w:rsidR="00062C6A" w:rsidRPr="00422E3B" w:rsidRDefault="00B72251"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w:t>
            </w:r>
          </w:p>
        </w:tc>
        <w:tc>
          <w:tcPr>
            <w:tcW w:w="623" w:type="pct"/>
            <w:hideMark/>
          </w:tcPr>
          <w:p w14:paraId="669B38CB" w14:textId="1C82B04D"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6BDEC392" w14:textId="4F18B2C6"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c>
          <w:tcPr>
            <w:tcW w:w="775" w:type="pct"/>
            <w:hideMark/>
          </w:tcPr>
          <w:p w14:paraId="5C01B398" w14:textId="79530942"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c>
          <w:tcPr>
            <w:tcW w:w="696" w:type="pct"/>
            <w:hideMark/>
          </w:tcPr>
          <w:p w14:paraId="4853BC4A" w14:textId="36016988" w:rsidR="00062C6A" w:rsidRPr="00422E3B" w:rsidRDefault="00062C6A" w:rsidP="00062C6A">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r>
      <w:tr w:rsidR="00422E3B" w:rsidRPr="00422E3B" w14:paraId="70A57B45" w14:textId="77777777" w:rsidTr="004D4EBE">
        <w:trPr>
          <w:trHeight w:val="20"/>
          <w:jc w:val="center"/>
        </w:trPr>
        <w:tc>
          <w:tcPr>
            <w:tcW w:w="1398" w:type="pct"/>
            <w:vMerge w:val="restart"/>
            <w:hideMark/>
          </w:tcPr>
          <w:p w14:paraId="5F0B4221" w14:textId="77777777" w:rsidR="00D06494" w:rsidRPr="00422E3B" w:rsidRDefault="00D06494" w:rsidP="00D06494">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4. Finanšu līdzekļi papildu izdevumu finansēšanai (kompensējošu izdevumu samazinājumu norāda ar "+" zīmi)</w:t>
            </w:r>
          </w:p>
        </w:tc>
        <w:tc>
          <w:tcPr>
            <w:tcW w:w="733" w:type="pct"/>
            <w:vMerge w:val="restart"/>
            <w:hideMark/>
          </w:tcPr>
          <w:p w14:paraId="4DF4D2A4" w14:textId="77777777" w:rsidR="00D06494" w:rsidRPr="00422E3B" w:rsidRDefault="00D06494" w:rsidP="00D06494">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X</w:t>
            </w:r>
          </w:p>
        </w:tc>
        <w:tc>
          <w:tcPr>
            <w:tcW w:w="623" w:type="pct"/>
            <w:hideMark/>
          </w:tcPr>
          <w:p w14:paraId="4441B193" w14:textId="6CDD0B2A"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27461FA2" w14:textId="29CAB269"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48384B6A" w14:textId="7636F8BC"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96" w:type="pct"/>
            <w:hideMark/>
          </w:tcPr>
          <w:p w14:paraId="32B1F8E0" w14:textId="00851ACA"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r>
      <w:tr w:rsidR="00422E3B" w:rsidRPr="00422E3B" w14:paraId="01045013" w14:textId="77777777" w:rsidTr="004D4EBE">
        <w:trPr>
          <w:trHeight w:val="20"/>
          <w:jc w:val="center"/>
        </w:trPr>
        <w:tc>
          <w:tcPr>
            <w:tcW w:w="1398" w:type="pct"/>
            <w:vMerge/>
            <w:hideMark/>
          </w:tcPr>
          <w:p w14:paraId="1776F45D" w14:textId="77777777" w:rsidR="00D06494" w:rsidRPr="00422E3B" w:rsidRDefault="00D06494" w:rsidP="00D06494">
            <w:pPr>
              <w:spacing w:after="0" w:line="240" w:lineRule="auto"/>
              <w:ind w:firstLine="301"/>
              <w:rPr>
                <w:rFonts w:ascii="Times New Roman" w:eastAsia="Times New Roman" w:hAnsi="Times New Roman"/>
                <w:lang w:eastAsia="lv-LV"/>
              </w:rPr>
            </w:pPr>
          </w:p>
        </w:tc>
        <w:tc>
          <w:tcPr>
            <w:tcW w:w="733" w:type="pct"/>
            <w:vMerge/>
            <w:hideMark/>
          </w:tcPr>
          <w:p w14:paraId="498955A6" w14:textId="77777777" w:rsidR="00D06494" w:rsidRPr="00422E3B" w:rsidRDefault="00D06494" w:rsidP="00D06494">
            <w:pPr>
              <w:spacing w:after="0" w:line="240" w:lineRule="auto"/>
              <w:ind w:firstLine="301"/>
              <w:rPr>
                <w:rFonts w:ascii="Times New Roman" w:eastAsia="Times New Roman" w:hAnsi="Times New Roman"/>
                <w:sz w:val="24"/>
                <w:szCs w:val="24"/>
                <w:lang w:eastAsia="lv-LV"/>
              </w:rPr>
            </w:pPr>
          </w:p>
        </w:tc>
        <w:tc>
          <w:tcPr>
            <w:tcW w:w="623" w:type="pct"/>
            <w:hideMark/>
          </w:tcPr>
          <w:p w14:paraId="34A78E2F" w14:textId="6E589F91"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1B06627D" w14:textId="4C5690F1"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5EFD1ED7" w14:textId="07190D0D"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96" w:type="pct"/>
            <w:hideMark/>
          </w:tcPr>
          <w:p w14:paraId="2F94F83F" w14:textId="5E3B311F"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r>
      <w:tr w:rsidR="00422E3B" w:rsidRPr="00422E3B" w14:paraId="299EA5ED" w14:textId="77777777" w:rsidTr="004D4EBE">
        <w:trPr>
          <w:trHeight w:val="20"/>
          <w:jc w:val="center"/>
        </w:trPr>
        <w:tc>
          <w:tcPr>
            <w:tcW w:w="1398" w:type="pct"/>
            <w:vMerge/>
            <w:hideMark/>
          </w:tcPr>
          <w:p w14:paraId="1D808B72" w14:textId="77777777" w:rsidR="00D06494" w:rsidRPr="00422E3B" w:rsidRDefault="00D06494" w:rsidP="00D06494">
            <w:pPr>
              <w:spacing w:after="0" w:line="240" w:lineRule="auto"/>
              <w:ind w:firstLine="301"/>
              <w:rPr>
                <w:rFonts w:ascii="Times New Roman" w:eastAsia="Times New Roman" w:hAnsi="Times New Roman"/>
                <w:lang w:eastAsia="lv-LV"/>
              </w:rPr>
            </w:pPr>
          </w:p>
        </w:tc>
        <w:tc>
          <w:tcPr>
            <w:tcW w:w="733" w:type="pct"/>
            <w:vMerge/>
            <w:hideMark/>
          </w:tcPr>
          <w:p w14:paraId="67726423" w14:textId="77777777" w:rsidR="00D06494" w:rsidRPr="00422E3B" w:rsidRDefault="00D06494" w:rsidP="00D06494">
            <w:pPr>
              <w:spacing w:after="0" w:line="240" w:lineRule="auto"/>
              <w:ind w:firstLine="301"/>
              <w:rPr>
                <w:rFonts w:ascii="Times New Roman" w:eastAsia="Times New Roman" w:hAnsi="Times New Roman"/>
                <w:sz w:val="24"/>
                <w:szCs w:val="24"/>
                <w:lang w:eastAsia="lv-LV"/>
              </w:rPr>
            </w:pPr>
          </w:p>
        </w:tc>
        <w:tc>
          <w:tcPr>
            <w:tcW w:w="623" w:type="pct"/>
            <w:hideMark/>
          </w:tcPr>
          <w:p w14:paraId="2A78823F" w14:textId="4CDFFA16"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6C297FDA" w14:textId="10BF3188"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0F1ACDA7" w14:textId="3C52C2D1"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696" w:type="pct"/>
            <w:hideMark/>
          </w:tcPr>
          <w:p w14:paraId="12503219" w14:textId="3B2B54A1" w:rsidR="00D06494" w:rsidRPr="00422E3B" w:rsidRDefault="00D06494" w:rsidP="00D06494">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r>
      <w:tr w:rsidR="00422E3B" w:rsidRPr="00422E3B" w14:paraId="0B6A95AD" w14:textId="77777777" w:rsidTr="004D4EBE">
        <w:trPr>
          <w:trHeight w:val="20"/>
          <w:jc w:val="center"/>
        </w:trPr>
        <w:tc>
          <w:tcPr>
            <w:tcW w:w="1398" w:type="pct"/>
            <w:hideMark/>
          </w:tcPr>
          <w:p w14:paraId="46503B75" w14:textId="77777777" w:rsidR="009B736C" w:rsidRPr="00422E3B" w:rsidRDefault="009B736C" w:rsidP="009B736C">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5. Precizēta finansiālā ietekme:</w:t>
            </w:r>
          </w:p>
        </w:tc>
        <w:tc>
          <w:tcPr>
            <w:tcW w:w="733" w:type="pct"/>
            <w:vMerge w:val="restart"/>
            <w:hideMark/>
          </w:tcPr>
          <w:p w14:paraId="0F05C07D" w14:textId="77777777" w:rsidR="009B736C" w:rsidRPr="00422E3B" w:rsidRDefault="009B736C" w:rsidP="009B736C">
            <w:pPr>
              <w:spacing w:after="0" w:line="240" w:lineRule="auto"/>
              <w:ind w:firstLine="301"/>
              <w:jc w:val="center"/>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X</w:t>
            </w:r>
          </w:p>
        </w:tc>
        <w:tc>
          <w:tcPr>
            <w:tcW w:w="623" w:type="pct"/>
            <w:hideMark/>
          </w:tcPr>
          <w:p w14:paraId="6AB62BBD" w14:textId="102C2B08"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69B8D191" w14:textId="468549A2" w:rsidR="009B736C" w:rsidRPr="00422E3B" w:rsidRDefault="009B736C"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775" w:type="pct"/>
            <w:hideMark/>
          </w:tcPr>
          <w:p w14:paraId="724C94B2" w14:textId="35571B56" w:rsidR="009B736C" w:rsidRPr="00422E3B" w:rsidRDefault="009B736C"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c>
          <w:tcPr>
            <w:tcW w:w="696" w:type="pct"/>
            <w:hideMark/>
          </w:tcPr>
          <w:p w14:paraId="7EF15584" w14:textId="1C2F5A45" w:rsidR="009B736C" w:rsidRPr="00422E3B" w:rsidRDefault="009B736C" w:rsidP="008C1CB1">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-35</w:t>
            </w:r>
            <w:r w:rsidR="008C1CB1" w:rsidRPr="00422E3B">
              <w:rPr>
                <w:rFonts w:ascii="Times New Roman" w:eastAsia="Times New Roman" w:hAnsi="Times New Roman"/>
                <w:sz w:val="24"/>
                <w:szCs w:val="24"/>
                <w:lang w:eastAsia="lv-LV"/>
              </w:rPr>
              <w:t>2</w:t>
            </w:r>
          </w:p>
        </w:tc>
      </w:tr>
      <w:tr w:rsidR="00422E3B" w:rsidRPr="00422E3B" w14:paraId="6F0C85D5" w14:textId="77777777" w:rsidTr="004D4EBE">
        <w:trPr>
          <w:trHeight w:val="20"/>
          <w:jc w:val="center"/>
        </w:trPr>
        <w:tc>
          <w:tcPr>
            <w:tcW w:w="1398" w:type="pct"/>
            <w:hideMark/>
          </w:tcPr>
          <w:p w14:paraId="12FCD6E8" w14:textId="77777777" w:rsidR="009B736C" w:rsidRPr="00422E3B" w:rsidRDefault="009B736C" w:rsidP="009B736C">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5.1. valsts pamatbudžets</w:t>
            </w:r>
          </w:p>
        </w:tc>
        <w:tc>
          <w:tcPr>
            <w:tcW w:w="733" w:type="pct"/>
            <w:vMerge/>
            <w:hideMark/>
          </w:tcPr>
          <w:p w14:paraId="08CD3995" w14:textId="77777777" w:rsidR="009B736C" w:rsidRPr="00422E3B" w:rsidRDefault="009B736C" w:rsidP="009B736C">
            <w:pPr>
              <w:spacing w:after="0" w:line="240" w:lineRule="auto"/>
              <w:ind w:firstLine="301"/>
              <w:rPr>
                <w:rFonts w:ascii="Times New Roman" w:eastAsia="Times New Roman" w:hAnsi="Times New Roman"/>
                <w:sz w:val="24"/>
                <w:szCs w:val="24"/>
                <w:lang w:eastAsia="lv-LV"/>
              </w:rPr>
            </w:pPr>
          </w:p>
        </w:tc>
        <w:tc>
          <w:tcPr>
            <w:tcW w:w="623" w:type="pct"/>
            <w:hideMark/>
          </w:tcPr>
          <w:p w14:paraId="4426BE8E" w14:textId="2174C5AD"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1D69149F" w14:textId="0511702F"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c>
          <w:tcPr>
            <w:tcW w:w="775" w:type="pct"/>
            <w:hideMark/>
          </w:tcPr>
          <w:p w14:paraId="6348D2BA" w14:textId="47F47F23"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c>
          <w:tcPr>
            <w:tcW w:w="696" w:type="pct"/>
            <w:hideMark/>
          </w:tcPr>
          <w:p w14:paraId="7BC927E5" w14:textId="64ABA97A"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-106</w:t>
            </w:r>
          </w:p>
        </w:tc>
      </w:tr>
      <w:tr w:rsidR="00422E3B" w:rsidRPr="00422E3B" w14:paraId="650BAC10" w14:textId="77777777" w:rsidTr="004D4EBE">
        <w:trPr>
          <w:trHeight w:val="20"/>
          <w:jc w:val="center"/>
        </w:trPr>
        <w:tc>
          <w:tcPr>
            <w:tcW w:w="1398" w:type="pct"/>
            <w:hideMark/>
          </w:tcPr>
          <w:p w14:paraId="4E773024" w14:textId="77777777" w:rsidR="009B736C" w:rsidRPr="00422E3B" w:rsidRDefault="009B736C" w:rsidP="009B736C">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5.2. speciālais budžets</w:t>
            </w:r>
          </w:p>
        </w:tc>
        <w:tc>
          <w:tcPr>
            <w:tcW w:w="733" w:type="pct"/>
            <w:vMerge/>
            <w:hideMark/>
          </w:tcPr>
          <w:p w14:paraId="4D7EC758" w14:textId="77777777" w:rsidR="009B736C" w:rsidRPr="00422E3B" w:rsidRDefault="009B736C" w:rsidP="009B736C">
            <w:pPr>
              <w:spacing w:after="0" w:line="240" w:lineRule="auto"/>
              <w:ind w:firstLine="301"/>
              <w:rPr>
                <w:rFonts w:ascii="Times New Roman" w:eastAsia="Times New Roman" w:hAnsi="Times New Roman"/>
                <w:sz w:val="24"/>
                <w:szCs w:val="24"/>
                <w:lang w:eastAsia="lv-LV"/>
              </w:rPr>
            </w:pPr>
          </w:p>
        </w:tc>
        <w:tc>
          <w:tcPr>
            <w:tcW w:w="623" w:type="pct"/>
            <w:hideMark/>
          </w:tcPr>
          <w:p w14:paraId="13B254E3" w14:textId="52ECA6D7"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3B6F3ABE" w14:textId="7467E5A1"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352D604B" w14:textId="6DCB9345"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0 </w:t>
            </w:r>
          </w:p>
        </w:tc>
        <w:tc>
          <w:tcPr>
            <w:tcW w:w="696" w:type="pct"/>
            <w:hideMark/>
          </w:tcPr>
          <w:p w14:paraId="28D3EBD9" w14:textId="16C50FA5"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r>
      <w:tr w:rsidR="00422E3B" w:rsidRPr="00422E3B" w14:paraId="415763CA" w14:textId="77777777" w:rsidTr="004D4EBE">
        <w:trPr>
          <w:trHeight w:val="20"/>
          <w:jc w:val="center"/>
        </w:trPr>
        <w:tc>
          <w:tcPr>
            <w:tcW w:w="1398" w:type="pct"/>
            <w:hideMark/>
          </w:tcPr>
          <w:p w14:paraId="0BD4BF8D" w14:textId="77777777" w:rsidR="009B736C" w:rsidRPr="00422E3B" w:rsidRDefault="009B736C" w:rsidP="009B736C">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5.3. pašvaldību budžets</w:t>
            </w:r>
          </w:p>
        </w:tc>
        <w:tc>
          <w:tcPr>
            <w:tcW w:w="733" w:type="pct"/>
            <w:vMerge/>
            <w:hideMark/>
          </w:tcPr>
          <w:p w14:paraId="7BC5409D" w14:textId="77777777" w:rsidR="009B736C" w:rsidRPr="00422E3B" w:rsidRDefault="009B736C" w:rsidP="009B736C">
            <w:pPr>
              <w:spacing w:after="0" w:line="240" w:lineRule="auto"/>
              <w:ind w:firstLine="301"/>
              <w:rPr>
                <w:rFonts w:ascii="Times New Roman" w:eastAsia="Times New Roman" w:hAnsi="Times New Roman"/>
                <w:sz w:val="24"/>
                <w:szCs w:val="24"/>
                <w:lang w:eastAsia="lv-LV"/>
              </w:rPr>
            </w:pPr>
          </w:p>
        </w:tc>
        <w:tc>
          <w:tcPr>
            <w:tcW w:w="623" w:type="pct"/>
            <w:hideMark/>
          </w:tcPr>
          <w:p w14:paraId="594CB04F" w14:textId="35302D56"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0</w:t>
            </w:r>
          </w:p>
        </w:tc>
        <w:tc>
          <w:tcPr>
            <w:tcW w:w="775" w:type="pct"/>
            <w:hideMark/>
          </w:tcPr>
          <w:p w14:paraId="6E14A87A" w14:textId="17F0A988"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c>
          <w:tcPr>
            <w:tcW w:w="775" w:type="pct"/>
            <w:hideMark/>
          </w:tcPr>
          <w:p w14:paraId="29905219" w14:textId="7079F289"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c>
          <w:tcPr>
            <w:tcW w:w="696" w:type="pct"/>
            <w:hideMark/>
          </w:tcPr>
          <w:p w14:paraId="20AA53A3" w14:textId="54EA59C1" w:rsidR="009B736C" w:rsidRPr="00422E3B" w:rsidRDefault="009B736C" w:rsidP="009B736C">
            <w:pPr>
              <w:spacing w:after="0" w:line="240" w:lineRule="auto"/>
              <w:ind w:firstLine="301"/>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-246</w:t>
            </w:r>
          </w:p>
        </w:tc>
      </w:tr>
      <w:tr w:rsidR="00422E3B" w:rsidRPr="00422E3B" w14:paraId="04906619" w14:textId="77777777" w:rsidTr="004C467A">
        <w:trPr>
          <w:trHeight w:val="20"/>
          <w:jc w:val="center"/>
        </w:trPr>
        <w:tc>
          <w:tcPr>
            <w:tcW w:w="1398" w:type="pct"/>
            <w:hideMark/>
          </w:tcPr>
          <w:p w14:paraId="509C127A" w14:textId="77777777" w:rsidR="00D06494" w:rsidRPr="00422E3B" w:rsidRDefault="00D06494" w:rsidP="00D06494">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6. Detalizēts ieņēmumu un izdevumu aprēķins (ja nepieciešams, detalizētu ieņēmumu un izdevumu aprēķinu var pievienot anotācijas pielikumā):</w:t>
            </w:r>
          </w:p>
        </w:tc>
        <w:tc>
          <w:tcPr>
            <w:tcW w:w="3602" w:type="pct"/>
            <w:gridSpan w:val="5"/>
            <w:vMerge w:val="restart"/>
            <w:hideMark/>
          </w:tcPr>
          <w:p w14:paraId="504B5DB9" w14:textId="4CE87E55" w:rsidR="00846B64" w:rsidRPr="00422E3B" w:rsidRDefault="00846B64" w:rsidP="005975FB">
            <w:p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Ministru kabineta</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2009.</w:t>
            </w:r>
            <w:r w:rsidR="004D2340" w:rsidRPr="00422E3B">
              <w:rPr>
                <w:rFonts w:ascii="Times New Roman" w:eastAsia="Times New Roman" w:hAnsi="Times New Roman"/>
                <w:sz w:val="24"/>
                <w:szCs w:val="24"/>
                <w:lang w:eastAsia="lv-LV"/>
              </w:rPr>
              <w:t xml:space="preserve"> gada 11. augusta</w:t>
            </w:r>
            <w:r w:rsidRPr="00422E3B">
              <w:rPr>
                <w:rFonts w:ascii="Times New Roman" w:eastAsia="Times New Roman" w:hAnsi="Times New Roman"/>
                <w:sz w:val="24"/>
                <w:szCs w:val="24"/>
                <w:lang w:eastAsia="lv-LV"/>
              </w:rPr>
              <w:t xml:space="preserve"> noteikumu Nr.</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918 “Noteikumi par ūdenstilpju un rūpnieciskās zvejas tiesību nomu un zvejas tiesību izmantošanas kārtību” (turpmāk – MK noteikumi Nr.</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918) 2.</w:t>
            </w:r>
            <w:r w:rsidRPr="00422E3B">
              <w:rPr>
                <w:rFonts w:ascii="Times New Roman" w:eastAsia="Times New Roman" w:hAnsi="Times New Roman"/>
                <w:sz w:val="24"/>
                <w:szCs w:val="24"/>
                <w:vertAlign w:val="superscript"/>
                <w:lang w:eastAsia="lv-LV"/>
              </w:rPr>
              <w:t>1</w:t>
            </w:r>
            <w:r w:rsidRPr="00422E3B">
              <w:rPr>
                <w:rFonts w:ascii="Times New Roman" w:eastAsia="Times New Roman" w:hAnsi="Times New Roman"/>
                <w:sz w:val="24"/>
                <w:szCs w:val="24"/>
                <w:lang w:eastAsia="lv-LV"/>
              </w:rPr>
              <w:t xml:space="preserve"> pielikumā ir noteikta pamatmaksa par rūpnieciskās zvejas tiesību nomu un zvejas tiesību izmantošanu.</w:t>
            </w:r>
          </w:p>
          <w:p w14:paraId="28E3FADD" w14:textId="0626D125" w:rsidR="00D06494" w:rsidRPr="00422E3B" w:rsidRDefault="00846B64" w:rsidP="005975FB">
            <w:p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Ievērojot MK noteikumos Nr.</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918 noteikt</w:t>
            </w:r>
            <w:r w:rsidR="001D41F9" w:rsidRPr="00422E3B">
              <w:rPr>
                <w:rFonts w:ascii="Times New Roman" w:eastAsia="Times New Roman" w:hAnsi="Times New Roman"/>
                <w:sz w:val="24"/>
                <w:szCs w:val="24"/>
                <w:lang w:eastAsia="lv-LV"/>
              </w:rPr>
              <w:t>o</w:t>
            </w:r>
            <w:r w:rsidRPr="00422E3B">
              <w:rPr>
                <w:rFonts w:ascii="Times New Roman" w:eastAsia="Times New Roman" w:hAnsi="Times New Roman"/>
                <w:sz w:val="24"/>
                <w:szCs w:val="24"/>
                <w:lang w:eastAsia="lv-LV"/>
              </w:rPr>
              <w:t xml:space="preserve"> zvejas rīku limitu pamatmaks</w:t>
            </w:r>
            <w:r w:rsidR="001D41F9" w:rsidRPr="00422E3B">
              <w:rPr>
                <w:rFonts w:ascii="Times New Roman" w:eastAsia="Times New Roman" w:hAnsi="Times New Roman"/>
                <w:sz w:val="24"/>
                <w:szCs w:val="24"/>
                <w:lang w:eastAsia="lv-LV"/>
              </w:rPr>
              <w:t>u</w:t>
            </w:r>
            <w:r w:rsidRPr="00422E3B">
              <w:rPr>
                <w:rFonts w:ascii="Times New Roman" w:eastAsia="Times New Roman" w:hAnsi="Times New Roman"/>
                <w:sz w:val="24"/>
                <w:szCs w:val="24"/>
                <w:lang w:eastAsia="lv-LV"/>
              </w:rPr>
              <w:t xml:space="preserve">, </w:t>
            </w:r>
            <w:r w:rsidR="00F55B66" w:rsidRPr="00422E3B">
              <w:rPr>
                <w:rFonts w:ascii="Times New Roman" w:eastAsia="Times New Roman" w:hAnsi="Times New Roman"/>
                <w:sz w:val="24"/>
                <w:szCs w:val="24"/>
                <w:lang w:eastAsia="lv-LV"/>
              </w:rPr>
              <w:t xml:space="preserve">noteikumu projektā ietvertās izmaiņas </w:t>
            </w:r>
            <w:r w:rsidRPr="00422E3B">
              <w:rPr>
                <w:rFonts w:ascii="Times New Roman" w:eastAsia="Times New Roman" w:hAnsi="Times New Roman"/>
                <w:sz w:val="24"/>
                <w:szCs w:val="24"/>
                <w:lang w:eastAsia="lv-LV"/>
              </w:rPr>
              <w:t>MK n</w:t>
            </w:r>
            <w:r w:rsidR="00D06494" w:rsidRPr="00422E3B">
              <w:rPr>
                <w:rFonts w:ascii="Times New Roman" w:eastAsia="Times New Roman" w:hAnsi="Times New Roman"/>
                <w:sz w:val="24"/>
                <w:szCs w:val="24"/>
                <w:lang w:eastAsia="lv-LV"/>
              </w:rPr>
              <w:t>oteikumu Nr.</w:t>
            </w:r>
            <w:r w:rsidR="004D2340" w:rsidRPr="00422E3B">
              <w:rPr>
                <w:rFonts w:ascii="Times New Roman" w:eastAsia="Times New Roman" w:hAnsi="Times New Roman"/>
                <w:sz w:val="24"/>
                <w:szCs w:val="24"/>
                <w:lang w:eastAsia="lv-LV"/>
              </w:rPr>
              <w:t xml:space="preserve">  </w:t>
            </w:r>
            <w:r w:rsidR="005975FB" w:rsidRPr="00422E3B">
              <w:rPr>
                <w:rFonts w:ascii="Times New Roman" w:eastAsia="Times New Roman" w:hAnsi="Times New Roman"/>
                <w:sz w:val="24"/>
                <w:szCs w:val="24"/>
                <w:lang w:eastAsia="lv-LV"/>
              </w:rPr>
              <w:t>1375</w:t>
            </w:r>
            <w:r w:rsidR="00D06494" w:rsidRPr="00422E3B">
              <w:rPr>
                <w:rFonts w:ascii="Times New Roman" w:eastAsia="Times New Roman" w:hAnsi="Times New Roman"/>
                <w:sz w:val="24"/>
                <w:szCs w:val="24"/>
                <w:lang w:eastAsia="lv-LV"/>
              </w:rPr>
              <w:t xml:space="preserve"> </w:t>
            </w:r>
            <w:r w:rsidR="005975FB" w:rsidRPr="00422E3B">
              <w:rPr>
                <w:rFonts w:ascii="Times New Roman" w:eastAsia="Times New Roman" w:hAnsi="Times New Roman"/>
                <w:sz w:val="24"/>
                <w:szCs w:val="24"/>
                <w:lang w:eastAsia="lv-LV"/>
              </w:rPr>
              <w:t>2</w:t>
            </w:r>
            <w:r w:rsidR="00D06494" w:rsidRPr="00422E3B">
              <w:rPr>
                <w:rFonts w:ascii="Times New Roman" w:eastAsia="Times New Roman" w:hAnsi="Times New Roman"/>
                <w:sz w:val="24"/>
                <w:szCs w:val="24"/>
                <w:lang w:eastAsia="lv-LV"/>
              </w:rPr>
              <w:t>.</w:t>
            </w:r>
            <w:r w:rsidR="004D2340" w:rsidRPr="00422E3B">
              <w:rPr>
                <w:rFonts w:ascii="Times New Roman" w:eastAsia="Times New Roman" w:hAnsi="Times New Roman"/>
                <w:sz w:val="24"/>
                <w:szCs w:val="24"/>
                <w:lang w:eastAsia="lv-LV"/>
              </w:rPr>
              <w:t xml:space="preserve"> </w:t>
            </w:r>
            <w:r w:rsidR="00D06494" w:rsidRPr="00422E3B">
              <w:rPr>
                <w:rFonts w:ascii="Times New Roman" w:eastAsia="Times New Roman" w:hAnsi="Times New Roman"/>
                <w:sz w:val="24"/>
                <w:szCs w:val="24"/>
                <w:lang w:eastAsia="lv-LV"/>
              </w:rPr>
              <w:t xml:space="preserve">pielikumā </w:t>
            </w:r>
            <w:r w:rsidRPr="00422E3B">
              <w:rPr>
                <w:rFonts w:ascii="Times New Roman" w:eastAsia="Times New Roman" w:hAnsi="Times New Roman"/>
                <w:sz w:val="24"/>
                <w:szCs w:val="24"/>
                <w:lang w:eastAsia="lv-LV"/>
              </w:rPr>
              <w:t>radīs š</w:t>
            </w:r>
            <w:r w:rsidR="001D41F9" w:rsidRPr="00422E3B">
              <w:rPr>
                <w:rFonts w:ascii="Times New Roman" w:eastAsia="Times New Roman" w:hAnsi="Times New Roman"/>
                <w:sz w:val="24"/>
                <w:szCs w:val="24"/>
                <w:lang w:eastAsia="lv-LV"/>
              </w:rPr>
              <w:t>ād</w:t>
            </w:r>
            <w:r w:rsidRPr="00422E3B">
              <w:rPr>
                <w:rFonts w:ascii="Times New Roman" w:eastAsia="Times New Roman" w:hAnsi="Times New Roman"/>
                <w:sz w:val="24"/>
                <w:szCs w:val="24"/>
                <w:lang w:eastAsia="lv-LV"/>
              </w:rPr>
              <w:t xml:space="preserve">u finansiālu ietekmi uz valsts un pašvaldību budžeta </w:t>
            </w:r>
            <w:r w:rsidRPr="00422E3B">
              <w:rPr>
                <w:rFonts w:ascii="Times New Roman" w:eastAsia="Times New Roman" w:hAnsi="Times New Roman"/>
                <w:i/>
                <w:sz w:val="24"/>
                <w:szCs w:val="24"/>
                <w:lang w:eastAsia="lv-LV"/>
              </w:rPr>
              <w:t>ieņēmumiem</w:t>
            </w:r>
            <w:r w:rsidR="00CA2D4C" w:rsidRPr="00422E3B">
              <w:rPr>
                <w:rFonts w:ascii="Times New Roman" w:eastAsia="Times New Roman" w:hAnsi="Times New Roman"/>
                <w:i/>
                <w:sz w:val="24"/>
                <w:szCs w:val="24"/>
                <w:lang w:eastAsia="lv-LV"/>
              </w:rPr>
              <w:t xml:space="preserve"> no ūdenstilpju un rūpnieciskās zvejas tiesību nomas un zvejas tiesību rūpnieciskās izmantošanas (zvejas limiti)</w:t>
            </w:r>
            <w:r w:rsidR="005975FB" w:rsidRPr="00422E3B">
              <w:rPr>
                <w:rFonts w:ascii="Times New Roman" w:eastAsia="Times New Roman" w:hAnsi="Times New Roman"/>
                <w:sz w:val="24"/>
                <w:szCs w:val="24"/>
                <w:lang w:eastAsia="lv-LV"/>
              </w:rPr>
              <w:t>:</w:t>
            </w:r>
          </w:p>
          <w:p w14:paraId="47EEA5D9" w14:textId="08F4DDC8" w:rsidR="0060471A" w:rsidRPr="00422E3B" w:rsidRDefault="0060471A"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palielināsies viens reņģu stāvvada limits Baltijas jūras piekrastē (1 x 113,83 EUR = 113,83 EUR);</w:t>
            </w:r>
          </w:p>
          <w:p w14:paraId="34ED005F" w14:textId="43340323" w:rsidR="0060471A" w:rsidRPr="00422E3B" w:rsidRDefault="0060471A"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samazināsies viens zivju murda limits Rīgas jūras līča piekrastē (1 x 85,37 EUR = 85,37 EUR);</w:t>
            </w:r>
          </w:p>
          <w:p w14:paraId="51DB2A34" w14:textId="7F465317" w:rsidR="005975FB" w:rsidRPr="00422E3B" w:rsidRDefault="0060471A"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s</w:t>
            </w:r>
            <w:r w:rsidR="005975FB" w:rsidRPr="00422E3B">
              <w:rPr>
                <w:rFonts w:ascii="Times New Roman" w:eastAsia="Times New Roman" w:hAnsi="Times New Roman"/>
                <w:sz w:val="24"/>
                <w:szCs w:val="24"/>
                <w:lang w:eastAsia="lv-LV"/>
              </w:rPr>
              <w:t xml:space="preserve">amazināsies </w:t>
            </w:r>
            <w:r w:rsidRPr="00422E3B">
              <w:rPr>
                <w:rFonts w:ascii="Times New Roman" w:eastAsia="Times New Roman" w:hAnsi="Times New Roman"/>
                <w:sz w:val="24"/>
                <w:szCs w:val="24"/>
                <w:lang w:eastAsia="lv-LV"/>
              </w:rPr>
              <w:t>14 zivju tīkla limiti Rīgas jūras līča piekrastē (14 x 21,34 EUR = 298,76 EUR);</w:t>
            </w:r>
          </w:p>
          <w:p w14:paraId="474EE5CD" w14:textId="7FA83268" w:rsidR="0060471A" w:rsidRPr="00422E3B" w:rsidRDefault="00846B64"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samazināsies 3 zivju tīkla limiti Baltijas jūras piekrastē (3 x 7,11 EUR = 21,33 EUR);</w:t>
            </w:r>
          </w:p>
          <w:p w14:paraId="3D692F8E" w14:textId="5E3DE60E" w:rsidR="0060471A" w:rsidRPr="00422E3B" w:rsidRDefault="0060471A"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palielināsies viens reņģu tīkla limits Baltijas jūras piekrastē (1 x 7,11 EUR = 7,11 EUR);</w:t>
            </w:r>
          </w:p>
          <w:p w14:paraId="07AF7CBC" w14:textId="0A4A919D" w:rsidR="0060471A" w:rsidRPr="00422E3B" w:rsidRDefault="0060471A"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samazināsies 200 zivju āķu lim</w:t>
            </w:r>
            <w:r w:rsidR="004D2340" w:rsidRPr="00422E3B">
              <w:rPr>
                <w:rFonts w:ascii="Times New Roman" w:eastAsia="Times New Roman" w:hAnsi="Times New Roman"/>
                <w:sz w:val="24"/>
                <w:szCs w:val="24"/>
                <w:lang w:eastAsia="lv-LV"/>
              </w:rPr>
              <w:t>i</w:t>
            </w:r>
            <w:r w:rsidRPr="00422E3B">
              <w:rPr>
                <w:rFonts w:ascii="Times New Roman" w:eastAsia="Times New Roman" w:hAnsi="Times New Roman"/>
                <w:sz w:val="24"/>
                <w:szCs w:val="24"/>
                <w:lang w:eastAsia="lv-LV"/>
              </w:rPr>
              <w:t>ts</w:t>
            </w:r>
            <w:r w:rsidR="00846B64" w:rsidRPr="00422E3B">
              <w:rPr>
                <w:rFonts w:ascii="Times New Roman" w:eastAsia="Times New Roman" w:hAnsi="Times New Roman"/>
                <w:sz w:val="24"/>
                <w:szCs w:val="24"/>
                <w:lang w:eastAsia="lv-LV"/>
              </w:rPr>
              <w:t xml:space="preserve"> Rīgas jūras līča piekrastē (2 x 14,23 EUR (nomas maksa par 100 āķiem) = 28,46 EUR);</w:t>
            </w:r>
          </w:p>
          <w:p w14:paraId="69FB6068" w14:textId="1C311089" w:rsidR="00846B64" w:rsidRPr="00422E3B" w:rsidRDefault="00846B64"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samazināsies 200 āķu limits Baltijas jūras piekrastē (2 x 9,96 EUR (nomas maksa par 100 āķiem) = 19,92 EUR);</w:t>
            </w:r>
          </w:p>
          <w:p w14:paraId="13C38D4B" w14:textId="122DBB4F" w:rsidR="00846B64" w:rsidRPr="00422E3B" w:rsidRDefault="00846B64" w:rsidP="005975FB">
            <w:pPr>
              <w:pStyle w:val="Sarakstarindkopa"/>
              <w:numPr>
                <w:ilvl w:val="0"/>
                <w:numId w:val="6"/>
              </w:num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 xml:space="preserve">samazināsies 4 </w:t>
            </w:r>
            <w:proofErr w:type="spellStart"/>
            <w:r w:rsidRPr="00422E3B">
              <w:rPr>
                <w:rFonts w:ascii="Times New Roman" w:eastAsia="Times New Roman" w:hAnsi="Times New Roman"/>
                <w:sz w:val="24"/>
                <w:szCs w:val="24"/>
                <w:lang w:eastAsia="lv-LV"/>
              </w:rPr>
              <w:t>akmeņplekstu</w:t>
            </w:r>
            <w:proofErr w:type="spellEnd"/>
            <w:r w:rsidRPr="00422E3B">
              <w:rPr>
                <w:rFonts w:ascii="Times New Roman" w:eastAsia="Times New Roman" w:hAnsi="Times New Roman"/>
                <w:sz w:val="24"/>
                <w:szCs w:val="24"/>
                <w:lang w:eastAsia="lv-LV"/>
              </w:rPr>
              <w:t xml:space="preserve"> tīkla limits (4 x 4,98 EUR = 19,92 EUR).</w:t>
            </w:r>
          </w:p>
          <w:p w14:paraId="046B41A3" w14:textId="466ED2AB" w:rsidR="00CA2D4C" w:rsidRPr="00422E3B" w:rsidRDefault="00CA2D4C" w:rsidP="00846B64">
            <w:p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Apaļo jūrasgrunduļu murda limitam nomas maksas aprēķini nav veikti, jo</w:t>
            </w:r>
            <w:r w:rsidRPr="00422E3B">
              <w:t xml:space="preserve"> </w:t>
            </w:r>
            <w:r w:rsidRPr="00422E3B">
              <w:rPr>
                <w:rFonts w:ascii="Times New Roman" w:eastAsia="Times New Roman" w:hAnsi="Times New Roman"/>
                <w:sz w:val="24"/>
                <w:szCs w:val="24"/>
                <w:lang w:eastAsia="lv-LV"/>
              </w:rPr>
              <w:t>par zvejas rīkam piemērojamo nomas maksu vēl tiks spriests 2018.un 2019. gadā, kad tiks novērtēta apaļā jūrasgrunduļa murda zvejas efektivitāte un citi ar tā izmantošanu saistītie dati, tāpēc līdz šī novērtējuma sagatavošanai un institūta BIOR rekomendāciju sniegšanai,  nomas maksu par apaļā jūrasgrunduļa murda limitu pašvaldības nepiemēros.</w:t>
            </w:r>
          </w:p>
          <w:p w14:paraId="7F777C3E" w14:textId="62B1AE98" w:rsidR="00846B64" w:rsidRPr="00422E3B" w:rsidRDefault="00846B64" w:rsidP="00846B64">
            <w:p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Kopumā minētās izmai</w:t>
            </w:r>
            <w:r w:rsidR="00EA2B4E" w:rsidRPr="00422E3B">
              <w:rPr>
                <w:rFonts w:ascii="Times New Roman" w:eastAsia="Times New Roman" w:hAnsi="Times New Roman"/>
                <w:sz w:val="24"/>
                <w:szCs w:val="24"/>
                <w:lang w:eastAsia="lv-LV"/>
              </w:rPr>
              <w:t xml:space="preserve">ņas </w:t>
            </w:r>
            <w:r w:rsidR="00F55B66" w:rsidRPr="00422E3B">
              <w:rPr>
                <w:rFonts w:ascii="Times New Roman" w:eastAsia="Times New Roman" w:hAnsi="Times New Roman"/>
                <w:sz w:val="24"/>
                <w:szCs w:val="24"/>
                <w:lang w:eastAsia="lv-LV"/>
              </w:rPr>
              <w:t>veidos</w:t>
            </w:r>
            <w:r w:rsidR="00EA2B4E" w:rsidRPr="00422E3B">
              <w:rPr>
                <w:rFonts w:ascii="Times New Roman" w:eastAsia="Times New Roman" w:hAnsi="Times New Roman"/>
                <w:sz w:val="24"/>
                <w:szCs w:val="24"/>
                <w:lang w:eastAsia="lv-LV"/>
              </w:rPr>
              <w:t xml:space="preserve"> ieņēmumu samazinājumu 352,67</w:t>
            </w:r>
            <w:r w:rsidR="001D41F9" w:rsidRPr="00422E3B">
              <w:rPr>
                <w:rFonts w:ascii="Times New Roman" w:eastAsia="Times New Roman" w:hAnsi="Times New Roman"/>
                <w:sz w:val="24"/>
                <w:szCs w:val="24"/>
                <w:lang w:eastAsia="lv-LV"/>
              </w:rPr>
              <w:t> </w:t>
            </w:r>
            <w:r w:rsidR="00EA2B4E" w:rsidRPr="00422E3B">
              <w:rPr>
                <w:rFonts w:ascii="Times New Roman" w:eastAsia="Times New Roman" w:hAnsi="Times New Roman"/>
                <w:sz w:val="24"/>
                <w:szCs w:val="24"/>
                <w:lang w:eastAsia="lv-LV"/>
              </w:rPr>
              <w:t>EUR</w:t>
            </w:r>
            <w:r w:rsidR="001D41F9" w:rsidRPr="00422E3B">
              <w:rPr>
                <w:rFonts w:ascii="Times New Roman" w:eastAsia="Times New Roman" w:hAnsi="Times New Roman"/>
                <w:sz w:val="24"/>
                <w:szCs w:val="24"/>
                <w:lang w:eastAsia="lv-LV"/>
              </w:rPr>
              <w:t xml:space="preserve"> apmērā</w:t>
            </w:r>
            <w:r w:rsidR="00EA2B4E" w:rsidRPr="00422E3B">
              <w:rPr>
                <w:rFonts w:ascii="Times New Roman" w:eastAsia="Times New Roman" w:hAnsi="Times New Roman"/>
                <w:sz w:val="24"/>
                <w:szCs w:val="24"/>
                <w:lang w:eastAsia="lv-LV"/>
              </w:rPr>
              <w:t>.</w:t>
            </w:r>
          </w:p>
          <w:p w14:paraId="0E7DA0D9" w14:textId="5C0DEF23" w:rsidR="00D06494" w:rsidRPr="00422E3B" w:rsidRDefault="00D06494" w:rsidP="00FF0EAE">
            <w:pPr>
              <w:spacing w:after="0" w:line="240" w:lineRule="auto"/>
              <w:jc w:val="both"/>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lastRenderedPageBreak/>
              <w:t xml:space="preserve">Saskaņā </w:t>
            </w:r>
            <w:r w:rsidR="004D2340" w:rsidRPr="00422E3B">
              <w:rPr>
                <w:rFonts w:ascii="Times New Roman" w:eastAsia="Times New Roman" w:hAnsi="Times New Roman"/>
                <w:sz w:val="24"/>
                <w:szCs w:val="24"/>
                <w:lang w:eastAsia="lv-LV"/>
              </w:rPr>
              <w:t xml:space="preserve">ar </w:t>
            </w:r>
            <w:r w:rsidR="00846B64" w:rsidRPr="00422E3B">
              <w:rPr>
                <w:rFonts w:ascii="Times New Roman" w:eastAsia="Times New Roman" w:hAnsi="Times New Roman"/>
                <w:sz w:val="24"/>
                <w:szCs w:val="24"/>
                <w:lang w:eastAsia="lv-LV"/>
              </w:rPr>
              <w:t xml:space="preserve">MK </w:t>
            </w:r>
            <w:r w:rsidRPr="00422E3B">
              <w:rPr>
                <w:rFonts w:ascii="Times New Roman" w:eastAsia="Times New Roman" w:hAnsi="Times New Roman"/>
                <w:sz w:val="24"/>
                <w:szCs w:val="24"/>
                <w:lang w:eastAsia="lv-LV"/>
              </w:rPr>
              <w:t>noteikumu Nr.</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918 96.</w:t>
            </w:r>
            <w:r w:rsidR="004D2340" w:rsidRPr="00422E3B">
              <w:rPr>
                <w:rFonts w:ascii="Times New Roman" w:eastAsia="Times New Roman" w:hAnsi="Times New Roman"/>
                <w:sz w:val="24"/>
                <w:szCs w:val="24"/>
                <w:lang w:eastAsia="lv-LV"/>
              </w:rPr>
              <w:t xml:space="preserve"> </w:t>
            </w:r>
            <w:r w:rsidRPr="00422E3B">
              <w:rPr>
                <w:rFonts w:ascii="Times New Roman" w:eastAsia="Times New Roman" w:hAnsi="Times New Roman"/>
                <w:sz w:val="24"/>
                <w:szCs w:val="24"/>
                <w:lang w:eastAsia="lv-LV"/>
              </w:rPr>
              <w:t>punktu pašvaldībai paliek 70 % ieņēmumu no zvejas tiesību nomas</w:t>
            </w:r>
            <w:r w:rsidR="00EA2B4E" w:rsidRPr="00422E3B">
              <w:rPr>
                <w:rFonts w:ascii="Times New Roman" w:eastAsia="Times New Roman" w:hAnsi="Times New Roman"/>
                <w:sz w:val="24"/>
                <w:szCs w:val="24"/>
                <w:lang w:eastAsia="lv-LV"/>
              </w:rPr>
              <w:t>, bet</w:t>
            </w:r>
            <w:r w:rsidRPr="00422E3B">
              <w:rPr>
                <w:rFonts w:ascii="Times New Roman" w:eastAsia="Times New Roman" w:hAnsi="Times New Roman"/>
                <w:sz w:val="24"/>
                <w:szCs w:val="24"/>
                <w:lang w:eastAsia="lv-LV"/>
              </w:rPr>
              <w:t xml:space="preserve"> </w:t>
            </w:r>
            <w:r w:rsidR="00EA2B4E" w:rsidRPr="00422E3B">
              <w:rPr>
                <w:rFonts w:ascii="Times New Roman" w:eastAsia="Times New Roman" w:hAnsi="Times New Roman"/>
                <w:sz w:val="24"/>
                <w:szCs w:val="24"/>
                <w:lang w:eastAsia="lv-LV"/>
              </w:rPr>
              <w:t>30 % t</w:t>
            </w:r>
            <w:r w:rsidR="004D2340" w:rsidRPr="00422E3B">
              <w:rPr>
                <w:rFonts w:ascii="Times New Roman" w:eastAsia="Times New Roman" w:hAnsi="Times New Roman"/>
                <w:sz w:val="24"/>
                <w:szCs w:val="24"/>
                <w:lang w:eastAsia="lv-LV"/>
              </w:rPr>
              <w:t>i</w:t>
            </w:r>
            <w:r w:rsidR="00EA2B4E" w:rsidRPr="00422E3B">
              <w:rPr>
                <w:rFonts w:ascii="Times New Roman" w:eastAsia="Times New Roman" w:hAnsi="Times New Roman"/>
                <w:sz w:val="24"/>
                <w:szCs w:val="24"/>
                <w:lang w:eastAsia="lv-LV"/>
              </w:rPr>
              <w:t>ek ieskaitīti valsts budžetā.</w:t>
            </w:r>
          </w:p>
        </w:tc>
      </w:tr>
      <w:tr w:rsidR="00422E3B" w:rsidRPr="00422E3B" w14:paraId="0DF35275" w14:textId="77777777" w:rsidTr="004C467A">
        <w:trPr>
          <w:trHeight w:val="20"/>
          <w:jc w:val="center"/>
        </w:trPr>
        <w:tc>
          <w:tcPr>
            <w:tcW w:w="1398" w:type="pct"/>
            <w:hideMark/>
          </w:tcPr>
          <w:p w14:paraId="32A98894" w14:textId="50104538" w:rsidR="00D06494" w:rsidRPr="00422E3B" w:rsidRDefault="00D06494" w:rsidP="00D06494">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6.1. detalizēts ieņēmumu aprēķins</w:t>
            </w:r>
          </w:p>
        </w:tc>
        <w:tc>
          <w:tcPr>
            <w:tcW w:w="3602" w:type="pct"/>
            <w:gridSpan w:val="5"/>
            <w:vMerge/>
            <w:hideMark/>
          </w:tcPr>
          <w:p w14:paraId="2CE951C9" w14:textId="77777777" w:rsidR="00D06494" w:rsidRPr="00422E3B" w:rsidRDefault="00D06494" w:rsidP="00D06494">
            <w:pPr>
              <w:spacing w:after="0" w:line="240" w:lineRule="auto"/>
              <w:ind w:firstLine="301"/>
              <w:rPr>
                <w:rFonts w:ascii="Times New Roman" w:eastAsia="Times New Roman" w:hAnsi="Times New Roman"/>
                <w:sz w:val="24"/>
                <w:szCs w:val="24"/>
                <w:lang w:eastAsia="lv-LV"/>
              </w:rPr>
            </w:pPr>
          </w:p>
        </w:tc>
      </w:tr>
      <w:tr w:rsidR="00422E3B" w:rsidRPr="00422E3B" w14:paraId="31A0F462" w14:textId="77777777" w:rsidTr="004C467A">
        <w:trPr>
          <w:trHeight w:val="20"/>
          <w:jc w:val="center"/>
        </w:trPr>
        <w:tc>
          <w:tcPr>
            <w:tcW w:w="1398" w:type="pct"/>
            <w:hideMark/>
          </w:tcPr>
          <w:p w14:paraId="4AAEFC17" w14:textId="77777777" w:rsidR="00D06494" w:rsidRPr="00422E3B" w:rsidRDefault="00D06494" w:rsidP="00D06494">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6.2. detalizēts izdevumu aprēķins</w:t>
            </w:r>
          </w:p>
        </w:tc>
        <w:tc>
          <w:tcPr>
            <w:tcW w:w="3602" w:type="pct"/>
            <w:gridSpan w:val="5"/>
            <w:vMerge/>
            <w:hideMark/>
          </w:tcPr>
          <w:p w14:paraId="3609D0ED" w14:textId="77777777" w:rsidR="00D06494" w:rsidRPr="00422E3B" w:rsidRDefault="00D06494" w:rsidP="00D06494">
            <w:pPr>
              <w:spacing w:after="0" w:line="240" w:lineRule="auto"/>
              <w:ind w:firstLine="301"/>
              <w:rPr>
                <w:rFonts w:ascii="Times New Roman" w:eastAsia="Times New Roman" w:hAnsi="Times New Roman"/>
                <w:sz w:val="24"/>
                <w:szCs w:val="24"/>
                <w:lang w:eastAsia="lv-LV"/>
              </w:rPr>
            </w:pPr>
          </w:p>
        </w:tc>
      </w:tr>
      <w:tr w:rsidR="005975FB" w:rsidRPr="00422E3B" w14:paraId="547A795E" w14:textId="77777777" w:rsidTr="004C467A">
        <w:trPr>
          <w:trHeight w:val="20"/>
          <w:jc w:val="center"/>
        </w:trPr>
        <w:tc>
          <w:tcPr>
            <w:tcW w:w="1398" w:type="pct"/>
            <w:hideMark/>
          </w:tcPr>
          <w:p w14:paraId="06CC16BE" w14:textId="77777777" w:rsidR="00D06494" w:rsidRPr="00422E3B" w:rsidRDefault="00D06494" w:rsidP="00D06494">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7. Cita informācija</w:t>
            </w:r>
          </w:p>
        </w:tc>
        <w:tc>
          <w:tcPr>
            <w:tcW w:w="3602" w:type="pct"/>
            <w:gridSpan w:val="5"/>
            <w:hideMark/>
          </w:tcPr>
          <w:p w14:paraId="00A852BB" w14:textId="3769C43B" w:rsidR="00D06494" w:rsidRPr="00422E3B" w:rsidRDefault="00D06494" w:rsidP="00FF0EAE">
            <w:pPr>
              <w:spacing w:after="0" w:line="240" w:lineRule="auto"/>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Nav.</w:t>
            </w:r>
          </w:p>
        </w:tc>
      </w:tr>
    </w:tbl>
    <w:p w14:paraId="1D9C04BB" w14:textId="77777777" w:rsidR="00FF0EAE" w:rsidRPr="00422E3B" w:rsidRDefault="00FF0EAE" w:rsidP="00726928">
      <w:pPr>
        <w:spacing w:after="0" w:line="240" w:lineRule="auto"/>
        <w:rPr>
          <w:rFonts w:ascii="Times New Roman" w:hAnsi="Times New Roman"/>
          <w:sz w:val="24"/>
          <w:szCs w:val="24"/>
          <w:lang w:eastAsia="lv-LV"/>
        </w:rPr>
      </w:pPr>
    </w:p>
    <w:tbl>
      <w:tblPr>
        <w:tblStyle w:val="Reatabula"/>
        <w:tblW w:w="5322" w:type="pct"/>
        <w:jc w:val="center"/>
        <w:tblLook w:val="04A0" w:firstRow="1" w:lastRow="0" w:firstColumn="1" w:lastColumn="0" w:noHBand="0" w:noVBand="1"/>
      </w:tblPr>
      <w:tblGrid>
        <w:gridCol w:w="604"/>
        <w:gridCol w:w="2085"/>
        <w:gridCol w:w="6956"/>
      </w:tblGrid>
      <w:tr w:rsidR="00422E3B" w:rsidRPr="00422E3B" w14:paraId="3F04AA57" w14:textId="77777777" w:rsidTr="004C467A">
        <w:trPr>
          <w:trHeight w:val="450"/>
          <w:jc w:val="center"/>
        </w:trPr>
        <w:tc>
          <w:tcPr>
            <w:tcW w:w="5000" w:type="pct"/>
            <w:gridSpan w:val="3"/>
            <w:hideMark/>
          </w:tcPr>
          <w:p w14:paraId="72FBC014" w14:textId="77777777" w:rsidR="0006481D" w:rsidRPr="00422E3B" w:rsidRDefault="0006481D" w:rsidP="0006481D">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422E3B">
              <w:rPr>
                <w:rFonts w:ascii="Times New Roman" w:eastAsia="Times New Roman" w:hAnsi="Times New Roman"/>
                <w:b/>
                <w:bCs/>
                <w:sz w:val="24"/>
                <w:szCs w:val="24"/>
                <w:lang w:eastAsia="lv-LV"/>
              </w:rPr>
              <w:t>IV. Tiesību akta projekta ietekme uz spēkā esošo tiesību normu sistēmu</w:t>
            </w:r>
          </w:p>
        </w:tc>
      </w:tr>
      <w:tr w:rsidR="00422E3B" w:rsidRPr="00422E3B" w14:paraId="1D5CF9D1" w14:textId="77777777" w:rsidTr="00A905D9">
        <w:trPr>
          <w:jc w:val="center"/>
        </w:trPr>
        <w:tc>
          <w:tcPr>
            <w:tcW w:w="313" w:type="pct"/>
            <w:hideMark/>
          </w:tcPr>
          <w:p w14:paraId="310794D0"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1.</w:t>
            </w:r>
          </w:p>
        </w:tc>
        <w:tc>
          <w:tcPr>
            <w:tcW w:w="1081" w:type="pct"/>
            <w:hideMark/>
          </w:tcPr>
          <w:p w14:paraId="0AE4B4CD"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Nepieciešamie saistītie tiesību aktu projekti</w:t>
            </w:r>
          </w:p>
        </w:tc>
        <w:tc>
          <w:tcPr>
            <w:tcW w:w="3606" w:type="pct"/>
            <w:hideMark/>
          </w:tcPr>
          <w:p w14:paraId="02F8C9A9" w14:textId="3B8AB43E" w:rsidR="0006481D" w:rsidRPr="00422E3B" w:rsidRDefault="00062C6A" w:rsidP="00FD559D">
            <w:pPr>
              <w:spacing w:after="0" w:line="240" w:lineRule="auto"/>
              <w:jc w:val="both"/>
              <w:rPr>
                <w:rFonts w:ascii="Times New Roman" w:eastAsia="Times New Roman" w:hAnsi="Times New Roman"/>
                <w:sz w:val="24"/>
                <w:szCs w:val="24"/>
                <w:lang w:eastAsia="lv-LV"/>
              </w:rPr>
            </w:pPr>
            <w:proofErr w:type="gramStart"/>
            <w:r w:rsidRPr="00422E3B">
              <w:rPr>
                <w:rFonts w:ascii="Times New Roman" w:eastAsia="Times New Roman" w:hAnsi="Times New Roman"/>
                <w:sz w:val="24"/>
                <w:szCs w:val="24"/>
                <w:lang w:eastAsia="lv-LV"/>
              </w:rPr>
              <w:t>2019.gadā</w:t>
            </w:r>
            <w:proofErr w:type="gramEnd"/>
            <w:r w:rsidRPr="00422E3B">
              <w:rPr>
                <w:rFonts w:ascii="Times New Roman" w:eastAsia="Times New Roman" w:hAnsi="Times New Roman"/>
                <w:sz w:val="24"/>
                <w:szCs w:val="24"/>
                <w:lang w:eastAsia="lv-LV"/>
              </w:rPr>
              <w:t xml:space="preserve"> pēc apaļā jūrasgrunduļa murda zvejas efektivitātes novērtēšanas būs nepieciešami grozījumi </w:t>
            </w:r>
            <w:r w:rsidR="0006481D" w:rsidRPr="00422E3B">
              <w:rPr>
                <w:rFonts w:ascii="Times New Roman" w:eastAsia="Times New Roman" w:hAnsi="Times New Roman"/>
                <w:sz w:val="24"/>
                <w:szCs w:val="24"/>
                <w:lang w:eastAsia="lv-LV"/>
              </w:rPr>
              <w:t>Ministru kabineta 2009. gada 11. augusta noteikum</w:t>
            </w:r>
            <w:r w:rsidRPr="00422E3B">
              <w:rPr>
                <w:rFonts w:ascii="Times New Roman" w:eastAsia="Times New Roman" w:hAnsi="Times New Roman"/>
                <w:sz w:val="24"/>
                <w:szCs w:val="24"/>
                <w:lang w:eastAsia="lv-LV"/>
              </w:rPr>
              <w:t>os</w:t>
            </w:r>
            <w:r w:rsidR="0006481D" w:rsidRPr="00422E3B">
              <w:rPr>
                <w:rFonts w:ascii="Times New Roman" w:eastAsia="Times New Roman" w:hAnsi="Times New Roman"/>
                <w:sz w:val="24"/>
                <w:szCs w:val="24"/>
                <w:lang w:eastAsia="lv-LV"/>
              </w:rPr>
              <w:t xml:space="preserve"> Nr. 918 “Noteikumi par ūdenstilpju un rūpnieciskās zvejas tiesību nomu un zvejas tiesību izmantošanas kārtību”</w:t>
            </w:r>
            <w:r w:rsidRPr="00422E3B">
              <w:rPr>
                <w:rFonts w:ascii="Times New Roman" w:eastAsia="Times New Roman" w:hAnsi="Times New Roman"/>
                <w:sz w:val="24"/>
                <w:szCs w:val="24"/>
                <w:lang w:eastAsia="lv-LV"/>
              </w:rPr>
              <w:t>, kuros tiek noteikta zvejas limitu nomas maksa</w:t>
            </w:r>
            <w:r w:rsidR="00FD559D" w:rsidRPr="00422E3B">
              <w:rPr>
                <w:rFonts w:ascii="Times New Roman" w:eastAsia="Times New Roman" w:hAnsi="Times New Roman"/>
                <w:sz w:val="24"/>
                <w:szCs w:val="24"/>
                <w:lang w:eastAsia="lv-LV"/>
              </w:rPr>
              <w:t>.</w:t>
            </w:r>
          </w:p>
        </w:tc>
      </w:tr>
      <w:tr w:rsidR="00422E3B" w:rsidRPr="00422E3B" w14:paraId="5D77F569" w14:textId="77777777" w:rsidTr="00A905D9">
        <w:trPr>
          <w:jc w:val="center"/>
        </w:trPr>
        <w:tc>
          <w:tcPr>
            <w:tcW w:w="313" w:type="pct"/>
            <w:hideMark/>
          </w:tcPr>
          <w:p w14:paraId="12E87ADB"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2.</w:t>
            </w:r>
          </w:p>
        </w:tc>
        <w:tc>
          <w:tcPr>
            <w:tcW w:w="1081" w:type="pct"/>
            <w:hideMark/>
          </w:tcPr>
          <w:p w14:paraId="7BBDE950"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Atbildīgā institūcija</w:t>
            </w:r>
          </w:p>
        </w:tc>
        <w:tc>
          <w:tcPr>
            <w:tcW w:w="3606" w:type="pct"/>
            <w:hideMark/>
          </w:tcPr>
          <w:p w14:paraId="3FACA663" w14:textId="0D5717FB" w:rsidR="0006481D" w:rsidRPr="00422E3B" w:rsidRDefault="00A15C34" w:rsidP="0006481D">
            <w:pPr>
              <w:spacing w:after="0" w:line="240" w:lineRule="auto"/>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Zemkopības ministrija.</w:t>
            </w:r>
          </w:p>
        </w:tc>
      </w:tr>
      <w:tr w:rsidR="004C467A" w:rsidRPr="00422E3B" w14:paraId="271BEF32" w14:textId="77777777" w:rsidTr="00A905D9">
        <w:trPr>
          <w:jc w:val="center"/>
        </w:trPr>
        <w:tc>
          <w:tcPr>
            <w:tcW w:w="313" w:type="pct"/>
            <w:hideMark/>
          </w:tcPr>
          <w:p w14:paraId="5E0EA7FE"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3.</w:t>
            </w:r>
          </w:p>
        </w:tc>
        <w:tc>
          <w:tcPr>
            <w:tcW w:w="1081" w:type="pct"/>
            <w:hideMark/>
          </w:tcPr>
          <w:p w14:paraId="734F95DC" w14:textId="77777777" w:rsidR="0006481D" w:rsidRPr="00422E3B" w:rsidRDefault="0006481D" w:rsidP="0006481D">
            <w:pPr>
              <w:spacing w:after="0" w:line="240" w:lineRule="auto"/>
              <w:rPr>
                <w:rFonts w:ascii="Times New Roman" w:eastAsia="Times New Roman" w:hAnsi="Times New Roman"/>
                <w:lang w:eastAsia="lv-LV"/>
              </w:rPr>
            </w:pPr>
            <w:r w:rsidRPr="00422E3B">
              <w:rPr>
                <w:rFonts w:ascii="Times New Roman" w:eastAsia="Times New Roman" w:hAnsi="Times New Roman"/>
                <w:lang w:eastAsia="lv-LV"/>
              </w:rPr>
              <w:t>Cita informācija</w:t>
            </w:r>
          </w:p>
        </w:tc>
        <w:tc>
          <w:tcPr>
            <w:tcW w:w="3606" w:type="pct"/>
            <w:hideMark/>
          </w:tcPr>
          <w:p w14:paraId="40CA2C8D" w14:textId="53C701F8" w:rsidR="0006481D" w:rsidRPr="00422E3B" w:rsidRDefault="0006481D" w:rsidP="0006481D">
            <w:pPr>
              <w:spacing w:before="100" w:beforeAutospacing="1" w:after="100" w:afterAutospacing="1" w:line="360" w:lineRule="auto"/>
              <w:rPr>
                <w:rFonts w:ascii="Times New Roman" w:eastAsia="Times New Roman" w:hAnsi="Times New Roman"/>
                <w:sz w:val="24"/>
                <w:szCs w:val="24"/>
                <w:lang w:eastAsia="lv-LV"/>
              </w:rPr>
            </w:pPr>
            <w:r w:rsidRPr="00422E3B">
              <w:rPr>
                <w:rFonts w:ascii="Times New Roman" w:eastAsia="Times New Roman" w:hAnsi="Times New Roman"/>
                <w:sz w:val="24"/>
                <w:szCs w:val="24"/>
                <w:lang w:eastAsia="lv-LV"/>
              </w:rPr>
              <w:t>Nav</w:t>
            </w:r>
          </w:p>
        </w:tc>
      </w:tr>
    </w:tbl>
    <w:p w14:paraId="0D437E1D" w14:textId="77777777" w:rsidR="0006481D" w:rsidRPr="00422E3B" w:rsidRDefault="0006481D" w:rsidP="00726928">
      <w:pPr>
        <w:spacing w:after="0" w:line="240" w:lineRule="auto"/>
        <w:rPr>
          <w:rFonts w:ascii="Times New Roman" w:hAnsi="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99"/>
        <w:gridCol w:w="2086"/>
        <w:gridCol w:w="6946"/>
      </w:tblGrid>
      <w:tr w:rsidR="00422E3B" w:rsidRPr="00422E3B" w14:paraId="66B312F2" w14:textId="77777777" w:rsidTr="004C467A">
        <w:trPr>
          <w:jc w:val="center"/>
        </w:trPr>
        <w:tc>
          <w:tcPr>
            <w:tcW w:w="5000" w:type="pct"/>
            <w:gridSpan w:val="3"/>
            <w:tcBorders>
              <w:top w:val="outset" w:sz="6" w:space="0" w:color="414142"/>
              <w:bottom w:val="outset" w:sz="6" w:space="0" w:color="414142"/>
            </w:tcBorders>
            <w:vAlign w:val="center"/>
          </w:tcPr>
          <w:p w14:paraId="48EA7C65" w14:textId="77777777" w:rsidR="004C467A" w:rsidRPr="00422E3B" w:rsidRDefault="004C467A" w:rsidP="00A27165">
            <w:pPr>
              <w:pStyle w:val="Bezatstarpm"/>
              <w:jc w:val="center"/>
              <w:rPr>
                <w:rFonts w:ascii="Times New Roman" w:hAnsi="Times New Roman"/>
                <w:b/>
                <w:sz w:val="24"/>
                <w:szCs w:val="24"/>
                <w:lang w:eastAsia="lv-LV"/>
              </w:rPr>
            </w:pPr>
            <w:r w:rsidRPr="00422E3B">
              <w:rPr>
                <w:rFonts w:ascii="Times New Roman" w:hAnsi="Times New Roman"/>
                <w:b/>
                <w:sz w:val="24"/>
                <w:szCs w:val="24"/>
                <w:lang w:eastAsia="lv-LV"/>
              </w:rPr>
              <w:t>V. Tiesību akta projekta atbilstība Latvijas Republikas starptautiskajām saistībām</w:t>
            </w:r>
          </w:p>
        </w:tc>
      </w:tr>
      <w:tr w:rsidR="00422E3B" w:rsidRPr="00422E3B" w14:paraId="0F550EE9" w14:textId="77777777" w:rsidTr="00A905D9">
        <w:trPr>
          <w:jc w:val="center"/>
        </w:trPr>
        <w:tc>
          <w:tcPr>
            <w:tcW w:w="311" w:type="pct"/>
            <w:tcBorders>
              <w:top w:val="outset" w:sz="6" w:space="0" w:color="414142"/>
              <w:bottom w:val="outset" w:sz="6" w:space="0" w:color="414142"/>
              <w:right w:val="outset" w:sz="6" w:space="0" w:color="414142"/>
            </w:tcBorders>
            <w:vAlign w:val="center"/>
          </w:tcPr>
          <w:p w14:paraId="7EEAA919" w14:textId="77777777" w:rsidR="004C467A" w:rsidRPr="00422E3B" w:rsidRDefault="004C467A" w:rsidP="00A27165">
            <w:pPr>
              <w:pStyle w:val="Bezatstarpm"/>
              <w:jc w:val="center"/>
              <w:rPr>
                <w:rFonts w:ascii="Times New Roman" w:hAnsi="Times New Roman"/>
                <w:lang w:eastAsia="lv-LV"/>
              </w:rPr>
            </w:pPr>
            <w:r w:rsidRPr="00422E3B">
              <w:rPr>
                <w:rFonts w:ascii="Times New Roman" w:hAnsi="Times New Roman"/>
                <w:lang w:eastAsia="lv-LV"/>
              </w:rPr>
              <w:t>1.</w:t>
            </w:r>
          </w:p>
        </w:tc>
        <w:tc>
          <w:tcPr>
            <w:tcW w:w="1083" w:type="pct"/>
            <w:tcBorders>
              <w:top w:val="outset" w:sz="6" w:space="0" w:color="414142"/>
              <w:left w:val="outset" w:sz="6" w:space="0" w:color="414142"/>
              <w:bottom w:val="outset" w:sz="6" w:space="0" w:color="414142"/>
              <w:right w:val="outset" w:sz="6" w:space="0" w:color="414142"/>
            </w:tcBorders>
          </w:tcPr>
          <w:p w14:paraId="0B662676" w14:textId="77777777" w:rsidR="004C467A" w:rsidRPr="00422E3B" w:rsidRDefault="004C467A" w:rsidP="00A27165">
            <w:pPr>
              <w:pStyle w:val="Bezatstarpm"/>
              <w:ind w:left="112"/>
              <w:rPr>
                <w:rFonts w:ascii="Times New Roman" w:hAnsi="Times New Roman"/>
                <w:lang w:eastAsia="lv-LV"/>
              </w:rPr>
            </w:pPr>
            <w:r w:rsidRPr="00422E3B">
              <w:rPr>
                <w:rFonts w:ascii="Times New Roman" w:hAnsi="Times New Roman"/>
                <w:lang w:eastAsia="lv-LV"/>
              </w:rPr>
              <w:t>Saistības pret Eiropas Savienību</w:t>
            </w:r>
          </w:p>
        </w:tc>
        <w:tc>
          <w:tcPr>
            <w:tcW w:w="3606" w:type="pct"/>
            <w:tcBorders>
              <w:top w:val="outset" w:sz="6" w:space="0" w:color="414142"/>
              <w:left w:val="outset" w:sz="6" w:space="0" w:color="414142"/>
              <w:bottom w:val="outset" w:sz="6" w:space="0" w:color="414142"/>
            </w:tcBorders>
          </w:tcPr>
          <w:p w14:paraId="2F41EE05" w14:textId="142D85CD" w:rsidR="004C467A" w:rsidRPr="00422E3B" w:rsidRDefault="008C145A" w:rsidP="00A905D9">
            <w:pPr>
              <w:pStyle w:val="Bezatstarpm"/>
              <w:jc w:val="both"/>
              <w:rPr>
                <w:rFonts w:ascii="Times New Roman" w:hAnsi="Times New Roman"/>
                <w:sz w:val="24"/>
                <w:szCs w:val="24"/>
                <w:lang w:eastAsia="lv-LV"/>
              </w:rPr>
            </w:pPr>
            <w:r w:rsidRPr="00422E3B">
              <w:rPr>
                <w:rFonts w:ascii="Times New Roman" w:hAnsi="Times New Roman"/>
                <w:sz w:val="24"/>
                <w:szCs w:val="24"/>
                <w:lang w:eastAsia="lv-LV"/>
              </w:rPr>
              <w:t>MK noteikumu Nr.1375 2.punkts paredz, ka ikgadējie kopējās nozvejas apjoma limiti piekrastē tiek noteikti, pamatojoties uz tieši</w:t>
            </w:r>
            <w:r w:rsidR="00A905D9" w:rsidRPr="00422E3B">
              <w:rPr>
                <w:rFonts w:ascii="Times New Roman" w:hAnsi="Times New Roman"/>
                <w:sz w:val="24"/>
                <w:szCs w:val="24"/>
                <w:lang w:eastAsia="lv-LV"/>
              </w:rPr>
              <w:t xml:space="preserve"> piemērojamiem </w:t>
            </w:r>
            <w:r w:rsidRPr="00422E3B">
              <w:rPr>
                <w:rFonts w:ascii="Times New Roman" w:hAnsi="Times New Roman"/>
                <w:sz w:val="24"/>
                <w:szCs w:val="24"/>
                <w:lang w:eastAsia="lv-LV"/>
              </w:rPr>
              <w:t>ES zvejniecību regulējošiem tiesību aktiem</w:t>
            </w:r>
            <w:r w:rsidR="00A905D9" w:rsidRPr="00422E3B">
              <w:rPr>
                <w:rFonts w:ascii="Times New Roman" w:hAnsi="Times New Roman"/>
                <w:sz w:val="24"/>
                <w:szCs w:val="24"/>
                <w:lang w:eastAsia="lv-LV"/>
              </w:rPr>
              <w:t xml:space="preserve"> par Latvijas Republikai iedalīto daļu no kopējā pieļaujamā nozvejas apjoma limita kārtējam gadam un Zvejniecības likuma </w:t>
            </w:r>
            <w:proofErr w:type="gramStart"/>
            <w:r w:rsidR="00A905D9" w:rsidRPr="00422E3B">
              <w:rPr>
                <w:rFonts w:ascii="Times New Roman" w:hAnsi="Times New Roman"/>
                <w:sz w:val="24"/>
                <w:szCs w:val="24"/>
                <w:lang w:eastAsia="lv-LV"/>
              </w:rPr>
              <w:t>11.panta</w:t>
            </w:r>
            <w:proofErr w:type="gramEnd"/>
            <w:r w:rsidR="00A905D9" w:rsidRPr="00422E3B">
              <w:rPr>
                <w:rFonts w:ascii="Times New Roman" w:hAnsi="Times New Roman"/>
                <w:sz w:val="24"/>
                <w:szCs w:val="24"/>
                <w:lang w:eastAsia="lv-LV"/>
              </w:rPr>
              <w:t xml:space="preserve"> (4) daļā noteikto par zvejai piekrastē iedalāmajiem nozvejas apjoma limitiem. Regulas, kurās tiek noteikti kopējie nozvejas apjoma limiti, tai skaitā Latvijai, tiek pieņemtas katram nākamajam gadam.</w:t>
            </w:r>
            <w:r w:rsidRPr="00422E3B">
              <w:rPr>
                <w:rFonts w:ascii="Times New Roman" w:hAnsi="Times New Roman"/>
                <w:sz w:val="24"/>
                <w:szCs w:val="24"/>
                <w:lang w:eastAsia="lv-LV"/>
              </w:rPr>
              <w:t xml:space="preserve"> </w:t>
            </w:r>
            <w:r w:rsidR="00A905D9" w:rsidRPr="00422E3B">
              <w:rPr>
                <w:rFonts w:ascii="Times New Roman" w:hAnsi="Times New Roman"/>
                <w:sz w:val="24"/>
                <w:szCs w:val="24"/>
                <w:lang w:eastAsia="lv-LV"/>
              </w:rPr>
              <w:t>2017.gadam spēkā ir Padomes Regula (ES) 2016/1903 (2016. gada 28. oktobris), ar ko 2017. gadam nosaka konkrētu zivju krājumu un zivju krājumu grupu zvejas iespējas, kuras piemērojamas Baltijas jūrā, un groza Regulu (ES) 2016/72. Savukārt n</w:t>
            </w:r>
            <w:r w:rsidRPr="00422E3B">
              <w:rPr>
                <w:rFonts w:ascii="Times New Roman" w:hAnsi="Times New Roman"/>
                <w:sz w:val="24"/>
                <w:szCs w:val="24"/>
                <w:lang w:eastAsia="lv-LV"/>
              </w:rPr>
              <w:t xml:space="preserve">oteikumu projektā grozītais 2.1.apakšpunkts </w:t>
            </w:r>
            <w:r w:rsidR="00A905D9" w:rsidRPr="00422E3B">
              <w:rPr>
                <w:rFonts w:ascii="Times New Roman" w:hAnsi="Times New Roman"/>
                <w:sz w:val="24"/>
                <w:szCs w:val="24"/>
                <w:lang w:eastAsia="lv-LV"/>
              </w:rPr>
              <w:t xml:space="preserve">tieši </w:t>
            </w:r>
            <w:r w:rsidRPr="00422E3B">
              <w:rPr>
                <w:rFonts w:ascii="Times New Roman" w:hAnsi="Times New Roman"/>
                <w:sz w:val="24"/>
                <w:szCs w:val="24"/>
                <w:lang w:eastAsia="lv-LV"/>
              </w:rPr>
              <w:t xml:space="preserve">neskar ES regulējumu, jo tajā tiek precizēts </w:t>
            </w:r>
            <w:r w:rsidR="00A905D9" w:rsidRPr="00422E3B">
              <w:rPr>
                <w:rFonts w:ascii="Times New Roman" w:hAnsi="Times New Roman"/>
                <w:sz w:val="24"/>
                <w:szCs w:val="24"/>
                <w:lang w:eastAsia="lv-LV"/>
              </w:rPr>
              <w:t xml:space="preserve">tikai </w:t>
            </w:r>
            <w:r w:rsidRPr="00422E3B">
              <w:rPr>
                <w:rFonts w:ascii="Times New Roman" w:hAnsi="Times New Roman"/>
                <w:sz w:val="24"/>
                <w:szCs w:val="24"/>
                <w:lang w:eastAsia="lv-LV"/>
              </w:rPr>
              <w:t>mencu nozvejas apjoma limita sadalījums</w:t>
            </w:r>
            <w:r w:rsidR="00A905D9" w:rsidRPr="00422E3B">
              <w:rPr>
                <w:rFonts w:ascii="Times New Roman" w:hAnsi="Times New Roman"/>
                <w:sz w:val="24"/>
                <w:szCs w:val="24"/>
                <w:lang w:eastAsia="lv-LV"/>
              </w:rPr>
              <w:t xml:space="preserve"> piekrastes ūdeņos</w:t>
            </w:r>
            <w:r w:rsidRPr="00422E3B">
              <w:rPr>
                <w:rFonts w:ascii="Times New Roman" w:hAnsi="Times New Roman"/>
                <w:sz w:val="24"/>
                <w:szCs w:val="24"/>
                <w:lang w:eastAsia="lv-LV"/>
              </w:rPr>
              <w:t xml:space="preserve"> nacionālajā līmenī.</w:t>
            </w:r>
          </w:p>
        </w:tc>
      </w:tr>
      <w:tr w:rsidR="00422E3B" w:rsidRPr="00422E3B" w14:paraId="24CA452B" w14:textId="77777777" w:rsidTr="00A905D9">
        <w:trPr>
          <w:jc w:val="center"/>
        </w:trPr>
        <w:tc>
          <w:tcPr>
            <w:tcW w:w="311" w:type="pct"/>
            <w:tcBorders>
              <w:top w:val="outset" w:sz="6" w:space="0" w:color="414142"/>
              <w:bottom w:val="outset" w:sz="6" w:space="0" w:color="414142"/>
              <w:right w:val="outset" w:sz="6" w:space="0" w:color="414142"/>
            </w:tcBorders>
            <w:vAlign w:val="center"/>
          </w:tcPr>
          <w:p w14:paraId="4D29B2FF" w14:textId="77777777" w:rsidR="004C467A" w:rsidRPr="00422E3B" w:rsidRDefault="004C467A" w:rsidP="00A27165">
            <w:pPr>
              <w:pStyle w:val="Bezatstarpm"/>
              <w:jc w:val="center"/>
              <w:rPr>
                <w:rFonts w:ascii="Times New Roman" w:hAnsi="Times New Roman"/>
                <w:lang w:eastAsia="lv-LV"/>
              </w:rPr>
            </w:pPr>
            <w:r w:rsidRPr="00422E3B">
              <w:rPr>
                <w:rFonts w:ascii="Times New Roman" w:hAnsi="Times New Roman"/>
                <w:lang w:eastAsia="lv-LV"/>
              </w:rPr>
              <w:t>2.</w:t>
            </w:r>
          </w:p>
        </w:tc>
        <w:tc>
          <w:tcPr>
            <w:tcW w:w="1083" w:type="pct"/>
            <w:tcBorders>
              <w:top w:val="outset" w:sz="6" w:space="0" w:color="414142"/>
              <w:left w:val="outset" w:sz="6" w:space="0" w:color="414142"/>
              <w:bottom w:val="outset" w:sz="6" w:space="0" w:color="414142"/>
              <w:right w:val="outset" w:sz="6" w:space="0" w:color="414142"/>
            </w:tcBorders>
          </w:tcPr>
          <w:p w14:paraId="53C4BCDF" w14:textId="77777777" w:rsidR="004C467A" w:rsidRPr="00422E3B" w:rsidRDefault="004C467A" w:rsidP="00A27165">
            <w:pPr>
              <w:pStyle w:val="Bezatstarpm"/>
              <w:ind w:left="112"/>
              <w:rPr>
                <w:rFonts w:ascii="Times New Roman" w:hAnsi="Times New Roman"/>
                <w:lang w:eastAsia="lv-LV"/>
              </w:rPr>
            </w:pPr>
            <w:r w:rsidRPr="00422E3B">
              <w:rPr>
                <w:rFonts w:ascii="Times New Roman" w:hAnsi="Times New Roman"/>
                <w:lang w:eastAsia="lv-LV"/>
              </w:rPr>
              <w:t>Citas starptautiskās saistības</w:t>
            </w:r>
          </w:p>
        </w:tc>
        <w:tc>
          <w:tcPr>
            <w:tcW w:w="3606" w:type="pct"/>
            <w:tcBorders>
              <w:top w:val="outset" w:sz="6" w:space="0" w:color="414142"/>
              <w:left w:val="outset" w:sz="6" w:space="0" w:color="414142"/>
              <w:bottom w:val="outset" w:sz="6" w:space="0" w:color="414142"/>
            </w:tcBorders>
          </w:tcPr>
          <w:p w14:paraId="3D8EA7DB" w14:textId="77777777" w:rsidR="004C467A" w:rsidRPr="00422E3B" w:rsidRDefault="004C467A" w:rsidP="00A27165">
            <w:pPr>
              <w:pStyle w:val="Bezatstarpm"/>
              <w:rPr>
                <w:rFonts w:ascii="Times New Roman" w:hAnsi="Times New Roman"/>
                <w:sz w:val="24"/>
                <w:szCs w:val="24"/>
                <w:lang w:eastAsia="lv-LV"/>
              </w:rPr>
            </w:pPr>
            <w:r w:rsidRPr="00422E3B">
              <w:rPr>
                <w:rFonts w:ascii="Times New Roman" w:hAnsi="Times New Roman"/>
                <w:sz w:val="24"/>
                <w:szCs w:val="24"/>
                <w:lang w:eastAsia="lv-LV"/>
              </w:rPr>
              <w:t>Projekts šo jomu neskar.</w:t>
            </w:r>
          </w:p>
        </w:tc>
      </w:tr>
      <w:tr w:rsidR="004C467A" w:rsidRPr="00422E3B" w14:paraId="2D89430D" w14:textId="77777777" w:rsidTr="00A905D9">
        <w:trPr>
          <w:jc w:val="center"/>
        </w:trPr>
        <w:tc>
          <w:tcPr>
            <w:tcW w:w="311" w:type="pct"/>
            <w:tcBorders>
              <w:top w:val="outset" w:sz="6" w:space="0" w:color="414142"/>
              <w:bottom w:val="outset" w:sz="6" w:space="0" w:color="414142"/>
              <w:right w:val="outset" w:sz="6" w:space="0" w:color="414142"/>
            </w:tcBorders>
            <w:vAlign w:val="center"/>
          </w:tcPr>
          <w:p w14:paraId="7ECC3678" w14:textId="77777777" w:rsidR="004C467A" w:rsidRPr="00422E3B" w:rsidRDefault="004C467A" w:rsidP="00A27165">
            <w:pPr>
              <w:pStyle w:val="Bezatstarpm"/>
              <w:jc w:val="center"/>
              <w:rPr>
                <w:rFonts w:ascii="Times New Roman" w:hAnsi="Times New Roman"/>
                <w:lang w:eastAsia="lv-LV"/>
              </w:rPr>
            </w:pPr>
            <w:r w:rsidRPr="00422E3B">
              <w:rPr>
                <w:rFonts w:ascii="Times New Roman" w:hAnsi="Times New Roman"/>
                <w:lang w:eastAsia="lv-LV"/>
              </w:rPr>
              <w:t>3.</w:t>
            </w:r>
          </w:p>
        </w:tc>
        <w:tc>
          <w:tcPr>
            <w:tcW w:w="1083" w:type="pct"/>
            <w:tcBorders>
              <w:top w:val="outset" w:sz="6" w:space="0" w:color="414142"/>
              <w:left w:val="outset" w:sz="6" w:space="0" w:color="414142"/>
              <w:bottom w:val="outset" w:sz="6" w:space="0" w:color="414142"/>
              <w:right w:val="outset" w:sz="6" w:space="0" w:color="414142"/>
            </w:tcBorders>
          </w:tcPr>
          <w:p w14:paraId="7B528E1B" w14:textId="77777777" w:rsidR="004C467A" w:rsidRPr="00422E3B" w:rsidRDefault="004C467A" w:rsidP="00A27165">
            <w:pPr>
              <w:pStyle w:val="Bezatstarpm"/>
              <w:ind w:left="112"/>
              <w:rPr>
                <w:rFonts w:ascii="Times New Roman" w:hAnsi="Times New Roman"/>
                <w:lang w:eastAsia="lv-LV"/>
              </w:rPr>
            </w:pPr>
            <w:r w:rsidRPr="00422E3B">
              <w:rPr>
                <w:rFonts w:ascii="Times New Roman" w:hAnsi="Times New Roman"/>
                <w:lang w:eastAsia="lv-LV"/>
              </w:rPr>
              <w:t>Cita informācija</w:t>
            </w:r>
          </w:p>
        </w:tc>
        <w:tc>
          <w:tcPr>
            <w:tcW w:w="3606" w:type="pct"/>
            <w:tcBorders>
              <w:top w:val="outset" w:sz="6" w:space="0" w:color="414142"/>
              <w:left w:val="outset" w:sz="6" w:space="0" w:color="414142"/>
              <w:bottom w:val="outset" w:sz="6" w:space="0" w:color="414142"/>
            </w:tcBorders>
          </w:tcPr>
          <w:p w14:paraId="29228D08" w14:textId="77777777" w:rsidR="004C467A" w:rsidRPr="00422E3B" w:rsidRDefault="004C467A" w:rsidP="00A27165">
            <w:pPr>
              <w:pStyle w:val="Bezatstarpm"/>
              <w:rPr>
                <w:rFonts w:ascii="Times New Roman" w:hAnsi="Times New Roman"/>
                <w:sz w:val="24"/>
                <w:szCs w:val="24"/>
                <w:lang w:eastAsia="lv-LV"/>
              </w:rPr>
            </w:pPr>
            <w:r w:rsidRPr="00422E3B">
              <w:rPr>
                <w:rFonts w:ascii="Times New Roman" w:hAnsi="Times New Roman"/>
                <w:sz w:val="24"/>
                <w:szCs w:val="24"/>
                <w:lang w:eastAsia="lv-LV"/>
              </w:rPr>
              <w:t>Nav</w:t>
            </w:r>
          </w:p>
        </w:tc>
      </w:tr>
    </w:tbl>
    <w:p w14:paraId="05DE06B8" w14:textId="77777777" w:rsidR="004C467A" w:rsidRPr="00422E3B" w:rsidRDefault="004C467A" w:rsidP="004C467A">
      <w:pPr>
        <w:spacing w:after="0" w:line="240" w:lineRule="auto"/>
        <w:rPr>
          <w:rFonts w:ascii="Times New Roman" w:hAnsi="Times New Roman"/>
          <w:vanish/>
          <w:sz w:val="24"/>
          <w:szCs w:val="24"/>
          <w:lang w:eastAsia="lv-LV"/>
        </w:rPr>
      </w:pPr>
    </w:p>
    <w:p w14:paraId="36E128F0" w14:textId="77777777" w:rsidR="0006481D" w:rsidRPr="00422E3B" w:rsidRDefault="0006481D" w:rsidP="00422CA6">
      <w:pPr>
        <w:spacing w:after="0" w:line="240" w:lineRule="auto"/>
        <w:rPr>
          <w:rFonts w:ascii="Times New Roman" w:hAnsi="Times New Roman"/>
          <w:vanish/>
          <w:sz w:val="24"/>
          <w:szCs w:val="24"/>
          <w:lang w:eastAsia="lv-LV"/>
        </w:rPr>
      </w:pPr>
    </w:p>
    <w:p w14:paraId="56A364BB" w14:textId="77777777" w:rsidR="00617119" w:rsidRPr="00422E3B" w:rsidRDefault="00617119" w:rsidP="00422CA6">
      <w:pPr>
        <w:spacing w:after="0" w:line="240" w:lineRule="auto"/>
        <w:rPr>
          <w:rFonts w:ascii="Times New Roman" w:hAnsi="Times New Roman"/>
          <w:sz w:val="24"/>
          <w:szCs w:val="24"/>
          <w:lang w:eastAsia="lv-LV"/>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4"/>
        <w:gridCol w:w="1938"/>
        <w:gridCol w:w="6979"/>
      </w:tblGrid>
      <w:tr w:rsidR="00422E3B" w:rsidRPr="00422E3B" w14:paraId="36D02858" w14:textId="77777777" w:rsidTr="00A905D9">
        <w:trPr>
          <w:trHeight w:val="20"/>
          <w:jc w:val="center"/>
        </w:trPr>
        <w:tc>
          <w:tcPr>
            <w:tcW w:w="5000" w:type="pct"/>
            <w:gridSpan w:val="3"/>
            <w:tcBorders>
              <w:top w:val="outset" w:sz="6" w:space="0" w:color="414142"/>
              <w:bottom w:val="outset" w:sz="6" w:space="0" w:color="414142"/>
            </w:tcBorders>
            <w:vAlign w:val="center"/>
          </w:tcPr>
          <w:p w14:paraId="0E859C77" w14:textId="77777777" w:rsidR="00E52AAB" w:rsidRPr="00422E3B" w:rsidRDefault="00E52AAB" w:rsidP="00422CA6">
            <w:pPr>
              <w:spacing w:after="0" w:line="240" w:lineRule="auto"/>
              <w:ind w:firstLine="300"/>
              <w:jc w:val="center"/>
              <w:rPr>
                <w:rFonts w:ascii="Times New Roman" w:hAnsi="Times New Roman"/>
                <w:b/>
                <w:bCs/>
                <w:sz w:val="24"/>
                <w:szCs w:val="24"/>
                <w:lang w:eastAsia="lv-LV"/>
              </w:rPr>
            </w:pPr>
            <w:r w:rsidRPr="00422E3B">
              <w:rPr>
                <w:rFonts w:ascii="Times New Roman" w:hAnsi="Times New Roman"/>
                <w:b/>
                <w:bCs/>
                <w:sz w:val="24"/>
                <w:szCs w:val="24"/>
                <w:lang w:eastAsia="lv-LV"/>
              </w:rPr>
              <w:t>VI. Sabiedrības līdzdalība un komunikācijas aktivitātes</w:t>
            </w:r>
          </w:p>
        </w:tc>
      </w:tr>
      <w:tr w:rsidR="00422E3B" w:rsidRPr="00422E3B" w14:paraId="20EE8D03" w14:textId="77777777" w:rsidTr="00A905D9">
        <w:trPr>
          <w:trHeight w:val="20"/>
          <w:jc w:val="center"/>
        </w:trPr>
        <w:tc>
          <w:tcPr>
            <w:tcW w:w="371" w:type="pct"/>
            <w:tcBorders>
              <w:top w:val="outset" w:sz="6" w:space="0" w:color="414142"/>
              <w:bottom w:val="outset" w:sz="6" w:space="0" w:color="414142"/>
              <w:right w:val="outset" w:sz="6" w:space="0" w:color="414142"/>
            </w:tcBorders>
          </w:tcPr>
          <w:p w14:paraId="6AA88AC3" w14:textId="77777777" w:rsidR="00E52AAB" w:rsidRPr="00422E3B" w:rsidRDefault="00E52AAB" w:rsidP="00422CA6">
            <w:pPr>
              <w:spacing w:after="0" w:line="240" w:lineRule="auto"/>
              <w:jc w:val="center"/>
              <w:rPr>
                <w:rFonts w:ascii="Times New Roman" w:hAnsi="Times New Roman"/>
                <w:lang w:eastAsia="lv-LV"/>
              </w:rPr>
            </w:pPr>
            <w:r w:rsidRPr="00422E3B">
              <w:rPr>
                <w:rFonts w:ascii="Times New Roman" w:hAnsi="Times New Roman"/>
                <w:lang w:eastAsia="lv-LV"/>
              </w:rPr>
              <w:t>1.</w:t>
            </w:r>
          </w:p>
        </w:tc>
        <w:tc>
          <w:tcPr>
            <w:tcW w:w="1006" w:type="pct"/>
            <w:tcBorders>
              <w:top w:val="outset" w:sz="6" w:space="0" w:color="414142"/>
              <w:left w:val="outset" w:sz="6" w:space="0" w:color="414142"/>
              <w:bottom w:val="outset" w:sz="6" w:space="0" w:color="414142"/>
              <w:right w:val="outset" w:sz="6" w:space="0" w:color="414142"/>
            </w:tcBorders>
          </w:tcPr>
          <w:p w14:paraId="5EE05007" w14:textId="77777777" w:rsidR="00E52AAB" w:rsidRPr="00422E3B" w:rsidRDefault="00E52AAB" w:rsidP="00422CA6">
            <w:pPr>
              <w:spacing w:after="0" w:line="240" w:lineRule="auto"/>
              <w:rPr>
                <w:rFonts w:ascii="Times New Roman" w:hAnsi="Times New Roman"/>
                <w:lang w:eastAsia="lv-LV"/>
              </w:rPr>
            </w:pPr>
            <w:r w:rsidRPr="00422E3B">
              <w:rPr>
                <w:rFonts w:ascii="Times New Roman" w:hAnsi="Times New Roman"/>
                <w:lang w:eastAsia="lv-LV"/>
              </w:rPr>
              <w:t>Plānotās sabiedrības līdzdalības un komunikācijas aktivitātes saistībā ar projektu</w:t>
            </w:r>
          </w:p>
        </w:tc>
        <w:tc>
          <w:tcPr>
            <w:tcW w:w="3623" w:type="pct"/>
            <w:tcBorders>
              <w:top w:val="outset" w:sz="6" w:space="0" w:color="414142"/>
              <w:left w:val="outset" w:sz="6" w:space="0" w:color="414142"/>
              <w:bottom w:val="outset" w:sz="6" w:space="0" w:color="414142"/>
            </w:tcBorders>
          </w:tcPr>
          <w:p w14:paraId="038AAE36" w14:textId="7C5D4DF1" w:rsidR="004C467A" w:rsidRPr="00422E3B" w:rsidRDefault="004C467A" w:rsidP="00FF0EAE">
            <w:pPr>
              <w:spacing w:after="0" w:line="240" w:lineRule="auto"/>
              <w:jc w:val="both"/>
              <w:rPr>
                <w:rFonts w:ascii="Times New Roman" w:hAnsi="Times New Roman"/>
                <w:sz w:val="24"/>
                <w:szCs w:val="24"/>
                <w:lang w:eastAsia="lv-LV"/>
              </w:rPr>
            </w:pPr>
            <w:proofErr w:type="gramStart"/>
            <w:r w:rsidRPr="00422E3B">
              <w:rPr>
                <w:rFonts w:ascii="Times New Roman" w:hAnsi="Times New Roman"/>
                <w:sz w:val="24"/>
                <w:szCs w:val="24"/>
                <w:lang w:eastAsia="lv-LV"/>
              </w:rPr>
              <w:t>2016.gada</w:t>
            </w:r>
            <w:proofErr w:type="gramEnd"/>
            <w:r w:rsidRPr="00422E3B">
              <w:rPr>
                <w:rFonts w:ascii="Times New Roman" w:hAnsi="Times New Roman"/>
                <w:sz w:val="24"/>
                <w:szCs w:val="24"/>
                <w:lang w:eastAsia="lv-LV"/>
              </w:rPr>
              <w:t xml:space="preserve"> 12.decembrī Salacgrīvas novada, Ventspils novada un Rīgas pilsētas pašvaldības ar ZM vēstulēm tika informētas par zvejas limitu samazinājumu šīm pašvaldībām, kas saistīts ar MK noteikumu Nr.1375 5.</w:t>
            </w:r>
            <w:r w:rsidR="00712662" w:rsidRPr="00422E3B">
              <w:rPr>
                <w:rFonts w:ascii="Times New Roman" w:hAnsi="Times New Roman"/>
                <w:sz w:val="24"/>
                <w:szCs w:val="24"/>
                <w:vertAlign w:val="superscript"/>
                <w:lang w:eastAsia="lv-LV"/>
              </w:rPr>
              <w:t xml:space="preserve">1 </w:t>
            </w:r>
            <w:r w:rsidRPr="00422E3B">
              <w:rPr>
                <w:rFonts w:ascii="Times New Roman" w:hAnsi="Times New Roman"/>
                <w:sz w:val="24"/>
                <w:szCs w:val="24"/>
                <w:lang w:eastAsia="lv-LV"/>
              </w:rPr>
              <w:t>punkta izpildi.</w:t>
            </w:r>
          </w:p>
          <w:p w14:paraId="71ABC0A9" w14:textId="7A49FB52" w:rsidR="001174B5" w:rsidRPr="00422E3B" w:rsidRDefault="001174B5" w:rsidP="00FF0EAE">
            <w:pPr>
              <w:spacing w:after="0" w:line="240" w:lineRule="auto"/>
              <w:jc w:val="both"/>
              <w:rPr>
                <w:rFonts w:ascii="Times New Roman" w:hAnsi="Times New Roman"/>
                <w:sz w:val="24"/>
                <w:szCs w:val="24"/>
                <w:lang w:eastAsia="lv-LV"/>
              </w:rPr>
            </w:pPr>
            <w:r w:rsidRPr="00422E3B">
              <w:rPr>
                <w:rFonts w:ascii="Times New Roman" w:hAnsi="Times New Roman"/>
                <w:sz w:val="24"/>
                <w:szCs w:val="24"/>
                <w:lang w:eastAsia="lv-LV"/>
              </w:rPr>
              <w:t>2017.</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gada 19.</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aprīlī par mencu zvejas iespēju izmantošanas pilnveidošanu piekrastes ūdeņos ar biedrības “Latvijas Pašvaldību savienība” atbalstu tika rīkota videokonference ar visām piekrastes pašvaldībām.</w:t>
            </w:r>
            <w:r w:rsidR="004C467A" w:rsidRPr="00422E3B">
              <w:t xml:space="preserve"> </w:t>
            </w:r>
          </w:p>
          <w:p w14:paraId="48F95995" w14:textId="5C730980" w:rsidR="00D46FFF" w:rsidRPr="00422E3B" w:rsidRDefault="003A1D86" w:rsidP="00FF0EAE">
            <w:pPr>
              <w:spacing w:after="0" w:line="240" w:lineRule="auto"/>
              <w:jc w:val="both"/>
              <w:rPr>
                <w:rFonts w:ascii="Times New Roman" w:hAnsi="Times New Roman"/>
                <w:sz w:val="24"/>
                <w:szCs w:val="24"/>
                <w:lang w:eastAsia="lv-LV"/>
              </w:rPr>
            </w:pPr>
            <w:r w:rsidRPr="00422E3B">
              <w:rPr>
                <w:rFonts w:ascii="Times New Roman" w:hAnsi="Times New Roman"/>
                <w:sz w:val="24"/>
                <w:szCs w:val="24"/>
                <w:lang w:eastAsia="lv-LV"/>
              </w:rPr>
              <w:t>Informācija par Z</w:t>
            </w:r>
            <w:r w:rsidR="004D2340" w:rsidRPr="00422E3B">
              <w:rPr>
                <w:rFonts w:ascii="Times New Roman" w:hAnsi="Times New Roman"/>
                <w:sz w:val="24"/>
                <w:szCs w:val="24"/>
                <w:lang w:eastAsia="lv-LV"/>
              </w:rPr>
              <w:t>M</w:t>
            </w:r>
            <w:r w:rsidRPr="00422E3B">
              <w:rPr>
                <w:rFonts w:ascii="Times New Roman" w:hAnsi="Times New Roman"/>
                <w:sz w:val="24"/>
                <w:szCs w:val="24"/>
                <w:lang w:eastAsia="lv-LV"/>
              </w:rPr>
              <w:t xml:space="preserve"> sagatavoto noteikumu projektu bija pieejama tīmekļa vietnē </w:t>
            </w:r>
            <w:proofErr w:type="spellStart"/>
            <w:r w:rsidRPr="00422E3B">
              <w:rPr>
                <w:rFonts w:ascii="Times New Roman" w:hAnsi="Times New Roman"/>
                <w:sz w:val="24"/>
                <w:szCs w:val="24"/>
                <w:lang w:eastAsia="lv-LV"/>
              </w:rPr>
              <w:t>www.zm.gov.lv</w:t>
            </w:r>
            <w:proofErr w:type="spellEnd"/>
            <w:r w:rsidRPr="00422E3B">
              <w:rPr>
                <w:rFonts w:ascii="Times New Roman" w:hAnsi="Times New Roman"/>
                <w:sz w:val="24"/>
                <w:szCs w:val="24"/>
                <w:lang w:eastAsia="lv-LV"/>
              </w:rPr>
              <w:t xml:space="preserve"> no 2017.</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 xml:space="preserve">gada </w:t>
            </w:r>
            <w:r w:rsidR="00A761CC" w:rsidRPr="00422E3B">
              <w:rPr>
                <w:rFonts w:ascii="Times New Roman" w:hAnsi="Times New Roman"/>
                <w:sz w:val="24"/>
                <w:szCs w:val="24"/>
                <w:lang w:eastAsia="lv-LV"/>
              </w:rPr>
              <w:t>10</w:t>
            </w:r>
            <w:r w:rsidRPr="00422E3B">
              <w:rPr>
                <w:rFonts w:ascii="Times New Roman" w:hAnsi="Times New Roman"/>
                <w:sz w:val="24"/>
                <w:szCs w:val="24"/>
                <w:lang w:eastAsia="lv-LV"/>
              </w:rPr>
              <w:t xml:space="preserve">. līdz </w:t>
            </w:r>
            <w:r w:rsidR="00A761CC" w:rsidRPr="00422E3B">
              <w:rPr>
                <w:rFonts w:ascii="Times New Roman" w:hAnsi="Times New Roman"/>
                <w:sz w:val="24"/>
                <w:szCs w:val="24"/>
                <w:lang w:eastAsia="lv-LV"/>
              </w:rPr>
              <w:t>18</w:t>
            </w:r>
            <w:r w:rsidRPr="00422E3B">
              <w:rPr>
                <w:rFonts w:ascii="Times New Roman" w:hAnsi="Times New Roman"/>
                <w:sz w:val="24"/>
                <w:szCs w:val="24"/>
                <w:lang w:eastAsia="lv-LV"/>
              </w:rPr>
              <w:t>.</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augustam.</w:t>
            </w:r>
          </w:p>
        </w:tc>
      </w:tr>
      <w:tr w:rsidR="00422E3B" w:rsidRPr="00422E3B" w14:paraId="0CF29E7C" w14:textId="77777777" w:rsidTr="00A905D9">
        <w:trPr>
          <w:trHeight w:val="20"/>
          <w:jc w:val="center"/>
        </w:trPr>
        <w:tc>
          <w:tcPr>
            <w:tcW w:w="371" w:type="pct"/>
            <w:tcBorders>
              <w:top w:val="outset" w:sz="6" w:space="0" w:color="414142"/>
              <w:bottom w:val="outset" w:sz="6" w:space="0" w:color="414142"/>
              <w:right w:val="outset" w:sz="6" w:space="0" w:color="414142"/>
            </w:tcBorders>
          </w:tcPr>
          <w:p w14:paraId="7AA4646F" w14:textId="77777777" w:rsidR="00E52AAB" w:rsidRPr="00422E3B" w:rsidRDefault="00E52AAB" w:rsidP="00422CA6">
            <w:pPr>
              <w:spacing w:after="0" w:line="240" w:lineRule="auto"/>
              <w:jc w:val="center"/>
              <w:rPr>
                <w:rFonts w:ascii="Times New Roman" w:hAnsi="Times New Roman"/>
                <w:lang w:eastAsia="lv-LV"/>
              </w:rPr>
            </w:pPr>
            <w:r w:rsidRPr="00422E3B">
              <w:rPr>
                <w:rFonts w:ascii="Times New Roman" w:hAnsi="Times New Roman"/>
                <w:lang w:eastAsia="lv-LV"/>
              </w:rPr>
              <w:t>2.</w:t>
            </w:r>
          </w:p>
        </w:tc>
        <w:tc>
          <w:tcPr>
            <w:tcW w:w="1006" w:type="pct"/>
            <w:tcBorders>
              <w:top w:val="outset" w:sz="6" w:space="0" w:color="414142"/>
              <w:left w:val="outset" w:sz="6" w:space="0" w:color="414142"/>
              <w:bottom w:val="outset" w:sz="6" w:space="0" w:color="414142"/>
              <w:right w:val="outset" w:sz="6" w:space="0" w:color="414142"/>
            </w:tcBorders>
          </w:tcPr>
          <w:p w14:paraId="0FADE6F2" w14:textId="77777777" w:rsidR="00E52AAB" w:rsidRPr="00422E3B" w:rsidRDefault="00E52AAB" w:rsidP="00422CA6">
            <w:pPr>
              <w:spacing w:after="0" w:line="240" w:lineRule="auto"/>
              <w:rPr>
                <w:rFonts w:ascii="Times New Roman" w:hAnsi="Times New Roman"/>
                <w:lang w:eastAsia="lv-LV"/>
              </w:rPr>
            </w:pPr>
            <w:r w:rsidRPr="00422E3B">
              <w:rPr>
                <w:rFonts w:ascii="Times New Roman" w:hAnsi="Times New Roman"/>
                <w:lang w:eastAsia="lv-LV"/>
              </w:rPr>
              <w:t>Sabiedrības līdzdalība projekta izstrādē</w:t>
            </w:r>
          </w:p>
        </w:tc>
        <w:tc>
          <w:tcPr>
            <w:tcW w:w="3623" w:type="pct"/>
            <w:tcBorders>
              <w:top w:val="outset" w:sz="6" w:space="0" w:color="414142"/>
              <w:left w:val="outset" w:sz="6" w:space="0" w:color="414142"/>
              <w:bottom w:val="outset" w:sz="6" w:space="0" w:color="414142"/>
            </w:tcBorders>
          </w:tcPr>
          <w:p w14:paraId="1A784737" w14:textId="42789BC4" w:rsidR="004C467A" w:rsidRPr="00422E3B" w:rsidRDefault="003A1D86" w:rsidP="004C467A">
            <w:pPr>
              <w:pStyle w:val="Bezatstarpm"/>
              <w:jc w:val="both"/>
              <w:rPr>
                <w:rFonts w:ascii="Times New Roman" w:hAnsi="Times New Roman"/>
                <w:sz w:val="24"/>
                <w:szCs w:val="24"/>
                <w:lang w:eastAsia="lv-LV"/>
              </w:rPr>
            </w:pPr>
            <w:r w:rsidRPr="00422E3B">
              <w:rPr>
                <w:rFonts w:ascii="Times New Roman" w:hAnsi="Times New Roman"/>
                <w:sz w:val="24"/>
                <w:szCs w:val="24"/>
                <w:lang w:eastAsia="lv-LV"/>
              </w:rPr>
              <w:t>Noteikumu projekta izstrādes gaitā notikušas konsultācijas starp priekšlikumus iesniegušajām pašvaldībām un institūtu.</w:t>
            </w:r>
            <w:r w:rsidR="004C467A" w:rsidRPr="00422E3B">
              <w:rPr>
                <w:rFonts w:ascii="Times New Roman" w:hAnsi="Times New Roman"/>
                <w:sz w:val="24"/>
                <w:szCs w:val="24"/>
                <w:lang w:eastAsia="lv-LV"/>
              </w:rPr>
              <w:t xml:space="preserve"> Salacgrīvas novada, Ventspils novada un Rīgas pilsētas pašvaldības pieņēma zināšanai</w:t>
            </w:r>
            <w:r w:rsidR="004C467A" w:rsidRPr="00422E3B">
              <w:t xml:space="preserve"> </w:t>
            </w:r>
            <w:r w:rsidR="004D4EBE" w:rsidRPr="00422E3B">
              <w:rPr>
                <w:rFonts w:ascii="Times New Roman" w:hAnsi="Times New Roman"/>
                <w:sz w:val="24"/>
                <w:szCs w:val="24"/>
              </w:rPr>
              <w:t>tām paredzētās</w:t>
            </w:r>
            <w:r w:rsidR="004D4EBE" w:rsidRPr="00422E3B">
              <w:t xml:space="preserve"> </w:t>
            </w:r>
            <w:r w:rsidR="004C467A" w:rsidRPr="00422E3B">
              <w:rPr>
                <w:rFonts w:ascii="Times New Roman" w:hAnsi="Times New Roman"/>
                <w:sz w:val="24"/>
                <w:szCs w:val="24"/>
                <w:lang w:eastAsia="lv-LV"/>
              </w:rPr>
              <w:t>zvejas limitu izmaiņas.</w:t>
            </w:r>
          </w:p>
          <w:p w14:paraId="1D8185B1" w14:textId="1350C155" w:rsidR="00FC22CA" w:rsidRPr="00422E3B" w:rsidRDefault="00FC22CA" w:rsidP="004C467A">
            <w:pPr>
              <w:pStyle w:val="Bezatstarpm"/>
              <w:jc w:val="both"/>
              <w:rPr>
                <w:rFonts w:ascii="Times New Roman" w:hAnsi="Times New Roman"/>
                <w:sz w:val="24"/>
                <w:szCs w:val="24"/>
              </w:rPr>
            </w:pPr>
            <w:r w:rsidRPr="00422E3B">
              <w:rPr>
                <w:rFonts w:ascii="Times New Roman" w:hAnsi="Times New Roman"/>
                <w:sz w:val="24"/>
                <w:szCs w:val="24"/>
                <w:lang w:eastAsia="lv-LV"/>
              </w:rPr>
              <w:lastRenderedPageBreak/>
              <w:t>2017.</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gada 19.</w:t>
            </w:r>
            <w:r w:rsidR="004D2340" w:rsidRPr="00422E3B">
              <w:rPr>
                <w:rFonts w:ascii="Times New Roman" w:hAnsi="Times New Roman"/>
                <w:sz w:val="24"/>
                <w:szCs w:val="24"/>
                <w:lang w:eastAsia="lv-LV"/>
              </w:rPr>
              <w:t xml:space="preserve"> </w:t>
            </w:r>
            <w:r w:rsidRPr="00422E3B">
              <w:rPr>
                <w:rFonts w:ascii="Times New Roman" w:hAnsi="Times New Roman"/>
                <w:sz w:val="24"/>
                <w:szCs w:val="24"/>
                <w:lang w:eastAsia="lv-LV"/>
              </w:rPr>
              <w:t xml:space="preserve">aprīlī biedrības “Latvijas Pašvaldību savienība” rīkotajā videokonferencē tika atbalstīts institūta un </w:t>
            </w:r>
            <w:r w:rsidR="00332A63" w:rsidRPr="00422E3B">
              <w:rPr>
                <w:rFonts w:ascii="Times New Roman" w:hAnsi="Times New Roman"/>
                <w:sz w:val="24"/>
                <w:szCs w:val="24"/>
                <w:lang w:eastAsia="lv-LV"/>
              </w:rPr>
              <w:t xml:space="preserve">ZM </w:t>
            </w:r>
            <w:r w:rsidRPr="00422E3B">
              <w:rPr>
                <w:rFonts w:ascii="Times New Roman" w:hAnsi="Times New Roman"/>
                <w:sz w:val="24"/>
                <w:szCs w:val="24"/>
                <w:lang w:eastAsia="lv-LV"/>
              </w:rPr>
              <w:t>piedāvātais risinājums</w:t>
            </w:r>
            <w:r w:rsidRPr="00422E3B">
              <w:t xml:space="preserve"> </w:t>
            </w:r>
            <w:r w:rsidRPr="00422E3B">
              <w:rPr>
                <w:rFonts w:ascii="Times New Roman" w:hAnsi="Times New Roman"/>
                <w:sz w:val="24"/>
                <w:szCs w:val="24"/>
                <w:lang w:eastAsia="lv-LV"/>
              </w:rPr>
              <w:t>mencu zvejas iespēju izmantošanas pilnveidošanai piekrastes ūdeņos.</w:t>
            </w:r>
          </w:p>
        </w:tc>
      </w:tr>
      <w:tr w:rsidR="00422E3B" w:rsidRPr="00422E3B" w14:paraId="7BCAEE35" w14:textId="77777777" w:rsidTr="00A905D9">
        <w:trPr>
          <w:trHeight w:val="20"/>
          <w:jc w:val="center"/>
        </w:trPr>
        <w:tc>
          <w:tcPr>
            <w:tcW w:w="371" w:type="pct"/>
            <w:tcBorders>
              <w:top w:val="outset" w:sz="6" w:space="0" w:color="414142"/>
              <w:bottom w:val="outset" w:sz="6" w:space="0" w:color="414142"/>
              <w:right w:val="outset" w:sz="6" w:space="0" w:color="414142"/>
            </w:tcBorders>
          </w:tcPr>
          <w:p w14:paraId="52B6C3F4" w14:textId="77777777" w:rsidR="00E52AAB" w:rsidRPr="00422E3B" w:rsidRDefault="00E52AAB" w:rsidP="00422CA6">
            <w:pPr>
              <w:spacing w:after="0" w:line="240" w:lineRule="auto"/>
              <w:jc w:val="center"/>
              <w:rPr>
                <w:rFonts w:ascii="Times New Roman" w:hAnsi="Times New Roman"/>
                <w:lang w:eastAsia="lv-LV"/>
              </w:rPr>
            </w:pPr>
            <w:r w:rsidRPr="00422E3B">
              <w:rPr>
                <w:rFonts w:ascii="Times New Roman" w:hAnsi="Times New Roman"/>
                <w:lang w:eastAsia="lv-LV"/>
              </w:rPr>
              <w:lastRenderedPageBreak/>
              <w:t>3.</w:t>
            </w:r>
          </w:p>
        </w:tc>
        <w:tc>
          <w:tcPr>
            <w:tcW w:w="1006" w:type="pct"/>
            <w:tcBorders>
              <w:top w:val="outset" w:sz="6" w:space="0" w:color="414142"/>
              <w:left w:val="outset" w:sz="6" w:space="0" w:color="414142"/>
              <w:bottom w:val="outset" w:sz="6" w:space="0" w:color="414142"/>
              <w:right w:val="outset" w:sz="6" w:space="0" w:color="414142"/>
            </w:tcBorders>
          </w:tcPr>
          <w:p w14:paraId="4888375D" w14:textId="77777777" w:rsidR="00E52AAB" w:rsidRPr="00422E3B" w:rsidRDefault="00E52AAB" w:rsidP="00422CA6">
            <w:pPr>
              <w:spacing w:after="0" w:line="240" w:lineRule="auto"/>
              <w:rPr>
                <w:rFonts w:ascii="Times New Roman" w:hAnsi="Times New Roman"/>
                <w:lang w:eastAsia="lv-LV"/>
              </w:rPr>
            </w:pPr>
            <w:r w:rsidRPr="00422E3B">
              <w:rPr>
                <w:rFonts w:ascii="Times New Roman" w:hAnsi="Times New Roman"/>
                <w:lang w:eastAsia="lv-LV"/>
              </w:rPr>
              <w:t>Sabiedrības līdzdalības rezultāti</w:t>
            </w:r>
          </w:p>
        </w:tc>
        <w:tc>
          <w:tcPr>
            <w:tcW w:w="3623" w:type="pct"/>
            <w:tcBorders>
              <w:top w:val="outset" w:sz="6" w:space="0" w:color="414142"/>
              <w:left w:val="outset" w:sz="6" w:space="0" w:color="414142"/>
              <w:bottom w:val="outset" w:sz="6" w:space="0" w:color="414142"/>
            </w:tcBorders>
          </w:tcPr>
          <w:p w14:paraId="2CC0CED1" w14:textId="14C707DA" w:rsidR="003103AD" w:rsidRPr="00422E3B" w:rsidRDefault="00DB0F7A" w:rsidP="004C467A">
            <w:pPr>
              <w:pStyle w:val="Bezatstarpm"/>
              <w:jc w:val="both"/>
              <w:rPr>
                <w:rFonts w:ascii="Times New Roman" w:hAnsi="Times New Roman"/>
                <w:sz w:val="24"/>
                <w:szCs w:val="24"/>
              </w:rPr>
            </w:pPr>
            <w:r w:rsidRPr="00422E3B">
              <w:rPr>
                <w:rFonts w:ascii="Times New Roman" w:hAnsi="Times New Roman"/>
                <w:sz w:val="24"/>
                <w:szCs w:val="24"/>
              </w:rPr>
              <w:t>Pašvaldību</w:t>
            </w:r>
            <w:r w:rsidR="00A761CC" w:rsidRPr="00422E3B">
              <w:rPr>
                <w:rFonts w:ascii="Times New Roman" w:hAnsi="Times New Roman"/>
                <w:sz w:val="24"/>
                <w:szCs w:val="24"/>
              </w:rPr>
              <w:t xml:space="preserve"> priekšlikumi</w:t>
            </w:r>
            <w:r w:rsidR="004C467A" w:rsidRPr="00422E3B">
              <w:rPr>
                <w:rFonts w:ascii="Times New Roman" w:hAnsi="Times New Roman"/>
                <w:sz w:val="24"/>
                <w:szCs w:val="24"/>
              </w:rPr>
              <w:t>,</w:t>
            </w:r>
            <w:r w:rsidR="00A761CC" w:rsidRPr="00422E3B">
              <w:rPr>
                <w:rFonts w:ascii="Times New Roman" w:hAnsi="Times New Roman"/>
                <w:sz w:val="24"/>
                <w:szCs w:val="24"/>
              </w:rPr>
              <w:t xml:space="preserve"> </w:t>
            </w:r>
            <w:r w:rsidR="004C467A" w:rsidRPr="00422E3B">
              <w:rPr>
                <w:rFonts w:ascii="Times New Roman" w:hAnsi="Times New Roman"/>
                <w:sz w:val="24"/>
                <w:szCs w:val="24"/>
              </w:rPr>
              <w:t xml:space="preserve">institūtam BIOR tos </w:t>
            </w:r>
            <w:r w:rsidRPr="00422E3B">
              <w:rPr>
                <w:rFonts w:ascii="Times New Roman" w:hAnsi="Times New Roman"/>
                <w:sz w:val="24"/>
                <w:szCs w:val="24"/>
              </w:rPr>
              <w:t>izvērtējot</w:t>
            </w:r>
            <w:r w:rsidR="004C467A" w:rsidRPr="00422E3B">
              <w:rPr>
                <w:rFonts w:ascii="Times New Roman" w:hAnsi="Times New Roman"/>
                <w:sz w:val="24"/>
                <w:szCs w:val="24"/>
              </w:rPr>
              <w:t>,</w:t>
            </w:r>
            <w:r w:rsidRPr="00422E3B">
              <w:rPr>
                <w:rFonts w:ascii="Times New Roman" w:hAnsi="Times New Roman"/>
                <w:sz w:val="24"/>
                <w:szCs w:val="24"/>
              </w:rPr>
              <w:t xml:space="preserve"> ņemti vērā</w:t>
            </w:r>
            <w:r w:rsidR="00A761CC" w:rsidRPr="00422E3B">
              <w:rPr>
                <w:rFonts w:ascii="Times New Roman" w:hAnsi="Times New Roman"/>
                <w:sz w:val="24"/>
                <w:szCs w:val="24"/>
              </w:rPr>
              <w:t>.</w:t>
            </w:r>
            <w:r w:rsidR="004C467A" w:rsidRPr="00422E3B">
              <w:rPr>
                <w:rFonts w:ascii="Times New Roman" w:hAnsi="Times New Roman"/>
                <w:sz w:val="24"/>
                <w:szCs w:val="24"/>
              </w:rPr>
              <w:t xml:space="preserve"> Par ZM sagatavoto noteikumu projektu sabiedriskās apspriešanas laikā, tīmekļa vietnē </w:t>
            </w:r>
            <w:proofErr w:type="spellStart"/>
            <w:r w:rsidR="004C467A" w:rsidRPr="00422E3B">
              <w:rPr>
                <w:rFonts w:ascii="Times New Roman" w:hAnsi="Times New Roman"/>
                <w:sz w:val="24"/>
                <w:szCs w:val="24"/>
              </w:rPr>
              <w:t>www.zm.gov.lv</w:t>
            </w:r>
            <w:proofErr w:type="spellEnd"/>
            <w:r w:rsidR="004C467A" w:rsidRPr="00422E3B">
              <w:rPr>
                <w:rFonts w:ascii="Times New Roman" w:hAnsi="Times New Roman"/>
                <w:sz w:val="24"/>
                <w:szCs w:val="24"/>
              </w:rPr>
              <w:t xml:space="preserve"> no 2017. gada 10. līdz 18. augustam, priekšlikumi vai iebildumi netika saņemti.</w:t>
            </w:r>
          </w:p>
        </w:tc>
      </w:tr>
      <w:tr w:rsidR="00E52AAB" w:rsidRPr="00422E3B" w14:paraId="0591724D" w14:textId="77777777" w:rsidTr="00A905D9">
        <w:trPr>
          <w:trHeight w:val="20"/>
          <w:jc w:val="center"/>
        </w:trPr>
        <w:tc>
          <w:tcPr>
            <w:tcW w:w="371" w:type="pct"/>
            <w:tcBorders>
              <w:top w:val="outset" w:sz="6" w:space="0" w:color="414142"/>
              <w:bottom w:val="outset" w:sz="6" w:space="0" w:color="414142"/>
              <w:right w:val="outset" w:sz="6" w:space="0" w:color="414142"/>
            </w:tcBorders>
          </w:tcPr>
          <w:p w14:paraId="33214FA1" w14:textId="77777777" w:rsidR="00E52AAB" w:rsidRPr="00422E3B" w:rsidRDefault="00E52AAB" w:rsidP="00422CA6">
            <w:pPr>
              <w:spacing w:after="0" w:line="240" w:lineRule="auto"/>
              <w:jc w:val="center"/>
              <w:rPr>
                <w:rFonts w:ascii="Times New Roman" w:hAnsi="Times New Roman"/>
                <w:lang w:eastAsia="lv-LV"/>
              </w:rPr>
            </w:pPr>
            <w:r w:rsidRPr="00422E3B">
              <w:rPr>
                <w:rFonts w:ascii="Times New Roman" w:hAnsi="Times New Roman"/>
                <w:lang w:eastAsia="lv-LV"/>
              </w:rPr>
              <w:t>4.</w:t>
            </w:r>
          </w:p>
        </w:tc>
        <w:tc>
          <w:tcPr>
            <w:tcW w:w="1006" w:type="pct"/>
            <w:tcBorders>
              <w:top w:val="outset" w:sz="6" w:space="0" w:color="414142"/>
              <w:left w:val="outset" w:sz="6" w:space="0" w:color="414142"/>
              <w:bottom w:val="outset" w:sz="6" w:space="0" w:color="414142"/>
              <w:right w:val="outset" w:sz="6" w:space="0" w:color="414142"/>
            </w:tcBorders>
          </w:tcPr>
          <w:p w14:paraId="1FF8AE61" w14:textId="77777777" w:rsidR="00E52AAB" w:rsidRPr="00422E3B" w:rsidRDefault="00E52AAB" w:rsidP="00422CA6">
            <w:pPr>
              <w:spacing w:after="0" w:line="240" w:lineRule="auto"/>
              <w:rPr>
                <w:rFonts w:ascii="Times New Roman" w:hAnsi="Times New Roman"/>
                <w:lang w:eastAsia="lv-LV"/>
              </w:rPr>
            </w:pPr>
            <w:r w:rsidRPr="00422E3B">
              <w:rPr>
                <w:rFonts w:ascii="Times New Roman" w:hAnsi="Times New Roman"/>
                <w:lang w:eastAsia="lv-LV"/>
              </w:rPr>
              <w:t>Cita informācija</w:t>
            </w:r>
          </w:p>
        </w:tc>
        <w:tc>
          <w:tcPr>
            <w:tcW w:w="3623" w:type="pct"/>
            <w:tcBorders>
              <w:top w:val="outset" w:sz="6" w:space="0" w:color="414142"/>
              <w:left w:val="outset" w:sz="6" w:space="0" w:color="414142"/>
              <w:bottom w:val="outset" w:sz="6" w:space="0" w:color="414142"/>
            </w:tcBorders>
          </w:tcPr>
          <w:p w14:paraId="22467F61" w14:textId="4F70E0A2" w:rsidR="00E52AAB" w:rsidRPr="00422E3B" w:rsidRDefault="00E52AAB" w:rsidP="00422CA6">
            <w:pPr>
              <w:spacing w:after="0" w:line="240" w:lineRule="auto"/>
              <w:ind w:left="49"/>
              <w:rPr>
                <w:rFonts w:ascii="Times New Roman" w:hAnsi="Times New Roman"/>
                <w:sz w:val="24"/>
                <w:szCs w:val="24"/>
                <w:lang w:eastAsia="lv-LV"/>
              </w:rPr>
            </w:pPr>
            <w:r w:rsidRPr="00422E3B">
              <w:rPr>
                <w:rFonts w:ascii="Times New Roman" w:hAnsi="Times New Roman"/>
                <w:sz w:val="24"/>
                <w:szCs w:val="24"/>
                <w:lang w:eastAsia="lv-LV"/>
              </w:rPr>
              <w:t>Nav</w:t>
            </w:r>
            <w:r w:rsidR="006C497D" w:rsidRPr="00422E3B">
              <w:rPr>
                <w:rFonts w:ascii="Times New Roman" w:hAnsi="Times New Roman"/>
                <w:sz w:val="24"/>
                <w:szCs w:val="24"/>
                <w:lang w:eastAsia="lv-LV"/>
              </w:rPr>
              <w:t>.</w:t>
            </w:r>
          </w:p>
        </w:tc>
      </w:tr>
    </w:tbl>
    <w:p w14:paraId="1696912E" w14:textId="77777777" w:rsidR="0006481D" w:rsidRPr="00422E3B" w:rsidRDefault="0006481D" w:rsidP="00422CA6">
      <w:pPr>
        <w:spacing w:after="0" w:line="240" w:lineRule="auto"/>
        <w:rPr>
          <w:rFonts w:ascii="Times New Roman" w:hAnsi="Times New Roman"/>
          <w:sz w:val="24"/>
          <w:szCs w:val="24"/>
        </w:rPr>
      </w:pP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789"/>
        <w:gridCol w:w="6125"/>
      </w:tblGrid>
      <w:tr w:rsidR="00422E3B" w:rsidRPr="00422E3B" w14:paraId="4C360B09" w14:textId="77777777" w:rsidTr="004D4EBE">
        <w:trPr>
          <w:trHeight w:val="20"/>
          <w:jc w:val="center"/>
        </w:trPr>
        <w:tc>
          <w:tcPr>
            <w:tcW w:w="5000" w:type="pct"/>
            <w:gridSpan w:val="3"/>
            <w:tcBorders>
              <w:top w:val="outset" w:sz="6" w:space="0" w:color="414142"/>
              <w:bottom w:val="outset" w:sz="6" w:space="0" w:color="414142"/>
            </w:tcBorders>
            <w:vAlign w:val="center"/>
          </w:tcPr>
          <w:p w14:paraId="6898E27F" w14:textId="77777777" w:rsidR="00741EA2" w:rsidRPr="00422E3B" w:rsidRDefault="00741EA2" w:rsidP="00EB4ACA">
            <w:pPr>
              <w:spacing w:after="0" w:line="240" w:lineRule="auto"/>
              <w:ind w:firstLine="300"/>
              <w:jc w:val="center"/>
              <w:rPr>
                <w:rFonts w:ascii="Times New Roman" w:hAnsi="Times New Roman"/>
                <w:b/>
                <w:bCs/>
                <w:sz w:val="24"/>
                <w:szCs w:val="24"/>
                <w:lang w:eastAsia="lv-LV"/>
              </w:rPr>
            </w:pPr>
            <w:r w:rsidRPr="00422E3B">
              <w:rPr>
                <w:rFonts w:ascii="Times New Roman" w:hAnsi="Times New Roman"/>
                <w:b/>
                <w:bCs/>
                <w:sz w:val="24"/>
                <w:szCs w:val="24"/>
                <w:lang w:eastAsia="lv-LV"/>
              </w:rPr>
              <w:t>VII. Tiesību akta projekta izpildes nodrošināšana un tās ietekme uz institūcijām</w:t>
            </w:r>
          </w:p>
        </w:tc>
      </w:tr>
      <w:tr w:rsidR="00422E3B" w:rsidRPr="00422E3B" w14:paraId="3151B50B" w14:textId="77777777" w:rsidTr="004D4EBE">
        <w:trPr>
          <w:trHeight w:val="20"/>
          <w:jc w:val="center"/>
        </w:trPr>
        <w:tc>
          <w:tcPr>
            <w:tcW w:w="372" w:type="pct"/>
            <w:tcBorders>
              <w:top w:val="outset" w:sz="6" w:space="0" w:color="414142"/>
              <w:bottom w:val="outset" w:sz="6" w:space="0" w:color="414142"/>
              <w:right w:val="outset" w:sz="6" w:space="0" w:color="414142"/>
            </w:tcBorders>
            <w:vAlign w:val="center"/>
          </w:tcPr>
          <w:p w14:paraId="50523D7F" w14:textId="77777777" w:rsidR="00741EA2" w:rsidRPr="00422E3B" w:rsidRDefault="00741EA2" w:rsidP="00EB4ACA">
            <w:pPr>
              <w:spacing w:after="0" w:line="240" w:lineRule="auto"/>
              <w:jc w:val="center"/>
              <w:rPr>
                <w:rFonts w:ascii="Times New Roman" w:hAnsi="Times New Roman"/>
                <w:lang w:eastAsia="lv-LV"/>
              </w:rPr>
            </w:pPr>
            <w:r w:rsidRPr="00422E3B">
              <w:rPr>
                <w:rFonts w:ascii="Times New Roman" w:hAnsi="Times New Roman"/>
                <w:lang w:eastAsia="lv-LV"/>
              </w:rPr>
              <w:t>1.</w:t>
            </w:r>
          </w:p>
        </w:tc>
        <w:tc>
          <w:tcPr>
            <w:tcW w:w="1448" w:type="pct"/>
            <w:tcBorders>
              <w:top w:val="outset" w:sz="6" w:space="0" w:color="414142"/>
              <w:left w:val="outset" w:sz="6" w:space="0" w:color="414142"/>
              <w:bottom w:val="outset" w:sz="6" w:space="0" w:color="414142"/>
              <w:right w:val="outset" w:sz="6" w:space="0" w:color="414142"/>
            </w:tcBorders>
          </w:tcPr>
          <w:p w14:paraId="7E0E1A2F" w14:textId="77777777" w:rsidR="00741EA2" w:rsidRPr="00422E3B" w:rsidRDefault="00741EA2" w:rsidP="00EB4ACA">
            <w:pPr>
              <w:spacing w:after="0" w:line="240" w:lineRule="auto"/>
              <w:rPr>
                <w:rFonts w:ascii="Times New Roman" w:hAnsi="Times New Roman"/>
                <w:lang w:eastAsia="lv-LV"/>
              </w:rPr>
            </w:pPr>
            <w:r w:rsidRPr="00422E3B">
              <w:rPr>
                <w:rFonts w:ascii="Times New Roman" w:hAnsi="Times New Roman"/>
                <w:lang w:eastAsia="lv-LV"/>
              </w:rPr>
              <w:t>Projekta izpildē iesaistītās institūcijas</w:t>
            </w:r>
          </w:p>
        </w:tc>
        <w:tc>
          <w:tcPr>
            <w:tcW w:w="3179" w:type="pct"/>
            <w:tcBorders>
              <w:top w:val="outset" w:sz="6" w:space="0" w:color="414142"/>
              <w:left w:val="outset" w:sz="6" w:space="0" w:color="414142"/>
              <w:bottom w:val="outset" w:sz="6" w:space="0" w:color="414142"/>
            </w:tcBorders>
          </w:tcPr>
          <w:p w14:paraId="7E0F703C" w14:textId="5583DBED" w:rsidR="00741EA2" w:rsidRPr="00422E3B" w:rsidRDefault="00741EA2" w:rsidP="00FF0EAE">
            <w:pPr>
              <w:spacing w:after="0" w:line="240" w:lineRule="auto"/>
              <w:jc w:val="both"/>
              <w:rPr>
                <w:rFonts w:ascii="Times New Roman" w:hAnsi="Times New Roman"/>
                <w:sz w:val="24"/>
                <w:szCs w:val="24"/>
                <w:lang w:eastAsia="lv-LV"/>
              </w:rPr>
            </w:pPr>
            <w:r w:rsidRPr="00422E3B">
              <w:rPr>
                <w:rFonts w:ascii="Times New Roman" w:hAnsi="Times New Roman"/>
                <w:sz w:val="24"/>
                <w:szCs w:val="24"/>
              </w:rPr>
              <w:t>Novadu un pilsētu pašvaldības, kuru administratīvajās teritorijās atrodas iekšējie ūdeņi</w:t>
            </w:r>
            <w:r w:rsidR="0088649B" w:rsidRPr="00422E3B">
              <w:rPr>
                <w:rFonts w:ascii="Times New Roman" w:hAnsi="Times New Roman"/>
                <w:sz w:val="24"/>
                <w:szCs w:val="24"/>
              </w:rPr>
              <w:t xml:space="preserve">, </w:t>
            </w:r>
            <w:r w:rsidR="001D41F9" w:rsidRPr="00422E3B">
              <w:rPr>
                <w:rFonts w:ascii="Times New Roman" w:hAnsi="Times New Roman"/>
                <w:sz w:val="24"/>
                <w:szCs w:val="24"/>
              </w:rPr>
              <w:t xml:space="preserve">un </w:t>
            </w:r>
            <w:r w:rsidR="0088649B" w:rsidRPr="00422E3B">
              <w:rPr>
                <w:rFonts w:ascii="Times New Roman" w:hAnsi="Times New Roman"/>
                <w:sz w:val="24"/>
                <w:szCs w:val="24"/>
              </w:rPr>
              <w:t>Valsts vides dienests</w:t>
            </w:r>
          </w:p>
        </w:tc>
      </w:tr>
      <w:tr w:rsidR="00422E3B" w:rsidRPr="00422E3B" w14:paraId="61EF7394" w14:textId="77777777" w:rsidTr="004D4EBE">
        <w:trPr>
          <w:trHeight w:val="20"/>
          <w:jc w:val="center"/>
        </w:trPr>
        <w:tc>
          <w:tcPr>
            <w:tcW w:w="372" w:type="pct"/>
            <w:tcBorders>
              <w:top w:val="outset" w:sz="6" w:space="0" w:color="414142"/>
              <w:bottom w:val="outset" w:sz="6" w:space="0" w:color="414142"/>
              <w:right w:val="outset" w:sz="6" w:space="0" w:color="414142"/>
            </w:tcBorders>
            <w:vAlign w:val="center"/>
          </w:tcPr>
          <w:p w14:paraId="269B3B98" w14:textId="77777777" w:rsidR="00741EA2" w:rsidRPr="00422E3B" w:rsidRDefault="00741EA2" w:rsidP="00EB4ACA">
            <w:pPr>
              <w:spacing w:after="0" w:line="240" w:lineRule="auto"/>
              <w:jc w:val="center"/>
              <w:rPr>
                <w:rFonts w:ascii="Times New Roman" w:hAnsi="Times New Roman"/>
                <w:lang w:eastAsia="lv-LV"/>
              </w:rPr>
            </w:pPr>
            <w:r w:rsidRPr="00422E3B">
              <w:rPr>
                <w:rFonts w:ascii="Times New Roman" w:hAnsi="Times New Roman"/>
                <w:lang w:eastAsia="lv-LV"/>
              </w:rPr>
              <w:t>2.</w:t>
            </w:r>
          </w:p>
        </w:tc>
        <w:tc>
          <w:tcPr>
            <w:tcW w:w="1448" w:type="pct"/>
            <w:tcBorders>
              <w:top w:val="outset" w:sz="6" w:space="0" w:color="414142"/>
              <w:left w:val="outset" w:sz="6" w:space="0" w:color="414142"/>
              <w:bottom w:val="outset" w:sz="6" w:space="0" w:color="414142"/>
              <w:right w:val="outset" w:sz="6" w:space="0" w:color="414142"/>
            </w:tcBorders>
          </w:tcPr>
          <w:p w14:paraId="2C49EC78" w14:textId="77777777" w:rsidR="00741EA2" w:rsidRPr="00422E3B" w:rsidRDefault="00741EA2" w:rsidP="00EB4ACA">
            <w:pPr>
              <w:spacing w:after="0" w:line="240" w:lineRule="auto"/>
              <w:rPr>
                <w:rFonts w:ascii="Times New Roman" w:hAnsi="Times New Roman"/>
                <w:lang w:eastAsia="lv-LV"/>
              </w:rPr>
            </w:pPr>
            <w:r w:rsidRPr="00422E3B">
              <w:rPr>
                <w:rFonts w:ascii="Times New Roman" w:hAnsi="Times New Roman"/>
                <w:lang w:eastAsia="lv-LV"/>
              </w:rPr>
              <w:t xml:space="preserve">Projekta izpildes ietekme uz pārvaldes funkcijām un institucionālo struktūru. </w:t>
            </w:r>
          </w:p>
          <w:p w14:paraId="2B017E8D" w14:textId="77777777" w:rsidR="00741EA2" w:rsidRPr="00422E3B" w:rsidRDefault="00741EA2" w:rsidP="00EB4ACA">
            <w:pPr>
              <w:pStyle w:val="Bezatstarpm"/>
              <w:rPr>
                <w:rFonts w:ascii="Times New Roman" w:hAnsi="Times New Roman"/>
                <w:lang w:eastAsia="lv-LV"/>
              </w:rPr>
            </w:pPr>
            <w:r w:rsidRPr="00422E3B">
              <w:rPr>
                <w:rFonts w:ascii="Times New Roman" w:hAnsi="Times New Roman"/>
                <w:lang w:eastAsia="lv-LV"/>
              </w:rPr>
              <w:t>Jaunu institūciju izveide, esošu institūciju likvidācija vai reorganizācija, to ietekme uz institūcijas cilvēkresursiem</w:t>
            </w:r>
          </w:p>
        </w:tc>
        <w:tc>
          <w:tcPr>
            <w:tcW w:w="3179" w:type="pct"/>
            <w:tcBorders>
              <w:top w:val="outset" w:sz="6" w:space="0" w:color="414142"/>
              <w:left w:val="outset" w:sz="6" w:space="0" w:color="414142"/>
              <w:bottom w:val="outset" w:sz="6" w:space="0" w:color="414142"/>
            </w:tcBorders>
          </w:tcPr>
          <w:p w14:paraId="7360C195" w14:textId="77777777" w:rsidR="00741EA2" w:rsidRPr="00422E3B" w:rsidRDefault="00741EA2" w:rsidP="00FF0EAE">
            <w:pPr>
              <w:pStyle w:val="Bezatstarpm"/>
              <w:jc w:val="both"/>
              <w:rPr>
                <w:rFonts w:ascii="Times New Roman" w:hAnsi="Times New Roman"/>
                <w:sz w:val="24"/>
                <w:szCs w:val="24"/>
                <w:lang w:eastAsia="lv-LV"/>
              </w:rPr>
            </w:pPr>
            <w:r w:rsidRPr="00422E3B">
              <w:rPr>
                <w:rFonts w:ascii="Times New Roman" w:hAnsi="Times New Roman"/>
                <w:sz w:val="24"/>
                <w:szCs w:val="24"/>
              </w:rPr>
              <w:t>Jaunas institūcijas nav paredzēts veidot, un nav paredzēta arī esošo institūciju reorganizācija.</w:t>
            </w:r>
          </w:p>
        </w:tc>
      </w:tr>
      <w:tr w:rsidR="00741EA2" w:rsidRPr="00422E3B" w14:paraId="02AE955E" w14:textId="77777777" w:rsidTr="004D4EBE">
        <w:trPr>
          <w:trHeight w:val="20"/>
          <w:jc w:val="center"/>
        </w:trPr>
        <w:tc>
          <w:tcPr>
            <w:tcW w:w="372" w:type="pct"/>
            <w:tcBorders>
              <w:top w:val="outset" w:sz="6" w:space="0" w:color="414142"/>
              <w:bottom w:val="outset" w:sz="6" w:space="0" w:color="414142"/>
              <w:right w:val="outset" w:sz="6" w:space="0" w:color="414142"/>
            </w:tcBorders>
            <w:vAlign w:val="center"/>
          </w:tcPr>
          <w:p w14:paraId="3A31D7BF" w14:textId="77777777" w:rsidR="00741EA2" w:rsidRPr="00422E3B" w:rsidRDefault="00741EA2" w:rsidP="00EB4ACA">
            <w:pPr>
              <w:spacing w:after="0" w:line="240" w:lineRule="auto"/>
              <w:jc w:val="center"/>
              <w:rPr>
                <w:rFonts w:ascii="Times New Roman" w:hAnsi="Times New Roman"/>
                <w:lang w:eastAsia="lv-LV"/>
              </w:rPr>
            </w:pPr>
            <w:r w:rsidRPr="00422E3B">
              <w:rPr>
                <w:rFonts w:ascii="Times New Roman" w:hAnsi="Times New Roman"/>
                <w:lang w:eastAsia="lv-LV"/>
              </w:rPr>
              <w:t>3.</w:t>
            </w:r>
          </w:p>
        </w:tc>
        <w:tc>
          <w:tcPr>
            <w:tcW w:w="1448" w:type="pct"/>
            <w:tcBorders>
              <w:top w:val="outset" w:sz="6" w:space="0" w:color="414142"/>
              <w:left w:val="outset" w:sz="6" w:space="0" w:color="414142"/>
              <w:bottom w:val="outset" w:sz="6" w:space="0" w:color="414142"/>
              <w:right w:val="outset" w:sz="6" w:space="0" w:color="414142"/>
            </w:tcBorders>
          </w:tcPr>
          <w:p w14:paraId="252E9234" w14:textId="77777777" w:rsidR="00741EA2" w:rsidRPr="00422E3B" w:rsidRDefault="00741EA2" w:rsidP="00EB4ACA">
            <w:pPr>
              <w:spacing w:after="0" w:line="240" w:lineRule="auto"/>
              <w:rPr>
                <w:rFonts w:ascii="Times New Roman" w:hAnsi="Times New Roman"/>
                <w:lang w:eastAsia="lv-LV"/>
              </w:rPr>
            </w:pPr>
            <w:r w:rsidRPr="00422E3B">
              <w:rPr>
                <w:rFonts w:ascii="Times New Roman" w:hAnsi="Times New Roman"/>
                <w:lang w:eastAsia="lv-LV"/>
              </w:rPr>
              <w:t>Cita informācija</w:t>
            </w:r>
          </w:p>
        </w:tc>
        <w:tc>
          <w:tcPr>
            <w:tcW w:w="3179" w:type="pct"/>
            <w:tcBorders>
              <w:top w:val="outset" w:sz="6" w:space="0" w:color="414142"/>
              <w:left w:val="outset" w:sz="6" w:space="0" w:color="414142"/>
              <w:bottom w:val="outset" w:sz="6" w:space="0" w:color="414142"/>
            </w:tcBorders>
          </w:tcPr>
          <w:p w14:paraId="06ABAA3D" w14:textId="77777777" w:rsidR="00741EA2" w:rsidRPr="00422E3B" w:rsidRDefault="00741EA2" w:rsidP="00EB4ACA">
            <w:pPr>
              <w:spacing w:after="0" w:line="240" w:lineRule="auto"/>
              <w:jc w:val="both"/>
              <w:rPr>
                <w:rFonts w:ascii="Times New Roman" w:hAnsi="Times New Roman"/>
                <w:sz w:val="24"/>
                <w:szCs w:val="24"/>
                <w:lang w:eastAsia="lv-LV"/>
              </w:rPr>
            </w:pPr>
            <w:r w:rsidRPr="00422E3B">
              <w:rPr>
                <w:rFonts w:ascii="Times New Roman" w:hAnsi="Times New Roman"/>
                <w:sz w:val="24"/>
                <w:szCs w:val="24"/>
                <w:lang w:eastAsia="lv-LV"/>
              </w:rPr>
              <w:t>Noteikumu projekts tiks ieviests no piešķirtajiem valsts budžeta līdzekļiem.</w:t>
            </w:r>
          </w:p>
        </w:tc>
      </w:tr>
    </w:tbl>
    <w:p w14:paraId="42EF122B" w14:textId="77777777" w:rsidR="00741EA2" w:rsidRPr="00422E3B" w:rsidRDefault="00741EA2" w:rsidP="00422CA6">
      <w:pPr>
        <w:spacing w:after="0" w:line="240" w:lineRule="auto"/>
        <w:rPr>
          <w:rFonts w:ascii="Times New Roman" w:hAnsi="Times New Roman"/>
          <w:sz w:val="24"/>
          <w:szCs w:val="24"/>
        </w:rPr>
      </w:pPr>
    </w:p>
    <w:p w14:paraId="13234FDF" w14:textId="77777777" w:rsidR="0090713E" w:rsidRPr="00422E3B" w:rsidRDefault="0090713E" w:rsidP="0090713E">
      <w:pPr>
        <w:spacing w:after="0" w:line="240" w:lineRule="auto"/>
        <w:ind w:firstLine="720"/>
        <w:rPr>
          <w:rFonts w:ascii="Times New Roman" w:hAnsi="Times New Roman"/>
          <w:sz w:val="28"/>
          <w:szCs w:val="24"/>
        </w:rPr>
      </w:pPr>
    </w:p>
    <w:p w14:paraId="4CBBC9B2" w14:textId="77777777" w:rsidR="0090713E" w:rsidRPr="00422E3B" w:rsidRDefault="0090713E" w:rsidP="0090713E">
      <w:pPr>
        <w:spacing w:after="0" w:line="240" w:lineRule="auto"/>
        <w:ind w:firstLine="720"/>
        <w:rPr>
          <w:rFonts w:ascii="Times New Roman" w:hAnsi="Times New Roman"/>
          <w:sz w:val="28"/>
          <w:szCs w:val="24"/>
        </w:rPr>
      </w:pPr>
    </w:p>
    <w:p w14:paraId="147FDAD0" w14:textId="5B7B85D7" w:rsidR="00E52AAB" w:rsidRPr="00422E3B" w:rsidRDefault="0090713E" w:rsidP="0090713E">
      <w:pPr>
        <w:spacing w:after="0" w:line="240" w:lineRule="auto"/>
        <w:ind w:firstLine="720"/>
        <w:rPr>
          <w:rFonts w:ascii="Times New Roman" w:hAnsi="Times New Roman"/>
          <w:sz w:val="28"/>
          <w:szCs w:val="24"/>
        </w:rPr>
      </w:pPr>
      <w:r w:rsidRPr="00422E3B">
        <w:rPr>
          <w:rFonts w:ascii="Times New Roman" w:hAnsi="Times New Roman"/>
          <w:sz w:val="28"/>
          <w:szCs w:val="24"/>
        </w:rPr>
        <w:t xml:space="preserve">Zemkopības ministrs </w:t>
      </w:r>
      <w:r w:rsidRPr="00422E3B">
        <w:rPr>
          <w:rFonts w:ascii="Times New Roman" w:hAnsi="Times New Roman"/>
          <w:sz w:val="28"/>
          <w:szCs w:val="24"/>
        </w:rPr>
        <w:tab/>
      </w:r>
      <w:r w:rsidRPr="00422E3B">
        <w:rPr>
          <w:rFonts w:ascii="Times New Roman" w:hAnsi="Times New Roman"/>
          <w:sz w:val="28"/>
          <w:szCs w:val="24"/>
        </w:rPr>
        <w:tab/>
      </w:r>
      <w:r w:rsidRPr="00422E3B">
        <w:rPr>
          <w:rFonts w:ascii="Times New Roman" w:hAnsi="Times New Roman"/>
          <w:sz w:val="28"/>
          <w:szCs w:val="24"/>
        </w:rPr>
        <w:tab/>
      </w:r>
      <w:r w:rsidRPr="00422E3B">
        <w:rPr>
          <w:rFonts w:ascii="Times New Roman" w:hAnsi="Times New Roman"/>
          <w:sz w:val="28"/>
          <w:szCs w:val="24"/>
        </w:rPr>
        <w:tab/>
      </w:r>
      <w:r w:rsidR="00E52AAB" w:rsidRPr="00422E3B">
        <w:rPr>
          <w:rFonts w:ascii="Times New Roman" w:hAnsi="Times New Roman"/>
          <w:sz w:val="28"/>
          <w:szCs w:val="24"/>
        </w:rPr>
        <w:tab/>
      </w:r>
      <w:r w:rsidR="00E52AAB" w:rsidRPr="00422E3B">
        <w:rPr>
          <w:rFonts w:ascii="Times New Roman" w:hAnsi="Times New Roman"/>
          <w:sz w:val="28"/>
          <w:szCs w:val="24"/>
        </w:rPr>
        <w:tab/>
        <w:t>J</w:t>
      </w:r>
      <w:r w:rsidR="006A6205" w:rsidRPr="00422E3B">
        <w:rPr>
          <w:rFonts w:ascii="Times New Roman" w:hAnsi="Times New Roman"/>
          <w:sz w:val="28"/>
          <w:szCs w:val="24"/>
        </w:rPr>
        <w:t xml:space="preserve">ānis </w:t>
      </w:r>
      <w:r w:rsidR="00E52AAB" w:rsidRPr="00422E3B">
        <w:rPr>
          <w:rFonts w:ascii="Times New Roman" w:hAnsi="Times New Roman"/>
          <w:sz w:val="28"/>
          <w:szCs w:val="24"/>
        </w:rPr>
        <w:t>Dūklavs</w:t>
      </w:r>
    </w:p>
    <w:p w14:paraId="6680A266" w14:textId="77777777" w:rsidR="004F3557" w:rsidRPr="00422E3B" w:rsidRDefault="004F3557" w:rsidP="0090713E">
      <w:pPr>
        <w:pStyle w:val="Bezatstarpm"/>
        <w:ind w:firstLine="720"/>
        <w:rPr>
          <w:rFonts w:ascii="Times New Roman" w:hAnsi="Times New Roman"/>
          <w:sz w:val="28"/>
          <w:szCs w:val="24"/>
        </w:rPr>
      </w:pPr>
    </w:p>
    <w:p w14:paraId="766D2007" w14:textId="77777777" w:rsidR="00FF0EAE" w:rsidRPr="00422E3B" w:rsidRDefault="00FF0EAE" w:rsidP="0090713E">
      <w:pPr>
        <w:pStyle w:val="Bezatstarpm"/>
        <w:ind w:firstLine="720"/>
        <w:rPr>
          <w:rFonts w:ascii="Times New Roman" w:hAnsi="Times New Roman"/>
          <w:sz w:val="28"/>
          <w:szCs w:val="24"/>
        </w:rPr>
      </w:pPr>
    </w:p>
    <w:p w14:paraId="3070E8C7" w14:textId="6B680DE7" w:rsidR="00782771" w:rsidRPr="00422E3B" w:rsidRDefault="00782771" w:rsidP="0090713E">
      <w:pPr>
        <w:spacing w:after="0" w:line="240" w:lineRule="auto"/>
        <w:ind w:firstLine="720"/>
        <w:rPr>
          <w:rFonts w:ascii="Times New Roman" w:hAnsi="Times New Roman"/>
          <w:sz w:val="28"/>
          <w:szCs w:val="24"/>
        </w:rPr>
      </w:pPr>
      <w:r w:rsidRPr="00422E3B">
        <w:rPr>
          <w:rFonts w:ascii="Times New Roman" w:hAnsi="Times New Roman"/>
          <w:sz w:val="28"/>
          <w:szCs w:val="24"/>
        </w:rPr>
        <w:t>Zemkopības</w:t>
      </w:r>
      <w:r w:rsidR="0090713E" w:rsidRPr="00422E3B">
        <w:rPr>
          <w:rFonts w:ascii="Times New Roman" w:hAnsi="Times New Roman"/>
          <w:sz w:val="28"/>
          <w:szCs w:val="24"/>
        </w:rPr>
        <w:t xml:space="preserve"> ministrijas valsts sekretāre</w:t>
      </w:r>
      <w:r w:rsidR="0090713E" w:rsidRPr="00422E3B">
        <w:rPr>
          <w:rFonts w:ascii="Times New Roman" w:hAnsi="Times New Roman"/>
          <w:sz w:val="28"/>
          <w:szCs w:val="24"/>
        </w:rPr>
        <w:tab/>
      </w:r>
      <w:r w:rsidR="0090713E" w:rsidRPr="00422E3B">
        <w:rPr>
          <w:rFonts w:ascii="Times New Roman" w:hAnsi="Times New Roman"/>
          <w:sz w:val="28"/>
          <w:szCs w:val="24"/>
        </w:rPr>
        <w:tab/>
      </w:r>
      <w:r w:rsidRPr="00422E3B">
        <w:rPr>
          <w:rFonts w:ascii="Times New Roman" w:hAnsi="Times New Roman"/>
          <w:sz w:val="28"/>
          <w:szCs w:val="24"/>
        </w:rPr>
        <w:tab/>
        <w:t>Dace Lucaua</w:t>
      </w:r>
    </w:p>
    <w:p w14:paraId="10BDB2C4" w14:textId="77777777" w:rsidR="00824F00" w:rsidRPr="00422E3B" w:rsidRDefault="00824F00" w:rsidP="0090713E">
      <w:pPr>
        <w:pStyle w:val="Bezatstarpm"/>
        <w:ind w:firstLine="720"/>
        <w:rPr>
          <w:rFonts w:ascii="Times New Roman" w:hAnsi="Times New Roman"/>
          <w:sz w:val="20"/>
          <w:szCs w:val="20"/>
        </w:rPr>
      </w:pPr>
    </w:p>
    <w:p w14:paraId="271D2474" w14:textId="77777777" w:rsidR="001174B5" w:rsidRPr="00422E3B" w:rsidRDefault="001174B5" w:rsidP="00422CA6">
      <w:pPr>
        <w:pStyle w:val="Bezatstarpm"/>
        <w:rPr>
          <w:rFonts w:ascii="Times New Roman" w:hAnsi="Times New Roman"/>
          <w:sz w:val="20"/>
          <w:szCs w:val="20"/>
        </w:rPr>
      </w:pPr>
    </w:p>
    <w:p w14:paraId="5B359E89" w14:textId="77777777" w:rsidR="0090713E" w:rsidRPr="00422E3B" w:rsidRDefault="0090713E" w:rsidP="00422CA6">
      <w:pPr>
        <w:pStyle w:val="Bezatstarpm"/>
        <w:rPr>
          <w:rFonts w:ascii="Times New Roman" w:hAnsi="Times New Roman"/>
          <w:sz w:val="20"/>
          <w:szCs w:val="20"/>
        </w:rPr>
      </w:pPr>
    </w:p>
    <w:p w14:paraId="2284103D" w14:textId="77777777" w:rsidR="00712662" w:rsidRPr="00422E3B" w:rsidRDefault="00712662" w:rsidP="00422CA6">
      <w:pPr>
        <w:pStyle w:val="Bezatstarpm"/>
        <w:rPr>
          <w:rFonts w:ascii="Times New Roman" w:hAnsi="Times New Roman"/>
          <w:sz w:val="20"/>
          <w:szCs w:val="20"/>
        </w:rPr>
      </w:pPr>
    </w:p>
    <w:p w14:paraId="3F6FA709" w14:textId="77777777" w:rsidR="00712662" w:rsidRPr="00422E3B" w:rsidRDefault="00712662" w:rsidP="00422CA6">
      <w:pPr>
        <w:pStyle w:val="Bezatstarpm"/>
        <w:rPr>
          <w:rFonts w:ascii="Times New Roman" w:hAnsi="Times New Roman"/>
          <w:sz w:val="20"/>
          <w:szCs w:val="20"/>
        </w:rPr>
      </w:pPr>
    </w:p>
    <w:p w14:paraId="3967EAEC" w14:textId="77777777" w:rsidR="00712662" w:rsidRDefault="00712662" w:rsidP="00422CA6">
      <w:pPr>
        <w:pStyle w:val="Bezatstarpm"/>
        <w:rPr>
          <w:rFonts w:ascii="Times New Roman" w:hAnsi="Times New Roman"/>
          <w:sz w:val="20"/>
          <w:szCs w:val="20"/>
        </w:rPr>
      </w:pPr>
    </w:p>
    <w:p w14:paraId="3392AA5D" w14:textId="77777777" w:rsidR="009F774E" w:rsidRPr="00422E3B" w:rsidRDefault="009F774E" w:rsidP="00422CA6">
      <w:pPr>
        <w:pStyle w:val="Bezatstarpm"/>
        <w:rPr>
          <w:rFonts w:ascii="Times New Roman" w:hAnsi="Times New Roman"/>
          <w:sz w:val="20"/>
          <w:szCs w:val="20"/>
        </w:rPr>
      </w:pPr>
      <w:bookmarkStart w:id="0" w:name="_GoBack"/>
      <w:bookmarkEnd w:id="0"/>
    </w:p>
    <w:p w14:paraId="240C4365" w14:textId="77777777" w:rsidR="001174B5" w:rsidRPr="009F774E" w:rsidRDefault="001174B5" w:rsidP="00422CA6">
      <w:pPr>
        <w:pStyle w:val="Bezatstarpm"/>
        <w:rPr>
          <w:rFonts w:ascii="Times New Roman" w:hAnsi="Times New Roman"/>
          <w:sz w:val="24"/>
          <w:szCs w:val="24"/>
        </w:rPr>
      </w:pPr>
    </w:p>
    <w:p w14:paraId="643C50BB" w14:textId="62240D0E" w:rsidR="00A964AB" w:rsidRPr="009F774E" w:rsidRDefault="00C45CDC" w:rsidP="00422CA6">
      <w:pPr>
        <w:pStyle w:val="Bezatstarpm"/>
        <w:rPr>
          <w:rFonts w:ascii="Times New Roman" w:hAnsi="Times New Roman"/>
          <w:sz w:val="24"/>
          <w:szCs w:val="24"/>
        </w:rPr>
      </w:pPr>
      <w:r w:rsidRPr="009F774E">
        <w:rPr>
          <w:rFonts w:ascii="Times New Roman" w:hAnsi="Times New Roman"/>
          <w:sz w:val="24"/>
          <w:szCs w:val="24"/>
        </w:rPr>
        <w:t xml:space="preserve">Bārtule </w:t>
      </w:r>
      <w:r w:rsidR="00E52AAB" w:rsidRPr="009F774E">
        <w:rPr>
          <w:rFonts w:ascii="Times New Roman" w:hAnsi="Times New Roman"/>
          <w:sz w:val="24"/>
          <w:szCs w:val="24"/>
        </w:rPr>
        <w:t>67027</w:t>
      </w:r>
      <w:r w:rsidR="00617119" w:rsidRPr="009F774E">
        <w:rPr>
          <w:rFonts w:ascii="Times New Roman" w:hAnsi="Times New Roman"/>
          <w:sz w:val="24"/>
          <w:szCs w:val="24"/>
        </w:rPr>
        <w:t>525</w:t>
      </w:r>
    </w:p>
    <w:p w14:paraId="25E9CA73" w14:textId="76791C7B" w:rsidR="00AF2BB4" w:rsidRPr="009F774E" w:rsidRDefault="009F774E" w:rsidP="00422CA6">
      <w:pPr>
        <w:pStyle w:val="Bezatstarpm"/>
        <w:rPr>
          <w:rFonts w:ascii="Times New Roman" w:hAnsi="Times New Roman"/>
          <w:sz w:val="24"/>
          <w:szCs w:val="24"/>
        </w:rPr>
      </w:pPr>
      <w:hyperlink r:id="rId11" w:history="1">
        <w:r w:rsidR="00C45CDC" w:rsidRPr="009F774E">
          <w:rPr>
            <w:rStyle w:val="Hipersaite"/>
            <w:rFonts w:ascii="Times New Roman" w:hAnsi="Times New Roman"/>
            <w:color w:val="auto"/>
            <w:sz w:val="24"/>
            <w:szCs w:val="24"/>
          </w:rPr>
          <w:t>Inese.Bartule@zm.gov.lv</w:t>
        </w:r>
      </w:hyperlink>
    </w:p>
    <w:sectPr w:rsidR="00AF2BB4" w:rsidRPr="009F774E" w:rsidSect="00824F0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3551F" w14:textId="77777777" w:rsidR="00BF1806" w:rsidRDefault="00BF1806" w:rsidP="00EE11D3">
      <w:pPr>
        <w:spacing w:after="0" w:line="240" w:lineRule="auto"/>
      </w:pPr>
      <w:r>
        <w:separator/>
      </w:r>
    </w:p>
  </w:endnote>
  <w:endnote w:type="continuationSeparator" w:id="0">
    <w:p w14:paraId="13229F9A" w14:textId="77777777" w:rsidR="00BF1806" w:rsidRDefault="00BF1806"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7A436799" w:rsidR="00CA05E1" w:rsidRPr="0090713E" w:rsidRDefault="0090713E" w:rsidP="0090713E">
    <w:pPr>
      <w:pStyle w:val="Kjene"/>
    </w:pPr>
    <w:r w:rsidRPr="0090713E">
      <w:rPr>
        <w:rFonts w:ascii="Times New Roman" w:hAnsi="Times New Roman"/>
        <w:sz w:val="20"/>
        <w:szCs w:val="20"/>
      </w:rPr>
      <w:t>ZManot_</w:t>
    </w:r>
    <w:r w:rsidR="00712662">
      <w:rPr>
        <w:rFonts w:ascii="Times New Roman" w:hAnsi="Times New Roman"/>
        <w:sz w:val="20"/>
        <w:szCs w:val="20"/>
      </w:rPr>
      <w:t>27</w:t>
    </w:r>
    <w:r w:rsidR="00512D54">
      <w:rPr>
        <w:rFonts w:ascii="Times New Roman" w:hAnsi="Times New Roman"/>
        <w:sz w:val="20"/>
        <w:szCs w:val="20"/>
      </w:rPr>
      <w:t>10</w:t>
    </w:r>
    <w:r w:rsidRPr="0090713E">
      <w:rPr>
        <w:rFonts w:ascii="Times New Roman" w:hAnsi="Times New Roman"/>
        <w:sz w:val="20"/>
        <w:szCs w:val="20"/>
      </w:rPr>
      <w:t>17_piekrlim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20E5AD99" w:rsidR="00CA05E1" w:rsidRPr="0090713E" w:rsidRDefault="0090713E" w:rsidP="0090713E">
    <w:pPr>
      <w:pStyle w:val="Kjene"/>
    </w:pPr>
    <w:r w:rsidRPr="0090713E">
      <w:rPr>
        <w:rFonts w:ascii="Times New Roman" w:hAnsi="Times New Roman"/>
        <w:sz w:val="20"/>
        <w:szCs w:val="20"/>
      </w:rPr>
      <w:t>ZManot_</w:t>
    </w:r>
    <w:r w:rsidR="00712662">
      <w:rPr>
        <w:rFonts w:ascii="Times New Roman" w:hAnsi="Times New Roman"/>
        <w:sz w:val="20"/>
        <w:szCs w:val="20"/>
      </w:rPr>
      <w:t>27</w:t>
    </w:r>
    <w:r w:rsidR="00512D54">
      <w:rPr>
        <w:rFonts w:ascii="Times New Roman" w:hAnsi="Times New Roman"/>
        <w:sz w:val="20"/>
        <w:szCs w:val="20"/>
      </w:rPr>
      <w:t>10</w:t>
    </w:r>
    <w:r w:rsidRPr="0090713E">
      <w:rPr>
        <w:rFonts w:ascii="Times New Roman" w:hAnsi="Times New Roman"/>
        <w:sz w:val="20"/>
        <w:szCs w:val="20"/>
      </w:rPr>
      <w:t>17_piekrlim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1F3A" w14:textId="77777777" w:rsidR="00BF1806" w:rsidRDefault="00BF1806" w:rsidP="00EE11D3">
      <w:pPr>
        <w:spacing w:after="0" w:line="240" w:lineRule="auto"/>
      </w:pPr>
      <w:r>
        <w:separator/>
      </w:r>
    </w:p>
  </w:footnote>
  <w:footnote w:type="continuationSeparator" w:id="0">
    <w:p w14:paraId="1D88CCA7" w14:textId="77777777" w:rsidR="00BF1806" w:rsidRDefault="00BF1806"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677EF87E"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9F774E">
      <w:rPr>
        <w:rFonts w:ascii="Times New Roman" w:hAnsi="Times New Roman"/>
        <w:noProof/>
        <w:sz w:val="24"/>
        <w:szCs w:val="24"/>
      </w:rPr>
      <w:t>6</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A66AC"/>
    <w:multiLevelType w:val="hybridMultilevel"/>
    <w:tmpl w:val="31609BFC"/>
    <w:lvl w:ilvl="0" w:tplc="B1E88FCC">
      <w:start w:val="3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940CFC"/>
    <w:multiLevelType w:val="hybridMultilevel"/>
    <w:tmpl w:val="D422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8F5484"/>
    <w:multiLevelType w:val="hybridMultilevel"/>
    <w:tmpl w:val="164A9280"/>
    <w:lvl w:ilvl="0" w:tplc="CEE4877C">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3"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6B36E9"/>
    <w:multiLevelType w:val="hybridMultilevel"/>
    <w:tmpl w:val="12ACB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6103F2"/>
    <w:multiLevelType w:val="hybridMultilevel"/>
    <w:tmpl w:val="00EA7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DBE331F"/>
    <w:multiLevelType w:val="hybridMultilevel"/>
    <w:tmpl w:val="056E9D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06996"/>
    <w:rsid w:val="00010049"/>
    <w:rsid w:val="00010392"/>
    <w:rsid w:val="00011CF2"/>
    <w:rsid w:val="00015579"/>
    <w:rsid w:val="000174B6"/>
    <w:rsid w:val="00024111"/>
    <w:rsid w:val="00026DDD"/>
    <w:rsid w:val="0003167B"/>
    <w:rsid w:val="00040852"/>
    <w:rsid w:val="00050CC4"/>
    <w:rsid w:val="000512E5"/>
    <w:rsid w:val="000529A0"/>
    <w:rsid w:val="00055D53"/>
    <w:rsid w:val="0006121C"/>
    <w:rsid w:val="00061B34"/>
    <w:rsid w:val="00062C6A"/>
    <w:rsid w:val="0006481D"/>
    <w:rsid w:val="00066BE7"/>
    <w:rsid w:val="00066E1A"/>
    <w:rsid w:val="00067E02"/>
    <w:rsid w:val="000732A4"/>
    <w:rsid w:val="000742BB"/>
    <w:rsid w:val="0007495B"/>
    <w:rsid w:val="000813E6"/>
    <w:rsid w:val="000815E6"/>
    <w:rsid w:val="00084DAB"/>
    <w:rsid w:val="0008694A"/>
    <w:rsid w:val="00091C07"/>
    <w:rsid w:val="00093FA4"/>
    <w:rsid w:val="00097C26"/>
    <w:rsid w:val="000A5345"/>
    <w:rsid w:val="000A59C3"/>
    <w:rsid w:val="000A6BDB"/>
    <w:rsid w:val="000B32D5"/>
    <w:rsid w:val="000B3951"/>
    <w:rsid w:val="000B3E1D"/>
    <w:rsid w:val="000C55F3"/>
    <w:rsid w:val="000C60EC"/>
    <w:rsid w:val="000D306C"/>
    <w:rsid w:val="000D5162"/>
    <w:rsid w:val="000D51A1"/>
    <w:rsid w:val="000E4DAC"/>
    <w:rsid w:val="000E6E01"/>
    <w:rsid w:val="000E7EAF"/>
    <w:rsid w:val="000F5E5F"/>
    <w:rsid w:val="000F70A1"/>
    <w:rsid w:val="001007F6"/>
    <w:rsid w:val="001012A6"/>
    <w:rsid w:val="00104241"/>
    <w:rsid w:val="001053E6"/>
    <w:rsid w:val="00110664"/>
    <w:rsid w:val="00112280"/>
    <w:rsid w:val="001174B5"/>
    <w:rsid w:val="00120DA1"/>
    <w:rsid w:val="00122D6E"/>
    <w:rsid w:val="00123511"/>
    <w:rsid w:val="00124C4D"/>
    <w:rsid w:val="001251FB"/>
    <w:rsid w:val="001270B4"/>
    <w:rsid w:val="00130EFE"/>
    <w:rsid w:val="00132D77"/>
    <w:rsid w:val="00136C43"/>
    <w:rsid w:val="00142030"/>
    <w:rsid w:val="001428C6"/>
    <w:rsid w:val="00146858"/>
    <w:rsid w:val="0014794B"/>
    <w:rsid w:val="00150A00"/>
    <w:rsid w:val="00151E40"/>
    <w:rsid w:val="00152CB0"/>
    <w:rsid w:val="0015415A"/>
    <w:rsid w:val="00157719"/>
    <w:rsid w:val="001618E1"/>
    <w:rsid w:val="0016208A"/>
    <w:rsid w:val="00167423"/>
    <w:rsid w:val="00171519"/>
    <w:rsid w:val="001719F6"/>
    <w:rsid w:val="001725AC"/>
    <w:rsid w:val="001749DD"/>
    <w:rsid w:val="00176F47"/>
    <w:rsid w:val="0018090A"/>
    <w:rsid w:val="00180ADF"/>
    <w:rsid w:val="00180F33"/>
    <w:rsid w:val="001841F4"/>
    <w:rsid w:val="001859F9"/>
    <w:rsid w:val="00190CB3"/>
    <w:rsid w:val="001A1F06"/>
    <w:rsid w:val="001A69CB"/>
    <w:rsid w:val="001B1839"/>
    <w:rsid w:val="001B4AF1"/>
    <w:rsid w:val="001B6BE8"/>
    <w:rsid w:val="001C0363"/>
    <w:rsid w:val="001C0C5B"/>
    <w:rsid w:val="001C2E8D"/>
    <w:rsid w:val="001C3534"/>
    <w:rsid w:val="001C3C3D"/>
    <w:rsid w:val="001C3CC4"/>
    <w:rsid w:val="001C43BD"/>
    <w:rsid w:val="001D00BF"/>
    <w:rsid w:val="001D32EF"/>
    <w:rsid w:val="001D41F9"/>
    <w:rsid w:val="001D6889"/>
    <w:rsid w:val="001D7C16"/>
    <w:rsid w:val="001E28D6"/>
    <w:rsid w:val="001E46F1"/>
    <w:rsid w:val="001E4E47"/>
    <w:rsid w:val="001F2A56"/>
    <w:rsid w:val="001F4134"/>
    <w:rsid w:val="001F5007"/>
    <w:rsid w:val="001F51C8"/>
    <w:rsid w:val="001F6597"/>
    <w:rsid w:val="002002E1"/>
    <w:rsid w:val="00203E57"/>
    <w:rsid w:val="002041C8"/>
    <w:rsid w:val="002041D3"/>
    <w:rsid w:val="00207E1F"/>
    <w:rsid w:val="00213873"/>
    <w:rsid w:val="002149AB"/>
    <w:rsid w:val="0022005A"/>
    <w:rsid w:val="002202A2"/>
    <w:rsid w:val="00230DC3"/>
    <w:rsid w:val="00232B75"/>
    <w:rsid w:val="002346B3"/>
    <w:rsid w:val="0023762B"/>
    <w:rsid w:val="00237B9E"/>
    <w:rsid w:val="00237DEB"/>
    <w:rsid w:val="0024497B"/>
    <w:rsid w:val="002500C9"/>
    <w:rsid w:val="00251968"/>
    <w:rsid w:val="00254A1F"/>
    <w:rsid w:val="00255BF2"/>
    <w:rsid w:val="00256126"/>
    <w:rsid w:val="00256178"/>
    <w:rsid w:val="00260A08"/>
    <w:rsid w:val="00264428"/>
    <w:rsid w:val="002706DA"/>
    <w:rsid w:val="00270772"/>
    <w:rsid w:val="00272B56"/>
    <w:rsid w:val="00274D69"/>
    <w:rsid w:val="00275072"/>
    <w:rsid w:val="00276323"/>
    <w:rsid w:val="00283C31"/>
    <w:rsid w:val="00284014"/>
    <w:rsid w:val="00292327"/>
    <w:rsid w:val="00293DB8"/>
    <w:rsid w:val="00294FD9"/>
    <w:rsid w:val="00297664"/>
    <w:rsid w:val="002A3222"/>
    <w:rsid w:val="002A32F1"/>
    <w:rsid w:val="002B3503"/>
    <w:rsid w:val="002B4344"/>
    <w:rsid w:val="002B6443"/>
    <w:rsid w:val="002B76E4"/>
    <w:rsid w:val="002C0139"/>
    <w:rsid w:val="002C1446"/>
    <w:rsid w:val="002C3680"/>
    <w:rsid w:val="002C5FC0"/>
    <w:rsid w:val="002C7A37"/>
    <w:rsid w:val="002C7AB6"/>
    <w:rsid w:val="002D08DD"/>
    <w:rsid w:val="002D12B9"/>
    <w:rsid w:val="002D27CF"/>
    <w:rsid w:val="002D3236"/>
    <w:rsid w:val="002D4019"/>
    <w:rsid w:val="002D63AA"/>
    <w:rsid w:val="002D680D"/>
    <w:rsid w:val="002E504D"/>
    <w:rsid w:val="002E5206"/>
    <w:rsid w:val="002E5E2F"/>
    <w:rsid w:val="002F04AF"/>
    <w:rsid w:val="002F06C2"/>
    <w:rsid w:val="002F5050"/>
    <w:rsid w:val="002F6974"/>
    <w:rsid w:val="002F714E"/>
    <w:rsid w:val="00301740"/>
    <w:rsid w:val="003057F8"/>
    <w:rsid w:val="003103AD"/>
    <w:rsid w:val="00310F47"/>
    <w:rsid w:val="00313252"/>
    <w:rsid w:val="003205B4"/>
    <w:rsid w:val="003226CA"/>
    <w:rsid w:val="003241EC"/>
    <w:rsid w:val="00332A63"/>
    <w:rsid w:val="003448FD"/>
    <w:rsid w:val="00347A8E"/>
    <w:rsid w:val="00351312"/>
    <w:rsid w:val="00361864"/>
    <w:rsid w:val="003635A1"/>
    <w:rsid w:val="00370C7B"/>
    <w:rsid w:val="00371C50"/>
    <w:rsid w:val="003757DB"/>
    <w:rsid w:val="0039405D"/>
    <w:rsid w:val="00394CD2"/>
    <w:rsid w:val="003961C0"/>
    <w:rsid w:val="003A1D86"/>
    <w:rsid w:val="003A5DDE"/>
    <w:rsid w:val="003B0AAE"/>
    <w:rsid w:val="003B284D"/>
    <w:rsid w:val="003B2D5D"/>
    <w:rsid w:val="003B5964"/>
    <w:rsid w:val="003B7105"/>
    <w:rsid w:val="003C0AE3"/>
    <w:rsid w:val="003C269A"/>
    <w:rsid w:val="003C608A"/>
    <w:rsid w:val="003C65D8"/>
    <w:rsid w:val="003D2B45"/>
    <w:rsid w:val="003D43E8"/>
    <w:rsid w:val="003D679F"/>
    <w:rsid w:val="003E02C5"/>
    <w:rsid w:val="003E052A"/>
    <w:rsid w:val="003E059A"/>
    <w:rsid w:val="003E0EB3"/>
    <w:rsid w:val="003E1727"/>
    <w:rsid w:val="003E3A74"/>
    <w:rsid w:val="003E68C6"/>
    <w:rsid w:val="003E6FC5"/>
    <w:rsid w:val="003F0D3B"/>
    <w:rsid w:val="003F78E9"/>
    <w:rsid w:val="004000C3"/>
    <w:rsid w:val="004037AC"/>
    <w:rsid w:val="00406E78"/>
    <w:rsid w:val="00412C44"/>
    <w:rsid w:val="004152A7"/>
    <w:rsid w:val="004208E8"/>
    <w:rsid w:val="00422CA6"/>
    <w:rsid w:val="00422E3B"/>
    <w:rsid w:val="00424254"/>
    <w:rsid w:val="00426EF9"/>
    <w:rsid w:val="0043149D"/>
    <w:rsid w:val="004317BB"/>
    <w:rsid w:val="004324E1"/>
    <w:rsid w:val="004377E4"/>
    <w:rsid w:val="004378E1"/>
    <w:rsid w:val="00442FEC"/>
    <w:rsid w:val="00443ADA"/>
    <w:rsid w:val="004464C6"/>
    <w:rsid w:val="00447BBF"/>
    <w:rsid w:val="004539B9"/>
    <w:rsid w:val="00463865"/>
    <w:rsid w:val="004675CA"/>
    <w:rsid w:val="004723DF"/>
    <w:rsid w:val="0047242C"/>
    <w:rsid w:val="004778C5"/>
    <w:rsid w:val="00482664"/>
    <w:rsid w:val="004832E9"/>
    <w:rsid w:val="00484D68"/>
    <w:rsid w:val="00486749"/>
    <w:rsid w:val="00491479"/>
    <w:rsid w:val="00492664"/>
    <w:rsid w:val="004A18A6"/>
    <w:rsid w:val="004A324F"/>
    <w:rsid w:val="004B08D5"/>
    <w:rsid w:val="004B1637"/>
    <w:rsid w:val="004B28CB"/>
    <w:rsid w:val="004B43B0"/>
    <w:rsid w:val="004B75F8"/>
    <w:rsid w:val="004B7B6D"/>
    <w:rsid w:val="004C1EF1"/>
    <w:rsid w:val="004C2705"/>
    <w:rsid w:val="004C3FB5"/>
    <w:rsid w:val="004C467A"/>
    <w:rsid w:val="004D1E32"/>
    <w:rsid w:val="004D2208"/>
    <w:rsid w:val="004D2340"/>
    <w:rsid w:val="004D3F14"/>
    <w:rsid w:val="004D3FA1"/>
    <w:rsid w:val="004D4EBE"/>
    <w:rsid w:val="004E6CDF"/>
    <w:rsid w:val="004E75CE"/>
    <w:rsid w:val="004F096D"/>
    <w:rsid w:val="004F3557"/>
    <w:rsid w:val="004F43AE"/>
    <w:rsid w:val="004F5C12"/>
    <w:rsid w:val="005034F8"/>
    <w:rsid w:val="00504AA6"/>
    <w:rsid w:val="0050538B"/>
    <w:rsid w:val="005071EC"/>
    <w:rsid w:val="00512A9E"/>
    <w:rsid w:val="00512D54"/>
    <w:rsid w:val="005131B2"/>
    <w:rsid w:val="00516B79"/>
    <w:rsid w:val="00517421"/>
    <w:rsid w:val="005177AB"/>
    <w:rsid w:val="00521E66"/>
    <w:rsid w:val="00522F0A"/>
    <w:rsid w:val="005233CC"/>
    <w:rsid w:val="005239B9"/>
    <w:rsid w:val="00524566"/>
    <w:rsid w:val="00532344"/>
    <w:rsid w:val="00532630"/>
    <w:rsid w:val="00536F87"/>
    <w:rsid w:val="005425C9"/>
    <w:rsid w:val="00542B29"/>
    <w:rsid w:val="00543F71"/>
    <w:rsid w:val="00544864"/>
    <w:rsid w:val="005450C9"/>
    <w:rsid w:val="00545FE3"/>
    <w:rsid w:val="0054754F"/>
    <w:rsid w:val="00552819"/>
    <w:rsid w:val="00552ECD"/>
    <w:rsid w:val="00553332"/>
    <w:rsid w:val="00553628"/>
    <w:rsid w:val="00553905"/>
    <w:rsid w:val="00553E3C"/>
    <w:rsid w:val="00560674"/>
    <w:rsid w:val="00570BF6"/>
    <w:rsid w:val="00577334"/>
    <w:rsid w:val="00577954"/>
    <w:rsid w:val="00580FF7"/>
    <w:rsid w:val="0058241E"/>
    <w:rsid w:val="00585730"/>
    <w:rsid w:val="0058767C"/>
    <w:rsid w:val="0058797F"/>
    <w:rsid w:val="00592F5A"/>
    <w:rsid w:val="0059757B"/>
    <w:rsid w:val="005975FB"/>
    <w:rsid w:val="005A2EEE"/>
    <w:rsid w:val="005A59C9"/>
    <w:rsid w:val="005A7B38"/>
    <w:rsid w:val="005B3DE1"/>
    <w:rsid w:val="005B7CC3"/>
    <w:rsid w:val="005C188E"/>
    <w:rsid w:val="005C26F7"/>
    <w:rsid w:val="005C2754"/>
    <w:rsid w:val="005C2DDC"/>
    <w:rsid w:val="005D4C7D"/>
    <w:rsid w:val="005E574C"/>
    <w:rsid w:val="005E5BB8"/>
    <w:rsid w:val="005F0E66"/>
    <w:rsid w:val="005F2B6B"/>
    <w:rsid w:val="0060107E"/>
    <w:rsid w:val="0060471A"/>
    <w:rsid w:val="0060497C"/>
    <w:rsid w:val="00605F08"/>
    <w:rsid w:val="00612269"/>
    <w:rsid w:val="006160F7"/>
    <w:rsid w:val="0061619C"/>
    <w:rsid w:val="00616D5E"/>
    <w:rsid w:val="00617119"/>
    <w:rsid w:val="00621764"/>
    <w:rsid w:val="00626251"/>
    <w:rsid w:val="00626E87"/>
    <w:rsid w:val="00627AAE"/>
    <w:rsid w:val="00637AB9"/>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80D3B"/>
    <w:rsid w:val="00690D2E"/>
    <w:rsid w:val="00690F98"/>
    <w:rsid w:val="00691E3B"/>
    <w:rsid w:val="0069254C"/>
    <w:rsid w:val="006A07B1"/>
    <w:rsid w:val="006A1F12"/>
    <w:rsid w:val="006A2745"/>
    <w:rsid w:val="006A3891"/>
    <w:rsid w:val="006A396F"/>
    <w:rsid w:val="006A5ED1"/>
    <w:rsid w:val="006A6205"/>
    <w:rsid w:val="006B2140"/>
    <w:rsid w:val="006B2276"/>
    <w:rsid w:val="006B37C2"/>
    <w:rsid w:val="006B3DDB"/>
    <w:rsid w:val="006B42F5"/>
    <w:rsid w:val="006C497D"/>
    <w:rsid w:val="006D6631"/>
    <w:rsid w:val="006D668C"/>
    <w:rsid w:val="006D7C7A"/>
    <w:rsid w:val="006E1D1F"/>
    <w:rsid w:val="006E2B86"/>
    <w:rsid w:val="006E3B87"/>
    <w:rsid w:val="006E3DA2"/>
    <w:rsid w:val="006E511E"/>
    <w:rsid w:val="006E663C"/>
    <w:rsid w:val="006E7817"/>
    <w:rsid w:val="006F5DAF"/>
    <w:rsid w:val="006F605F"/>
    <w:rsid w:val="0070068F"/>
    <w:rsid w:val="00700AB0"/>
    <w:rsid w:val="0070231B"/>
    <w:rsid w:val="00702377"/>
    <w:rsid w:val="00703C3F"/>
    <w:rsid w:val="00705543"/>
    <w:rsid w:val="007057A0"/>
    <w:rsid w:val="007069A9"/>
    <w:rsid w:val="00712662"/>
    <w:rsid w:val="00713DB0"/>
    <w:rsid w:val="0071576A"/>
    <w:rsid w:val="00717EFC"/>
    <w:rsid w:val="007219CF"/>
    <w:rsid w:val="00726928"/>
    <w:rsid w:val="0073096D"/>
    <w:rsid w:val="0073119B"/>
    <w:rsid w:val="00731F6B"/>
    <w:rsid w:val="00734965"/>
    <w:rsid w:val="007351AA"/>
    <w:rsid w:val="00735585"/>
    <w:rsid w:val="00740168"/>
    <w:rsid w:val="00740B81"/>
    <w:rsid w:val="00741983"/>
    <w:rsid w:val="00741EA2"/>
    <w:rsid w:val="00743F87"/>
    <w:rsid w:val="0074457F"/>
    <w:rsid w:val="0074533F"/>
    <w:rsid w:val="00755182"/>
    <w:rsid w:val="00760547"/>
    <w:rsid w:val="00760C77"/>
    <w:rsid w:val="0076348D"/>
    <w:rsid w:val="00764DCE"/>
    <w:rsid w:val="00765723"/>
    <w:rsid w:val="007723A2"/>
    <w:rsid w:val="00772C9D"/>
    <w:rsid w:val="0077344E"/>
    <w:rsid w:val="00773583"/>
    <w:rsid w:val="0077593D"/>
    <w:rsid w:val="00776668"/>
    <w:rsid w:val="00782771"/>
    <w:rsid w:val="00782791"/>
    <w:rsid w:val="00783300"/>
    <w:rsid w:val="00784B25"/>
    <w:rsid w:val="0078559C"/>
    <w:rsid w:val="007856A0"/>
    <w:rsid w:val="00795DBE"/>
    <w:rsid w:val="007B26DA"/>
    <w:rsid w:val="007C1EC3"/>
    <w:rsid w:val="007C5221"/>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738"/>
    <w:rsid w:val="00806825"/>
    <w:rsid w:val="00813CA7"/>
    <w:rsid w:val="00817D9F"/>
    <w:rsid w:val="0082269C"/>
    <w:rsid w:val="00824F00"/>
    <w:rsid w:val="00830852"/>
    <w:rsid w:val="0083359D"/>
    <w:rsid w:val="00834C65"/>
    <w:rsid w:val="00836D19"/>
    <w:rsid w:val="008373D9"/>
    <w:rsid w:val="0084221F"/>
    <w:rsid w:val="00846B64"/>
    <w:rsid w:val="00847711"/>
    <w:rsid w:val="0085318A"/>
    <w:rsid w:val="00853F40"/>
    <w:rsid w:val="0085483E"/>
    <w:rsid w:val="0086221D"/>
    <w:rsid w:val="0086371E"/>
    <w:rsid w:val="00866DC4"/>
    <w:rsid w:val="00872EC6"/>
    <w:rsid w:val="00876EC7"/>
    <w:rsid w:val="00880EBF"/>
    <w:rsid w:val="0088649B"/>
    <w:rsid w:val="008A1A16"/>
    <w:rsid w:val="008A3532"/>
    <w:rsid w:val="008A4FB4"/>
    <w:rsid w:val="008B4541"/>
    <w:rsid w:val="008C07EA"/>
    <w:rsid w:val="008C145A"/>
    <w:rsid w:val="008C1CB1"/>
    <w:rsid w:val="008C53F8"/>
    <w:rsid w:val="008C6800"/>
    <w:rsid w:val="008C6812"/>
    <w:rsid w:val="008C69A0"/>
    <w:rsid w:val="008C7C01"/>
    <w:rsid w:val="008C7D02"/>
    <w:rsid w:val="008D2192"/>
    <w:rsid w:val="008D253B"/>
    <w:rsid w:val="008D6EEF"/>
    <w:rsid w:val="008E028E"/>
    <w:rsid w:val="008E0CB4"/>
    <w:rsid w:val="008E5382"/>
    <w:rsid w:val="008F1644"/>
    <w:rsid w:val="008F48AC"/>
    <w:rsid w:val="009001DA"/>
    <w:rsid w:val="00905D80"/>
    <w:rsid w:val="0090713E"/>
    <w:rsid w:val="00907673"/>
    <w:rsid w:val="00907970"/>
    <w:rsid w:val="00907A16"/>
    <w:rsid w:val="009122AE"/>
    <w:rsid w:val="00913F0D"/>
    <w:rsid w:val="00917C7F"/>
    <w:rsid w:val="00923BF2"/>
    <w:rsid w:val="00923E94"/>
    <w:rsid w:val="00924B50"/>
    <w:rsid w:val="00925A21"/>
    <w:rsid w:val="0092617B"/>
    <w:rsid w:val="00931ECA"/>
    <w:rsid w:val="0093364C"/>
    <w:rsid w:val="00941754"/>
    <w:rsid w:val="00941996"/>
    <w:rsid w:val="00941AEB"/>
    <w:rsid w:val="009432B7"/>
    <w:rsid w:val="009541A8"/>
    <w:rsid w:val="009574AF"/>
    <w:rsid w:val="00961E8E"/>
    <w:rsid w:val="009622DB"/>
    <w:rsid w:val="00962D9F"/>
    <w:rsid w:val="00963454"/>
    <w:rsid w:val="0096483A"/>
    <w:rsid w:val="00974185"/>
    <w:rsid w:val="009763D4"/>
    <w:rsid w:val="009827C6"/>
    <w:rsid w:val="00984558"/>
    <w:rsid w:val="00985512"/>
    <w:rsid w:val="00986F8C"/>
    <w:rsid w:val="009873BA"/>
    <w:rsid w:val="00987EC9"/>
    <w:rsid w:val="0099444F"/>
    <w:rsid w:val="00995297"/>
    <w:rsid w:val="00996F73"/>
    <w:rsid w:val="009A17DB"/>
    <w:rsid w:val="009A1F6C"/>
    <w:rsid w:val="009A2237"/>
    <w:rsid w:val="009A364D"/>
    <w:rsid w:val="009A3CA8"/>
    <w:rsid w:val="009A4F43"/>
    <w:rsid w:val="009A7D86"/>
    <w:rsid w:val="009B475D"/>
    <w:rsid w:val="009B5631"/>
    <w:rsid w:val="009B6350"/>
    <w:rsid w:val="009B736C"/>
    <w:rsid w:val="009B751C"/>
    <w:rsid w:val="009C0E3A"/>
    <w:rsid w:val="009C4085"/>
    <w:rsid w:val="009D399D"/>
    <w:rsid w:val="009E0A96"/>
    <w:rsid w:val="009F0642"/>
    <w:rsid w:val="009F74D5"/>
    <w:rsid w:val="009F774E"/>
    <w:rsid w:val="00A0068B"/>
    <w:rsid w:val="00A0325B"/>
    <w:rsid w:val="00A04B8A"/>
    <w:rsid w:val="00A15C34"/>
    <w:rsid w:val="00A22B3F"/>
    <w:rsid w:val="00A22D0A"/>
    <w:rsid w:val="00A30F27"/>
    <w:rsid w:val="00A33CE7"/>
    <w:rsid w:val="00A358B8"/>
    <w:rsid w:val="00A376DD"/>
    <w:rsid w:val="00A41086"/>
    <w:rsid w:val="00A4501C"/>
    <w:rsid w:val="00A46515"/>
    <w:rsid w:val="00A51194"/>
    <w:rsid w:val="00A51E42"/>
    <w:rsid w:val="00A544E8"/>
    <w:rsid w:val="00A544FA"/>
    <w:rsid w:val="00A556A4"/>
    <w:rsid w:val="00A57151"/>
    <w:rsid w:val="00A61AF1"/>
    <w:rsid w:val="00A62A03"/>
    <w:rsid w:val="00A7151D"/>
    <w:rsid w:val="00A721AB"/>
    <w:rsid w:val="00A7221C"/>
    <w:rsid w:val="00A729A9"/>
    <w:rsid w:val="00A74489"/>
    <w:rsid w:val="00A761CC"/>
    <w:rsid w:val="00A76449"/>
    <w:rsid w:val="00A815FA"/>
    <w:rsid w:val="00A82594"/>
    <w:rsid w:val="00A85EE4"/>
    <w:rsid w:val="00A905D9"/>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044D"/>
    <w:rsid w:val="00AD6BAC"/>
    <w:rsid w:val="00AD7F02"/>
    <w:rsid w:val="00AE128A"/>
    <w:rsid w:val="00AE23A6"/>
    <w:rsid w:val="00AE444D"/>
    <w:rsid w:val="00AE479E"/>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3BC8"/>
    <w:rsid w:val="00B37038"/>
    <w:rsid w:val="00B37BFC"/>
    <w:rsid w:val="00B42D5A"/>
    <w:rsid w:val="00B52078"/>
    <w:rsid w:val="00B5270C"/>
    <w:rsid w:val="00B54002"/>
    <w:rsid w:val="00B61F02"/>
    <w:rsid w:val="00B64252"/>
    <w:rsid w:val="00B653A4"/>
    <w:rsid w:val="00B65453"/>
    <w:rsid w:val="00B67478"/>
    <w:rsid w:val="00B67BA2"/>
    <w:rsid w:val="00B72251"/>
    <w:rsid w:val="00B72337"/>
    <w:rsid w:val="00B75A38"/>
    <w:rsid w:val="00B8240C"/>
    <w:rsid w:val="00B82FFE"/>
    <w:rsid w:val="00B83F4C"/>
    <w:rsid w:val="00B84CA9"/>
    <w:rsid w:val="00B85A42"/>
    <w:rsid w:val="00B8679A"/>
    <w:rsid w:val="00B86B61"/>
    <w:rsid w:val="00B8787F"/>
    <w:rsid w:val="00B91915"/>
    <w:rsid w:val="00B92683"/>
    <w:rsid w:val="00B92DAB"/>
    <w:rsid w:val="00B942F7"/>
    <w:rsid w:val="00B9529F"/>
    <w:rsid w:val="00B978B8"/>
    <w:rsid w:val="00BA1F84"/>
    <w:rsid w:val="00BA7A0C"/>
    <w:rsid w:val="00BB0A5B"/>
    <w:rsid w:val="00BB1043"/>
    <w:rsid w:val="00BC1C8D"/>
    <w:rsid w:val="00BC1FDD"/>
    <w:rsid w:val="00BC38FE"/>
    <w:rsid w:val="00BC4374"/>
    <w:rsid w:val="00BC6D43"/>
    <w:rsid w:val="00BD2BCB"/>
    <w:rsid w:val="00BD3C1D"/>
    <w:rsid w:val="00BD6EFE"/>
    <w:rsid w:val="00BE48EF"/>
    <w:rsid w:val="00BE6B5D"/>
    <w:rsid w:val="00BE7C0C"/>
    <w:rsid w:val="00BF1806"/>
    <w:rsid w:val="00BF3601"/>
    <w:rsid w:val="00BF54B6"/>
    <w:rsid w:val="00BF7BB6"/>
    <w:rsid w:val="00C021B8"/>
    <w:rsid w:val="00C02A58"/>
    <w:rsid w:val="00C07023"/>
    <w:rsid w:val="00C074F6"/>
    <w:rsid w:val="00C10918"/>
    <w:rsid w:val="00C15BAA"/>
    <w:rsid w:val="00C17230"/>
    <w:rsid w:val="00C22684"/>
    <w:rsid w:val="00C23F36"/>
    <w:rsid w:val="00C2417D"/>
    <w:rsid w:val="00C31AAB"/>
    <w:rsid w:val="00C34D9D"/>
    <w:rsid w:val="00C351DA"/>
    <w:rsid w:val="00C40E43"/>
    <w:rsid w:val="00C40FD4"/>
    <w:rsid w:val="00C42A2C"/>
    <w:rsid w:val="00C45CDC"/>
    <w:rsid w:val="00C462EA"/>
    <w:rsid w:val="00C50A01"/>
    <w:rsid w:val="00C50F4B"/>
    <w:rsid w:val="00C56DE9"/>
    <w:rsid w:val="00C57045"/>
    <w:rsid w:val="00C57825"/>
    <w:rsid w:val="00C75283"/>
    <w:rsid w:val="00C75F2D"/>
    <w:rsid w:val="00C77F59"/>
    <w:rsid w:val="00C8140C"/>
    <w:rsid w:val="00C81973"/>
    <w:rsid w:val="00C83131"/>
    <w:rsid w:val="00C856E4"/>
    <w:rsid w:val="00C9234B"/>
    <w:rsid w:val="00C950A4"/>
    <w:rsid w:val="00CA05E1"/>
    <w:rsid w:val="00CA2D4C"/>
    <w:rsid w:val="00CA37D0"/>
    <w:rsid w:val="00CA4761"/>
    <w:rsid w:val="00CB006E"/>
    <w:rsid w:val="00CB5313"/>
    <w:rsid w:val="00CB5323"/>
    <w:rsid w:val="00CB7E68"/>
    <w:rsid w:val="00CC0580"/>
    <w:rsid w:val="00CC0612"/>
    <w:rsid w:val="00CC2DC5"/>
    <w:rsid w:val="00CC788E"/>
    <w:rsid w:val="00CD1FA1"/>
    <w:rsid w:val="00CD5203"/>
    <w:rsid w:val="00CD799C"/>
    <w:rsid w:val="00CD7FFA"/>
    <w:rsid w:val="00CE0516"/>
    <w:rsid w:val="00CE2C17"/>
    <w:rsid w:val="00CE3784"/>
    <w:rsid w:val="00CE58BD"/>
    <w:rsid w:val="00CE67CA"/>
    <w:rsid w:val="00CF2F8D"/>
    <w:rsid w:val="00CF3236"/>
    <w:rsid w:val="00CF39AA"/>
    <w:rsid w:val="00CF49D8"/>
    <w:rsid w:val="00D005BA"/>
    <w:rsid w:val="00D0275B"/>
    <w:rsid w:val="00D02B52"/>
    <w:rsid w:val="00D03D1A"/>
    <w:rsid w:val="00D06177"/>
    <w:rsid w:val="00D06494"/>
    <w:rsid w:val="00D11CE2"/>
    <w:rsid w:val="00D1619D"/>
    <w:rsid w:val="00D20948"/>
    <w:rsid w:val="00D24456"/>
    <w:rsid w:val="00D2588B"/>
    <w:rsid w:val="00D30BF6"/>
    <w:rsid w:val="00D3111B"/>
    <w:rsid w:val="00D34BFB"/>
    <w:rsid w:val="00D43306"/>
    <w:rsid w:val="00D43A48"/>
    <w:rsid w:val="00D44AD3"/>
    <w:rsid w:val="00D45C09"/>
    <w:rsid w:val="00D46FFF"/>
    <w:rsid w:val="00D470FD"/>
    <w:rsid w:val="00D50142"/>
    <w:rsid w:val="00D51970"/>
    <w:rsid w:val="00D546EE"/>
    <w:rsid w:val="00D56602"/>
    <w:rsid w:val="00D62D4C"/>
    <w:rsid w:val="00D65224"/>
    <w:rsid w:val="00D65FDC"/>
    <w:rsid w:val="00D675BF"/>
    <w:rsid w:val="00D67778"/>
    <w:rsid w:val="00D73305"/>
    <w:rsid w:val="00D77036"/>
    <w:rsid w:val="00D8056E"/>
    <w:rsid w:val="00D83BB1"/>
    <w:rsid w:val="00D86D4D"/>
    <w:rsid w:val="00D92501"/>
    <w:rsid w:val="00D92A0D"/>
    <w:rsid w:val="00D9450A"/>
    <w:rsid w:val="00D95147"/>
    <w:rsid w:val="00D96983"/>
    <w:rsid w:val="00DA5545"/>
    <w:rsid w:val="00DA5973"/>
    <w:rsid w:val="00DA615D"/>
    <w:rsid w:val="00DA6AC5"/>
    <w:rsid w:val="00DB0F7A"/>
    <w:rsid w:val="00DB3F91"/>
    <w:rsid w:val="00DB421D"/>
    <w:rsid w:val="00DB59C0"/>
    <w:rsid w:val="00DC0593"/>
    <w:rsid w:val="00DC1E93"/>
    <w:rsid w:val="00DC5DCD"/>
    <w:rsid w:val="00DC689E"/>
    <w:rsid w:val="00DD5CED"/>
    <w:rsid w:val="00DD78BD"/>
    <w:rsid w:val="00DD7CCB"/>
    <w:rsid w:val="00DE1678"/>
    <w:rsid w:val="00DE44CF"/>
    <w:rsid w:val="00DE4A3F"/>
    <w:rsid w:val="00DE671F"/>
    <w:rsid w:val="00DE69F6"/>
    <w:rsid w:val="00DE70DB"/>
    <w:rsid w:val="00DF0094"/>
    <w:rsid w:val="00DF0958"/>
    <w:rsid w:val="00DF1D53"/>
    <w:rsid w:val="00DF548E"/>
    <w:rsid w:val="00DF66E6"/>
    <w:rsid w:val="00DF7931"/>
    <w:rsid w:val="00DF7ADF"/>
    <w:rsid w:val="00E03DC0"/>
    <w:rsid w:val="00E04C8E"/>
    <w:rsid w:val="00E131EA"/>
    <w:rsid w:val="00E163DC"/>
    <w:rsid w:val="00E16A02"/>
    <w:rsid w:val="00E21248"/>
    <w:rsid w:val="00E21B8D"/>
    <w:rsid w:val="00E22A13"/>
    <w:rsid w:val="00E25265"/>
    <w:rsid w:val="00E2626F"/>
    <w:rsid w:val="00E27F96"/>
    <w:rsid w:val="00E34AF5"/>
    <w:rsid w:val="00E35240"/>
    <w:rsid w:val="00E3599A"/>
    <w:rsid w:val="00E418F4"/>
    <w:rsid w:val="00E52AAB"/>
    <w:rsid w:val="00E538EB"/>
    <w:rsid w:val="00E541FD"/>
    <w:rsid w:val="00E56B1A"/>
    <w:rsid w:val="00E63F2A"/>
    <w:rsid w:val="00E71242"/>
    <w:rsid w:val="00E71AB8"/>
    <w:rsid w:val="00E73C09"/>
    <w:rsid w:val="00E7464F"/>
    <w:rsid w:val="00E75F06"/>
    <w:rsid w:val="00E77DBD"/>
    <w:rsid w:val="00E804C7"/>
    <w:rsid w:val="00E82A97"/>
    <w:rsid w:val="00E91255"/>
    <w:rsid w:val="00EA2A6B"/>
    <w:rsid w:val="00EA2B4E"/>
    <w:rsid w:val="00EA4635"/>
    <w:rsid w:val="00EA59C5"/>
    <w:rsid w:val="00EA63D6"/>
    <w:rsid w:val="00EA6AD5"/>
    <w:rsid w:val="00EA70D3"/>
    <w:rsid w:val="00EB1EA4"/>
    <w:rsid w:val="00EB2D6B"/>
    <w:rsid w:val="00ED37BB"/>
    <w:rsid w:val="00ED4A91"/>
    <w:rsid w:val="00ED52F7"/>
    <w:rsid w:val="00ED7D0D"/>
    <w:rsid w:val="00EE04DE"/>
    <w:rsid w:val="00EE07C8"/>
    <w:rsid w:val="00EE080A"/>
    <w:rsid w:val="00EE11D3"/>
    <w:rsid w:val="00EE317D"/>
    <w:rsid w:val="00EE4B60"/>
    <w:rsid w:val="00EF2859"/>
    <w:rsid w:val="00EF495E"/>
    <w:rsid w:val="00F03D64"/>
    <w:rsid w:val="00F049B4"/>
    <w:rsid w:val="00F04CC5"/>
    <w:rsid w:val="00F05BD1"/>
    <w:rsid w:val="00F06847"/>
    <w:rsid w:val="00F06B39"/>
    <w:rsid w:val="00F07882"/>
    <w:rsid w:val="00F14996"/>
    <w:rsid w:val="00F1540A"/>
    <w:rsid w:val="00F2000B"/>
    <w:rsid w:val="00F226A5"/>
    <w:rsid w:val="00F228AA"/>
    <w:rsid w:val="00F24E85"/>
    <w:rsid w:val="00F25E4F"/>
    <w:rsid w:val="00F268D0"/>
    <w:rsid w:val="00F26CC9"/>
    <w:rsid w:val="00F27846"/>
    <w:rsid w:val="00F31E6F"/>
    <w:rsid w:val="00F328D4"/>
    <w:rsid w:val="00F347B8"/>
    <w:rsid w:val="00F36092"/>
    <w:rsid w:val="00F364EC"/>
    <w:rsid w:val="00F425EB"/>
    <w:rsid w:val="00F434D7"/>
    <w:rsid w:val="00F45727"/>
    <w:rsid w:val="00F47330"/>
    <w:rsid w:val="00F4733E"/>
    <w:rsid w:val="00F54235"/>
    <w:rsid w:val="00F551D6"/>
    <w:rsid w:val="00F55B66"/>
    <w:rsid w:val="00F56770"/>
    <w:rsid w:val="00F56FB4"/>
    <w:rsid w:val="00F60443"/>
    <w:rsid w:val="00F604AE"/>
    <w:rsid w:val="00F60964"/>
    <w:rsid w:val="00F63C6B"/>
    <w:rsid w:val="00F64ACE"/>
    <w:rsid w:val="00F65501"/>
    <w:rsid w:val="00F70D92"/>
    <w:rsid w:val="00F73ADE"/>
    <w:rsid w:val="00F77A00"/>
    <w:rsid w:val="00F836E2"/>
    <w:rsid w:val="00F8492A"/>
    <w:rsid w:val="00F854B4"/>
    <w:rsid w:val="00F85D8A"/>
    <w:rsid w:val="00F91EB5"/>
    <w:rsid w:val="00F93936"/>
    <w:rsid w:val="00FA001C"/>
    <w:rsid w:val="00FA0E4A"/>
    <w:rsid w:val="00FA1065"/>
    <w:rsid w:val="00FA3546"/>
    <w:rsid w:val="00FA57FD"/>
    <w:rsid w:val="00FB0FB0"/>
    <w:rsid w:val="00FB4C35"/>
    <w:rsid w:val="00FB54D5"/>
    <w:rsid w:val="00FC22CA"/>
    <w:rsid w:val="00FC461F"/>
    <w:rsid w:val="00FC4705"/>
    <w:rsid w:val="00FC6053"/>
    <w:rsid w:val="00FC6E1D"/>
    <w:rsid w:val="00FC71E1"/>
    <w:rsid w:val="00FC7CDC"/>
    <w:rsid w:val="00FD2A9F"/>
    <w:rsid w:val="00FD3740"/>
    <w:rsid w:val="00FD3F82"/>
    <w:rsid w:val="00FD559D"/>
    <w:rsid w:val="00FD6E02"/>
    <w:rsid w:val="00FE27B0"/>
    <w:rsid w:val="00FE3D54"/>
    <w:rsid w:val="00FE455B"/>
    <w:rsid w:val="00FF0EAE"/>
    <w:rsid w:val="00FF135F"/>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F688E75"/>
  <w15:docId w15:val="{98386A3D-3BB7-4D6E-9796-F4059736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qFormat/>
    <w:locked/>
    <w:rsid w:val="007351AA"/>
    <w:rPr>
      <w:i/>
      <w:iCs/>
    </w:rPr>
  </w:style>
  <w:style w:type="paragraph" w:customStyle="1" w:styleId="Bezatstarpm1">
    <w:name w:val="Bez atstarpēm1"/>
    <w:uiPriority w:val="1"/>
    <w:qFormat/>
    <w:rsid w:val="009B475D"/>
    <w:rPr>
      <w:lang w:eastAsia="en-US"/>
    </w:rPr>
  </w:style>
  <w:style w:type="table" w:styleId="Reatabula">
    <w:name w:val="Table Grid"/>
    <w:basedOn w:val="Parastatabula"/>
    <w:locked/>
    <w:rsid w:val="0072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2596">
      <w:bodyDiv w:val="1"/>
      <w:marLeft w:val="0"/>
      <w:marRight w:val="0"/>
      <w:marTop w:val="0"/>
      <w:marBottom w:val="0"/>
      <w:divBdr>
        <w:top w:val="none" w:sz="0" w:space="0" w:color="auto"/>
        <w:left w:val="none" w:sz="0" w:space="0" w:color="auto"/>
        <w:bottom w:val="none" w:sz="0" w:space="0" w:color="auto"/>
        <w:right w:val="none" w:sz="0" w:space="0" w:color="auto"/>
      </w:divBdr>
      <w:divsChild>
        <w:div w:id="214587315">
          <w:marLeft w:val="0"/>
          <w:marRight w:val="0"/>
          <w:marTop w:val="0"/>
          <w:marBottom w:val="0"/>
          <w:divBdr>
            <w:top w:val="none" w:sz="0" w:space="0" w:color="auto"/>
            <w:left w:val="none" w:sz="0" w:space="0" w:color="auto"/>
            <w:bottom w:val="none" w:sz="0" w:space="0" w:color="auto"/>
            <w:right w:val="none" w:sz="0" w:space="0" w:color="auto"/>
          </w:divBdr>
          <w:divsChild>
            <w:div w:id="326640269">
              <w:marLeft w:val="0"/>
              <w:marRight w:val="0"/>
              <w:marTop w:val="0"/>
              <w:marBottom w:val="0"/>
              <w:divBdr>
                <w:top w:val="none" w:sz="0" w:space="0" w:color="auto"/>
                <w:left w:val="none" w:sz="0" w:space="0" w:color="auto"/>
                <w:bottom w:val="none" w:sz="0" w:space="0" w:color="auto"/>
                <w:right w:val="none" w:sz="0" w:space="0" w:color="auto"/>
              </w:divBdr>
              <w:divsChild>
                <w:div w:id="167840639">
                  <w:marLeft w:val="0"/>
                  <w:marRight w:val="0"/>
                  <w:marTop w:val="0"/>
                  <w:marBottom w:val="0"/>
                  <w:divBdr>
                    <w:top w:val="none" w:sz="0" w:space="0" w:color="auto"/>
                    <w:left w:val="none" w:sz="0" w:space="0" w:color="auto"/>
                    <w:bottom w:val="none" w:sz="0" w:space="0" w:color="auto"/>
                    <w:right w:val="none" w:sz="0" w:space="0" w:color="auto"/>
                  </w:divBdr>
                  <w:divsChild>
                    <w:div w:id="1852572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8120376">
      <w:bodyDiv w:val="1"/>
      <w:marLeft w:val="0"/>
      <w:marRight w:val="0"/>
      <w:marTop w:val="0"/>
      <w:marBottom w:val="0"/>
      <w:divBdr>
        <w:top w:val="none" w:sz="0" w:space="0" w:color="auto"/>
        <w:left w:val="none" w:sz="0" w:space="0" w:color="auto"/>
        <w:bottom w:val="none" w:sz="0" w:space="0" w:color="auto"/>
        <w:right w:val="none" w:sz="0" w:space="0" w:color="auto"/>
      </w:divBdr>
    </w:div>
    <w:div w:id="6825587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336">
          <w:marLeft w:val="0"/>
          <w:marRight w:val="0"/>
          <w:marTop w:val="0"/>
          <w:marBottom w:val="0"/>
          <w:divBdr>
            <w:top w:val="none" w:sz="0" w:space="0" w:color="auto"/>
            <w:left w:val="none" w:sz="0" w:space="0" w:color="auto"/>
            <w:bottom w:val="none" w:sz="0" w:space="0" w:color="auto"/>
            <w:right w:val="none" w:sz="0" w:space="0" w:color="auto"/>
          </w:divBdr>
          <w:divsChild>
            <w:div w:id="1382510105">
              <w:marLeft w:val="0"/>
              <w:marRight w:val="0"/>
              <w:marTop w:val="0"/>
              <w:marBottom w:val="0"/>
              <w:divBdr>
                <w:top w:val="none" w:sz="0" w:space="0" w:color="auto"/>
                <w:left w:val="none" w:sz="0" w:space="0" w:color="auto"/>
                <w:bottom w:val="none" w:sz="0" w:space="0" w:color="auto"/>
                <w:right w:val="none" w:sz="0" w:space="0" w:color="auto"/>
              </w:divBdr>
              <w:divsChild>
                <w:div w:id="702443220">
                  <w:marLeft w:val="0"/>
                  <w:marRight w:val="0"/>
                  <w:marTop w:val="0"/>
                  <w:marBottom w:val="0"/>
                  <w:divBdr>
                    <w:top w:val="none" w:sz="0" w:space="0" w:color="auto"/>
                    <w:left w:val="none" w:sz="0" w:space="0" w:color="auto"/>
                    <w:bottom w:val="none" w:sz="0" w:space="0" w:color="auto"/>
                    <w:right w:val="none" w:sz="0" w:space="0" w:color="auto"/>
                  </w:divBdr>
                  <w:divsChild>
                    <w:div w:id="254288766">
                      <w:marLeft w:val="0"/>
                      <w:marRight w:val="0"/>
                      <w:marTop w:val="0"/>
                      <w:marBottom w:val="0"/>
                      <w:divBdr>
                        <w:top w:val="none" w:sz="0" w:space="0" w:color="auto"/>
                        <w:left w:val="none" w:sz="0" w:space="0" w:color="auto"/>
                        <w:bottom w:val="none" w:sz="0" w:space="0" w:color="auto"/>
                        <w:right w:val="none" w:sz="0" w:space="0" w:color="auto"/>
                      </w:divBdr>
                      <w:divsChild>
                        <w:div w:id="1858037803">
                          <w:marLeft w:val="0"/>
                          <w:marRight w:val="0"/>
                          <w:marTop w:val="0"/>
                          <w:marBottom w:val="0"/>
                          <w:divBdr>
                            <w:top w:val="none" w:sz="0" w:space="0" w:color="auto"/>
                            <w:left w:val="none" w:sz="0" w:space="0" w:color="auto"/>
                            <w:bottom w:val="none" w:sz="0" w:space="0" w:color="auto"/>
                            <w:right w:val="none" w:sz="0" w:space="0" w:color="auto"/>
                          </w:divBdr>
                          <w:divsChild>
                            <w:div w:id="1425109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18753">
      <w:bodyDiv w:val="1"/>
      <w:marLeft w:val="0"/>
      <w:marRight w:val="0"/>
      <w:marTop w:val="0"/>
      <w:marBottom w:val="0"/>
      <w:divBdr>
        <w:top w:val="none" w:sz="0" w:space="0" w:color="auto"/>
        <w:left w:val="none" w:sz="0" w:space="0" w:color="auto"/>
        <w:bottom w:val="none" w:sz="0" w:space="0" w:color="auto"/>
        <w:right w:val="none" w:sz="0" w:space="0" w:color="auto"/>
      </w:divBdr>
      <w:divsChild>
        <w:div w:id="69154542">
          <w:marLeft w:val="0"/>
          <w:marRight w:val="0"/>
          <w:marTop w:val="0"/>
          <w:marBottom w:val="0"/>
          <w:divBdr>
            <w:top w:val="none" w:sz="0" w:space="0" w:color="auto"/>
            <w:left w:val="none" w:sz="0" w:space="0" w:color="auto"/>
            <w:bottom w:val="none" w:sz="0" w:space="0" w:color="auto"/>
            <w:right w:val="none" w:sz="0" w:space="0" w:color="auto"/>
          </w:divBdr>
          <w:divsChild>
            <w:div w:id="360866316">
              <w:marLeft w:val="0"/>
              <w:marRight w:val="0"/>
              <w:marTop w:val="0"/>
              <w:marBottom w:val="0"/>
              <w:divBdr>
                <w:top w:val="none" w:sz="0" w:space="0" w:color="auto"/>
                <w:left w:val="none" w:sz="0" w:space="0" w:color="auto"/>
                <w:bottom w:val="none" w:sz="0" w:space="0" w:color="auto"/>
                <w:right w:val="none" w:sz="0" w:space="0" w:color="auto"/>
              </w:divBdr>
              <w:divsChild>
                <w:div w:id="353262979">
                  <w:marLeft w:val="0"/>
                  <w:marRight w:val="0"/>
                  <w:marTop w:val="0"/>
                  <w:marBottom w:val="0"/>
                  <w:divBdr>
                    <w:top w:val="none" w:sz="0" w:space="0" w:color="auto"/>
                    <w:left w:val="none" w:sz="0" w:space="0" w:color="auto"/>
                    <w:bottom w:val="none" w:sz="0" w:space="0" w:color="auto"/>
                    <w:right w:val="none" w:sz="0" w:space="0" w:color="auto"/>
                  </w:divBdr>
                  <w:divsChild>
                    <w:div w:id="1644433690">
                      <w:marLeft w:val="0"/>
                      <w:marRight w:val="0"/>
                      <w:marTop w:val="0"/>
                      <w:marBottom w:val="0"/>
                      <w:divBdr>
                        <w:top w:val="none" w:sz="0" w:space="0" w:color="auto"/>
                        <w:left w:val="none" w:sz="0" w:space="0" w:color="auto"/>
                        <w:bottom w:val="none" w:sz="0" w:space="0" w:color="auto"/>
                        <w:right w:val="none" w:sz="0" w:space="0" w:color="auto"/>
                      </w:divBdr>
                      <w:divsChild>
                        <w:div w:id="847990486">
                          <w:marLeft w:val="0"/>
                          <w:marRight w:val="0"/>
                          <w:marTop w:val="0"/>
                          <w:marBottom w:val="0"/>
                          <w:divBdr>
                            <w:top w:val="none" w:sz="0" w:space="0" w:color="auto"/>
                            <w:left w:val="none" w:sz="0" w:space="0" w:color="auto"/>
                            <w:bottom w:val="none" w:sz="0" w:space="0" w:color="auto"/>
                            <w:right w:val="none" w:sz="0" w:space="0" w:color="auto"/>
                          </w:divBdr>
                          <w:divsChild>
                            <w:div w:id="181017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8225">
      <w:bodyDiv w:val="1"/>
      <w:marLeft w:val="0"/>
      <w:marRight w:val="0"/>
      <w:marTop w:val="0"/>
      <w:marBottom w:val="0"/>
      <w:divBdr>
        <w:top w:val="none" w:sz="0" w:space="0" w:color="auto"/>
        <w:left w:val="none" w:sz="0" w:space="0" w:color="auto"/>
        <w:bottom w:val="none" w:sz="0" w:space="0" w:color="auto"/>
        <w:right w:val="none" w:sz="0" w:space="0" w:color="auto"/>
      </w:divBdr>
      <w:divsChild>
        <w:div w:id="1399980598">
          <w:marLeft w:val="0"/>
          <w:marRight w:val="0"/>
          <w:marTop w:val="0"/>
          <w:marBottom w:val="0"/>
          <w:divBdr>
            <w:top w:val="none" w:sz="0" w:space="0" w:color="auto"/>
            <w:left w:val="none" w:sz="0" w:space="0" w:color="auto"/>
            <w:bottom w:val="none" w:sz="0" w:space="0" w:color="auto"/>
            <w:right w:val="none" w:sz="0" w:space="0" w:color="auto"/>
          </w:divBdr>
          <w:divsChild>
            <w:div w:id="1384526767">
              <w:marLeft w:val="0"/>
              <w:marRight w:val="0"/>
              <w:marTop w:val="0"/>
              <w:marBottom w:val="0"/>
              <w:divBdr>
                <w:top w:val="none" w:sz="0" w:space="0" w:color="auto"/>
                <w:left w:val="none" w:sz="0" w:space="0" w:color="auto"/>
                <w:bottom w:val="none" w:sz="0" w:space="0" w:color="auto"/>
                <w:right w:val="none" w:sz="0" w:space="0" w:color="auto"/>
              </w:divBdr>
              <w:divsChild>
                <w:div w:id="729575077">
                  <w:marLeft w:val="0"/>
                  <w:marRight w:val="0"/>
                  <w:marTop w:val="0"/>
                  <w:marBottom w:val="0"/>
                  <w:divBdr>
                    <w:top w:val="none" w:sz="0" w:space="0" w:color="auto"/>
                    <w:left w:val="none" w:sz="0" w:space="0" w:color="auto"/>
                    <w:bottom w:val="none" w:sz="0" w:space="0" w:color="auto"/>
                    <w:right w:val="none" w:sz="0" w:space="0" w:color="auto"/>
                  </w:divBdr>
                  <w:divsChild>
                    <w:div w:id="362366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0654076">
      <w:bodyDiv w:val="1"/>
      <w:marLeft w:val="0"/>
      <w:marRight w:val="0"/>
      <w:marTop w:val="0"/>
      <w:marBottom w:val="0"/>
      <w:divBdr>
        <w:top w:val="none" w:sz="0" w:space="0" w:color="auto"/>
        <w:left w:val="none" w:sz="0" w:space="0" w:color="auto"/>
        <w:bottom w:val="none" w:sz="0" w:space="0" w:color="auto"/>
        <w:right w:val="none" w:sz="0" w:space="0" w:color="auto"/>
      </w:divBdr>
      <w:divsChild>
        <w:div w:id="1311254433">
          <w:marLeft w:val="0"/>
          <w:marRight w:val="0"/>
          <w:marTop w:val="0"/>
          <w:marBottom w:val="0"/>
          <w:divBdr>
            <w:top w:val="none" w:sz="0" w:space="0" w:color="auto"/>
            <w:left w:val="none" w:sz="0" w:space="0" w:color="auto"/>
            <w:bottom w:val="none" w:sz="0" w:space="0" w:color="auto"/>
            <w:right w:val="none" w:sz="0" w:space="0" w:color="auto"/>
          </w:divBdr>
          <w:divsChild>
            <w:div w:id="2031175784">
              <w:marLeft w:val="0"/>
              <w:marRight w:val="0"/>
              <w:marTop w:val="0"/>
              <w:marBottom w:val="0"/>
              <w:divBdr>
                <w:top w:val="none" w:sz="0" w:space="0" w:color="auto"/>
                <w:left w:val="none" w:sz="0" w:space="0" w:color="auto"/>
                <w:bottom w:val="none" w:sz="0" w:space="0" w:color="auto"/>
                <w:right w:val="none" w:sz="0" w:space="0" w:color="auto"/>
              </w:divBdr>
              <w:divsChild>
                <w:div w:id="1937057297">
                  <w:marLeft w:val="0"/>
                  <w:marRight w:val="0"/>
                  <w:marTop w:val="0"/>
                  <w:marBottom w:val="0"/>
                  <w:divBdr>
                    <w:top w:val="none" w:sz="0" w:space="0" w:color="auto"/>
                    <w:left w:val="none" w:sz="0" w:space="0" w:color="auto"/>
                    <w:bottom w:val="none" w:sz="0" w:space="0" w:color="auto"/>
                    <w:right w:val="none" w:sz="0" w:space="0" w:color="auto"/>
                  </w:divBdr>
                  <w:divsChild>
                    <w:div w:id="258372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70034214">
      <w:bodyDiv w:val="1"/>
      <w:marLeft w:val="0"/>
      <w:marRight w:val="0"/>
      <w:marTop w:val="0"/>
      <w:marBottom w:val="0"/>
      <w:divBdr>
        <w:top w:val="none" w:sz="0" w:space="0" w:color="auto"/>
        <w:left w:val="none" w:sz="0" w:space="0" w:color="auto"/>
        <w:bottom w:val="none" w:sz="0" w:space="0" w:color="auto"/>
        <w:right w:val="none" w:sz="0" w:space="0" w:color="auto"/>
      </w:divBdr>
      <w:divsChild>
        <w:div w:id="2007056215">
          <w:marLeft w:val="547"/>
          <w:marRight w:val="0"/>
          <w:marTop w:val="0"/>
          <w:marBottom w:val="0"/>
          <w:divBdr>
            <w:top w:val="none" w:sz="0" w:space="0" w:color="auto"/>
            <w:left w:val="none" w:sz="0" w:space="0" w:color="auto"/>
            <w:bottom w:val="none" w:sz="0" w:space="0" w:color="auto"/>
            <w:right w:val="none" w:sz="0" w:space="0" w:color="auto"/>
          </w:divBdr>
        </w:div>
      </w:divsChild>
    </w:div>
    <w:div w:id="2101945175">
      <w:bodyDiv w:val="1"/>
      <w:marLeft w:val="0"/>
      <w:marRight w:val="0"/>
      <w:marTop w:val="0"/>
      <w:marBottom w:val="0"/>
      <w:divBdr>
        <w:top w:val="none" w:sz="0" w:space="0" w:color="auto"/>
        <w:left w:val="none" w:sz="0" w:space="0" w:color="auto"/>
        <w:bottom w:val="none" w:sz="0" w:space="0" w:color="auto"/>
        <w:right w:val="none" w:sz="0" w:space="0" w:color="auto"/>
      </w:divBdr>
      <w:divsChild>
        <w:div w:id="1593200315">
          <w:marLeft w:val="0"/>
          <w:marRight w:val="0"/>
          <w:marTop w:val="0"/>
          <w:marBottom w:val="0"/>
          <w:divBdr>
            <w:top w:val="none" w:sz="0" w:space="0" w:color="auto"/>
            <w:left w:val="none" w:sz="0" w:space="0" w:color="auto"/>
            <w:bottom w:val="none" w:sz="0" w:space="0" w:color="auto"/>
            <w:right w:val="none" w:sz="0" w:space="0" w:color="auto"/>
          </w:divBdr>
          <w:divsChild>
            <w:div w:id="1112243621">
              <w:marLeft w:val="0"/>
              <w:marRight w:val="0"/>
              <w:marTop w:val="0"/>
              <w:marBottom w:val="0"/>
              <w:divBdr>
                <w:top w:val="none" w:sz="0" w:space="0" w:color="auto"/>
                <w:left w:val="none" w:sz="0" w:space="0" w:color="auto"/>
                <w:bottom w:val="none" w:sz="0" w:space="0" w:color="auto"/>
                <w:right w:val="none" w:sz="0" w:space="0" w:color="auto"/>
              </w:divBdr>
              <w:divsChild>
                <w:div w:id="54011958">
                  <w:marLeft w:val="0"/>
                  <w:marRight w:val="0"/>
                  <w:marTop w:val="0"/>
                  <w:marBottom w:val="0"/>
                  <w:divBdr>
                    <w:top w:val="none" w:sz="0" w:space="0" w:color="auto"/>
                    <w:left w:val="none" w:sz="0" w:space="0" w:color="auto"/>
                    <w:bottom w:val="none" w:sz="0" w:space="0" w:color="auto"/>
                    <w:right w:val="none" w:sz="0" w:space="0" w:color="auto"/>
                  </w:divBdr>
                  <w:divsChild>
                    <w:div w:id="1025518865">
                      <w:marLeft w:val="0"/>
                      <w:marRight w:val="0"/>
                      <w:marTop w:val="0"/>
                      <w:marBottom w:val="0"/>
                      <w:divBdr>
                        <w:top w:val="none" w:sz="0" w:space="0" w:color="auto"/>
                        <w:left w:val="none" w:sz="0" w:space="0" w:color="auto"/>
                        <w:bottom w:val="none" w:sz="0" w:space="0" w:color="auto"/>
                        <w:right w:val="none" w:sz="0" w:space="0" w:color="auto"/>
                      </w:divBdr>
                      <w:divsChild>
                        <w:div w:id="1642733171">
                          <w:marLeft w:val="0"/>
                          <w:marRight w:val="0"/>
                          <w:marTop w:val="0"/>
                          <w:marBottom w:val="0"/>
                          <w:divBdr>
                            <w:top w:val="none" w:sz="0" w:space="0" w:color="auto"/>
                            <w:left w:val="none" w:sz="0" w:space="0" w:color="auto"/>
                            <w:bottom w:val="none" w:sz="0" w:space="0" w:color="auto"/>
                            <w:right w:val="none" w:sz="0" w:space="0" w:color="auto"/>
                          </w:divBdr>
                          <w:divsChild>
                            <w:div w:id="9248067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s.dk/sites/pub/Publication%20Reports/Advice/2017/2017/her.27.25-293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Bartule@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56709-noteikumi-par-rupniecisko-zveju-teritorialajos-udenos-un-ekonomiskas-zonas-udenos" TargetMode="External"/><Relationship Id="rId4" Type="http://schemas.openxmlformats.org/officeDocument/2006/relationships/settings" Target="settings.xml"/><Relationship Id="rId9" Type="http://schemas.openxmlformats.org/officeDocument/2006/relationships/hyperlink" Target="https://likumi.lv/ta/id/156709-noteikumi-par-rupniecisko-zveju-teritorialajos-udenos-un-ekonomiskas-zonas-uden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0087-4BC4-4B5F-9222-8DB5AE80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3069</Words>
  <Characters>20313</Characters>
  <Application>Microsoft Office Word</Application>
  <DocSecurity>0</DocSecurity>
  <Lines>169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vector>
  </TitlesOfParts>
  <Company>Zemkopības Ministrija</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Inese Bārtule</dc:creator>
  <dc:description>Bārtule 67027525_x000d_
Inese.Bartule@zm.gov.lv</dc:description>
  <cp:lastModifiedBy>Sanita Žagare</cp:lastModifiedBy>
  <cp:revision>12</cp:revision>
  <cp:lastPrinted>2017-09-27T09:53:00Z</cp:lastPrinted>
  <dcterms:created xsi:type="dcterms:W3CDTF">2017-09-13T12:21:00Z</dcterms:created>
  <dcterms:modified xsi:type="dcterms:W3CDTF">2017-10-27T06:03:00Z</dcterms:modified>
</cp:coreProperties>
</file>