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24038" w14:textId="77777777" w:rsidR="00053BDB" w:rsidRPr="00F52FFA" w:rsidRDefault="00053BDB" w:rsidP="00053BDB">
      <w:pPr>
        <w:jc w:val="center"/>
        <w:rPr>
          <w:b/>
          <w:sz w:val="25"/>
          <w:szCs w:val="25"/>
        </w:rPr>
      </w:pPr>
      <w:r w:rsidRPr="00F52FFA">
        <w:rPr>
          <w:b/>
          <w:sz w:val="25"/>
          <w:szCs w:val="25"/>
        </w:rPr>
        <w:t>Ministru kabineta noteikumu projekta</w:t>
      </w:r>
    </w:p>
    <w:p w14:paraId="1AF67305" w14:textId="320D7A38" w:rsidR="00053BDB" w:rsidRPr="00F52FFA" w:rsidRDefault="00053BDB" w:rsidP="00053BDB">
      <w:pPr>
        <w:spacing w:after="120"/>
        <w:jc w:val="center"/>
        <w:rPr>
          <w:b/>
        </w:rPr>
      </w:pPr>
      <w:r w:rsidRPr="00F52FFA">
        <w:rPr>
          <w:b/>
          <w:sz w:val="25"/>
          <w:szCs w:val="25"/>
        </w:rPr>
        <w:t xml:space="preserve">“Darbības programmas “Izaugsme un nodarbinātība” 4.2.1.specifiskā atbalsta mērķa “Veicināt energoefektivitātes paaugstināšanu valsts un dzīvojamās ēkās” 4.2.1.2.pasākuma “Veicināt energoefektivitātes paaugstināšanu valsts ēkās” </w:t>
      </w:r>
      <w:r w:rsidR="002A2E73" w:rsidRPr="00F52FFA">
        <w:rPr>
          <w:b/>
          <w:sz w:val="25"/>
          <w:szCs w:val="25"/>
        </w:rPr>
        <w:t>otrās</w:t>
      </w:r>
      <w:r w:rsidRPr="00F52FFA">
        <w:rPr>
          <w:b/>
          <w:sz w:val="25"/>
          <w:szCs w:val="25"/>
        </w:rPr>
        <w:t xml:space="preserve"> projektu iesniegumu atlases kārtas īstenošanas noteikumi” sākotnējās ietekmes novērtējuma ziņojums (anotācija)</w:t>
      </w:r>
    </w:p>
    <w:tbl>
      <w:tblPr>
        <w:tblStyle w:val="TableGrid"/>
        <w:tblW w:w="9635" w:type="dxa"/>
        <w:tblLook w:val="04A0" w:firstRow="1" w:lastRow="0" w:firstColumn="1" w:lastColumn="0" w:noHBand="0" w:noVBand="1"/>
      </w:tblPr>
      <w:tblGrid>
        <w:gridCol w:w="421"/>
        <w:gridCol w:w="2126"/>
        <w:gridCol w:w="7088"/>
      </w:tblGrid>
      <w:tr w:rsidR="00053BDB" w:rsidRPr="00F52FFA" w14:paraId="5D9BB111" w14:textId="77777777" w:rsidTr="00DF3755">
        <w:tc>
          <w:tcPr>
            <w:tcW w:w="9635" w:type="dxa"/>
            <w:gridSpan w:val="3"/>
          </w:tcPr>
          <w:p w14:paraId="7BA75603" w14:textId="77777777" w:rsidR="00053BDB" w:rsidRPr="00F52FFA" w:rsidRDefault="00053BDB" w:rsidP="00053BDB">
            <w:pPr>
              <w:jc w:val="center"/>
            </w:pPr>
            <w:r w:rsidRPr="00F52FFA">
              <w:rPr>
                <w:b/>
                <w:bCs/>
              </w:rPr>
              <w:t>I. Tiesību akta projekta izstrādes nepieciešamība</w:t>
            </w:r>
          </w:p>
        </w:tc>
      </w:tr>
      <w:tr w:rsidR="00053BDB" w:rsidRPr="00F52FFA" w14:paraId="73C2B3D2" w14:textId="77777777" w:rsidTr="00DF3755">
        <w:tc>
          <w:tcPr>
            <w:tcW w:w="421" w:type="dxa"/>
          </w:tcPr>
          <w:p w14:paraId="38E4BC4F" w14:textId="77777777" w:rsidR="00053BDB" w:rsidRPr="00F52FFA" w:rsidRDefault="00053BDB">
            <w:r w:rsidRPr="00F52FFA">
              <w:t>1.</w:t>
            </w:r>
          </w:p>
        </w:tc>
        <w:tc>
          <w:tcPr>
            <w:tcW w:w="2126" w:type="dxa"/>
          </w:tcPr>
          <w:p w14:paraId="3A18E217" w14:textId="77777777" w:rsidR="00053BDB" w:rsidRPr="00F52FFA" w:rsidRDefault="00053BDB" w:rsidP="00053BDB">
            <w:r w:rsidRPr="00F52FFA">
              <w:t>Pamatojums</w:t>
            </w:r>
          </w:p>
        </w:tc>
        <w:tc>
          <w:tcPr>
            <w:tcW w:w="7088" w:type="dxa"/>
          </w:tcPr>
          <w:p w14:paraId="67A65974" w14:textId="51625D82" w:rsidR="00F95DDA" w:rsidRPr="00F52FFA" w:rsidRDefault="00053BDB" w:rsidP="005112CE">
            <w:pPr>
              <w:jc w:val="both"/>
            </w:pPr>
            <w:r w:rsidRPr="00F52FFA">
              <w:t xml:space="preserve">Ministru kabineta (turpmāk – MK) noteikumu projekts </w:t>
            </w:r>
            <w:r w:rsidRPr="00F52FFA">
              <w:rPr>
                <w:b/>
              </w:rPr>
              <w:t xml:space="preserve">“Darbības programmas “Izaugsme un nodarbinātība” 4.2.1.specifiskā atbalsta mērķa “Veicināt energoefektivitātes paaugstināšanu valsts un dzīvojamās ēkās” 4.2.1.2.pasākuma “Veicināt energoefektivitātes paaugstināšanu valsts ēkās” </w:t>
            </w:r>
            <w:r w:rsidR="002A2E73" w:rsidRPr="00F52FFA">
              <w:rPr>
                <w:b/>
              </w:rPr>
              <w:t>otrās</w:t>
            </w:r>
            <w:r w:rsidR="005112CE" w:rsidRPr="00F52FFA">
              <w:rPr>
                <w:b/>
              </w:rPr>
              <w:t xml:space="preserve"> projektu iesniegumu atlases kārtas </w:t>
            </w:r>
            <w:r w:rsidRPr="00F52FFA">
              <w:rPr>
                <w:b/>
              </w:rPr>
              <w:t>īstenošanas noteikumi</w:t>
            </w:r>
            <w:r w:rsidRPr="00F52FFA">
              <w:t xml:space="preserve">”  (turpmāk – noteikumu projekts) </w:t>
            </w:r>
            <w:r w:rsidRPr="00F52FFA">
              <w:rPr>
                <w:shd w:val="clear" w:color="auto" w:fill="FFFFFF"/>
              </w:rPr>
              <w:t xml:space="preserve">izstrādāts atbilstoši </w:t>
            </w:r>
            <w:r w:rsidRPr="00F52FFA">
              <w:t xml:space="preserve">Eiropas Savienības struktūrfondu un Kohēzijas fonda 2014.-2020.gada plānošanas perioda vadības likuma 20.panta </w:t>
            </w:r>
            <w:r w:rsidR="009B57A0" w:rsidRPr="00F52FFA">
              <w:t xml:space="preserve">6. un </w:t>
            </w:r>
            <w:r w:rsidRPr="00F52FFA">
              <w:t>13.punktam.</w:t>
            </w:r>
          </w:p>
        </w:tc>
      </w:tr>
      <w:tr w:rsidR="00E635F8" w:rsidRPr="00F52FFA" w14:paraId="6544EB75" w14:textId="77777777" w:rsidTr="00F95DDA">
        <w:trPr>
          <w:trHeight w:val="1402"/>
        </w:trPr>
        <w:tc>
          <w:tcPr>
            <w:tcW w:w="421" w:type="dxa"/>
          </w:tcPr>
          <w:p w14:paraId="0F7962B9" w14:textId="6662F16D" w:rsidR="00E635F8" w:rsidRPr="00F52FFA" w:rsidRDefault="0055763C" w:rsidP="00E635F8">
            <w:r w:rsidRPr="00F52FFA">
              <w:t>2.</w:t>
            </w:r>
          </w:p>
        </w:tc>
        <w:tc>
          <w:tcPr>
            <w:tcW w:w="2126" w:type="dxa"/>
          </w:tcPr>
          <w:p w14:paraId="3ECD082F" w14:textId="19DD4C2B" w:rsidR="001C16F9" w:rsidRPr="00F52FFA" w:rsidRDefault="0055763C" w:rsidP="00E635F8">
            <w:r w:rsidRPr="00F52FFA">
              <w:t>Pašreizējā situācija un problēmas, kuru risināšanai tiesību akta projekts izstrādāts, tiesiskā regulējuma mērķis un būtība</w:t>
            </w:r>
          </w:p>
          <w:p w14:paraId="4065C3C0" w14:textId="77777777" w:rsidR="001C16F9" w:rsidRPr="00F52FFA" w:rsidRDefault="001C16F9" w:rsidP="001C16F9"/>
          <w:p w14:paraId="5609A165" w14:textId="77777777" w:rsidR="001C16F9" w:rsidRPr="00F52FFA" w:rsidRDefault="001C16F9" w:rsidP="001C16F9"/>
          <w:p w14:paraId="668A2C45" w14:textId="77777777" w:rsidR="001C16F9" w:rsidRPr="00F52FFA" w:rsidRDefault="001C16F9" w:rsidP="001C16F9"/>
          <w:p w14:paraId="41D636DA" w14:textId="77777777" w:rsidR="001C16F9" w:rsidRPr="00F52FFA" w:rsidRDefault="001C16F9" w:rsidP="001C16F9"/>
          <w:p w14:paraId="5CCB88CB" w14:textId="77777777" w:rsidR="001C16F9" w:rsidRPr="00F52FFA" w:rsidRDefault="001C16F9" w:rsidP="001C16F9"/>
          <w:p w14:paraId="59BFBD80" w14:textId="074BC7BD" w:rsidR="001C16F9" w:rsidRPr="00F52FFA" w:rsidRDefault="001C16F9" w:rsidP="001C16F9"/>
          <w:p w14:paraId="013A5809" w14:textId="27BECF8B" w:rsidR="00BE2270" w:rsidRPr="00F52FFA" w:rsidRDefault="00BE2270" w:rsidP="001C16F9">
            <w:pPr>
              <w:jc w:val="center"/>
            </w:pPr>
          </w:p>
          <w:p w14:paraId="5AC5D242" w14:textId="77777777" w:rsidR="00BE2270" w:rsidRPr="00F52FFA" w:rsidRDefault="00BE2270" w:rsidP="00BE2270"/>
          <w:p w14:paraId="511AF722" w14:textId="77777777" w:rsidR="00BE2270" w:rsidRPr="00F52FFA" w:rsidRDefault="00BE2270" w:rsidP="00BE2270"/>
          <w:p w14:paraId="7A7EFD4C" w14:textId="77777777" w:rsidR="00BE2270" w:rsidRPr="00F52FFA" w:rsidRDefault="00BE2270" w:rsidP="00BE2270"/>
          <w:p w14:paraId="41716DBE" w14:textId="77777777" w:rsidR="00BE2270" w:rsidRPr="00F52FFA" w:rsidRDefault="00BE2270" w:rsidP="00BE2270"/>
          <w:p w14:paraId="0EB90564" w14:textId="77777777" w:rsidR="00BE2270" w:rsidRPr="00F52FFA" w:rsidRDefault="00BE2270" w:rsidP="00BE2270"/>
          <w:p w14:paraId="7363ADEB" w14:textId="77777777" w:rsidR="00BE2270" w:rsidRPr="00F52FFA" w:rsidRDefault="00BE2270" w:rsidP="00BE2270"/>
          <w:p w14:paraId="65E6B37E" w14:textId="77777777" w:rsidR="00BE2270" w:rsidRPr="00F52FFA" w:rsidRDefault="00BE2270" w:rsidP="00BE2270"/>
          <w:p w14:paraId="111AC025" w14:textId="77777777" w:rsidR="00BE2270" w:rsidRPr="00F52FFA" w:rsidRDefault="00BE2270" w:rsidP="00BE2270"/>
          <w:p w14:paraId="13B12FF4" w14:textId="77777777" w:rsidR="00BE2270" w:rsidRPr="00F52FFA" w:rsidRDefault="00BE2270" w:rsidP="00BE2270"/>
          <w:p w14:paraId="21619CC6" w14:textId="77777777" w:rsidR="00BE2270" w:rsidRPr="00F52FFA" w:rsidRDefault="00BE2270" w:rsidP="00BE2270"/>
          <w:p w14:paraId="6EFFB437" w14:textId="77777777" w:rsidR="00BE2270" w:rsidRPr="00F52FFA" w:rsidRDefault="00BE2270" w:rsidP="00BE2270"/>
          <w:p w14:paraId="52BEE15F" w14:textId="77777777" w:rsidR="00BE2270" w:rsidRPr="00F52FFA" w:rsidRDefault="00BE2270" w:rsidP="00BE2270"/>
          <w:p w14:paraId="5E2CC3F6" w14:textId="279C76D3" w:rsidR="002815EE" w:rsidRPr="00F52FFA" w:rsidRDefault="002815EE" w:rsidP="00BE2270">
            <w:pPr>
              <w:jc w:val="center"/>
            </w:pPr>
          </w:p>
          <w:p w14:paraId="0E0EB046" w14:textId="77777777" w:rsidR="002815EE" w:rsidRPr="00F52FFA" w:rsidRDefault="002815EE" w:rsidP="00D92E17"/>
          <w:p w14:paraId="388736A6" w14:textId="36484869" w:rsidR="00E635F8" w:rsidRPr="00F52FFA" w:rsidRDefault="00E635F8" w:rsidP="00D92E17"/>
        </w:tc>
        <w:tc>
          <w:tcPr>
            <w:tcW w:w="7088" w:type="dxa"/>
          </w:tcPr>
          <w:p w14:paraId="5ABFB6A9" w14:textId="1A35454E" w:rsidR="00E635F8" w:rsidRPr="00F52FFA" w:rsidRDefault="00E635F8" w:rsidP="00E635F8">
            <w:pPr>
              <w:autoSpaceDE w:val="0"/>
              <w:autoSpaceDN w:val="0"/>
              <w:jc w:val="both"/>
            </w:pPr>
            <w:r w:rsidRPr="00F52FFA">
              <w:t xml:space="preserve">Saskaņā ar  Latvijas Nacionālo attīstības plānu 2014.–2020.gadam  un  Eiropas Parlamenta un Padomes 2012.gada 25.oktobra Direktīvu 2012/27/ES par energoefektivitāti, ar ko groza Direktīvas 2009/125/EK un 2010/30/ES, un atceļ Direktīvas 2004/8/EK un 2006/32/EK (turpmāk – Direktīva 2012/27ES) Latvijai jāsasniedz indikatīvais valsts energoefektivitātes mērķis, kura ietvaros jānodrošina divi saistoši mērķi: </w:t>
            </w:r>
          </w:p>
          <w:p w14:paraId="07CF4518" w14:textId="77777777" w:rsidR="00E635F8" w:rsidRPr="00F52FFA" w:rsidRDefault="00E635F8" w:rsidP="00E635F8">
            <w:pPr>
              <w:pStyle w:val="ListParagraph"/>
              <w:numPr>
                <w:ilvl w:val="0"/>
                <w:numId w:val="1"/>
              </w:numPr>
              <w:autoSpaceDE w:val="0"/>
              <w:autoSpaceDN w:val="0"/>
              <w:jc w:val="both"/>
            </w:pPr>
            <w:r w:rsidRPr="00F52FFA">
              <w:t xml:space="preserve">jāsasniedz uzkrātā enerģijas </w:t>
            </w:r>
            <w:proofErr w:type="spellStart"/>
            <w:r w:rsidRPr="00F52FFA">
              <w:t>galapatēriņa</w:t>
            </w:r>
            <w:proofErr w:type="spellEnd"/>
            <w:r w:rsidRPr="00F52FFA">
              <w:t xml:space="preserve"> ietaupījuma mērķis 9 896 </w:t>
            </w:r>
            <w:proofErr w:type="spellStart"/>
            <w:r w:rsidRPr="00F52FFA">
              <w:t>GWh</w:t>
            </w:r>
            <w:proofErr w:type="spellEnd"/>
            <w:r w:rsidRPr="00F52FFA">
              <w:t xml:space="preserve"> apmērā; </w:t>
            </w:r>
          </w:p>
          <w:p w14:paraId="359A5913" w14:textId="77777777" w:rsidR="00E635F8" w:rsidRPr="00F52FFA" w:rsidRDefault="00E635F8" w:rsidP="00E635F8">
            <w:pPr>
              <w:pStyle w:val="ListParagraph"/>
              <w:numPr>
                <w:ilvl w:val="0"/>
                <w:numId w:val="1"/>
              </w:numPr>
              <w:autoSpaceDE w:val="0"/>
              <w:autoSpaceDN w:val="0"/>
              <w:spacing w:after="120"/>
              <w:ind w:left="714" w:hanging="357"/>
              <w:jc w:val="both"/>
            </w:pPr>
            <w:r w:rsidRPr="00F52FFA">
              <w:t xml:space="preserve">katru gadu 3% valdības īpašumā esošo un izmantoto  ēku platībās ir jāīsteno energoefektivitātes paaugstināšanas pasākumi (Direktīvas 2012/27ES 3.panta un 5.panta 1.punkta prasība). </w:t>
            </w:r>
          </w:p>
          <w:p w14:paraId="4FBCECAA" w14:textId="6C2C62C4" w:rsidR="00CF7DBA" w:rsidRPr="00F52FFA" w:rsidRDefault="00CF7DBA" w:rsidP="00CF7DBA">
            <w:pPr>
              <w:autoSpaceDE w:val="0"/>
              <w:autoSpaceDN w:val="0"/>
              <w:jc w:val="both"/>
            </w:pPr>
            <w:r w:rsidRPr="00F52FFA">
              <w:t xml:space="preserve">Lai nodrošinātu augstāk minēto mērķu sasniegšanu, t.sk. Direktīvas 2012/27/ES 5.panta 1.punkta prasības, Ekonomikas ministrija (turpmāk </w:t>
            </w:r>
            <w:r w:rsidR="00810C15" w:rsidRPr="00F52FFA">
              <w:t>–</w:t>
            </w:r>
            <w:r w:rsidRPr="00F52FFA">
              <w:t xml:space="preserve"> EM) īsteno 4.2.1.2. pasākumu “Veicināt energoefektivitātes paaugstināšanu valsts ēkās” (turpmāk – 4.2.1.2. pasākums), kā mērķis ir veicināt energoefektivitātes paaugstināšanu, viedu </w:t>
            </w:r>
            <w:proofErr w:type="spellStart"/>
            <w:r w:rsidRPr="00F52FFA">
              <w:t>energovadību</w:t>
            </w:r>
            <w:proofErr w:type="spellEnd"/>
            <w:r w:rsidRPr="00F52FFA">
              <w:t xml:space="preserve"> un atjaunojamo energoresursu izmantošanu.</w:t>
            </w:r>
          </w:p>
          <w:p w14:paraId="4D34B2D4" w14:textId="04D2A7F2" w:rsidR="00CF7DBA" w:rsidRPr="00F52FFA" w:rsidRDefault="00CF7DBA" w:rsidP="00CF7DBA">
            <w:pPr>
              <w:autoSpaceDE w:val="0"/>
              <w:autoSpaceDN w:val="0"/>
              <w:jc w:val="both"/>
            </w:pPr>
            <w:r w:rsidRPr="00F52FFA">
              <w:t>4.2.1.2.pasākumam plānotais kopējais pu</w:t>
            </w:r>
            <w:r w:rsidR="009E7383" w:rsidRPr="00F52FFA">
              <w:t>bliskais finansējums ir 115 127 </w:t>
            </w:r>
            <w:r w:rsidRPr="00F52FFA">
              <w:t xml:space="preserve">027 </w:t>
            </w:r>
            <w:proofErr w:type="spellStart"/>
            <w:r w:rsidRPr="00F52FFA">
              <w:rPr>
                <w:i/>
              </w:rPr>
              <w:t>euro</w:t>
            </w:r>
            <w:proofErr w:type="spellEnd"/>
            <w:r w:rsidRPr="00F52FFA">
              <w:rPr>
                <w:i/>
              </w:rPr>
              <w:t>,</w:t>
            </w:r>
            <w:r w:rsidRPr="00F52FFA">
              <w:t xml:space="preserve"> tajā skaitā Eiropas Reģionālās attīstība fonda (turpmāk – ERAF) finansējums ir 97 857 972 </w:t>
            </w:r>
            <w:proofErr w:type="spellStart"/>
            <w:r w:rsidRPr="00F52FFA">
              <w:rPr>
                <w:i/>
              </w:rPr>
              <w:t>euro</w:t>
            </w:r>
            <w:proofErr w:type="spellEnd"/>
            <w:r w:rsidRPr="00F52FFA">
              <w:rPr>
                <w:i/>
              </w:rPr>
              <w:t xml:space="preserve"> </w:t>
            </w:r>
            <w:r w:rsidRPr="00F52FFA">
              <w:t xml:space="preserve">un valsts budžeta finansējums – 17 269 055 </w:t>
            </w:r>
            <w:proofErr w:type="spellStart"/>
            <w:r w:rsidRPr="00F52FFA">
              <w:rPr>
                <w:i/>
              </w:rPr>
              <w:t>euro</w:t>
            </w:r>
            <w:proofErr w:type="spellEnd"/>
            <w:r w:rsidRPr="00F52FFA">
              <w:t xml:space="preserve">. Atbalsts tiek piešķirts </w:t>
            </w:r>
            <w:proofErr w:type="spellStart"/>
            <w:r w:rsidRPr="00F52FFA">
              <w:t>grantu</w:t>
            </w:r>
            <w:proofErr w:type="spellEnd"/>
            <w:r w:rsidRPr="00F52FFA">
              <w:t xml:space="preserve"> veidā energoefektivitātes paaugstināšanas </w:t>
            </w:r>
            <w:r w:rsidR="00E721B0" w:rsidRPr="00F52FFA">
              <w:t xml:space="preserve">jeb </w:t>
            </w:r>
            <w:r w:rsidR="00431B39" w:rsidRPr="00F52FFA">
              <w:t xml:space="preserve">uzlabošanas </w:t>
            </w:r>
            <w:r w:rsidRPr="00F52FFA">
              <w:t>pasākumu īstenošanai.</w:t>
            </w:r>
            <w:r w:rsidR="00BE21BF" w:rsidRPr="00F52FFA">
              <w:t xml:space="preserve"> Saskaņā ar Energoefektivitātes likumu energoefektivitātes uzlabošanas pasākumi ir tādas darbības, kuru rezultātā tiek panākts pārbaudāms, izmērāms vai aprēķināms energoefektivitātes pieaugums. </w:t>
            </w:r>
          </w:p>
          <w:p w14:paraId="0BD90CBB" w14:textId="216F730A" w:rsidR="00CD1EA5" w:rsidRPr="00F52FFA" w:rsidRDefault="00CD1EA5" w:rsidP="00CD1EA5">
            <w:pPr>
              <w:autoSpaceDE w:val="0"/>
              <w:autoSpaceDN w:val="0"/>
              <w:jc w:val="both"/>
            </w:pPr>
            <w:r w:rsidRPr="00F52FFA">
              <w:t>4.2.1.2. pasākum</w:t>
            </w:r>
            <w:r w:rsidR="00CF7DBA" w:rsidRPr="00F52FFA">
              <w:t>a</w:t>
            </w:r>
            <w:r w:rsidR="00E635F8" w:rsidRPr="00F52FFA">
              <w:t xml:space="preserve"> </w:t>
            </w:r>
            <w:r w:rsidRPr="00F52FFA">
              <w:t>pirm</w:t>
            </w:r>
            <w:r w:rsidR="00CF7DBA" w:rsidRPr="00F52FFA">
              <w:t>ā</w:t>
            </w:r>
            <w:r w:rsidRPr="00F52FFA">
              <w:t xml:space="preserve"> projektu iesniegumu atlases kārta </w:t>
            </w:r>
            <w:r w:rsidR="00CF7DBA" w:rsidRPr="00F52FFA">
              <w:t>tiek īstenota s</w:t>
            </w:r>
            <w:r w:rsidRPr="00F52FFA">
              <w:t>askaņā ar Ministru kabineta 2016. gada 9. augusta noteikumiem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(turpmāk – MK noteikumi Nr. 534)</w:t>
            </w:r>
            <w:r w:rsidR="00E635F8" w:rsidRPr="00F52FFA">
              <w:t>.</w:t>
            </w:r>
            <w:r w:rsidR="00CF7DBA" w:rsidRPr="00F52FFA">
              <w:t xml:space="preserve"> </w:t>
            </w:r>
            <w:r w:rsidRPr="00F52FFA">
              <w:t xml:space="preserve">EM ir veikusi aprēķinu, nosakot, ka, lai ik gadu (sākot ar 2017.gadu) līdz 2020.gadam atjaunotu 3% no valsts ēku kopējās platības, pirmās projektu iesniegumu atlases kārtas īstenošanai </w:t>
            </w:r>
            <w:r w:rsidRPr="00F52FFA">
              <w:lastRenderedPageBreak/>
              <w:t xml:space="preserve">pieejamais publiskais finansējums ir 82 619 415 </w:t>
            </w:r>
            <w:proofErr w:type="spellStart"/>
            <w:r w:rsidRPr="00F52FFA">
              <w:rPr>
                <w:i/>
              </w:rPr>
              <w:t>euro</w:t>
            </w:r>
            <w:proofErr w:type="spellEnd"/>
            <w:r w:rsidRPr="00F52FFA">
              <w:t xml:space="preserve">, tajā skaitā Eiropas Reģionālās attīstības fonda (turpmāk – ERAF) finansējums 70 226 502 </w:t>
            </w:r>
            <w:proofErr w:type="spellStart"/>
            <w:r w:rsidRPr="00F52FFA">
              <w:rPr>
                <w:i/>
              </w:rPr>
              <w:t>euro</w:t>
            </w:r>
            <w:proofErr w:type="spellEnd"/>
            <w:r w:rsidRPr="00F52FFA">
              <w:t xml:space="preserve"> un valsts budžeta finansējums 12 392 913 </w:t>
            </w:r>
            <w:proofErr w:type="spellStart"/>
            <w:r w:rsidRPr="00F52FFA">
              <w:rPr>
                <w:i/>
              </w:rPr>
              <w:t>euro</w:t>
            </w:r>
            <w:proofErr w:type="spellEnd"/>
            <w:r w:rsidRPr="00F52FFA">
              <w:rPr>
                <w:i/>
              </w:rPr>
              <w:t>.</w:t>
            </w:r>
            <w:r w:rsidR="00E60B4F" w:rsidRPr="00F52FFA">
              <w:t xml:space="preserve"> </w:t>
            </w:r>
            <w:r w:rsidRPr="00F52FFA">
              <w:t xml:space="preserve">Pirmās projektu iesniegumu atlases kārtas ietvaros </w:t>
            </w:r>
            <w:r w:rsidR="00E60B4F" w:rsidRPr="00F52FFA">
              <w:t>ir noteikts, ka</w:t>
            </w:r>
            <w:r w:rsidRPr="00F52FFA">
              <w:t xml:space="preserve"> sertificēt</w:t>
            </w:r>
            <w:r w:rsidR="00E60B4F" w:rsidRPr="00F52FFA">
              <w:t>o</w:t>
            </w:r>
            <w:r w:rsidRPr="00F52FFA">
              <w:t xml:space="preserve"> izdevu finanšu rādītājs</w:t>
            </w:r>
            <w:r w:rsidR="00E60B4F" w:rsidRPr="00F52FFA">
              <w:t xml:space="preserve"> ir 25 903583 </w:t>
            </w:r>
            <w:proofErr w:type="spellStart"/>
            <w:r w:rsidRPr="00F52FFA">
              <w:rPr>
                <w:i/>
              </w:rPr>
              <w:t>euro</w:t>
            </w:r>
            <w:proofErr w:type="spellEnd"/>
            <w:r w:rsidR="00E60B4F" w:rsidRPr="00F52FFA">
              <w:t>, kas ir jāsasniedz l</w:t>
            </w:r>
            <w:r w:rsidR="00F32FDC">
              <w:t xml:space="preserve">īdz 2018.gada 31.decembrim. </w:t>
            </w:r>
            <w:r w:rsidR="00E60B4F" w:rsidRPr="00F52FFA">
              <w:t xml:space="preserve">2017.gada </w:t>
            </w:r>
            <w:r w:rsidR="00F32FDC">
              <w:t>20.oktobrī tika</w:t>
            </w:r>
            <w:r w:rsidR="00E60B4F" w:rsidRPr="00F52FFA">
              <w:t xml:space="preserve"> apkopota visa informācija par projektu iesniegumu iesnieg</w:t>
            </w:r>
            <w:r w:rsidR="009B24B7" w:rsidRPr="00F52FFA">
              <w:t xml:space="preserve">šanas termiņiem un projektu indikatīvām ikgadējām finansējuma plūsmām un veikti aprēķini, lai prognozētu sertificēto izdevumu finanšu rādītāja </w:t>
            </w:r>
            <w:r w:rsidR="008D46EC" w:rsidRPr="00F52FFA">
              <w:t>mērķa izpildi.</w:t>
            </w:r>
          </w:p>
          <w:p w14:paraId="3D873F7C" w14:textId="6AF55C4E" w:rsidR="00B114CB" w:rsidRDefault="00050325" w:rsidP="00F12D85">
            <w:pPr>
              <w:autoSpaceDE w:val="0"/>
              <w:autoSpaceDN w:val="0"/>
              <w:jc w:val="both"/>
            </w:pPr>
            <w:r w:rsidRPr="00F52FFA">
              <w:rPr>
                <w:b/>
              </w:rPr>
              <w:t xml:space="preserve">Otrās projektu iesniegumu atlases kārtas īstenošanai </w:t>
            </w:r>
            <w:r w:rsidR="00E40FD5" w:rsidRPr="00F52FFA">
              <w:rPr>
                <w:b/>
              </w:rPr>
              <w:t xml:space="preserve">plānotais </w:t>
            </w:r>
            <w:r w:rsidRPr="00F52FFA">
              <w:rPr>
                <w:b/>
              </w:rPr>
              <w:t>pieejamais</w:t>
            </w:r>
            <w:r w:rsidR="00EC30CE" w:rsidRPr="00F52FFA">
              <w:rPr>
                <w:b/>
              </w:rPr>
              <w:t xml:space="preserve"> </w:t>
            </w:r>
            <w:r w:rsidR="00E40FD5" w:rsidRPr="00F52FFA">
              <w:rPr>
                <w:b/>
              </w:rPr>
              <w:t>attiecināmais</w:t>
            </w:r>
            <w:r w:rsidRPr="00F52FFA">
              <w:rPr>
                <w:b/>
              </w:rPr>
              <w:t xml:space="preserve"> publiskais finansējums ir 32 507 612 </w:t>
            </w:r>
            <w:proofErr w:type="spellStart"/>
            <w:r w:rsidRPr="00F52FFA">
              <w:rPr>
                <w:b/>
                <w:i/>
              </w:rPr>
              <w:t>euro</w:t>
            </w:r>
            <w:proofErr w:type="spellEnd"/>
            <w:r w:rsidRPr="00F52FFA">
              <w:rPr>
                <w:b/>
              </w:rPr>
              <w:t xml:space="preserve">, tajā skaitā ERAF  finansējums 27 631 470 </w:t>
            </w:r>
            <w:proofErr w:type="spellStart"/>
            <w:r w:rsidRPr="00F52FFA">
              <w:rPr>
                <w:b/>
                <w:i/>
              </w:rPr>
              <w:t>euro</w:t>
            </w:r>
            <w:proofErr w:type="spellEnd"/>
            <w:r w:rsidRPr="00F52FFA">
              <w:rPr>
                <w:b/>
              </w:rPr>
              <w:t xml:space="preserve"> un valsts budžeta finansējums  4 876 142 </w:t>
            </w:r>
            <w:proofErr w:type="spellStart"/>
            <w:r w:rsidRPr="00F52FFA">
              <w:rPr>
                <w:b/>
                <w:i/>
              </w:rPr>
              <w:t>euro</w:t>
            </w:r>
            <w:proofErr w:type="spellEnd"/>
            <w:r w:rsidRPr="00F52FFA">
              <w:rPr>
                <w:b/>
              </w:rPr>
              <w:t>.</w:t>
            </w:r>
            <w:r w:rsidR="00EC30CE" w:rsidRPr="00F52FFA">
              <w:rPr>
                <w:b/>
              </w:rPr>
              <w:t xml:space="preserve"> </w:t>
            </w:r>
            <w:r w:rsidR="00EC30CE" w:rsidRPr="00F52FFA">
              <w:t xml:space="preserve">4.2.1.2.pasākuma otrā kārta </w:t>
            </w:r>
            <w:r w:rsidR="005769C0" w:rsidRPr="00F52FFA">
              <w:t>tiks</w:t>
            </w:r>
            <w:r w:rsidR="00EC30CE" w:rsidRPr="00F52FFA">
              <w:t xml:space="preserve"> izsludināta par 32 507 612 </w:t>
            </w:r>
            <w:proofErr w:type="spellStart"/>
            <w:r w:rsidR="00EC30CE" w:rsidRPr="00F52FFA">
              <w:rPr>
                <w:i/>
              </w:rPr>
              <w:t>euro</w:t>
            </w:r>
            <w:proofErr w:type="spellEnd"/>
            <w:r w:rsidR="00EC30CE" w:rsidRPr="00F52FFA">
              <w:t xml:space="preserve">, jo pirmās un otrās projektu iesniegumu kārtas snieguma rezerve, kura kopā veido 7 022 201 </w:t>
            </w:r>
            <w:proofErr w:type="spellStart"/>
            <w:r w:rsidR="00EC30CE" w:rsidRPr="00F52FFA">
              <w:rPr>
                <w:i/>
              </w:rPr>
              <w:t>euro</w:t>
            </w:r>
            <w:proofErr w:type="spellEnd"/>
            <w:r w:rsidR="00EC30CE" w:rsidRPr="00F52FFA">
              <w:t xml:space="preserve">, tiks nodalīta no pirmajai kārtai piešķirtā finansējuma (82 619 415 </w:t>
            </w:r>
            <w:proofErr w:type="spellStart"/>
            <w:r w:rsidR="00EC30CE" w:rsidRPr="00F52FFA">
              <w:rPr>
                <w:i/>
              </w:rPr>
              <w:t>euro</w:t>
            </w:r>
            <w:proofErr w:type="spellEnd"/>
            <w:r w:rsidR="00EC30CE" w:rsidRPr="00F52FFA">
              <w:t>).</w:t>
            </w:r>
            <w:r w:rsidR="008379AF" w:rsidRPr="00F52FFA">
              <w:t xml:space="preserve"> Attiecīgi tiks veikti grozījumi </w:t>
            </w:r>
            <w:r w:rsidR="0098193C">
              <w:t>MK noteikumos</w:t>
            </w:r>
            <w:r w:rsidR="00D235E3" w:rsidRPr="00F52FFA">
              <w:t xml:space="preserve"> Nr.534</w:t>
            </w:r>
            <w:r w:rsidR="008379AF" w:rsidRPr="00F52FFA">
              <w:t>.</w:t>
            </w:r>
            <w:r w:rsidR="00B114CB" w:rsidRPr="00F52FFA">
              <w:t xml:space="preserve"> Šādas izmaiņa</w:t>
            </w:r>
            <w:r w:rsidR="00D9760E" w:rsidRPr="00F52FFA">
              <w:t>s neatstāj ietekmi uz Darbības programmas sasniedzamajiem rādītājiem. Minimāla starpība veidojas starp CO</w:t>
            </w:r>
            <w:r w:rsidR="00D9760E" w:rsidRPr="00F52FFA">
              <w:rPr>
                <w:vertAlign w:val="subscript"/>
              </w:rPr>
              <w:t>2</w:t>
            </w:r>
            <w:r w:rsidR="00D9760E" w:rsidRPr="00F52FFA">
              <w:t xml:space="preserve"> emisiju samazinājuma mērķi un potenciālo samazinājumu. Tomēr saskaņā ar ministriju sniegto informāciju, kas tika apkopota 4.2.1.2.pasākuma pirmās projektu iesniegumu atlases kārtas projektu vērtēšanas kritēriju maiņas sākotnējā novērtējuma laikā, daļa projektu sasniegs arī augstākus rezultātus (attiecīgi sasniedzot lielāku enerģijas ietaupījumu un CO</w:t>
            </w:r>
            <w:r w:rsidR="00D9760E" w:rsidRPr="00F52FFA">
              <w:rPr>
                <w:vertAlign w:val="subscript"/>
              </w:rPr>
              <w:t>2</w:t>
            </w:r>
            <w:r w:rsidR="00D9760E" w:rsidRPr="00F52FFA">
              <w:t xml:space="preserve"> emisiju samazinājumu).  Līdz ar to Ekonomikas ministrija uzskata, ka nepastāv risks nesasniegt DP norādīto CO</w:t>
            </w:r>
            <w:r w:rsidR="00D9760E" w:rsidRPr="00F52FFA">
              <w:rPr>
                <w:vertAlign w:val="subscript"/>
              </w:rPr>
              <w:t>2</w:t>
            </w:r>
            <w:r w:rsidR="00D9760E" w:rsidRPr="00F52FFA">
              <w:t xml:space="preserve"> emisiju samazinājumu.  Tāpat piedāvāt</w:t>
            </w:r>
            <w:r w:rsidR="00B5492A" w:rsidRPr="00F52FFA">
              <w:t>ais</w:t>
            </w:r>
            <w:r w:rsidR="00D9760E" w:rsidRPr="00F52FFA">
              <w:t xml:space="preserve"> risinājums rezerves atskaitīšanai no 4.2.1.2.pasākuma pirmās atlases kārtas neapdraud Latvijas sai</w:t>
            </w:r>
            <w:r w:rsidR="00071966" w:rsidRPr="00F52FFA">
              <w:t>stību izpildi, kas noteiktas ar Direktīvas 2012/27/ES</w:t>
            </w:r>
            <w:r w:rsidR="00D9760E" w:rsidRPr="00F52FFA">
              <w:t xml:space="preserve"> 5. panta 1.punktu. Direktīva 2012/27/ES nosaka, ka dalībvalstīm no 2014. – 2020. gadam katru gadu jāatjauno 3% kopējās platības no tās centrālās valdības īpašumā esošajām un izmantotajām ēkām</w:t>
            </w:r>
            <w:r w:rsidR="00CD30AF" w:rsidRPr="00F52FFA">
              <w:t>, un</w:t>
            </w:r>
            <w:r w:rsidR="00DA1349" w:rsidRPr="00F52FFA">
              <w:t xml:space="preserve"> prasība </w:t>
            </w:r>
            <w:r w:rsidR="00CD30AF" w:rsidRPr="00F52FFA">
              <w:t>tiek</w:t>
            </w:r>
            <w:r w:rsidR="00DA1349" w:rsidRPr="00F52FFA">
              <w:t xml:space="preserve"> ieviesta ar </w:t>
            </w:r>
            <w:r w:rsidR="00442BC6">
              <w:t>2016.gada 9.februāra Ministru kabineta rīkojumu Nr.129 “</w:t>
            </w:r>
            <w:r w:rsidR="00442BC6" w:rsidRPr="00442BC6">
              <w:t>Par Enerģētikas attīstības pamatnostādnēm 2016.-2020. gadam</w:t>
            </w:r>
            <w:r w:rsidR="00442BC6">
              <w:t>”</w:t>
            </w:r>
            <w:r w:rsidR="00DA1349" w:rsidRPr="00F52FFA">
              <w:t>.</w:t>
            </w:r>
            <w:r w:rsidR="00D9760E" w:rsidRPr="00F52FFA">
              <w:t xml:space="preserve"> Ar projektu attiecināmām izmaksām</w:t>
            </w:r>
            <w:r w:rsidR="00CD30AF" w:rsidRPr="00F52FFA">
              <w:t xml:space="preserve"> 4.2.1.2.pasākuma pirmās atlases kārtas ietvaros </w:t>
            </w:r>
            <w:r w:rsidR="00D9760E" w:rsidRPr="00F52FFA">
              <w:t xml:space="preserve">līdz 250 </w:t>
            </w:r>
            <w:proofErr w:type="spellStart"/>
            <w:r w:rsidR="00D9760E" w:rsidRPr="00F52FFA">
              <w:rPr>
                <w:i/>
              </w:rPr>
              <w:t>euro</w:t>
            </w:r>
            <w:proofErr w:type="spellEnd"/>
            <w:r w:rsidR="00D9760E" w:rsidRPr="00F52FFA">
              <w:t xml:space="preserve"> uz vienu ēkas kopējās platības kvadrātmetru 3% mērķi var pildīt līdz 2021.gadam (ieskaitot), kas pārsniedz 2020.gada slieksni.</w:t>
            </w:r>
            <w:r w:rsidR="00071966" w:rsidRPr="00F52FFA">
              <w:t xml:space="preserve"> </w:t>
            </w:r>
            <w:r w:rsidR="00D235E3" w:rsidRPr="00F52FFA">
              <w:t>Direktīvas 2012/27/ES 5.panta 3.punkts nosaka, ka dalībvalsts papildus atjaunoto platību var ieskaitīt jebkurā no trim iepriekšējo vai nākamo gadu ikgadējā atjaunošanas normā.</w:t>
            </w:r>
          </w:p>
          <w:p w14:paraId="6C297CDD" w14:textId="77777777" w:rsidR="00D15C1A" w:rsidRDefault="00D15C1A" w:rsidP="00F12D85">
            <w:pPr>
              <w:autoSpaceDE w:val="0"/>
              <w:autoSpaceDN w:val="0"/>
              <w:jc w:val="both"/>
            </w:pPr>
          </w:p>
          <w:p w14:paraId="6F758D34" w14:textId="5F176E60" w:rsidR="00D15C1A" w:rsidRDefault="00D15C1A" w:rsidP="00D15C1A">
            <w:pPr>
              <w:autoSpaceDE w:val="0"/>
              <w:autoSpaceDN w:val="0"/>
              <w:jc w:val="both"/>
            </w:pPr>
            <w:r>
              <w:t xml:space="preserve">Lai CFLA nodrošinātu koordinētu projektu iesniegumu iesniegšanu, EM pamatojoties pēc ministriju sniegtās informācijas par ministriju pārziņā esošajām ēkām, kurās otrās atlases kārtas ietvaros plānots īstenot energoefektivitātes paaugstināšanas pasākumus, ir apkopojusi sniegto informāciju un izveidojusi </w:t>
            </w:r>
            <w:r w:rsidR="00C725F3">
              <w:t xml:space="preserve">ierobežotas projektu iesniegumu atlases (turpmāk – IPIA) </w:t>
            </w:r>
            <w:r>
              <w:t>sarakstu, kurā izdalītas ēkas, kuru atjaunošanu iespējams uzsākt 2018.gadā un 2019.gadā (skatīt 4.2.1.2.pasākuma otrās atlases kārtas anotācijas pielikumu).</w:t>
            </w:r>
          </w:p>
          <w:p w14:paraId="0EA8125D" w14:textId="20165622" w:rsidR="00D15C1A" w:rsidRDefault="00C725F3" w:rsidP="00D15C1A">
            <w:pPr>
              <w:autoSpaceDE w:val="0"/>
              <w:autoSpaceDN w:val="0"/>
              <w:jc w:val="both"/>
            </w:pPr>
            <w:r>
              <w:t>IPIA sarakstā</w:t>
            </w:r>
            <w:r w:rsidR="00D15C1A">
              <w:t xml:space="preserve"> norādīts ēkas īpašnieks, </w:t>
            </w:r>
            <w:r>
              <w:t>projekta iesniedzējs</w:t>
            </w:r>
            <w:r w:rsidR="00D15C1A">
              <w:t>, ēkas adrese, būv</w:t>
            </w:r>
            <w:r>
              <w:t xml:space="preserve">es kadastra apzīmējums, </w:t>
            </w:r>
            <w:r w:rsidR="00D15C1A">
              <w:t>projekta</w:t>
            </w:r>
            <w:r>
              <w:t xml:space="preserve"> iesnieguma iesniegšanas termiņš un finansējuma plūsma.</w:t>
            </w:r>
          </w:p>
          <w:p w14:paraId="13F309E8" w14:textId="6BEB3524" w:rsidR="00C725F3" w:rsidRPr="00F52FFA" w:rsidRDefault="00616070" w:rsidP="00D15C1A">
            <w:pPr>
              <w:autoSpaceDE w:val="0"/>
              <w:autoSpaceDN w:val="0"/>
              <w:jc w:val="both"/>
            </w:pPr>
            <w:r>
              <w:lastRenderedPageBreak/>
              <w:t>P</w:t>
            </w:r>
            <w:r w:rsidRPr="00616070">
              <w:t>rojektu iesniedzēju norādītie termiņi projektu iesniegumu iesniegšanai CFLA būs stingri jāievēro. Ja projektu iesniedzēji neiesniegs projektu noteiktajā termiņā, Ekonomikas ministrija izvērtēs iespēju finansējumu pārdalīt citu projektu īstenošanai. Tāpat informācija par būtiskām neizpildēm vai novirzēm tiks iekļauta ikmēneša informatīvajos ziņojumos par Eiropas Savienības struktūrfondu un Kohēzijas fonda investīciju ieviešanas statusu, k</w:t>
            </w:r>
            <w:r w:rsidR="005A34BB">
              <w:t>urus</w:t>
            </w:r>
            <w:r w:rsidRPr="00616070">
              <w:t xml:space="preserve"> ikmēnesi </w:t>
            </w:r>
            <w:r w:rsidR="005A34BB">
              <w:t xml:space="preserve">Finanšu ministrija </w:t>
            </w:r>
            <w:r w:rsidRPr="00616070">
              <w:t>iesnie</w:t>
            </w:r>
            <w:r w:rsidR="005A34BB">
              <w:t>dz</w:t>
            </w:r>
            <w:r w:rsidRPr="00616070">
              <w:t xml:space="preserve"> Ministru kabinetā</w:t>
            </w:r>
            <w:r>
              <w:t>.</w:t>
            </w:r>
          </w:p>
          <w:p w14:paraId="1FA2A753" w14:textId="083C9872" w:rsidR="006F4AFA" w:rsidRPr="00F52FFA" w:rsidRDefault="006F4AFA" w:rsidP="006F4AFA">
            <w:pPr>
              <w:autoSpaceDE w:val="0"/>
              <w:autoSpaceDN w:val="0"/>
              <w:jc w:val="both"/>
              <w:rPr>
                <w:bCs/>
                <w:shd w:val="clear" w:color="auto" w:fill="FFFFFF" w:themeFill="background1"/>
              </w:rPr>
            </w:pPr>
            <w:r w:rsidRPr="00F52FFA">
              <w:t>Izdevumu pozīcijas 4.2.1.2. pasākuma ietvaros atbilst darbības programmas “Izaugsme un nodarbinātība” noteiktajiem intervences kodiem – 13 “Publiskās infrastruktūras atjaunošana energoefektivitātes uzlabošanai, projektu demonstrēšana un atbalsta pasākumi”</w:t>
            </w:r>
            <w:r w:rsidR="00DC027F" w:rsidRPr="00F52FFA">
              <w:t xml:space="preserve"> </w:t>
            </w:r>
            <w:r w:rsidRPr="00F52FFA">
              <w:t>9 “Atjaunojama enerģija: vējš”, 10 “Atjaunojama enerģija: saule”, 11 “Atjaunojama enerģija: biomasa”.</w:t>
            </w:r>
          </w:p>
          <w:p w14:paraId="391C9340" w14:textId="401A55F1" w:rsidR="005343F6" w:rsidRPr="00F52FFA" w:rsidRDefault="00125649" w:rsidP="005343F6">
            <w:pPr>
              <w:autoSpaceDE w:val="0"/>
              <w:autoSpaceDN w:val="0"/>
              <w:jc w:val="both"/>
            </w:pPr>
            <w:r w:rsidRPr="00F52FFA">
              <w:t xml:space="preserve">Otrās </w:t>
            </w:r>
            <w:r w:rsidR="00E42DDB" w:rsidRPr="00F52FFA">
              <w:t xml:space="preserve">projektu iesniegumu </w:t>
            </w:r>
            <w:r w:rsidRPr="00F52FFA">
              <w:t>a</w:t>
            </w:r>
            <w:r w:rsidR="005343F6" w:rsidRPr="00F52FFA">
              <w:t>tlases kārtas ietvaros sasniedzamie iznākuma rādītāji:</w:t>
            </w:r>
          </w:p>
          <w:p w14:paraId="1849DD7D" w14:textId="4D5FD757" w:rsidR="005343F6" w:rsidRPr="00F52FFA" w:rsidRDefault="005343F6" w:rsidP="005343F6">
            <w:pPr>
              <w:pStyle w:val="ListParagraph"/>
              <w:numPr>
                <w:ilvl w:val="0"/>
                <w:numId w:val="4"/>
              </w:numPr>
              <w:autoSpaceDE w:val="0"/>
              <w:autoSpaceDN w:val="0"/>
              <w:jc w:val="both"/>
            </w:pPr>
            <w:r w:rsidRPr="00F52FFA">
              <w:t xml:space="preserve">uzstādītā atjaunojamos energoresursus izmantojoša siltumenerģijas ražošanas </w:t>
            </w:r>
            <w:proofErr w:type="spellStart"/>
            <w:r w:rsidRPr="00F52FFA">
              <w:t>papildjauda</w:t>
            </w:r>
            <w:proofErr w:type="spellEnd"/>
            <w:r w:rsidRPr="00F52FFA">
              <w:t xml:space="preserve"> ir </w:t>
            </w:r>
            <w:r w:rsidR="00901311" w:rsidRPr="00F52FFA">
              <w:t>0,58</w:t>
            </w:r>
            <w:r w:rsidRPr="00F52FFA">
              <w:t xml:space="preserve"> MW;</w:t>
            </w:r>
          </w:p>
          <w:p w14:paraId="64C2B2B7" w14:textId="70D507CF" w:rsidR="005343F6" w:rsidRPr="00F52FFA" w:rsidRDefault="005343F6" w:rsidP="005343F6">
            <w:pPr>
              <w:pStyle w:val="ListParagraph"/>
              <w:numPr>
                <w:ilvl w:val="0"/>
                <w:numId w:val="4"/>
              </w:numPr>
              <w:autoSpaceDE w:val="0"/>
              <w:autoSpaceDN w:val="0"/>
              <w:jc w:val="both"/>
            </w:pPr>
            <w:r w:rsidRPr="00F52FFA">
              <w:t xml:space="preserve">aprēķinātais siltumnīcefekta gāzu samazinājums ir </w:t>
            </w:r>
            <w:r w:rsidR="00901311" w:rsidRPr="00F52FFA">
              <w:t>2 670</w:t>
            </w:r>
            <w:r w:rsidRPr="00F52FFA">
              <w:t> CO</w:t>
            </w:r>
            <w:r w:rsidRPr="00F52FFA">
              <w:rPr>
                <w:vertAlign w:val="subscript"/>
              </w:rPr>
              <w:t>2</w:t>
            </w:r>
            <w:r w:rsidRPr="00F52FFA">
              <w:t xml:space="preserve"> ekvivalenta tonnas gadā;</w:t>
            </w:r>
          </w:p>
          <w:p w14:paraId="1C4EFA10" w14:textId="4C7589BA" w:rsidR="005343F6" w:rsidRPr="00F52FFA" w:rsidRDefault="005343F6" w:rsidP="005343F6">
            <w:pPr>
              <w:pStyle w:val="ListParagraph"/>
              <w:numPr>
                <w:ilvl w:val="0"/>
                <w:numId w:val="4"/>
              </w:numPr>
              <w:autoSpaceDE w:val="0"/>
              <w:autoSpaceDN w:val="0"/>
              <w:jc w:val="both"/>
            </w:pPr>
            <w:r w:rsidRPr="00F52FFA">
              <w:t>primārās enerģijas gada patēriņa samazinājums sabiedriskajās ēkās</w:t>
            </w:r>
            <w:r w:rsidR="00D52B54" w:rsidRPr="00F52FFA">
              <w:t xml:space="preserve"> un būvēs</w:t>
            </w:r>
            <w:r w:rsidRPr="00F52FFA">
              <w:t xml:space="preserve"> </w:t>
            </w:r>
            <w:r w:rsidR="00901311" w:rsidRPr="00F52FFA">
              <w:t>10 263</w:t>
            </w:r>
            <w:r w:rsidRPr="00F52FFA">
              <w:t xml:space="preserve"> </w:t>
            </w:r>
            <w:proofErr w:type="spellStart"/>
            <w:r w:rsidRPr="00F52FFA">
              <w:t>MWh</w:t>
            </w:r>
            <w:proofErr w:type="spellEnd"/>
            <w:r w:rsidRPr="00F52FFA">
              <w:t xml:space="preserve">/gadā. </w:t>
            </w:r>
          </w:p>
          <w:p w14:paraId="1CDBFAA7" w14:textId="0435B669" w:rsidR="005343F6" w:rsidRPr="00F52FFA" w:rsidRDefault="00D4686C" w:rsidP="005343F6">
            <w:pPr>
              <w:pStyle w:val="ListParagraph"/>
              <w:autoSpaceDE w:val="0"/>
              <w:autoSpaceDN w:val="0"/>
              <w:ind w:left="0"/>
              <w:jc w:val="both"/>
            </w:pPr>
            <w:r w:rsidRPr="00F52FFA">
              <w:t xml:space="preserve">Ar </w:t>
            </w:r>
            <w:proofErr w:type="spellStart"/>
            <w:r w:rsidRPr="00F52FFA">
              <w:t>papildjaudu</w:t>
            </w:r>
            <w:proofErr w:type="spellEnd"/>
            <w:r w:rsidRPr="00F52FFA">
              <w:t xml:space="preserve"> tiek saprasta jebkāda veida atjaunojamo energoresursu papildus jauda (pirms tam nebijusi), ko var iegūt aizstājot esošo fosilo kurināmo ar AER izmantojošu. Savukārt p</w:t>
            </w:r>
            <w:r w:rsidR="005343F6" w:rsidRPr="00F52FFA">
              <w:t xml:space="preserve">rimārā enerģija ietver enerģiju no atjaunojamiem un neatjaunojamiem enerģijas avotiem, kas nav pārstrādāta vai pārveidota, līdz ar to primārās enerģijas gada patēriņa samazinājuma aprēķinā tiek ņemts vērā enerģijas ietaupījumus </w:t>
            </w:r>
            <w:proofErr w:type="spellStart"/>
            <w:r w:rsidR="005343F6" w:rsidRPr="00F52FFA">
              <w:t>MWh</w:t>
            </w:r>
            <w:proofErr w:type="spellEnd"/>
            <w:r w:rsidR="005343F6" w:rsidRPr="00F52FFA">
              <w:t>/gadā gan no atjaunojamiem, gan no fosiliem resursiem.</w:t>
            </w:r>
          </w:p>
          <w:p w14:paraId="0D62A0C1" w14:textId="5BD014C8" w:rsidR="00B5565E" w:rsidRPr="00F52FFA" w:rsidRDefault="005343F6" w:rsidP="00B5565E">
            <w:pPr>
              <w:autoSpaceDE w:val="0"/>
              <w:autoSpaceDN w:val="0"/>
              <w:jc w:val="both"/>
            </w:pPr>
            <w:r w:rsidRPr="00F52FFA">
              <w:t xml:space="preserve">Savukārt gan pēc noteikumu projekta </w:t>
            </w:r>
            <w:r w:rsidR="00D57FA9" w:rsidRPr="00F52FFA">
              <w:t>3</w:t>
            </w:r>
            <w:r w:rsidRPr="00F52FFA">
              <w:t>.pielikuma, gan apkopotās informācijas par atbalstītajiem projektiem no projektu atskaitēm un KP VIS sistēmas, CO</w:t>
            </w:r>
            <w:r w:rsidRPr="00F52FFA">
              <w:rPr>
                <w:vertAlign w:val="subscript"/>
              </w:rPr>
              <w:t>2</w:t>
            </w:r>
            <w:r w:rsidRPr="00F52FFA">
              <w:t xml:space="preserve"> samazinājums ti</w:t>
            </w:r>
            <w:r w:rsidR="005F0AD5" w:rsidRPr="00F52FFA">
              <w:t>e</w:t>
            </w:r>
            <w:r w:rsidRPr="00F52FFA">
              <w:t>k aprēķināts pēc Ministru kabineta 2013.gada 25.jūnija noteikumu Nr.348 „Ēku energoefektivitātes aprēķina metode” 175. punkta un šo noteikumu 1.pielikuma 3.tabulā norādītājām emisijas faktoru vērtībām</w:t>
            </w:r>
            <w:r w:rsidR="005F0AD5" w:rsidRPr="00F52FFA">
              <w:t xml:space="preserve">, izņemot gadījumus, kur kā kurināmo izmanto </w:t>
            </w:r>
            <w:r w:rsidR="00BE21BF" w:rsidRPr="00F52FFA">
              <w:t>atjaunojamos energoresursus</w:t>
            </w:r>
            <w:r w:rsidR="00D4686C" w:rsidRPr="00F52FFA">
              <w:t>.</w:t>
            </w:r>
            <w:r w:rsidR="00136130" w:rsidRPr="00F52FFA">
              <w:t xml:space="preserve"> </w:t>
            </w:r>
            <w:r w:rsidR="00D4686C" w:rsidRPr="00F52FFA">
              <w:t>J</w:t>
            </w:r>
            <w:r w:rsidRPr="00F52FFA">
              <w:t>a kā kurinām</w:t>
            </w:r>
            <w:r w:rsidR="00DF562A" w:rsidRPr="00F52FFA">
              <w:t>o</w:t>
            </w:r>
            <w:r w:rsidRPr="00F52FFA">
              <w:t xml:space="preserve"> izmanto </w:t>
            </w:r>
            <w:r w:rsidR="00BE21BF" w:rsidRPr="00F52FFA">
              <w:t>atjaunojamos energoresursus</w:t>
            </w:r>
            <w:r w:rsidRPr="00F52FFA">
              <w:t>,</w:t>
            </w:r>
            <w:r w:rsidR="00097FE2" w:rsidRPr="00F52FFA">
              <w:t xml:space="preserve"> saskaņā ar </w:t>
            </w:r>
            <w:r w:rsidR="00FB56DE" w:rsidRPr="00F52FFA">
              <w:t>“M</w:t>
            </w:r>
            <w:r w:rsidR="00097FE2" w:rsidRPr="00F52FFA">
              <w:t xml:space="preserve">etodoloģiju </w:t>
            </w:r>
            <w:r w:rsidR="00FB56DE" w:rsidRPr="00F52FFA">
              <w:t>h</w:t>
            </w:r>
            <w:r w:rsidR="00097FE2" w:rsidRPr="00F52FFA">
              <w:t>orizontālā principa “Ilgtspējīga attīstība” īstenošanas uzraudzības rādītāja – siltumnīcefekta gāzu emisijas – aprēķinam</w:t>
            </w:r>
            <w:r w:rsidR="00FB56DE" w:rsidRPr="00F52FFA">
              <w:t>”</w:t>
            </w:r>
            <w:r w:rsidRPr="00F52FFA">
              <w:t xml:space="preserve"> ogļskābās gāzes ekvivalenta aprēķinā </w:t>
            </w:r>
            <w:r w:rsidR="00D4686C" w:rsidRPr="00F52FFA">
              <w:t xml:space="preserve">tiks </w:t>
            </w:r>
            <w:r w:rsidRPr="00F52FFA">
              <w:t>piemēro</w:t>
            </w:r>
            <w:r w:rsidR="00D4686C" w:rsidRPr="00F52FFA">
              <w:t>ts</w:t>
            </w:r>
            <w:r w:rsidRPr="00F52FFA">
              <w:t xml:space="preserve"> ogļskābās gāzes ekvivalenta faktor</w:t>
            </w:r>
            <w:r w:rsidR="00847538" w:rsidRPr="00F52FFA">
              <w:t>s</w:t>
            </w:r>
            <w:r w:rsidRPr="00F52FFA">
              <w:t xml:space="preserve"> 0,264 kg/</w:t>
            </w:r>
            <w:proofErr w:type="spellStart"/>
            <w:r w:rsidR="0016598F" w:rsidRPr="00F52FFA">
              <w:t>k</w:t>
            </w:r>
            <w:r w:rsidRPr="00F52FFA">
              <w:t>Wh</w:t>
            </w:r>
            <w:proofErr w:type="spellEnd"/>
            <w:r w:rsidRPr="00F52FFA">
              <w:t xml:space="preserve"> un primārās enerģijas patēriņa aprēķinā piemēro</w:t>
            </w:r>
            <w:r w:rsidR="00D4686C" w:rsidRPr="00F52FFA">
              <w:t>s konversijas koeficientu 1,0 (nosacījums attiecināms tikai uz 4.2.1.2.pasākumu).</w:t>
            </w:r>
            <w:r w:rsidR="00B5565E" w:rsidRPr="00F52FFA">
              <w:t xml:space="preserve"> </w:t>
            </w:r>
            <w:r w:rsidR="00051794" w:rsidRPr="00F52FFA">
              <w:t>Potenciāli ir 16</w:t>
            </w:r>
            <w:r w:rsidR="00952A45" w:rsidRPr="00F52FFA">
              <w:t>% ēku, kurām siltumenerģijas ražošana tiek nodrošināta ar</w:t>
            </w:r>
            <w:r w:rsidR="00BE21BF" w:rsidRPr="00F52FFA">
              <w:t xml:space="preserve"> atjaunojamiem energoresursiem</w:t>
            </w:r>
            <w:r w:rsidR="00952A45" w:rsidRPr="00F52FFA">
              <w:t xml:space="preserve"> un kuras tiks virzītas energoefektivitātes paaugstināšanai 4.2.1.2.pasākuma projektu iesniegumu otrās atlases kārtas ietvaros.</w:t>
            </w:r>
          </w:p>
          <w:p w14:paraId="7E8CCF24" w14:textId="2817008C" w:rsidR="00B5565E" w:rsidRPr="00F52FFA" w:rsidRDefault="00B5565E" w:rsidP="00B5565E">
            <w:pPr>
              <w:autoSpaceDE w:val="0"/>
              <w:autoSpaceDN w:val="0"/>
              <w:jc w:val="both"/>
            </w:pPr>
            <w:r w:rsidRPr="00F52FFA">
              <w:t>Aprēķinus veiks atbildīgā iestāde – Ekonomikas ministrija un nodrošinās arī šīs informācijas uzglabāšanu, lai varētu sniegt informāciju par 4.2.1.2. pasākumam noteikto iznākuma rādītāju sasniegšanu.</w:t>
            </w:r>
          </w:p>
          <w:p w14:paraId="23F0E703" w14:textId="218AE68C" w:rsidR="00356C26" w:rsidRPr="00F52FFA" w:rsidRDefault="00356C26" w:rsidP="00356C26">
            <w:pPr>
              <w:autoSpaceDE w:val="0"/>
              <w:autoSpaceDN w:val="0"/>
              <w:jc w:val="both"/>
            </w:pPr>
            <w:r w:rsidRPr="00F52FFA">
              <w:t>Ņemot vērā, ka daļa noteikumu</w:t>
            </w:r>
            <w:r w:rsidR="00A76320">
              <w:t xml:space="preserve"> projekta</w:t>
            </w:r>
            <w:r w:rsidRPr="00F52FFA">
              <w:t xml:space="preserve"> 1.pielikumā minētie finansējuma saņēmēji ir saņēmuši atbalstu no Klimata pārmaiņu finanšu </w:t>
            </w:r>
            <w:r w:rsidRPr="00F52FFA">
              <w:lastRenderedPageBreak/>
              <w:t>instrumenta (</w:t>
            </w:r>
            <w:r w:rsidR="006276AE" w:rsidRPr="00F52FFA">
              <w:t xml:space="preserve">turpmāk - </w:t>
            </w:r>
            <w:r w:rsidRPr="00F52FFA">
              <w:t>KPFI), tiem būs jānodrošina sasniedzamo rezultātu objektīva uzskaite. 4.2.1.2.pasākuma otrās projektu iesniegumu atlases kārtas ietvaros nav atļautas investīcijas tādos energoefektivitātes paaugstināšanas pasākumos, kuros jau ir piesaistīts līdzfinansējums no KPFI. Piemēram, ja ēkai ir nosiltinātas ārsienas ar KPFI finansējumu, bet netika nomainīti logi un atjaunota apkures sistēma, tad otrās kārtas ietvaros tiks atļauts veikt tikai logu nomaiņu un apkures sistēmas atjaunošanu.</w:t>
            </w:r>
          </w:p>
          <w:p w14:paraId="679B6BC8" w14:textId="10109F52" w:rsidR="00356C26" w:rsidRPr="00F52FFA" w:rsidRDefault="00356C26" w:rsidP="00356C26">
            <w:pPr>
              <w:autoSpaceDE w:val="0"/>
              <w:autoSpaceDN w:val="0"/>
              <w:jc w:val="both"/>
            </w:pPr>
            <w:r w:rsidRPr="00F52FFA">
              <w:t>Lai nodrošinātu objektīvu rezultātu uzraudzību, finansējuma saņēmējam ir vēlams piesaistīt neatkarīgu ekspertu, lai nodalītu sasniegtos enerģijas ietaupījumus no KPFI un 4.2.1.2.pasākuma investīcijām.</w:t>
            </w:r>
          </w:p>
          <w:p w14:paraId="32FFBCB9" w14:textId="6DF97DB5" w:rsidR="00E635F8" w:rsidRPr="00F52FFA" w:rsidRDefault="00901311" w:rsidP="00E635F8">
            <w:pPr>
              <w:spacing w:after="120"/>
              <w:contextualSpacing/>
              <w:jc w:val="both"/>
            </w:pPr>
            <w:r w:rsidRPr="00F52FFA">
              <w:t xml:space="preserve">Otrā </w:t>
            </w:r>
            <w:r w:rsidR="00E635F8" w:rsidRPr="00F52FFA">
              <w:t>projektu iesniegumu atlases kārta tiks īstenota ierobežotas projektu iesniegumu atlases veidā, vienlaicīgi paredzot nepārtrauktu projektu iesniegumu iesniegšanu. Šāda projektu iesniegumu atlases organizēšana nodrošinās:</w:t>
            </w:r>
          </w:p>
          <w:p w14:paraId="17F7CDBE" w14:textId="77777777" w:rsidR="00E635F8" w:rsidRPr="00F52FFA" w:rsidRDefault="00E635F8" w:rsidP="00E635F8">
            <w:pPr>
              <w:numPr>
                <w:ilvl w:val="0"/>
                <w:numId w:val="8"/>
              </w:numPr>
              <w:autoSpaceDE w:val="0"/>
              <w:autoSpaceDN w:val="0"/>
              <w:jc w:val="both"/>
            </w:pPr>
            <w:r w:rsidRPr="00F52FFA">
              <w:t>ātrāku projektu iesniegumu izvērtēšanu pēc to sagatavošanas un iesniegšanas;</w:t>
            </w:r>
          </w:p>
          <w:p w14:paraId="189C9EE9" w14:textId="77777777" w:rsidR="00E635F8" w:rsidRPr="00F52FFA" w:rsidRDefault="00E635F8" w:rsidP="00E635F8">
            <w:pPr>
              <w:numPr>
                <w:ilvl w:val="0"/>
                <w:numId w:val="8"/>
              </w:numPr>
              <w:autoSpaceDE w:val="0"/>
              <w:autoSpaceDN w:val="0"/>
              <w:jc w:val="both"/>
            </w:pPr>
            <w:r w:rsidRPr="00F52FFA">
              <w:t>ātrāku projektu īstenošanu;</w:t>
            </w:r>
          </w:p>
          <w:p w14:paraId="4B88FC8D" w14:textId="29AD0692" w:rsidR="00E635F8" w:rsidRPr="00F52FFA" w:rsidRDefault="00E635F8" w:rsidP="00E635F8">
            <w:pPr>
              <w:numPr>
                <w:ilvl w:val="0"/>
                <w:numId w:val="8"/>
              </w:numPr>
              <w:autoSpaceDE w:val="0"/>
              <w:autoSpaceDN w:val="0"/>
              <w:jc w:val="both"/>
            </w:pPr>
            <w:r w:rsidRPr="00F52FFA">
              <w:t>izlīdzinās Centrālās finanšu un līgumu aģentūras (turpmāk – CFLA) darbinieku noslodzi un minimizēs riskus savlaicīgai projektu iesniegumu izskatīšanai, jo nebūs īsā, ierobežotā termiņā jāveic projektu iesniegumu izvērtēšana lielam skaitam projektu iesniegumu.</w:t>
            </w:r>
          </w:p>
          <w:p w14:paraId="19E6AD06" w14:textId="016CC908" w:rsidR="00191D5D" w:rsidRPr="00F52FFA" w:rsidRDefault="00191D5D" w:rsidP="00191D5D">
            <w:pPr>
              <w:autoSpaceDE w:val="0"/>
              <w:autoSpaceDN w:val="0"/>
              <w:jc w:val="both"/>
            </w:pPr>
            <w:r w:rsidRPr="00F52FFA">
              <w:t xml:space="preserve">Otrās projektu iesniegumu atlases kārtas </w:t>
            </w:r>
            <w:r w:rsidR="008762E0" w:rsidRPr="00F52FFA">
              <w:t>finansējuma saņēmēji</w:t>
            </w:r>
            <w:r w:rsidRPr="00F52FFA">
              <w:t xml:space="preserve"> ir norādīti noteikumu projekta </w:t>
            </w:r>
            <w:r w:rsidR="009147B5" w:rsidRPr="00F52FFA">
              <w:t>1</w:t>
            </w:r>
            <w:r w:rsidRPr="00F52FFA">
              <w:t>.pielikumā.</w:t>
            </w:r>
            <w:r w:rsidR="00001FD8" w:rsidRPr="00F52FFA">
              <w:t xml:space="preserve"> Finansējuma saņēmēji un tiem paredzētais finansējums tika noteikts attiecīgajām ministrijām savstarpēji vienojoties.</w:t>
            </w:r>
          </w:p>
          <w:p w14:paraId="44D14964" w14:textId="36541F33" w:rsidR="007C7BB2" w:rsidRPr="00F52FFA" w:rsidRDefault="007C7BB2" w:rsidP="00191D5D">
            <w:pPr>
              <w:autoSpaceDE w:val="0"/>
              <w:autoSpaceDN w:val="0"/>
              <w:jc w:val="both"/>
            </w:pPr>
            <w:r w:rsidRPr="00F52FFA">
              <w:t>Otrās projektu iesniegumu atlases kārtas ietvaros finansējums netiek piešķirts valsts ēku sarakstā iekļautajām tiešās valsts pārvaldes iestādēm, tiešās valsts pārvaldes iestādes padotības iestādēm, valsts augstskolām un valsts zinātn</w:t>
            </w:r>
            <w:r w:rsidR="00485476">
              <w:t>iskajiem institūtiem, kuriem ir</w:t>
            </w:r>
            <w:r w:rsidRPr="00F52FFA">
              <w:t xml:space="preserve"> iespēja iesniegt projektu iesniegumus 4.2.1.2. pasākuma pirmās projektu iesniegumu atlases kārtas ietvaros</w:t>
            </w:r>
            <w:r w:rsidR="00191D5D" w:rsidRPr="00F52FFA">
              <w:t xml:space="preserve"> saskaņā ar MK noteikumiem Nr. 534</w:t>
            </w:r>
            <w:r w:rsidRPr="00F52FFA">
              <w:t>.</w:t>
            </w:r>
          </w:p>
          <w:p w14:paraId="7D5ABE7B" w14:textId="63D5E7A9" w:rsidR="00F80949" w:rsidRPr="00F52FFA" w:rsidRDefault="00E657D7" w:rsidP="00191D5D">
            <w:pPr>
              <w:autoSpaceDE w:val="0"/>
              <w:autoSpaceDN w:val="0"/>
              <w:jc w:val="both"/>
            </w:pPr>
            <w:r w:rsidRPr="00F52FFA">
              <w:t xml:space="preserve">Ņemot vērā 4.2.1.2. pasākuma otrās atlases kārtai pieejamo finansējumu un lielo potenciālo projektu iesniedzēju skaitu, finansējums tiks piešķirts </w:t>
            </w:r>
            <w:r w:rsidR="00972A6B" w:rsidRPr="00F52FFA">
              <w:t>5</w:t>
            </w:r>
            <w:r w:rsidRPr="00F52FFA">
              <w:t xml:space="preserve"> nozarēm (veselības, kultūras, labklājība</w:t>
            </w:r>
            <w:r w:rsidR="00191D5D" w:rsidRPr="00F52FFA">
              <w:t>s</w:t>
            </w:r>
            <w:r w:rsidR="007D2C85" w:rsidRPr="00F52FFA">
              <w:t xml:space="preserve">, </w:t>
            </w:r>
            <w:r w:rsidR="008762E0" w:rsidRPr="00F52FFA">
              <w:t>izglītības</w:t>
            </w:r>
            <w:r w:rsidR="007D2C85" w:rsidRPr="00F52FFA">
              <w:t xml:space="preserve"> un sporta</w:t>
            </w:r>
            <w:r w:rsidR="008762E0" w:rsidRPr="00F52FFA">
              <w:t xml:space="preserve"> nozarēm</w:t>
            </w:r>
            <w:r w:rsidRPr="00F52FFA">
              <w:t>), kuras ilgstoši skar nepietiekama finansējuma problēmas. Veselības nozari ilgstoši skar nepietiekama finansējuma jautājums. Lēmums iekļaut valsts slimnīcas 4.2.1.2. pasākuma atjaunojamo ēku sarakstā ir viens no veidiem kā palīdzēt slimnīcām racionāli izmantot esošos finanšu līdzekļus, jo slimnīcām tiks dota iespēja turpmāk samazināt izmaksas par patērēto siltumenerģiju un šos līdzekļus izmantot citiem mērķiem. Kultūras nozarē īpaši aktuāla ir vairāku teātru, kuru tehniskais stāvoklis neatbilst Latvijas būvnormatīvu prasībām un tiem ir augsts siltumenerģijas patēriņš,  atjaunošana. Savukārt izglītības</w:t>
            </w:r>
            <w:r w:rsidR="007D2C85" w:rsidRPr="00F52FFA">
              <w:t xml:space="preserve"> un sporta</w:t>
            </w:r>
            <w:r w:rsidRPr="00F52FFA">
              <w:t xml:space="preserve"> jomā ir identificētas vajadzības ieguldījumiem ēkās</w:t>
            </w:r>
            <w:r w:rsidR="00972A6B" w:rsidRPr="00F52FFA">
              <w:t xml:space="preserve"> un inženierbūvēs</w:t>
            </w:r>
            <w:r w:rsidRPr="00F52FFA">
              <w:t>, kurām piešķirts nacionālas sporta bāzes statuss, kā arī ēkas ar īpašiem ierobežojumiem augstas energoefektivitātes radītāju sasniegšanā. Papildus</w:t>
            </w:r>
            <w:r w:rsidR="008762E0" w:rsidRPr="00F52FFA">
              <w:t xml:space="preserve"> biedrību un nodibinājumu</w:t>
            </w:r>
            <w:r w:rsidRPr="00F52FFA">
              <w:t xml:space="preserve"> </w:t>
            </w:r>
            <w:r w:rsidR="008762E0" w:rsidRPr="00F52FFA">
              <w:t>(</w:t>
            </w:r>
            <w:r w:rsidRPr="00F52FFA">
              <w:t>L</w:t>
            </w:r>
            <w:r w:rsidR="008762E0" w:rsidRPr="00F52FFA">
              <w:t xml:space="preserve">atvijas Nedzirdīgo savienība, Latvijas Neredzīgo biedrība, Itas </w:t>
            </w:r>
            <w:proofErr w:type="spellStart"/>
            <w:r w:rsidR="008762E0" w:rsidRPr="00F52FFA">
              <w:t>Kozakēvičas</w:t>
            </w:r>
            <w:proofErr w:type="spellEnd"/>
            <w:r w:rsidR="008762E0" w:rsidRPr="00F52FFA">
              <w:t xml:space="preserve"> Latvijas Nacion</w:t>
            </w:r>
            <w:r w:rsidR="000B7315" w:rsidRPr="00F52FFA">
              <w:t>ālās Kultūras Biedrību Asociācija, biedrība “Latvijas Teātra darbinieku savienība”)</w:t>
            </w:r>
            <w:r w:rsidRPr="00F52FFA">
              <w:t xml:space="preserve"> īpašumā esošās ēkās, ir kritiskā stāvoklī un tām </w:t>
            </w:r>
            <w:r w:rsidRPr="00F52FFA">
              <w:lastRenderedPageBreak/>
              <w:t>ir nepieciešams finansējums, gan ēku sakārtošanai, gan energoefektivitātes paaugstināšanai.</w:t>
            </w:r>
          </w:p>
          <w:p w14:paraId="2D1A060C" w14:textId="77777777" w:rsidR="00847538" w:rsidRPr="00F52FFA" w:rsidRDefault="00847538" w:rsidP="00847538">
            <w:pPr>
              <w:autoSpaceDE w:val="0"/>
              <w:autoSpaceDN w:val="0"/>
              <w:jc w:val="both"/>
            </w:pPr>
            <w:r w:rsidRPr="00F52FFA">
              <w:t>Otrās projektu iesniegumu atlases kārtas finansējums tiek novirzīts:</w:t>
            </w:r>
          </w:p>
          <w:p w14:paraId="5A66C776" w14:textId="15302921" w:rsidR="00847538" w:rsidRPr="00F52FFA" w:rsidRDefault="00847538" w:rsidP="00847538">
            <w:pPr>
              <w:pStyle w:val="ListParagraph"/>
              <w:numPr>
                <w:ilvl w:val="0"/>
                <w:numId w:val="25"/>
              </w:numPr>
              <w:autoSpaceDE w:val="0"/>
              <w:autoSpaceDN w:val="0"/>
              <w:jc w:val="both"/>
            </w:pPr>
            <w:r w:rsidRPr="00F52FFA">
              <w:t>valsts kapitālsabiedrībām veselības jomā, kas veic valsts deleģētos uzdevumus, sniedz sabiedriskos pakalpojumus ar vispārēju tautsaimniecisku nozīmi un kurā valsts ir kapitāla daļu turētāja 100% apmērā, un ēka ir valsts</w:t>
            </w:r>
            <w:r w:rsidR="00B57402" w:rsidRPr="00F52FFA">
              <w:t xml:space="preserve"> vai valsts kapitālsabiedrības</w:t>
            </w:r>
            <w:r w:rsidRPr="00F52FFA">
              <w:t xml:space="preserve"> īpašumā;</w:t>
            </w:r>
          </w:p>
          <w:p w14:paraId="33FED030" w14:textId="77777777" w:rsidR="00847538" w:rsidRPr="00F52FFA" w:rsidRDefault="00847538" w:rsidP="00847538">
            <w:pPr>
              <w:pStyle w:val="ListParagraph"/>
              <w:numPr>
                <w:ilvl w:val="0"/>
                <w:numId w:val="25"/>
              </w:numPr>
              <w:autoSpaceDE w:val="0"/>
              <w:autoSpaceDN w:val="0"/>
              <w:jc w:val="both"/>
            </w:pPr>
            <w:r w:rsidRPr="00F52FFA">
              <w:t>valsts kapitālsabiedrībām kultūras jomā, kas veic valsts deleģētos uzdevumus un kurā valsts ir kapitāla daļu turētāja 100% apmērā, un ēka ir valsts īpašumā;</w:t>
            </w:r>
          </w:p>
          <w:p w14:paraId="51857E81" w14:textId="77777777" w:rsidR="00847538" w:rsidRPr="00F52FFA" w:rsidRDefault="00847538" w:rsidP="00847538">
            <w:pPr>
              <w:pStyle w:val="ListParagraph"/>
              <w:numPr>
                <w:ilvl w:val="0"/>
                <w:numId w:val="25"/>
              </w:numPr>
              <w:autoSpaceDE w:val="0"/>
              <w:autoSpaceDN w:val="0"/>
              <w:jc w:val="both"/>
            </w:pPr>
            <w:r w:rsidRPr="00F52FFA">
              <w:t>valsts kapitālsabiedrības, kurā valsts ir kapitāla daļu turētāja 100% apmērā un tās pilda nacionālās sporta bāzes funkcijas;</w:t>
            </w:r>
          </w:p>
          <w:p w14:paraId="0952F621" w14:textId="77777777" w:rsidR="00847538" w:rsidRPr="00F52FFA" w:rsidRDefault="00847538" w:rsidP="00847538">
            <w:pPr>
              <w:pStyle w:val="ListParagraph"/>
              <w:numPr>
                <w:ilvl w:val="0"/>
                <w:numId w:val="25"/>
              </w:numPr>
              <w:autoSpaceDE w:val="0"/>
              <w:autoSpaceDN w:val="0"/>
              <w:jc w:val="both"/>
            </w:pPr>
            <w:r w:rsidRPr="00F52FFA">
              <w:t>kapitālsabiedrībām, kuru 100% kapitāldaļas pieder atvasinātai publiskai personai un kas veic valsts deleģētos uzdevumus izglītības jomā;</w:t>
            </w:r>
          </w:p>
          <w:p w14:paraId="4EB90C9B" w14:textId="77777777" w:rsidR="00847538" w:rsidRPr="00F52FFA" w:rsidRDefault="00847538" w:rsidP="00847538">
            <w:pPr>
              <w:pStyle w:val="ListParagraph"/>
              <w:numPr>
                <w:ilvl w:val="0"/>
                <w:numId w:val="25"/>
              </w:numPr>
              <w:autoSpaceDE w:val="0"/>
              <w:autoSpaceDN w:val="0"/>
              <w:jc w:val="both"/>
            </w:pPr>
            <w:r w:rsidRPr="00F52FFA">
              <w:t>biedrībām un nodibinājumiem, ja ēkā veic valsts pārvaldes deleģētos uzdevumus kultūras vai sociālajā jomā;</w:t>
            </w:r>
          </w:p>
          <w:p w14:paraId="2C256E20" w14:textId="77777777" w:rsidR="00847538" w:rsidRPr="00F52FFA" w:rsidRDefault="00847538" w:rsidP="00847538">
            <w:pPr>
              <w:pStyle w:val="ListParagraph"/>
              <w:numPr>
                <w:ilvl w:val="0"/>
                <w:numId w:val="25"/>
              </w:numPr>
              <w:autoSpaceDE w:val="0"/>
              <w:autoSpaceDN w:val="0"/>
              <w:jc w:val="both"/>
            </w:pPr>
            <w:r w:rsidRPr="00F52FFA">
              <w:t>tiešās valsts pārvaldes iestādēm vai tās padotības iestādēm, vai valsts deleģēto pārvaldes uzdevumu veicošām atvasinātām publiskām personām.</w:t>
            </w:r>
          </w:p>
          <w:p w14:paraId="2BD5E031" w14:textId="1DA16306" w:rsidR="00D6780D" w:rsidRPr="00F52FFA" w:rsidRDefault="00D6780D" w:rsidP="009E7AA2">
            <w:pPr>
              <w:autoSpaceDE w:val="0"/>
              <w:autoSpaceDN w:val="0"/>
              <w:jc w:val="both"/>
            </w:pPr>
            <w:r w:rsidRPr="00F52FFA">
              <w:t xml:space="preserve">Kultūras ministrija </w:t>
            </w:r>
            <w:r w:rsidR="00485476">
              <w:t>ir noteikusi, ka</w:t>
            </w:r>
            <w:r w:rsidRPr="00F52FFA">
              <w:t xml:space="preserve"> </w:t>
            </w:r>
            <w:r w:rsidR="00485476">
              <w:t>projektu īstenošanai par teātra ēkām</w:t>
            </w:r>
            <w:r w:rsidRPr="00F52FFA">
              <w:t xml:space="preserve"> </w:t>
            </w:r>
            <w:r w:rsidR="00485476">
              <w:t>tiek</w:t>
            </w:r>
            <w:r w:rsidRPr="00F52FFA">
              <w:t xml:space="preserve"> deleģēta VAS “Valsts nekustamie īpašumi”</w:t>
            </w:r>
            <w:r w:rsidR="00DC3463" w:rsidRPr="00F52FFA">
              <w:t xml:space="preserve"> (</w:t>
            </w:r>
            <w:r w:rsidR="00CD30AF" w:rsidRPr="00F52FFA">
              <w:t xml:space="preserve">turpmāk – </w:t>
            </w:r>
            <w:r w:rsidR="00E721B0" w:rsidRPr="00F52FFA">
              <w:t>VNĪ</w:t>
            </w:r>
            <w:r w:rsidR="00DC3463" w:rsidRPr="00F52FFA">
              <w:t>)</w:t>
            </w:r>
            <w:r w:rsidR="00485476">
              <w:t>.</w:t>
            </w:r>
            <w:r w:rsidR="00DC3463" w:rsidRPr="00F52FFA">
              <w:t xml:space="preserve"> </w:t>
            </w:r>
            <w:r w:rsidR="00CD30AF" w:rsidRPr="00F52FFA">
              <w:t>Tādēļ</w:t>
            </w:r>
            <w:r w:rsidR="00DC3463" w:rsidRPr="00F52FFA">
              <w:t xml:space="preserve"> veidojas </w:t>
            </w:r>
            <w:r w:rsidR="00E721B0" w:rsidRPr="00F52FFA">
              <w:t>situācija, ka vienā projektā VNĪ</w:t>
            </w:r>
            <w:r w:rsidR="00DC3463" w:rsidRPr="00F52FFA">
              <w:t xml:space="preserve"> var būt finansējuma saņēmējs, bet otrā – sadarbības partneris.</w:t>
            </w:r>
          </w:p>
          <w:p w14:paraId="7ED14DA6" w14:textId="7B283F71" w:rsidR="00E635F8" w:rsidRPr="00F52FFA" w:rsidRDefault="00E635F8" w:rsidP="009E7AA2">
            <w:pPr>
              <w:autoSpaceDE w:val="0"/>
              <w:autoSpaceDN w:val="0"/>
              <w:jc w:val="both"/>
            </w:pPr>
            <w:r w:rsidRPr="00F52FFA">
              <w:t>Projektu iesniegumu</w:t>
            </w:r>
            <w:r w:rsidR="007C7BB2" w:rsidRPr="00F52FFA">
              <w:t xml:space="preserve"> otrās</w:t>
            </w:r>
            <w:r w:rsidRPr="00F52FFA">
              <w:t xml:space="preserve"> atlases kārtā tiek atbalstīta ēku</w:t>
            </w:r>
            <w:r w:rsidR="00D52B54" w:rsidRPr="00F52FFA">
              <w:t xml:space="preserve"> un </w:t>
            </w:r>
            <w:r w:rsidR="00972A6B" w:rsidRPr="00F52FFA">
              <w:t>inženier</w:t>
            </w:r>
            <w:r w:rsidR="00D52B54" w:rsidRPr="00F52FFA">
              <w:t>būvju</w:t>
            </w:r>
            <w:r w:rsidRPr="00F52FFA">
              <w:t xml:space="preserve"> energoefektivitātes paaugstināšana, tajā skaitā būvdarbu veikšana ēku norobežojošajās konstrukcijās</w:t>
            </w:r>
            <w:r w:rsidR="00972A6B" w:rsidRPr="00F52FFA">
              <w:t xml:space="preserve"> un inženierbūvju konstrukcijās</w:t>
            </w:r>
            <w:r w:rsidR="00773813">
              <w:t xml:space="preserve"> (konstrukciju siltināšana un jebkuri citi energoefektivitātes paaugstināšanas pasākumi)</w:t>
            </w:r>
            <w:r w:rsidRPr="00F52FFA">
              <w:t>,</w:t>
            </w:r>
            <w:r w:rsidR="007C7BB2" w:rsidRPr="00F52FFA">
              <w:t xml:space="preserve"> energoefektīva apgaismojuma uzstādīšana,</w:t>
            </w:r>
            <w:r w:rsidR="00DC116E" w:rsidRPr="00F52FFA">
              <w:t xml:space="preserve"> aukstuma apgādes sistēmu energoefektivitātes paaugstināšana,</w:t>
            </w:r>
            <w:r w:rsidRPr="00F52FFA">
              <w:t xml:space="preserve"> ēku</w:t>
            </w:r>
            <w:r w:rsidR="00D52B54" w:rsidRPr="00F52FFA">
              <w:t xml:space="preserve"> un </w:t>
            </w:r>
            <w:r w:rsidR="00972A6B" w:rsidRPr="00F52FFA">
              <w:t>inženier</w:t>
            </w:r>
            <w:r w:rsidR="00D52B54" w:rsidRPr="00F52FFA">
              <w:t>būvju</w:t>
            </w:r>
            <w:r w:rsidRPr="00F52FFA">
              <w:t xml:space="preserve"> </w:t>
            </w:r>
            <w:proofErr w:type="spellStart"/>
            <w:r w:rsidRPr="00F52FFA">
              <w:t>inženiersistēmu</w:t>
            </w:r>
            <w:proofErr w:type="spellEnd"/>
            <w:r w:rsidRPr="00F52FFA">
              <w:t xml:space="preserve"> atjaunošana, pārbūve vai izveide, un atjaunojamo energoresursu izmantojošu siltumenerģijas ražošanas</w:t>
            </w:r>
            <w:r w:rsidR="00DC116E" w:rsidRPr="00F52FFA">
              <w:t>,</w:t>
            </w:r>
            <w:r w:rsidRPr="00F52FFA">
              <w:t xml:space="preserve"> ūdens sildīšanas</w:t>
            </w:r>
            <w:r w:rsidR="00DC116E" w:rsidRPr="00F52FFA">
              <w:t xml:space="preserve"> un aukstuma apgādes</w:t>
            </w:r>
            <w:r w:rsidRPr="00F52FFA">
              <w:t xml:space="preserve"> avotu iegāde un uzstādīšana,</w:t>
            </w:r>
            <w:r w:rsidR="00D52B54" w:rsidRPr="00F52FFA">
              <w:t xml:space="preserve">  izmaksas, ja tās ir saistītas ar enerģijas ietaupījumu un CO</w:t>
            </w:r>
            <w:r w:rsidR="00D52B54" w:rsidRPr="00F52FFA">
              <w:rPr>
                <w:vertAlign w:val="subscript"/>
              </w:rPr>
              <w:t>2</w:t>
            </w:r>
            <w:r w:rsidR="00D52B54" w:rsidRPr="00F52FFA">
              <w:t> emisijas samazinājumu,</w:t>
            </w:r>
            <w:r w:rsidRPr="00F52FFA">
              <w:t xml:space="preserve"> </w:t>
            </w:r>
            <w:r w:rsidR="006276AE" w:rsidRPr="00F52FFA">
              <w:t>būv</w:t>
            </w:r>
            <w:r w:rsidRPr="00F52FFA">
              <w:t>darbi</w:t>
            </w:r>
            <w:r w:rsidR="006276AE" w:rsidRPr="00F52FFA">
              <w:t xml:space="preserve"> ēkā</w:t>
            </w:r>
            <w:r w:rsidR="009B57A0" w:rsidRPr="00F52FFA">
              <w:t xml:space="preserve"> un, ja īstenojot energoefektivitātes paaugstināšanas pasākumus tiek skarta ēkas</w:t>
            </w:r>
            <w:r w:rsidR="00D52B54" w:rsidRPr="00F52FFA">
              <w:t xml:space="preserve"> </w:t>
            </w:r>
            <w:r w:rsidR="009B57A0" w:rsidRPr="00F52FFA">
              <w:t xml:space="preserve">iekšējā </w:t>
            </w:r>
            <w:r w:rsidR="006276AE" w:rsidRPr="00F52FFA">
              <w:t xml:space="preserve"> un ārējā </w:t>
            </w:r>
            <w:r w:rsidR="009B57A0" w:rsidRPr="00F52FFA">
              <w:t>apdare, apdares darbi, lai nodrošinātu ēkas</w:t>
            </w:r>
            <w:r w:rsidR="00DC116E" w:rsidRPr="00F52FFA">
              <w:t xml:space="preserve"> </w:t>
            </w:r>
            <w:r w:rsidR="009B57A0" w:rsidRPr="00F52FFA">
              <w:t>arhitektonisko un iekšējās apdares detaļu vizuālo un tehnisko stāvokli</w:t>
            </w:r>
            <w:r w:rsidR="00DC116E" w:rsidRPr="00F52FFA">
              <w:t>, un ēkas integrāciju pilsētvidē</w:t>
            </w:r>
            <w:r w:rsidRPr="00F52FFA">
              <w:t>, projektu tehniskās dokumentācijas sagatavošana un projekta vadības un uzraudzības nodrošināšana.</w:t>
            </w:r>
          </w:p>
          <w:p w14:paraId="3E9CE14D" w14:textId="77777777" w:rsidR="00E635F8" w:rsidRPr="00F52FFA" w:rsidRDefault="00E635F8" w:rsidP="00E635F8">
            <w:pPr>
              <w:autoSpaceDE w:val="0"/>
              <w:autoSpaceDN w:val="0"/>
              <w:jc w:val="both"/>
            </w:pPr>
            <w:r w:rsidRPr="00F52FFA">
              <w:t>Lai nodrošinātu 4.2.1.2.pasākumu iznākuma rādītāju sasniegšanu, projektiem būs jāatbilst šādām energoefektivitātes prasībām:</w:t>
            </w:r>
          </w:p>
          <w:p w14:paraId="237C1487" w14:textId="5360906E" w:rsidR="00E635F8" w:rsidRPr="00F52FFA" w:rsidRDefault="00E635F8" w:rsidP="00E635F8">
            <w:pPr>
              <w:numPr>
                <w:ilvl w:val="0"/>
                <w:numId w:val="10"/>
              </w:numPr>
              <w:autoSpaceDE w:val="0"/>
              <w:autoSpaceDN w:val="0"/>
              <w:jc w:val="both"/>
            </w:pPr>
            <w:r w:rsidRPr="00F52FFA">
              <w:t>plānot</w:t>
            </w:r>
            <w:r w:rsidR="00DC116E" w:rsidRPr="00F52FFA">
              <w:t>ā</w:t>
            </w:r>
            <w:r w:rsidRPr="00F52FFA">
              <w:t xml:space="preserve"> siltumenerģijas</w:t>
            </w:r>
            <w:r w:rsidR="00D52B54" w:rsidRPr="00F52FFA">
              <w:t xml:space="preserve"> un elektroenerģijas</w:t>
            </w:r>
            <w:r w:rsidRPr="00F52FFA">
              <w:t xml:space="preserve"> ietaupījum</w:t>
            </w:r>
            <w:r w:rsidR="00DC116E" w:rsidRPr="00F52FFA">
              <w:t>a kopsumma</w:t>
            </w:r>
            <w:r w:rsidRPr="00F52FFA">
              <w:t xml:space="preserve"> pēc projekta īstenošanas ir ne mazāk</w:t>
            </w:r>
            <w:r w:rsidR="00DC116E" w:rsidRPr="00F52FFA">
              <w:t>a</w:t>
            </w:r>
            <w:r w:rsidRPr="00F52FFA">
              <w:t xml:space="preserve"> kā 30% gadā no ēkas</w:t>
            </w:r>
            <w:r w:rsidR="00DC116E" w:rsidRPr="00F52FFA">
              <w:t xml:space="preserve"> vai tās daļas, kurai ir nodrošināta individuāla enerģijas uzskaite, vai inženierbūves</w:t>
            </w:r>
            <w:r w:rsidRPr="00F52FFA">
              <w:t xml:space="preserve"> </w:t>
            </w:r>
            <w:r w:rsidR="00EC318A" w:rsidRPr="00F52FFA">
              <w:t>šo noteikumu</w:t>
            </w:r>
            <w:r w:rsidR="00485476">
              <w:t xml:space="preserve"> projekta</w:t>
            </w:r>
            <w:r w:rsidR="00EC318A" w:rsidRPr="00F52FFA">
              <w:t xml:space="preserve"> 2.pielikumā </w:t>
            </w:r>
            <w:r w:rsidRPr="00F52FFA">
              <w:t xml:space="preserve"> aprēķinātā enerģijas patēriņa pirms projekta īstenošanas;</w:t>
            </w:r>
          </w:p>
          <w:p w14:paraId="6A2C3271" w14:textId="3A91AF17" w:rsidR="00E635F8" w:rsidRPr="00F52FFA" w:rsidRDefault="00E635F8" w:rsidP="00E635F8">
            <w:pPr>
              <w:numPr>
                <w:ilvl w:val="0"/>
                <w:numId w:val="10"/>
              </w:numPr>
              <w:autoSpaceDE w:val="0"/>
              <w:autoSpaceDN w:val="0"/>
              <w:jc w:val="both"/>
            </w:pPr>
            <w:r w:rsidRPr="00F52FFA">
              <w:t xml:space="preserve">plānotais siltumenerģijas patēriņš apkurei pēc projekta īstenošanas, pamatojoties uz </w:t>
            </w:r>
            <w:r w:rsidR="00EC318A" w:rsidRPr="00F52FFA">
              <w:t>šo noteikumu</w:t>
            </w:r>
            <w:r w:rsidR="00485476">
              <w:t xml:space="preserve"> projekta</w:t>
            </w:r>
            <w:r w:rsidR="00EC318A" w:rsidRPr="00F52FFA">
              <w:t xml:space="preserve"> 2.pielikumā</w:t>
            </w:r>
            <w:r w:rsidRPr="00F52FFA">
              <w:t xml:space="preserve"> </w:t>
            </w:r>
            <w:r w:rsidRPr="00F52FFA">
              <w:lastRenderedPageBreak/>
              <w:t>veiktajiem aprēķiniem un projekta tehniskajā dokumentācijā paredzē</w:t>
            </w:r>
            <w:r w:rsidR="000B7315" w:rsidRPr="00F52FFA">
              <w:t>tajiem būvdarbiem nepārsniedz 110</w:t>
            </w:r>
            <w:r w:rsidRPr="00F52FFA">
              <w:t xml:space="preserve"> </w:t>
            </w:r>
            <w:proofErr w:type="spellStart"/>
            <w:r w:rsidRPr="00F52FFA">
              <w:t>kWh</w:t>
            </w:r>
            <w:proofErr w:type="spellEnd"/>
            <w:r w:rsidRPr="00F52FFA">
              <w:t>/m</w:t>
            </w:r>
            <w:r w:rsidRPr="00F52FFA">
              <w:rPr>
                <w:vertAlign w:val="superscript"/>
              </w:rPr>
              <w:t>2</w:t>
            </w:r>
            <w:r w:rsidRPr="00F52FFA">
              <w:t xml:space="preserve"> gadā</w:t>
            </w:r>
            <w:r w:rsidR="00312732" w:rsidRPr="00F52FFA">
              <w:t>.</w:t>
            </w:r>
            <w:r w:rsidR="006D2976" w:rsidRPr="00F52FFA">
              <w:t xml:space="preserve"> Šis nosacījums neattiecas uz inženierbūvēm.</w:t>
            </w:r>
          </w:p>
          <w:p w14:paraId="62319E28" w14:textId="741B62AD" w:rsidR="009E0F69" w:rsidRPr="00F52FFA" w:rsidRDefault="009E0F69" w:rsidP="00E635F8">
            <w:pPr>
              <w:autoSpaceDE w:val="0"/>
              <w:autoSpaceDN w:val="0"/>
              <w:jc w:val="both"/>
            </w:pPr>
            <w:r w:rsidRPr="00F52FFA">
              <w:t xml:space="preserve">Veicot energoefektivitātes paaugstināšanas pasākumus inženierbūvē, kuras apgādi ar siltuma un aukstuma enerģiju nodrošina iekārtas, kas atrodas citā inženierbūvē, tad iespējams iekļaut visu vai daļēju citas </w:t>
            </w:r>
            <w:r w:rsidR="00594840" w:rsidRPr="00F52FFA">
              <w:t>inženier</w:t>
            </w:r>
            <w:r w:rsidRPr="00F52FFA">
              <w:t xml:space="preserve">būves enerģijas patēriņu un enerģijas patēriņa ietaupījumu, kā arī investīciju izmaksas tās būves </w:t>
            </w:r>
            <w:proofErr w:type="spellStart"/>
            <w:r w:rsidRPr="00F52FFA">
              <w:t>energosertifikātā</w:t>
            </w:r>
            <w:proofErr w:type="spellEnd"/>
            <w:r w:rsidRPr="00F52FFA">
              <w:t xml:space="preserve"> un </w:t>
            </w:r>
            <w:r w:rsidR="00594840" w:rsidRPr="00F52FFA">
              <w:t>2.pielikumā</w:t>
            </w:r>
            <w:r w:rsidRPr="00F52FFA">
              <w:t xml:space="preserve">, kurā faktiski notiek enerģijas patēriņš (tiek izmantots enerģijas patēriņa rezultātā radītais siltums vai aukstums), iekļaujot tās atbilstošo lietderīgi apsildāmo vai dzesējamo platību. Skaidrojums un pamatojums par konkrēto situāciju ir jāiekļauj </w:t>
            </w:r>
            <w:r w:rsidR="00594840" w:rsidRPr="00F52FFA">
              <w:t>2.pielikumā</w:t>
            </w:r>
            <w:r w:rsidRPr="00F52FFA">
              <w:t>.</w:t>
            </w:r>
          </w:p>
          <w:p w14:paraId="22073AA4" w14:textId="58BA1B37" w:rsidR="00E635F8" w:rsidRPr="00F52FFA" w:rsidRDefault="00E635F8" w:rsidP="00E635F8">
            <w:pPr>
              <w:autoSpaceDE w:val="0"/>
              <w:autoSpaceDN w:val="0"/>
              <w:jc w:val="both"/>
            </w:pPr>
            <w:r w:rsidRPr="00F52FFA">
              <w:t xml:space="preserve">Tāpat arī </w:t>
            </w:r>
            <w:r w:rsidR="00531D46" w:rsidRPr="00F52FFA">
              <w:t xml:space="preserve">ministrija vai </w:t>
            </w:r>
            <w:r w:rsidRPr="00F52FFA">
              <w:t>finansējuma saņēmējs pēc projekta īstenošanas:</w:t>
            </w:r>
          </w:p>
          <w:p w14:paraId="1B604BBE" w14:textId="1A6CB3B3" w:rsidR="00DA6C27" w:rsidRPr="00F52FFA" w:rsidRDefault="004F149F" w:rsidP="00DA6C27">
            <w:pPr>
              <w:pStyle w:val="ListParagraph"/>
              <w:numPr>
                <w:ilvl w:val="0"/>
                <w:numId w:val="20"/>
              </w:numPr>
              <w:autoSpaceDE w:val="0"/>
              <w:autoSpaceDN w:val="0"/>
              <w:jc w:val="both"/>
            </w:pPr>
            <w:r w:rsidRPr="00F52FFA">
              <w:t xml:space="preserve">piecu gadu periodā </w:t>
            </w:r>
            <w:r w:rsidR="00DA6C27" w:rsidRPr="00F52FFA">
              <w:t>nodrošina sasniegto rezultātu uzturēšanu un līdzekļus projekta rezultātu uzturēšanai;</w:t>
            </w:r>
          </w:p>
          <w:p w14:paraId="636E9040" w14:textId="76B2EFA8" w:rsidR="00DA6C27" w:rsidRPr="00F52FFA" w:rsidRDefault="004F149F" w:rsidP="00531D46">
            <w:pPr>
              <w:pStyle w:val="ListParagraph"/>
              <w:numPr>
                <w:ilvl w:val="0"/>
                <w:numId w:val="20"/>
              </w:numPr>
              <w:autoSpaceDE w:val="0"/>
              <w:autoSpaceDN w:val="0"/>
              <w:jc w:val="both"/>
            </w:pPr>
            <w:r w:rsidRPr="00F52FFA">
              <w:t xml:space="preserve">visā projekta dzīves cikla periodā </w:t>
            </w:r>
            <w:r w:rsidR="00DA6C27" w:rsidRPr="00F52FFA">
              <w:t xml:space="preserve">nodrošina, ka </w:t>
            </w:r>
            <w:r w:rsidR="00EF6B85" w:rsidRPr="00F52FFA">
              <w:t>ēkā tiks īstenot</w:t>
            </w:r>
            <w:r w:rsidR="00531D46" w:rsidRPr="00F52FFA">
              <w:t>i</w:t>
            </w:r>
            <w:r w:rsidR="00EF6B85" w:rsidRPr="00F52FFA">
              <w:t xml:space="preserve"> </w:t>
            </w:r>
            <w:r w:rsidR="00DA6C27" w:rsidRPr="00F52FFA">
              <w:t>valsts deleģēt</w:t>
            </w:r>
            <w:r w:rsidR="00531D46" w:rsidRPr="00F52FFA">
              <w:t>i</w:t>
            </w:r>
            <w:r w:rsidR="00DA6C27" w:rsidRPr="00F52FFA">
              <w:t xml:space="preserve"> </w:t>
            </w:r>
            <w:r w:rsidR="00531D46" w:rsidRPr="00F52FFA">
              <w:t xml:space="preserve">uzdevumi </w:t>
            </w:r>
            <w:r w:rsidRPr="00F52FFA">
              <w:t>vai</w:t>
            </w:r>
            <w:r w:rsidR="00531D46" w:rsidRPr="00F52FFA">
              <w:t xml:space="preserve"> sniegti sabiedriskie pakalpojumi ar vispārēju tautsaimniecisku nozīmi</w:t>
            </w:r>
            <w:r w:rsidR="00DA6C27" w:rsidRPr="00F52FFA">
              <w:t>;</w:t>
            </w:r>
          </w:p>
          <w:p w14:paraId="276B2F25" w14:textId="39629E44" w:rsidR="00312732" w:rsidRPr="00F52FFA" w:rsidRDefault="004F149F" w:rsidP="001C16F9">
            <w:pPr>
              <w:pStyle w:val="ListParagraph"/>
              <w:numPr>
                <w:ilvl w:val="0"/>
                <w:numId w:val="20"/>
              </w:numPr>
              <w:autoSpaceDE w:val="0"/>
              <w:autoSpaceDN w:val="0"/>
              <w:jc w:val="both"/>
            </w:pPr>
            <w:r w:rsidRPr="00F52FFA">
              <w:t xml:space="preserve">piecu gadu periodā </w:t>
            </w:r>
            <w:r w:rsidR="00E635F8" w:rsidRPr="00F52FFA">
              <w:t xml:space="preserve">ik gadu </w:t>
            </w:r>
            <w:r w:rsidR="00DA6C27" w:rsidRPr="00F52FFA">
              <w:t xml:space="preserve">līdz 31.janvārim </w:t>
            </w:r>
            <w:r w:rsidR="0073280C">
              <w:t>sadarbības</w:t>
            </w:r>
            <w:r w:rsidR="0073280C" w:rsidRPr="00F52FFA">
              <w:t xml:space="preserve"> </w:t>
            </w:r>
            <w:r w:rsidR="00DA6C27" w:rsidRPr="00F52FFA">
              <w:t xml:space="preserve">iestādei </w:t>
            </w:r>
            <w:r w:rsidR="00E635F8" w:rsidRPr="00F52FFA">
              <w:t xml:space="preserve">iesniedz pārskatu par enerģijas patēriņu attiecīgajā ēkā saskaņā ar šo noteikumu </w:t>
            </w:r>
            <w:r w:rsidR="00286A74" w:rsidRPr="00F52FFA">
              <w:t>3</w:t>
            </w:r>
            <w:r w:rsidR="00E635F8" w:rsidRPr="00F52FFA">
              <w:t>.pielikumu</w:t>
            </w:r>
            <w:r w:rsidR="00312732" w:rsidRPr="00F52FFA">
              <w:t>.</w:t>
            </w:r>
          </w:p>
          <w:p w14:paraId="479D9071" w14:textId="7A4BC581" w:rsidR="000B7315" w:rsidRPr="00F52FFA" w:rsidRDefault="000B7315" w:rsidP="009A5268">
            <w:pPr>
              <w:spacing w:before="120"/>
              <w:jc w:val="both"/>
              <w:rPr>
                <w:i/>
              </w:rPr>
            </w:pPr>
            <w:r w:rsidRPr="00F52FFA">
              <w:rPr>
                <w:i/>
              </w:rPr>
              <w:t>Maksājumi</w:t>
            </w:r>
          </w:p>
          <w:p w14:paraId="16635DB9" w14:textId="69093410" w:rsidR="00844172" w:rsidRPr="00F52FFA" w:rsidRDefault="00844172" w:rsidP="00844172">
            <w:pPr>
              <w:spacing w:before="120"/>
              <w:jc w:val="both"/>
            </w:pPr>
            <w:r w:rsidRPr="00F52FFA">
              <w:t xml:space="preserve">Projekta īstenošanas laikā finansējuma saņēmēji, kas ir </w:t>
            </w:r>
            <w:r w:rsidR="005A5170" w:rsidRPr="00F52FFA">
              <w:t>tiešās valsts pārvaldes iestādes vai tās padotības iestādes</w:t>
            </w:r>
            <w:r w:rsidRPr="00F52FFA">
              <w:t xml:space="preserve">, var saņemt </w:t>
            </w:r>
            <w:proofErr w:type="spellStart"/>
            <w:r w:rsidR="006F45F5" w:rsidRPr="00F52FFA">
              <w:t>priekšfinansējumu</w:t>
            </w:r>
            <w:proofErr w:type="spellEnd"/>
            <w:r w:rsidRPr="00F52FFA">
              <w:t xml:space="preserve"> saskaņā ar</w:t>
            </w:r>
            <w:r w:rsidR="00430AE1" w:rsidRPr="00F52FFA">
              <w:t xml:space="preserve"> Ministru kabineta 2010.gada 10.maija noteikumiem Nr. 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Ja finansējuma saņēmējam ir nepieciešamas projekta sagatavošanas izmaksas vai citas konkrētas objektīvas izmaksas, kurām nav finansējuma nevienā budžeta apakšprogrammā, tam ir jāinformē MK. Lai MK varētu pieņemt lēmumu par šādu izmaksu segšanu, nozares ministrijai un valsts akciju sabiedrībai "Valsts nekustamie īpašumi" ir jāsniedz atsevišķs MK informatīvais ziņojums ar </w:t>
            </w:r>
            <w:proofErr w:type="spellStart"/>
            <w:r w:rsidR="00430AE1" w:rsidRPr="00F52FFA">
              <w:t>protokllēmuma</w:t>
            </w:r>
            <w:proofErr w:type="spellEnd"/>
            <w:r w:rsidR="00430AE1" w:rsidRPr="00F52FFA">
              <w:t xml:space="preserve"> projektu, sniedzot precīzu informāciju par izdevumu pamatojumu, skaidrojumu steidzamībai, kādēļ izmaksas nevar veikt vispārējā kārtībā pēc projekta iesnieguma apstiprināšanas, risku novērtējumu par izmaksu </w:t>
            </w:r>
            <w:proofErr w:type="spellStart"/>
            <w:r w:rsidR="00430AE1" w:rsidRPr="00F52FFA">
              <w:t>attiecināmību</w:t>
            </w:r>
            <w:proofErr w:type="spellEnd"/>
            <w:r w:rsidR="00430AE1" w:rsidRPr="00F52FFA">
              <w:t xml:space="preserve">, kā arī plānoto projekta apstiprināšanas laika grafiku. Vienlaikus šādos gadījumos MK </w:t>
            </w:r>
            <w:proofErr w:type="spellStart"/>
            <w:r w:rsidR="00430AE1" w:rsidRPr="00F52FFA">
              <w:t>protokollēmumā</w:t>
            </w:r>
            <w:proofErr w:type="spellEnd"/>
            <w:r w:rsidR="00430AE1" w:rsidRPr="00F52FFA">
              <w:t xml:space="preserve"> jānosaka skaidra atbildība par nekavējošu valdības informēšanu par riskiem ar potenciāli negatīvu ietekmi uz valsts budžetu un risku mazināšanas pasākumiem. </w:t>
            </w:r>
          </w:p>
          <w:p w14:paraId="469F1640" w14:textId="78A65E45" w:rsidR="00252C19" w:rsidRPr="00F52FFA" w:rsidRDefault="000B153F" w:rsidP="00844172">
            <w:pPr>
              <w:spacing w:before="120"/>
              <w:jc w:val="both"/>
            </w:pPr>
            <w:r w:rsidRPr="00F52FFA">
              <w:t>Projekta īstenošanas laikā finansējuma saņēmēji var saņemt avansa maksājumu saskaņā ar normatīvajiem aktiem par kārtību, kādā plāno valsts budžeta līdzekļus Eiropas Savienības struktūrfondu un Kohēzijas fonda projektu īstenošanai un veic maksājumus 2014. - 2020.gada plānošanas periodā</w:t>
            </w:r>
            <w:r w:rsidR="00105078" w:rsidRPr="00F52FFA">
              <w:t>.</w:t>
            </w:r>
          </w:p>
          <w:p w14:paraId="2059E184" w14:textId="3332FF62" w:rsidR="007E091B" w:rsidRPr="00F52FFA" w:rsidRDefault="00105078" w:rsidP="00844172">
            <w:pPr>
              <w:spacing w:before="120"/>
              <w:jc w:val="both"/>
            </w:pPr>
            <w:r w:rsidRPr="00F52FFA">
              <w:t>Avansa maksājumu var saņemt vienā vai vairākos maksājumos tādā apmērā</w:t>
            </w:r>
            <w:r w:rsidR="000B153F" w:rsidRPr="00F52FFA">
              <w:t xml:space="preserve">, kas nepārsniedz 90% no projektam piešķirtā ERAF finansējuma </w:t>
            </w:r>
            <w:r w:rsidR="000B153F" w:rsidRPr="00F52FFA">
              <w:lastRenderedPageBreak/>
              <w:t>un, ja tas ir paredzēts projektā, valsts budžeta kopsummas</w:t>
            </w:r>
            <w:r w:rsidRPr="00F52FFA">
              <w:t>, izņemot šādus gadījumus:</w:t>
            </w:r>
            <w:r w:rsidR="000B153F" w:rsidRPr="00F52FFA">
              <w:t xml:space="preserve"> </w:t>
            </w:r>
          </w:p>
          <w:p w14:paraId="2F33C6EB" w14:textId="6B542D32" w:rsidR="00105078" w:rsidRPr="00F52FFA" w:rsidRDefault="00105078" w:rsidP="00886FF8">
            <w:pPr>
              <w:pStyle w:val="ListParagraph"/>
              <w:numPr>
                <w:ilvl w:val="0"/>
                <w:numId w:val="33"/>
              </w:numPr>
              <w:spacing w:before="120"/>
              <w:jc w:val="both"/>
            </w:pPr>
            <w:r w:rsidRPr="00F52FFA">
              <w:t>š</w:t>
            </w:r>
            <w:r w:rsidR="00B00DB4" w:rsidRPr="00F52FFA">
              <w:t>o noteikumu 1. pielikuma 5.</w:t>
            </w:r>
            <w:r w:rsidR="00FD5FCD">
              <w:t xml:space="preserve"> un 6.</w:t>
            </w:r>
            <w:r w:rsidR="00B00DB4" w:rsidRPr="00F52FFA">
              <w:t xml:space="preserve"> punktā noteikt</w:t>
            </w:r>
            <w:r w:rsidR="007E091B" w:rsidRPr="00F52FFA">
              <w:t>ajiem</w:t>
            </w:r>
            <w:r w:rsidR="00B00DB4" w:rsidRPr="00F52FFA">
              <w:t xml:space="preserve"> finansējuma saņēmēji</w:t>
            </w:r>
            <w:r w:rsidR="007E091B" w:rsidRPr="00F52FFA">
              <w:t>em</w:t>
            </w:r>
            <w:r w:rsidR="00A72C2B" w:rsidRPr="00F52FFA">
              <w:t>,</w:t>
            </w:r>
            <w:r w:rsidR="000B153F" w:rsidRPr="00F52FFA">
              <w:t xml:space="preserve"> kur</w:t>
            </w:r>
            <w:r w:rsidR="00A72C2B" w:rsidRPr="00F52FFA">
              <w:t xml:space="preserve">iem </w:t>
            </w:r>
            <w:r w:rsidR="007E091B" w:rsidRPr="00F52FFA">
              <w:t>sniegtais</w:t>
            </w:r>
            <w:r w:rsidR="000B153F" w:rsidRPr="00F52FFA">
              <w:t xml:space="preserve"> atbalsts</w:t>
            </w:r>
            <w:r w:rsidR="007E091B" w:rsidRPr="00F52FFA">
              <w:t xml:space="preserve"> specifiskā atbalsta ietvaros ir kvalificējams kā valsts atbalsts komercdarbībai</w:t>
            </w:r>
            <w:r w:rsidR="000B153F" w:rsidRPr="00F52FFA">
              <w:t xml:space="preserve">, maksimālais avansa apjoms </w:t>
            </w:r>
            <w:r w:rsidR="001C3CA6" w:rsidRPr="00F52FFA">
              <w:t>nepārsniedz</w:t>
            </w:r>
            <w:r w:rsidR="000B153F" w:rsidRPr="00F52FFA">
              <w:t xml:space="preserve"> 40 procent</w:t>
            </w:r>
            <w:r w:rsidR="001C3CA6" w:rsidRPr="00F52FFA">
              <w:t>us</w:t>
            </w:r>
            <w:r w:rsidRPr="00F52FFA">
              <w:t>;</w:t>
            </w:r>
          </w:p>
          <w:p w14:paraId="205DC4AC" w14:textId="175E57AB" w:rsidR="00844172" w:rsidRPr="00F52FFA" w:rsidRDefault="000B153F" w:rsidP="00886FF8">
            <w:pPr>
              <w:pStyle w:val="ListParagraph"/>
              <w:numPr>
                <w:ilvl w:val="0"/>
                <w:numId w:val="33"/>
              </w:numPr>
              <w:spacing w:before="120"/>
              <w:jc w:val="both"/>
            </w:pPr>
            <w:r w:rsidRPr="00F52FFA">
              <w:t xml:space="preserve"> </w:t>
            </w:r>
            <w:r w:rsidR="00105078" w:rsidRPr="00F52FFA">
              <w:t>a</w:t>
            </w:r>
            <w:r w:rsidR="00844172" w:rsidRPr="00F52FFA">
              <w:t>vansa maksājumu finansējuma saņēmēji, kas ir valsts</w:t>
            </w:r>
            <w:r w:rsidR="00736589" w:rsidRPr="00F52FFA">
              <w:t xml:space="preserve"> </w:t>
            </w:r>
            <w:r w:rsidR="00844172" w:rsidRPr="00F52FFA">
              <w:t>kapitālsabiedrības</w:t>
            </w:r>
            <w:r w:rsidR="00CE1114" w:rsidRPr="00F52FFA">
              <w:t xml:space="preserve"> (attiecas arī, ja kapitālsabiedrība pieder atvasinātai publiskai personai)</w:t>
            </w:r>
            <w:r w:rsidR="00844172" w:rsidRPr="00F52FFA">
              <w:t>, kas veic valsts deleģētus pārvaldes uzdevumus</w:t>
            </w:r>
            <w:r w:rsidR="0003118A" w:rsidRPr="00F52FFA">
              <w:t xml:space="preserve"> vai</w:t>
            </w:r>
            <w:r w:rsidR="00531D46" w:rsidRPr="00F52FFA">
              <w:t xml:space="preserve"> sniedz sabiedriskos pakalpojumus ar vispārēju tautsaimniecisku nozīmi,</w:t>
            </w:r>
            <w:r w:rsidR="00D54020" w:rsidRPr="00F52FFA">
              <w:t xml:space="preserve"> valsts kapitālsabiedrības, kuras saskaņā ar normatīvos aktos noteikto deleģējumu veic valsts nekustamo īpašumu pārvaldīšanu un apsaimniekošanu </w:t>
            </w:r>
            <w:r w:rsidR="001C3CA6" w:rsidRPr="00F52FFA">
              <w:t>(</w:t>
            </w:r>
            <w:r w:rsidR="00D54020" w:rsidRPr="00F52FFA">
              <w:t>valsts akciju sabiedrība “Valsts nekustamie īpašumi” un valsts sabiedrība ar ierobežotu atbildību “Šampētera nams”</w:t>
            </w:r>
            <w:r w:rsidR="001C3CA6" w:rsidRPr="00F52FFA">
              <w:t>)</w:t>
            </w:r>
            <w:r w:rsidR="00812553" w:rsidRPr="00F52FFA">
              <w:t>,</w:t>
            </w:r>
            <w:r w:rsidR="0003118A" w:rsidRPr="00F52FFA">
              <w:t xml:space="preserve"> un biedrības vai nodibinājumi, kas veic valsts deleģētus pārvaldes uzdevumus,</w:t>
            </w:r>
            <w:r w:rsidR="00844172" w:rsidRPr="00F52FFA">
              <w:t xml:space="preserve"> var saņemt 100 % apmērā no projektam piešķirtā Eiropas Reģionālās attīstības fonda finansējuma un, ja tas ir paredzēts projektā, valsts budžeta līdzfinansējuma kopsummas.</w:t>
            </w:r>
            <w:r w:rsidR="00814CCD" w:rsidRPr="00F52FFA">
              <w:t xml:space="preserve"> </w:t>
            </w:r>
            <w:r w:rsidR="00105078" w:rsidRPr="00F52FFA">
              <w:t>Attiecīgo p</w:t>
            </w:r>
            <w:r w:rsidR="00996EC6" w:rsidRPr="00F52FFA">
              <w:t xml:space="preserve">rojektu īstenošanai nepieciešams 100% avanss no projektam piešķirtā ERAF finansējuma un valsts budžeta kopsummas, jo, saņemot avansu mazākā apmērā nekā 100%, projektu iesniedzējiem nepieciešamo finansējumu būtu jānodrošina no saviem līdzekļiem. Lai nodrošinātu nepieciešamo finansējumu, </w:t>
            </w:r>
            <w:r w:rsidR="00812553" w:rsidRPr="00F52FFA">
              <w:t xml:space="preserve">lielākajai daļai </w:t>
            </w:r>
            <w:r w:rsidR="00996EC6" w:rsidRPr="00F52FFA">
              <w:t>projektu iesniedzēj</w:t>
            </w:r>
            <w:r w:rsidR="00812553" w:rsidRPr="00F52FFA">
              <w:t>u</w:t>
            </w:r>
            <w:r w:rsidR="00996EC6" w:rsidRPr="00F52FFA">
              <w:t xml:space="preserve"> būtu nepieciešami kredītiestāžu sniegtie pakalpojumi, kas radītu tikai lieku administratīvo slogu un finansējuma nelietderīgu izmantošanu (procentu likmes dēļ). Līdz ar to </w:t>
            </w:r>
            <w:r w:rsidR="00A80E32" w:rsidRPr="00F52FFA">
              <w:t xml:space="preserve">šo noteikumu 1.pielikuma 1., 2., 3., 4. un </w:t>
            </w:r>
            <w:r w:rsidR="00342201">
              <w:t>7</w:t>
            </w:r>
            <w:r w:rsidR="00A80E32" w:rsidRPr="00F52FFA">
              <w:t xml:space="preserve">. punktā </w:t>
            </w:r>
            <w:r w:rsidR="00105078" w:rsidRPr="00F52FFA">
              <w:t xml:space="preserve">norādītajiem </w:t>
            </w:r>
            <w:r w:rsidR="00996EC6" w:rsidRPr="00F52FFA">
              <w:t xml:space="preserve">projektu iesniedzējiem </w:t>
            </w:r>
            <w:r w:rsidR="00A80E32" w:rsidRPr="00F52FFA">
              <w:t xml:space="preserve">(izņemot tiešās valsts pārvaldes iestādes un to padotības iestādes) </w:t>
            </w:r>
            <w:r w:rsidR="00996EC6" w:rsidRPr="00F52FFA">
              <w:t>otrās projektu iesniegumu atlases kārtas ietvaros pieļaujams 100% avanss no projektam piešķirtā ERAF finansējuma un valsts budžeta kopsummas.</w:t>
            </w:r>
            <w:r w:rsidR="00D56807" w:rsidRPr="00F52FFA">
              <w:t xml:space="preserve"> </w:t>
            </w:r>
          </w:p>
          <w:p w14:paraId="524179F4" w14:textId="77777777" w:rsidR="005A5170" w:rsidRPr="00F52FFA" w:rsidRDefault="005A5170" w:rsidP="00844172">
            <w:pPr>
              <w:spacing w:before="120"/>
              <w:jc w:val="both"/>
            </w:pPr>
          </w:p>
          <w:p w14:paraId="1C605F5F" w14:textId="2BCD4796" w:rsidR="000B7315" w:rsidRPr="00F52FFA" w:rsidRDefault="000B7315" w:rsidP="00D318C4">
            <w:pPr>
              <w:autoSpaceDE w:val="0"/>
              <w:autoSpaceDN w:val="0"/>
              <w:jc w:val="both"/>
              <w:rPr>
                <w:i/>
              </w:rPr>
            </w:pPr>
            <w:r w:rsidRPr="00F52FFA">
              <w:rPr>
                <w:i/>
              </w:rPr>
              <w:t xml:space="preserve">Atbalsta </w:t>
            </w:r>
            <w:r w:rsidR="009D1B85" w:rsidRPr="00F52FFA">
              <w:rPr>
                <w:i/>
              </w:rPr>
              <w:t>piešķiršanas nosacījumi</w:t>
            </w:r>
          </w:p>
          <w:p w14:paraId="66ED2927" w14:textId="522B0A67" w:rsidR="000B7315" w:rsidRPr="00F52FFA" w:rsidRDefault="000B7315" w:rsidP="00D318C4">
            <w:pPr>
              <w:autoSpaceDE w:val="0"/>
              <w:autoSpaceDN w:val="0"/>
              <w:jc w:val="both"/>
              <w:rPr>
                <w:i/>
              </w:rPr>
            </w:pPr>
          </w:p>
          <w:p w14:paraId="583AED6E" w14:textId="2789824B" w:rsidR="00844172" w:rsidRPr="00F52FFA" w:rsidRDefault="00844172" w:rsidP="00C91FEF">
            <w:pPr>
              <w:autoSpaceDE w:val="0"/>
              <w:autoSpaceDN w:val="0"/>
              <w:jc w:val="both"/>
            </w:pPr>
            <w:r w:rsidRPr="00F52FFA">
              <w:t xml:space="preserve">Ņemot vērā, ka </w:t>
            </w:r>
            <w:r w:rsidR="00C91FEF" w:rsidRPr="00F52FFA">
              <w:t>projekta iesnieguma otrajā atlases kārtā uz atbalstu var pretendēt kultūras, veselības</w:t>
            </w:r>
            <w:r w:rsidR="0098481A" w:rsidRPr="00F52FFA">
              <w:t>, izglītības</w:t>
            </w:r>
            <w:r w:rsidR="00C91FEF" w:rsidRPr="00F52FFA">
              <w:t xml:space="preserve"> un sporta</w:t>
            </w:r>
            <w:r w:rsidR="00C8619E" w:rsidRPr="00F52FFA">
              <w:t xml:space="preserve"> jomas</w:t>
            </w:r>
            <w:r w:rsidR="00C91FEF" w:rsidRPr="00F52FFA">
              <w:t xml:space="preserve"> valsts kapitālsabiedrības,</w:t>
            </w:r>
            <w:r w:rsidR="00C8619E" w:rsidRPr="00F52FFA">
              <w:t xml:space="preserve"> sabiedriskā labuma organizācijas</w:t>
            </w:r>
            <w:r w:rsidR="00C91FEF" w:rsidRPr="00F52FFA">
              <w:t>,</w:t>
            </w:r>
            <w:r w:rsidR="00FA31A4" w:rsidRPr="00F52FFA">
              <w:t xml:space="preserve"> kas veic valsts deleģētus pārvaldes uzdevumus,</w:t>
            </w:r>
            <w:r w:rsidR="00C91FEF" w:rsidRPr="00F52FFA">
              <w:t xml:space="preserve"> nacionālās sporta bāzes, tiešās valsts pārvaldes iestādes vai tās padotības iestādes, </w:t>
            </w:r>
            <w:r w:rsidR="00E32822" w:rsidRPr="00F52FFA">
              <w:t>n</w:t>
            </w:r>
            <w:r w:rsidR="00C91FEF" w:rsidRPr="00F52FFA">
              <w:t>oteikumu projektā katrai no finansējuma saņēmēju grupā ir noteikta atbalsta noteikšanas kārtība</w:t>
            </w:r>
            <w:r w:rsidR="00146AE6" w:rsidRPr="00F52FFA">
              <w:t>:</w:t>
            </w:r>
          </w:p>
          <w:p w14:paraId="5A89C917" w14:textId="217B79C0" w:rsidR="006B1EF6" w:rsidRPr="00F52FFA" w:rsidRDefault="00C8619E" w:rsidP="00EC318A">
            <w:pPr>
              <w:pStyle w:val="ListParagraph"/>
              <w:numPr>
                <w:ilvl w:val="0"/>
                <w:numId w:val="28"/>
              </w:numPr>
              <w:autoSpaceDE w:val="0"/>
              <w:autoSpaceDN w:val="0"/>
              <w:ind w:left="0" w:firstLine="360"/>
              <w:jc w:val="both"/>
            </w:pPr>
            <w:r w:rsidRPr="00F52FFA">
              <w:t>Sabiedriskā labuma organizācij</w:t>
            </w:r>
            <w:r w:rsidR="004E0246" w:rsidRPr="00F52FFA">
              <w:t>ām</w:t>
            </w:r>
            <w:r w:rsidR="00146AE6" w:rsidRPr="00F52FFA">
              <w:t xml:space="preserve"> un tiešās valsts pārvaldes iestād</w:t>
            </w:r>
            <w:r w:rsidR="004E0246" w:rsidRPr="00F52FFA">
              <w:t>ēm</w:t>
            </w:r>
            <w:r w:rsidR="00146AE6" w:rsidRPr="00F52FFA">
              <w:t xml:space="preserve"> vai tās padotības iestād</w:t>
            </w:r>
            <w:r w:rsidR="004E0246" w:rsidRPr="00F52FFA">
              <w:t>ēm</w:t>
            </w:r>
            <w:r w:rsidR="00146AE6" w:rsidRPr="00F52FFA">
              <w:t xml:space="preserve">, vai valsts deleģēto pārvaldes uzdevumu </w:t>
            </w:r>
            <w:r w:rsidR="004E0246" w:rsidRPr="00F52FFA">
              <w:t xml:space="preserve">pildošām </w:t>
            </w:r>
            <w:r w:rsidR="00146AE6" w:rsidRPr="00F52FFA">
              <w:t>atvasināt</w:t>
            </w:r>
            <w:r w:rsidR="004E0246" w:rsidRPr="00F52FFA">
              <w:t>ām</w:t>
            </w:r>
            <w:r w:rsidR="00146AE6" w:rsidRPr="00F52FFA">
              <w:t xml:space="preserve"> publisk</w:t>
            </w:r>
            <w:r w:rsidR="004E0246" w:rsidRPr="00F52FFA">
              <w:t>ām</w:t>
            </w:r>
            <w:r w:rsidR="00146AE6" w:rsidRPr="00F52FFA">
              <w:t xml:space="preserve"> personām ir jāievēro nosac</w:t>
            </w:r>
            <w:r w:rsidR="006B1EF6" w:rsidRPr="00F52FFA">
              <w:t xml:space="preserve">ījums par </w:t>
            </w:r>
            <w:r w:rsidR="00146AE6" w:rsidRPr="00F52FFA">
              <w:t>p</w:t>
            </w:r>
            <w:r w:rsidR="006B1EF6" w:rsidRPr="00F52FFA">
              <w:t>apildinošo saimniecisko darbību</w:t>
            </w:r>
            <w:r w:rsidR="00146AE6" w:rsidRPr="00F52FFA">
              <w:t xml:space="preserve"> 20% apmērā</w:t>
            </w:r>
            <w:r w:rsidR="006B1EF6" w:rsidRPr="00F52FFA">
              <w:t>.</w:t>
            </w:r>
            <w:r w:rsidR="00146AE6" w:rsidRPr="00F52FFA">
              <w:t xml:space="preserve"> </w:t>
            </w:r>
            <w:r w:rsidR="006B1EF6" w:rsidRPr="00F52FFA">
              <w:t>P</w:t>
            </w:r>
            <w:r w:rsidR="00146AE6" w:rsidRPr="00F52FFA">
              <w:t>rojekta iesniedzējs noteikto 20% ierobežojumu var aprēķināt no infrastruktūras gada jaudas platības vai laika</w:t>
            </w:r>
            <w:r w:rsidR="00485476">
              <w:t>,</w:t>
            </w:r>
            <w:r w:rsidR="00146AE6" w:rsidRPr="00F52FFA">
              <w:t xml:space="preserve"> vai finanšu izteiksmē. Projekta īstenošanas laikā un uzraudzības periodā aprēķina metode, kura </w:t>
            </w:r>
            <w:r w:rsidR="00146AE6" w:rsidRPr="00F52FFA">
              <w:lastRenderedPageBreak/>
              <w:t>izmantota pie projekta iesnieguma iesniegšanas un apstiprināšanas sadarbības iestādē, nedrīkst tikt mainīta.</w:t>
            </w:r>
          </w:p>
          <w:p w14:paraId="7D42E672" w14:textId="641676DB" w:rsidR="006B1EF6" w:rsidRPr="00F52FFA" w:rsidRDefault="00146AE6" w:rsidP="00EC318A">
            <w:pPr>
              <w:pStyle w:val="ListParagraph"/>
              <w:autoSpaceDE w:val="0"/>
              <w:autoSpaceDN w:val="0"/>
              <w:ind w:left="0" w:firstLine="360"/>
              <w:jc w:val="both"/>
            </w:pPr>
            <w:r w:rsidRPr="00F52FFA">
              <w:t>Ar papildinošu saimniecisko darbību saprot tādas darbības, kuras ir tieši saistītas ar infrastruktūras ekspluatāciju un tai nepieciešamas vai cieši saistītas ar tās galveno nesaimniecisko izmantojumu ikgadēji ierobežotā apmērā platības</w:t>
            </w:r>
            <w:r w:rsidR="0052152D" w:rsidRPr="00F52FFA">
              <w:t>, laika vai finanšu</w:t>
            </w:r>
            <w:r w:rsidRPr="00F52FFA">
              <w:t xml:space="preserve"> izteiksmē.</w:t>
            </w:r>
            <w:r w:rsidR="00484190" w:rsidRPr="00F52FFA">
              <w:t xml:space="preserve"> </w:t>
            </w:r>
            <w:r w:rsidRPr="00F52FFA">
              <w:t>Saskaņā</w:t>
            </w:r>
            <w:r w:rsidR="00484190" w:rsidRPr="00F52FFA">
              <w:t xml:space="preserve"> ar</w:t>
            </w:r>
            <w:r w:rsidRPr="00F52FFA">
              <w:t xml:space="preserve"> </w:t>
            </w:r>
            <w:r w:rsidR="00484190" w:rsidRPr="00F52FFA">
              <w:t xml:space="preserve"> Komisijas Līguma par Eiropas Savienības darbību 107. panta 1. punktu </w:t>
            </w:r>
            <w:r w:rsidRPr="00F52FFA">
              <w:t xml:space="preserve">papildinošās saimnieciskās darbības ierobežojums 4.2.1.2.pasākuma </w:t>
            </w:r>
            <w:r w:rsidR="006B1EF6" w:rsidRPr="00F52FFA">
              <w:t>otrās</w:t>
            </w:r>
            <w:r w:rsidRPr="00F52FFA">
              <w:t xml:space="preserve"> projektu iesniegumu atlases kārtas ietvaros ir noteikts 20% apmērā.</w:t>
            </w:r>
            <w:r w:rsidR="0052152D" w:rsidRPr="00F52FFA">
              <w:t xml:space="preserve"> </w:t>
            </w:r>
          </w:p>
          <w:p w14:paraId="329C30D3" w14:textId="74554780" w:rsidR="00146AE6" w:rsidRPr="00F52FFA" w:rsidRDefault="006B1EF6" w:rsidP="00EC318A">
            <w:pPr>
              <w:pStyle w:val="ListParagraph"/>
              <w:autoSpaceDE w:val="0"/>
              <w:autoSpaceDN w:val="0"/>
              <w:ind w:left="0" w:firstLine="360"/>
              <w:jc w:val="both"/>
            </w:pPr>
            <w:r w:rsidRPr="00F52FFA">
              <w:t xml:space="preserve">Ja </w:t>
            </w:r>
            <w:r w:rsidR="00B93370" w:rsidRPr="00F52FFA">
              <w:t>n</w:t>
            </w:r>
            <w:r w:rsidRPr="00F52FFA">
              <w:t>oteikumu projekta 4</w:t>
            </w:r>
            <w:r w:rsidR="00F57527">
              <w:t>7</w:t>
            </w:r>
            <w:r w:rsidR="00146AE6" w:rsidRPr="00F52FFA">
              <w:t>.punktā minētās funkcijas īstenošana pārsniedz ES fondu 2014.–2020.gada plānošanas perioda Tehniskās palīdzības projektu īstenošanas laiku, jautājums par nepieciešamo valsts budžeta finansējumu funkcijas īstenošanai ir skatāms kārtējā valsts budžeta sagatavošanas procesā, ievērojot valsts budžeta finansiālās iespējas.</w:t>
            </w:r>
          </w:p>
          <w:p w14:paraId="31D934FE" w14:textId="62F0D559" w:rsidR="00923A99" w:rsidRPr="00F52FFA" w:rsidRDefault="006B1EF6" w:rsidP="00334B40">
            <w:pPr>
              <w:pStyle w:val="ListParagraph"/>
              <w:numPr>
                <w:ilvl w:val="0"/>
                <w:numId w:val="28"/>
              </w:numPr>
              <w:autoSpaceDE w:val="0"/>
              <w:autoSpaceDN w:val="0"/>
              <w:ind w:left="34" w:firstLine="283"/>
              <w:jc w:val="both"/>
            </w:pPr>
            <w:r w:rsidRPr="00F52FFA">
              <w:t>Valsts sabiedrībām ar ierobežotu atbildību veselības jomā</w:t>
            </w:r>
            <w:r w:rsidR="009D1B85" w:rsidRPr="00F52FFA">
              <w:t xml:space="preserve"> atbalsts tiks sniegts saskaņā ar </w:t>
            </w:r>
            <w:r w:rsidR="00A95D05" w:rsidRPr="00F52FFA">
              <w:t xml:space="preserve">Eiropas </w:t>
            </w:r>
            <w:r w:rsidR="009D1B85" w:rsidRPr="00F52FFA">
              <w:t>Komisijas</w:t>
            </w:r>
            <w:r w:rsidR="00A95D05" w:rsidRPr="00F52FFA">
              <w:t xml:space="preserve"> 2011.gada 20.decembra Lēmumu</w:t>
            </w:r>
            <w:r w:rsidR="009D1B85" w:rsidRPr="00F52FFA">
              <w:t xml:space="preserve"> </w:t>
            </w:r>
            <w:r w:rsidR="00A95D05" w:rsidRPr="00F52FFA">
              <w:t>Nr.</w:t>
            </w:r>
            <w:r w:rsidR="009D1B85" w:rsidRPr="00F52FFA">
              <w:t xml:space="preserve">2012/21/ES par Līguma par Eiropas Savienības darbību 106. panta 2. punkta piemērošanu valsts atbalstam attiecībā uz kompensāciju par sabiedriskajiem pakalpojumiem dažiem uzņēmumiem, kuriem uzticēts sniegt pakalpojumus ar vispārēju tautsaimniecisku nozīmi (turpmāk – </w:t>
            </w:r>
            <w:r w:rsidR="008C7223" w:rsidRPr="00F52FFA">
              <w:t>L</w:t>
            </w:r>
            <w:r w:rsidR="009D1B85" w:rsidRPr="00F52FFA">
              <w:t>ēmums</w:t>
            </w:r>
            <w:r w:rsidR="008C7223" w:rsidRPr="00F52FFA">
              <w:t xml:space="preserve"> Nr.2012/21/ES</w:t>
            </w:r>
            <w:r w:rsidR="009D1B85" w:rsidRPr="00F52FFA">
              <w:t xml:space="preserve">). Ārstniecības iestādei, kas saņem ES fondu atbalstu pasākuma ietvaros ir pilnvarojums valsts apmaksāto veselības aprūpes pakalpojumu sniegšanai. Infrastruktūrai, kas tiek izmantota gan valsts apmaksāto pakalpojumu sniegšanai, gan maksas pakalpojumu sniegšanai izmantošanas proporcija valsts apmaksāto veselības aprūpes pakalpojumu sniegšanai konkrētajā ārstniecības iestādē tiks noteikta, ievērojot </w:t>
            </w:r>
            <w:r w:rsidR="008C7223" w:rsidRPr="00F52FFA">
              <w:t>L</w:t>
            </w:r>
            <w:r w:rsidR="009D1B85" w:rsidRPr="00F52FFA">
              <w:t>ēmumā</w:t>
            </w:r>
            <w:r w:rsidR="008C7223" w:rsidRPr="00F52FFA">
              <w:t xml:space="preserve"> Nr.2012/21/ES</w:t>
            </w:r>
            <w:r w:rsidR="009D1B85" w:rsidRPr="00F52FFA">
              <w:t xml:space="preserve"> noteiktās prasības un nodrošinot vienlīdzīgu pieeju infrastruktūras izmantošanas proporcijas noteikšanā.</w:t>
            </w:r>
            <w:r w:rsidR="008C7223" w:rsidRPr="00F52FFA">
              <w:br/>
            </w:r>
            <w:r w:rsidR="00A95D05" w:rsidRPr="00F52FFA">
              <w:t xml:space="preserve">Noteikumu projekta </w:t>
            </w:r>
            <w:r w:rsidR="007240E1">
              <w:t>59</w:t>
            </w:r>
            <w:r w:rsidR="00A95D05" w:rsidRPr="00F52FFA">
              <w:t>.punktā ietvertā atsauce uz</w:t>
            </w:r>
            <w:r w:rsidR="008C7223" w:rsidRPr="00F52FFA">
              <w:t xml:space="preserve"> L</w:t>
            </w:r>
            <w:r w:rsidR="00A95D05" w:rsidRPr="00F52FFA">
              <w:t>ēmumu</w:t>
            </w:r>
            <w:r w:rsidR="008C7223" w:rsidRPr="00F52FFA">
              <w:t xml:space="preserve"> Nr.2012/21/ES</w:t>
            </w:r>
            <w:r w:rsidR="00A95D05" w:rsidRPr="00F52FFA">
              <w:t xml:space="preserve"> ir nepieciešama izņēmuma kārtā, lai nodrošinātu Lēmuma Nr.2012/21/ES prasības un netiktu pārkāpti nosacījumi par pārkompensācijas ievērošanu un citas no Lēmuma Nr.2012/21/ES izrietošās finansējuma piešķiršanas un kontroles prasības.</w:t>
            </w:r>
          </w:p>
          <w:p w14:paraId="099BAF2B" w14:textId="3F4B74C0" w:rsidR="00C62394" w:rsidRPr="00F52FFA" w:rsidRDefault="00EA7519" w:rsidP="005A34BB">
            <w:pPr>
              <w:pStyle w:val="ListParagraph"/>
              <w:numPr>
                <w:ilvl w:val="0"/>
                <w:numId w:val="28"/>
              </w:numPr>
              <w:autoSpaceDE w:val="0"/>
              <w:autoSpaceDN w:val="0"/>
              <w:ind w:left="40" w:firstLine="0"/>
              <w:jc w:val="both"/>
            </w:pPr>
            <w:r>
              <w:t>Ņemot vēr</w:t>
            </w:r>
            <w:r w:rsidR="00E54EA1">
              <w:t>ā, ka atlases ietvaros tiks veikta apgaismojuma, ventilācijas, apkures, aukstuma apgādes un ēkas vadības sistēmu modernizēšana, atbalsts v</w:t>
            </w:r>
            <w:r w:rsidR="00577868" w:rsidRPr="00136F50">
              <w:t xml:space="preserve">alsts sabiedrībām ar ierobežoto atbildību, kas pilda nacionālo sporta bāžu </w:t>
            </w:r>
            <w:r w:rsidR="00577868" w:rsidRPr="00C323EF">
              <w:t>funkciju</w:t>
            </w:r>
            <w:r w:rsidR="00E54EA1">
              <w:t>,</w:t>
            </w:r>
            <w:r w:rsidR="009D1B85" w:rsidRPr="00EA7519">
              <w:t xml:space="preserve"> tiks piešķirts saskaņā ar </w:t>
            </w:r>
            <w:r w:rsidR="00F03ABD" w:rsidRPr="00EA7519">
              <w:t xml:space="preserve">Komisijas 2014.gada 17.jūnija Regulas (ES) Nr.651/2014 ar ko noteiktas atbalsta kategorijas atzīst par saderīgām ar iekšējo tirgu, piemērojot Līguma 107.un 108.pantu (ES Oficiālais Vēstnesis, 2014.gada 26.jūnijs, </w:t>
            </w:r>
            <w:proofErr w:type="spellStart"/>
            <w:r w:rsidR="00F03ABD" w:rsidRPr="00EA7519">
              <w:t>Nr.L</w:t>
            </w:r>
            <w:proofErr w:type="spellEnd"/>
            <w:r w:rsidR="00F03ABD" w:rsidRPr="00EA7519">
              <w:t xml:space="preserve"> 187/1) (turpmāk – Komisijas regula Nr. 651/2014) 55.pantu</w:t>
            </w:r>
            <w:r w:rsidR="00E54EA1">
              <w:t>.</w:t>
            </w:r>
            <w:r w:rsidR="00F03ABD" w:rsidRPr="00136F50">
              <w:t xml:space="preserve"> </w:t>
            </w:r>
            <w:r w:rsidR="00E54EA1">
              <w:t>Savukārt publicitātes</w:t>
            </w:r>
            <w:r w:rsidR="00882DB0">
              <w:t xml:space="preserve"> un </w:t>
            </w:r>
            <w:r w:rsidR="00882DB0" w:rsidRPr="00882DB0">
              <w:t>projekta vadības personāla atlīdzības izmaksām</w:t>
            </w:r>
            <w:r w:rsidR="00882DB0">
              <w:t>,</w:t>
            </w:r>
            <w:r w:rsidR="00E54EA1">
              <w:t xml:space="preserve"> un tehniskās dokumentācijas izmaksām (ja tās radušās pirms projekta iesniegšanas sadarbības iestādē) tiks piemēroti</w:t>
            </w:r>
            <w:r>
              <w:t xml:space="preserve"> </w:t>
            </w:r>
            <w:r w:rsidR="00C91FEF" w:rsidRPr="00F52FFA">
              <w:t xml:space="preserve">Komisijas 2013. gada 18. decembra Regulas (ES) Nr.1407/2013 par Līguma par ES darbību 107. un 108. panta piemērošanu </w:t>
            </w:r>
            <w:proofErr w:type="spellStart"/>
            <w:r w:rsidR="00C91FEF" w:rsidRPr="00F52FFA">
              <w:rPr>
                <w:i/>
              </w:rPr>
              <w:t>de</w:t>
            </w:r>
            <w:proofErr w:type="spellEnd"/>
            <w:r w:rsidR="00C91FEF" w:rsidRPr="00F52FFA">
              <w:rPr>
                <w:i/>
              </w:rPr>
              <w:t xml:space="preserve"> </w:t>
            </w:r>
            <w:proofErr w:type="spellStart"/>
            <w:r w:rsidR="00C91FEF" w:rsidRPr="00F52FFA">
              <w:rPr>
                <w:i/>
              </w:rPr>
              <w:t>minimis</w:t>
            </w:r>
            <w:proofErr w:type="spellEnd"/>
            <w:r w:rsidR="00C91FEF" w:rsidRPr="00F52FFA">
              <w:t xml:space="preserve"> atbalstam (ES Oficiālais Vēstnesis, 2013.gada 24.decembris </w:t>
            </w:r>
            <w:proofErr w:type="spellStart"/>
            <w:r w:rsidR="00C91FEF" w:rsidRPr="00F52FFA">
              <w:t>Nr.L</w:t>
            </w:r>
            <w:proofErr w:type="spellEnd"/>
            <w:r w:rsidR="00C91FEF" w:rsidRPr="00F52FFA">
              <w:t xml:space="preserve"> 352) (turpmāk – Komisijas regula Nr.14</w:t>
            </w:r>
            <w:r w:rsidR="009D1B85" w:rsidRPr="00F52FFA">
              <w:t>07/2013)</w:t>
            </w:r>
            <w:r w:rsidR="00E54EA1">
              <w:t xml:space="preserve"> nosacījumi</w:t>
            </w:r>
            <w:r w:rsidR="009D1B85" w:rsidRPr="00F52FFA">
              <w:t xml:space="preserve">. </w:t>
            </w:r>
            <w:r w:rsidR="00C91FEF" w:rsidRPr="00F52FFA">
              <w:t xml:space="preserve">Noteikumu projektā noteikti nosacījumi, kurus nepieciešams izvērtēt, sniedzot valsts atbalstu, tajā skaitā piemērojamā valsts atbalsta robežvērtība, specifiskie nosacījumi </w:t>
            </w:r>
            <w:r w:rsidR="00C91FEF" w:rsidRPr="00F52FFA">
              <w:lastRenderedPageBreak/>
              <w:t>Komisijas regula Nr.651/2014 konkrētā mērķa ietvaros noteiktām atbalstāmajām darbībām un nozarēm, grūtībās nonākušu uzņēmumu definīcija, nosacījumi par atbalsta summēšanu (</w:t>
            </w:r>
            <w:proofErr w:type="spellStart"/>
            <w:r w:rsidR="00C91FEF" w:rsidRPr="00F52FFA">
              <w:t>kumulēšanu</w:t>
            </w:r>
            <w:proofErr w:type="spellEnd"/>
            <w:r w:rsidR="00C91FEF" w:rsidRPr="00F52FFA">
              <w:t>) ar citu valsta atbalstu, lēmuma pieņemšanas termiņš un citi nosacījumi.</w:t>
            </w:r>
            <w:r w:rsidR="00207561" w:rsidRPr="00F52FFA">
              <w:br/>
            </w:r>
            <w:r w:rsidR="00775ED5" w:rsidRPr="00F52FFA">
              <w:t>Atbalstu</w:t>
            </w:r>
            <w:r w:rsidR="00334B40" w:rsidRPr="00F52FFA">
              <w:t xml:space="preserve"> Komisijas regulas Nr.651/2014 55.panta ietvaros </w:t>
            </w:r>
            <w:r w:rsidR="00775ED5" w:rsidRPr="00F52FFA">
              <w:t xml:space="preserve"> var sniegt, ja projekta iesniedzējs pamato projekta ietvaros plānotā atbalsta stimulējošo ietekmi atbilstoši Komisijas regulas Nr. 651/2014 6. panta 2. punkta nosacījumiem, iesniedzot rakstisku projekta iesniegumu pirms projekta īstenošanas uzsākšanas. Ja šis nosacījums nebūs ievērots, visas projekta izmaksas tiks uzskatītas par neattiecināmām izmaksām.</w:t>
            </w:r>
            <w:r w:rsidR="006E404F" w:rsidRPr="00F52FFA">
              <w:br/>
            </w:r>
            <w:r w:rsidR="00334B40" w:rsidRPr="00F52FFA">
              <w:t>Projekta iesniedzējs projekta pamatojošās dokumentācijas sagatavošanas izmaksas var segt saskaņā ar Komisijas regulu Nr.1407/2013</w:t>
            </w:r>
            <w:r w:rsidR="006E404F" w:rsidRPr="00F52FFA">
              <w:t>, ja tās radušās pirms projekta iesnieguma iesniegšanas sadarbības iestādē. Ja projekta pamatojošās dokumentācijas sagatavošanas izmaksas rodas pēc projekta iesnieguma iesniegšanas sadarbības iestādē</w:t>
            </w:r>
            <w:r w:rsidR="00720D5C" w:rsidRPr="00F52FFA">
              <w:t xml:space="preserve"> un ja tās iekļauj iegādāto pamatlīdzekļu vērtībā</w:t>
            </w:r>
            <w:r w:rsidR="006E404F" w:rsidRPr="00F52FFA">
              <w:t>, tad tās sedz saskaņā ar Komisijas regulu Nr. 651/2014.</w:t>
            </w:r>
          </w:p>
          <w:p w14:paraId="6B466BC8" w14:textId="589255C3" w:rsidR="00071D34" w:rsidRPr="00F52FFA" w:rsidRDefault="00071D34" w:rsidP="00C62394">
            <w:pPr>
              <w:autoSpaceDE w:val="0"/>
              <w:autoSpaceDN w:val="0"/>
              <w:ind w:left="40"/>
              <w:jc w:val="both"/>
            </w:pPr>
            <w:r w:rsidRPr="00F52FFA">
              <w:t>Ja finansējuma saņēmējs neveic saimniecisko darbību, tad publiskais finansējums nepārsniedz 100%. Savukārt, ja finansējuma saņēmējs veic saimniecisko darbību, tad ir divas iespējas kā var tikt sniegts atbalsts:</w:t>
            </w:r>
          </w:p>
          <w:p w14:paraId="051E596C" w14:textId="1A1A3F64" w:rsidR="00071D34" w:rsidRPr="00F52FFA" w:rsidRDefault="00071D34" w:rsidP="00071D34">
            <w:pPr>
              <w:pStyle w:val="ListParagraph"/>
              <w:numPr>
                <w:ilvl w:val="0"/>
                <w:numId w:val="29"/>
              </w:numPr>
              <w:autoSpaceDE w:val="0"/>
              <w:autoSpaceDN w:val="0"/>
              <w:jc w:val="both"/>
            </w:pPr>
            <w:r w:rsidRPr="00F52FFA">
              <w:t>publiskais finansējums nepārsniedz summu, kas vajadzīga pamatdarbības zaudējumu segšanai un samērīgai peļņai attiecīgajā laikposmā. Samērīgu peļņu nosaka iepriekš saskaņā ar finansējuma saņēmēja prognozēm vai izmanto atgūšanas mehānismu. Izmantojot atgūšanas mehānismu, finansējuma saņēmējs projekta dzīves cikla beigās veic peļņas aprēķinu. Finansējuma saņēmējs</w:t>
            </w:r>
            <w:r w:rsidR="00D22B01" w:rsidRPr="00F52FFA">
              <w:t xml:space="preserve"> Sadarbības iestādei</w:t>
            </w:r>
            <w:r w:rsidRPr="00F52FFA">
              <w:t xml:space="preserve"> atmaksā summu aprēķinātās peļņas apmērā;</w:t>
            </w:r>
          </w:p>
          <w:p w14:paraId="3E7DE1FD" w14:textId="22CD7775" w:rsidR="00071D34" w:rsidRPr="00F52FFA" w:rsidRDefault="00071D34" w:rsidP="00071D34">
            <w:pPr>
              <w:pStyle w:val="ListParagraph"/>
              <w:numPr>
                <w:ilvl w:val="0"/>
                <w:numId w:val="29"/>
              </w:numPr>
              <w:autoSpaceDE w:val="0"/>
              <w:autoSpaceDN w:val="0"/>
              <w:jc w:val="both"/>
            </w:pPr>
            <w:r w:rsidRPr="00F52FFA">
              <w:t xml:space="preserve">ja atbalsts nepārsniedz </w:t>
            </w:r>
            <w:r w:rsidR="007137E1" w:rsidRPr="00F52FFA">
              <w:t>2</w:t>
            </w:r>
            <w:r w:rsidRPr="00F52FFA">
              <w:t xml:space="preserve"> miljonu</w:t>
            </w:r>
            <w:r w:rsidR="00C62394" w:rsidRPr="00F52FFA">
              <w:t>s</w:t>
            </w:r>
            <w:r w:rsidR="004052D9" w:rsidRPr="00F52FFA">
              <w:t xml:space="preserve"> </w:t>
            </w:r>
            <w:proofErr w:type="spellStart"/>
            <w:r w:rsidR="00C62394" w:rsidRPr="00F52FFA">
              <w:rPr>
                <w:i/>
              </w:rPr>
              <w:t>euro</w:t>
            </w:r>
            <w:proofErr w:type="spellEnd"/>
            <w:r w:rsidRPr="00F52FFA">
              <w:t>, publiskais finansējums nepārsniedz 80% no attiecināmajām izmaksām.</w:t>
            </w:r>
          </w:p>
          <w:p w14:paraId="4E8D1184" w14:textId="145430F5" w:rsidR="00B06F63" w:rsidRPr="00F52FFA" w:rsidRDefault="00B06F63" w:rsidP="00B06F63">
            <w:pPr>
              <w:autoSpaceDE w:val="0"/>
              <w:autoSpaceDN w:val="0"/>
              <w:jc w:val="both"/>
            </w:pPr>
            <w:r w:rsidRPr="00F52FFA">
              <w:t>Atbilstoši Komisijas regula</w:t>
            </w:r>
            <w:r w:rsidR="00CE6E30" w:rsidRPr="00F52FFA">
              <w:t>s</w:t>
            </w:r>
            <w:r w:rsidRPr="00F52FFA">
              <w:t xml:space="preserve"> Nr. 651/2014 2.panta 142.punktā noteiktajam, samērīgu peļņu nosaka, ievērojot tipisku peļņu attiecīgajā nozarē, jebkurā gadījumā par samērīgu uzskata tādu peļņu no ieguldītā kapitāla, kas nepārsniedz attiecīgo mijmaiņas darījuma likmi, kam pieskaitīta prēmija 100 bāzes punktu apmērā. Ieteicams piemērot peļņu, kas ir līdzvērtīga starp dažādiem, stabiliem, atbilstoši ekipētiem tajā pašā vai līdzīgā nozarē strādājošiem uzņēmumiem. Attiecīgi samērīga peļņa būs tāda, kura ļaus nodrošināt pakalpojumu par tirgus cenu, kas būs samērojama ar citiem nozarē strādājošiem uzņēmumiem. Kā peļņas aprēķināšanas periodu var noteikt veikto ieguldījumu pārskata periodu, kas ēku gadījumā ir </w:t>
            </w:r>
            <w:r w:rsidR="009A274A">
              <w:t>10-15</w:t>
            </w:r>
            <w:r w:rsidRPr="00F52FFA">
              <w:t xml:space="preserve"> gadi. Lai finansējuma saņēmējs varētu pamatoti un pārskatāmi pierādīt infrastruktūras nomas maksu, tam sadarbības iestādē būs jāiesniedz līgums par telpu nomu un metodika kā tiek aprēķināta telpu noma.</w:t>
            </w:r>
          </w:p>
          <w:p w14:paraId="027B97E5" w14:textId="14E5E234" w:rsidR="00B06F63" w:rsidRPr="00F52FFA" w:rsidRDefault="00B06F63" w:rsidP="00F3046E">
            <w:pPr>
              <w:autoSpaceDE w:val="0"/>
              <w:autoSpaceDN w:val="0"/>
              <w:jc w:val="both"/>
            </w:pPr>
            <w:r w:rsidRPr="00F52FFA">
              <w:t>Savukārt, ja finansējuma saņēmējs izvēlas izmantot atgūšanas mehānismu, tas projekta dzīves cikla beigās veic peļņas aprēķinu. Finansējuma saņēmējs Sadarbības iestādei atmaksā summu aprēķinātās peļņas apmērā.</w:t>
            </w:r>
          </w:p>
          <w:p w14:paraId="0E17E99B" w14:textId="08CAA2C0" w:rsidR="000339FD" w:rsidRPr="00F52FFA" w:rsidRDefault="000339FD" w:rsidP="000339FD">
            <w:pPr>
              <w:autoSpaceDE w:val="0"/>
              <w:autoSpaceDN w:val="0"/>
              <w:jc w:val="both"/>
            </w:pPr>
            <w:r w:rsidRPr="00F52FFA">
              <w:t>Ja projekta iesniedzējs īsteno saistīto projekt</w:t>
            </w:r>
            <w:r w:rsidRPr="00136745">
              <w:t xml:space="preserve">u darbības programmas "Izaugsme un nodarbinātība" prioritārā virziena "Vides aizsardzības un resursu izmantošanas efektivitāte" 5.6.1. specifisko atbalsta mērķa "Veicināt Rīgas pilsētas </w:t>
            </w:r>
            <w:proofErr w:type="spellStart"/>
            <w:r w:rsidRPr="00136745">
              <w:t>revitalizāciju</w:t>
            </w:r>
            <w:proofErr w:type="spellEnd"/>
            <w:r w:rsidRPr="00136745">
              <w:t xml:space="preserve">, nodrošinot teritorijas efektīvu </w:t>
            </w:r>
            <w:r w:rsidRPr="00136745">
              <w:lastRenderedPageBreak/>
              <w:t>sociālekonomisko izman</w:t>
            </w:r>
            <w:r w:rsidRPr="00F52FFA">
              <w:t>tošanu" (turpmāk – 5.6.1.SAM) ietvaros, projekta iesniedzējs ir tiesīgs aizvietot saistītā projekta finansējumu ar 4.2.1.2. pasākuma otrās kārtas finansējumu attiecināmo izmaksu segšanai.</w:t>
            </w:r>
            <w:r w:rsidR="003B630F" w:rsidRPr="00F52FFA">
              <w:t xml:space="preserve"> </w:t>
            </w:r>
            <w:r w:rsidR="00622B26" w:rsidRPr="00F52FFA">
              <w:t>Minēto projektu īsteno</w:t>
            </w:r>
            <w:r w:rsidR="003B630F" w:rsidRPr="00F52FFA">
              <w:t xml:space="preserve"> saskaņā ar individuālu Eiropas Komisijas lēmumu par valsts atbalsta saderīgumu ar Eiropas Savienības iekšējo tirgu</w:t>
            </w:r>
            <w:r w:rsidR="00A519A3" w:rsidRPr="00F52FFA">
              <w:t>, tādēļ</w:t>
            </w:r>
            <w:r w:rsidR="00622B26" w:rsidRPr="00F52FFA">
              <w:t xml:space="preserve"> noteikuma projekta 1. pielikuma 6. punktā noteiktajam finansējuma saņēmējam nav paredzēts piešķirt jaunu komercdarbības atbalstu.</w:t>
            </w:r>
            <w:r w:rsidRPr="00F52FFA">
              <w:t xml:space="preserve"> </w:t>
            </w:r>
            <w:r w:rsidR="009B7FD3" w:rsidRPr="00F52FFA">
              <w:t>P</w:t>
            </w:r>
            <w:r w:rsidRPr="00F52FFA">
              <w:t xml:space="preserve">rojekta </w:t>
            </w:r>
            <w:r w:rsidRPr="00136745">
              <w:t>iesnieguma vērtēšanas kārtību sadarbības iestāde nosaka atlases nolikumā un kritēriju piemērošanas metodikā</w:t>
            </w:r>
            <w:r w:rsidR="009B7FD3" w:rsidRPr="00F52FFA">
              <w:t xml:space="preserve"> un atkārtoti </w:t>
            </w:r>
            <w:r w:rsidRPr="00F52FFA">
              <w:t>nevērtē</w:t>
            </w:r>
            <w:r w:rsidRPr="00136745">
              <w:t xml:space="preserve"> tos kritērijus, kas jau tika izvērtēti 5.6.1.SAM ietvaros un kas dub</w:t>
            </w:r>
            <w:r w:rsidRPr="00F52FFA">
              <w:t xml:space="preserve">lējas un nav saistīti ar pasākuma specifiku,  piemēram,  administratīvā,  finanšu u.c. kapacitāte projektu ieviešanā, īpašumtiesības, </w:t>
            </w:r>
            <w:r w:rsidR="00242621">
              <w:t xml:space="preserve">nodokļu </w:t>
            </w:r>
            <w:r w:rsidRPr="00F52FFA">
              <w:t>parād</w:t>
            </w:r>
            <w:r w:rsidR="00242621">
              <w:t>u esamība</w:t>
            </w:r>
            <w:r w:rsidRPr="00F52FFA">
              <w:t xml:space="preserve">, grūtības </w:t>
            </w:r>
            <w:r w:rsidR="00242621">
              <w:t>nonākuša</w:t>
            </w:r>
            <w:r w:rsidR="00242621" w:rsidRPr="00F52FFA">
              <w:t xml:space="preserve"> </w:t>
            </w:r>
            <w:r w:rsidRPr="00F52FFA">
              <w:t>uzņēmum</w:t>
            </w:r>
            <w:r w:rsidR="00242621">
              <w:t>a</w:t>
            </w:r>
            <w:r w:rsidRPr="00F52FFA">
              <w:t xml:space="preserve"> pazīmes. </w:t>
            </w:r>
          </w:p>
          <w:p w14:paraId="051374C1" w14:textId="7BFE9A4C" w:rsidR="00E2405A" w:rsidRPr="00F52FFA" w:rsidRDefault="001C0A46" w:rsidP="00071D34">
            <w:pPr>
              <w:pStyle w:val="ListParagraph"/>
              <w:numPr>
                <w:ilvl w:val="0"/>
                <w:numId w:val="28"/>
              </w:numPr>
              <w:autoSpaceDE w:val="0"/>
              <w:autoSpaceDN w:val="0"/>
              <w:ind w:left="0" w:firstLine="360"/>
              <w:jc w:val="both"/>
            </w:pPr>
            <w:r w:rsidRPr="00F52FFA">
              <w:t>Atbalsts v</w:t>
            </w:r>
            <w:r w:rsidR="000A15F5" w:rsidRPr="00F52FFA">
              <w:t xml:space="preserve">alsts sabiedrībām ar ierobežotu atbildību kultūras jomā </w:t>
            </w:r>
            <w:r w:rsidR="00D94770" w:rsidRPr="00F52FFA">
              <w:t xml:space="preserve">var </w:t>
            </w:r>
            <w:r w:rsidR="000A15F5" w:rsidRPr="00F52FFA">
              <w:t>tik</w:t>
            </w:r>
            <w:r w:rsidR="00D94770" w:rsidRPr="00F52FFA">
              <w:t>t</w:t>
            </w:r>
            <w:r w:rsidR="000A15F5" w:rsidRPr="00F52FFA">
              <w:t xml:space="preserve"> sniegts, ņemot vērā to, ka kultūras institūcijai piešķirtais valsts budžeta finansējums nav uzskatāms par valsts atbalstu Līguma 107.panta 1.punkta izpratnē, ja</w:t>
            </w:r>
            <w:r w:rsidR="00E2405A" w:rsidRPr="00F52FFA">
              <w:t>:</w:t>
            </w:r>
          </w:p>
          <w:p w14:paraId="51EBEC7E" w14:textId="6C0F0281" w:rsidR="00E2405A" w:rsidRPr="00F52FFA" w:rsidRDefault="000A15F5" w:rsidP="0016598F">
            <w:pPr>
              <w:pStyle w:val="ListParagraph"/>
              <w:numPr>
                <w:ilvl w:val="1"/>
                <w:numId w:val="28"/>
              </w:numPr>
              <w:autoSpaceDE w:val="0"/>
              <w:autoSpaceDN w:val="0"/>
              <w:jc w:val="both"/>
            </w:pPr>
            <w:r w:rsidRPr="00F52FFA">
              <w:t>no kultūras iestādes apmeklētājiem vai sabiedrībai pieejama kultūras vai kultūrvēsturiskā mantojuma saglabāšanas pasākuma dalībniekiem tiek prasīta samaksa (biļešu ieņēmumi), kas sedz tikai daļu no faktiskajām izmaksām, šim pasākumam nav saimnieciska rakstura, jo šādu samaksu nevar uzskatīt par reālu atlīdzību par sniegto pakalpojumu.</w:t>
            </w:r>
            <w:r w:rsidR="008379AF" w:rsidRPr="00F52FFA">
              <w:t xml:space="preserve"> Kultūras institūcijai piešķirtais atbalsts nekvalificējas kā komercdarbības atbalsts</w:t>
            </w:r>
            <w:r w:rsidR="00E2405A" w:rsidRPr="00F52FFA">
              <w:t>, ja</w:t>
            </w:r>
            <w:r w:rsidR="008379AF" w:rsidRPr="00F52FFA">
              <w:t xml:space="preserve"> visi ieņēmumi, ko kultūras institūcija gūst no tās veiktās saimnieciskās darbības, tai skaitā biļešu tirdzniecības un atsevišķu telpu iznomāšanas, nepārsniedz 50% no kopējām kultūras institūcijas izmaksām</w:t>
            </w:r>
            <w:r w:rsidR="0016598F" w:rsidRPr="00F52FFA">
              <w:t>;</w:t>
            </w:r>
          </w:p>
          <w:p w14:paraId="27325710" w14:textId="16DFF837" w:rsidR="00DE7182" w:rsidRPr="00F52FFA" w:rsidRDefault="00D404A0" w:rsidP="00136130">
            <w:pPr>
              <w:pStyle w:val="ListParagraph"/>
              <w:numPr>
                <w:ilvl w:val="1"/>
                <w:numId w:val="28"/>
              </w:numPr>
              <w:autoSpaceDE w:val="0"/>
              <w:autoSpaceDN w:val="0"/>
              <w:jc w:val="both"/>
            </w:pPr>
            <w:r w:rsidRPr="00F52FFA">
              <w:t>p</w:t>
            </w:r>
            <w:r w:rsidR="00DE7182" w:rsidRPr="00F52FFA">
              <w:t xml:space="preserve">aredzot energoefektivitātes pasākumus ēkās, kuras paredzēts ekspluatēt atbilstoši kultūras mērķiem, </w:t>
            </w:r>
            <w:r w:rsidRPr="00F52FFA">
              <w:t>tiek ņemti</w:t>
            </w:r>
            <w:r w:rsidR="00DE7182" w:rsidRPr="00F52FFA">
              <w:t xml:space="preserve"> vērā šādi aspekti:</w:t>
            </w:r>
          </w:p>
          <w:p w14:paraId="5142B902" w14:textId="79F714DE" w:rsidR="00DE7182" w:rsidRPr="00F52FFA" w:rsidRDefault="00DE7182" w:rsidP="0016598F">
            <w:pPr>
              <w:pStyle w:val="ListParagraph"/>
              <w:numPr>
                <w:ilvl w:val="2"/>
                <w:numId w:val="28"/>
              </w:numPr>
              <w:autoSpaceDE w:val="0"/>
              <w:autoSpaceDN w:val="0"/>
              <w:jc w:val="both"/>
            </w:pPr>
            <w:r w:rsidRPr="00F52FFA">
              <w:t xml:space="preserve">tieša vai netieša ietekme uz Eiropas Savienības iekšējo tirgu </w:t>
            </w:r>
            <w:r w:rsidR="00D404A0" w:rsidRPr="00F52FFA">
              <w:t>nav</w:t>
            </w:r>
            <w:r w:rsidRPr="00F52FFA">
              <w:t xml:space="preserve"> būtiska, un projekta iesniedzēj</w:t>
            </w:r>
            <w:r w:rsidR="00D404A0" w:rsidRPr="00F52FFA">
              <w:t>s</w:t>
            </w:r>
            <w:r w:rsidRPr="00F52FFA">
              <w:t xml:space="preserve"> sniedz pamatot</w:t>
            </w:r>
            <w:r w:rsidR="00D404A0" w:rsidRPr="00F52FFA">
              <w:t>us</w:t>
            </w:r>
            <w:r w:rsidRPr="00F52FFA">
              <w:t xml:space="preserve"> skaidrojum</w:t>
            </w:r>
            <w:r w:rsidR="00D404A0" w:rsidRPr="00F52FFA">
              <w:t>us</w:t>
            </w:r>
            <w:r w:rsidRPr="00F52FFA">
              <w:t>, kas to apliecina;</w:t>
            </w:r>
          </w:p>
          <w:p w14:paraId="07C06469" w14:textId="77777777" w:rsidR="00DE7182" w:rsidRPr="00F52FFA" w:rsidRDefault="00DE7182" w:rsidP="0016598F">
            <w:pPr>
              <w:pStyle w:val="ListParagraph"/>
              <w:numPr>
                <w:ilvl w:val="2"/>
                <w:numId w:val="28"/>
              </w:numPr>
              <w:autoSpaceDE w:val="0"/>
              <w:autoSpaceDN w:val="0"/>
              <w:jc w:val="both"/>
            </w:pPr>
            <w:r w:rsidRPr="00F52FFA">
              <w:t>sagaidāmā ietekme uz tirdzniecību un konkurenci Eiropas Savienības iekšējā tirgū ir niecīga vai neiespējama šādu iemeslu dēļ:</w:t>
            </w:r>
          </w:p>
          <w:p w14:paraId="7AD8CC15" w14:textId="2336C790" w:rsidR="00DE7182" w:rsidRPr="00F52FFA" w:rsidRDefault="00DE7182" w:rsidP="0016598F">
            <w:pPr>
              <w:pStyle w:val="ListParagraph"/>
              <w:numPr>
                <w:ilvl w:val="2"/>
                <w:numId w:val="30"/>
              </w:numPr>
              <w:autoSpaceDE w:val="0"/>
              <w:autoSpaceDN w:val="0"/>
              <w:jc w:val="both"/>
            </w:pPr>
            <w:r w:rsidRPr="00F52FFA">
              <w:t>kultūras pakalpojumu sniegšana ir paredzēta pārsvarā, tas ir, ne mazāk kā 85% apmērā, vietējiem (Latvijas valsts) pakalpojuma lietotājiem</w:t>
            </w:r>
            <w:r w:rsidR="00D404A0" w:rsidRPr="00F52FFA">
              <w:t>;</w:t>
            </w:r>
            <w:r w:rsidRPr="00F52FFA">
              <w:t xml:space="preserve"> </w:t>
            </w:r>
            <w:r w:rsidR="0026140E">
              <w:t>un</w:t>
            </w:r>
          </w:p>
          <w:p w14:paraId="0C075AB4" w14:textId="28087864" w:rsidR="00A40F97" w:rsidRPr="00F52FFA" w:rsidRDefault="00DE7182" w:rsidP="0016598F">
            <w:pPr>
              <w:pStyle w:val="ListParagraph"/>
              <w:numPr>
                <w:ilvl w:val="2"/>
                <w:numId w:val="30"/>
              </w:numPr>
              <w:autoSpaceDE w:val="0"/>
              <w:autoSpaceDN w:val="0"/>
              <w:jc w:val="both"/>
            </w:pPr>
            <w:r w:rsidRPr="00F52FFA">
              <w:t>kultūras pakalpojumu sniedzēji ir tikai tādi uzņēmumi, kas darbojas vietējā (Latvijas valsts) mērogā.</w:t>
            </w:r>
          </w:p>
          <w:p w14:paraId="49543DF2" w14:textId="5BEF7431" w:rsidR="000A15F5" w:rsidRPr="00F52FFA" w:rsidRDefault="00FA31A4" w:rsidP="00FA31A4">
            <w:pPr>
              <w:pStyle w:val="ListParagraph"/>
              <w:autoSpaceDE w:val="0"/>
              <w:autoSpaceDN w:val="0"/>
              <w:ind w:left="0"/>
              <w:jc w:val="both"/>
            </w:pPr>
            <w:r w:rsidRPr="00F52FFA">
              <w:t>Saņemot atbalstu, ēkai vai inženierbūvei, kurā tiek veikti energoefektivitātes paaugstināšanas pasākumi, un zemei, uz kuras atrodas attiecīgais objekts, jābūt valsts kapitālsabiedrības, sporta bāzes vai sabiedriskā labuma organizācijas īpašumā vai uz normatīvā akta, līguma vai iestādes lēmuma pamata nodota finansējuma saņēmējam lietošanā vai valdījumā, vai ir noslēgts ilgtermiņa nomas līgums.</w:t>
            </w:r>
          </w:p>
          <w:p w14:paraId="50CBD30C" w14:textId="60D2431D" w:rsidR="00263CC1" w:rsidRPr="00F52FFA" w:rsidRDefault="002A6AFB" w:rsidP="00263CC1">
            <w:pPr>
              <w:pStyle w:val="ListParagraph"/>
              <w:autoSpaceDE w:val="0"/>
              <w:autoSpaceDN w:val="0"/>
              <w:ind w:left="0"/>
              <w:jc w:val="both"/>
            </w:pPr>
            <w:r w:rsidRPr="00F52FFA">
              <w:t>Šo noteikumu 1.pielikumā noteiktie f</w:t>
            </w:r>
            <w:r w:rsidR="00B07C39" w:rsidRPr="00F52FFA">
              <w:t>inansējuma saņēmēji</w:t>
            </w:r>
            <w:r w:rsidRPr="00F52FFA">
              <w:t xml:space="preserve"> dokumentāciju, kas saistīta ar atbalsta piešķiršanu, glabā visu projekta dzīves cikla periodu no atbalsta piešķiršanas dienas</w:t>
            </w:r>
            <w:r w:rsidR="00263CC1" w:rsidRPr="00F52FFA">
              <w:t>.</w:t>
            </w:r>
          </w:p>
          <w:p w14:paraId="78C5C1C9" w14:textId="77777777" w:rsidR="00FA31A4" w:rsidRPr="00F52FFA" w:rsidRDefault="00FA31A4" w:rsidP="00FA31A4">
            <w:pPr>
              <w:pStyle w:val="ListParagraph"/>
              <w:autoSpaceDE w:val="0"/>
              <w:autoSpaceDN w:val="0"/>
              <w:ind w:left="0"/>
              <w:jc w:val="both"/>
            </w:pPr>
          </w:p>
          <w:p w14:paraId="6719E765" w14:textId="2D8CF394" w:rsidR="000F61CC" w:rsidRPr="00F52FFA" w:rsidRDefault="000F61CC" w:rsidP="00D318C4">
            <w:pPr>
              <w:autoSpaceDE w:val="0"/>
              <w:autoSpaceDN w:val="0"/>
              <w:jc w:val="both"/>
              <w:rPr>
                <w:i/>
              </w:rPr>
            </w:pPr>
            <w:r w:rsidRPr="00F52FFA">
              <w:rPr>
                <w:i/>
              </w:rPr>
              <w:t>Sadarbības partneri</w:t>
            </w:r>
          </w:p>
          <w:p w14:paraId="39D28E76" w14:textId="627D0268" w:rsidR="000F61CC" w:rsidRPr="00F52FFA" w:rsidRDefault="009B6678" w:rsidP="00D318C4">
            <w:pPr>
              <w:autoSpaceDE w:val="0"/>
              <w:autoSpaceDN w:val="0"/>
              <w:jc w:val="both"/>
            </w:pPr>
            <w:r w:rsidRPr="00F52FFA">
              <w:t xml:space="preserve">4.2.1.2.pasākuma pirmās projektu iesniegumu atlases kārtas ietvaros ministrijas ir norādījušas, ka skaidrāku un efektīvāku projektu īstenošanu var nodrošināt piesaistot sadarbības partnerus </w:t>
            </w:r>
            <w:r w:rsidR="00C62394" w:rsidRPr="00F52FFA">
              <w:t>–</w:t>
            </w:r>
            <w:r w:rsidRPr="00F52FFA">
              <w:t xml:space="preserve"> valsts kapitālsabiedrības, kas saskaņā ar normatīvajos aktos noteikto deleģējumu pārvalda un apsaimnieko valsts nekustamos īpašumus (valsts akciju sabiedrība "Valsts nekustamie īpašumi", valsts sabiedrība ar ierobežotu atbildību "Šampētera nams", valsts sabiedrība ar ierobežotu atbildību "Zemkopības ministrijas nekustamie īpašumi") vai tiešās valsts pārvaldes iestādes padotības iestādes.</w:t>
            </w:r>
          </w:p>
          <w:p w14:paraId="67CEEBF3" w14:textId="77777777" w:rsidR="000F61CC" w:rsidRPr="00F52FFA" w:rsidRDefault="000F61CC" w:rsidP="00D318C4">
            <w:pPr>
              <w:autoSpaceDE w:val="0"/>
              <w:autoSpaceDN w:val="0"/>
              <w:jc w:val="both"/>
              <w:rPr>
                <w:i/>
              </w:rPr>
            </w:pPr>
          </w:p>
          <w:p w14:paraId="7C5C45D2" w14:textId="72BECA36" w:rsidR="00E635F8" w:rsidRPr="00F52FFA" w:rsidRDefault="00E635F8" w:rsidP="00D318C4">
            <w:pPr>
              <w:autoSpaceDE w:val="0"/>
              <w:autoSpaceDN w:val="0"/>
              <w:jc w:val="both"/>
              <w:rPr>
                <w:i/>
              </w:rPr>
            </w:pPr>
            <w:r w:rsidRPr="00F52FFA">
              <w:rPr>
                <w:i/>
              </w:rPr>
              <w:t>Horizontālo principu ievērošana</w:t>
            </w:r>
          </w:p>
          <w:p w14:paraId="7AEF788E" w14:textId="37B28C4F" w:rsidR="00E635F8" w:rsidRPr="00F52FFA" w:rsidRDefault="00E635F8" w:rsidP="00E635F8">
            <w:pPr>
              <w:autoSpaceDE w:val="0"/>
              <w:autoSpaceDN w:val="0"/>
              <w:spacing w:after="120"/>
              <w:jc w:val="both"/>
            </w:pPr>
            <w:r w:rsidRPr="00F52FFA">
              <w:t xml:space="preserve">4.2.1.2.pasākumam ir tieša pozitīva ietekme uz horizontālo principu “Ilgtspējīga attīstība”. </w:t>
            </w:r>
            <w:r w:rsidR="00585BBE" w:rsidRPr="00F52FFA">
              <w:t>Projektu iesniegumu vērtēšanas kritēriji</w:t>
            </w:r>
            <w:r w:rsidRPr="00F52FFA">
              <w:t xml:space="preserve"> ir papildināt</w:t>
            </w:r>
            <w:r w:rsidR="00585BBE" w:rsidRPr="00F52FFA">
              <w:t>i</w:t>
            </w:r>
            <w:r w:rsidRPr="00F52FFA">
              <w:t xml:space="preserve"> ar papildus kvalitātes kritēriju, kura ietvaros finansējuma saņēmējam, sniedzot atbilstošu informāciju par šīs prioritātes principu ievērošanu un veicināšanu, būs iespēja iegūt papildus 5 punktus, ja projekta iepirkuma konkursa nolikumā, atlases un vērtēšanas kritērijos tika/tiks piemērots zaļais publiskais iepirkums. Lai nodrošinātu šī </w:t>
            </w:r>
            <w:r w:rsidR="00AE77CD" w:rsidRPr="00F52FFA">
              <w:t xml:space="preserve">horizontālā </w:t>
            </w:r>
            <w:r w:rsidRPr="00F52FFA">
              <w:t xml:space="preserve">principa uzraudzību, </w:t>
            </w:r>
            <w:r w:rsidR="00AE77CD" w:rsidRPr="00F52FFA">
              <w:t xml:space="preserve">CFLA </w:t>
            </w:r>
            <w:r w:rsidRPr="00F52FFA">
              <w:t>tiks uzkrāti dati par attiecīgo kritēriju sasniegšanu projektu ietvaros</w:t>
            </w:r>
            <w:r w:rsidR="00AE77CD" w:rsidRPr="00F52FFA">
              <w:t xml:space="preserve"> un CFLA uzraudzīs, vai atbilstoši iepirkumam ir piemērots zaļais publiskais iepirkums.</w:t>
            </w:r>
          </w:p>
          <w:p w14:paraId="4FF0D5BF" w14:textId="1E08069D" w:rsidR="00E635F8" w:rsidRPr="00F52FFA" w:rsidRDefault="00E635F8" w:rsidP="007B6E76">
            <w:pPr>
              <w:autoSpaceDE w:val="0"/>
              <w:autoSpaceDN w:val="0"/>
              <w:spacing w:after="120"/>
              <w:jc w:val="both"/>
            </w:pPr>
            <w:r w:rsidRPr="00F52FFA">
              <w:t xml:space="preserve">4.2.1.2.pasākumam ir netieša pozitīva ietekme uz horizontālo principu “Vienlīdzīgas iespējas”. </w:t>
            </w:r>
            <w:r w:rsidR="00585BBE" w:rsidRPr="00F52FFA">
              <w:t>Projektu iesniegumu vērtēšanas kritēriji ir papildināti</w:t>
            </w:r>
            <w:r w:rsidRPr="00F52FFA">
              <w:t xml:space="preserve"> ar papildus kvalitātes kritēriju, kura ietvaros finansējuma saņēmējam, sniedzot atbilstošu informāciju par šīs prioritātes principu ievērošanu un veicināšanu, būs iespēja iegūt papildus 5 punktus. </w:t>
            </w:r>
            <w:r w:rsidR="00A23D12" w:rsidRPr="00F52FFA">
              <w:t xml:space="preserve">Lai nodrošinātu horizontālā </w:t>
            </w:r>
            <w:r w:rsidR="007B6E76" w:rsidRPr="00F52FFA">
              <w:t>principa “Vienlīdzīgas iespējas”</w:t>
            </w:r>
            <w:r w:rsidR="00A23D12" w:rsidRPr="00F52FFA">
              <w:t xml:space="preserve"> īstenošanas uzraudzību, projekta īstenotājs uzkrās datus par šāda horizontālā principa “Vienlīdzīgas iespējas” rādītāju: “Objektu skaits, kuros ERAF ieguldījumu rezultātā ir nodrošināta vides un informācijas pieejamība (ja ir attiecināms).”</w:t>
            </w:r>
          </w:p>
        </w:tc>
      </w:tr>
      <w:tr w:rsidR="00E635F8" w:rsidRPr="00F52FFA" w14:paraId="47A8B12E" w14:textId="77777777" w:rsidTr="00DF3755">
        <w:tc>
          <w:tcPr>
            <w:tcW w:w="421" w:type="dxa"/>
          </w:tcPr>
          <w:p w14:paraId="2009D700" w14:textId="08A67D60" w:rsidR="00E635F8" w:rsidRPr="00F52FFA" w:rsidRDefault="00E635F8" w:rsidP="00E635F8">
            <w:r w:rsidRPr="00F52FFA">
              <w:lastRenderedPageBreak/>
              <w:t>3.</w:t>
            </w:r>
          </w:p>
        </w:tc>
        <w:tc>
          <w:tcPr>
            <w:tcW w:w="2126" w:type="dxa"/>
          </w:tcPr>
          <w:p w14:paraId="3489D944" w14:textId="77777777" w:rsidR="00E635F8" w:rsidRPr="00F52FFA" w:rsidRDefault="00E635F8" w:rsidP="00E635F8">
            <w:r w:rsidRPr="00F52FFA">
              <w:t>Projekta izstrādē iesaistītās institūcijas</w:t>
            </w:r>
          </w:p>
        </w:tc>
        <w:tc>
          <w:tcPr>
            <w:tcW w:w="7088" w:type="dxa"/>
          </w:tcPr>
          <w:p w14:paraId="2760DD5F" w14:textId="77777777" w:rsidR="00E635F8" w:rsidRPr="00F52FFA" w:rsidRDefault="00E635F8" w:rsidP="00E635F8">
            <w:r w:rsidRPr="00F52FFA">
              <w:rPr>
                <w:rFonts w:eastAsia="Times New Roman"/>
              </w:rPr>
              <w:t>Ekonomikas ministrija</w:t>
            </w:r>
          </w:p>
          <w:p w14:paraId="4A194CEB" w14:textId="77777777" w:rsidR="00E635F8" w:rsidRPr="00F52FFA" w:rsidRDefault="00E635F8" w:rsidP="00E635F8">
            <w:pPr>
              <w:ind w:firstLine="720"/>
            </w:pPr>
          </w:p>
        </w:tc>
      </w:tr>
      <w:tr w:rsidR="00E635F8" w:rsidRPr="00F52FFA" w14:paraId="2FC70858" w14:textId="77777777" w:rsidTr="00DF3755">
        <w:tc>
          <w:tcPr>
            <w:tcW w:w="421" w:type="dxa"/>
          </w:tcPr>
          <w:p w14:paraId="2DA21B70" w14:textId="77777777" w:rsidR="00E635F8" w:rsidRPr="00F52FFA" w:rsidRDefault="00E635F8" w:rsidP="00E635F8">
            <w:r w:rsidRPr="00F52FFA">
              <w:t>4.</w:t>
            </w:r>
          </w:p>
        </w:tc>
        <w:tc>
          <w:tcPr>
            <w:tcW w:w="2126" w:type="dxa"/>
          </w:tcPr>
          <w:p w14:paraId="3F03567A" w14:textId="77777777" w:rsidR="00E635F8" w:rsidRPr="00F52FFA" w:rsidRDefault="00E635F8" w:rsidP="00E635F8">
            <w:r w:rsidRPr="00F52FFA">
              <w:t>Cita informācija</w:t>
            </w:r>
          </w:p>
        </w:tc>
        <w:tc>
          <w:tcPr>
            <w:tcW w:w="7088" w:type="dxa"/>
          </w:tcPr>
          <w:p w14:paraId="7E196866" w14:textId="77777777" w:rsidR="00E635F8" w:rsidRPr="00F52FFA" w:rsidRDefault="00E635F8" w:rsidP="00E635F8">
            <w:r w:rsidRPr="00F52FFA">
              <w:t>Nav</w:t>
            </w:r>
          </w:p>
        </w:tc>
      </w:tr>
    </w:tbl>
    <w:p w14:paraId="0197D20B" w14:textId="77777777" w:rsidR="00B63EAD" w:rsidRPr="00F52FFA" w:rsidRDefault="00B63EAD"/>
    <w:tbl>
      <w:tblPr>
        <w:tblStyle w:val="TableGrid"/>
        <w:tblW w:w="9634" w:type="dxa"/>
        <w:tblLook w:val="04A0" w:firstRow="1" w:lastRow="0" w:firstColumn="1" w:lastColumn="0" w:noHBand="0" w:noVBand="1"/>
      </w:tblPr>
      <w:tblGrid>
        <w:gridCol w:w="421"/>
        <w:gridCol w:w="2126"/>
        <w:gridCol w:w="7087"/>
      </w:tblGrid>
      <w:tr w:rsidR="00120721" w:rsidRPr="00F52FFA" w14:paraId="1E46E223" w14:textId="77777777" w:rsidTr="00F1588A">
        <w:tc>
          <w:tcPr>
            <w:tcW w:w="9634" w:type="dxa"/>
            <w:gridSpan w:val="3"/>
          </w:tcPr>
          <w:p w14:paraId="1378D9C4" w14:textId="77777777" w:rsidR="00120721" w:rsidRPr="00F52FFA" w:rsidRDefault="00120721" w:rsidP="00120721">
            <w:pPr>
              <w:jc w:val="center"/>
              <w:rPr>
                <w:b/>
              </w:rPr>
            </w:pPr>
            <w:r w:rsidRPr="00F52FFA">
              <w:rPr>
                <w:b/>
              </w:rPr>
              <w:t>II. Tiesību akta projekta ietekme uz sabiedrību, tautsaimniecības attīstību un administratīvo slogu</w:t>
            </w:r>
          </w:p>
        </w:tc>
      </w:tr>
      <w:tr w:rsidR="003C76AF" w:rsidRPr="00F52FFA" w14:paraId="11B03473" w14:textId="77777777" w:rsidTr="00F1588A">
        <w:tc>
          <w:tcPr>
            <w:tcW w:w="421" w:type="dxa"/>
          </w:tcPr>
          <w:p w14:paraId="205E1975" w14:textId="77777777" w:rsidR="003C76AF" w:rsidRPr="00F52FFA" w:rsidRDefault="00120721">
            <w:r w:rsidRPr="00F52FFA">
              <w:t>1.</w:t>
            </w:r>
          </w:p>
        </w:tc>
        <w:tc>
          <w:tcPr>
            <w:tcW w:w="2126" w:type="dxa"/>
          </w:tcPr>
          <w:p w14:paraId="55034E95" w14:textId="77777777" w:rsidR="003C76AF" w:rsidRPr="00F52FFA" w:rsidRDefault="00120721">
            <w:r w:rsidRPr="00F52FFA">
              <w:t xml:space="preserve">Sabiedrības </w:t>
            </w:r>
            <w:proofErr w:type="spellStart"/>
            <w:r w:rsidRPr="00F52FFA">
              <w:t>mērķgrupas</w:t>
            </w:r>
            <w:proofErr w:type="spellEnd"/>
            <w:r w:rsidRPr="00F52FFA">
              <w:t>, kuras tiesiskais regulējums ietekmē vai varētu ietekmēt</w:t>
            </w:r>
          </w:p>
        </w:tc>
        <w:tc>
          <w:tcPr>
            <w:tcW w:w="7087" w:type="dxa"/>
          </w:tcPr>
          <w:p w14:paraId="61D0B324" w14:textId="2DC94BF5" w:rsidR="009D1B85" w:rsidRPr="00F52FFA" w:rsidRDefault="009D1B85" w:rsidP="003B63FA">
            <w:pPr>
              <w:pStyle w:val="ListParagraph"/>
              <w:numPr>
                <w:ilvl w:val="0"/>
                <w:numId w:val="25"/>
              </w:numPr>
              <w:autoSpaceDE w:val="0"/>
              <w:autoSpaceDN w:val="0"/>
              <w:jc w:val="both"/>
            </w:pPr>
            <w:r w:rsidRPr="00F52FFA">
              <w:t>Valsts kapitālsabiedrības veselības jomā, kas veic valsts deleģēt</w:t>
            </w:r>
            <w:r w:rsidR="00635EC4" w:rsidRPr="00F52FFA">
              <w:t>us uzdevumus</w:t>
            </w:r>
            <w:r w:rsidR="003B63FA" w:rsidRPr="00F52FFA">
              <w:t xml:space="preserve"> un sniedz sabiedriskos pakalpojumus ar vispārēju tautsaimniecisku nozīmi,</w:t>
            </w:r>
            <w:r w:rsidRPr="00F52FFA">
              <w:t xml:space="preserve"> un kurā valsts ir kapitāla daļu turētāja 100% apmērā, un ēka ir valsts</w:t>
            </w:r>
            <w:r w:rsidR="00E64F3E">
              <w:t xml:space="preserve"> vai valsts kapitālsabiedrības</w:t>
            </w:r>
            <w:r w:rsidRPr="00F52FFA">
              <w:t xml:space="preserve"> īpašumā</w:t>
            </w:r>
            <w:r w:rsidR="00DC027F" w:rsidRPr="00F52FFA">
              <w:t>.</w:t>
            </w:r>
          </w:p>
          <w:p w14:paraId="1E7543BF" w14:textId="02675BF6" w:rsidR="009D1B85" w:rsidRPr="00F52FFA" w:rsidRDefault="009D1B85" w:rsidP="009D1B85">
            <w:pPr>
              <w:pStyle w:val="ListParagraph"/>
              <w:numPr>
                <w:ilvl w:val="0"/>
                <w:numId w:val="25"/>
              </w:numPr>
              <w:autoSpaceDE w:val="0"/>
              <w:autoSpaceDN w:val="0"/>
              <w:jc w:val="both"/>
            </w:pPr>
            <w:r w:rsidRPr="00F52FFA">
              <w:t>Valsts kapitālsabiedrības kultūras jomā, kas veic valsts deleģēt</w:t>
            </w:r>
            <w:r w:rsidR="00635EC4" w:rsidRPr="00F52FFA">
              <w:t>us uzdevumus</w:t>
            </w:r>
            <w:r w:rsidRPr="00F52FFA">
              <w:t xml:space="preserve"> un kurā valsts ir kapitāla daļu turētāja 100% apmērā, un ēka ir valsts</w:t>
            </w:r>
            <w:r w:rsidR="00B57402" w:rsidRPr="00F52FFA">
              <w:t xml:space="preserve"> vai valsts kapitālsabiedrības</w:t>
            </w:r>
            <w:r w:rsidRPr="00F52FFA">
              <w:t xml:space="preserve"> īpašumā</w:t>
            </w:r>
            <w:r w:rsidR="00DC027F" w:rsidRPr="00F52FFA">
              <w:t>.</w:t>
            </w:r>
          </w:p>
          <w:p w14:paraId="13B4BDCC" w14:textId="64A67D01" w:rsidR="009D1B85" w:rsidRPr="00F52FFA" w:rsidRDefault="009D1B85" w:rsidP="009D1B85">
            <w:pPr>
              <w:pStyle w:val="ListParagraph"/>
              <w:numPr>
                <w:ilvl w:val="0"/>
                <w:numId w:val="25"/>
              </w:numPr>
              <w:autoSpaceDE w:val="0"/>
              <w:autoSpaceDN w:val="0"/>
              <w:jc w:val="both"/>
            </w:pPr>
            <w:r w:rsidRPr="00F52FFA">
              <w:t>Valsts kapitālsabiedrības</w:t>
            </w:r>
            <w:r w:rsidR="00577868" w:rsidRPr="00F52FFA">
              <w:t>,</w:t>
            </w:r>
            <w:r w:rsidRPr="00F52FFA">
              <w:t xml:space="preserve"> kurā</w:t>
            </w:r>
            <w:r w:rsidR="00577868" w:rsidRPr="00F52FFA">
              <w:t>s</w:t>
            </w:r>
            <w:r w:rsidRPr="00F52FFA">
              <w:t xml:space="preserve"> valsts ir kapitāla daļu turētāja 100% apmērā un </w:t>
            </w:r>
            <w:r w:rsidR="00D52B54" w:rsidRPr="00F52FFA">
              <w:t>to īpašumā</w:t>
            </w:r>
            <w:r w:rsidR="00286863" w:rsidRPr="00F52FFA">
              <w:t xml:space="preserve"> vai lietojumā</w:t>
            </w:r>
            <w:r w:rsidR="00D52B54" w:rsidRPr="00F52FFA">
              <w:t xml:space="preserve"> ir </w:t>
            </w:r>
            <w:r w:rsidR="00577868" w:rsidRPr="00F52FFA">
              <w:t xml:space="preserve"> </w:t>
            </w:r>
            <w:r w:rsidRPr="00F52FFA">
              <w:t>nacionālās sporta bāzes</w:t>
            </w:r>
            <w:r w:rsidR="00DC027F" w:rsidRPr="00F52FFA">
              <w:t>.</w:t>
            </w:r>
          </w:p>
          <w:p w14:paraId="54537A97" w14:textId="0B95F937" w:rsidR="001B6447" w:rsidRPr="00F52FFA" w:rsidRDefault="001B6447" w:rsidP="009D1B85">
            <w:pPr>
              <w:pStyle w:val="ListParagraph"/>
              <w:numPr>
                <w:ilvl w:val="0"/>
                <w:numId w:val="25"/>
              </w:numPr>
              <w:autoSpaceDE w:val="0"/>
              <w:autoSpaceDN w:val="0"/>
              <w:jc w:val="both"/>
            </w:pPr>
            <w:r w:rsidRPr="00F52FFA">
              <w:lastRenderedPageBreak/>
              <w:t>Valsts kapitālsabiedrības izglītības jomā, kuru 100% kapitāldaļas pieder atvasinātai publiskai personai</w:t>
            </w:r>
            <w:r w:rsidR="00DC027F" w:rsidRPr="00F52FFA">
              <w:t>.</w:t>
            </w:r>
          </w:p>
          <w:p w14:paraId="17E1F28F" w14:textId="4A2077E8" w:rsidR="009D1B85" w:rsidRPr="00F52FFA" w:rsidRDefault="009D1B85" w:rsidP="009D1B85">
            <w:pPr>
              <w:pStyle w:val="ListParagraph"/>
              <w:numPr>
                <w:ilvl w:val="0"/>
                <w:numId w:val="25"/>
              </w:numPr>
              <w:autoSpaceDE w:val="0"/>
              <w:autoSpaceDN w:val="0"/>
              <w:jc w:val="both"/>
            </w:pPr>
            <w:r w:rsidRPr="00F52FFA">
              <w:t>Biedrības un nodibinājumi, ja ēkā veic valsts pārvaldes deleģētos uzdevumus kultūras un sociālajā jomā</w:t>
            </w:r>
            <w:r w:rsidR="00DC027F" w:rsidRPr="00F52FFA">
              <w:t>.</w:t>
            </w:r>
          </w:p>
          <w:p w14:paraId="7AEA82FE" w14:textId="54D50EB0" w:rsidR="005065F9" w:rsidRPr="00F52FFA" w:rsidRDefault="00DC027F" w:rsidP="009D1B85">
            <w:pPr>
              <w:pStyle w:val="ListParagraph"/>
              <w:numPr>
                <w:ilvl w:val="0"/>
                <w:numId w:val="25"/>
              </w:numPr>
              <w:autoSpaceDE w:val="0"/>
              <w:autoSpaceDN w:val="0"/>
              <w:jc w:val="both"/>
            </w:pPr>
            <w:r w:rsidRPr="00F52FFA">
              <w:t>T</w:t>
            </w:r>
            <w:r w:rsidR="009D1B85" w:rsidRPr="00F52FFA">
              <w:t>iešās valsts pārvaldes iestādes vai tās padotības iestādes, vai valsts deleģēto pārvaldes uzdevumu veicošas atvasinātas publiskas personas.</w:t>
            </w:r>
          </w:p>
        </w:tc>
      </w:tr>
      <w:tr w:rsidR="003C76AF" w:rsidRPr="00F52FFA" w14:paraId="2E5E80D4" w14:textId="77777777" w:rsidTr="00F1588A">
        <w:tc>
          <w:tcPr>
            <w:tcW w:w="421" w:type="dxa"/>
          </w:tcPr>
          <w:p w14:paraId="2FD8E217" w14:textId="66E12255" w:rsidR="003C76AF" w:rsidRPr="00F52FFA" w:rsidRDefault="00120721">
            <w:r w:rsidRPr="00F52FFA">
              <w:lastRenderedPageBreak/>
              <w:t>2.</w:t>
            </w:r>
          </w:p>
        </w:tc>
        <w:tc>
          <w:tcPr>
            <w:tcW w:w="2126" w:type="dxa"/>
          </w:tcPr>
          <w:p w14:paraId="2E665CAE" w14:textId="77777777" w:rsidR="003C76AF" w:rsidRPr="00F52FFA" w:rsidRDefault="00120721" w:rsidP="00120721">
            <w:r w:rsidRPr="00F52FFA">
              <w:t>Tiesiskā regulējuma ietekme uz tautsaimniecību un administratīvo slogu</w:t>
            </w:r>
          </w:p>
        </w:tc>
        <w:tc>
          <w:tcPr>
            <w:tcW w:w="7087" w:type="dxa"/>
          </w:tcPr>
          <w:p w14:paraId="27FE4E43" w14:textId="77777777" w:rsidR="00120721" w:rsidRPr="00F52FFA" w:rsidRDefault="00120721" w:rsidP="00BC5BDA">
            <w:pPr>
              <w:jc w:val="both"/>
            </w:pPr>
            <w:r w:rsidRPr="00F52FFA">
              <w:t>Vērtējot projektu īstenošanas ietekmi uz administratīvajām procedūrām un to izmaksām, nav identificēts administratīvā sloga palielinājums ne potenciālajiem finansējuma saņēmējiem, ne fondu vadībā iesaistītajām institūcijām.</w:t>
            </w:r>
          </w:p>
          <w:p w14:paraId="6AB72A4E" w14:textId="030AFD93" w:rsidR="00840D43" w:rsidRPr="00F52FFA" w:rsidRDefault="00B93370" w:rsidP="00E635F8">
            <w:pPr>
              <w:jc w:val="both"/>
            </w:pPr>
            <w:r w:rsidRPr="00F52FFA">
              <w:t>N</w:t>
            </w:r>
            <w:r w:rsidR="00804C92" w:rsidRPr="00F52FFA">
              <w:t>oteikumu projekts nosaka, ka projekta attiecināmajās izmaksās ir iekļaujamas projekta vadības personāla atlīdzības un projekta pamatojošās dokumentācijas sagatavošanas izmaksas, tādejādi samazinot administratīvo izmaksu slogu uz projekta iesniedzēja budžetu.</w:t>
            </w:r>
            <w:r w:rsidR="00927549" w:rsidRPr="00F52FFA">
              <w:t xml:space="preserve"> </w:t>
            </w:r>
            <w:r w:rsidR="00BA399B" w:rsidRPr="00F52FFA">
              <w:t xml:space="preserve">Paredzams, ka </w:t>
            </w:r>
            <w:r w:rsidR="00927549" w:rsidRPr="00F52FFA">
              <w:t xml:space="preserve">4.2.1.2.pasākuma </w:t>
            </w:r>
            <w:r w:rsidR="005B1613" w:rsidRPr="00F52FFA">
              <w:t xml:space="preserve">otrās </w:t>
            </w:r>
            <w:r w:rsidR="00927549" w:rsidRPr="00F52FFA">
              <w:t>projekta iesnieguma atlases kārtas ietvaros</w:t>
            </w:r>
            <w:r w:rsidR="00BA399B" w:rsidRPr="00F52FFA">
              <w:t xml:space="preserve"> </w:t>
            </w:r>
            <w:r w:rsidR="00927549" w:rsidRPr="00F52FFA">
              <w:t>administratīvās izmaksas var sasniegt</w:t>
            </w:r>
            <w:r w:rsidR="00AB668B" w:rsidRPr="00F52FFA">
              <w:t xml:space="preserve"> </w:t>
            </w:r>
            <w:r w:rsidR="005B1613" w:rsidRPr="00F52FFA">
              <w:t>487 614</w:t>
            </w:r>
            <w:r w:rsidR="00AB668B" w:rsidRPr="00F52FFA">
              <w:t xml:space="preserve"> </w:t>
            </w:r>
            <w:proofErr w:type="spellStart"/>
            <w:r w:rsidR="00AB668B" w:rsidRPr="00F52FFA">
              <w:rPr>
                <w:i/>
              </w:rPr>
              <w:t>euro</w:t>
            </w:r>
            <w:proofErr w:type="spellEnd"/>
            <w:r w:rsidR="00AB668B" w:rsidRPr="00F52FFA">
              <w:t>, kas ir 1,5% no atlases kārtai pieejamā finansējuma. Pieņēmums balstīts uz CSP pieejamo informāciju par sabiedriskā sektorā izmaksāto vidējo atalgojumu</w:t>
            </w:r>
            <w:r w:rsidR="00BA399B" w:rsidRPr="00F52FFA">
              <w:t xml:space="preserve"> (bruto)</w:t>
            </w:r>
            <w:r w:rsidR="00AB668B" w:rsidRPr="00F52FFA">
              <w:t>, atlases kārtas ietvaros plānoto īstenoto projektu skaitu un laiku, kas nepieciešams projekta sagatavošanai. Ņemot vērā, ka projekta iesnieguma veidlapas sagatavošanai un tehniskā projekta izstrādāšanai nepieciešami vismaz 8 mēneši</w:t>
            </w:r>
            <w:r w:rsidR="00BA399B" w:rsidRPr="00F52FFA">
              <w:t xml:space="preserve"> un sabiedriskajā sektorā vidējais atalgojums mēnesī ir 885 </w:t>
            </w:r>
            <w:proofErr w:type="spellStart"/>
            <w:r w:rsidR="00BA399B" w:rsidRPr="00F52FFA">
              <w:rPr>
                <w:i/>
              </w:rPr>
              <w:t>euro</w:t>
            </w:r>
            <w:proofErr w:type="spellEnd"/>
            <w:r w:rsidR="00BA399B" w:rsidRPr="00F52FFA">
              <w:rPr>
                <w:i/>
              </w:rPr>
              <w:t xml:space="preserve"> </w:t>
            </w:r>
            <w:r w:rsidR="00BA399B" w:rsidRPr="00F52FFA">
              <w:t xml:space="preserve">(bruto) un to, ka piecus gadus pēc projekta īstenošanas katru gadu ir jāiesniedz pārskats par enerģijas patēriņu, vidēji nepieciešamais laiks (kopā ar uzraudzības periodu) ir 15 mēneši, kas nozīmē, ka administratīvās izmaksas var sasniegt </w:t>
            </w:r>
            <w:r w:rsidR="005B1613" w:rsidRPr="00F52FFA">
              <w:t>487 614</w:t>
            </w:r>
            <w:r w:rsidR="00BA399B" w:rsidRPr="00F52FFA">
              <w:t xml:space="preserve"> </w:t>
            </w:r>
            <w:proofErr w:type="spellStart"/>
            <w:r w:rsidR="00BA399B" w:rsidRPr="00F52FFA">
              <w:rPr>
                <w:i/>
              </w:rPr>
              <w:t>euro</w:t>
            </w:r>
            <w:proofErr w:type="spellEnd"/>
            <w:r w:rsidR="00BA399B" w:rsidRPr="00F52FFA">
              <w:rPr>
                <w:i/>
              </w:rPr>
              <w:t>.</w:t>
            </w:r>
          </w:p>
          <w:p w14:paraId="620D2C04" w14:textId="31C9508C" w:rsidR="00F95DDA" w:rsidRPr="00F52FFA" w:rsidRDefault="00120721" w:rsidP="00E635F8">
            <w:pPr>
              <w:jc w:val="both"/>
            </w:pPr>
            <w:r w:rsidRPr="00F52FFA">
              <w:t>Iesniegto projektu iesniegumu pieņemšanu un vērtēšanu nodrošinās Centrālā finanšu un līgumu aģentūra.</w:t>
            </w:r>
          </w:p>
        </w:tc>
      </w:tr>
      <w:tr w:rsidR="003C76AF" w:rsidRPr="00F52FFA" w14:paraId="201C1425" w14:textId="77777777" w:rsidTr="00F1588A">
        <w:tc>
          <w:tcPr>
            <w:tcW w:w="421" w:type="dxa"/>
          </w:tcPr>
          <w:p w14:paraId="7A8103A7" w14:textId="77777777" w:rsidR="003C76AF" w:rsidRPr="00F52FFA" w:rsidRDefault="00120721">
            <w:r w:rsidRPr="00F52FFA">
              <w:t>3.</w:t>
            </w:r>
          </w:p>
        </w:tc>
        <w:tc>
          <w:tcPr>
            <w:tcW w:w="2126" w:type="dxa"/>
          </w:tcPr>
          <w:p w14:paraId="4276182D" w14:textId="77777777" w:rsidR="003C76AF" w:rsidRPr="00F52FFA" w:rsidRDefault="00120721">
            <w:r w:rsidRPr="00F52FFA">
              <w:t>Administratīvo izmaksu monetārs novērtējums</w:t>
            </w:r>
          </w:p>
        </w:tc>
        <w:tc>
          <w:tcPr>
            <w:tcW w:w="7087" w:type="dxa"/>
          </w:tcPr>
          <w:p w14:paraId="478A4F96" w14:textId="0053E48A" w:rsidR="003C76AF" w:rsidRPr="00F52FFA" w:rsidRDefault="00364D86" w:rsidP="00BC5BDA">
            <w:pPr>
              <w:jc w:val="both"/>
            </w:pPr>
            <w:r w:rsidRPr="00F52FFA">
              <w:rPr>
                <w:bCs/>
                <w:lang w:eastAsia="en-US"/>
              </w:rPr>
              <w:t xml:space="preserve">ES fondu administrēšanas izmaksas </w:t>
            </w:r>
            <w:r w:rsidR="00585BBE" w:rsidRPr="00F52FFA">
              <w:rPr>
                <w:bCs/>
                <w:lang w:eastAsia="en-US"/>
              </w:rPr>
              <w:t xml:space="preserve">EM uz sadarbības iestādei </w:t>
            </w:r>
            <w:r w:rsidRPr="00F52FFA">
              <w:rPr>
                <w:bCs/>
                <w:lang w:eastAsia="en-US"/>
              </w:rPr>
              <w:t xml:space="preserve">plānots segt no </w:t>
            </w:r>
            <w:r w:rsidRPr="00F52FFA">
              <w:t>Eiropas Savienības struktūrfondu un Kohēzijas fonda 2014.-2020.gada plānošanas perioda</w:t>
            </w:r>
            <w:r w:rsidRPr="00F52FFA">
              <w:rPr>
                <w:bCs/>
                <w:lang w:eastAsia="en-US"/>
              </w:rPr>
              <w:t xml:space="preserve"> tehniskās palīdzības projekta līdzekļiem.</w:t>
            </w:r>
          </w:p>
        </w:tc>
      </w:tr>
      <w:tr w:rsidR="00120721" w:rsidRPr="00F52FFA" w14:paraId="18B95A31" w14:textId="77777777" w:rsidTr="00F1588A">
        <w:tc>
          <w:tcPr>
            <w:tcW w:w="421" w:type="dxa"/>
          </w:tcPr>
          <w:p w14:paraId="703DA36F" w14:textId="77777777" w:rsidR="00120721" w:rsidRPr="00F52FFA" w:rsidRDefault="00120721">
            <w:r w:rsidRPr="00F52FFA">
              <w:t>4.</w:t>
            </w:r>
          </w:p>
        </w:tc>
        <w:tc>
          <w:tcPr>
            <w:tcW w:w="2126" w:type="dxa"/>
          </w:tcPr>
          <w:p w14:paraId="07B3CAEB" w14:textId="77777777" w:rsidR="00120721" w:rsidRPr="00F52FFA" w:rsidRDefault="00120721">
            <w:r w:rsidRPr="00F52FFA">
              <w:t>Cita informācija</w:t>
            </w:r>
          </w:p>
        </w:tc>
        <w:tc>
          <w:tcPr>
            <w:tcW w:w="7087" w:type="dxa"/>
          </w:tcPr>
          <w:p w14:paraId="177C5AF0" w14:textId="77777777" w:rsidR="00120721" w:rsidRPr="00F52FFA" w:rsidRDefault="00120721">
            <w:r w:rsidRPr="00F52FFA">
              <w:t>Nav</w:t>
            </w:r>
          </w:p>
        </w:tc>
      </w:tr>
    </w:tbl>
    <w:p w14:paraId="19C5DBB3" w14:textId="77777777" w:rsidR="003C76AF" w:rsidRPr="00F52FFA" w:rsidRDefault="003C76AF"/>
    <w:tbl>
      <w:tblPr>
        <w:tblStyle w:val="TableGrid"/>
        <w:tblW w:w="9634" w:type="dxa"/>
        <w:tblLook w:val="04A0" w:firstRow="1" w:lastRow="0" w:firstColumn="1" w:lastColumn="0" w:noHBand="0" w:noVBand="1"/>
      </w:tblPr>
      <w:tblGrid>
        <w:gridCol w:w="2252"/>
        <w:gridCol w:w="1107"/>
        <w:gridCol w:w="2136"/>
        <w:gridCol w:w="1390"/>
        <w:gridCol w:w="1390"/>
        <w:gridCol w:w="1359"/>
      </w:tblGrid>
      <w:tr w:rsidR="00E43CD7" w:rsidRPr="00F52FFA" w14:paraId="6375984F" w14:textId="77777777" w:rsidTr="002F6B78">
        <w:tc>
          <w:tcPr>
            <w:tcW w:w="9634" w:type="dxa"/>
            <w:gridSpan w:val="6"/>
          </w:tcPr>
          <w:p w14:paraId="0D78843C" w14:textId="77777777" w:rsidR="00E43CD7" w:rsidRPr="00F52FFA" w:rsidRDefault="00E43CD7" w:rsidP="00125DC1">
            <w:pPr>
              <w:jc w:val="center"/>
            </w:pPr>
            <w:r w:rsidRPr="00F52FFA">
              <w:rPr>
                <w:rFonts w:eastAsia="Times New Roman"/>
                <w:b/>
              </w:rPr>
              <w:t>III. Tiesību akta projekta ietekme uz valsts budžetu un pašvaldību budžetiem</w:t>
            </w:r>
          </w:p>
        </w:tc>
      </w:tr>
      <w:tr w:rsidR="00125DC1" w:rsidRPr="00F52FFA" w14:paraId="052107F2" w14:textId="77777777" w:rsidTr="00987973">
        <w:tc>
          <w:tcPr>
            <w:tcW w:w="2252" w:type="dxa"/>
            <w:vMerge w:val="restart"/>
          </w:tcPr>
          <w:p w14:paraId="3160F67A" w14:textId="77777777" w:rsidR="00125DC1" w:rsidRPr="00F52FFA" w:rsidRDefault="00125DC1" w:rsidP="00125DC1">
            <w:pPr>
              <w:jc w:val="center"/>
              <w:rPr>
                <w:rFonts w:eastAsia="Times New Roman"/>
                <w:b/>
              </w:rPr>
            </w:pPr>
            <w:r w:rsidRPr="00F52FFA">
              <w:rPr>
                <w:rFonts w:eastAsia="Times New Roman"/>
                <w:b/>
              </w:rPr>
              <w:t>Rādītāji</w:t>
            </w:r>
          </w:p>
          <w:p w14:paraId="6FDC6FBF" w14:textId="77777777" w:rsidR="00125DC1" w:rsidRPr="00F52FFA" w:rsidRDefault="00125DC1" w:rsidP="00125DC1">
            <w:pPr>
              <w:jc w:val="center"/>
            </w:pPr>
          </w:p>
        </w:tc>
        <w:tc>
          <w:tcPr>
            <w:tcW w:w="3243" w:type="dxa"/>
            <w:gridSpan w:val="2"/>
            <w:vMerge w:val="restart"/>
          </w:tcPr>
          <w:p w14:paraId="76B7F2E3" w14:textId="04CAD180" w:rsidR="00125DC1" w:rsidRPr="00F52FFA" w:rsidRDefault="009E7AA2" w:rsidP="00125DC1">
            <w:pPr>
              <w:jc w:val="center"/>
              <w:rPr>
                <w:b/>
              </w:rPr>
            </w:pPr>
            <w:r w:rsidRPr="00F52FFA">
              <w:rPr>
                <w:rFonts w:eastAsia="Times New Roman"/>
                <w:b/>
              </w:rPr>
              <w:t>2017</w:t>
            </w:r>
            <w:r w:rsidR="00125DC1" w:rsidRPr="00F52FFA">
              <w:rPr>
                <w:rFonts w:eastAsia="Times New Roman"/>
                <w:b/>
              </w:rPr>
              <w:t>.gads</w:t>
            </w:r>
          </w:p>
        </w:tc>
        <w:tc>
          <w:tcPr>
            <w:tcW w:w="4139" w:type="dxa"/>
            <w:gridSpan w:val="3"/>
          </w:tcPr>
          <w:p w14:paraId="09EDDC17" w14:textId="77777777" w:rsidR="00125DC1" w:rsidRPr="00F52FFA" w:rsidRDefault="00125DC1" w:rsidP="00125DC1">
            <w:pPr>
              <w:jc w:val="center"/>
              <w:rPr>
                <w:b/>
              </w:rPr>
            </w:pPr>
            <w:r w:rsidRPr="00F52FFA">
              <w:rPr>
                <w:rFonts w:eastAsia="Times New Roman"/>
                <w:b/>
              </w:rPr>
              <w:t>Turpmākie trīs gadi (</w:t>
            </w:r>
            <w:proofErr w:type="spellStart"/>
            <w:r w:rsidRPr="00F52FFA">
              <w:rPr>
                <w:rFonts w:eastAsia="Times New Roman"/>
                <w:b/>
                <w:i/>
              </w:rPr>
              <w:t>euro</w:t>
            </w:r>
            <w:proofErr w:type="spellEnd"/>
            <w:r w:rsidRPr="00F52FFA">
              <w:rPr>
                <w:rFonts w:eastAsia="Times New Roman"/>
                <w:b/>
              </w:rPr>
              <w:t>)</w:t>
            </w:r>
          </w:p>
        </w:tc>
      </w:tr>
      <w:tr w:rsidR="00125DC1" w:rsidRPr="00F52FFA" w14:paraId="1380C1A9" w14:textId="77777777" w:rsidTr="00987973">
        <w:tc>
          <w:tcPr>
            <w:tcW w:w="2252" w:type="dxa"/>
            <w:vMerge/>
          </w:tcPr>
          <w:p w14:paraId="5F3A7B1F" w14:textId="77777777" w:rsidR="00125DC1" w:rsidRPr="00F52FFA" w:rsidRDefault="00125DC1" w:rsidP="00125DC1">
            <w:pPr>
              <w:jc w:val="center"/>
            </w:pPr>
          </w:p>
        </w:tc>
        <w:tc>
          <w:tcPr>
            <w:tcW w:w="3243" w:type="dxa"/>
            <w:gridSpan w:val="2"/>
            <w:vMerge/>
          </w:tcPr>
          <w:p w14:paraId="6192348B" w14:textId="77777777" w:rsidR="00125DC1" w:rsidRPr="00F52FFA" w:rsidRDefault="00125DC1" w:rsidP="00125DC1">
            <w:pPr>
              <w:jc w:val="center"/>
            </w:pPr>
          </w:p>
        </w:tc>
        <w:tc>
          <w:tcPr>
            <w:tcW w:w="1390" w:type="dxa"/>
          </w:tcPr>
          <w:p w14:paraId="40F6A1FF" w14:textId="1C7F591F" w:rsidR="00125DC1" w:rsidRPr="00F52FFA" w:rsidRDefault="00125DC1" w:rsidP="00125DC1">
            <w:pPr>
              <w:jc w:val="center"/>
              <w:rPr>
                <w:b/>
              </w:rPr>
            </w:pPr>
            <w:r w:rsidRPr="00F52FFA">
              <w:rPr>
                <w:b/>
              </w:rPr>
              <w:t>201</w:t>
            </w:r>
            <w:r w:rsidR="0062219A" w:rsidRPr="00F52FFA">
              <w:rPr>
                <w:b/>
              </w:rPr>
              <w:t>8</w:t>
            </w:r>
            <w:r w:rsidRPr="00F52FFA">
              <w:rPr>
                <w:b/>
              </w:rPr>
              <w:t>.gads</w:t>
            </w:r>
          </w:p>
        </w:tc>
        <w:tc>
          <w:tcPr>
            <w:tcW w:w="1390" w:type="dxa"/>
          </w:tcPr>
          <w:p w14:paraId="50B183E2" w14:textId="5F05FA97" w:rsidR="00125DC1" w:rsidRPr="00F52FFA" w:rsidRDefault="0062219A" w:rsidP="00125DC1">
            <w:pPr>
              <w:jc w:val="center"/>
              <w:rPr>
                <w:b/>
              </w:rPr>
            </w:pPr>
            <w:r w:rsidRPr="00F52FFA">
              <w:rPr>
                <w:b/>
              </w:rPr>
              <w:t>2019</w:t>
            </w:r>
            <w:r w:rsidR="00125DC1" w:rsidRPr="00F52FFA">
              <w:rPr>
                <w:b/>
              </w:rPr>
              <w:t>.gads</w:t>
            </w:r>
          </w:p>
        </w:tc>
        <w:tc>
          <w:tcPr>
            <w:tcW w:w="1359" w:type="dxa"/>
          </w:tcPr>
          <w:p w14:paraId="451D638C" w14:textId="182224DD" w:rsidR="00125DC1" w:rsidRPr="00F52FFA" w:rsidRDefault="0062219A" w:rsidP="00125DC1">
            <w:pPr>
              <w:jc w:val="center"/>
              <w:rPr>
                <w:b/>
              </w:rPr>
            </w:pPr>
            <w:r w:rsidRPr="00F52FFA">
              <w:rPr>
                <w:b/>
              </w:rPr>
              <w:t>2020</w:t>
            </w:r>
            <w:r w:rsidR="00125DC1" w:rsidRPr="00F52FFA">
              <w:rPr>
                <w:b/>
              </w:rPr>
              <w:t>.gads</w:t>
            </w:r>
          </w:p>
        </w:tc>
      </w:tr>
      <w:tr w:rsidR="00125DC1" w:rsidRPr="00F52FFA" w14:paraId="7346FC8A" w14:textId="77777777" w:rsidTr="00987973">
        <w:tc>
          <w:tcPr>
            <w:tcW w:w="2252" w:type="dxa"/>
            <w:vMerge/>
          </w:tcPr>
          <w:p w14:paraId="4D923507" w14:textId="77777777" w:rsidR="00125DC1" w:rsidRPr="00F52FFA" w:rsidRDefault="00125DC1" w:rsidP="00125DC1">
            <w:pPr>
              <w:jc w:val="center"/>
            </w:pPr>
          </w:p>
        </w:tc>
        <w:tc>
          <w:tcPr>
            <w:tcW w:w="1107" w:type="dxa"/>
          </w:tcPr>
          <w:p w14:paraId="7D093611" w14:textId="77777777" w:rsidR="00125DC1" w:rsidRPr="00F52FFA" w:rsidRDefault="00125DC1" w:rsidP="00125DC1">
            <w:pPr>
              <w:jc w:val="center"/>
            </w:pPr>
            <w:r w:rsidRPr="00F52FFA">
              <w:rPr>
                <w:rFonts w:eastAsia="Times New Roman"/>
              </w:rPr>
              <w:t>saskaņā ar valsts budžetu kārtējam gadam</w:t>
            </w:r>
          </w:p>
        </w:tc>
        <w:tc>
          <w:tcPr>
            <w:tcW w:w="2136" w:type="dxa"/>
          </w:tcPr>
          <w:p w14:paraId="656C12EC" w14:textId="77777777" w:rsidR="00125DC1" w:rsidRPr="00F52FFA" w:rsidRDefault="00125DC1" w:rsidP="00125DC1">
            <w:pPr>
              <w:jc w:val="center"/>
            </w:pPr>
            <w:r w:rsidRPr="00F52FFA">
              <w:rPr>
                <w:rFonts w:eastAsia="Times New Roman"/>
              </w:rPr>
              <w:t>izmaiņas kārtējā gadā, salīdzinot ar valsts budžetu kārtējam gadam</w:t>
            </w:r>
          </w:p>
        </w:tc>
        <w:tc>
          <w:tcPr>
            <w:tcW w:w="1390" w:type="dxa"/>
          </w:tcPr>
          <w:p w14:paraId="7E1EE589" w14:textId="46EA0969" w:rsidR="00125DC1" w:rsidRPr="00F52FFA" w:rsidRDefault="00125DC1" w:rsidP="00125DC1">
            <w:pPr>
              <w:jc w:val="center"/>
            </w:pPr>
            <w:r w:rsidRPr="00F52FFA">
              <w:rPr>
                <w:rFonts w:eastAsia="Times New Roman"/>
              </w:rPr>
              <w:t>izmaiņas, salīdzinot ar kārtējo (201</w:t>
            </w:r>
            <w:r w:rsidR="009E7AA2" w:rsidRPr="00F52FFA">
              <w:rPr>
                <w:rFonts w:eastAsia="Times New Roman"/>
              </w:rPr>
              <w:t>7</w:t>
            </w:r>
            <w:r w:rsidRPr="00F52FFA">
              <w:rPr>
                <w:rFonts w:eastAsia="Times New Roman"/>
              </w:rPr>
              <w:t>) gadu</w:t>
            </w:r>
          </w:p>
        </w:tc>
        <w:tc>
          <w:tcPr>
            <w:tcW w:w="1390" w:type="dxa"/>
          </w:tcPr>
          <w:p w14:paraId="0258B800" w14:textId="722017D1" w:rsidR="00125DC1" w:rsidRPr="00F52FFA" w:rsidRDefault="00125DC1" w:rsidP="00125DC1">
            <w:pPr>
              <w:jc w:val="center"/>
            </w:pPr>
            <w:r w:rsidRPr="00F52FFA">
              <w:rPr>
                <w:rFonts w:eastAsia="Times New Roman"/>
              </w:rPr>
              <w:t>izmaiņas, salīdzinot ar kārtējo (201</w:t>
            </w:r>
            <w:r w:rsidR="009E7AA2" w:rsidRPr="00F52FFA">
              <w:rPr>
                <w:rFonts w:eastAsia="Times New Roman"/>
              </w:rPr>
              <w:t>7</w:t>
            </w:r>
            <w:r w:rsidRPr="00F52FFA">
              <w:rPr>
                <w:rFonts w:eastAsia="Times New Roman"/>
              </w:rPr>
              <w:t>) gadu</w:t>
            </w:r>
          </w:p>
        </w:tc>
        <w:tc>
          <w:tcPr>
            <w:tcW w:w="1359" w:type="dxa"/>
          </w:tcPr>
          <w:p w14:paraId="20979BF6" w14:textId="6748C61B" w:rsidR="00125DC1" w:rsidRPr="00F52FFA" w:rsidRDefault="00125DC1" w:rsidP="00125DC1">
            <w:pPr>
              <w:jc w:val="center"/>
            </w:pPr>
            <w:r w:rsidRPr="00F52FFA">
              <w:rPr>
                <w:rFonts w:eastAsia="Times New Roman"/>
              </w:rPr>
              <w:t>izmaiņas, salīdzinot ar kārtējo (201</w:t>
            </w:r>
            <w:r w:rsidR="009E7AA2" w:rsidRPr="00F52FFA">
              <w:rPr>
                <w:rFonts w:eastAsia="Times New Roman"/>
              </w:rPr>
              <w:t>7</w:t>
            </w:r>
            <w:r w:rsidRPr="00F52FFA">
              <w:rPr>
                <w:rFonts w:eastAsia="Times New Roman"/>
              </w:rPr>
              <w:t>) gadu</w:t>
            </w:r>
          </w:p>
        </w:tc>
      </w:tr>
      <w:tr w:rsidR="00125DC1" w:rsidRPr="00F52FFA" w14:paraId="182A5718" w14:textId="77777777" w:rsidTr="00987973">
        <w:tc>
          <w:tcPr>
            <w:tcW w:w="2252" w:type="dxa"/>
          </w:tcPr>
          <w:p w14:paraId="0553389E" w14:textId="77777777" w:rsidR="00125DC1" w:rsidRPr="00F52FFA" w:rsidRDefault="00125DC1" w:rsidP="00125DC1">
            <w:pPr>
              <w:jc w:val="center"/>
            </w:pPr>
            <w:r w:rsidRPr="00F52FFA">
              <w:t>1</w:t>
            </w:r>
          </w:p>
        </w:tc>
        <w:tc>
          <w:tcPr>
            <w:tcW w:w="1107" w:type="dxa"/>
          </w:tcPr>
          <w:p w14:paraId="64AFA9E3" w14:textId="77777777" w:rsidR="00125DC1" w:rsidRPr="00F52FFA" w:rsidRDefault="00125DC1" w:rsidP="00125DC1">
            <w:pPr>
              <w:jc w:val="center"/>
              <w:rPr>
                <w:rFonts w:eastAsia="Times New Roman"/>
              </w:rPr>
            </w:pPr>
            <w:r w:rsidRPr="00F52FFA">
              <w:rPr>
                <w:rFonts w:eastAsia="Times New Roman"/>
              </w:rPr>
              <w:t>2</w:t>
            </w:r>
          </w:p>
        </w:tc>
        <w:tc>
          <w:tcPr>
            <w:tcW w:w="2136" w:type="dxa"/>
          </w:tcPr>
          <w:p w14:paraId="421554EA" w14:textId="77777777" w:rsidR="00125DC1" w:rsidRPr="00F52FFA" w:rsidRDefault="00125DC1" w:rsidP="00125DC1">
            <w:pPr>
              <w:jc w:val="center"/>
              <w:rPr>
                <w:rFonts w:eastAsia="Times New Roman"/>
              </w:rPr>
            </w:pPr>
            <w:r w:rsidRPr="00F52FFA">
              <w:rPr>
                <w:rFonts w:eastAsia="Times New Roman"/>
              </w:rPr>
              <w:t>3</w:t>
            </w:r>
          </w:p>
        </w:tc>
        <w:tc>
          <w:tcPr>
            <w:tcW w:w="1390" w:type="dxa"/>
          </w:tcPr>
          <w:p w14:paraId="47675A9E" w14:textId="77777777" w:rsidR="00125DC1" w:rsidRPr="00F52FFA" w:rsidRDefault="00125DC1" w:rsidP="00125DC1">
            <w:pPr>
              <w:jc w:val="center"/>
              <w:rPr>
                <w:rFonts w:eastAsia="Times New Roman"/>
              </w:rPr>
            </w:pPr>
            <w:r w:rsidRPr="00F52FFA">
              <w:rPr>
                <w:rFonts w:eastAsia="Times New Roman"/>
              </w:rPr>
              <w:t>4</w:t>
            </w:r>
          </w:p>
        </w:tc>
        <w:tc>
          <w:tcPr>
            <w:tcW w:w="1390" w:type="dxa"/>
          </w:tcPr>
          <w:p w14:paraId="630C2F6C" w14:textId="77777777" w:rsidR="00125DC1" w:rsidRPr="00F52FFA" w:rsidRDefault="00125DC1" w:rsidP="00125DC1">
            <w:pPr>
              <w:jc w:val="center"/>
              <w:rPr>
                <w:rFonts w:eastAsia="Times New Roman"/>
              </w:rPr>
            </w:pPr>
            <w:r w:rsidRPr="00F52FFA">
              <w:rPr>
                <w:rFonts w:eastAsia="Times New Roman"/>
              </w:rPr>
              <w:t>5</w:t>
            </w:r>
          </w:p>
        </w:tc>
        <w:tc>
          <w:tcPr>
            <w:tcW w:w="1359" w:type="dxa"/>
          </w:tcPr>
          <w:p w14:paraId="65841BC6" w14:textId="77777777" w:rsidR="00125DC1" w:rsidRPr="00F52FFA" w:rsidRDefault="00125DC1" w:rsidP="00125DC1">
            <w:pPr>
              <w:jc w:val="center"/>
              <w:rPr>
                <w:rFonts w:eastAsia="Times New Roman"/>
              </w:rPr>
            </w:pPr>
            <w:r w:rsidRPr="00F52FFA">
              <w:rPr>
                <w:rFonts w:eastAsia="Times New Roman"/>
              </w:rPr>
              <w:t>6</w:t>
            </w:r>
          </w:p>
        </w:tc>
      </w:tr>
      <w:tr w:rsidR="00987973" w:rsidRPr="00F52FFA" w14:paraId="2A68D99E" w14:textId="77777777" w:rsidTr="0026140E">
        <w:tc>
          <w:tcPr>
            <w:tcW w:w="2252" w:type="dxa"/>
          </w:tcPr>
          <w:p w14:paraId="2B5BF73B" w14:textId="77777777" w:rsidR="00987973" w:rsidRPr="00F52FFA" w:rsidRDefault="00987973" w:rsidP="00987973">
            <w:r w:rsidRPr="00F52FFA">
              <w:rPr>
                <w:rFonts w:eastAsia="Times New Roman"/>
              </w:rPr>
              <w:t>1. Budžeta ieņēmumi:</w:t>
            </w:r>
          </w:p>
        </w:tc>
        <w:tc>
          <w:tcPr>
            <w:tcW w:w="1107" w:type="dxa"/>
          </w:tcPr>
          <w:p w14:paraId="02285F2A" w14:textId="7D65A58B" w:rsidR="00987973" w:rsidRPr="00F52FFA" w:rsidRDefault="00987973" w:rsidP="00987973">
            <w:pPr>
              <w:jc w:val="center"/>
              <w:rPr>
                <w:rFonts w:eastAsia="Times New Roman"/>
              </w:rPr>
            </w:pPr>
            <w:r>
              <w:rPr>
                <w:rFonts w:eastAsia="Times New Roman"/>
              </w:rPr>
              <w:t>0</w:t>
            </w:r>
          </w:p>
        </w:tc>
        <w:tc>
          <w:tcPr>
            <w:tcW w:w="2136" w:type="dxa"/>
            <w:vAlign w:val="center"/>
          </w:tcPr>
          <w:p w14:paraId="61D781BB" w14:textId="3F8CC8EC" w:rsidR="00987973" w:rsidRPr="00F52FFA" w:rsidRDefault="00987973" w:rsidP="00987973">
            <w:pPr>
              <w:jc w:val="center"/>
              <w:rPr>
                <w:rFonts w:eastAsia="Times New Roman"/>
              </w:rPr>
            </w:pPr>
            <w:r w:rsidRPr="00F52FFA">
              <w:rPr>
                <w:rFonts w:eastAsia="Times New Roman"/>
              </w:rPr>
              <w:t>2 131 470</w:t>
            </w:r>
          </w:p>
        </w:tc>
        <w:tc>
          <w:tcPr>
            <w:tcW w:w="1390" w:type="dxa"/>
            <w:vAlign w:val="center"/>
          </w:tcPr>
          <w:p w14:paraId="2398DAF9" w14:textId="1704D04A" w:rsidR="00987973" w:rsidRPr="00F52FFA" w:rsidRDefault="00987973" w:rsidP="00987973">
            <w:pPr>
              <w:jc w:val="center"/>
              <w:rPr>
                <w:rFonts w:eastAsia="Times New Roman"/>
              </w:rPr>
            </w:pPr>
            <w:r w:rsidRPr="00F52FFA">
              <w:rPr>
                <w:rFonts w:eastAsia="Times New Roman"/>
              </w:rPr>
              <w:t>6 375 000</w:t>
            </w:r>
          </w:p>
        </w:tc>
        <w:tc>
          <w:tcPr>
            <w:tcW w:w="1390" w:type="dxa"/>
            <w:vAlign w:val="center"/>
          </w:tcPr>
          <w:p w14:paraId="3A154C7D" w14:textId="2EB77675" w:rsidR="00987973" w:rsidRPr="00F52FFA" w:rsidRDefault="00987973" w:rsidP="00987973">
            <w:pPr>
              <w:jc w:val="center"/>
              <w:rPr>
                <w:rFonts w:eastAsia="Times New Roman"/>
              </w:rPr>
            </w:pPr>
            <w:r w:rsidRPr="00F52FFA">
              <w:rPr>
                <w:rFonts w:eastAsia="Times New Roman"/>
              </w:rPr>
              <w:t>6 375 000</w:t>
            </w:r>
          </w:p>
        </w:tc>
        <w:tc>
          <w:tcPr>
            <w:tcW w:w="1359" w:type="dxa"/>
            <w:vAlign w:val="center"/>
          </w:tcPr>
          <w:p w14:paraId="5E241C91" w14:textId="4F483C99" w:rsidR="00987973" w:rsidRPr="00F52FFA" w:rsidRDefault="00987973" w:rsidP="00987973">
            <w:pPr>
              <w:jc w:val="center"/>
              <w:rPr>
                <w:rFonts w:eastAsia="Times New Roman"/>
              </w:rPr>
            </w:pPr>
            <w:r w:rsidRPr="00F52FFA">
              <w:rPr>
                <w:rFonts w:eastAsia="Times New Roman"/>
              </w:rPr>
              <w:t>6 375 000</w:t>
            </w:r>
          </w:p>
        </w:tc>
      </w:tr>
      <w:tr w:rsidR="00987973" w:rsidRPr="00F52FFA" w14:paraId="35E79C14" w14:textId="77777777" w:rsidTr="0026140E">
        <w:tc>
          <w:tcPr>
            <w:tcW w:w="2252" w:type="dxa"/>
          </w:tcPr>
          <w:p w14:paraId="66ACD64E" w14:textId="6BEB39DA" w:rsidR="00987973" w:rsidRPr="00F52FFA" w:rsidRDefault="00987973" w:rsidP="00987973">
            <w:pPr>
              <w:rPr>
                <w:lang w:eastAsia="en-US"/>
              </w:rPr>
            </w:pPr>
            <w:r w:rsidRPr="0053008F">
              <w:rPr>
                <w:lang w:eastAsia="en-US"/>
              </w:rPr>
              <w:t xml:space="preserve">1.1. valsts pamatbudžets, tai skaitā ieņēmumi no maksas </w:t>
            </w:r>
            <w:r w:rsidRPr="0053008F">
              <w:rPr>
                <w:lang w:eastAsia="en-US"/>
              </w:rPr>
              <w:lastRenderedPageBreak/>
              <w:t>pakalpojumiem un citi pašu ieņēmumi</w:t>
            </w:r>
          </w:p>
        </w:tc>
        <w:tc>
          <w:tcPr>
            <w:tcW w:w="1107" w:type="dxa"/>
            <w:vAlign w:val="center"/>
          </w:tcPr>
          <w:p w14:paraId="0FA65212" w14:textId="31CDE91F" w:rsidR="00987973" w:rsidRPr="00F52FFA" w:rsidRDefault="00987973" w:rsidP="00987973">
            <w:pPr>
              <w:jc w:val="center"/>
              <w:rPr>
                <w:rFonts w:eastAsia="Times New Roman"/>
              </w:rPr>
            </w:pPr>
            <w:r w:rsidRPr="00F52FFA">
              <w:rPr>
                <w:rFonts w:eastAsia="Times New Roman"/>
              </w:rPr>
              <w:lastRenderedPageBreak/>
              <w:t>0</w:t>
            </w:r>
          </w:p>
        </w:tc>
        <w:tc>
          <w:tcPr>
            <w:tcW w:w="2136" w:type="dxa"/>
            <w:vAlign w:val="center"/>
          </w:tcPr>
          <w:p w14:paraId="7AA726F2" w14:textId="43751989" w:rsidR="00987973" w:rsidRPr="00F52FFA" w:rsidRDefault="00987973" w:rsidP="00987973">
            <w:pPr>
              <w:jc w:val="center"/>
              <w:rPr>
                <w:color w:val="000000"/>
              </w:rPr>
            </w:pPr>
            <w:r w:rsidRPr="00F52FFA">
              <w:rPr>
                <w:rFonts w:eastAsia="Times New Roman"/>
              </w:rPr>
              <w:t>2 131 470</w:t>
            </w:r>
          </w:p>
        </w:tc>
        <w:tc>
          <w:tcPr>
            <w:tcW w:w="1390" w:type="dxa"/>
            <w:vAlign w:val="center"/>
          </w:tcPr>
          <w:p w14:paraId="798E0AC5" w14:textId="7E617D59" w:rsidR="00987973" w:rsidRPr="00F52FFA" w:rsidRDefault="00987973" w:rsidP="00987973">
            <w:pPr>
              <w:jc w:val="center"/>
              <w:rPr>
                <w:rFonts w:eastAsia="Times New Roman"/>
              </w:rPr>
            </w:pPr>
            <w:r w:rsidRPr="00F52FFA">
              <w:rPr>
                <w:rFonts w:eastAsia="Times New Roman"/>
              </w:rPr>
              <w:t>6 375 000</w:t>
            </w:r>
          </w:p>
        </w:tc>
        <w:tc>
          <w:tcPr>
            <w:tcW w:w="1390" w:type="dxa"/>
            <w:vAlign w:val="center"/>
          </w:tcPr>
          <w:p w14:paraId="59402751" w14:textId="7D12C4B3" w:rsidR="00987973" w:rsidRPr="00F52FFA" w:rsidRDefault="00987973" w:rsidP="00987973">
            <w:pPr>
              <w:jc w:val="center"/>
              <w:rPr>
                <w:rFonts w:eastAsia="Times New Roman"/>
              </w:rPr>
            </w:pPr>
            <w:r w:rsidRPr="00F52FFA">
              <w:rPr>
                <w:rFonts w:eastAsia="Times New Roman"/>
              </w:rPr>
              <w:t>6 375 000</w:t>
            </w:r>
          </w:p>
        </w:tc>
        <w:tc>
          <w:tcPr>
            <w:tcW w:w="1359" w:type="dxa"/>
            <w:vAlign w:val="center"/>
          </w:tcPr>
          <w:p w14:paraId="0D314318" w14:textId="54111384" w:rsidR="00987973" w:rsidRPr="00F52FFA" w:rsidRDefault="00987973" w:rsidP="00987973">
            <w:pPr>
              <w:jc w:val="center"/>
              <w:rPr>
                <w:rFonts w:eastAsia="Times New Roman"/>
              </w:rPr>
            </w:pPr>
            <w:r w:rsidRPr="00F52FFA">
              <w:rPr>
                <w:rFonts w:eastAsia="Times New Roman"/>
              </w:rPr>
              <w:t>6 375 000</w:t>
            </w:r>
          </w:p>
        </w:tc>
      </w:tr>
      <w:tr w:rsidR="00987973" w:rsidRPr="00F52FFA" w14:paraId="730E8CE7" w14:textId="77777777" w:rsidTr="0026140E">
        <w:tc>
          <w:tcPr>
            <w:tcW w:w="2252" w:type="dxa"/>
          </w:tcPr>
          <w:p w14:paraId="115B7320" w14:textId="7849BFCC" w:rsidR="00987973" w:rsidRPr="00F52FFA" w:rsidRDefault="00987973" w:rsidP="00987973">
            <w:pPr>
              <w:rPr>
                <w:lang w:eastAsia="en-US"/>
              </w:rPr>
            </w:pPr>
            <w:r w:rsidRPr="0053008F">
              <w:rPr>
                <w:lang w:eastAsia="en-US"/>
              </w:rPr>
              <w:t>1.2. valsts speciālais budžets</w:t>
            </w:r>
          </w:p>
        </w:tc>
        <w:tc>
          <w:tcPr>
            <w:tcW w:w="1107" w:type="dxa"/>
            <w:vAlign w:val="center"/>
          </w:tcPr>
          <w:p w14:paraId="7C5C4D84" w14:textId="51995BD0" w:rsidR="00987973" w:rsidRPr="00F52FFA" w:rsidRDefault="00987973" w:rsidP="00987973">
            <w:pPr>
              <w:jc w:val="center"/>
              <w:rPr>
                <w:rFonts w:eastAsia="Times New Roman"/>
              </w:rPr>
            </w:pPr>
            <w:r>
              <w:rPr>
                <w:rFonts w:eastAsia="Times New Roman"/>
              </w:rPr>
              <w:t>0</w:t>
            </w:r>
          </w:p>
        </w:tc>
        <w:tc>
          <w:tcPr>
            <w:tcW w:w="2136" w:type="dxa"/>
            <w:vAlign w:val="center"/>
          </w:tcPr>
          <w:p w14:paraId="7C16B850" w14:textId="03642C62" w:rsidR="00987973" w:rsidRPr="00F52FFA" w:rsidRDefault="00987973" w:rsidP="00987973">
            <w:pPr>
              <w:jc w:val="center"/>
              <w:rPr>
                <w:color w:val="000000"/>
              </w:rPr>
            </w:pPr>
            <w:r>
              <w:rPr>
                <w:color w:val="000000"/>
              </w:rPr>
              <w:t>0</w:t>
            </w:r>
          </w:p>
        </w:tc>
        <w:tc>
          <w:tcPr>
            <w:tcW w:w="1390" w:type="dxa"/>
            <w:vAlign w:val="center"/>
          </w:tcPr>
          <w:p w14:paraId="0EA9BC8B" w14:textId="5AAB9DDD" w:rsidR="00987973" w:rsidRPr="00F52FFA" w:rsidRDefault="00987973" w:rsidP="00987973">
            <w:pPr>
              <w:jc w:val="center"/>
              <w:rPr>
                <w:rFonts w:eastAsia="Times New Roman"/>
              </w:rPr>
            </w:pPr>
            <w:r>
              <w:rPr>
                <w:rFonts w:eastAsia="Times New Roman"/>
              </w:rPr>
              <w:t>0</w:t>
            </w:r>
          </w:p>
        </w:tc>
        <w:tc>
          <w:tcPr>
            <w:tcW w:w="1390" w:type="dxa"/>
            <w:vAlign w:val="center"/>
          </w:tcPr>
          <w:p w14:paraId="20B2CE21" w14:textId="04D41E6D" w:rsidR="00987973" w:rsidRPr="00F52FFA" w:rsidRDefault="00987973" w:rsidP="00987973">
            <w:pPr>
              <w:jc w:val="center"/>
              <w:rPr>
                <w:rFonts w:eastAsia="Times New Roman"/>
              </w:rPr>
            </w:pPr>
            <w:r>
              <w:rPr>
                <w:rFonts w:eastAsia="Times New Roman"/>
              </w:rPr>
              <w:t>0</w:t>
            </w:r>
          </w:p>
        </w:tc>
        <w:tc>
          <w:tcPr>
            <w:tcW w:w="1359" w:type="dxa"/>
            <w:vAlign w:val="center"/>
          </w:tcPr>
          <w:p w14:paraId="069A9338" w14:textId="589FE7BB" w:rsidR="00987973" w:rsidRPr="00F52FFA" w:rsidRDefault="00987973" w:rsidP="00987973">
            <w:pPr>
              <w:jc w:val="center"/>
              <w:rPr>
                <w:rFonts w:eastAsia="Times New Roman"/>
              </w:rPr>
            </w:pPr>
            <w:r>
              <w:rPr>
                <w:rFonts w:eastAsia="Times New Roman"/>
              </w:rPr>
              <w:t>0</w:t>
            </w:r>
          </w:p>
        </w:tc>
      </w:tr>
      <w:tr w:rsidR="00987973" w:rsidRPr="00F52FFA" w14:paraId="7E92E5FC" w14:textId="77777777" w:rsidTr="0026140E">
        <w:tc>
          <w:tcPr>
            <w:tcW w:w="2252" w:type="dxa"/>
          </w:tcPr>
          <w:p w14:paraId="104077A7" w14:textId="309AE7D0" w:rsidR="00987973" w:rsidRPr="00F52FFA" w:rsidRDefault="00987973" w:rsidP="00987973">
            <w:pPr>
              <w:rPr>
                <w:lang w:eastAsia="en-US"/>
              </w:rPr>
            </w:pPr>
            <w:r w:rsidRPr="0053008F">
              <w:rPr>
                <w:lang w:eastAsia="en-US"/>
              </w:rPr>
              <w:t>1.3. pašvaldību budžets</w:t>
            </w:r>
          </w:p>
        </w:tc>
        <w:tc>
          <w:tcPr>
            <w:tcW w:w="1107" w:type="dxa"/>
            <w:vAlign w:val="center"/>
          </w:tcPr>
          <w:p w14:paraId="143AED5B" w14:textId="35075BB5" w:rsidR="00987973" w:rsidRPr="00F52FFA" w:rsidRDefault="00987973" w:rsidP="00987973">
            <w:pPr>
              <w:jc w:val="center"/>
              <w:rPr>
                <w:rFonts w:eastAsia="Times New Roman"/>
              </w:rPr>
            </w:pPr>
            <w:r>
              <w:rPr>
                <w:rFonts w:eastAsia="Times New Roman"/>
              </w:rPr>
              <w:t>0</w:t>
            </w:r>
          </w:p>
        </w:tc>
        <w:tc>
          <w:tcPr>
            <w:tcW w:w="2136" w:type="dxa"/>
            <w:vAlign w:val="center"/>
          </w:tcPr>
          <w:p w14:paraId="33B06B90" w14:textId="7655F9C1" w:rsidR="00987973" w:rsidRPr="00F52FFA" w:rsidRDefault="00987973" w:rsidP="00987973">
            <w:pPr>
              <w:jc w:val="center"/>
              <w:rPr>
                <w:color w:val="000000"/>
              </w:rPr>
            </w:pPr>
            <w:r>
              <w:rPr>
                <w:color w:val="000000"/>
              </w:rPr>
              <w:t>0</w:t>
            </w:r>
          </w:p>
        </w:tc>
        <w:tc>
          <w:tcPr>
            <w:tcW w:w="1390" w:type="dxa"/>
            <w:vAlign w:val="center"/>
          </w:tcPr>
          <w:p w14:paraId="121B534C" w14:textId="5B5B5A7F" w:rsidR="00987973" w:rsidRPr="00F52FFA" w:rsidRDefault="00987973" w:rsidP="00987973">
            <w:pPr>
              <w:jc w:val="center"/>
              <w:rPr>
                <w:rFonts w:eastAsia="Times New Roman"/>
              </w:rPr>
            </w:pPr>
            <w:r>
              <w:rPr>
                <w:rFonts w:eastAsia="Times New Roman"/>
              </w:rPr>
              <w:t>0</w:t>
            </w:r>
          </w:p>
        </w:tc>
        <w:tc>
          <w:tcPr>
            <w:tcW w:w="1390" w:type="dxa"/>
            <w:vAlign w:val="center"/>
          </w:tcPr>
          <w:p w14:paraId="3D57583C" w14:textId="0620C083" w:rsidR="00987973" w:rsidRPr="00F52FFA" w:rsidRDefault="00987973" w:rsidP="00987973">
            <w:pPr>
              <w:jc w:val="center"/>
              <w:rPr>
                <w:rFonts w:eastAsia="Times New Roman"/>
              </w:rPr>
            </w:pPr>
            <w:r>
              <w:rPr>
                <w:rFonts w:eastAsia="Times New Roman"/>
              </w:rPr>
              <w:t>0</w:t>
            </w:r>
          </w:p>
        </w:tc>
        <w:tc>
          <w:tcPr>
            <w:tcW w:w="1359" w:type="dxa"/>
            <w:vAlign w:val="center"/>
          </w:tcPr>
          <w:p w14:paraId="5AE0D687" w14:textId="0989CA40" w:rsidR="00987973" w:rsidRPr="00F52FFA" w:rsidRDefault="00987973" w:rsidP="00987973">
            <w:pPr>
              <w:jc w:val="center"/>
              <w:rPr>
                <w:rFonts w:eastAsia="Times New Roman"/>
              </w:rPr>
            </w:pPr>
            <w:r>
              <w:rPr>
                <w:rFonts w:eastAsia="Times New Roman"/>
              </w:rPr>
              <w:t>0</w:t>
            </w:r>
          </w:p>
        </w:tc>
      </w:tr>
      <w:tr w:rsidR="00987973" w:rsidRPr="00F52FFA" w14:paraId="4AC04DAD" w14:textId="77777777" w:rsidTr="0026140E">
        <w:tc>
          <w:tcPr>
            <w:tcW w:w="2252" w:type="dxa"/>
          </w:tcPr>
          <w:p w14:paraId="13714E4E" w14:textId="77777777" w:rsidR="00987973" w:rsidRPr="00F52FFA" w:rsidRDefault="00987973" w:rsidP="00987973">
            <w:pPr>
              <w:rPr>
                <w:lang w:eastAsia="en-US"/>
              </w:rPr>
            </w:pPr>
            <w:r w:rsidRPr="00F52FFA">
              <w:rPr>
                <w:lang w:eastAsia="en-US"/>
              </w:rPr>
              <w:t>2. Budžeta izdevumi:</w:t>
            </w:r>
          </w:p>
        </w:tc>
        <w:tc>
          <w:tcPr>
            <w:tcW w:w="1107" w:type="dxa"/>
            <w:vAlign w:val="center"/>
          </w:tcPr>
          <w:p w14:paraId="7CD5B9E2" w14:textId="2149881C" w:rsidR="00987973" w:rsidRPr="00F52FFA" w:rsidRDefault="00987973" w:rsidP="00987973">
            <w:pPr>
              <w:jc w:val="center"/>
              <w:rPr>
                <w:rFonts w:eastAsia="Times New Roman"/>
              </w:rPr>
            </w:pPr>
            <w:r>
              <w:rPr>
                <w:rFonts w:eastAsia="Times New Roman"/>
              </w:rPr>
              <w:t>0</w:t>
            </w:r>
          </w:p>
        </w:tc>
        <w:tc>
          <w:tcPr>
            <w:tcW w:w="2136" w:type="dxa"/>
            <w:vAlign w:val="center"/>
          </w:tcPr>
          <w:p w14:paraId="2E49121B" w14:textId="1CF75B70" w:rsidR="00987973" w:rsidRPr="00F52FFA" w:rsidRDefault="00987973" w:rsidP="00987973">
            <w:pPr>
              <w:jc w:val="center"/>
              <w:rPr>
                <w:rFonts w:eastAsia="Times New Roman"/>
                <w:color w:val="000000"/>
              </w:rPr>
            </w:pPr>
            <w:r w:rsidRPr="00F52FFA">
              <w:rPr>
                <w:color w:val="000000"/>
              </w:rPr>
              <w:t>2 507 612</w:t>
            </w:r>
          </w:p>
        </w:tc>
        <w:tc>
          <w:tcPr>
            <w:tcW w:w="1390" w:type="dxa"/>
            <w:vAlign w:val="center"/>
          </w:tcPr>
          <w:p w14:paraId="44486B27" w14:textId="587B932E" w:rsidR="00987973" w:rsidRPr="00F52FFA" w:rsidRDefault="00987973" w:rsidP="00987973">
            <w:pPr>
              <w:jc w:val="center"/>
              <w:rPr>
                <w:rFonts w:eastAsia="Times New Roman"/>
              </w:rPr>
            </w:pPr>
            <w:r w:rsidRPr="00F52FFA">
              <w:rPr>
                <w:rFonts w:eastAsia="Times New Roman"/>
              </w:rPr>
              <w:t>7 500 000</w:t>
            </w:r>
          </w:p>
        </w:tc>
        <w:tc>
          <w:tcPr>
            <w:tcW w:w="1390" w:type="dxa"/>
            <w:vAlign w:val="center"/>
          </w:tcPr>
          <w:p w14:paraId="29438CBD" w14:textId="17CA2E18" w:rsidR="00987973" w:rsidRPr="00F52FFA" w:rsidRDefault="00987973" w:rsidP="00987973">
            <w:pPr>
              <w:jc w:val="center"/>
              <w:rPr>
                <w:rFonts w:eastAsia="Times New Roman"/>
              </w:rPr>
            </w:pPr>
            <w:r w:rsidRPr="00F52FFA">
              <w:rPr>
                <w:rFonts w:eastAsia="Times New Roman"/>
              </w:rPr>
              <w:t>7 500 000</w:t>
            </w:r>
          </w:p>
        </w:tc>
        <w:tc>
          <w:tcPr>
            <w:tcW w:w="1359" w:type="dxa"/>
            <w:vAlign w:val="center"/>
          </w:tcPr>
          <w:p w14:paraId="1F7AF2C6" w14:textId="42571527" w:rsidR="00987973" w:rsidRPr="00F52FFA" w:rsidRDefault="00987973" w:rsidP="00987973">
            <w:pPr>
              <w:jc w:val="center"/>
              <w:rPr>
                <w:rFonts w:eastAsia="Times New Roman"/>
              </w:rPr>
            </w:pPr>
            <w:r w:rsidRPr="00F52FFA">
              <w:rPr>
                <w:rFonts w:eastAsia="Times New Roman"/>
              </w:rPr>
              <w:t>7 500 000</w:t>
            </w:r>
          </w:p>
        </w:tc>
      </w:tr>
      <w:tr w:rsidR="00987973" w:rsidRPr="00F52FFA" w14:paraId="3F4ACF1D" w14:textId="77777777" w:rsidTr="0026140E">
        <w:tc>
          <w:tcPr>
            <w:tcW w:w="2252" w:type="dxa"/>
          </w:tcPr>
          <w:p w14:paraId="3B12BA3E" w14:textId="28C47E8C" w:rsidR="00987973" w:rsidRPr="00F52FFA" w:rsidRDefault="00987973" w:rsidP="00987973">
            <w:pPr>
              <w:rPr>
                <w:lang w:eastAsia="en-US"/>
              </w:rPr>
            </w:pPr>
            <w:r>
              <w:rPr>
                <w:lang w:eastAsia="en-US"/>
              </w:rPr>
              <w:t>2.1. valsts pamatbudžets</w:t>
            </w:r>
          </w:p>
        </w:tc>
        <w:tc>
          <w:tcPr>
            <w:tcW w:w="1107" w:type="dxa"/>
            <w:vAlign w:val="center"/>
          </w:tcPr>
          <w:p w14:paraId="587FBB28" w14:textId="3E2072AC" w:rsidR="00987973" w:rsidRPr="00F52FFA" w:rsidRDefault="00987973" w:rsidP="00987973">
            <w:pPr>
              <w:jc w:val="center"/>
              <w:rPr>
                <w:rFonts w:eastAsia="Times New Roman"/>
              </w:rPr>
            </w:pPr>
            <w:r w:rsidRPr="00F52FFA">
              <w:rPr>
                <w:rFonts w:eastAsia="Times New Roman"/>
              </w:rPr>
              <w:t>0</w:t>
            </w:r>
          </w:p>
        </w:tc>
        <w:tc>
          <w:tcPr>
            <w:tcW w:w="2136" w:type="dxa"/>
            <w:vAlign w:val="center"/>
          </w:tcPr>
          <w:p w14:paraId="373BD72E" w14:textId="7DDC0826" w:rsidR="00987973" w:rsidRPr="00F52FFA" w:rsidRDefault="00987973" w:rsidP="00987973">
            <w:pPr>
              <w:jc w:val="center"/>
              <w:rPr>
                <w:rFonts w:eastAsia="Times New Roman"/>
              </w:rPr>
            </w:pPr>
            <w:r w:rsidRPr="00F52FFA">
              <w:rPr>
                <w:color w:val="000000"/>
              </w:rPr>
              <w:t>2 507 612</w:t>
            </w:r>
          </w:p>
        </w:tc>
        <w:tc>
          <w:tcPr>
            <w:tcW w:w="1390" w:type="dxa"/>
            <w:vAlign w:val="center"/>
          </w:tcPr>
          <w:p w14:paraId="0DBADDE6" w14:textId="7D318792" w:rsidR="00987973" w:rsidRPr="00F52FFA" w:rsidRDefault="00987973" w:rsidP="00987973">
            <w:pPr>
              <w:jc w:val="center"/>
              <w:rPr>
                <w:rFonts w:eastAsia="Times New Roman"/>
              </w:rPr>
            </w:pPr>
            <w:r w:rsidRPr="00F52FFA">
              <w:rPr>
                <w:rFonts w:eastAsia="Times New Roman"/>
              </w:rPr>
              <w:t>7 500 000</w:t>
            </w:r>
          </w:p>
        </w:tc>
        <w:tc>
          <w:tcPr>
            <w:tcW w:w="1390" w:type="dxa"/>
            <w:vAlign w:val="center"/>
          </w:tcPr>
          <w:p w14:paraId="54DF8065" w14:textId="702AF049" w:rsidR="00987973" w:rsidRPr="00F52FFA" w:rsidRDefault="00987973" w:rsidP="00987973">
            <w:pPr>
              <w:jc w:val="center"/>
              <w:rPr>
                <w:rFonts w:eastAsia="Times New Roman"/>
              </w:rPr>
            </w:pPr>
            <w:r w:rsidRPr="00F52FFA">
              <w:rPr>
                <w:rFonts w:eastAsia="Times New Roman"/>
              </w:rPr>
              <w:t>7 500 000</w:t>
            </w:r>
          </w:p>
        </w:tc>
        <w:tc>
          <w:tcPr>
            <w:tcW w:w="1359" w:type="dxa"/>
            <w:vAlign w:val="center"/>
          </w:tcPr>
          <w:p w14:paraId="1D4D733E" w14:textId="3A51114A" w:rsidR="00987973" w:rsidRPr="00F52FFA" w:rsidRDefault="00987973" w:rsidP="00987973">
            <w:pPr>
              <w:jc w:val="center"/>
              <w:rPr>
                <w:rFonts w:eastAsia="Times New Roman"/>
              </w:rPr>
            </w:pPr>
            <w:r w:rsidRPr="00F52FFA">
              <w:rPr>
                <w:rFonts w:eastAsia="Times New Roman"/>
              </w:rPr>
              <w:t>7 500 000</w:t>
            </w:r>
          </w:p>
        </w:tc>
      </w:tr>
      <w:tr w:rsidR="00987973" w:rsidRPr="00F52FFA" w14:paraId="33219291" w14:textId="77777777" w:rsidTr="0026140E">
        <w:tc>
          <w:tcPr>
            <w:tcW w:w="2252" w:type="dxa"/>
          </w:tcPr>
          <w:p w14:paraId="33F87137" w14:textId="0EC9B2A3" w:rsidR="00987973" w:rsidRPr="00F52FFA" w:rsidRDefault="00987973" w:rsidP="00987973">
            <w:pPr>
              <w:rPr>
                <w:lang w:eastAsia="en-US"/>
              </w:rPr>
            </w:pPr>
            <w:r>
              <w:rPr>
                <w:lang w:eastAsia="en-US"/>
              </w:rPr>
              <w:t>2</w:t>
            </w:r>
            <w:r w:rsidRPr="0053008F">
              <w:rPr>
                <w:lang w:eastAsia="en-US"/>
              </w:rPr>
              <w:t>.2. valsts speciālais budžets</w:t>
            </w:r>
          </w:p>
        </w:tc>
        <w:tc>
          <w:tcPr>
            <w:tcW w:w="1107" w:type="dxa"/>
            <w:vAlign w:val="center"/>
          </w:tcPr>
          <w:p w14:paraId="5D1C111D" w14:textId="785862B4" w:rsidR="00987973" w:rsidRPr="00F52FFA" w:rsidRDefault="00987973" w:rsidP="00987973">
            <w:pPr>
              <w:jc w:val="center"/>
              <w:rPr>
                <w:rFonts w:eastAsia="Times New Roman"/>
              </w:rPr>
            </w:pPr>
            <w:r>
              <w:rPr>
                <w:rFonts w:eastAsia="Times New Roman"/>
              </w:rPr>
              <w:t>0</w:t>
            </w:r>
          </w:p>
        </w:tc>
        <w:tc>
          <w:tcPr>
            <w:tcW w:w="2136" w:type="dxa"/>
            <w:vAlign w:val="center"/>
          </w:tcPr>
          <w:p w14:paraId="18C95FFA" w14:textId="71CF9696" w:rsidR="00987973" w:rsidRPr="00F52FFA" w:rsidRDefault="00987973" w:rsidP="00987973">
            <w:pPr>
              <w:jc w:val="center"/>
              <w:rPr>
                <w:rFonts w:eastAsia="Times New Roman"/>
              </w:rPr>
            </w:pPr>
            <w:r>
              <w:rPr>
                <w:color w:val="000000"/>
              </w:rPr>
              <w:t>0</w:t>
            </w:r>
          </w:p>
        </w:tc>
        <w:tc>
          <w:tcPr>
            <w:tcW w:w="1390" w:type="dxa"/>
            <w:vAlign w:val="center"/>
          </w:tcPr>
          <w:p w14:paraId="0073B684" w14:textId="43D0FACB" w:rsidR="00987973" w:rsidRPr="00F52FFA" w:rsidRDefault="00987973" w:rsidP="00987973">
            <w:pPr>
              <w:jc w:val="center"/>
              <w:rPr>
                <w:rFonts w:eastAsia="Times New Roman"/>
              </w:rPr>
            </w:pPr>
            <w:r>
              <w:rPr>
                <w:rFonts w:eastAsia="Times New Roman"/>
              </w:rPr>
              <w:t>0</w:t>
            </w:r>
          </w:p>
        </w:tc>
        <w:tc>
          <w:tcPr>
            <w:tcW w:w="1390" w:type="dxa"/>
            <w:vAlign w:val="center"/>
          </w:tcPr>
          <w:p w14:paraId="722D9E5F" w14:textId="433212CA" w:rsidR="00987973" w:rsidRPr="00F52FFA" w:rsidRDefault="00987973" w:rsidP="00987973">
            <w:pPr>
              <w:jc w:val="center"/>
              <w:rPr>
                <w:rFonts w:eastAsia="Times New Roman"/>
              </w:rPr>
            </w:pPr>
            <w:r>
              <w:rPr>
                <w:rFonts w:eastAsia="Times New Roman"/>
              </w:rPr>
              <w:t>0</w:t>
            </w:r>
          </w:p>
        </w:tc>
        <w:tc>
          <w:tcPr>
            <w:tcW w:w="1359" w:type="dxa"/>
            <w:vAlign w:val="center"/>
          </w:tcPr>
          <w:p w14:paraId="5B219A19" w14:textId="7307AF70" w:rsidR="00987973" w:rsidRPr="00F52FFA" w:rsidRDefault="00987973" w:rsidP="00987973">
            <w:pPr>
              <w:jc w:val="center"/>
              <w:rPr>
                <w:rFonts w:eastAsia="Times New Roman"/>
              </w:rPr>
            </w:pPr>
            <w:r>
              <w:rPr>
                <w:rFonts w:eastAsia="Times New Roman"/>
              </w:rPr>
              <w:t>0</w:t>
            </w:r>
          </w:p>
        </w:tc>
      </w:tr>
      <w:tr w:rsidR="00987973" w:rsidRPr="00F52FFA" w14:paraId="04B03718" w14:textId="77777777" w:rsidTr="0026140E">
        <w:tc>
          <w:tcPr>
            <w:tcW w:w="2252" w:type="dxa"/>
          </w:tcPr>
          <w:p w14:paraId="2A008437" w14:textId="4E446D4C" w:rsidR="00987973" w:rsidRPr="00F52FFA" w:rsidRDefault="00987973" w:rsidP="00987973">
            <w:pPr>
              <w:rPr>
                <w:lang w:eastAsia="en-US"/>
              </w:rPr>
            </w:pPr>
            <w:r>
              <w:rPr>
                <w:lang w:eastAsia="en-US"/>
              </w:rPr>
              <w:t>2</w:t>
            </w:r>
            <w:r w:rsidRPr="0053008F">
              <w:rPr>
                <w:lang w:eastAsia="en-US"/>
              </w:rPr>
              <w:t>.3. pašvaldību budžets</w:t>
            </w:r>
          </w:p>
        </w:tc>
        <w:tc>
          <w:tcPr>
            <w:tcW w:w="1107" w:type="dxa"/>
            <w:vAlign w:val="center"/>
          </w:tcPr>
          <w:p w14:paraId="70DD0D04" w14:textId="08E256A6" w:rsidR="00987973" w:rsidRPr="00F52FFA" w:rsidRDefault="00987973" w:rsidP="00987973">
            <w:pPr>
              <w:jc w:val="center"/>
              <w:rPr>
                <w:rFonts w:eastAsia="Times New Roman"/>
              </w:rPr>
            </w:pPr>
            <w:r>
              <w:rPr>
                <w:rFonts w:eastAsia="Times New Roman"/>
              </w:rPr>
              <w:t>0</w:t>
            </w:r>
          </w:p>
        </w:tc>
        <w:tc>
          <w:tcPr>
            <w:tcW w:w="2136" w:type="dxa"/>
            <w:vAlign w:val="center"/>
          </w:tcPr>
          <w:p w14:paraId="6B4946E4" w14:textId="6E22D4A0" w:rsidR="00987973" w:rsidRPr="00F52FFA" w:rsidRDefault="00987973" w:rsidP="00987973">
            <w:pPr>
              <w:jc w:val="center"/>
              <w:rPr>
                <w:rFonts w:eastAsia="Times New Roman"/>
              </w:rPr>
            </w:pPr>
            <w:r>
              <w:rPr>
                <w:color w:val="000000"/>
              </w:rPr>
              <w:t>0</w:t>
            </w:r>
          </w:p>
        </w:tc>
        <w:tc>
          <w:tcPr>
            <w:tcW w:w="1390" w:type="dxa"/>
            <w:vAlign w:val="center"/>
          </w:tcPr>
          <w:p w14:paraId="75317D27" w14:textId="4943F26A" w:rsidR="00987973" w:rsidRPr="00F52FFA" w:rsidRDefault="00987973" w:rsidP="00987973">
            <w:pPr>
              <w:jc w:val="center"/>
              <w:rPr>
                <w:rFonts w:eastAsia="Times New Roman"/>
              </w:rPr>
            </w:pPr>
            <w:r>
              <w:rPr>
                <w:rFonts w:eastAsia="Times New Roman"/>
              </w:rPr>
              <w:t>0</w:t>
            </w:r>
          </w:p>
        </w:tc>
        <w:tc>
          <w:tcPr>
            <w:tcW w:w="1390" w:type="dxa"/>
            <w:vAlign w:val="center"/>
          </w:tcPr>
          <w:p w14:paraId="069B49C4" w14:textId="4EB7A2C0" w:rsidR="00987973" w:rsidRPr="00F52FFA" w:rsidRDefault="00987973" w:rsidP="00987973">
            <w:pPr>
              <w:jc w:val="center"/>
              <w:rPr>
                <w:rFonts w:eastAsia="Times New Roman"/>
              </w:rPr>
            </w:pPr>
            <w:r>
              <w:rPr>
                <w:rFonts w:eastAsia="Times New Roman"/>
              </w:rPr>
              <w:t>0</w:t>
            </w:r>
          </w:p>
        </w:tc>
        <w:tc>
          <w:tcPr>
            <w:tcW w:w="1359" w:type="dxa"/>
            <w:vAlign w:val="center"/>
          </w:tcPr>
          <w:p w14:paraId="0E699CC7" w14:textId="75EB7C35" w:rsidR="00987973" w:rsidRPr="00F52FFA" w:rsidRDefault="00987973" w:rsidP="00987973">
            <w:pPr>
              <w:jc w:val="center"/>
              <w:rPr>
                <w:rFonts w:eastAsia="Times New Roman"/>
              </w:rPr>
            </w:pPr>
            <w:r>
              <w:rPr>
                <w:rFonts w:eastAsia="Times New Roman"/>
              </w:rPr>
              <w:t>0</w:t>
            </w:r>
          </w:p>
        </w:tc>
      </w:tr>
      <w:tr w:rsidR="00987973" w:rsidRPr="00F52FFA" w14:paraId="64DACB8D" w14:textId="77777777" w:rsidTr="0026140E">
        <w:tc>
          <w:tcPr>
            <w:tcW w:w="2252" w:type="dxa"/>
          </w:tcPr>
          <w:p w14:paraId="4E70C515" w14:textId="77777777" w:rsidR="00987973" w:rsidRPr="00F52FFA" w:rsidRDefault="00987973" w:rsidP="00987973">
            <w:pPr>
              <w:rPr>
                <w:lang w:eastAsia="en-US"/>
              </w:rPr>
            </w:pPr>
            <w:r w:rsidRPr="00F52FFA">
              <w:rPr>
                <w:lang w:eastAsia="en-US"/>
              </w:rPr>
              <w:t>3. Finansiālā ietekme:</w:t>
            </w:r>
          </w:p>
        </w:tc>
        <w:tc>
          <w:tcPr>
            <w:tcW w:w="1107" w:type="dxa"/>
            <w:vAlign w:val="center"/>
          </w:tcPr>
          <w:p w14:paraId="57458B4C" w14:textId="21D3491E" w:rsidR="00987973" w:rsidRPr="00F52FFA" w:rsidRDefault="00987973" w:rsidP="00987973">
            <w:pPr>
              <w:jc w:val="center"/>
              <w:rPr>
                <w:rFonts w:eastAsia="Times New Roman"/>
              </w:rPr>
            </w:pPr>
            <w:r w:rsidRPr="00F52FFA">
              <w:rPr>
                <w:rFonts w:eastAsia="Times New Roman"/>
              </w:rPr>
              <w:t>0</w:t>
            </w:r>
          </w:p>
        </w:tc>
        <w:tc>
          <w:tcPr>
            <w:tcW w:w="2136" w:type="dxa"/>
            <w:vAlign w:val="center"/>
          </w:tcPr>
          <w:p w14:paraId="21FDC631" w14:textId="41A8D678" w:rsidR="00987973" w:rsidRPr="00F52FFA" w:rsidRDefault="00987973" w:rsidP="00987973">
            <w:pPr>
              <w:jc w:val="center"/>
              <w:rPr>
                <w:rFonts w:eastAsia="Times New Roman"/>
              </w:rPr>
            </w:pPr>
            <w:r w:rsidRPr="00F52FFA">
              <w:rPr>
                <w:rFonts w:eastAsia="Times New Roman"/>
              </w:rPr>
              <w:t xml:space="preserve">-376 142 </w:t>
            </w:r>
          </w:p>
        </w:tc>
        <w:tc>
          <w:tcPr>
            <w:tcW w:w="1390" w:type="dxa"/>
            <w:vAlign w:val="center"/>
          </w:tcPr>
          <w:p w14:paraId="1FA908A4" w14:textId="053899E1" w:rsidR="00987973" w:rsidRPr="00F52FFA" w:rsidRDefault="00987973" w:rsidP="00987973">
            <w:pPr>
              <w:jc w:val="center"/>
              <w:rPr>
                <w:rFonts w:eastAsia="Times New Roman"/>
              </w:rPr>
            </w:pPr>
            <w:r w:rsidRPr="00F52FFA">
              <w:rPr>
                <w:rFonts w:eastAsia="Times New Roman"/>
              </w:rPr>
              <w:t>-1 125 000</w:t>
            </w:r>
          </w:p>
        </w:tc>
        <w:tc>
          <w:tcPr>
            <w:tcW w:w="1390" w:type="dxa"/>
            <w:vAlign w:val="center"/>
          </w:tcPr>
          <w:p w14:paraId="32BD2FF4" w14:textId="67740FDF" w:rsidR="00987973" w:rsidRPr="00F52FFA" w:rsidRDefault="00987973" w:rsidP="00987973">
            <w:pPr>
              <w:jc w:val="center"/>
              <w:rPr>
                <w:rFonts w:eastAsia="Times New Roman"/>
              </w:rPr>
            </w:pPr>
            <w:r w:rsidRPr="00F52FFA">
              <w:rPr>
                <w:rFonts w:eastAsia="Times New Roman"/>
              </w:rPr>
              <w:t>-1 125 000</w:t>
            </w:r>
          </w:p>
        </w:tc>
        <w:tc>
          <w:tcPr>
            <w:tcW w:w="1359" w:type="dxa"/>
            <w:vAlign w:val="center"/>
          </w:tcPr>
          <w:p w14:paraId="1EE57C35" w14:textId="6E3EAF0D" w:rsidR="00987973" w:rsidRPr="00F52FFA" w:rsidRDefault="00987973" w:rsidP="00987973">
            <w:pPr>
              <w:jc w:val="center"/>
              <w:rPr>
                <w:rFonts w:eastAsia="Times New Roman"/>
              </w:rPr>
            </w:pPr>
            <w:r w:rsidRPr="00F52FFA">
              <w:rPr>
                <w:rFonts w:eastAsia="Times New Roman"/>
              </w:rPr>
              <w:t>-1</w:t>
            </w:r>
            <w:r w:rsidRPr="00F52FFA">
              <w:t> 125</w:t>
            </w:r>
            <w:r w:rsidRPr="00F52FFA">
              <w:rPr>
                <w:rFonts w:eastAsia="Times New Roman"/>
              </w:rPr>
              <w:t xml:space="preserve"> 000</w:t>
            </w:r>
          </w:p>
        </w:tc>
      </w:tr>
      <w:tr w:rsidR="00987973" w:rsidRPr="00F52FFA" w14:paraId="657F1580" w14:textId="77777777" w:rsidTr="0026140E">
        <w:tc>
          <w:tcPr>
            <w:tcW w:w="2252" w:type="dxa"/>
          </w:tcPr>
          <w:p w14:paraId="5C99031B" w14:textId="2FAE14A4" w:rsidR="00987973" w:rsidRPr="00F52FFA" w:rsidRDefault="00987973" w:rsidP="00987973">
            <w:pPr>
              <w:rPr>
                <w:lang w:eastAsia="en-US"/>
              </w:rPr>
            </w:pPr>
            <w:r>
              <w:rPr>
                <w:lang w:eastAsia="en-US"/>
              </w:rPr>
              <w:t>3</w:t>
            </w:r>
            <w:r w:rsidRPr="0053008F">
              <w:rPr>
                <w:lang w:eastAsia="en-US"/>
              </w:rPr>
              <w:t>.1. valsts pamatbudžets</w:t>
            </w:r>
          </w:p>
        </w:tc>
        <w:tc>
          <w:tcPr>
            <w:tcW w:w="1107" w:type="dxa"/>
            <w:vAlign w:val="center"/>
          </w:tcPr>
          <w:p w14:paraId="751904F6" w14:textId="749C67A1" w:rsidR="00987973" w:rsidRPr="00F52FFA" w:rsidRDefault="00987973" w:rsidP="00987973">
            <w:pPr>
              <w:jc w:val="center"/>
              <w:rPr>
                <w:rFonts w:eastAsia="Times New Roman"/>
              </w:rPr>
            </w:pPr>
            <w:r w:rsidRPr="00F52FFA">
              <w:rPr>
                <w:rFonts w:eastAsia="Times New Roman"/>
              </w:rPr>
              <w:t>0</w:t>
            </w:r>
          </w:p>
        </w:tc>
        <w:tc>
          <w:tcPr>
            <w:tcW w:w="2136" w:type="dxa"/>
            <w:vAlign w:val="center"/>
          </w:tcPr>
          <w:p w14:paraId="5BE04F9F" w14:textId="2F4083AD" w:rsidR="00987973" w:rsidRPr="00F52FFA" w:rsidRDefault="00987973" w:rsidP="00987973">
            <w:pPr>
              <w:jc w:val="center"/>
              <w:rPr>
                <w:rFonts w:eastAsia="Times New Roman"/>
              </w:rPr>
            </w:pPr>
            <w:r w:rsidRPr="00F52FFA">
              <w:rPr>
                <w:rFonts w:eastAsia="Times New Roman"/>
              </w:rPr>
              <w:t xml:space="preserve">-376 142 </w:t>
            </w:r>
          </w:p>
        </w:tc>
        <w:tc>
          <w:tcPr>
            <w:tcW w:w="1390" w:type="dxa"/>
            <w:vAlign w:val="center"/>
          </w:tcPr>
          <w:p w14:paraId="475B6326" w14:textId="590844CF" w:rsidR="00987973" w:rsidRPr="00F52FFA" w:rsidRDefault="00987973" w:rsidP="00987973">
            <w:pPr>
              <w:jc w:val="center"/>
              <w:rPr>
                <w:rFonts w:eastAsia="Times New Roman"/>
              </w:rPr>
            </w:pPr>
            <w:r w:rsidRPr="00F52FFA">
              <w:rPr>
                <w:rFonts w:eastAsia="Times New Roman"/>
              </w:rPr>
              <w:t>-1 125 000</w:t>
            </w:r>
          </w:p>
        </w:tc>
        <w:tc>
          <w:tcPr>
            <w:tcW w:w="1390" w:type="dxa"/>
            <w:vAlign w:val="center"/>
          </w:tcPr>
          <w:p w14:paraId="17F78139" w14:textId="2D44A58C" w:rsidR="00987973" w:rsidRPr="00F52FFA" w:rsidRDefault="00987973" w:rsidP="00987973">
            <w:pPr>
              <w:jc w:val="center"/>
              <w:rPr>
                <w:rFonts w:eastAsia="Times New Roman"/>
              </w:rPr>
            </w:pPr>
            <w:r w:rsidRPr="00F52FFA">
              <w:rPr>
                <w:rFonts w:eastAsia="Times New Roman"/>
              </w:rPr>
              <w:t>-1 125 000</w:t>
            </w:r>
          </w:p>
        </w:tc>
        <w:tc>
          <w:tcPr>
            <w:tcW w:w="1359" w:type="dxa"/>
            <w:vAlign w:val="center"/>
          </w:tcPr>
          <w:p w14:paraId="0D252813" w14:textId="3D8FB85D" w:rsidR="00987973" w:rsidRPr="00F52FFA" w:rsidRDefault="00987973" w:rsidP="00987973">
            <w:pPr>
              <w:jc w:val="center"/>
              <w:rPr>
                <w:rFonts w:eastAsia="Times New Roman"/>
              </w:rPr>
            </w:pPr>
            <w:r w:rsidRPr="00F52FFA">
              <w:rPr>
                <w:rFonts w:eastAsia="Times New Roman"/>
              </w:rPr>
              <w:t>-1</w:t>
            </w:r>
            <w:r w:rsidRPr="00F52FFA">
              <w:t> 125</w:t>
            </w:r>
            <w:r w:rsidRPr="00F52FFA">
              <w:rPr>
                <w:rFonts w:eastAsia="Times New Roman"/>
              </w:rPr>
              <w:t xml:space="preserve"> 000</w:t>
            </w:r>
          </w:p>
        </w:tc>
      </w:tr>
      <w:tr w:rsidR="00987973" w:rsidRPr="00F52FFA" w14:paraId="0411EA37" w14:textId="77777777" w:rsidTr="0026140E">
        <w:tc>
          <w:tcPr>
            <w:tcW w:w="2252" w:type="dxa"/>
          </w:tcPr>
          <w:p w14:paraId="5768BCF8" w14:textId="4765CCB5" w:rsidR="00987973" w:rsidRPr="00F52FFA" w:rsidRDefault="00987973" w:rsidP="00987973">
            <w:pPr>
              <w:rPr>
                <w:lang w:eastAsia="en-US"/>
              </w:rPr>
            </w:pPr>
            <w:r>
              <w:rPr>
                <w:lang w:eastAsia="en-US"/>
              </w:rPr>
              <w:t xml:space="preserve">3.2. </w:t>
            </w:r>
            <w:r w:rsidRPr="0053008F">
              <w:rPr>
                <w:lang w:eastAsia="en-US"/>
              </w:rPr>
              <w:t>speciālais budžets</w:t>
            </w:r>
          </w:p>
        </w:tc>
        <w:tc>
          <w:tcPr>
            <w:tcW w:w="1107" w:type="dxa"/>
            <w:vAlign w:val="center"/>
          </w:tcPr>
          <w:p w14:paraId="68265E64" w14:textId="5A8FF6BA" w:rsidR="00987973" w:rsidRPr="00F52FFA" w:rsidRDefault="00987973" w:rsidP="00987973">
            <w:pPr>
              <w:jc w:val="center"/>
              <w:rPr>
                <w:rFonts w:eastAsia="Times New Roman"/>
              </w:rPr>
            </w:pPr>
            <w:r>
              <w:rPr>
                <w:rFonts w:eastAsia="Times New Roman"/>
              </w:rPr>
              <w:t>0</w:t>
            </w:r>
          </w:p>
        </w:tc>
        <w:tc>
          <w:tcPr>
            <w:tcW w:w="2136" w:type="dxa"/>
            <w:vAlign w:val="center"/>
          </w:tcPr>
          <w:p w14:paraId="23001C8A" w14:textId="5FF92D10" w:rsidR="00987973" w:rsidRPr="00F52FFA" w:rsidRDefault="00987973" w:rsidP="00987973">
            <w:pPr>
              <w:jc w:val="center"/>
              <w:rPr>
                <w:rFonts w:eastAsia="Times New Roman"/>
              </w:rPr>
            </w:pPr>
            <w:r>
              <w:rPr>
                <w:color w:val="000000"/>
              </w:rPr>
              <w:t>0</w:t>
            </w:r>
          </w:p>
        </w:tc>
        <w:tc>
          <w:tcPr>
            <w:tcW w:w="1390" w:type="dxa"/>
            <w:vAlign w:val="center"/>
          </w:tcPr>
          <w:p w14:paraId="5653976C" w14:textId="7542A370" w:rsidR="00987973" w:rsidRPr="00F52FFA" w:rsidRDefault="00987973" w:rsidP="00987973">
            <w:pPr>
              <w:jc w:val="center"/>
              <w:rPr>
                <w:rFonts w:eastAsia="Times New Roman"/>
              </w:rPr>
            </w:pPr>
            <w:r>
              <w:rPr>
                <w:rFonts w:eastAsia="Times New Roman"/>
              </w:rPr>
              <w:t>0</w:t>
            </w:r>
          </w:p>
        </w:tc>
        <w:tc>
          <w:tcPr>
            <w:tcW w:w="1390" w:type="dxa"/>
            <w:vAlign w:val="center"/>
          </w:tcPr>
          <w:p w14:paraId="5FE4FA67" w14:textId="1884FDB8" w:rsidR="00987973" w:rsidRPr="00F52FFA" w:rsidRDefault="00987973" w:rsidP="00987973">
            <w:pPr>
              <w:jc w:val="center"/>
              <w:rPr>
                <w:rFonts w:eastAsia="Times New Roman"/>
              </w:rPr>
            </w:pPr>
            <w:r>
              <w:rPr>
                <w:rFonts w:eastAsia="Times New Roman"/>
              </w:rPr>
              <w:t>0</w:t>
            </w:r>
          </w:p>
        </w:tc>
        <w:tc>
          <w:tcPr>
            <w:tcW w:w="1359" w:type="dxa"/>
            <w:vAlign w:val="center"/>
          </w:tcPr>
          <w:p w14:paraId="6E671808" w14:textId="41064367" w:rsidR="00987973" w:rsidRPr="00F52FFA" w:rsidRDefault="00987973" w:rsidP="00987973">
            <w:pPr>
              <w:jc w:val="center"/>
              <w:rPr>
                <w:rFonts w:eastAsia="Times New Roman"/>
              </w:rPr>
            </w:pPr>
            <w:r>
              <w:rPr>
                <w:rFonts w:eastAsia="Times New Roman"/>
              </w:rPr>
              <w:t>0</w:t>
            </w:r>
          </w:p>
        </w:tc>
      </w:tr>
      <w:tr w:rsidR="00987973" w:rsidRPr="00F52FFA" w14:paraId="31F66F9F" w14:textId="77777777" w:rsidTr="0026140E">
        <w:tc>
          <w:tcPr>
            <w:tcW w:w="2252" w:type="dxa"/>
          </w:tcPr>
          <w:p w14:paraId="37519FA7" w14:textId="55F3151F" w:rsidR="00987973" w:rsidRPr="00F52FFA" w:rsidRDefault="00987973" w:rsidP="00987973">
            <w:pPr>
              <w:rPr>
                <w:lang w:eastAsia="en-US"/>
              </w:rPr>
            </w:pPr>
            <w:r>
              <w:rPr>
                <w:lang w:eastAsia="en-US"/>
              </w:rPr>
              <w:t>3</w:t>
            </w:r>
            <w:r w:rsidRPr="0053008F">
              <w:rPr>
                <w:lang w:eastAsia="en-US"/>
              </w:rPr>
              <w:t>.3. pašvaldību budžets</w:t>
            </w:r>
          </w:p>
        </w:tc>
        <w:tc>
          <w:tcPr>
            <w:tcW w:w="1107" w:type="dxa"/>
            <w:vAlign w:val="center"/>
          </w:tcPr>
          <w:p w14:paraId="51669246" w14:textId="28548BCE" w:rsidR="00987973" w:rsidRPr="00F52FFA" w:rsidRDefault="00987973" w:rsidP="00987973">
            <w:pPr>
              <w:jc w:val="center"/>
              <w:rPr>
                <w:rFonts w:eastAsia="Times New Roman"/>
              </w:rPr>
            </w:pPr>
            <w:r>
              <w:rPr>
                <w:rFonts w:eastAsia="Times New Roman"/>
              </w:rPr>
              <w:t>0</w:t>
            </w:r>
          </w:p>
        </w:tc>
        <w:tc>
          <w:tcPr>
            <w:tcW w:w="2136" w:type="dxa"/>
            <w:vAlign w:val="center"/>
          </w:tcPr>
          <w:p w14:paraId="670661A4" w14:textId="4E8418F4" w:rsidR="00987973" w:rsidRPr="00F52FFA" w:rsidRDefault="00987973" w:rsidP="00987973">
            <w:pPr>
              <w:jc w:val="center"/>
              <w:rPr>
                <w:rFonts w:eastAsia="Times New Roman"/>
              </w:rPr>
            </w:pPr>
            <w:r>
              <w:rPr>
                <w:color w:val="000000"/>
              </w:rPr>
              <w:t>0</w:t>
            </w:r>
          </w:p>
        </w:tc>
        <w:tc>
          <w:tcPr>
            <w:tcW w:w="1390" w:type="dxa"/>
            <w:vAlign w:val="center"/>
          </w:tcPr>
          <w:p w14:paraId="7ADCC517" w14:textId="3CBE2E8B" w:rsidR="00987973" w:rsidRPr="00F52FFA" w:rsidRDefault="00987973" w:rsidP="00987973">
            <w:pPr>
              <w:jc w:val="center"/>
              <w:rPr>
                <w:rFonts w:eastAsia="Times New Roman"/>
              </w:rPr>
            </w:pPr>
            <w:r>
              <w:rPr>
                <w:rFonts w:eastAsia="Times New Roman"/>
              </w:rPr>
              <w:t>0</w:t>
            </w:r>
          </w:p>
        </w:tc>
        <w:tc>
          <w:tcPr>
            <w:tcW w:w="1390" w:type="dxa"/>
            <w:vAlign w:val="center"/>
          </w:tcPr>
          <w:p w14:paraId="0281EE82" w14:textId="670C6588" w:rsidR="00987973" w:rsidRPr="00F52FFA" w:rsidRDefault="00987973" w:rsidP="00987973">
            <w:pPr>
              <w:jc w:val="center"/>
              <w:rPr>
                <w:rFonts w:eastAsia="Times New Roman"/>
              </w:rPr>
            </w:pPr>
            <w:r>
              <w:rPr>
                <w:rFonts w:eastAsia="Times New Roman"/>
              </w:rPr>
              <w:t>0</w:t>
            </w:r>
          </w:p>
        </w:tc>
        <w:tc>
          <w:tcPr>
            <w:tcW w:w="1359" w:type="dxa"/>
            <w:vAlign w:val="center"/>
          </w:tcPr>
          <w:p w14:paraId="4DA79B1C" w14:textId="61A006D8" w:rsidR="00987973" w:rsidRPr="00F52FFA" w:rsidRDefault="00987973" w:rsidP="00987973">
            <w:pPr>
              <w:jc w:val="center"/>
              <w:rPr>
                <w:rFonts w:eastAsia="Times New Roman"/>
              </w:rPr>
            </w:pPr>
            <w:r>
              <w:rPr>
                <w:rFonts w:eastAsia="Times New Roman"/>
              </w:rPr>
              <w:t>0</w:t>
            </w:r>
          </w:p>
        </w:tc>
      </w:tr>
      <w:tr w:rsidR="00987973" w:rsidRPr="00F52FFA" w14:paraId="64D63437" w14:textId="77777777" w:rsidTr="0026140E">
        <w:tc>
          <w:tcPr>
            <w:tcW w:w="2252" w:type="dxa"/>
          </w:tcPr>
          <w:p w14:paraId="38BFD94F" w14:textId="77777777" w:rsidR="00987973" w:rsidRPr="00F52FFA" w:rsidRDefault="00987973" w:rsidP="00987973">
            <w:pPr>
              <w:rPr>
                <w:lang w:eastAsia="en-US"/>
              </w:rPr>
            </w:pPr>
            <w:r w:rsidRPr="00F52FFA">
              <w:rPr>
                <w:lang w:eastAsia="en-US"/>
              </w:rPr>
              <w:t>4. Finanšu līdzekļi papildu izdevumu finansēšanai (kompensējošu izdevumu samazinājumu norāda ar "+" zīmi)</w:t>
            </w:r>
          </w:p>
        </w:tc>
        <w:tc>
          <w:tcPr>
            <w:tcW w:w="1107" w:type="dxa"/>
            <w:vAlign w:val="center"/>
          </w:tcPr>
          <w:p w14:paraId="3300738E" w14:textId="75CE70CB" w:rsidR="00987973" w:rsidRPr="00F52FFA" w:rsidRDefault="00987973" w:rsidP="00987973">
            <w:pPr>
              <w:jc w:val="center"/>
              <w:rPr>
                <w:rFonts w:eastAsia="Times New Roman"/>
              </w:rPr>
            </w:pPr>
            <w:r>
              <w:rPr>
                <w:rFonts w:eastAsia="Times New Roman"/>
              </w:rPr>
              <w:t>X</w:t>
            </w:r>
          </w:p>
        </w:tc>
        <w:tc>
          <w:tcPr>
            <w:tcW w:w="2136" w:type="dxa"/>
            <w:vAlign w:val="center"/>
          </w:tcPr>
          <w:p w14:paraId="335DEFD8" w14:textId="0BCA0B51" w:rsidR="00987973" w:rsidRPr="00F52FFA" w:rsidRDefault="00987973" w:rsidP="00987973">
            <w:pPr>
              <w:jc w:val="center"/>
              <w:rPr>
                <w:rFonts w:eastAsia="Times New Roman"/>
              </w:rPr>
            </w:pPr>
            <w:r>
              <w:rPr>
                <w:rFonts w:eastAsia="Times New Roman"/>
              </w:rPr>
              <w:t>0</w:t>
            </w:r>
          </w:p>
        </w:tc>
        <w:tc>
          <w:tcPr>
            <w:tcW w:w="1390" w:type="dxa"/>
            <w:vAlign w:val="center"/>
          </w:tcPr>
          <w:p w14:paraId="35C70278" w14:textId="6120E7BC" w:rsidR="00987973" w:rsidRPr="00F52FFA" w:rsidRDefault="00987973" w:rsidP="00987973">
            <w:pPr>
              <w:jc w:val="center"/>
              <w:rPr>
                <w:rFonts w:eastAsia="Times New Roman"/>
              </w:rPr>
            </w:pPr>
            <w:r>
              <w:rPr>
                <w:rFonts w:eastAsia="Times New Roman"/>
              </w:rPr>
              <w:t>0</w:t>
            </w:r>
          </w:p>
        </w:tc>
        <w:tc>
          <w:tcPr>
            <w:tcW w:w="1390" w:type="dxa"/>
            <w:vAlign w:val="center"/>
          </w:tcPr>
          <w:p w14:paraId="2EB676A2" w14:textId="4666F1CF" w:rsidR="00987973" w:rsidRPr="00F52FFA" w:rsidRDefault="00987973" w:rsidP="00987973">
            <w:pPr>
              <w:jc w:val="center"/>
              <w:rPr>
                <w:rFonts w:eastAsia="Times New Roman"/>
              </w:rPr>
            </w:pPr>
            <w:r>
              <w:rPr>
                <w:rFonts w:eastAsia="Times New Roman"/>
              </w:rPr>
              <w:t>0</w:t>
            </w:r>
          </w:p>
        </w:tc>
        <w:tc>
          <w:tcPr>
            <w:tcW w:w="1359" w:type="dxa"/>
            <w:vAlign w:val="center"/>
          </w:tcPr>
          <w:p w14:paraId="28F1F1CE" w14:textId="76577C38" w:rsidR="00987973" w:rsidRPr="00F52FFA" w:rsidRDefault="00987973" w:rsidP="00987973">
            <w:pPr>
              <w:jc w:val="center"/>
              <w:rPr>
                <w:rFonts w:eastAsia="Times New Roman"/>
              </w:rPr>
            </w:pPr>
            <w:r>
              <w:rPr>
                <w:rFonts w:eastAsia="Times New Roman"/>
              </w:rPr>
              <w:t>0</w:t>
            </w:r>
          </w:p>
        </w:tc>
      </w:tr>
      <w:tr w:rsidR="00987973" w:rsidRPr="00F52FFA" w14:paraId="793FE483" w14:textId="77777777" w:rsidTr="00987973">
        <w:tc>
          <w:tcPr>
            <w:tcW w:w="2252" w:type="dxa"/>
          </w:tcPr>
          <w:p w14:paraId="089E0DA8" w14:textId="77777777" w:rsidR="00987973" w:rsidRPr="00F52FFA" w:rsidRDefault="00987973" w:rsidP="00987973">
            <w:pPr>
              <w:rPr>
                <w:lang w:eastAsia="en-US"/>
              </w:rPr>
            </w:pPr>
            <w:r w:rsidRPr="00F52FFA">
              <w:rPr>
                <w:lang w:eastAsia="en-US"/>
              </w:rPr>
              <w:t>5. Precizēta finansiālā ietekme:</w:t>
            </w:r>
          </w:p>
        </w:tc>
        <w:tc>
          <w:tcPr>
            <w:tcW w:w="1107" w:type="dxa"/>
            <w:vMerge w:val="restart"/>
            <w:vAlign w:val="center"/>
          </w:tcPr>
          <w:p w14:paraId="327E9A2F" w14:textId="15457160" w:rsidR="00987973" w:rsidRPr="00F52FFA" w:rsidRDefault="00987973" w:rsidP="00987973">
            <w:pPr>
              <w:jc w:val="center"/>
              <w:rPr>
                <w:rFonts w:eastAsia="Times New Roman"/>
              </w:rPr>
            </w:pPr>
            <w:r>
              <w:rPr>
                <w:rFonts w:eastAsia="Times New Roman"/>
              </w:rPr>
              <w:t>X</w:t>
            </w:r>
          </w:p>
        </w:tc>
        <w:tc>
          <w:tcPr>
            <w:tcW w:w="2136" w:type="dxa"/>
            <w:vAlign w:val="center"/>
          </w:tcPr>
          <w:p w14:paraId="3DEDC0BC" w14:textId="241B1B43" w:rsidR="00987973" w:rsidRPr="00F52FFA" w:rsidRDefault="00987973" w:rsidP="00987973">
            <w:pPr>
              <w:jc w:val="center"/>
              <w:rPr>
                <w:rFonts w:eastAsia="Times New Roman"/>
              </w:rPr>
            </w:pPr>
            <w:r>
              <w:rPr>
                <w:rFonts w:eastAsia="Times New Roman"/>
              </w:rPr>
              <w:t>0</w:t>
            </w:r>
          </w:p>
        </w:tc>
        <w:tc>
          <w:tcPr>
            <w:tcW w:w="1390" w:type="dxa"/>
            <w:vAlign w:val="center"/>
          </w:tcPr>
          <w:p w14:paraId="6507C6F5" w14:textId="3EF19356" w:rsidR="00987973" w:rsidRPr="00F52FFA" w:rsidRDefault="00987973" w:rsidP="00987973">
            <w:pPr>
              <w:jc w:val="center"/>
              <w:rPr>
                <w:lang w:eastAsia="en-US"/>
              </w:rPr>
            </w:pPr>
            <w:r>
              <w:rPr>
                <w:lang w:eastAsia="en-US"/>
              </w:rPr>
              <w:t>0</w:t>
            </w:r>
          </w:p>
        </w:tc>
        <w:tc>
          <w:tcPr>
            <w:tcW w:w="1390" w:type="dxa"/>
            <w:vAlign w:val="center"/>
          </w:tcPr>
          <w:p w14:paraId="76689CF6" w14:textId="54AE1458" w:rsidR="00987973" w:rsidRPr="00F52FFA" w:rsidRDefault="00987973" w:rsidP="00987973">
            <w:pPr>
              <w:jc w:val="center"/>
              <w:rPr>
                <w:lang w:eastAsia="en-US"/>
              </w:rPr>
            </w:pPr>
            <w:r>
              <w:rPr>
                <w:lang w:eastAsia="en-US"/>
              </w:rPr>
              <w:t>0</w:t>
            </w:r>
          </w:p>
        </w:tc>
        <w:tc>
          <w:tcPr>
            <w:tcW w:w="1359" w:type="dxa"/>
            <w:vAlign w:val="center"/>
          </w:tcPr>
          <w:p w14:paraId="265A8227" w14:textId="354F6676" w:rsidR="00987973" w:rsidRPr="00F52FFA" w:rsidRDefault="00987973" w:rsidP="00987973">
            <w:pPr>
              <w:jc w:val="center"/>
              <w:rPr>
                <w:lang w:eastAsia="en-US"/>
              </w:rPr>
            </w:pPr>
            <w:r>
              <w:rPr>
                <w:lang w:eastAsia="en-US"/>
              </w:rPr>
              <w:t>0</w:t>
            </w:r>
          </w:p>
        </w:tc>
      </w:tr>
      <w:tr w:rsidR="00987973" w:rsidRPr="00F52FFA" w14:paraId="4B02F288" w14:textId="77777777" w:rsidTr="00987973">
        <w:tc>
          <w:tcPr>
            <w:tcW w:w="2252" w:type="dxa"/>
          </w:tcPr>
          <w:p w14:paraId="20A8E1CA" w14:textId="23AACA17" w:rsidR="00987973" w:rsidRPr="00F52FFA" w:rsidRDefault="00987973" w:rsidP="00987973">
            <w:pPr>
              <w:rPr>
                <w:lang w:eastAsia="en-US"/>
              </w:rPr>
            </w:pPr>
            <w:r>
              <w:rPr>
                <w:lang w:eastAsia="en-US"/>
              </w:rPr>
              <w:t>5</w:t>
            </w:r>
            <w:r w:rsidRPr="0053008F">
              <w:rPr>
                <w:lang w:eastAsia="en-US"/>
              </w:rPr>
              <w:t>.1. valsts pamatbudžets</w:t>
            </w:r>
          </w:p>
        </w:tc>
        <w:tc>
          <w:tcPr>
            <w:tcW w:w="1107" w:type="dxa"/>
            <w:vMerge/>
            <w:vAlign w:val="center"/>
          </w:tcPr>
          <w:p w14:paraId="09EAC6CC" w14:textId="26833C1A" w:rsidR="00987973" w:rsidRPr="00F52FFA" w:rsidRDefault="00987973" w:rsidP="00987973">
            <w:pPr>
              <w:jc w:val="center"/>
              <w:rPr>
                <w:rFonts w:eastAsia="Times New Roman"/>
              </w:rPr>
            </w:pPr>
          </w:p>
        </w:tc>
        <w:tc>
          <w:tcPr>
            <w:tcW w:w="2136" w:type="dxa"/>
            <w:vAlign w:val="center"/>
          </w:tcPr>
          <w:p w14:paraId="0ED92D5F" w14:textId="45BC216F" w:rsidR="00987973" w:rsidRPr="00F52FFA" w:rsidRDefault="00987973" w:rsidP="00987973">
            <w:pPr>
              <w:jc w:val="center"/>
              <w:rPr>
                <w:rFonts w:eastAsia="Times New Roman"/>
              </w:rPr>
            </w:pPr>
            <w:r>
              <w:rPr>
                <w:rFonts w:eastAsia="Times New Roman"/>
              </w:rPr>
              <w:t>0</w:t>
            </w:r>
          </w:p>
        </w:tc>
        <w:tc>
          <w:tcPr>
            <w:tcW w:w="1390" w:type="dxa"/>
            <w:vAlign w:val="center"/>
          </w:tcPr>
          <w:p w14:paraId="3CAE3DE6" w14:textId="19A2EDAA" w:rsidR="00987973" w:rsidRPr="00F52FFA" w:rsidRDefault="00987973" w:rsidP="00987973">
            <w:pPr>
              <w:jc w:val="center"/>
              <w:rPr>
                <w:lang w:eastAsia="en-US"/>
              </w:rPr>
            </w:pPr>
            <w:r>
              <w:rPr>
                <w:lang w:eastAsia="en-US"/>
              </w:rPr>
              <w:t>0</w:t>
            </w:r>
          </w:p>
        </w:tc>
        <w:tc>
          <w:tcPr>
            <w:tcW w:w="1390" w:type="dxa"/>
            <w:vAlign w:val="center"/>
          </w:tcPr>
          <w:p w14:paraId="038976BA" w14:textId="6213C01C" w:rsidR="00987973" w:rsidRPr="00F52FFA" w:rsidRDefault="00987973" w:rsidP="00987973">
            <w:pPr>
              <w:jc w:val="center"/>
              <w:rPr>
                <w:lang w:eastAsia="en-US"/>
              </w:rPr>
            </w:pPr>
            <w:r>
              <w:rPr>
                <w:lang w:eastAsia="en-US"/>
              </w:rPr>
              <w:t>0</w:t>
            </w:r>
          </w:p>
        </w:tc>
        <w:tc>
          <w:tcPr>
            <w:tcW w:w="1359" w:type="dxa"/>
            <w:vAlign w:val="center"/>
          </w:tcPr>
          <w:p w14:paraId="4B9C6CB3" w14:textId="51C098CD" w:rsidR="00987973" w:rsidRPr="00F52FFA" w:rsidRDefault="00987973" w:rsidP="00987973">
            <w:pPr>
              <w:jc w:val="center"/>
              <w:rPr>
                <w:lang w:eastAsia="en-US"/>
              </w:rPr>
            </w:pPr>
            <w:r>
              <w:rPr>
                <w:lang w:eastAsia="en-US"/>
              </w:rPr>
              <w:t>0</w:t>
            </w:r>
          </w:p>
        </w:tc>
      </w:tr>
      <w:tr w:rsidR="00987973" w:rsidRPr="00F52FFA" w14:paraId="6DE7F88C" w14:textId="77777777" w:rsidTr="00987973">
        <w:tc>
          <w:tcPr>
            <w:tcW w:w="2252" w:type="dxa"/>
          </w:tcPr>
          <w:p w14:paraId="78EDBC7B" w14:textId="242127DF" w:rsidR="00987973" w:rsidRPr="00F52FFA" w:rsidRDefault="00987973" w:rsidP="00987973">
            <w:pPr>
              <w:rPr>
                <w:lang w:eastAsia="en-US"/>
              </w:rPr>
            </w:pPr>
            <w:r>
              <w:rPr>
                <w:lang w:eastAsia="en-US"/>
              </w:rPr>
              <w:t xml:space="preserve">5.2. </w:t>
            </w:r>
            <w:r w:rsidRPr="0053008F">
              <w:rPr>
                <w:lang w:eastAsia="en-US"/>
              </w:rPr>
              <w:t>speciālais budžets</w:t>
            </w:r>
          </w:p>
        </w:tc>
        <w:tc>
          <w:tcPr>
            <w:tcW w:w="1107" w:type="dxa"/>
            <w:vMerge/>
            <w:vAlign w:val="center"/>
          </w:tcPr>
          <w:p w14:paraId="5364C47A" w14:textId="13A579D4" w:rsidR="00987973" w:rsidRPr="00F52FFA" w:rsidRDefault="00987973" w:rsidP="00987973">
            <w:pPr>
              <w:jc w:val="center"/>
              <w:rPr>
                <w:rFonts w:eastAsia="Times New Roman"/>
              </w:rPr>
            </w:pPr>
          </w:p>
        </w:tc>
        <w:tc>
          <w:tcPr>
            <w:tcW w:w="2136" w:type="dxa"/>
            <w:vAlign w:val="center"/>
          </w:tcPr>
          <w:p w14:paraId="5BD257A8" w14:textId="03E28FE5" w:rsidR="00987973" w:rsidRPr="00F52FFA" w:rsidRDefault="00987973" w:rsidP="00987973">
            <w:pPr>
              <w:jc w:val="center"/>
              <w:rPr>
                <w:rFonts w:eastAsia="Times New Roman"/>
              </w:rPr>
            </w:pPr>
            <w:r>
              <w:rPr>
                <w:rFonts w:eastAsia="Times New Roman"/>
              </w:rPr>
              <w:t>0</w:t>
            </w:r>
          </w:p>
        </w:tc>
        <w:tc>
          <w:tcPr>
            <w:tcW w:w="1390" w:type="dxa"/>
            <w:vAlign w:val="center"/>
          </w:tcPr>
          <w:p w14:paraId="2F79B1FB" w14:textId="779E68E9" w:rsidR="00987973" w:rsidRPr="00F52FFA" w:rsidRDefault="00987973" w:rsidP="00987973">
            <w:pPr>
              <w:jc w:val="center"/>
              <w:rPr>
                <w:lang w:eastAsia="en-US"/>
              </w:rPr>
            </w:pPr>
            <w:r>
              <w:rPr>
                <w:lang w:eastAsia="en-US"/>
              </w:rPr>
              <w:t>0</w:t>
            </w:r>
          </w:p>
        </w:tc>
        <w:tc>
          <w:tcPr>
            <w:tcW w:w="1390" w:type="dxa"/>
            <w:vAlign w:val="center"/>
          </w:tcPr>
          <w:p w14:paraId="6AADBDE0" w14:textId="0D20101A" w:rsidR="00987973" w:rsidRPr="00F52FFA" w:rsidRDefault="00987973" w:rsidP="00987973">
            <w:pPr>
              <w:jc w:val="center"/>
              <w:rPr>
                <w:lang w:eastAsia="en-US"/>
              </w:rPr>
            </w:pPr>
            <w:r>
              <w:rPr>
                <w:lang w:eastAsia="en-US"/>
              </w:rPr>
              <w:t>0</w:t>
            </w:r>
          </w:p>
        </w:tc>
        <w:tc>
          <w:tcPr>
            <w:tcW w:w="1359" w:type="dxa"/>
            <w:vAlign w:val="center"/>
          </w:tcPr>
          <w:p w14:paraId="265A3675" w14:textId="511D1365" w:rsidR="00987973" w:rsidRPr="00F52FFA" w:rsidRDefault="00987973" w:rsidP="00987973">
            <w:pPr>
              <w:jc w:val="center"/>
              <w:rPr>
                <w:lang w:eastAsia="en-US"/>
              </w:rPr>
            </w:pPr>
            <w:r>
              <w:rPr>
                <w:lang w:eastAsia="en-US"/>
              </w:rPr>
              <w:t>0</w:t>
            </w:r>
          </w:p>
        </w:tc>
      </w:tr>
      <w:tr w:rsidR="00987973" w:rsidRPr="00F52FFA" w14:paraId="532279CE" w14:textId="77777777" w:rsidTr="00987973">
        <w:tc>
          <w:tcPr>
            <w:tcW w:w="2252" w:type="dxa"/>
          </w:tcPr>
          <w:p w14:paraId="77370F16" w14:textId="370D5153" w:rsidR="00987973" w:rsidRPr="00F52FFA" w:rsidRDefault="00987973" w:rsidP="00987973">
            <w:pPr>
              <w:rPr>
                <w:lang w:eastAsia="en-US"/>
              </w:rPr>
            </w:pPr>
            <w:r>
              <w:rPr>
                <w:lang w:eastAsia="en-US"/>
              </w:rPr>
              <w:t>5</w:t>
            </w:r>
            <w:r w:rsidRPr="0053008F">
              <w:rPr>
                <w:lang w:eastAsia="en-US"/>
              </w:rPr>
              <w:t>.3. pašvaldību budžets</w:t>
            </w:r>
          </w:p>
        </w:tc>
        <w:tc>
          <w:tcPr>
            <w:tcW w:w="1107" w:type="dxa"/>
            <w:vMerge/>
            <w:vAlign w:val="center"/>
          </w:tcPr>
          <w:p w14:paraId="164AC57E" w14:textId="4E3F7F53" w:rsidR="00987973" w:rsidRPr="00F52FFA" w:rsidRDefault="00987973" w:rsidP="00987973">
            <w:pPr>
              <w:jc w:val="center"/>
              <w:rPr>
                <w:rFonts w:eastAsia="Times New Roman"/>
              </w:rPr>
            </w:pPr>
          </w:p>
        </w:tc>
        <w:tc>
          <w:tcPr>
            <w:tcW w:w="2136" w:type="dxa"/>
            <w:vAlign w:val="center"/>
          </w:tcPr>
          <w:p w14:paraId="4D87280C" w14:textId="459D4109" w:rsidR="00987973" w:rsidRPr="00F52FFA" w:rsidRDefault="00987973" w:rsidP="00987973">
            <w:pPr>
              <w:jc w:val="center"/>
              <w:rPr>
                <w:rFonts w:eastAsia="Times New Roman"/>
              </w:rPr>
            </w:pPr>
            <w:r>
              <w:rPr>
                <w:rFonts w:eastAsia="Times New Roman"/>
              </w:rPr>
              <w:t>0</w:t>
            </w:r>
          </w:p>
        </w:tc>
        <w:tc>
          <w:tcPr>
            <w:tcW w:w="1390" w:type="dxa"/>
            <w:vAlign w:val="center"/>
          </w:tcPr>
          <w:p w14:paraId="551833D1" w14:textId="48AB7197" w:rsidR="00987973" w:rsidRPr="00F52FFA" w:rsidRDefault="00987973" w:rsidP="00987973">
            <w:pPr>
              <w:jc w:val="center"/>
              <w:rPr>
                <w:lang w:eastAsia="en-US"/>
              </w:rPr>
            </w:pPr>
            <w:r>
              <w:rPr>
                <w:lang w:eastAsia="en-US"/>
              </w:rPr>
              <w:t>0</w:t>
            </w:r>
          </w:p>
        </w:tc>
        <w:tc>
          <w:tcPr>
            <w:tcW w:w="1390" w:type="dxa"/>
            <w:vAlign w:val="center"/>
          </w:tcPr>
          <w:p w14:paraId="1C88C281" w14:textId="296F1D83" w:rsidR="00987973" w:rsidRPr="00F52FFA" w:rsidRDefault="00987973" w:rsidP="00987973">
            <w:pPr>
              <w:jc w:val="center"/>
              <w:rPr>
                <w:lang w:eastAsia="en-US"/>
              </w:rPr>
            </w:pPr>
            <w:r>
              <w:rPr>
                <w:lang w:eastAsia="en-US"/>
              </w:rPr>
              <w:t>0</w:t>
            </w:r>
          </w:p>
        </w:tc>
        <w:tc>
          <w:tcPr>
            <w:tcW w:w="1359" w:type="dxa"/>
            <w:vAlign w:val="center"/>
          </w:tcPr>
          <w:p w14:paraId="459A7FB7" w14:textId="7A62D22F" w:rsidR="00987973" w:rsidRPr="00F52FFA" w:rsidRDefault="00987973" w:rsidP="00987973">
            <w:pPr>
              <w:jc w:val="center"/>
              <w:rPr>
                <w:lang w:eastAsia="en-US"/>
              </w:rPr>
            </w:pPr>
            <w:r>
              <w:rPr>
                <w:lang w:eastAsia="en-US"/>
              </w:rPr>
              <w:t>0</w:t>
            </w:r>
          </w:p>
        </w:tc>
      </w:tr>
      <w:tr w:rsidR="00987973" w:rsidRPr="00F52FFA" w14:paraId="2106339B" w14:textId="77777777" w:rsidTr="00987973">
        <w:tc>
          <w:tcPr>
            <w:tcW w:w="2252" w:type="dxa"/>
          </w:tcPr>
          <w:p w14:paraId="232E6755" w14:textId="77777777" w:rsidR="00987973" w:rsidRPr="00F52FFA" w:rsidRDefault="00987973" w:rsidP="00987973">
            <w:pPr>
              <w:rPr>
                <w:lang w:eastAsia="en-US"/>
              </w:rPr>
            </w:pPr>
            <w:r w:rsidRPr="00F52FFA">
              <w:rPr>
                <w:lang w:eastAsia="en-US"/>
              </w:rPr>
              <w:t>6. Detalizēts ieņēmumu un izdevumu aprēķins (ja nepie</w:t>
            </w:r>
            <w:r w:rsidRPr="00F52FFA">
              <w:rPr>
                <w:lang w:eastAsia="en-US"/>
              </w:rPr>
              <w:softHyphen/>
              <w:t>ciešams, detalizētu ieņēmumu un izdevumu aprēķinu var pie</w:t>
            </w:r>
            <w:r w:rsidRPr="00F52FFA">
              <w:rPr>
                <w:lang w:eastAsia="en-US"/>
              </w:rPr>
              <w:softHyphen/>
              <w:t>vienot anotācijas pielikumā):</w:t>
            </w:r>
          </w:p>
        </w:tc>
        <w:tc>
          <w:tcPr>
            <w:tcW w:w="7382" w:type="dxa"/>
            <w:gridSpan w:val="5"/>
            <w:vMerge w:val="restart"/>
          </w:tcPr>
          <w:p w14:paraId="677C3057" w14:textId="2655963F" w:rsidR="00987973" w:rsidRPr="00F52FFA" w:rsidRDefault="00987973" w:rsidP="00987973">
            <w:pPr>
              <w:ind w:firstLine="18"/>
              <w:jc w:val="both"/>
              <w:rPr>
                <w:bCs/>
              </w:rPr>
            </w:pPr>
            <w:r w:rsidRPr="00F52FFA">
              <w:rPr>
                <w:bCs/>
              </w:rPr>
              <w:t xml:space="preserve">Otrās projektu iesniegumu atlases kārtas īstenošanai kopējais pieejamais finansējums ir </w:t>
            </w:r>
            <w:r w:rsidRPr="00F52FFA">
              <w:t xml:space="preserve">32 507 612 </w:t>
            </w:r>
            <w:proofErr w:type="spellStart"/>
            <w:r w:rsidRPr="00F52FFA">
              <w:rPr>
                <w:bCs/>
                <w:i/>
              </w:rPr>
              <w:t>euro</w:t>
            </w:r>
            <w:proofErr w:type="spellEnd"/>
            <w:r w:rsidRPr="00F52FFA">
              <w:rPr>
                <w:bCs/>
                <w:i/>
              </w:rPr>
              <w:t>,</w:t>
            </w:r>
            <w:r w:rsidRPr="00F52FFA">
              <w:rPr>
                <w:bCs/>
              </w:rPr>
              <w:t xml:space="preserve"> tajā skaitā ERAF  finansējums </w:t>
            </w:r>
            <w:r w:rsidRPr="00F52FFA">
              <w:t xml:space="preserve">27 631 470 </w:t>
            </w:r>
            <w:proofErr w:type="spellStart"/>
            <w:r w:rsidRPr="00F52FFA">
              <w:rPr>
                <w:bCs/>
                <w:i/>
              </w:rPr>
              <w:t>euro</w:t>
            </w:r>
            <w:proofErr w:type="spellEnd"/>
            <w:r w:rsidRPr="00F52FFA">
              <w:rPr>
                <w:bCs/>
              </w:rPr>
              <w:t xml:space="preserve"> un valsts budžeta finansējums </w:t>
            </w:r>
            <w:r w:rsidRPr="00F52FFA">
              <w:t xml:space="preserve">4 876 142 </w:t>
            </w:r>
            <w:proofErr w:type="spellStart"/>
            <w:r w:rsidRPr="00F52FFA">
              <w:rPr>
                <w:bCs/>
                <w:i/>
              </w:rPr>
              <w:t>euro</w:t>
            </w:r>
            <w:proofErr w:type="spellEnd"/>
            <w:r w:rsidRPr="00F52FFA">
              <w:rPr>
                <w:bCs/>
              </w:rPr>
              <w:t>.</w:t>
            </w:r>
          </w:p>
          <w:p w14:paraId="4C717D36" w14:textId="70E7D0B0" w:rsidR="00987973" w:rsidRPr="00F52FFA" w:rsidRDefault="00987973" w:rsidP="00987973">
            <w:pPr>
              <w:jc w:val="both"/>
              <w:rPr>
                <w:lang w:eastAsia="en-US"/>
              </w:rPr>
            </w:pPr>
            <w:r w:rsidRPr="00F52FFA">
              <w:rPr>
                <w:lang w:eastAsia="en-US"/>
              </w:rPr>
              <w:t>Budžeta izdevumi ir kopējie projekta ieviešanai nepieciešamie publiskā finansējuma līdzekļi projektu īstenošanai 100% apmērā (ERAF 85% un valsts budžets 15%) no projekta attiecināmajām izmaksām.</w:t>
            </w:r>
          </w:p>
          <w:p w14:paraId="7C382540" w14:textId="63CBF36D" w:rsidR="00987973" w:rsidRPr="00F52FFA" w:rsidRDefault="00987973" w:rsidP="00987973">
            <w:pPr>
              <w:jc w:val="both"/>
              <w:rPr>
                <w:lang w:eastAsia="en-US"/>
              </w:rPr>
            </w:pPr>
            <w:r w:rsidRPr="00F52FFA">
              <w:rPr>
                <w:lang w:eastAsia="en-US"/>
              </w:rPr>
              <w:t>Finansējuma saņēmēji projektu tehnisko dokumentāciju jau ir uzsākuši gatavot kopš 2016. gada, tāpēc atlases kārtas ietvaros paredzētās darbības var uzsākt ar 2016.gada janvāri. Projektu īstenošanu plāno saskaņā ar finansējuma saņēmēja un sadarbības iestādes noslēgto līgumu vai vienošanos, bet ne ilgāk kā līdz 2022.gada 31.oktobrim.</w:t>
            </w:r>
          </w:p>
          <w:p w14:paraId="6ECDE6A1" w14:textId="49059754" w:rsidR="00987973" w:rsidRPr="00F52FFA" w:rsidRDefault="00987973" w:rsidP="00987973">
            <w:pPr>
              <w:jc w:val="both"/>
              <w:rPr>
                <w:lang w:eastAsia="en-US"/>
              </w:rPr>
            </w:pPr>
            <w:r w:rsidRPr="00F52FFA">
              <w:rPr>
                <w:lang w:eastAsia="en-US"/>
              </w:rPr>
              <w:t xml:space="preserve">Pēc ministriju sniegtās informācijas Ekonomikas ministrija ir veikusi apkopojumu par ēkām un inženierbūvēm, kurām 4.2.1.2.pasākuma otrās projektu iesniegumu atlases kārtas </w:t>
            </w:r>
            <w:r w:rsidRPr="00AB174E">
              <w:rPr>
                <w:lang w:eastAsia="en-US"/>
              </w:rPr>
              <w:t xml:space="preserve">ietvaros ir sagatavota tehniskā </w:t>
            </w:r>
            <w:r w:rsidRPr="00AB174E">
              <w:rPr>
                <w:lang w:eastAsia="en-US"/>
              </w:rPr>
              <w:lastRenderedPageBreak/>
              <w:t xml:space="preserve">dokumentācija. Uz 30.06.2017. ir sagatavoti 4 būvprojekti minimālā sastāvā, 10 tehniskās apsekošanas atzinumi (1 sagatavošanas stadijā), 18 </w:t>
            </w:r>
            <w:proofErr w:type="spellStart"/>
            <w:r w:rsidRPr="00AB174E">
              <w:rPr>
                <w:lang w:eastAsia="en-US"/>
              </w:rPr>
              <w:t>energosertifikāti</w:t>
            </w:r>
            <w:proofErr w:type="spellEnd"/>
            <w:r w:rsidRPr="00AB174E">
              <w:rPr>
                <w:lang w:eastAsia="en-US"/>
              </w:rPr>
              <w:t xml:space="preserve"> (3 sagatavošanas stadijā). Pirmajā ieviešanas gadā (Noteikumu projektu plānots apstiprināt MK 2017.gada rudenī) plānots mazāks finansējums (2 507 612 </w:t>
            </w:r>
            <w:proofErr w:type="spellStart"/>
            <w:r w:rsidRPr="00AB174E">
              <w:rPr>
                <w:i/>
                <w:lang w:eastAsia="en-US"/>
              </w:rPr>
              <w:t>euro</w:t>
            </w:r>
            <w:proofErr w:type="spellEnd"/>
            <w:r w:rsidRPr="00AB174E">
              <w:rPr>
                <w:lang w:eastAsia="en-US"/>
              </w:rPr>
              <w:t>), jo projektu ietvaros ir jāveic iepirkums par būvdarbiem un jānodrošina tehniskās dokumentācijas sagatavošana, kas tiek attiecināts jau no 2016. gada 1.janvāra. Iepirkumu, kas nepieciešams projekta īstenošanai, finansējuma saņēmējs veic saskaņā ar normatīvajiem aktiem publisko iepirkumu jomā. Iepirkuma procedūras rezultātā tiek slēgti piegādes vai pakalpojuma līgumi,  kuru ietvaros var tikt paredzēta iekārtu piegāde, uzstādīšana un darbinieku apmācība par piegādāto iekārtu lietošanu. No 2018. - 2021.gadam finansējums</w:t>
            </w:r>
            <w:r w:rsidRPr="00F52FFA">
              <w:rPr>
                <w:lang w:eastAsia="en-US"/>
              </w:rPr>
              <w:t xml:space="preserve"> plānots vienmērīgi (7 500 000 </w:t>
            </w:r>
            <w:proofErr w:type="spellStart"/>
            <w:r w:rsidRPr="00F52FFA">
              <w:rPr>
                <w:i/>
                <w:lang w:eastAsia="en-US"/>
              </w:rPr>
              <w:t>euro</w:t>
            </w:r>
            <w:proofErr w:type="spellEnd"/>
            <w:r w:rsidRPr="00F52FFA">
              <w:rPr>
                <w:lang w:eastAsia="en-US"/>
              </w:rPr>
              <w:t>).</w:t>
            </w:r>
          </w:p>
          <w:p w14:paraId="38DD68B1" w14:textId="3CE2650B" w:rsidR="00987973" w:rsidRPr="00F52FFA" w:rsidRDefault="00987973" w:rsidP="00987973">
            <w:pPr>
              <w:jc w:val="both"/>
              <w:rPr>
                <w:lang w:eastAsia="en-US"/>
              </w:rPr>
            </w:pPr>
            <w:r w:rsidRPr="00F52FFA">
              <w:rPr>
                <w:lang w:eastAsia="en-US"/>
              </w:rPr>
              <w:t>Jāņem vērā, ka jau no 2017. gada maija ir pieejami atlases kritēriji un kritēriju piemērošanas metodika 4.2.1.2.pasākuma otrās atlases kārtas ietvaros, tādējādi ir paredzams, ka darbs pie tehniskās dokumentācijas izstrādes tiks nodrošināts jau laicīgi un ka būvdarbi tiks uzsākti 2018.gada sezonā.</w:t>
            </w:r>
          </w:p>
        </w:tc>
      </w:tr>
      <w:tr w:rsidR="00987973" w:rsidRPr="00F52FFA" w14:paraId="08F01355" w14:textId="77777777" w:rsidTr="00987973">
        <w:tc>
          <w:tcPr>
            <w:tcW w:w="2252" w:type="dxa"/>
          </w:tcPr>
          <w:p w14:paraId="05F68AF8" w14:textId="7552A092" w:rsidR="00987973" w:rsidRPr="00F52FFA" w:rsidRDefault="00987973" w:rsidP="00987973">
            <w:pPr>
              <w:rPr>
                <w:lang w:eastAsia="en-US"/>
              </w:rPr>
            </w:pPr>
            <w:r w:rsidRPr="00F52FFA">
              <w:rPr>
                <w:lang w:eastAsia="en-US"/>
              </w:rPr>
              <w:t>6.1. detalizēts ieņēmumu aprēķins</w:t>
            </w:r>
          </w:p>
        </w:tc>
        <w:tc>
          <w:tcPr>
            <w:tcW w:w="7382" w:type="dxa"/>
            <w:gridSpan w:val="5"/>
            <w:vMerge/>
          </w:tcPr>
          <w:p w14:paraId="5E3DEE69" w14:textId="77777777" w:rsidR="00987973" w:rsidRPr="00F52FFA" w:rsidRDefault="00987973" w:rsidP="00987973">
            <w:pPr>
              <w:jc w:val="center"/>
              <w:rPr>
                <w:lang w:eastAsia="en-US"/>
              </w:rPr>
            </w:pPr>
          </w:p>
        </w:tc>
      </w:tr>
      <w:tr w:rsidR="00987973" w:rsidRPr="00F52FFA" w14:paraId="00250B79" w14:textId="77777777" w:rsidTr="00987973">
        <w:tc>
          <w:tcPr>
            <w:tcW w:w="2252" w:type="dxa"/>
          </w:tcPr>
          <w:p w14:paraId="7D22478B" w14:textId="77777777" w:rsidR="00987973" w:rsidRPr="00F52FFA" w:rsidRDefault="00987973" w:rsidP="00987973">
            <w:pPr>
              <w:rPr>
                <w:lang w:eastAsia="en-US"/>
              </w:rPr>
            </w:pPr>
            <w:r w:rsidRPr="00F52FFA">
              <w:rPr>
                <w:lang w:eastAsia="en-US"/>
              </w:rPr>
              <w:t>6.2. detalizēts izdevumu aprēķins</w:t>
            </w:r>
          </w:p>
        </w:tc>
        <w:tc>
          <w:tcPr>
            <w:tcW w:w="7382" w:type="dxa"/>
            <w:gridSpan w:val="5"/>
            <w:vMerge/>
          </w:tcPr>
          <w:p w14:paraId="271F8B05" w14:textId="77777777" w:rsidR="00987973" w:rsidRPr="00F52FFA" w:rsidRDefault="00987973" w:rsidP="00987973">
            <w:pPr>
              <w:jc w:val="center"/>
              <w:rPr>
                <w:lang w:eastAsia="en-US"/>
              </w:rPr>
            </w:pPr>
          </w:p>
        </w:tc>
      </w:tr>
      <w:tr w:rsidR="00987973" w:rsidRPr="00F52FFA" w14:paraId="402AE195" w14:textId="77777777" w:rsidTr="00987973">
        <w:tc>
          <w:tcPr>
            <w:tcW w:w="2252" w:type="dxa"/>
          </w:tcPr>
          <w:p w14:paraId="2835CD77" w14:textId="77777777" w:rsidR="00987973" w:rsidRPr="00F52FFA" w:rsidRDefault="00987973" w:rsidP="00987973">
            <w:pPr>
              <w:rPr>
                <w:lang w:eastAsia="en-US"/>
              </w:rPr>
            </w:pPr>
            <w:r w:rsidRPr="00F52FFA">
              <w:rPr>
                <w:lang w:eastAsia="en-US"/>
              </w:rPr>
              <w:t>7. Cita informācija</w:t>
            </w:r>
          </w:p>
        </w:tc>
        <w:tc>
          <w:tcPr>
            <w:tcW w:w="7382" w:type="dxa"/>
            <w:gridSpan w:val="5"/>
          </w:tcPr>
          <w:p w14:paraId="5A6E8F39" w14:textId="6FD45C04" w:rsidR="00987973" w:rsidRPr="00F52FFA" w:rsidRDefault="00987973" w:rsidP="00987973">
            <w:pPr>
              <w:jc w:val="both"/>
              <w:rPr>
                <w:color w:val="000000"/>
                <w:shd w:val="clear" w:color="auto" w:fill="FFFFFF"/>
                <w:lang w:eastAsia="en-US"/>
              </w:rPr>
            </w:pPr>
            <w:r w:rsidRPr="00F52FFA">
              <w:rPr>
                <w:color w:val="000000"/>
                <w:shd w:val="clear" w:color="auto" w:fill="FFFFFF"/>
                <w:lang w:eastAsia="en-US"/>
              </w:rPr>
              <w:t>Atvasinātām publiskām personām, to kapitālsabiedrībām un valsts kapitālsabiedrībām nepieciešamo valsts budžeta finansējumu no 74.resora ,,Gadskārtējā valsts budžeta izpildes procesā pārdalāmais finansējums” 80.00.00 programmas ,,Nesadalītais finansējums Eiropas Savienības politiku instrumentu un pārējās ārvalstu finanšu palīdzības līdzfinansēto projektu un pasākumu īstenošanai” lūgs pārdalīt Finanšu ministrija, savukārt tiešās valsts pārvaldes iestādēm, t.sk. padotības iestādēm, un sabiedriskā labuma organizācijām nepieciešamo finansējumu lūgs pārdalīt attiecīgās nozares ministrija.</w:t>
            </w:r>
          </w:p>
          <w:p w14:paraId="33182407" w14:textId="66196298" w:rsidR="00987973" w:rsidRPr="00F52FFA" w:rsidRDefault="00987973" w:rsidP="00987973">
            <w:pPr>
              <w:jc w:val="both"/>
              <w:rPr>
                <w:lang w:eastAsia="en-US"/>
              </w:rPr>
            </w:pPr>
            <w:r w:rsidRPr="00F52FFA">
              <w:rPr>
                <w:lang w:eastAsia="en-US"/>
              </w:rPr>
              <w:t>Izmantojot valsts budžeta finansējumu izmaksu segšanai pirms projekta apstiprināšanas, veikto izmaksu pārgrāmatošana veicama tā saimnieciskā gada ietvaros, kad ir veikti izdevumi.</w:t>
            </w:r>
          </w:p>
        </w:tc>
      </w:tr>
    </w:tbl>
    <w:p w14:paraId="481CDE15" w14:textId="77777777" w:rsidR="00120721" w:rsidRPr="00F52FFA" w:rsidRDefault="00120721"/>
    <w:p w14:paraId="6F9EC16E" w14:textId="77777777" w:rsidR="00D318C4" w:rsidRPr="00F52FFA" w:rsidRDefault="00D318C4"/>
    <w:tbl>
      <w:tblPr>
        <w:tblStyle w:val="TableGrid"/>
        <w:tblW w:w="9634" w:type="dxa"/>
        <w:tblLook w:val="04A0" w:firstRow="1" w:lastRow="0" w:firstColumn="1" w:lastColumn="0" w:noHBand="0" w:noVBand="1"/>
      </w:tblPr>
      <w:tblGrid>
        <w:gridCol w:w="421"/>
        <w:gridCol w:w="2126"/>
        <w:gridCol w:w="7087"/>
      </w:tblGrid>
      <w:tr w:rsidR="00F1588A" w:rsidRPr="00F52FFA" w14:paraId="5DBAFC66" w14:textId="77777777" w:rsidTr="00F1588A">
        <w:tc>
          <w:tcPr>
            <w:tcW w:w="9634" w:type="dxa"/>
            <w:gridSpan w:val="3"/>
          </w:tcPr>
          <w:p w14:paraId="16809403" w14:textId="77777777" w:rsidR="00F1588A" w:rsidRPr="00F52FFA" w:rsidRDefault="00F1588A" w:rsidP="00F1588A">
            <w:pPr>
              <w:jc w:val="center"/>
            </w:pPr>
            <w:r w:rsidRPr="00F52FFA">
              <w:rPr>
                <w:b/>
              </w:rPr>
              <w:t xml:space="preserve">V. </w:t>
            </w:r>
            <w:r w:rsidRPr="00F52FFA">
              <w:rPr>
                <w:b/>
                <w:color w:val="000000"/>
              </w:rPr>
              <w:t>Tiesību akta projekta atbilstība Latvijas Republikas starptautiskajām saistībām</w:t>
            </w:r>
          </w:p>
        </w:tc>
      </w:tr>
      <w:tr w:rsidR="00F1588A" w:rsidRPr="00F52FFA" w14:paraId="36765FE6" w14:textId="77777777" w:rsidTr="00F1588A">
        <w:tc>
          <w:tcPr>
            <w:tcW w:w="421" w:type="dxa"/>
          </w:tcPr>
          <w:p w14:paraId="6971AF91" w14:textId="77777777" w:rsidR="00F1588A" w:rsidRPr="00F52FFA" w:rsidRDefault="00F1588A">
            <w:r w:rsidRPr="00F52FFA">
              <w:t>1.</w:t>
            </w:r>
          </w:p>
        </w:tc>
        <w:tc>
          <w:tcPr>
            <w:tcW w:w="2126" w:type="dxa"/>
          </w:tcPr>
          <w:p w14:paraId="496937B3" w14:textId="77777777" w:rsidR="00F1588A" w:rsidRPr="00F52FFA" w:rsidRDefault="00F1588A">
            <w:r w:rsidRPr="00F52FFA">
              <w:rPr>
                <w:color w:val="000000"/>
              </w:rPr>
              <w:t>Saistības pret Eiropas Savienību</w:t>
            </w:r>
          </w:p>
        </w:tc>
        <w:tc>
          <w:tcPr>
            <w:tcW w:w="7087" w:type="dxa"/>
          </w:tcPr>
          <w:p w14:paraId="60F997C6" w14:textId="77777777" w:rsidR="00F03ABD" w:rsidRPr="00F52FFA" w:rsidRDefault="0076035E" w:rsidP="00F03ABD">
            <w:pPr>
              <w:jc w:val="both"/>
            </w:pPr>
            <w:r w:rsidRPr="00F52FFA">
              <w:t>Ar noteikumu projektu tiks</w:t>
            </w:r>
            <w:r w:rsidR="003C59AD" w:rsidRPr="00F52FFA">
              <w:t xml:space="preserve"> ieviestas prasības no</w:t>
            </w:r>
            <w:r w:rsidR="00F03ABD" w:rsidRPr="00F52FFA">
              <w:t>:</w:t>
            </w:r>
          </w:p>
          <w:p w14:paraId="1B0E60C9" w14:textId="00EF061F" w:rsidR="00F95DDA" w:rsidRPr="00F52FFA" w:rsidRDefault="0076035E" w:rsidP="00F03ABD">
            <w:pPr>
              <w:pStyle w:val="ListParagraph"/>
              <w:numPr>
                <w:ilvl w:val="0"/>
                <w:numId w:val="26"/>
              </w:numPr>
              <w:jc w:val="both"/>
            </w:pPr>
            <w:r w:rsidRPr="00F52FFA">
              <w:t xml:space="preserve">Eiropas </w:t>
            </w:r>
            <w:r w:rsidR="00416455" w:rsidRPr="00F52FFA">
              <w:t>Parlamenta un Padomes 2013.gada 17.</w:t>
            </w:r>
            <w:r w:rsidR="00F03ABD" w:rsidRPr="00F52FFA">
              <w:t>decembra Regulas</w:t>
            </w:r>
            <w:r w:rsidRPr="00F52FFA">
              <w:t xml:space="preserve">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w:t>
            </w:r>
            <w:r w:rsidR="00B8614A" w:rsidRPr="00F52FFA">
              <w:t>omes Regulu (EK) Nr.1083/2006 (</w:t>
            </w:r>
            <w:r w:rsidR="00416455" w:rsidRPr="00F52FFA">
              <w:t>ES Oficiālais Vēstnesis, 2013.</w:t>
            </w:r>
            <w:r w:rsidRPr="00F52FFA">
              <w:t>gada 20.decembris, Nr. L347/320) (turpmāk – Eiropas Parlamenta u</w:t>
            </w:r>
            <w:r w:rsidR="003C59AD" w:rsidRPr="00F52FFA">
              <w:t>n Padomes Regula Nr. 1303/2013).</w:t>
            </w:r>
          </w:p>
          <w:p w14:paraId="55C411B3" w14:textId="3DB14DC7" w:rsidR="00F03ABD" w:rsidRPr="00F52FFA" w:rsidRDefault="00F03ABD" w:rsidP="00F03ABD">
            <w:pPr>
              <w:pStyle w:val="ListParagraph"/>
              <w:numPr>
                <w:ilvl w:val="0"/>
                <w:numId w:val="26"/>
              </w:numPr>
              <w:jc w:val="both"/>
            </w:pPr>
            <w:r w:rsidRPr="00F52FFA">
              <w:t xml:space="preserve">Komisijas 2014.gada 17.jūnija Regulas (ES) Nr.651/2014 ar ko noteiktas atbalsta kategorijas atzīst par saderīgām ar iekšējo tirgu, piemērojot Līguma 107.un 108.pantu (ES Oficiālais Vēstnesis, 2014.gada 26.jūnijs, </w:t>
            </w:r>
            <w:proofErr w:type="spellStart"/>
            <w:r w:rsidRPr="00F52FFA">
              <w:t>Nr.L</w:t>
            </w:r>
            <w:proofErr w:type="spellEnd"/>
            <w:r w:rsidRPr="00F52FFA">
              <w:t xml:space="preserve"> 187/1) (turpmāk – Komisijas regula Nr. 651/2014).</w:t>
            </w:r>
          </w:p>
          <w:p w14:paraId="5B6334A2" w14:textId="4B38A221" w:rsidR="00F03ABD" w:rsidRPr="00F52FFA" w:rsidRDefault="00F03ABD" w:rsidP="00F03ABD">
            <w:pPr>
              <w:pStyle w:val="ListParagraph"/>
              <w:numPr>
                <w:ilvl w:val="0"/>
                <w:numId w:val="26"/>
              </w:numPr>
              <w:jc w:val="both"/>
            </w:pPr>
            <w:r w:rsidRPr="00F52FFA">
              <w:t xml:space="preserve">Komisijas Regulas Nr. 1407/2013 par Līguma par Eiropas Savienības darbību 107. un 108. panta piemērošanu </w:t>
            </w:r>
            <w:proofErr w:type="spellStart"/>
            <w:r w:rsidRPr="00F52FFA">
              <w:t>de</w:t>
            </w:r>
            <w:proofErr w:type="spellEnd"/>
            <w:r w:rsidRPr="00F52FFA">
              <w:t xml:space="preserve"> </w:t>
            </w:r>
            <w:proofErr w:type="spellStart"/>
            <w:r w:rsidRPr="00F52FFA">
              <w:t>minimis</w:t>
            </w:r>
            <w:proofErr w:type="spellEnd"/>
            <w:r w:rsidRPr="00F52FFA">
              <w:t xml:space="preserve"> </w:t>
            </w:r>
            <w:r w:rsidRPr="00F52FFA">
              <w:lastRenderedPageBreak/>
              <w:t>atbalstam (Eiropas Savienības Oficiālais Vēstnesis, 2013. gada 24. decembris, Nr. L 352) (turpmāk – Komisijas regula Nr. 1407/2013)</w:t>
            </w:r>
          </w:p>
          <w:p w14:paraId="648AA8B0" w14:textId="7A6334DB" w:rsidR="00347844" w:rsidRPr="00F52FFA" w:rsidRDefault="00347844" w:rsidP="009147B5">
            <w:pPr>
              <w:pStyle w:val="ListParagraph"/>
              <w:numPr>
                <w:ilvl w:val="0"/>
                <w:numId w:val="26"/>
              </w:numPr>
              <w:jc w:val="both"/>
            </w:pPr>
            <w:r w:rsidRPr="00F52FFA">
              <w:t>Eiropas Komisijas </w:t>
            </w:r>
            <w:hyperlink r:id="rId8" w:anchor="p2011" w:tgtFrame="_blank" w:history="1">
              <w:r w:rsidRPr="00F52FFA">
                <w:t>2011. </w:t>
              </w:r>
            </w:hyperlink>
            <w:r w:rsidRPr="00F52FFA">
              <w:t>gada </w:t>
            </w:r>
            <w:hyperlink r:id="rId9" w:anchor="p20" w:tgtFrame="_blank" w:history="1">
              <w:r w:rsidRPr="00F52FFA">
                <w:t>20. </w:t>
              </w:r>
            </w:hyperlink>
            <w:r w:rsidRPr="00F52FFA">
              <w:t>decembra lēmum</w:t>
            </w:r>
            <w:r w:rsidR="00F03ABD" w:rsidRPr="00F52FFA">
              <w:t>a</w:t>
            </w:r>
            <w:r w:rsidRPr="00F52FFA">
              <w:t xml:space="preserve"> Nr. 2012/21/ES par Līguma par Eiropas Savienības darbību </w:t>
            </w:r>
            <w:hyperlink r:id="rId10" w:anchor="p106" w:tgtFrame="_blank" w:history="1">
              <w:r w:rsidRPr="00F52FFA">
                <w:t>106. panta</w:t>
              </w:r>
            </w:hyperlink>
            <w:r w:rsidRPr="00F52FFA">
              <w:t> 2. punkta piemērošanu valsts atbalstam attiecībā uz kompensāciju par sabiedriskajiem pakalpojumiem dažiem uzņēmumiem, kuriem uzticēts sniegt pakalpojumus ar vispārēju tautsaimniecisku nozīmi (turpmāk – Komisijas lēmums Nr. 2012/21/ES).</w:t>
            </w:r>
          </w:p>
        </w:tc>
      </w:tr>
      <w:tr w:rsidR="00F1588A" w:rsidRPr="00F52FFA" w14:paraId="584C255E" w14:textId="77777777" w:rsidTr="00F1588A">
        <w:tc>
          <w:tcPr>
            <w:tcW w:w="421" w:type="dxa"/>
          </w:tcPr>
          <w:p w14:paraId="7649CCF9" w14:textId="29D74C98" w:rsidR="00F1588A" w:rsidRPr="00F52FFA" w:rsidRDefault="0076035E">
            <w:r w:rsidRPr="00F52FFA">
              <w:lastRenderedPageBreak/>
              <w:t>2.</w:t>
            </w:r>
          </w:p>
        </w:tc>
        <w:tc>
          <w:tcPr>
            <w:tcW w:w="2126" w:type="dxa"/>
          </w:tcPr>
          <w:p w14:paraId="0849652C" w14:textId="55BF601E" w:rsidR="00F1588A" w:rsidRPr="00F52FFA" w:rsidRDefault="0076035E">
            <w:r w:rsidRPr="00F52FFA">
              <w:rPr>
                <w:color w:val="000000"/>
              </w:rPr>
              <w:t>Citas starptautiskās saistības</w:t>
            </w:r>
          </w:p>
        </w:tc>
        <w:tc>
          <w:tcPr>
            <w:tcW w:w="7087" w:type="dxa"/>
          </w:tcPr>
          <w:p w14:paraId="02BAEE14" w14:textId="57AE90B2" w:rsidR="00F1588A" w:rsidRPr="00F52FFA" w:rsidRDefault="00B93370">
            <w:r w:rsidRPr="00F52FFA">
              <w:rPr>
                <w:iCs/>
                <w:color w:val="000000"/>
              </w:rPr>
              <w:t>N</w:t>
            </w:r>
            <w:r w:rsidR="0076035E" w:rsidRPr="00F52FFA">
              <w:rPr>
                <w:iCs/>
                <w:color w:val="000000"/>
              </w:rPr>
              <w:t>oteikumu projekts šo jomu neskar</w:t>
            </w:r>
          </w:p>
        </w:tc>
      </w:tr>
      <w:tr w:rsidR="00F1588A" w:rsidRPr="00F52FFA" w14:paraId="35D40484" w14:textId="77777777" w:rsidTr="00F1588A">
        <w:tc>
          <w:tcPr>
            <w:tcW w:w="421" w:type="dxa"/>
          </w:tcPr>
          <w:p w14:paraId="7C427884" w14:textId="43A23A10" w:rsidR="00F1588A" w:rsidRPr="00F52FFA" w:rsidRDefault="0076035E">
            <w:r w:rsidRPr="00F52FFA">
              <w:t>3.</w:t>
            </w:r>
          </w:p>
        </w:tc>
        <w:tc>
          <w:tcPr>
            <w:tcW w:w="2126" w:type="dxa"/>
          </w:tcPr>
          <w:p w14:paraId="1D1649FB" w14:textId="6B7C9CC8" w:rsidR="00F1588A" w:rsidRPr="00F52FFA" w:rsidRDefault="0076035E">
            <w:r w:rsidRPr="00F52FFA">
              <w:t>Cita informācija</w:t>
            </w:r>
          </w:p>
        </w:tc>
        <w:tc>
          <w:tcPr>
            <w:tcW w:w="7087" w:type="dxa"/>
          </w:tcPr>
          <w:p w14:paraId="7B20D68E" w14:textId="0673C366" w:rsidR="00F1588A" w:rsidRPr="00F52FFA" w:rsidRDefault="00CC022E" w:rsidP="00CC022E">
            <w:r w:rsidRPr="00F52FFA">
              <w:t>Ar šo noteikumu projektu tiek iev</w:t>
            </w:r>
            <w:r w:rsidR="00515586" w:rsidRPr="00F52FFA">
              <w:t>ēroti</w:t>
            </w:r>
            <w:r w:rsidRPr="00F52FFA">
              <w:t xml:space="preserve"> nosacījumi no Eiropas Komisijas lēmuma SA.43575.</w:t>
            </w:r>
          </w:p>
        </w:tc>
      </w:tr>
    </w:tbl>
    <w:p w14:paraId="321423AA" w14:textId="77777777" w:rsidR="00D318C4" w:rsidRPr="00F52FFA" w:rsidRDefault="00D318C4"/>
    <w:tbl>
      <w:tblPr>
        <w:tblStyle w:val="TableGrid"/>
        <w:tblW w:w="9634" w:type="dxa"/>
        <w:tblLayout w:type="fixed"/>
        <w:tblLook w:val="04A0" w:firstRow="1" w:lastRow="0" w:firstColumn="1" w:lastColumn="0" w:noHBand="0" w:noVBand="1"/>
      </w:tblPr>
      <w:tblGrid>
        <w:gridCol w:w="2122"/>
        <w:gridCol w:w="2268"/>
        <w:gridCol w:w="2551"/>
        <w:gridCol w:w="2693"/>
      </w:tblGrid>
      <w:tr w:rsidR="00755A80" w:rsidRPr="00F52FFA" w14:paraId="643652A4" w14:textId="77777777" w:rsidTr="00A15CD1">
        <w:tc>
          <w:tcPr>
            <w:tcW w:w="9634" w:type="dxa"/>
            <w:gridSpan w:val="4"/>
          </w:tcPr>
          <w:p w14:paraId="524BBF72" w14:textId="694ACACF" w:rsidR="003A14EF" w:rsidRPr="00F52FFA" w:rsidRDefault="003A14EF" w:rsidP="00755A80">
            <w:pPr>
              <w:jc w:val="center"/>
              <w:rPr>
                <w:b/>
                <w:color w:val="000000"/>
                <w:lang w:eastAsia="en-US"/>
              </w:rPr>
            </w:pPr>
            <w:r w:rsidRPr="00F52FFA">
              <w:rPr>
                <w:b/>
                <w:color w:val="000000"/>
                <w:lang w:eastAsia="en-US"/>
              </w:rPr>
              <w:t>1.tabula</w:t>
            </w:r>
          </w:p>
          <w:p w14:paraId="387E66B0" w14:textId="3EFC53D4" w:rsidR="00755A80" w:rsidRPr="00F52FFA" w:rsidRDefault="00755A80" w:rsidP="00755A80">
            <w:pPr>
              <w:jc w:val="center"/>
            </w:pPr>
            <w:r w:rsidRPr="00F52FFA">
              <w:rPr>
                <w:b/>
                <w:color w:val="000000"/>
                <w:lang w:eastAsia="en-US"/>
              </w:rPr>
              <w:t>Tiesību akta projekta atbilstība ES tiesību aktiem</w:t>
            </w:r>
          </w:p>
        </w:tc>
      </w:tr>
      <w:tr w:rsidR="00755A80" w:rsidRPr="00F52FFA" w14:paraId="5283518A" w14:textId="77777777" w:rsidTr="00D318C4">
        <w:tc>
          <w:tcPr>
            <w:tcW w:w="2122" w:type="dxa"/>
          </w:tcPr>
          <w:p w14:paraId="130D3C37" w14:textId="3F2CE039" w:rsidR="00755A80" w:rsidRPr="00F52FFA" w:rsidRDefault="00755A80">
            <w:r w:rsidRPr="00F52FFA">
              <w:rPr>
                <w:color w:val="000000"/>
              </w:rPr>
              <w:t>Attiecīgā ES tiesību akta datums, numurs un nosaukums</w:t>
            </w:r>
          </w:p>
        </w:tc>
        <w:tc>
          <w:tcPr>
            <w:tcW w:w="7512" w:type="dxa"/>
            <w:gridSpan w:val="3"/>
          </w:tcPr>
          <w:p w14:paraId="2791ACA7" w14:textId="2C76427E" w:rsidR="00F03ABD" w:rsidRPr="00F52FFA" w:rsidRDefault="00F03ABD" w:rsidP="00F03ABD">
            <w:r w:rsidRPr="00F52FFA">
              <w:t>Ar noteikumu projektu tiks ieviestas prasības no:</w:t>
            </w:r>
          </w:p>
          <w:p w14:paraId="1A9938EB" w14:textId="5C912942" w:rsidR="00F03ABD" w:rsidRPr="00F52FFA" w:rsidRDefault="00F03ABD" w:rsidP="00F03ABD">
            <w:r w:rsidRPr="00F52FFA">
              <w:t>1.</w:t>
            </w:r>
            <w:r w:rsidRPr="00F52FFA">
              <w:tab/>
            </w:r>
            <w:r w:rsidR="00863385" w:rsidRPr="00F52FFA">
              <w:t xml:space="preserve">Eiropas Parlamenta un Padomes Regula </w:t>
            </w:r>
            <w:r w:rsidRPr="00F52FFA">
              <w:t>Nr. 1303/2013;</w:t>
            </w:r>
          </w:p>
          <w:p w14:paraId="03295655" w14:textId="1251CF45" w:rsidR="00F03ABD" w:rsidRPr="00F52FFA" w:rsidRDefault="00F03ABD" w:rsidP="00F03ABD">
            <w:r w:rsidRPr="00F52FFA">
              <w:t>2.</w:t>
            </w:r>
            <w:r w:rsidRPr="00F52FFA">
              <w:tab/>
              <w:t>Komisijas regula</w:t>
            </w:r>
            <w:r w:rsidR="00863385" w:rsidRPr="00F52FFA">
              <w:t>s Nr. 651/2014;</w:t>
            </w:r>
          </w:p>
          <w:p w14:paraId="63E1AEE1" w14:textId="0733FEF7" w:rsidR="00F03ABD" w:rsidRPr="00F52FFA" w:rsidRDefault="00F03ABD" w:rsidP="00F03ABD">
            <w:r w:rsidRPr="00F52FFA">
              <w:t>3.</w:t>
            </w:r>
            <w:r w:rsidRPr="00F52FFA">
              <w:tab/>
              <w:t>Komisijas regula</w:t>
            </w:r>
            <w:r w:rsidR="00863385" w:rsidRPr="00F52FFA">
              <w:t>s Nr. 1407/2013;</w:t>
            </w:r>
          </w:p>
          <w:p w14:paraId="0CFFF5BF" w14:textId="21E0A4D8" w:rsidR="00755A80" w:rsidRPr="00F52FFA" w:rsidRDefault="00F03ABD" w:rsidP="00F03ABD">
            <w:r w:rsidRPr="00F52FFA">
              <w:t>4.</w:t>
            </w:r>
            <w:r w:rsidRPr="00F52FFA">
              <w:tab/>
            </w:r>
            <w:r w:rsidR="00863385" w:rsidRPr="00F52FFA">
              <w:t>Komisijas lēmuma Nr. 2012/21/ES</w:t>
            </w:r>
            <w:r w:rsidRPr="00F52FFA">
              <w:t>.</w:t>
            </w:r>
          </w:p>
        </w:tc>
      </w:tr>
      <w:tr w:rsidR="00755A80" w:rsidRPr="00F52FFA" w14:paraId="0B5ACA82" w14:textId="77777777" w:rsidTr="00D318C4">
        <w:tc>
          <w:tcPr>
            <w:tcW w:w="2122" w:type="dxa"/>
          </w:tcPr>
          <w:p w14:paraId="12DBFAF8" w14:textId="38E613B5" w:rsidR="00755A80" w:rsidRPr="00F52FFA" w:rsidRDefault="00755A80" w:rsidP="00755A80">
            <w:pPr>
              <w:jc w:val="center"/>
            </w:pPr>
            <w:r w:rsidRPr="00F52FFA">
              <w:rPr>
                <w:color w:val="000000"/>
              </w:rPr>
              <w:t>A</w:t>
            </w:r>
          </w:p>
        </w:tc>
        <w:tc>
          <w:tcPr>
            <w:tcW w:w="2268" w:type="dxa"/>
          </w:tcPr>
          <w:p w14:paraId="1C37BBC9" w14:textId="6D8EEC21" w:rsidR="00755A80" w:rsidRPr="00F52FFA" w:rsidRDefault="00755A80" w:rsidP="00755A80">
            <w:pPr>
              <w:jc w:val="center"/>
            </w:pPr>
            <w:r w:rsidRPr="00F52FFA">
              <w:rPr>
                <w:color w:val="000000"/>
              </w:rPr>
              <w:t>B</w:t>
            </w:r>
          </w:p>
        </w:tc>
        <w:tc>
          <w:tcPr>
            <w:tcW w:w="2551" w:type="dxa"/>
          </w:tcPr>
          <w:p w14:paraId="212BD0A2" w14:textId="1F05A4FA" w:rsidR="00755A80" w:rsidRPr="00F52FFA" w:rsidRDefault="00755A80" w:rsidP="00755A80">
            <w:pPr>
              <w:jc w:val="center"/>
            </w:pPr>
            <w:r w:rsidRPr="00F52FFA">
              <w:rPr>
                <w:color w:val="000000"/>
              </w:rPr>
              <w:t>C</w:t>
            </w:r>
          </w:p>
        </w:tc>
        <w:tc>
          <w:tcPr>
            <w:tcW w:w="2693" w:type="dxa"/>
          </w:tcPr>
          <w:p w14:paraId="28EF9CB0" w14:textId="3696CF61" w:rsidR="00755A80" w:rsidRPr="00F52FFA" w:rsidRDefault="00755A80" w:rsidP="00755A80">
            <w:pPr>
              <w:jc w:val="center"/>
            </w:pPr>
            <w:r w:rsidRPr="00F52FFA">
              <w:rPr>
                <w:color w:val="000000"/>
              </w:rPr>
              <w:t>D</w:t>
            </w:r>
          </w:p>
        </w:tc>
      </w:tr>
      <w:tr w:rsidR="00755A80" w:rsidRPr="00F52FFA" w14:paraId="2C63C678" w14:textId="77777777" w:rsidTr="00D318C4">
        <w:tc>
          <w:tcPr>
            <w:tcW w:w="2122" w:type="dxa"/>
          </w:tcPr>
          <w:p w14:paraId="14B2DDE8" w14:textId="3DC6DABB" w:rsidR="00755A80" w:rsidRPr="00F52FFA" w:rsidRDefault="00755A80" w:rsidP="00170FBF">
            <w:pPr>
              <w:jc w:val="both"/>
            </w:pPr>
            <w:r w:rsidRPr="00F52FFA">
              <w:rPr>
                <w:color w:val="000000"/>
              </w:rPr>
              <w:t xml:space="preserve">Attiecīgā ES tiesību akta panta numurs (uzskaitot katru tiesību akta </w:t>
            </w:r>
            <w:r w:rsidRPr="00F52FFA">
              <w:rPr>
                <w:color w:val="000000"/>
              </w:rPr>
              <w:br/>
              <w:t>vienību – pantu, daļu, punktu, apakšpunktu)</w:t>
            </w:r>
            <w:r w:rsidR="00170FBF" w:rsidRPr="00F52FFA">
              <w:rPr>
                <w:color w:val="000000"/>
              </w:rPr>
              <w:t>.</w:t>
            </w:r>
          </w:p>
        </w:tc>
        <w:tc>
          <w:tcPr>
            <w:tcW w:w="2268" w:type="dxa"/>
          </w:tcPr>
          <w:p w14:paraId="2CF7BD76" w14:textId="10C21C57" w:rsidR="00755A80" w:rsidRPr="00F52FFA" w:rsidRDefault="00755A80" w:rsidP="00170FBF">
            <w:pPr>
              <w:jc w:val="both"/>
            </w:pPr>
            <w:r w:rsidRPr="00F52FFA">
              <w:rPr>
                <w:color w:val="000000"/>
              </w:rPr>
              <w:t>Projekta vienība, kas pārņem vai ievieš katru šīs tabulas A ailē minēto ES tiesību akta vienību, vai tiesību akts, kur attiecīgā ES tiesību akta vienība pārņemta vai ieviesta</w:t>
            </w:r>
            <w:r w:rsidR="00170FBF" w:rsidRPr="00F52FFA">
              <w:rPr>
                <w:color w:val="000000"/>
              </w:rPr>
              <w:t>.</w:t>
            </w:r>
          </w:p>
        </w:tc>
        <w:tc>
          <w:tcPr>
            <w:tcW w:w="2551" w:type="dxa"/>
          </w:tcPr>
          <w:p w14:paraId="11F4C16A" w14:textId="77777777" w:rsidR="00755A80" w:rsidRPr="00F52FFA" w:rsidRDefault="00755A80" w:rsidP="00170FBF">
            <w:pPr>
              <w:jc w:val="both"/>
              <w:rPr>
                <w:color w:val="000000"/>
              </w:rPr>
            </w:pPr>
            <w:r w:rsidRPr="00F52FFA">
              <w:rPr>
                <w:color w:val="000000"/>
              </w:rPr>
              <w:t>Informācija par to, vai šīs tabulas A ailē minētās ES tiesību akta vienības tiek pārņemtas vai ieviestas pilnībā vai daļēji.</w:t>
            </w:r>
          </w:p>
          <w:p w14:paraId="75ACBBAC" w14:textId="38F8723A" w:rsidR="00755A80" w:rsidRPr="00F52FFA" w:rsidRDefault="00755A80" w:rsidP="00170FBF">
            <w:pPr>
              <w:jc w:val="both"/>
              <w:rPr>
                <w:color w:val="000000"/>
              </w:rPr>
            </w:pPr>
            <w:r w:rsidRPr="00F52FFA">
              <w:rPr>
                <w:color w:val="000000"/>
              </w:rPr>
              <w:t>Ja attiecīgā ES tiesību akta vienība tiek pārņemta vai ieviesta daļēji, sniedz attiecīgu skaidrojumu, kā arī precīzi norāda, kad un kādā veidā ES tiesību akta vienība tiks pārņemta vai ieviesta pilnībā.</w:t>
            </w:r>
          </w:p>
          <w:p w14:paraId="372C29D7" w14:textId="01C5F85F" w:rsidR="00755A80" w:rsidRPr="00F52FFA" w:rsidRDefault="00755A80" w:rsidP="00170FBF">
            <w:pPr>
              <w:jc w:val="both"/>
            </w:pPr>
            <w:r w:rsidRPr="00F52FFA">
              <w:rPr>
                <w:color w:val="000000"/>
              </w:rPr>
              <w:t>Norāda institūciju, kas ir atbildīga par šo saistību izpildi pilnībā</w:t>
            </w:r>
            <w:r w:rsidR="00170FBF" w:rsidRPr="00F52FFA">
              <w:rPr>
                <w:color w:val="000000"/>
              </w:rPr>
              <w:t>.</w:t>
            </w:r>
          </w:p>
        </w:tc>
        <w:tc>
          <w:tcPr>
            <w:tcW w:w="2693" w:type="dxa"/>
          </w:tcPr>
          <w:p w14:paraId="1DFE53B7" w14:textId="77777777" w:rsidR="00755A80" w:rsidRPr="00F52FFA" w:rsidRDefault="00755A80" w:rsidP="00170FBF">
            <w:pPr>
              <w:jc w:val="both"/>
              <w:rPr>
                <w:color w:val="000000"/>
              </w:rPr>
            </w:pPr>
            <w:r w:rsidRPr="00F52FFA">
              <w:rPr>
                <w:color w:val="000000"/>
              </w:rPr>
              <w:t>Informācija par to, vai šīs tabulas B ailē minētās projekta vienības paredz stingrākas prasības nekā šīs tabulas A ailē minētās ES tiesību akta vienības.</w:t>
            </w:r>
          </w:p>
          <w:p w14:paraId="40DE5857" w14:textId="5A20F794" w:rsidR="00755A80" w:rsidRPr="00F52FFA" w:rsidRDefault="00755A80" w:rsidP="00170FBF">
            <w:pPr>
              <w:jc w:val="both"/>
              <w:rPr>
                <w:color w:val="000000"/>
              </w:rPr>
            </w:pPr>
            <w:r w:rsidRPr="00F52FFA">
              <w:rPr>
                <w:color w:val="000000"/>
              </w:rPr>
              <w:t>Ja projekts satur stingrākas prasības ne</w:t>
            </w:r>
            <w:r w:rsidR="00170FBF" w:rsidRPr="00F52FFA">
              <w:rPr>
                <w:color w:val="000000"/>
              </w:rPr>
              <w:t xml:space="preserve">kā attiecīgais ES tiesību akts, </w:t>
            </w:r>
            <w:r w:rsidRPr="00F52FFA">
              <w:rPr>
                <w:color w:val="000000"/>
              </w:rPr>
              <w:t>norāda pamatojumu un samērīgumu.</w:t>
            </w:r>
          </w:p>
          <w:p w14:paraId="344DEC02" w14:textId="22D601EC" w:rsidR="00755A80" w:rsidRPr="00F52FFA" w:rsidRDefault="00755A80" w:rsidP="00170FBF">
            <w:pPr>
              <w:jc w:val="both"/>
            </w:pPr>
            <w:r w:rsidRPr="00F52FFA">
              <w:rPr>
                <w:color w:val="000000"/>
              </w:rPr>
              <w:t>Norāda iespējamās alternatīvas (t.sk. alternatīvas, kas neparedz tiesiskā regulējuma izstrādi) – kādos gadījumos būtu iespējams izvairīties no stingrāku prasību noteikšanas, nekā paredzēts attiecīgajos ES tiesību aktos</w:t>
            </w:r>
            <w:r w:rsidR="00170FBF" w:rsidRPr="00F52FFA">
              <w:rPr>
                <w:color w:val="000000"/>
              </w:rPr>
              <w:t>.</w:t>
            </w:r>
          </w:p>
        </w:tc>
      </w:tr>
      <w:tr w:rsidR="00755A80" w:rsidRPr="00F52FFA" w14:paraId="146C8733" w14:textId="77777777" w:rsidTr="00D318C4">
        <w:tc>
          <w:tcPr>
            <w:tcW w:w="2122" w:type="dxa"/>
          </w:tcPr>
          <w:p w14:paraId="11F92F55" w14:textId="573BFD53" w:rsidR="00755A80" w:rsidRPr="00F52FFA" w:rsidRDefault="00755A80" w:rsidP="00755A80">
            <w:pPr>
              <w:rPr>
                <w:i/>
              </w:rPr>
            </w:pPr>
            <w:r w:rsidRPr="00F52FFA">
              <w:rPr>
                <w:i/>
                <w:color w:val="000000"/>
              </w:rPr>
              <w:t>Eiropas Parlamenta un Padomes Regula Nr. 1303/2013</w:t>
            </w:r>
          </w:p>
        </w:tc>
        <w:tc>
          <w:tcPr>
            <w:tcW w:w="2268" w:type="dxa"/>
          </w:tcPr>
          <w:p w14:paraId="1F997E7D" w14:textId="372B3AAE" w:rsidR="00755A80" w:rsidRPr="00F52FFA" w:rsidRDefault="00755A80" w:rsidP="00935300">
            <w:pPr>
              <w:rPr>
                <w:i/>
              </w:rPr>
            </w:pPr>
            <w:r w:rsidRPr="00F52FFA">
              <w:rPr>
                <w:i/>
                <w:iCs/>
                <w:color w:val="000000"/>
                <w:lang w:eastAsia="en-US"/>
              </w:rPr>
              <w:t xml:space="preserve">Noteikumu projekta </w:t>
            </w:r>
            <w:r w:rsidR="003B512C" w:rsidRPr="00F52FFA">
              <w:rPr>
                <w:i/>
                <w:iCs/>
                <w:color w:val="000000"/>
                <w:lang w:eastAsia="en-US"/>
              </w:rPr>
              <w:t>3</w:t>
            </w:r>
            <w:r w:rsidR="00B46D00">
              <w:rPr>
                <w:i/>
                <w:iCs/>
                <w:color w:val="000000"/>
                <w:lang w:eastAsia="en-US"/>
              </w:rPr>
              <w:t>7</w:t>
            </w:r>
            <w:r w:rsidR="00D46A3D" w:rsidRPr="00F52FFA">
              <w:rPr>
                <w:i/>
                <w:iCs/>
                <w:color w:val="000000"/>
                <w:lang w:eastAsia="en-US"/>
              </w:rPr>
              <w:t>.1. apakš</w:t>
            </w:r>
            <w:r w:rsidRPr="00F52FFA">
              <w:rPr>
                <w:i/>
                <w:iCs/>
                <w:color w:val="000000"/>
                <w:lang w:eastAsia="en-US"/>
              </w:rPr>
              <w:t>punkts</w:t>
            </w:r>
          </w:p>
        </w:tc>
        <w:tc>
          <w:tcPr>
            <w:tcW w:w="2551" w:type="dxa"/>
          </w:tcPr>
          <w:p w14:paraId="57A0C00A" w14:textId="54C4F43D" w:rsidR="00755A80" w:rsidRPr="00F52FFA" w:rsidRDefault="00D46A3D" w:rsidP="00755A80">
            <w:pPr>
              <w:rPr>
                <w:i/>
                <w:iCs/>
                <w:color w:val="000000"/>
              </w:rPr>
            </w:pPr>
            <w:r w:rsidRPr="00F52FFA">
              <w:rPr>
                <w:i/>
                <w:iCs/>
                <w:color w:val="000000"/>
              </w:rPr>
              <w:t>Ieviests pilnībā</w:t>
            </w:r>
          </w:p>
          <w:p w14:paraId="5E963423" w14:textId="397E5DBF" w:rsidR="00755A80" w:rsidRPr="00F52FFA" w:rsidRDefault="00755A80" w:rsidP="00755A80">
            <w:pPr>
              <w:rPr>
                <w:i/>
              </w:rPr>
            </w:pPr>
          </w:p>
        </w:tc>
        <w:tc>
          <w:tcPr>
            <w:tcW w:w="2693" w:type="dxa"/>
          </w:tcPr>
          <w:p w14:paraId="435AFB6E" w14:textId="7825B6F1" w:rsidR="00755A80" w:rsidRPr="00F52FFA" w:rsidRDefault="00321D42" w:rsidP="00755A80">
            <w:pPr>
              <w:rPr>
                <w:i/>
              </w:rPr>
            </w:pPr>
            <w:r w:rsidRPr="00F52FFA">
              <w:rPr>
                <w:i/>
                <w:iCs/>
                <w:color w:val="000000"/>
              </w:rPr>
              <w:t>Neparedz</w:t>
            </w:r>
            <w:r w:rsidR="00755A80" w:rsidRPr="00F52FFA">
              <w:rPr>
                <w:i/>
                <w:iCs/>
                <w:color w:val="000000"/>
              </w:rPr>
              <w:t xml:space="preserve"> s</w:t>
            </w:r>
            <w:r w:rsidRPr="00F52FFA">
              <w:rPr>
                <w:i/>
                <w:iCs/>
                <w:color w:val="000000"/>
              </w:rPr>
              <w:t>tingrākas prasības</w:t>
            </w:r>
          </w:p>
        </w:tc>
      </w:tr>
      <w:tr w:rsidR="00E467FE" w:rsidRPr="00F52FFA" w14:paraId="6E6B8D1D" w14:textId="77777777" w:rsidTr="00D318C4">
        <w:tc>
          <w:tcPr>
            <w:tcW w:w="2122" w:type="dxa"/>
          </w:tcPr>
          <w:p w14:paraId="3723EB0C" w14:textId="1E4FF3F2" w:rsidR="00E467FE" w:rsidRPr="00F52FFA" w:rsidRDefault="00E467FE" w:rsidP="00E467FE">
            <w:pPr>
              <w:rPr>
                <w:i/>
                <w:color w:val="000000"/>
              </w:rPr>
            </w:pPr>
            <w:r w:rsidRPr="00F52FFA">
              <w:rPr>
                <w:i/>
                <w:color w:val="000000"/>
              </w:rPr>
              <w:t>Komisijas lēmuma Nr. 2012/21/ES 4.pants</w:t>
            </w:r>
          </w:p>
        </w:tc>
        <w:tc>
          <w:tcPr>
            <w:tcW w:w="2268" w:type="dxa"/>
          </w:tcPr>
          <w:p w14:paraId="77FCED5E" w14:textId="30220E90" w:rsidR="00E467FE" w:rsidRPr="00F52FFA" w:rsidRDefault="00E467FE" w:rsidP="00E467FE">
            <w:pPr>
              <w:rPr>
                <w:i/>
                <w:iCs/>
                <w:color w:val="000000"/>
                <w:lang w:eastAsia="en-US"/>
              </w:rPr>
            </w:pPr>
            <w:r w:rsidRPr="00F52FFA">
              <w:rPr>
                <w:i/>
                <w:iCs/>
                <w:color w:val="000000"/>
                <w:lang w:eastAsia="en-US"/>
              </w:rPr>
              <w:t>Noteikumu projekta 5</w:t>
            </w:r>
            <w:r w:rsidR="00B46D00">
              <w:rPr>
                <w:i/>
                <w:iCs/>
                <w:color w:val="000000"/>
                <w:lang w:eastAsia="en-US"/>
              </w:rPr>
              <w:t>8</w:t>
            </w:r>
            <w:r w:rsidRPr="00F52FFA">
              <w:rPr>
                <w:i/>
                <w:iCs/>
                <w:color w:val="000000"/>
                <w:lang w:eastAsia="en-US"/>
              </w:rPr>
              <w:t>.1. apakšpunkts</w:t>
            </w:r>
          </w:p>
        </w:tc>
        <w:tc>
          <w:tcPr>
            <w:tcW w:w="2551" w:type="dxa"/>
          </w:tcPr>
          <w:p w14:paraId="3D2B3053" w14:textId="7F14C7E1" w:rsidR="00E467FE" w:rsidRPr="00F52FFA" w:rsidRDefault="00E467FE" w:rsidP="00E467FE">
            <w:pPr>
              <w:rPr>
                <w:i/>
                <w:iCs/>
                <w:color w:val="000000"/>
              </w:rPr>
            </w:pPr>
            <w:r w:rsidRPr="00F52FFA">
              <w:rPr>
                <w:i/>
                <w:iCs/>
                <w:color w:val="000000"/>
              </w:rPr>
              <w:t>Ieviests pilnībā</w:t>
            </w:r>
          </w:p>
        </w:tc>
        <w:tc>
          <w:tcPr>
            <w:tcW w:w="2693" w:type="dxa"/>
          </w:tcPr>
          <w:p w14:paraId="3CE9BFB0" w14:textId="5B44FD9F" w:rsidR="00E467FE" w:rsidRPr="00F52FFA" w:rsidRDefault="00E467FE" w:rsidP="00E467FE">
            <w:pPr>
              <w:rPr>
                <w:i/>
                <w:iCs/>
                <w:color w:val="000000"/>
              </w:rPr>
            </w:pPr>
            <w:r w:rsidRPr="00F52FFA">
              <w:rPr>
                <w:i/>
                <w:iCs/>
                <w:color w:val="000000"/>
              </w:rPr>
              <w:t>Neparedz stingrākas prasības</w:t>
            </w:r>
          </w:p>
        </w:tc>
      </w:tr>
      <w:tr w:rsidR="00E467FE" w:rsidRPr="00F52FFA" w14:paraId="7DC2B8CD" w14:textId="77777777" w:rsidTr="00D318C4">
        <w:tc>
          <w:tcPr>
            <w:tcW w:w="2122" w:type="dxa"/>
          </w:tcPr>
          <w:p w14:paraId="13AF4E44" w14:textId="1F0264A0" w:rsidR="00E467FE" w:rsidRPr="00F52FFA" w:rsidRDefault="00E467FE" w:rsidP="00E467FE">
            <w:pPr>
              <w:rPr>
                <w:i/>
                <w:color w:val="000000"/>
              </w:rPr>
            </w:pPr>
            <w:r w:rsidRPr="00F52FFA">
              <w:rPr>
                <w:i/>
                <w:color w:val="000000"/>
              </w:rPr>
              <w:lastRenderedPageBreak/>
              <w:t>Komisijas lēmuma Nr. 2012/21/ES 4.pants</w:t>
            </w:r>
          </w:p>
        </w:tc>
        <w:tc>
          <w:tcPr>
            <w:tcW w:w="2268" w:type="dxa"/>
          </w:tcPr>
          <w:p w14:paraId="475A43D8" w14:textId="4949BA90" w:rsidR="00E467FE" w:rsidRPr="00F52FFA" w:rsidRDefault="00E467FE" w:rsidP="00E467FE">
            <w:pPr>
              <w:rPr>
                <w:i/>
                <w:iCs/>
                <w:color w:val="000000"/>
                <w:lang w:eastAsia="en-US"/>
              </w:rPr>
            </w:pPr>
            <w:r w:rsidRPr="00F52FFA">
              <w:rPr>
                <w:i/>
                <w:iCs/>
                <w:color w:val="000000"/>
                <w:lang w:eastAsia="en-US"/>
              </w:rPr>
              <w:t>Noteikumu projekta 5</w:t>
            </w:r>
            <w:r w:rsidR="00B46D00">
              <w:rPr>
                <w:i/>
                <w:iCs/>
                <w:color w:val="000000"/>
                <w:lang w:eastAsia="en-US"/>
              </w:rPr>
              <w:t>8</w:t>
            </w:r>
            <w:r w:rsidRPr="00F52FFA">
              <w:rPr>
                <w:i/>
                <w:iCs/>
                <w:color w:val="000000"/>
                <w:lang w:eastAsia="en-US"/>
              </w:rPr>
              <w:t>.2. apakšpunkts</w:t>
            </w:r>
          </w:p>
        </w:tc>
        <w:tc>
          <w:tcPr>
            <w:tcW w:w="2551" w:type="dxa"/>
          </w:tcPr>
          <w:p w14:paraId="6CE997B3" w14:textId="67D87BFC" w:rsidR="00E467FE" w:rsidRPr="00F52FFA" w:rsidRDefault="00E467FE" w:rsidP="00E467FE">
            <w:pPr>
              <w:rPr>
                <w:i/>
                <w:iCs/>
                <w:color w:val="000000"/>
              </w:rPr>
            </w:pPr>
            <w:r w:rsidRPr="00F52FFA">
              <w:rPr>
                <w:i/>
                <w:iCs/>
                <w:color w:val="000000"/>
              </w:rPr>
              <w:t>Ieviests pilnībā</w:t>
            </w:r>
          </w:p>
        </w:tc>
        <w:tc>
          <w:tcPr>
            <w:tcW w:w="2693" w:type="dxa"/>
          </w:tcPr>
          <w:p w14:paraId="586D8CE3" w14:textId="77195513" w:rsidR="00E467FE" w:rsidRPr="00F52FFA" w:rsidRDefault="00E467FE" w:rsidP="00E467FE">
            <w:pPr>
              <w:rPr>
                <w:i/>
                <w:iCs/>
                <w:color w:val="000000"/>
              </w:rPr>
            </w:pPr>
            <w:r w:rsidRPr="00F52FFA">
              <w:rPr>
                <w:i/>
                <w:iCs/>
                <w:color w:val="000000"/>
              </w:rPr>
              <w:t>Neparedz stingrākas prasības</w:t>
            </w:r>
          </w:p>
        </w:tc>
      </w:tr>
      <w:tr w:rsidR="00E467FE" w:rsidRPr="00F52FFA" w14:paraId="6A2BD923" w14:textId="77777777" w:rsidTr="00D318C4">
        <w:tc>
          <w:tcPr>
            <w:tcW w:w="2122" w:type="dxa"/>
          </w:tcPr>
          <w:p w14:paraId="5D18989B" w14:textId="3246D92C" w:rsidR="00E467FE" w:rsidRPr="00F52FFA" w:rsidRDefault="00E467FE" w:rsidP="00E467FE">
            <w:pPr>
              <w:rPr>
                <w:i/>
                <w:color w:val="000000"/>
              </w:rPr>
            </w:pPr>
            <w:r w:rsidRPr="00F52FFA">
              <w:rPr>
                <w:i/>
                <w:color w:val="000000"/>
              </w:rPr>
              <w:t>Komisijas lēmuma Nr. 2012/21/ES 4.pants</w:t>
            </w:r>
          </w:p>
        </w:tc>
        <w:tc>
          <w:tcPr>
            <w:tcW w:w="2268" w:type="dxa"/>
          </w:tcPr>
          <w:p w14:paraId="13A35837" w14:textId="4872DC3F" w:rsidR="00E467FE" w:rsidRPr="00F52FFA" w:rsidRDefault="00E467FE" w:rsidP="00E467FE">
            <w:pPr>
              <w:rPr>
                <w:i/>
                <w:iCs/>
                <w:color w:val="000000"/>
                <w:lang w:eastAsia="en-US"/>
              </w:rPr>
            </w:pPr>
            <w:r w:rsidRPr="00F52FFA">
              <w:rPr>
                <w:i/>
                <w:iCs/>
                <w:color w:val="000000"/>
                <w:lang w:eastAsia="en-US"/>
              </w:rPr>
              <w:t>Noteikumu projekta 5</w:t>
            </w:r>
            <w:r w:rsidR="00B46D00">
              <w:rPr>
                <w:i/>
                <w:iCs/>
                <w:color w:val="000000"/>
                <w:lang w:eastAsia="en-US"/>
              </w:rPr>
              <w:t>8</w:t>
            </w:r>
            <w:r w:rsidRPr="00F52FFA">
              <w:rPr>
                <w:i/>
                <w:iCs/>
                <w:color w:val="000000"/>
                <w:lang w:eastAsia="en-US"/>
              </w:rPr>
              <w:t>.3. apakšpunkts</w:t>
            </w:r>
          </w:p>
        </w:tc>
        <w:tc>
          <w:tcPr>
            <w:tcW w:w="2551" w:type="dxa"/>
          </w:tcPr>
          <w:p w14:paraId="7C7BEAA7" w14:textId="171F11F4" w:rsidR="00E467FE" w:rsidRPr="00F52FFA" w:rsidRDefault="00E467FE" w:rsidP="00E467FE">
            <w:pPr>
              <w:rPr>
                <w:i/>
                <w:iCs/>
                <w:color w:val="000000"/>
              </w:rPr>
            </w:pPr>
            <w:r w:rsidRPr="00F52FFA">
              <w:rPr>
                <w:i/>
                <w:iCs/>
                <w:color w:val="000000"/>
              </w:rPr>
              <w:t>Ieviests pilnībā</w:t>
            </w:r>
          </w:p>
        </w:tc>
        <w:tc>
          <w:tcPr>
            <w:tcW w:w="2693" w:type="dxa"/>
          </w:tcPr>
          <w:p w14:paraId="38E5FD1B" w14:textId="1E008281" w:rsidR="00E467FE" w:rsidRPr="00F52FFA" w:rsidRDefault="00E467FE" w:rsidP="00E467FE">
            <w:pPr>
              <w:rPr>
                <w:i/>
                <w:iCs/>
                <w:color w:val="000000"/>
              </w:rPr>
            </w:pPr>
            <w:r w:rsidRPr="00F52FFA">
              <w:rPr>
                <w:i/>
                <w:iCs/>
                <w:color w:val="000000"/>
              </w:rPr>
              <w:t>Neparedz stingrākas prasības</w:t>
            </w:r>
          </w:p>
        </w:tc>
      </w:tr>
      <w:tr w:rsidR="00E467FE" w:rsidRPr="00F52FFA" w14:paraId="0A097861" w14:textId="77777777" w:rsidTr="00D318C4">
        <w:tc>
          <w:tcPr>
            <w:tcW w:w="2122" w:type="dxa"/>
          </w:tcPr>
          <w:p w14:paraId="08BA7E0C" w14:textId="093DFC5F" w:rsidR="00E467FE" w:rsidRPr="00F52FFA" w:rsidRDefault="00E467FE" w:rsidP="00E467FE">
            <w:pPr>
              <w:rPr>
                <w:i/>
                <w:color w:val="000000"/>
              </w:rPr>
            </w:pPr>
            <w:r w:rsidRPr="00F52FFA">
              <w:rPr>
                <w:i/>
                <w:color w:val="000000"/>
              </w:rPr>
              <w:t>Komisijas lēmuma Nr. 2012/21/ES 4.pants</w:t>
            </w:r>
          </w:p>
        </w:tc>
        <w:tc>
          <w:tcPr>
            <w:tcW w:w="2268" w:type="dxa"/>
          </w:tcPr>
          <w:p w14:paraId="75825784" w14:textId="5223F055" w:rsidR="00E467FE" w:rsidRPr="00F52FFA" w:rsidRDefault="00E467FE" w:rsidP="00E467FE">
            <w:pPr>
              <w:rPr>
                <w:i/>
                <w:iCs/>
                <w:color w:val="000000"/>
                <w:lang w:eastAsia="en-US"/>
              </w:rPr>
            </w:pPr>
            <w:r w:rsidRPr="00F52FFA">
              <w:rPr>
                <w:i/>
                <w:iCs/>
                <w:color w:val="000000"/>
                <w:lang w:eastAsia="en-US"/>
              </w:rPr>
              <w:t>Noteikumu projekta 5</w:t>
            </w:r>
            <w:r w:rsidR="00B46D00">
              <w:rPr>
                <w:i/>
                <w:iCs/>
                <w:color w:val="000000"/>
                <w:lang w:eastAsia="en-US"/>
              </w:rPr>
              <w:t>8</w:t>
            </w:r>
            <w:r w:rsidRPr="00F52FFA">
              <w:rPr>
                <w:i/>
                <w:iCs/>
                <w:color w:val="000000"/>
                <w:lang w:eastAsia="en-US"/>
              </w:rPr>
              <w:t>.4. apakšpunkts</w:t>
            </w:r>
          </w:p>
        </w:tc>
        <w:tc>
          <w:tcPr>
            <w:tcW w:w="2551" w:type="dxa"/>
          </w:tcPr>
          <w:p w14:paraId="246455E5" w14:textId="13E75813" w:rsidR="00E467FE" w:rsidRPr="00F52FFA" w:rsidRDefault="00E467FE" w:rsidP="00E467FE">
            <w:pPr>
              <w:rPr>
                <w:i/>
                <w:iCs/>
                <w:color w:val="000000"/>
              </w:rPr>
            </w:pPr>
            <w:r w:rsidRPr="00F52FFA">
              <w:rPr>
                <w:i/>
                <w:iCs/>
                <w:color w:val="000000"/>
              </w:rPr>
              <w:t>Ieviests pilnībā</w:t>
            </w:r>
          </w:p>
        </w:tc>
        <w:tc>
          <w:tcPr>
            <w:tcW w:w="2693" w:type="dxa"/>
          </w:tcPr>
          <w:p w14:paraId="383FFE3F" w14:textId="2D2A9803" w:rsidR="00E467FE" w:rsidRPr="00F52FFA" w:rsidRDefault="00E467FE" w:rsidP="00E467FE">
            <w:pPr>
              <w:rPr>
                <w:i/>
                <w:iCs/>
                <w:color w:val="000000"/>
              </w:rPr>
            </w:pPr>
            <w:r w:rsidRPr="00F52FFA">
              <w:rPr>
                <w:i/>
                <w:iCs/>
                <w:color w:val="000000"/>
              </w:rPr>
              <w:t>Neparedz stingrākas prasības</w:t>
            </w:r>
          </w:p>
        </w:tc>
      </w:tr>
      <w:tr w:rsidR="00E467FE" w:rsidRPr="00F52FFA" w14:paraId="706F4A49" w14:textId="77777777" w:rsidTr="00D318C4">
        <w:tc>
          <w:tcPr>
            <w:tcW w:w="2122" w:type="dxa"/>
          </w:tcPr>
          <w:p w14:paraId="3F6DF05D" w14:textId="607EB6ED" w:rsidR="00E467FE" w:rsidRPr="00F52FFA" w:rsidRDefault="00E467FE" w:rsidP="00E467FE">
            <w:pPr>
              <w:rPr>
                <w:i/>
                <w:color w:val="000000"/>
              </w:rPr>
            </w:pPr>
            <w:r w:rsidRPr="00F52FFA">
              <w:rPr>
                <w:i/>
                <w:color w:val="000000"/>
              </w:rPr>
              <w:t>Komisijas lēmuma Nr. 2012/21/ES 4.pants</w:t>
            </w:r>
          </w:p>
        </w:tc>
        <w:tc>
          <w:tcPr>
            <w:tcW w:w="2268" w:type="dxa"/>
          </w:tcPr>
          <w:p w14:paraId="77AB04EF" w14:textId="78B2E3F0" w:rsidR="00E467FE" w:rsidRPr="00F52FFA" w:rsidRDefault="00E467FE" w:rsidP="00E467FE">
            <w:pPr>
              <w:rPr>
                <w:i/>
                <w:iCs/>
                <w:color w:val="000000"/>
                <w:lang w:eastAsia="en-US"/>
              </w:rPr>
            </w:pPr>
            <w:r w:rsidRPr="00F52FFA">
              <w:rPr>
                <w:i/>
                <w:iCs/>
                <w:color w:val="000000"/>
                <w:lang w:eastAsia="en-US"/>
              </w:rPr>
              <w:t>Noteikumu projekta 5</w:t>
            </w:r>
            <w:r w:rsidR="00B46D00">
              <w:rPr>
                <w:i/>
                <w:iCs/>
                <w:color w:val="000000"/>
                <w:lang w:eastAsia="en-US"/>
              </w:rPr>
              <w:t>8</w:t>
            </w:r>
            <w:r w:rsidRPr="00F52FFA">
              <w:rPr>
                <w:i/>
                <w:iCs/>
                <w:color w:val="000000"/>
                <w:lang w:eastAsia="en-US"/>
              </w:rPr>
              <w:t>.5. apakšpunkts</w:t>
            </w:r>
          </w:p>
        </w:tc>
        <w:tc>
          <w:tcPr>
            <w:tcW w:w="2551" w:type="dxa"/>
          </w:tcPr>
          <w:p w14:paraId="76E94D44" w14:textId="1A86385F" w:rsidR="00E467FE" w:rsidRPr="00F52FFA" w:rsidRDefault="00E467FE" w:rsidP="00E467FE">
            <w:pPr>
              <w:rPr>
                <w:i/>
                <w:iCs/>
                <w:color w:val="000000"/>
              </w:rPr>
            </w:pPr>
            <w:r w:rsidRPr="00F52FFA">
              <w:rPr>
                <w:i/>
                <w:iCs/>
                <w:color w:val="000000"/>
              </w:rPr>
              <w:t>Ieviests pilnībā</w:t>
            </w:r>
          </w:p>
        </w:tc>
        <w:tc>
          <w:tcPr>
            <w:tcW w:w="2693" w:type="dxa"/>
          </w:tcPr>
          <w:p w14:paraId="6F462110" w14:textId="2A2D4E0F" w:rsidR="00E467FE" w:rsidRPr="00F52FFA" w:rsidRDefault="00E467FE" w:rsidP="00E467FE">
            <w:pPr>
              <w:rPr>
                <w:i/>
                <w:iCs/>
                <w:color w:val="000000"/>
              </w:rPr>
            </w:pPr>
            <w:r w:rsidRPr="00F52FFA">
              <w:rPr>
                <w:i/>
                <w:iCs/>
                <w:color w:val="000000"/>
              </w:rPr>
              <w:t>Neparedz stingrākas prasības</w:t>
            </w:r>
          </w:p>
        </w:tc>
      </w:tr>
      <w:tr w:rsidR="00E467FE" w:rsidRPr="00F52FFA" w14:paraId="56654FE5" w14:textId="77777777" w:rsidTr="00D318C4">
        <w:tc>
          <w:tcPr>
            <w:tcW w:w="2122" w:type="dxa"/>
          </w:tcPr>
          <w:p w14:paraId="085DAAEE" w14:textId="490ECD5C" w:rsidR="00E467FE" w:rsidRPr="00F52FFA" w:rsidRDefault="00E467FE" w:rsidP="00E467FE">
            <w:pPr>
              <w:rPr>
                <w:i/>
                <w:color w:val="000000"/>
              </w:rPr>
            </w:pPr>
            <w:r w:rsidRPr="00F52FFA">
              <w:rPr>
                <w:i/>
                <w:color w:val="000000"/>
              </w:rPr>
              <w:t>Komisijas lēmuma Nr. 2012/21/ES 4.pants</w:t>
            </w:r>
          </w:p>
        </w:tc>
        <w:tc>
          <w:tcPr>
            <w:tcW w:w="2268" w:type="dxa"/>
          </w:tcPr>
          <w:p w14:paraId="0C730FE8" w14:textId="47BC487D" w:rsidR="00E467FE" w:rsidRPr="00F52FFA" w:rsidRDefault="00E467FE" w:rsidP="00E467FE">
            <w:pPr>
              <w:rPr>
                <w:i/>
                <w:iCs/>
                <w:color w:val="000000"/>
                <w:lang w:eastAsia="en-US"/>
              </w:rPr>
            </w:pPr>
            <w:r w:rsidRPr="00F52FFA">
              <w:rPr>
                <w:i/>
                <w:iCs/>
                <w:color w:val="000000"/>
                <w:lang w:eastAsia="en-US"/>
              </w:rPr>
              <w:t>Noteikumu projekta 5</w:t>
            </w:r>
            <w:r w:rsidR="00B46D00">
              <w:rPr>
                <w:i/>
                <w:iCs/>
                <w:color w:val="000000"/>
                <w:lang w:eastAsia="en-US"/>
              </w:rPr>
              <w:t>8</w:t>
            </w:r>
            <w:r w:rsidRPr="00F52FFA">
              <w:rPr>
                <w:i/>
                <w:iCs/>
                <w:color w:val="000000"/>
                <w:lang w:eastAsia="en-US"/>
              </w:rPr>
              <w:t>.6. apakšpunkts</w:t>
            </w:r>
          </w:p>
        </w:tc>
        <w:tc>
          <w:tcPr>
            <w:tcW w:w="2551" w:type="dxa"/>
          </w:tcPr>
          <w:p w14:paraId="3535E789" w14:textId="3D797185" w:rsidR="00E467FE" w:rsidRPr="00F52FFA" w:rsidRDefault="00E467FE" w:rsidP="00E467FE">
            <w:pPr>
              <w:rPr>
                <w:i/>
                <w:iCs/>
                <w:color w:val="000000"/>
              </w:rPr>
            </w:pPr>
            <w:r w:rsidRPr="00F52FFA">
              <w:rPr>
                <w:i/>
                <w:iCs/>
                <w:color w:val="000000"/>
              </w:rPr>
              <w:t>Ieviests pilnībā</w:t>
            </w:r>
          </w:p>
        </w:tc>
        <w:tc>
          <w:tcPr>
            <w:tcW w:w="2693" w:type="dxa"/>
          </w:tcPr>
          <w:p w14:paraId="70004BB5" w14:textId="7704D65A" w:rsidR="00E467FE" w:rsidRPr="00F52FFA" w:rsidRDefault="00E467FE" w:rsidP="00E467FE">
            <w:pPr>
              <w:rPr>
                <w:i/>
                <w:iCs/>
                <w:color w:val="000000"/>
              </w:rPr>
            </w:pPr>
            <w:r w:rsidRPr="00F52FFA">
              <w:rPr>
                <w:i/>
                <w:iCs/>
                <w:color w:val="000000"/>
              </w:rPr>
              <w:t>Neparedz stingrākas prasības</w:t>
            </w:r>
          </w:p>
        </w:tc>
      </w:tr>
      <w:tr w:rsidR="00E467FE" w:rsidRPr="00F52FFA" w14:paraId="49A89992" w14:textId="77777777" w:rsidTr="00D318C4">
        <w:tc>
          <w:tcPr>
            <w:tcW w:w="2122" w:type="dxa"/>
          </w:tcPr>
          <w:p w14:paraId="75AB3E76" w14:textId="0FA4BC99" w:rsidR="00E467FE" w:rsidRPr="00F52FFA" w:rsidRDefault="00E467FE" w:rsidP="00E467FE">
            <w:pPr>
              <w:rPr>
                <w:i/>
                <w:color w:val="000000"/>
              </w:rPr>
            </w:pPr>
            <w:r w:rsidRPr="00F52FFA">
              <w:rPr>
                <w:i/>
                <w:color w:val="000000"/>
              </w:rPr>
              <w:t>Komisijas lēmuma Nr. 2012/21/ES 4.pants</w:t>
            </w:r>
          </w:p>
        </w:tc>
        <w:tc>
          <w:tcPr>
            <w:tcW w:w="2268" w:type="dxa"/>
          </w:tcPr>
          <w:p w14:paraId="4588331F" w14:textId="7AFED52A" w:rsidR="00E467FE" w:rsidRPr="00F52FFA" w:rsidRDefault="00E467FE" w:rsidP="00E467FE">
            <w:pPr>
              <w:rPr>
                <w:i/>
                <w:iCs/>
                <w:color w:val="000000"/>
                <w:lang w:eastAsia="en-US"/>
              </w:rPr>
            </w:pPr>
            <w:r w:rsidRPr="00F52FFA">
              <w:rPr>
                <w:i/>
                <w:iCs/>
                <w:color w:val="000000"/>
                <w:lang w:eastAsia="en-US"/>
              </w:rPr>
              <w:t>Noteikumu projekta 5</w:t>
            </w:r>
            <w:r w:rsidR="00B46D00">
              <w:rPr>
                <w:i/>
                <w:iCs/>
                <w:color w:val="000000"/>
                <w:lang w:eastAsia="en-US"/>
              </w:rPr>
              <w:t>8</w:t>
            </w:r>
            <w:r w:rsidRPr="00F52FFA">
              <w:rPr>
                <w:i/>
                <w:iCs/>
                <w:color w:val="000000"/>
                <w:lang w:eastAsia="en-US"/>
              </w:rPr>
              <w:t>.7. apakšpunkts</w:t>
            </w:r>
          </w:p>
        </w:tc>
        <w:tc>
          <w:tcPr>
            <w:tcW w:w="2551" w:type="dxa"/>
          </w:tcPr>
          <w:p w14:paraId="151E08A7" w14:textId="2F8B79F2" w:rsidR="00E467FE" w:rsidRPr="00F52FFA" w:rsidRDefault="00E467FE" w:rsidP="00E467FE">
            <w:pPr>
              <w:rPr>
                <w:i/>
                <w:iCs/>
                <w:color w:val="000000"/>
              </w:rPr>
            </w:pPr>
            <w:r w:rsidRPr="00F52FFA">
              <w:rPr>
                <w:i/>
                <w:iCs/>
                <w:color w:val="000000"/>
              </w:rPr>
              <w:t>Ieviests pilnībā</w:t>
            </w:r>
          </w:p>
        </w:tc>
        <w:tc>
          <w:tcPr>
            <w:tcW w:w="2693" w:type="dxa"/>
          </w:tcPr>
          <w:p w14:paraId="3C3EA0B8" w14:textId="14D20A5D" w:rsidR="00E467FE" w:rsidRPr="00F52FFA" w:rsidRDefault="00E467FE" w:rsidP="00E467FE">
            <w:pPr>
              <w:rPr>
                <w:i/>
                <w:iCs/>
                <w:color w:val="000000"/>
              </w:rPr>
            </w:pPr>
            <w:r w:rsidRPr="00F52FFA">
              <w:rPr>
                <w:i/>
                <w:iCs/>
                <w:color w:val="000000"/>
              </w:rPr>
              <w:t>Neparedz stingrākas prasības</w:t>
            </w:r>
          </w:p>
        </w:tc>
      </w:tr>
      <w:tr w:rsidR="00E467FE" w:rsidRPr="00F52FFA" w14:paraId="26D3206A" w14:textId="77777777" w:rsidTr="00D318C4">
        <w:tc>
          <w:tcPr>
            <w:tcW w:w="2122" w:type="dxa"/>
          </w:tcPr>
          <w:p w14:paraId="625CB20A" w14:textId="5FAC1763" w:rsidR="00E467FE" w:rsidRPr="00F52FFA" w:rsidDel="00CD0311" w:rsidRDefault="00E467FE" w:rsidP="00E467FE">
            <w:pPr>
              <w:rPr>
                <w:i/>
                <w:color w:val="000000"/>
              </w:rPr>
            </w:pPr>
            <w:r w:rsidRPr="00F52FFA">
              <w:rPr>
                <w:i/>
                <w:color w:val="000000"/>
              </w:rPr>
              <w:t>Vispārēja atsauce uz Komisijas lēmumu Nr. 2012/21/ES</w:t>
            </w:r>
          </w:p>
        </w:tc>
        <w:tc>
          <w:tcPr>
            <w:tcW w:w="2268" w:type="dxa"/>
          </w:tcPr>
          <w:p w14:paraId="19272544" w14:textId="693D319F" w:rsidR="00E467FE" w:rsidRPr="00F52FFA" w:rsidRDefault="00113E5E" w:rsidP="00E467FE">
            <w:pPr>
              <w:rPr>
                <w:i/>
                <w:iCs/>
                <w:color w:val="000000"/>
                <w:lang w:eastAsia="en-US"/>
              </w:rPr>
            </w:pPr>
            <w:r w:rsidRPr="00F52FFA">
              <w:rPr>
                <w:i/>
                <w:iCs/>
                <w:color w:val="000000"/>
                <w:lang w:eastAsia="en-US"/>
              </w:rPr>
              <w:t xml:space="preserve">Noteikumu projekta </w:t>
            </w:r>
            <w:r w:rsidR="00B46D00">
              <w:rPr>
                <w:i/>
                <w:iCs/>
                <w:color w:val="000000"/>
                <w:lang w:eastAsia="en-US"/>
              </w:rPr>
              <w:t>59</w:t>
            </w:r>
            <w:r w:rsidR="00E467FE" w:rsidRPr="00F52FFA">
              <w:rPr>
                <w:i/>
                <w:iCs/>
                <w:color w:val="000000"/>
                <w:lang w:eastAsia="en-US"/>
              </w:rPr>
              <w:t>. punkts</w:t>
            </w:r>
          </w:p>
        </w:tc>
        <w:tc>
          <w:tcPr>
            <w:tcW w:w="2551" w:type="dxa"/>
          </w:tcPr>
          <w:p w14:paraId="0DCD704E" w14:textId="1FFBD3F7" w:rsidR="00E467FE" w:rsidRPr="00F52FFA" w:rsidRDefault="00E467FE" w:rsidP="00E467FE">
            <w:pPr>
              <w:rPr>
                <w:i/>
                <w:iCs/>
                <w:color w:val="000000"/>
              </w:rPr>
            </w:pPr>
            <w:r w:rsidRPr="00F52FFA">
              <w:rPr>
                <w:i/>
                <w:iCs/>
                <w:color w:val="000000"/>
              </w:rPr>
              <w:t>Ieviests pilnībā</w:t>
            </w:r>
          </w:p>
        </w:tc>
        <w:tc>
          <w:tcPr>
            <w:tcW w:w="2693" w:type="dxa"/>
          </w:tcPr>
          <w:p w14:paraId="1D5A2892" w14:textId="1AFF7057" w:rsidR="00E467FE" w:rsidRPr="00F52FFA" w:rsidRDefault="00E467FE" w:rsidP="00E467FE">
            <w:pPr>
              <w:rPr>
                <w:i/>
                <w:iCs/>
                <w:color w:val="000000"/>
              </w:rPr>
            </w:pPr>
            <w:r w:rsidRPr="00F52FFA">
              <w:rPr>
                <w:i/>
                <w:iCs/>
                <w:color w:val="000000"/>
              </w:rPr>
              <w:t>Neparedz stingrākas prasības</w:t>
            </w:r>
          </w:p>
        </w:tc>
      </w:tr>
      <w:tr w:rsidR="00E467FE" w:rsidRPr="00F52FFA" w14:paraId="19131D7F" w14:textId="77777777" w:rsidTr="00D318C4">
        <w:tc>
          <w:tcPr>
            <w:tcW w:w="2122" w:type="dxa"/>
          </w:tcPr>
          <w:p w14:paraId="32389698" w14:textId="61421E54" w:rsidR="00E467FE" w:rsidRPr="00F52FFA" w:rsidRDefault="00E467FE" w:rsidP="00E467FE">
            <w:pPr>
              <w:rPr>
                <w:i/>
                <w:color w:val="000000"/>
              </w:rPr>
            </w:pPr>
            <w:r w:rsidRPr="00F52FFA">
              <w:rPr>
                <w:i/>
                <w:color w:val="000000"/>
              </w:rPr>
              <w:t>Komisijas regulas Nr. 651/2014 55.pants</w:t>
            </w:r>
          </w:p>
        </w:tc>
        <w:tc>
          <w:tcPr>
            <w:tcW w:w="2268" w:type="dxa"/>
          </w:tcPr>
          <w:p w14:paraId="3FF62474" w14:textId="5D78BB61" w:rsidR="00E467FE" w:rsidRPr="00F52FFA" w:rsidRDefault="00E467FE" w:rsidP="00E467FE">
            <w:pPr>
              <w:rPr>
                <w:i/>
                <w:iCs/>
                <w:color w:val="000000"/>
                <w:lang w:eastAsia="en-US"/>
              </w:rPr>
            </w:pPr>
            <w:r w:rsidRPr="00F52FFA">
              <w:rPr>
                <w:i/>
                <w:iCs/>
                <w:color w:val="000000"/>
                <w:lang w:eastAsia="en-US"/>
              </w:rPr>
              <w:t>Noteikumu projekta 6</w:t>
            </w:r>
            <w:r w:rsidR="00B46D00">
              <w:rPr>
                <w:i/>
                <w:iCs/>
                <w:color w:val="000000"/>
                <w:lang w:eastAsia="en-US"/>
              </w:rPr>
              <w:t>0</w:t>
            </w:r>
            <w:r w:rsidRPr="00F52FFA">
              <w:rPr>
                <w:i/>
                <w:iCs/>
                <w:color w:val="000000"/>
                <w:lang w:eastAsia="en-US"/>
              </w:rPr>
              <w:t>.1. apakšpunkts</w:t>
            </w:r>
          </w:p>
        </w:tc>
        <w:tc>
          <w:tcPr>
            <w:tcW w:w="2551" w:type="dxa"/>
          </w:tcPr>
          <w:p w14:paraId="60E14ACF" w14:textId="28E8FE70" w:rsidR="00E467FE" w:rsidRPr="00F52FFA" w:rsidRDefault="00E467FE" w:rsidP="00E467FE">
            <w:pPr>
              <w:rPr>
                <w:i/>
                <w:iCs/>
                <w:color w:val="000000"/>
              </w:rPr>
            </w:pPr>
            <w:r w:rsidRPr="00F52FFA">
              <w:rPr>
                <w:i/>
                <w:iCs/>
                <w:color w:val="000000"/>
              </w:rPr>
              <w:t>Ieviests pilnībā</w:t>
            </w:r>
          </w:p>
        </w:tc>
        <w:tc>
          <w:tcPr>
            <w:tcW w:w="2693" w:type="dxa"/>
          </w:tcPr>
          <w:p w14:paraId="3DFFCAC8" w14:textId="7FB0D0DC" w:rsidR="00E467FE" w:rsidRPr="00F52FFA" w:rsidRDefault="00E467FE" w:rsidP="00E467FE">
            <w:pPr>
              <w:rPr>
                <w:i/>
                <w:iCs/>
                <w:color w:val="000000"/>
              </w:rPr>
            </w:pPr>
            <w:r w:rsidRPr="00F52FFA">
              <w:rPr>
                <w:i/>
                <w:iCs/>
                <w:color w:val="000000"/>
              </w:rPr>
              <w:t>Neparedz stingrākas prasības</w:t>
            </w:r>
          </w:p>
        </w:tc>
      </w:tr>
      <w:tr w:rsidR="00E467FE" w:rsidRPr="00F52FFA" w14:paraId="1FEF8165" w14:textId="77777777" w:rsidTr="00D318C4">
        <w:tc>
          <w:tcPr>
            <w:tcW w:w="2122" w:type="dxa"/>
          </w:tcPr>
          <w:p w14:paraId="1D4C69E0" w14:textId="7DE92BA4" w:rsidR="00E467FE" w:rsidRPr="00F52FFA" w:rsidRDefault="00E467FE" w:rsidP="00E467FE">
            <w:pPr>
              <w:rPr>
                <w:i/>
                <w:color w:val="000000"/>
              </w:rPr>
            </w:pPr>
            <w:r w:rsidRPr="00F52FFA">
              <w:rPr>
                <w:i/>
                <w:color w:val="000000"/>
              </w:rPr>
              <w:t>Vispārēja atsauce uz Komisijas regula Nr. 1407/2013</w:t>
            </w:r>
          </w:p>
        </w:tc>
        <w:tc>
          <w:tcPr>
            <w:tcW w:w="2268" w:type="dxa"/>
          </w:tcPr>
          <w:p w14:paraId="1786832E" w14:textId="461BE0A6" w:rsidR="00E467FE" w:rsidRPr="00F52FFA" w:rsidRDefault="00E467FE" w:rsidP="00E467FE">
            <w:pPr>
              <w:rPr>
                <w:i/>
                <w:iCs/>
                <w:color w:val="000000"/>
                <w:lang w:eastAsia="en-US"/>
              </w:rPr>
            </w:pPr>
            <w:r w:rsidRPr="00F52FFA">
              <w:rPr>
                <w:i/>
                <w:iCs/>
                <w:color w:val="000000"/>
                <w:lang w:eastAsia="en-US"/>
              </w:rPr>
              <w:t>Noteikumu projekta 6</w:t>
            </w:r>
            <w:r w:rsidR="00B46D00">
              <w:rPr>
                <w:i/>
                <w:iCs/>
                <w:color w:val="000000"/>
                <w:lang w:eastAsia="en-US"/>
              </w:rPr>
              <w:t>0</w:t>
            </w:r>
            <w:r w:rsidRPr="00F52FFA">
              <w:rPr>
                <w:i/>
                <w:iCs/>
                <w:color w:val="000000"/>
                <w:lang w:eastAsia="en-US"/>
              </w:rPr>
              <w:t>.2. apakšpunkts</w:t>
            </w:r>
          </w:p>
        </w:tc>
        <w:tc>
          <w:tcPr>
            <w:tcW w:w="2551" w:type="dxa"/>
          </w:tcPr>
          <w:p w14:paraId="1E633628" w14:textId="7B3904D2" w:rsidR="00E467FE" w:rsidRPr="00F52FFA" w:rsidRDefault="00E467FE" w:rsidP="00E467FE">
            <w:pPr>
              <w:rPr>
                <w:i/>
                <w:iCs/>
                <w:color w:val="000000"/>
              </w:rPr>
            </w:pPr>
            <w:r w:rsidRPr="00F52FFA">
              <w:rPr>
                <w:i/>
                <w:iCs/>
                <w:color w:val="000000"/>
              </w:rPr>
              <w:t>Ieviests pilnībā</w:t>
            </w:r>
          </w:p>
        </w:tc>
        <w:tc>
          <w:tcPr>
            <w:tcW w:w="2693" w:type="dxa"/>
          </w:tcPr>
          <w:p w14:paraId="5F216A15" w14:textId="3D498966" w:rsidR="00E467FE" w:rsidRPr="00F52FFA" w:rsidRDefault="00E467FE" w:rsidP="00E467FE">
            <w:pPr>
              <w:rPr>
                <w:i/>
                <w:iCs/>
                <w:color w:val="000000"/>
              </w:rPr>
            </w:pPr>
            <w:r w:rsidRPr="00F52FFA">
              <w:rPr>
                <w:i/>
                <w:iCs/>
                <w:color w:val="000000"/>
              </w:rPr>
              <w:t>Neparedz stingrākas prasības</w:t>
            </w:r>
          </w:p>
        </w:tc>
      </w:tr>
      <w:tr w:rsidR="00E467FE" w:rsidRPr="00F52FFA" w14:paraId="0054AE32" w14:textId="77777777" w:rsidTr="00D318C4">
        <w:tc>
          <w:tcPr>
            <w:tcW w:w="2122" w:type="dxa"/>
          </w:tcPr>
          <w:p w14:paraId="4243CA65" w14:textId="2B4D4D8A" w:rsidR="00E467FE" w:rsidRPr="00F52FFA" w:rsidRDefault="00E467FE" w:rsidP="00E467FE">
            <w:pPr>
              <w:rPr>
                <w:i/>
                <w:color w:val="000000"/>
              </w:rPr>
            </w:pPr>
            <w:r w:rsidRPr="00F52FFA">
              <w:rPr>
                <w:i/>
                <w:color w:val="000000"/>
              </w:rPr>
              <w:t>Komisijas regulas Nr. 651/2014 55. panta 1. punkts</w:t>
            </w:r>
          </w:p>
        </w:tc>
        <w:tc>
          <w:tcPr>
            <w:tcW w:w="2268" w:type="dxa"/>
          </w:tcPr>
          <w:p w14:paraId="3DB86234" w14:textId="3456017D" w:rsidR="00E467FE" w:rsidRPr="00F52FFA" w:rsidRDefault="00E467FE" w:rsidP="00E467FE">
            <w:pPr>
              <w:rPr>
                <w:i/>
                <w:iCs/>
                <w:color w:val="000000"/>
                <w:lang w:eastAsia="en-US"/>
              </w:rPr>
            </w:pPr>
            <w:r w:rsidRPr="00F52FFA">
              <w:rPr>
                <w:i/>
                <w:iCs/>
                <w:color w:val="000000"/>
                <w:lang w:eastAsia="en-US"/>
              </w:rPr>
              <w:t>Noteikumu projekta 6</w:t>
            </w:r>
            <w:r w:rsidR="00B46D00">
              <w:rPr>
                <w:i/>
                <w:iCs/>
                <w:color w:val="000000"/>
                <w:lang w:eastAsia="en-US"/>
              </w:rPr>
              <w:t>2</w:t>
            </w:r>
            <w:r w:rsidRPr="00F52FFA">
              <w:rPr>
                <w:i/>
                <w:iCs/>
                <w:color w:val="000000"/>
                <w:lang w:eastAsia="en-US"/>
              </w:rPr>
              <w:t>. apakšpunkts</w:t>
            </w:r>
          </w:p>
        </w:tc>
        <w:tc>
          <w:tcPr>
            <w:tcW w:w="2551" w:type="dxa"/>
          </w:tcPr>
          <w:p w14:paraId="659C32BD" w14:textId="27D24BFC" w:rsidR="00E467FE" w:rsidRPr="00F52FFA" w:rsidRDefault="00E467FE" w:rsidP="00E467FE">
            <w:pPr>
              <w:rPr>
                <w:i/>
                <w:iCs/>
                <w:color w:val="000000"/>
              </w:rPr>
            </w:pPr>
            <w:r w:rsidRPr="00F52FFA">
              <w:rPr>
                <w:i/>
                <w:iCs/>
                <w:color w:val="000000"/>
              </w:rPr>
              <w:t>Ieviests pilnībā</w:t>
            </w:r>
          </w:p>
        </w:tc>
        <w:tc>
          <w:tcPr>
            <w:tcW w:w="2693" w:type="dxa"/>
          </w:tcPr>
          <w:p w14:paraId="3453724C" w14:textId="581CCDC9" w:rsidR="00E467FE" w:rsidRPr="00F52FFA" w:rsidRDefault="00E467FE" w:rsidP="00E467FE">
            <w:pPr>
              <w:rPr>
                <w:i/>
                <w:iCs/>
                <w:color w:val="000000"/>
              </w:rPr>
            </w:pPr>
            <w:r w:rsidRPr="00F52FFA">
              <w:rPr>
                <w:i/>
                <w:iCs/>
                <w:color w:val="000000"/>
              </w:rPr>
              <w:t>Neparedz stingrākas prasības</w:t>
            </w:r>
          </w:p>
        </w:tc>
      </w:tr>
      <w:tr w:rsidR="00E467FE" w:rsidRPr="00F52FFA" w14:paraId="02A05F0F" w14:textId="77777777" w:rsidTr="00D318C4">
        <w:tc>
          <w:tcPr>
            <w:tcW w:w="2122" w:type="dxa"/>
          </w:tcPr>
          <w:p w14:paraId="4BAB6CCF" w14:textId="74FB1EC9" w:rsidR="00E467FE" w:rsidRPr="00F52FFA" w:rsidRDefault="00E467FE" w:rsidP="00E467FE">
            <w:pPr>
              <w:rPr>
                <w:i/>
                <w:color w:val="000000"/>
              </w:rPr>
            </w:pPr>
            <w:r w:rsidRPr="00F52FFA">
              <w:rPr>
                <w:i/>
                <w:color w:val="000000"/>
              </w:rPr>
              <w:t>Komisijas regulas Nr. 651/2014 1. panta 2. punkta "c" un "d" apakšpunkts</w:t>
            </w:r>
          </w:p>
        </w:tc>
        <w:tc>
          <w:tcPr>
            <w:tcW w:w="2268" w:type="dxa"/>
          </w:tcPr>
          <w:p w14:paraId="0A7A2755" w14:textId="29EAE77B" w:rsidR="00E467FE" w:rsidRPr="00F52FFA" w:rsidRDefault="00E467FE" w:rsidP="00E467FE">
            <w:pPr>
              <w:rPr>
                <w:i/>
                <w:iCs/>
                <w:color w:val="000000"/>
                <w:lang w:eastAsia="en-US"/>
              </w:rPr>
            </w:pPr>
            <w:r w:rsidRPr="00F52FFA">
              <w:rPr>
                <w:i/>
                <w:iCs/>
                <w:color w:val="000000"/>
                <w:lang w:eastAsia="en-US"/>
              </w:rPr>
              <w:t>Noteikumu projekta 6</w:t>
            </w:r>
            <w:r w:rsidR="00B46D00">
              <w:rPr>
                <w:i/>
                <w:iCs/>
                <w:color w:val="000000"/>
                <w:lang w:eastAsia="en-US"/>
              </w:rPr>
              <w:t>2</w:t>
            </w:r>
            <w:r w:rsidRPr="00F52FFA">
              <w:rPr>
                <w:i/>
                <w:iCs/>
                <w:color w:val="000000"/>
                <w:lang w:eastAsia="en-US"/>
              </w:rPr>
              <w:t>. apakšpunkts</w:t>
            </w:r>
          </w:p>
        </w:tc>
        <w:tc>
          <w:tcPr>
            <w:tcW w:w="2551" w:type="dxa"/>
          </w:tcPr>
          <w:p w14:paraId="0B43997C" w14:textId="49B9BFB0" w:rsidR="00E467FE" w:rsidRPr="00F52FFA" w:rsidRDefault="00E467FE" w:rsidP="00E467FE">
            <w:pPr>
              <w:rPr>
                <w:i/>
                <w:iCs/>
                <w:color w:val="000000"/>
              </w:rPr>
            </w:pPr>
            <w:r w:rsidRPr="00F52FFA">
              <w:rPr>
                <w:i/>
                <w:iCs/>
                <w:color w:val="000000"/>
              </w:rPr>
              <w:t>Ieviests pilnībā</w:t>
            </w:r>
          </w:p>
        </w:tc>
        <w:tc>
          <w:tcPr>
            <w:tcW w:w="2693" w:type="dxa"/>
          </w:tcPr>
          <w:p w14:paraId="3B63E6F7" w14:textId="640F6DE3" w:rsidR="00E467FE" w:rsidRPr="00F52FFA" w:rsidRDefault="00E467FE" w:rsidP="00E467FE">
            <w:pPr>
              <w:rPr>
                <w:i/>
                <w:iCs/>
                <w:color w:val="000000"/>
              </w:rPr>
            </w:pPr>
            <w:r w:rsidRPr="00F52FFA">
              <w:rPr>
                <w:i/>
                <w:iCs/>
                <w:color w:val="000000"/>
              </w:rPr>
              <w:t>Neparedz stingrākas prasības</w:t>
            </w:r>
          </w:p>
        </w:tc>
      </w:tr>
      <w:tr w:rsidR="00E467FE" w:rsidRPr="00F52FFA" w14:paraId="4DD625BA" w14:textId="77777777" w:rsidTr="004251D7">
        <w:trPr>
          <w:trHeight w:val="950"/>
        </w:trPr>
        <w:tc>
          <w:tcPr>
            <w:tcW w:w="2122" w:type="dxa"/>
          </w:tcPr>
          <w:p w14:paraId="5D6B874F" w14:textId="33A832B6" w:rsidR="00E467FE" w:rsidRPr="00F52FFA" w:rsidRDefault="00E467FE" w:rsidP="00E467FE">
            <w:pPr>
              <w:rPr>
                <w:i/>
                <w:color w:val="000000"/>
              </w:rPr>
            </w:pPr>
            <w:r w:rsidRPr="00F52FFA">
              <w:rPr>
                <w:i/>
                <w:color w:val="000000"/>
              </w:rPr>
              <w:t>Komisijas regulas Nr. 651/2014 1. panta 3. punkts</w:t>
            </w:r>
          </w:p>
        </w:tc>
        <w:tc>
          <w:tcPr>
            <w:tcW w:w="2268" w:type="dxa"/>
          </w:tcPr>
          <w:p w14:paraId="0132B8C6" w14:textId="57653732" w:rsidR="00E467FE" w:rsidRPr="00F52FFA" w:rsidRDefault="00E467FE" w:rsidP="00E467FE">
            <w:pPr>
              <w:rPr>
                <w:i/>
                <w:iCs/>
                <w:color w:val="000000"/>
                <w:lang w:eastAsia="en-US"/>
              </w:rPr>
            </w:pPr>
            <w:r w:rsidRPr="00F52FFA">
              <w:rPr>
                <w:i/>
                <w:iCs/>
                <w:color w:val="000000"/>
                <w:lang w:eastAsia="en-US"/>
              </w:rPr>
              <w:t>Noteikumu projekta 6</w:t>
            </w:r>
            <w:r w:rsidR="00B46D00">
              <w:rPr>
                <w:i/>
                <w:iCs/>
                <w:color w:val="000000"/>
                <w:lang w:eastAsia="en-US"/>
              </w:rPr>
              <w:t>2</w:t>
            </w:r>
            <w:r w:rsidRPr="00F52FFA">
              <w:rPr>
                <w:i/>
                <w:iCs/>
                <w:color w:val="000000"/>
                <w:lang w:eastAsia="en-US"/>
              </w:rPr>
              <w:t>. apakšpunkts</w:t>
            </w:r>
          </w:p>
        </w:tc>
        <w:tc>
          <w:tcPr>
            <w:tcW w:w="2551" w:type="dxa"/>
          </w:tcPr>
          <w:p w14:paraId="11E72A99" w14:textId="75FBA52A" w:rsidR="00E467FE" w:rsidRPr="00F52FFA" w:rsidRDefault="00E467FE" w:rsidP="00E467FE">
            <w:pPr>
              <w:rPr>
                <w:i/>
                <w:iCs/>
                <w:color w:val="000000"/>
              </w:rPr>
            </w:pPr>
            <w:r w:rsidRPr="00F52FFA">
              <w:rPr>
                <w:i/>
                <w:iCs/>
                <w:color w:val="000000"/>
              </w:rPr>
              <w:t>Ieviests pilnībā</w:t>
            </w:r>
          </w:p>
        </w:tc>
        <w:tc>
          <w:tcPr>
            <w:tcW w:w="2693" w:type="dxa"/>
          </w:tcPr>
          <w:p w14:paraId="6C59D891" w14:textId="3EF77D73" w:rsidR="00E467FE" w:rsidRPr="00F52FFA" w:rsidRDefault="00E467FE" w:rsidP="00E467FE">
            <w:pPr>
              <w:rPr>
                <w:i/>
                <w:iCs/>
                <w:color w:val="000000"/>
              </w:rPr>
            </w:pPr>
            <w:r w:rsidRPr="00F52FFA">
              <w:rPr>
                <w:i/>
                <w:iCs/>
                <w:color w:val="000000"/>
              </w:rPr>
              <w:t>Neparedz stingrākas prasības</w:t>
            </w:r>
          </w:p>
        </w:tc>
      </w:tr>
      <w:tr w:rsidR="00E467FE" w:rsidRPr="00F52FFA" w14:paraId="4AFA6C54" w14:textId="77777777" w:rsidTr="00D318C4">
        <w:tc>
          <w:tcPr>
            <w:tcW w:w="2122" w:type="dxa"/>
          </w:tcPr>
          <w:p w14:paraId="7A604092" w14:textId="3DF4459B" w:rsidR="00E467FE" w:rsidRPr="00F52FFA" w:rsidRDefault="00E467FE" w:rsidP="00E467FE">
            <w:pPr>
              <w:rPr>
                <w:i/>
                <w:color w:val="000000"/>
              </w:rPr>
            </w:pPr>
            <w:r w:rsidRPr="00F52FFA">
              <w:rPr>
                <w:i/>
                <w:color w:val="000000"/>
              </w:rPr>
              <w:t>Komisijas regulas Nr. 651/2014 1. panta 4. punkta "a" un “c” apakšpunkts</w:t>
            </w:r>
          </w:p>
        </w:tc>
        <w:tc>
          <w:tcPr>
            <w:tcW w:w="2268" w:type="dxa"/>
          </w:tcPr>
          <w:p w14:paraId="599A2762" w14:textId="5D11E6C1" w:rsidR="00E467FE" w:rsidRPr="00F52FFA" w:rsidRDefault="00E467FE" w:rsidP="00E467FE">
            <w:pPr>
              <w:rPr>
                <w:i/>
                <w:iCs/>
                <w:color w:val="000000"/>
                <w:lang w:eastAsia="en-US"/>
              </w:rPr>
            </w:pPr>
            <w:r w:rsidRPr="00F52FFA">
              <w:rPr>
                <w:i/>
                <w:iCs/>
                <w:color w:val="000000"/>
                <w:lang w:eastAsia="en-US"/>
              </w:rPr>
              <w:t>Noteikumu projekta 6</w:t>
            </w:r>
            <w:r w:rsidR="00B46D00">
              <w:rPr>
                <w:i/>
                <w:iCs/>
                <w:color w:val="000000"/>
                <w:lang w:eastAsia="en-US"/>
              </w:rPr>
              <w:t>2</w:t>
            </w:r>
            <w:r w:rsidRPr="00F52FFA">
              <w:rPr>
                <w:i/>
                <w:iCs/>
                <w:color w:val="000000"/>
                <w:lang w:eastAsia="en-US"/>
              </w:rPr>
              <w:t>. apakšpunkts</w:t>
            </w:r>
          </w:p>
        </w:tc>
        <w:tc>
          <w:tcPr>
            <w:tcW w:w="2551" w:type="dxa"/>
          </w:tcPr>
          <w:p w14:paraId="09E5CEAB" w14:textId="51FC417B" w:rsidR="00E467FE" w:rsidRPr="00F52FFA" w:rsidRDefault="00E467FE" w:rsidP="00E467FE">
            <w:pPr>
              <w:rPr>
                <w:i/>
                <w:iCs/>
                <w:color w:val="000000"/>
              </w:rPr>
            </w:pPr>
            <w:r w:rsidRPr="00F52FFA">
              <w:rPr>
                <w:i/>
                <w:iCs/>
                <w:color w:val="000000"/>
              </w:rPr>
              <w:t>Ieviests pilnībā</w:t>
            </w:r>
          </w:p>
        </w:tc>
        <w:tc>
          <w:tcPr>
            <w:tcW w:w="2693" w:type="dxa"/>
          </w:tcPr>
          <w:p w14:paraId="50363775" w14:textId="37947267" w:rsidR="00E467FE" w:rsidRPr="00F52FFA" w:rsidRDefault="00E467FE" w:rsidP="00E467FE">
            <w:pPr>
              <w:rPr>
                <w:i/>
                <w:iCs/>
                <w:color w:val="000000"/>
              </w:rPr>
            </w:pPr>
            <w:r w:rsidRPr="00F52FFA">
              <w:rPr>
                <w:i/>
                <w:iCs/>
                <w:color w:val="000000"/>
              </w:rPr>
              <w:t>Neparedz stingrākas prasības</w:t>
            </w:r>
          </w:p>
        </w:tc>
      </w:tr>
      <w:tr w:rsidR="00E467FE" w:rsidRPr="00F52FFA" w14:paraId="53256ECA" w14:textId="77777777" w:rsidTr="00D318C4">
        <w:tc>
          <w:tcPr>
            <w:tcW w:w="2122" w:type="dxa"/>
          </w:tcPr>
          <w:p w14:paraId="03A8763E" w14:textId="34F4C9FA" w:rsidR="00E467FE" w:rsidRPr="00F52FFA" w:rsidRDefault="00E467FE" w:rsidP="00E467FE">
            <w:pPr>
              <w:rPr>
                <w:i/>
                <w:color w:val="000000"/>
              </w:rPr>
            </w:pPr>
            <w:r w:rsidRPr="00F52FFA">
              <w:rPr>
                <w:i/>
                <w:color w:val="000000"/>
              </w:rPr>
              <w:t>Komisijas regulas Nr. 651/2014 1. panta 5. punkts</w:t>
            </w:r>
          </w:p>
        </w:tc>
        <w:tc>
          <w:tcPr>
            <w:tcW w:w="2268" w:type="dxa"/>
          </w:tcPr>
          <w:p w14:paraId="70CCCCF0" w14:textId="3516FE16" w:rsidR="00E467FE" w:rsidRPr="00F52FFA" w:rsidRDefault="00E467FE" w:rsidP="00E467FE">
            <w:pPr>
              <w:rPr>
                <w:i/>
                <w:iCs/>
                <w:color w:val="000000"/>
                <w:lang w:eastAsia="en-US"/>
              </w:rPr>
            </w:pPr>
            <w:r w:rsidRPr="00F52FFA">
              <w:rPr>
                <w:i/>
                <w:iCs/>
                <w:color w:val="000000"/>
                <w:lang w:eastAsia="en-US"/>
              </w:rPr>
              <w:t>Noteikumu projekta 6</w:t>
            </w:r>
            <w:r w:rsidR="00B46D00">
              <w:rPr>
                <w:i/>
                <w:iCs/>
                <w:color w:val="000000"/>
                <w:lang w:eastAsia="en-US"/>
              </w:rPr>
              <w:t>2</w:t>
            </w:r>
            <w:r w:rsidRPr="00F52FFA">
              <w:rPr>
                <w:i/>
                <w:iCs/>
                <w:color w:val="000000"/>
                <w:lang w:eastAsia="en-US"/>
              </w:rPr>
              <w:t>. apakšpunkts</w:t>
            </w:r>
          </w:p>
        </w:tc>
        <w:tc>
          <w:tcPr>
            <w:tcW w:w="2551" w:type="dxa"/>
          </w:tcPr>
          <w:p w14:paraId="7BDEF7AA" w14:textId="5568E406" w:rsidR="00E467FE" w:rsidRPr="00F52FFA" w:rsidRDefault="00E467FE" w:rsidP="00E467FE">
            <w:pPr>
              <w:rPr>
                <w:i/>
                <w:iCs/>
                <w:color w:val="000000"/>
              </w:rPr>
            </w:pPr>
            <w:r w:rsidRPr="00F52FFA">
              <w:rPr>
                <w:i/>
                <w:iCs/>
                <w:color w:val="000000"/>
              </w:rPr>
              <w:t>Ieviests pilnībā</w:t>
            </w:r>
          </w:p>
        </w:tc>
        <w:tc>
          <w:tcPr>
            <w:tcW w:w="2693" w:type="dxa"/>
          </w:tcPr>
          <w:p w14:paraId="33D024ED" w14:textId="54F5BA26" w:rsidR="00E467FE" w:rsidRPr="00F52FFA" w:rsidRDefault="00E467FE" w:rsidP="00E467FE">
            <w:pPr>
              <w:rPr>
                <w:i/>
                <w:iCs/>
                <w:color w:val="000000"/>
              </w:rPr>
            </w:pPr>
            <w:r w:rsidRPr="00F52FFA">
              <w:rPr>
                <w:i/>
                <w:iCs/>
                <w:color w:val="000000"/>
              </w:rPr>
              <w:t>Neparedz stingrākas prasības</w:t>
            </w:r>
          </w:p>
        </w:tc>
      </w:tr>
      <w:tr w:rsidR="00E467FE" w:rsidRPr="00F52FFA" w14:paraId="44F5117A" w14:textId="77777777" w:rsidTr="00D318C4">
        <w:tc>
          <w:tcPr>
            <w:tcW w:w="2122" w:type="dxa"/>
          </w:tcPr>
          <w:p w14:paraId="2B226DD2" w14:textId="523112A2" w:rsidR="00E467FE" w:rsidRPr="00F52FFA" w:rsidRDefault="00E467FE" w:rsidP="00E467FE">
            <w:pPr>
              <w:rPr>
                <w:i/>
                <w:color w:val="000000"/>
              </w:rPr>
            </w:pPr>
            <w:r w:rsidRPr="00F52FFA">
              <w:rPr>
                <w:i/>
                <w:color w:val="000000"/>
              </w:rPr>
              <w:t>Komisijas regulas Nr. 651/2014 2. panta 18. punkts</w:t>
            </w:r>
          </w:p>
        </w:tc>
        <w:tc>
          <w:tcPr>
            <w:tcW w:w="2268" w:type="dxa"/>
          </w:tcPr>
          <w:p w14:paraId="62DBDBB1" w14:textId="4F96C595" w:rsidR="00E467FE" w:rsidRPr="00F52FFA" w:rsidRDefault="00E467FE" w:rsidP="00E467FE">
            <w:pPr>
              <w:rPr>
                <w:i/>
                <w:iCs/>
                <w:color w:val="000000"/>
                <w:lang w:eastAsia="en-US"/>
              </w:rPr>
            </w:pPr>
            <w:r w:rsidRPr="00F52FFA">
              <w:rPr>
                <w:i/>
                <w:iCs/>
                <w:color w:val="000000"/>
                <w:lang w:eastAsia="en-US"/>
              </w:rPr>
              <w:t>Noteikumu projekta 6</w:t>
            </w:r>
            <w:r w:rsidR="00B46D00">
              <w:rPr>
                <w:i/>
                <w:iCs/>
                <w:color w:val="000000"/>
                <w:lang w:eastAsia="en-US"/>
              </w:rPr>
              <w:t>2</w:t>
            </w:r>
            <w:r w:rsidRPr="00F52FFA">
              <w:rPr>
                <w:i/>
                <w:iCs/>
                <w:color w:val="000000"/>
                <w:lang w:eastAsia="en-US"/>
              </w:rPr>
              <w:t>. apakšpunkts</w:t>
            </w:r>
          </w:p>
        </w:tc>
        <w:tc>
          <w:tcPr>
            <w:tcW w:w="2551" w:type="dxa"/>
          </w:tcPr>
          <w:p w14:paraId="2787FD4E" w14:textId="2547A5A2" w:rsidR="00E467FE" w:rsidRPr="00F52FFA" w:rsidRDefault="00E467FE" w:rsidP="00E467FE">
            <w:pPr>
              <w:rPr>
                <w:i/>
                <w:iCs/>
                <w:color w:val="000000"/>
              </w:rPr>
            </w:pPr>
            <w:r w:rsidRPr="00F52FFA">
              <w:rPr>
                <w:i/>
                <w:iCs/>
                <w:color w:val="000000"/>
              </w:rPr>
              <w:t>Ieviests pilnībā</w:t>
            </w:r>
          </w:p>
        </w:tc>
        <w:tc>
          <w:tcPr>
            <w:tcW w:w="2693" w:type="dxa"/>
          </w:tcPr>
          <w:p w14:paraId="270D514F" w14:textId="48A9FE49" w:rsidR="00E467FE" w:rsidRPr="00F52FFA" w:rsidRDefault="00E467FE" w:rsidP="00E467FE">
            <w:pPr>
              <w:rPr>
                <w:i/>
                <w:iCs/>
                <w:color w:val="000000"/>
              </w:rPr>
            </w:pPr>
            <w:r w:rsidRPr="00F52FFA">
              <w:rPr>
                <w:i/>
                <w:iCs/>
                <w:color w:val="000000"/>
              </w:rPr>
              <w:t>Neparedz stingrākas prasības</w:t>
            </w:r>
          </w:p>
        </w:tc>
      </w:tr>
      <w:tr w:rsidR="00E467FE" w:rsidRPr="00F52FFA" w14:paraId="0EC60034" w14:textId="77777777" w:rsidTr="00D318C4">
        <w:tc>
          <w:tcPr>
            <w:tcW w:w="2122" w:type="dxa"/>
          </w:tcPr>
          <w:p w14:paraId="1A9C6458" w14:textId="7CB86F7C" w:rsidR="00E467FE" w:rsidRPr="00F52FFA" w:rsidRDefault="00E467FE" w:rsidP="00E467FE">
            <w:pPr>
              <w:rPr>
                <w:i/>
                <w:color w:val="000000"/>
              </w:rPr>
            </w:pPr>
            <w:r w:rsidRPr="00F52FFA">
              <w:rPr>
                <w:i/>
                <w:color w:val="000000"/>
              </w:rPr>
              <w:lastRenderedPageBreak/>
              <w:t>Komisijas regulas Nr. 651/2014 4. panta 1. punkta "</w:t>
            </w:r>
            <w:proofErr w:type="spellStart"/>
            <w:r w:rsidRPr="00F52FFA">
              <w:rPr>
                <w:i/>
                <w:color w:val="000000"/>
              </w:rPr>
              <w:t>bb</w:t>
            </w:r>
            <w:proofErr w:type="spellEnd"/>
            <w:r w:rsidRPr="00F52FFA">
              <w:rPr>
                <w:i/>
                <w:color w:val="000000"/>
              </w:rPr>
              <w:t>" apakšpunkts</w:t>
            </w:r>
          </w:p>
        </w:tc>
        <w:tc>
          <w:tcPr>
            <w:tcW w:w="2268" w:type="dxa"/>
          </w:tcPr>
          <w:p w14:paraId="7CC24321" w14:textId="442A62BC" w:rsidR="00E467FE" w:rsidRPr="00F52FFA" w:rsidRDefault="00E467FE" w:rsidP="00E467FE">
            <w:pPr>
              <w:rPr>
                <w:i/>
                <w:iCs/>
                <w:color w:val="000000"/>
                <w:lang w:eastAsia="en-US"/>
              </w:rPr>
            </w:pPr>
            <w:r w:rsidRPr="00F52FFA">
              <w:rPr>
                <w:i/>
                <w:iCs/>
                <w:color w:val="000000"/>
                <w:lang w:eastAsia="en-US"/>
              </w:rPr>
              <w:t>Noteikumu projekta 6</w:t>
            </w:r>
            <w:r w:rsidR="00B46D00">
              <w:rPr>
                <w:i/>
                <w:iCs/>
                <w:color w:val="000000"/>
                <w:lang w:eastAsia="en-US"/>
              </w:rPr>
              <w:t>2</w:t>
            </w:r>
            <w:r w:rsidRPr="00F52FFA">
              <w:rPr>
                <w:i/>
                <w:iCs/>
                <w:color w:val="000000"/>
                <w:lang w:eastAsia="en-US"/>
              </w:rPr>
              <w:t>. apakšpunkts</w:t>
            </w:r>
          </w:p>
        </w:tc>
        <w:tc>
          <w:tcPr>
            <w:tcW w:w="2551" w:type="dxa"/>
          </w:tcPr>
          <w:p w14:paraId="43964DE9" w14:textId="340099F0" w:rsidR="00E467FE" w:rsidRPr="00F52FFA" w:rsidRDefault="00E467FE" w:rsidP="00E467FE">
            <w:pPr>
              <w:rPr>
                <w:i/>
                <w:iCs/>
                <w:color w:val="000000"/>
              </w:rPr>
            </w:pPr>
            <w:r w:rsidRPr="00F52FFA">
              <w:rPr>
                <w:i/>
                <w:iCs/>
                <w:color w:val="000000"/>
              </w:rPr>
              <w:t>Ieviests pilnībā</w:t>
            </w:r>
          </w:p>
        </w:tc>
        <w:tc>
          <w:tcPr>
            <w:tcW w:w="2693" w:type="dxa"/>
          </w:tcPr>
          <w:p w14:paraId="7837C679" w14:textId="71F330BF" w:rsidR="00E467FE" w:rsidRPr="00F52FFA" w:rsidRDefault="00E467FE" w:rsidP="00E467FE">
            <w:pPr>
              <w:rPr>
                <w:i/>
                <w:iCs/>
                <w:color w:val="000000"/>
              </w:rPr>
            </w:pPr>
            <w:r w:rsidRPr="00F52FFA">
              <w:rPr>
                <w:i/>
                <w:iCs/>
                <w:color w:val="000000"/>
              </w:rPr>
              <w:t>Neparedz stingrākas prasības</w:t>
            </w:r>
          </w:p>
        </w:tc>
      </w:tr>
      <w:tr w:rsidR="00E467FE" w:rsidRPr="00F52FFA" w14:paraId="59E7F71B" w14:textId="77777777" w:rsidTr="00D318C4">
        <w:tc>
          <w:tcPr>
            <w:tcW w:w="2122" w:type="dxa"/>
          </w:tcPr>
          <w:p w14:paraId="033F5593" w14:textId="088C44A4" w:rsidR="00E467FE" w:rsidRPr="00F52FFA" w:rsidRDefault="00E467FE" w:rsidP="00E467FE">
            <w:pPr>
              <w:rPr>
                <w:i/>
                <w:color w:val="000000"/>
              </w:rPr>
            </w:pPr>
            <w:r w:rsidRPr="00F52FFA">
              <w:rPr>
                <w:i/>
                <w:color w:val="000000"/>
              </w:rPr>
              <w:t>Komisijas regulas Nr. 651/2014 4. panta 2. punkts</w:t>
            </w:r>
          </w:p>
        </w:tc>
        <w:tc>
          <w:tcPr>
            <w:tcW w:w="2268" w:type="dxa"/>
          </w:tcPr>
          <w:p w14:paraId="2FC2A1B9" w14:textId="4E7BAC38" w:rsidR="00E467FE" w:rsidRPr="00F52FFA" w:rsidRDefault="00E467FE" w:rsidP="00E467FE">
            <w:pPr>
              <w:rPr>
                <w:i/>
                <w:iCs/>
                <w:color w:val="000000"/>
                <w:lang w:eastAsia="en-US"/>
              </w:rPr>
            </w:pPr>
            <w:r w:rsidRPr="00F52FFA">
              <w:rPr>
                <w:i/>
                <w:iCs/>
                <w:color w:val="000000"/>
                <w:lang w:eastAsia="en-US"/>
              </w:rPr>
              <w:t>Noteikumu projekta 6</w:t>
            </w:r>
            <w:r w:rsidR="00B46D00">
              <w:rPr>
                <w:i/>
                <w:iCs/>
                <w:color w:val="000000"/>
                <w:lang w:eastAsia="en-US"/>
              </w:rPr>
              <w:t>2</w:t>
            </w:r>
            <w:r w:rsidRPr="00F52FFA">
              <w:rPr>
                <w:i/>
                <w:iCs/>
                <w:color w:val="000000"/>
                <w:lang w:eastAsia="en-US"/>
              </w:rPr>
              <w:t>. apakšpunkts</w:t>
            </w:r>
          </w:p>
        </w:tc>
        <w:tc>
          <w:tcPr>
            <w:tcW w:w="2551" w:type="dxa"/>
          </w:tcPr>
          <w:p w14:paraId="58C30E53" w14:textId="161E6B46" w:rsidR="00E467FE" w:rsidRPr="00F52FFA" w:rsidRDefault="00E467FE" w:rsidP="00E467FE">
            <w:pPr>
              <w:rPr>
                <w:i/>
                <w:iCs/>
                <w:color w:val="000000"/>
              </w:rPr>
            </w:pPr>
            <w:r w:rsidRPr="00F52FFA">
              <w:rPr>
                <w:i/>
                <w:iCs/>
                <w:color w:val="000000"/>
              </w:rPr>
              <w:t>Ieviests pilnībā</w:t>
            </w:r>
          </w:p>
        </w:tc>
        <w:tc>
          <w:tcPr>
            <w:tcW w:w="2693" w:type="dxa"/>
          </w:tcPr>
          <w:p w14:paraId="4E096802" w14:textId="19A213A3" w:rsidR="00E467FE" w:rsidRPr="00F52FFA" w:rsidRDefault="00E467FE" w:rsidP="00E467FE">
            <w:pPr>
              <w:rPr>
                <w:i/>
                <w:iCs/>
                <w:color w:val="000000"/>
              </w:rPr>
            </w:pPr>
            <w:r w:rsidRPr="00F52FFA">
              <w:rPr>
                <w:i/>
                <w:iCs/>
                <w:color w:val="000000"/>
              </w:rPr>
              <w:t>Neparedz stingrākas prasības</w:t>
            </w:r>
          </w:p>
        </w:tc>
      </w:tr>
      <w:tr w:rsidR="00E467FE" w:rsidRPr="00F52FFA" w14:paraId="69338AF6" w14:textId="77777777" w:rsidTr="00D318C4">
        <w:tc>
          <w:tcPr>
            <w:tcW w:w="2122" w:type="dxa"/>
          </w:tcPr>
          <w:p w14:paraId="3B759C3B" w14:textId="5EFA96CE" w:rsidR="00E467FE" w:rsidRPr="00F52FFA" w:rsidRDefault="00E467FE" w:rsidP="00E467FE">
            <w:pPr>
              <w:rPr>
                <w:i/>
                <w:color w:val="000000"/>
              </w:rPr>
            </w:pPr>
            <w:r w:rsidRPr="00F52FFA">
              <w:rPr>
                <w:i/>
                <w:color w:val="000000"/>
              </w:rPr>
              <w:t xml:space="preserve">Komisijas regulas Nr. 651/2014 5. pants </w:t>
            </w:r>
          </w:p>
        </w:tc>
        <w:tc>
          <w:tcPr>
            <w:tcW w:w="2268" w:type="dxa"/>
          </w:tcPr>
          <w:p w14:paraId="29F767FD" w14:textId="4A4FD9DB" w:rsidR="00E467FE" w:rsidRPr="00F52FFA" w:rsidRDefault="00E467FE" w:rsidP="00E467FE">
            <w:pPr>
              <w:rPr>
                <w:i/>
                <w:iCs/>
                <w:color w:val="000000"/>
                <w:lang w:eastAsia="en-US"/>
              </w:rPr>
            </w:pPr>
            <w:r w:rsidRPr="00F52FFA">
              <w:rPr>
                <w:i/>
                <w:iCs/>
                <w:color w:val="000000"/>
                <w:lang w:eastAsia="en-US"/>
              </w:rPr>
              <w:t>Noteikumu projekta 6</w:t>
            </w:r>
            <w:r w:rsidR="00B46D00">
              <w:rPr>
                <w:i/>
                <w:iCs/>
                <w:color w:val="000000"/>
                <w:lang w:eastAsia="en-US"/>
              </w:rPr>
              <w:t>2</w:t>
            </w:r>
            <w:r w:rsidRPr="00F52FFA">
              <w:rPr>
                <w:i/>
                <w:iCs/>
                <w:color w:val="000000"/>
                <w:lang w:eastAsia="en-US"/>
              </w:rPr>
              <w:t>. apakšpunkts</w:t>
            </w:r>
          </w:p>
        </w:tc>
        <w:tc>
          <w:tcPr>
            <w:tcW w:w="2551" w:type="dxa"/>
          </w:tcPr>
          <w:p w14:paraId="135D259C" w14:textId="757D3FD2" w:rsidR="00E467FE" w:rsidRPr="00F52FFA" w:rsidRDefault="00E467FE" w:rsidP="00E467FE">
            <w:pPr>
              <w:rPr>
                <w:i/>
                <w:iCs/>
                <w:color w:val="000000"/>
              </w:rPr>
            </w:pPr>
            <w:r w:rsidRPr="00F52FFA">
              <w:rPr>
                <w:i/>
                <w:iCs/>
                <w:color w:val="000000"/>
              </w:rPr>
              <w:t>Ieviests pilnībā</w:t>
            </w:r>
          </w:p>
        </w:tc>
        <w:tc>
          <w:tcPr>
            <w:tcW w:w="2693" w:type="dxa"/>
          </w:tcPr>
          <w:p w14:paraId="77789D32" w14:textId="61064217" w:rsidR="00E467FE" w:rsidRPr="00F52FFA" w:rsidRDefault="00E467FE" w:rsidP="00E467FE">
            <w:pPr>
              <w:rPr>
                <w:i/>
                <w:iCs/>
                <w:color w:val="000000"/>
              </w:rPr>
            </w:pPr>
            <w:r w:rsidRPr="00F52FFA">
              <w:rPr>
                <w:i/>
                <w:iCs/>
                <w:color w:val="000000"/>
              </w:rPr>
              <w:t>Neparedz stingrākas prasības</w:t>
            </w:r>
          </w:p>
        </w:tc>
      </w:tr>
      <w:tr w:rsidR="00E467FE" w:rsidRPr="00F52FFA" w14:paraId="14A5B627" w14:textId="77777777" w:rsidTr="00D318C4">
        <w:tc>
          <w:tcPr>
            <w:tcW w:w="2122" w:type="dxa"/>
          </w:tcPr>
          <w:p w14:paraId="0AA807F0" w14:textId="6EEC303A" w:rsidR="00E467FE" w:rsidRPr="00F52FFA" w:rsidRDefault="00E467FE" w:rsidP="00E467FE">
            <w:pPr>
              <w:rPr>
                <w:i/>
                <w:color w:val="000000"/>
              </w:rPr>
            </w:pPr>
            <w:r w:rsidRPr="00F52FFA">
              <w:rPr>
                <w:i/>
                <w:color w:val="000000"/>
              </w:rPr>
              <w:t>Komisijas regulas Nr. 651/2014 6. pants</w:t>
            </w:r>
          </w:p>
        </w:tc>
        <w:tc>
          <w:tcPr>
            <w:tcW w:w="2268" w:type="dxa"/>
          </w:tcPr>
          <w:p w14:paraId="6B452F24" w14:textId="43EFC3EC" w:rsidR="00E467FE" w:rsidRPr="00F52FFA" w:rsidRDefault="00E467FE" w:rsidP="00E467FE">
            <w:pPr>
              <w:rPr>
                <w:i/>
                <w:iCs/>
                <w:color w:val="000000"/>
                <w:lang w:eastAsia="en-US"/>
              </w:rPr>
            </w:pPr>
            <w:r w:rsidRPr="00F52FFA">
              <w:rPr>
                <w:i/>
                <w:iCs/>
                <w:color w:val="000000"/>
                <w:lang w:eastAsia="en-US"/>
              </w:rPr>
              <w:t>Noteikumu projekta 6</w:t>
            </w:r>
            <w:r w:rsidR="00B46D00">
              <w:rPr>
                <w:i/>
                <w:iCs/>
                <w:color w:val="000000"/>
                <w:lang w:eastAsia="en-US"/>
              </w:rPr>
              <w:t>3</w:t>
            </w:r>
            <w:r w:rsidRPr="00F52FFA">
              <w:rPr>
                <w:i/>
                <w:iCs/>
                <w:color w:val="000000"/>
                <w:lang w:eastAsia="en-US"/>
              </w:rPr>
              <w:t>. apakšpunkts</w:t>
            </w:r>
          </w:p>
        </w:tc>
        <w:tc>
          <w:tcPr>
            <w:tcW w:w="2551" w:type="dxa"/>
          </w:tcPr>
          <w:p w14:paraId="582E77AE" w14:textId="4CEF93CF" w:rsidR="00E467FE" w:rsidRPr="00F52FFA" w:rsidRDefault="00E467FE" w:rsidP="00E467FE">
            <w:pPr>
              <w:rPr>
                <w:i/>
                <w:iCs/>
                <w:color w:val="000000"/>
              </w:rPr>
            </w:pPr>
            <w:r w:rsidRPr="00F52FFA">
              <w:rPr>
                <w:i/>
                <w:iCs/>
                <w:color w:val="000000"/>
              </w:rPr>
              <w:t>Ieviests pilnībā</w:t>
            </w:r>
          </w:p>
        </w:tc>
        <w:tc>
          <w:tcPr>
            <w:tcW w:w="2693" w:type="dxa"/>
          </w:tcPr>
          <w:p w14:paraId="09B234F1" w14:textId="1E065134" w:rsidR="00E467FE" w:rsidRPr="00F52FFA" w:rsidRDefault="00E467FE" w:rsidP="00E467FE">
            <w:pPr>
              <w:rPr>
                <w:i/>
                <w:iCs/>
                <w:color w:val="000000"/>
              </w:rPr>
            </w:pPr>
            <w:r w:rsidRPr="00F52FFA">
              <w:rPr>
                <w:i/>
                <w:iCs/>
                <w:color w:val="000000"/>
              </w:rPr>
              <w:t>Neparedz stingrākas prasības</w:t>
            </w:r>
          </w:p>
        </w:tc>
      </w:tr>
      <w:tr w:rsidR="00E467FE" w:rsidRPr="00F52FFA" w14:paraId="2139A3A9" w14:textId="77777777" w:rsidTr="00D318C4">
        <w:tc>
          <w:tcPr>
            <w:tcW w:w="2122" w:type="dxa"/>
          </w:tcPr>
          <w:p w14:paraId="6A19D95D" w14:textId="056F5438" w:rsidR="00E467FE" w:rsidRPr="00F52FFA" w:rsidRDefault="00E467FE" w:rsidP="00E467FE">
            <w:pPr>
              <w:rPr>
                <w:i/>
                <w:color w:val="000000"/>
              </w:rPr>
            </w:pPr>
            <w:r w:rsidRPr="00F52FFA">
              <w:rPr>
                <w:i/>
                <w:color w:val="000000"/>
              </w:rPr>
              <w:t>Komisijas regulas Nr. 651/2014 55. panta 2., 4., 5. un 6. punkts</w:t>
            </w:r>
          </w:p>
        </w:tc>
        <w:tc>
          <w:tcPr>
            <w:tcW w:w="2268" w:type="dxa"/>
          </w:tcPr>
          <w:p w14:paraId="7CB4B5EC" w14:textId="169C435F" w:rsidR="00E467FE" w:rsidRPr="00F52FFA" w:rsidRDefault="00E467FE" w:rsidP="002B5BF3">
            <w:pPr>
              <w:rPr>
                <w:i/>
                <w:iCs/>
                <w:color w:val="000000"/>
                <w:lang w:eastAsia="en-US"/>
              </w:rPr>
            </w:pPr>
            <w:r w:rsidRPr="00F52FFA">
              <w:rPr>
                <w:i/>
                <w:iCs/>
                <w:color w:val="000000"/>
                <w:lang w:eastAsia="en-US"/>
              </w:rPr>
              <w:t>Noteikumu projekta 6</w:t>
            </w:r>
            <w:r w:rsidR="00B46D00">
              <w:rPr>
                <w:i/>
                <w:iCs/>
                <w:color w:val="000000"/>
                <w:lang w:eastAsia="en-US"/>
              </w:rPr>
              <w:t>5</w:t>
            </w:r>
            <w:r w:rsidRPr="00F52FFA">
              <w:rPr>
                <w:i/>
                <w:iCs/>
                <w:color w:val="000000"/>
                <w:lang w:eastAsia="en-US"/>
              </w:rPr>
              <w:t>. apakšpunkts</w:t>
            </w:r>
          </w:p>
        </w:tc>
        <w:tc>
          <w:tcPr>
            <w:tcW w:w="2551" w:type="dxa"/>
          </w:tcPr>
          <w:p w14:paraId="3BB42994" w14:textId="2806232A" w:rsidR="00E467FE" w:rsidRPr="00F52FFA" w:rsidRDefault="00E467FE" w:rsidP="00E467FE">
            <w:pPr>
              <w:rPr>
                <w:i/>
                <w:iCs/>
                <w:color w:val="000000"/>
              </w:rPr>
            </w:pPr>
            <w:r w:rsidRPr="00F52FFA">
              <w:rPr>
                <w:i/>
                <w:iCs/>
                <w:color w:val="000000"/>
              </w:rPr>
              <w:t>Ieviests pilnībā</w:t>
            </w:r>
          </w:p>
        </w:tc>
        <w:tc>
          <w:tcPr>
            <w:tcW w:w="2693" w:type="dxa"/>
          </w:tcPr>
          <w:p w14:paraId="09ABDC93" w14:textId="79D81E9E" w:rsidR="00E467FE" w:rsidRPr="00F52FFA" w:rsidRDefault="00E467FE" w:rsidP="00E467FE">
            <w:pPr>
              <w:rPr>
                <w:i/>
                <w:iCs/>
                <w:color w:val="000000"/>
              </w:rPr>
            </w:pPr>
            <w:r w:rsidRPr="00F52FFA">
              <w:rPr>
                <w:i/>
                <w:iCs/>
                <w:color w:val="000000"/>
              </w:rPr>
              <w:t>Neparedz stingrākas prasības</w:t>
            </w:r>
          </w:p>
        </w:tc>
      </w:tr>
      <w:tr w:rsidR="002B5BF3" w:rsidRPr="00F52FFA" w14:paraId="38659268" w14:textId="77777777" w:rsidTr="00D318C4">
        <w:tc>
          <w:tcPr>
            <w:tcW w:w="2122" w:type="dxa"/>
          </w:tcPr>
          <w:p w14:paraId="69BE04B3" w14:textId="696DA3B7" w:rsidR="002B5BF3" w:rsidRPr="00F52FFA" w:rsidRDefault="002B5BF3" w:rsidP="002B5BF3">
            <w:pPr>
              <w:rPr>
                <w:i/>
                <w:color w:val="000000"/>
              </w:rPr>
            </w:pPr>
            <w:r w:rsidRPr="00F52FFA">
              <w:rPr>
                <w:i/>
                <w:color w:val="000000"/>
              </w:rPr>
              <w:t>Komisijas regulas Nr. 651/2014 2. panta 142. punkts</w:t>
            </w:r>
          </w:p>
        </w:tc>
        <w:tc>
          <w:tcPr>
            <w:tcW w:w="2268" w:type="dxa"/>
          </w:tcPr>
          <w:p w14:paraId="39C72D9B" w14:textId="0274D504" w:rsidR="002B5BF3" w:rsidRPr="00F52FFA" w:rsidRDefault="00113E5E" w:rsidP="002B5BF3">
            <w:pPr>
              <w:rPr>
                <w:i/>
                <w:iCs/>
                <w:color w:val="000000"/>
                <w:lang w:eastAsia="en-US"/>
              </w:rPr>
            </w:pPr>
            <w:r w:rsidRPr="00F52FFA">
              <w:rPr>
                <w:i/>
                <w:iCs/>
                <w:color w:val="000000"/>
                <w:lang w:eastAsia="en-US"/>
              </w:rPr>
              <w:t>Noteikumu projekta 6</w:t>
            </w:r>
            <w:r w:rsidR="00B46D00">
              <w:rPr>
                <w:i/>
                <w:iCs/>
                <w:color w:val="000000"/>
                <w:lang w:eastAsia="en-US"/>
              </w:rPr>
              <w:t>6</w:t>
            </w:r>
            <w:r w:rsidR="002B5BF3" w:rsidRPr="00F52FFA">
              <w:rPr>
                <w:i/>
                <w:iCs/>
                <w:color w:val="000000"/>
                <w:lang w:eastAsia="en-US"/>
              </w:rPr>
              <w:t>.1. apakšpunkts</w:t>
            </w:r>
          </w:p>
        </w:tc>
        <w:tc>
          <w:tcPr>
            <w:tcW w:w="2551" w:type="dxa"/>
          </w:tcPr>
          <w:p w14:paraId="292D6056" w14:textId="6C28486A" w:rsidR="002B5BF3" w:rsidRPr="00F52FFA" w:rsidRDefault="002B5BF3" w:rsidP="002B5BF3">
            <w:pPr>
              <w:rPr>
                <w:i/>
                <w:iCs/>
                <w:color w:val="000000"/>
              </w:rPr>
            </w:pPr>
            <w:r w:rsidRPr="00F52FFA">
              <w:rPr>
                <w:i/>
                <w:iCs/>
                <w:color w:val="000000"/>
              </w:rPr>
              <w:t>Ieviests pilnībā</w:t>
            </w:r>
          </w:p>
        </w:tc>
        <w:tc>
          <w:tcPr>
            <w:tcW w:w="2693" w:type="dxa"/>
          </w:tcPr>
          <w:p w14:paraId="4CD59297" w14:textId="606EEE03" w:rsidR="002B5BF3" w:rsidRPr="00F52FFA" w:rsidRDefault="002B5BF3" w:rsidP="002B5BF3">
            <w:pPr>
              <w:rPr>
                <w:i/>
                <w:iCs/>
                <w:color w:val="000000"/>
              </w:rPr>
            </w:pPr>
            <w:r w:rsidRPr="00F52FFA">
              <w:rPr>
                <w:i/>
                <w:iCs/>
                <w:color w:val="000000"/>
              </w:rPr>
              <w:t>Neparedz stingrākas prasības</w:t>
            </w:r>
          </w:p>
        </w:tc>
      </w:tr>
      <w:tr w:rsidR="002B5BF3" w:rsidRPr="00F52FFA" w14:paraId="4EECA330" w14:textId="77777777" w:rsidTr="00D318C4">
        <w:tc>
          <w:tcPr>
            <w:tcW w:w="2122" w:type="dxa"/>
          </w:tcPr>
          <w:p w14:paraId="2CDD8876" w14:textId="3455BF39" w:rsidR="002B5BF3" w:rsidRPr="00F52FFA" w:rsidRDefault="002B5BF3" w:rsidP="002B5BF3">
            <w:pPr>
              <w:rPr>
                <w:i/>
                <w:color w:val="000000"/>
              </w:rPr>
            </w:pPr>
            <w:r w:rsidRPr="00F52FFA">
              <w:rPr>
                <w:i/>
                <w:color w:val="000000"/>
              </w:rPr>
              <w:t>Komisijas regulas Nr. 651/2014 55. panta 7. un 8. punkts</w:t>
            </w:r>
          </w:p>
        </w:tc>
        <w:tc>
          <w:tcPr>
            <w:tcW w:w="2268" w:type="dxa"/>
          </w:tcPr>
          <w:p w14:paraId="49C8D1B0" w14:textId="03EFAE5F" w:rsidR="002B5BF3" w:rsidRPr="00F52FFA" w:rsidRDefault="002B5BF3" w:rsidP="002B5BF3">
            <w:pPr>
              <w:rPr>
                <w:i/>
                <w:iCs/>
                <w:color w:val="000000"/>
                <w:lang w:eastAsia="en-US"/>
              </w:rPr>
            </w:pPr>
            <w:r w:rsidRPr="00F52FFA">
              <w:rPr>
                <w:i/>
                <w:iCs/>
                <w:color w:val="000000"/>
                <w:lang w:eastAsia="en-US"/>
              </w:rPr>
              <w:t>Noteikumu projekta 6</w:t>
            </w:r>
            <w:r w:rsidR="00B46D00">
              <w:rPr>
                <w:i/>
                <w:iCs/>
                <w:color w:val="000000"/>
                <w:lang w:eastAsia="en-US"/>
              </w:rPr>
              <w:t>8</w:t>
            </w:r>
            <w:r w:rsidRPr="00F52FFA">
              <w:rPr>
                <w:i/>
                <w:iCs/>
                <w:color w:val="000000"/>
                <w:lang w:eastAsia="en-US"/>
              </w:rPr>
              <w:t>. apakšpunkts</w:t>
            </w:r>
          </w:p>
        </w:tc>
        <w:tc>
          <w:tcPr>
            <w:tcW w:w="2551" w:type="dxa"/>
          </w:tcPr>
          <w:p w14:paraId="382116F8" w14:textId="431FE9F3" w:rsidR="002B5BF3" w:rsidRPr="00F52FFA" w:rsidRDefault="002B5BF3" w:rsidP="002B5BF3">
            <w:pPr>
              <w:rPr>
                <w:i/>
                <w:iCs/>
                <w:color w:val="000000"/>
              </w:rPr>
            </w:pPr>
            <w:r w:rsidRPr="00F52FFA">
              <w:rPr>
                <w:i/>
                <w:iCs/>
                <w:color w:val="000000"/>
              </w:rPr>
              <w:t>Ieviests pilnībā</w:t>
            </w:r>
          </w:p>
        </w:tc>
        <w:tc>
          <w:tcPr>
            <w:tcW w:w="2693" w:type="dxa"/>
          </w:tcPr>
          <w:p w14:paraId="687AED40" w14:textId="7C9B3F28" w:rsidR="002B5BF3" w:rsidRPr="00F52FFA" w:rsidRDefault="002B5BF3" w:rsidP="002B5BF3">
            <w:pPr>
              <w:rPr>
                <w:i/>
                <w:iCs/>
                <w:color w:val="000000"/>
              </w:rPr>
            </w:pPr>
            <w:r w:rsidRPr="00F52FFA">
              <w:rPr>
                <w:i/>
                <w:iCs/>
                <w:color w:val="000000"/>
              </w:rPr>
              <w:t>Neparedz stingrākas prasības</w:t>
            </w:r>
          </w:p>
        </w:tc>
      </w:tr>
      <w:tr w:rsidR="002B5BF3" w:rsidRPr="00F52FFA" w14:paraId="3631FD3C" w14:textId="77777777" w:rsidTr="00D318C4">
        <w:tc>
          <w:tcPr>
            <w:tcW w:w="2122" w:type="dxa"/>
          </w:tcPr>
          <w:p w14:paraId="32D17152" w14:textId="0349DD82" w:rsidR="002B5BF3" w:rsidRPr="00F52FFA" w:rsidRDefault="002B5BF3" w:rsidP="002B5BF3">
            <w:pPr>
              <w:rPr>
                <w:i/>
                <w:color w:val="000000"/>
              </w:rPr>
            </w:pPr>
            <w:r w:rsidRPr="00F52FFA">
              <w:rPr>
                <w:i/>
                <w:color w:val="000000"/>
              </w:rPr>
              <w:t>Komisijas regulas Nr. 1407/2013 1. panta 1. un 2. punkts</w:t>
            </w:r>
          </w:p>
        </w:tc>
        <w:tc>
          <w:tcPr>
            <w:tcW w:w="2268" w:type="dxa"/>
          </w:tcPr>
          <w:p w14:paraId="27F53307" w14:textId="4DB2B909" w:rsidR="002B5BF3" w:rsidRPr="00F52FFA" w:rsidRDefault="002B5BF3" w:rsidP="002B5BF3">
            <w:pPr>
              <w:rPr>
                <w:i/>
                <w:iCs/>
                <w:color w:val="000000"/>
                <w:lang w:eastAsia="en-US"/>
              </w:rPr>
            </w:pPr>
            <w:r w:rsidRPr="00F52FFA">
              <w:rPr>
                <w:i/>
                <w:iCs/>
                <w:color w:val="000000"/>
                <w:lang w:eastAsia="en-US"/>
              </w:rPr>
              <w:t>Noteikumu projekta 7</w:t>
            </w:r>
            <w:r w:rsidR="007061A1">
              <w:rPr>
                <w:i/>
                <w:iCs/>
                <w:color w:val="000000"/>
                <w:lang w:eastAsia="en-US"/>
              </w:rPr>
              <w:t>1</w:t>
            </w:r>
            <w:r w:rsidRPr="00F52FFA">
              <w:rPr>
                <w:i/>
                <w:iCs/>
                <w:color w:val="000000"/>
                <w:lang w:eastAsia="en-US"/>
              </w:rPr>
              <w:t>.1.1.. apakšpunkts</w:t>
            </w:r>
          </w:p>
        </w:tc>
        <w:tc>
          <w:tcPr>
            <w:tcW w:w="2551" w:type="dxa"/>
          </w:tcPr>
          <w:p w14:paraId="04B35E07" w14:textId="3A5D8A07" w:rsidR="002B5BF3" w:rsidRPr="00F52FFA" w:rsidRDefault="002B5BF3" w:rsidP="002B5BF3">
            <w:pPr>
              <w:rPr>
                <w:i/>
                <w:iCs/>
                <w:color w:val="000000"/>
              </w:rPr>
            </w:pPr>
            <w:r w:rsidRPr="00F52FFA">
              <w:rPr>
                <w:i/>
                <w:iCs/>
                <w:color w:val="000000"/>
              </w:rPr>
              <w:t>Ieviests pilnībā</w:t>
            </w:r>
          </w:p>
        </w:tc>
        <w:tc>
          <w:tcPr>
            <w:tcW w:w="2693" w:type="dxa"/>
          </w:tcPr>
          <w:p w14:paraId="702AD4C8" w14:textId="090537F9" w:rsidR="002B5BF3" w:rsidRPr="00F52FFA" w:rsidRDefault="002B5BF3" w:rsidP="002B5BF3">
            <w:pPr>
              <w:rPr>
                <w:i/>
                <w:iCs/>
                <w:color w:val="000000"/>
              </w:rPr>
            </w:pPr>
            <w:r w:rsidRPr="00F52FFA">
              <w:rPr>
                <w:i/>
                <w:iCs/>
                <w:color w:val="000000"/>
              </w:rPr>
              <w:t>Neparedz stingrākas prasības</w:t>
            </w:r>
          </w:p>
        </w:tc>
      </w:tr>
      <w:tr w:rsidR="002B5BF3" w:rsidRPr="00F52FFA" w14:paraId="62DBEB35" w14:textId="77777777" w:rsidTr="00D318C4">
        <w:tc>
          <w:tcPr>
            <w:tcW w:w="2122" w:type="dxa"/>
          </w:tcPr>
          <w:p w14:paraId="36CCB4F3" w14:textId="773DDB12" w:rsidR="002B5BF3" w:rsidRPr="00F52FFA" w:rsidRDefault="002B5BF3" w:rsidP="002B5BF3">
            <w:pPr>
              <w:rPr>
                <w:i/>
                <w:color w:val="000000"/>
              </w:rPr>
            </w:pPr>
            <w:r w:rsidRPr="00F52FFA">
              <w:rPr>
                <w:i/>
                <w:color w:val="000000"/>
              </w:rPr>
              <w:t>Komisijas regulas Nr. 1407/2013 3. panta 2. punkts</w:t>
            </w:r>
          </w:p>
        </w:tc>
        <w:tc>
          <w:tcPr>
            <w:tcW w:w="2268" w:type="dxa"/>
          </w:tcPr>
          <w:p w14:paraId="6646930F" w14:textId="3E316BDD" w:rsidR="002B5BF3" w:rsidRPr="00F52FFA" w:rsidRDefault="002B5BF3" w:rsidP="002B5BF3">
            <w:pPr>
              <w:rPr>
                <w:i/>
                <w:iCs/>
                <w:color w:val="000000"/>
                <w:lang w:eastAsia="en-US"/>
              </w:rPr>
            </w:pPr>
            <w:r w:rsidRPr="00F52FFA">
              <w:rPr>
                <w:i/>
                <w:iCs/>
                <w:color w:val="000000"/>
                <w:lang w:eastAsia="en-US"/>
              </w:rPr>
              <w:t>Noteikumu projekta 7</w:t>
            </w:r>
            <w:r w:rsidR="007061A1">
              <w:rPr>
                <w:i/>
                <w:iCs/>
                <w:color w:val="000000"/>
                <w:lang w:eastAsia="en-US"/>
              </w:rPr>
              <w:t>1</w:t>
            </w:r>
            <w:r w:rsidRPr="00F52FFA">
              <w:rPr>
                <w:i/>
                <w:iCs/>
                <w:color w:val="000000"/>
                <w:lang w:eastAsia="en-US"/>
              </w:rPr>
              <w:t>.1.2. apakšpunkts</w:t>
            </w:r>
          </w:p>
        </w:tc>
        <w:tc>
          <w:tcPr>
            <w:tcW w:w="2551" w:type="dxa"/>
          </w:tcPr>
          <w:p w14:paraId="3C849CE9" w14:textId="17FBF13F" w:rsidR="002B5BF3" w:rsidRPr="00F52FFA" w:rsidRDefault="002B5BF3" w:rsidP="002B5BF3">
            <w:pPr>
              <w:rPr>
                <w:i/>
                <w:iCs/>
                <w:color w:val="000000"/>
              </w:rPr>
            </w:pPr>
            <w:r w:rsidRPr="00F52FFA">
              <w:rPr>
                <w:i/>
                <w:iCs/>
                <w:color w:val="000000"/>
              </w:rPr>
              <w:t>Ieviests pilnībā</w:t>
            </w:r>
          </w:p>
        </w:tc>
        <w:tc>
          <w:tcPr>
            <w:tcW w:w="2693" w:type="dxa"/>
          </w:tcPr>
          <w:p w14:paraId="46847727" w14:textId="7A9B28E1" w:rsidR="002B5BF3" w:rsidRPr="00F52FFA" w:rsidRDefault="002B5BF3" w:rsidP="002B5BF3">
            <w:pPr>
              <w:rPr>
                <w:i/>
                <w:iCs/>
                <w:color w:val="000000"/>
              </w:rPr>
            </w:pPr>
            <w:r w:rsidRPr="00F52FFA">
              <w:rPr>
                <w:i/>
                <w:iCs/>
                <w:color w:val="000000"/>
              </w:rPr>
              <w:t>Neparedz stingrākas prasības</w:t>
            </w:r>
          </w:p>
        </w:tc>
      </w:tr>
      <w:tr w:rsidR="002B5BF3" w:rsidRPr="00F52FFA" w14:paraId="34C9921A" w14:textId="77777777" w:rsidTr="00D318C4">
        <w:tc>
          <w:tcPr>
            <w:tcW w:w="2122" w:type="dxa"/>
          </w:tcPr>
          <w:p w14:paraId="29DB3A81" w14:textId="6492488E" w:rsidR="002B5BF3" w:rsidRPr="00F52FFA" w:rsidRDefault="002B5BF3" w:rsidP="002B5BF3">
            <w:pPr>
              <w:rPr>
                <w:i/>
                <w:color w:val="000000"/>
              </w:rPr>
            </w:pPr>
            <w:r w:rsidRPr="00F52FFA">
              <w:rPr>
                <w:i/>
                <w:color w:val="000000"/>
              </w:rPr>
              <w:t>Komisijas regulas Nr. 1407/2013 2. panta 2. punkts</w:t>
            </w:r>
          </w:p>
        </w:tc>
        <w:tc>
          <w:tcPr>
            <w:tcW w:w="2268" w:type="dxa"/>
          </w:tcPr>
          <w:p w14:paraId="5A603011" w14:textId="2D0A9AC2" w:rsidR="002B5BF3" w:rsidRPr="00F52FFA" w:rsidRDefault="002B5BF3" w:rsidP="002B5BF3">
            <w:pPr>
              <w:rPr>
                <w:i/>
                <w:iCs/>
                <w:color w:val="000000"/>
                <w:lang w:eastAsia="en-US"/>
              </w:rPr>
            </w:pPr>
            <w:r w:rsidRPr="00F52FFA">
              <w:rPr>
                <w:i/>
                <w:iCs/>
                <w:color w:val="000000"/>
                <w:lang w:eastAsia="en-US"/>
              </w:rPr>
              <w:t>Noteikumu projekta 7</w:t>
            </w:r>
            <w:r w:rsidR="007061A1">
              <w:rPr>
                <w:i/>
                <w:iCs/>
                <w:color w:val="000000"/>
                <w:lang w:eastAsia="en-US"/>
              </w:rPr>
              <w:t>1</w:t>
            </w:r>
            <w:r w:rsidRPr="00F52FFA">
              <w:rPr>
                <w:i/>
                <w:iCs/>
                <w:color w:val="000000"/>
                <w:lang w:eastAsia="en-US"/>
              </w:rPr>
              <w:t>.1.</w:t>
            </w:r>
            <w:r w:rsidR="00113E5E" w:rsidRPr="00F52FFA">
              <w:rPr>
                <w:i/>
                <w:iCs/>
                <w:color w:val="000000"/>
                <w:lang w:eastAsia="en-US"/>
              </w:rPr>
              <w:t>2</w:t>
            </w:r>
            <w:r w:rsidRPr="00F52FFA">
              <w:rPr>
                <w:i/>
                <w:iCs/>
                <w:color w:val="000000"/>
                <w:lang w:eastAsia="en-US"/>
              </w:rPr>
              <w:t>. apakšpunkts</w:t>
            </w:r>
          </w:p>
        </w:tc>
        <w:tc>
          <w:tcPr>
            <w:tcW w:w="2551" w:type="dxa"/>
          </w:tcPr>
          <w:p w14:paraId="3720E7C6" w14:textId="6168E0E0" w:rsidR="002B5BF3" w:rsidRPr="00F52FFA" w:rsidRDefault="002B5BF3" w:rsidP="002B5BF3">
            <w:pPr>
              <w:rPr>
                <w:i/>
                <w:iCs/>
                <w:color w:val="000000"/>
              </w:rPr>
            </w:pPr>
            <w:r w:rsidRPr="00F52FFA">
              <w:rPr>
                <w:i/>
                <w:iCs/>
                <w:color w:val="000000"/>
              </w:rPr>
              <w:t>Ieviests pilnībā</w:t>
            </w:r>
          </w:p>
        </w:tc>
        <w:tc>
          <w:tcPr>
            <w:tcW w:w="2693" w:type="dxa"/>
          </w:tcPr>
          <w:p w14:paraId="04686A7B" w14:textId="2D7C38C0" w:rsidR="002B5BF3" w:rsidRPr="00F52FFA" w:rsidRDefault="002B5BF3" w:rsidP="002B5BF3">
            <w:pPr>
              <w:rPr>
                <w:i/>
                <w:iCs/>
                <w:color w:val="000000"/>
              </w:rPr>
            </w:pPr>
            <w:r w:rsidRPr="00F52FFA">
              <w:rPr>
                <w:i/>
                <w:iCs/>
                <w:color w:val="000000"/>
              </w:rPr>
              <w:t>Neparedz stingrākas prasības</w:t>
            </w:r>
          </w:p>
        </w:tc>
      </w:tr>
      <w:tr w:rsidR="002B5BF3" w:rsidRPr="00F52FFA" w14:paraId="756FE06E" w14:textId="77777777" w:rsidTr="00D318C4">
        <w:tc>
          <w:tcPr>
            <w:tcW w:w="2122" w:type="dxa"/>
          </w:tcPr>
          <w:p w14:paraId="0678FD79" w14:textId="06E02A86" w:rsidR="002B5BF3" w:rsidRPr="00F52FFA" w:rsidRDefault="002B5BF3" w:rsidP="002B5BF3">
            <w:pPr>
              <w:rPr>
                <w:i/>
                <w:color w:val="000000"/>
              </w:rPr>
            </w:pPr>
            <w:r w:rsidRPr="00F52FFA">
              <w:rPr>
                <w:i/>
                <w:color w:val="000000"/>
              </w:rPr>
              <w:t>Komisijas regulas Nr. 651/2014 9. panta 1. un 4. punkts</w:t>
            </w:r>
          </w:p>
        </w:tc>
        <w:tc>
          <w:tcPr>
            <w:tcW w:w="2268" w:type="dxa"/>
          </w:tcPr>
          <w:p w14:paraId="6AA0C027" w14:textId="6ED6EED2" w:rsidR="002B5BF3" w:rsidRPr="00F52FFA" w:rsidRDefault="002B5BF3" w:rsidP="002B5BF3">
            <w:pPr>
              <w:rPr>
                <w:i/>
                <w:iCs/>
                <w:color w:val="000000"/>
                <w:lang w:eastAsia="en-US"/>
              </w:rPr>
            </w:pPr>
            <w:r w:rsidRPr="00F52FFA">
              <w:rPr>
                <w:i/>
                <w:iCs/>
                <w:color w:val="000000"/>
                <w:lang w:eastAsia="en-US"/>
              </w:rPr>
              <w:t>Noteikumu projekta 7</w:t>
            </w:r>
            <w:r w:rsidR="007061A1">
              <w:rPr>
                <w:i/>
                <w:iCs/>
                <w:color w:val="000000"/>
                <w:lang w:eastAsia="en-US"/>
              </w:rPr>
              <w:t>1</w:t>
            </w:r>
            <w:r w:rsidRPr="00F52FFA">
              <w:rPr>
                <w:i/>
                <w:iCs/>
                <w:color w:val="000000"/>
                <w:lang w:eastAsia="en-US"/>
              </w:rPr>
              <w:t>.2. apakšpunkts</w:t>
            </w:r>
          </w:p>
        </w:tc>
        <w:tc>
          <w:tcPr>
            <w:tcW w:w="2551" w:type="dxa"/>
          </w:tcPr>
          <w:p w14:paraId="33F89706" w14:textId="04739FF9" w:rsidR="002B5BF3" w:rsidRPr="00F52FFA" w:rsidRDefault="002B5BF3" w:rsidP="002B5BF3">
            <w:pPr>
              <w:rPr>
                <w:i/>
                <w:iCs/>
                <w:color w:val="000000"/>
              </w:rPr>
            </w:pPr>
            <w:r w:rsidRPr="00F52FFA">
              <w:rPr>
                <w:i/>
                <w:iCs/>
                <w:color w:val="000000"/>
              </w:rPr>
              <w:t>Ieviests pilnībā</w:t>
            </w:r>
          </w:p>
        </w:tc>
        <w:tc>
          <w:tcPr>
            <w:tcW w:w="2693" w:type="dxa"/>
          </w:tcPr>
          <w:p w14:paraId="62C68882" w14:textId="6646C6FB" w:rsidR="002B5BF3" w:rsidRPr="00F52FFA" w:rsidRDefault="002B5BF3" w:rsidP="002B5BF3">
            <w:pPr>
              <w:rPr>
                <w:i/>
                <w:iCs/>
                <w:color w:val="000000"/>
              </w:rPr>
            </w:pPr>
            <w:r w:rsidRPr="00F52FFA">
              <w:rPr>
                <w:i/>
                <w:iCs/>
                <w:color w:val="000000"/>
              </w:rPr>
              <w:t>Neparedz stingrākas prasības</w:t>
            </w:r>
          </w:p>
        </w:tc>
      </w:tr>
      <w:tr w:rsidR="002B5BF3" w:rsidRPr="00F52FFA" w14:paraId="2B4131ED" w14:textId="77777777" w:rsidTr="00D318C4">
        <w:tc>
          <w:tcPr>
            <w:tcW w:w="2122" w:type="dxa"/>
          </w:tcPr>
          <w:p w14:paraId="2EEA7B82" w14:textId="1F6201DF" w:rsidR="002B5BF3" w:rsidRPr="00F52FFA" w:rsidRDefault="002B5BF3" w:rsidP="002B5BF3">
            <w:pPr>
              <w:rPr>
                <w:i/>
                <w:color w:val="000000"/>
              </w:rPr>
            </w:pPr>
            <w:r w:rsidRPr="00F52FFA">
              <w:rPr>
                <w:i/>
                <w:color w:val="000000"/>
              </w:rPr>
              <w:t>Komisijas regulas Nr. 651/2014 12. pants</w:t>
            </w:r>
          </w:p>
        </w:tc>
        <w:tc>
          <w:tcPr>
            <w:tcW w:w="2268" w:type="dxa"/>
          </w:tcPr>
          <w:p w14:paraId="749101D1" w14:textId="72803DBF" w:rsidR="002B5BF3" w:rsidRPr="00F52FFA" w:rsidRDefault="002B5BF3" w:rsidP="002B5BF3">
            <w:pPr>
              <w:rPr>
                <w:i/>
                <w:iCs/>
                <w:color w:val="000000"/>
                <w:lang w:eastAsia="en-US"/>
              </w:rPr>
            </w:pPr>
            <w:r w:rsidRPr="00F52FFA">
              <w:rPr>
                <w:i/>
                <w:iCs/>
                <w:color w:val="000000"/>
                <w:lang w:eastAsia="en-US"/>
              </w:rPr>
              <w:t>Noteikumu projekta 7</w:t>
            </w:r>
            <w:r w:rsidR="007061A1">
              <w:rPr>
                <w:i/>
                <w:iCs/>
                <w:color w:val="000000"/>
                <w:lang w:eastAsia="en-US"/>
              </w:rPr>
              <w:t>1</w:t>
            </w:r>
            <w:r w:rsidRPr="00F52FFA">
              <w:rPr>
                <w:i/>
                <w:iCs/>
                <w:color w:val="000000"/>
                <w:lang w:eastAsia="en-US"/>
              </w:rPr>
              <w:t>.2. apakšpunkts</w:t>
            </w:r>
          </w:p>
        </w:tc>
        <w:tc>
          <w:tcPr>
            <w:tcW w:w="2551" w:type="dxa"/>
          </w:tcPr>
          <w:p w14:paraId="79FF95B9" w14:textId="12600C70" w:rsidR="002B5BF3" w:rsidRPr="00F52FFA" w:rsidRDefault="002B5BF3" w:rsidP="002B5BF3">
            <w:pPr>
              <w:rPr>
                <w:i/>
                <w:iCs/>
                <w:color w:val="000000"/>
              </w:rPr>
            </w:pPr>
            <w:r w:rsidRPr="00F52FFA">
              <w:rPr>
                <w:i/>
                <w:iCs/>
                <w:color w:val="000000"/>
              </w:rPr>
              <w:t>Ieviests pilnībā</w:t>
            </w:r>
          </w:p>
        </w:tc>
        <w:tc>
          <w:tcPr>
            <w:tcW w:w="2693" w:type="dxa"/>
          </w:tcPr>
          <w:p w14:paraId="5D1FE280" w14:textId="09C9D7CB" w:rsidR="002B5BF3" w:rsidRPr="00F52FFA" w:rsidRDefault="002B5BF3" w:rsidP="002B5BF3">
            <w:pPr>
              <w:rPr>
                <w:i/>
                <w:iCs/>
                <w:color w:val="000000"/>
              </w:rPr>
            </w:pPr>
            <w:r w:rsidRPr="00F52FFA">
              <w:rPr>
                <w:i/>
                <w:iCs/>
                <w:color w:val="000000"/>
              </w:rPr>
              <w:t>Neparedz stingrākas prasības</w:t>
            </w:r>
          </w:p>
        </w:tc>
      </w:tr>
      <w:tr w:rsidR="002B5BF3" w:rsidRPr="00F52FFA" w14:paraId="678D35F3" w14:textId="77777777" w:rsidTr="00D318C4">
        <w:tc>
          <w:tcPr>
            <w:tcW w:w="2122" w:type="dxa"/>
          </w:tcPr>
          <w:p w14:paraId="0E4E21E6" w14:textId="70A6C5F5" w:rsidR="002B5BF3" w:rsidRPr="00F52FFA" w:rsidRDefault="002B5BF3" w:rsidP="002B5BF3">
            <w:pPr>
              <w:rPr>
                <w:i/>
                <w:color w:val="000000"/>
              </w:rPr>
            </w:pPr>
            <w:r w:rsidRPr="00F52FFA">
              <w:rPr>
                <w:i/>
                <w:color w:val="000000"/>
              </w:rPr>
              <w:t>Komisijas regulas Nr. 1407/2013 6.panta 4.punkts</w:t>
            </w:r>
          </w:p>
        </w:tc>
        <w:tc>
          <w:tcPr>
            <w:tcW w:w="2268" w:type="dxa"/>
          </w:tcPr>
          <w:p w14:paraId="66771D04" w14:textId="05A4A313" w:rsidR="002B5BF3" w:rsidRPr="00F52FFA" w:rsidRDefault="002B5BF3" w:rsidP="002B5BF3">
            <w:pPr>
              <w:rPr>
                <w:i/>
                <w:iCs/>
                <w:color w:val="000000"/>
                <w:lang w:eastAsia="en-US"/>
              </w:rPr>
            </w:pPr>
            <w:r w:rsidRPr="00F52FFA">
              <w:rPr>
                <w:i/>
                <w:iCs/>
                <w:color w:val="000000"/>
                <w:lang w:eastAsia="en-US"/>
              </w:rPr>
              <w:t>Noteikumu projekta 7</w:t>
            </w:r>
            <w:r w:rsidR="007061A1">
              <w:rPr>
                <w:i/>
                <w:iCs/>
                <w:color w:val="000000"/>
                <w:lang w:eastAsia="en-US"/>
              </w:rPr>
              <w:t>1</w:t>
            </w:r>
            <w:r w:rsidRPr="00F52FFA">
              <w:rPr>
                <w:i/>
                <w:iCs/>
                <w:color w:val="000000"/>
                <w:lang w:eastAsia="en-US"/>
              </w:rPr>
              <w:t>.3. apakšpunkts</w:t>
            </w:r>
          </w:p>
        </w:tc>
        <w:tc>
          <w:tcPr>
            <w:tcW w:w="2551" w:type="dxa"/>
          </w:tcPr>
          <w:p w14:paraId="02A0FF98" w14:textId="6F62B0C7" w:rsidR="002B5BF3" w:rsidRPr="00F52FFA" w:rsidRDefault="002B5BF3" w:rsidP="002B5BF3">
            <w:pPr>
              <w:rPr>
                <w:i/>
                <w:iCs/>
                <w:color w:val="000000"/>
              </w:rPr>
            </w:pPr>
            <w:r w:rsidRPr="00F52FFA">
              <w:rPr>
                <w:i/>
                <w:iCs/>
                <w:color w:val="000000"/>
              </w:rPr>
              <w:t>Ieviests pilnībā</w:t>
            </w:r>
          </w:p>
        </w:tc>
        <w:tc>
          <w:tcPr>
            <w:tcW w:w="2693" w:type="dxa"/>
          </w:tcPr>
          <w:p w14:paraId="757A153A" w14:textId="444C7402" w:rsidR="002B5BF3" w:rsidRPr="00F52FFA" w:rsidRDefault="002B5BF3" w:rsidP="002B5BF3">
            <w:pPr>
              <w:rPr>
                <w:i/>
                <w:iCs/>
                <w:color w:val="000000"/>
              </w:rPr>
            </w:pPr>
            <w:r w:rsidRPr="00F52FFA">
              <w:rPr>
                <w:i/>
                <w:iCs/>
                <w:color w:val="000000"/>
              </w:rPr>
              <w:t>Neparedz stingrākas prasības</w:t>
            </w:r>
          </w:p>
        </w:tc>
      </w:tr>
      <w:tr w:rsidR="002B5BF3" w:rsidRPr="00F52FFA" w14:paraId="76E113EC" w14:textId="77777777" w:rsidTr="00D318C4">
        <w:tc>
          <w:tcPr>
            <w:tcW w:w="2122" w:type="dxa"/>
          </w:tcPr>
          <w:p w14:paraId="4BD2913A" w14:textId="13A2B7A1" w:rsidR="002B5BF3" w:rsidRPr="00F52FFA" w:rsidRDefault="002B5BF3" w:rsidP="002B5BF3">
            <w:pPr>
              <w:rPr>
                <w:i/>
                <w:color w:val="000000"/>
              </w:rPr>
            </w:pPr>
          </w:p>
        </w:tc>
        <w:tc>
          <w:tcPr>
            <w:tcW w:w="2268" w:type="dxa"/>
          </w:tcPr>
          <w:p w14:paraId="681A4CE3" w14:textId="392D85B1" w:rsidR="002B5BF3" w:rsidRPr="00F52FFA" w:rsidRDefault="002B5BF3" w:rsidP="002B5BF3">
            <w:pPr>
              <w:rPr>
                <w:i/>
                <w:iCs/>
                <w:color w:val="000000"/>
                <w:lang w:eastAsia="en-US"/>
              </w:rPr>
            </w:pPr>
          </w:p>
        </w:tc>
        <w:tc>
          <w:tcPr>
            <w:tcW w:w="2551" w:type="dxa"/>
          </w:tcPr>
          <w:p w14:paraId="5404931B" w14:textId="226E9B56" w:rsidR="002B5BF3" w:rsidRPr="00F52FFA" w:rsidRDefault="002B5BF3" w:rsidP="002B5BF3">
            <w:pPr>
              <w:rPr>
                <w:i/>
                <w:iCs/>
                <w:color w:val="000000"/>
              </w:rPr>
            </w:pPr>
          </w:p>
        </w:tc>
        <w:tc>
          <w:tcPr>
            <w:tcW w:w="2693" w:type="dxa"/>
          </w:tcPr>
          <w:p w14:paraId="4E8C4933" w14:textId="084A0963" w:rsidR="002B5BF3" w:rsidRPr="00F52FFA" w:rsidRDefault="002B5BF3" w:rsidP="002B5BF3">
            <w:pPr>
              <w:rPr>
                <w:i/>
                <w:iCs/>
                <w:color w:val="000000"/>
              </w:rPr>
            </w:pPr>
          </w:p>
        </w:tc>
      </w:tr>
      <w:tr w:rsidR="002B5BF3" w:rsidRPr="00F52FFA" w14:paraId="04C53ED2" w14:textId="77777777" w:rsidTr="00D318C4">
        <w:tc>
          <w:tcPr>
            <w:tcW w:w="4390" w:type="dxa"/>
            <w:gridSpan w:val="2"/>
          </w:tcPr>
          <w:p w14:paraId="6FF0CB14" w14:textId="09710934" w:rsidR="002B5BF3" w:rsidRPr="00F52FFA" w:rsidRDefault="002B5BF3" w:rsidP="002B5BF3">
            <w:pPr>
              <w:rPr>
                <w:iCs/>
                <w:color w:val="000000"/>
                <w:lang w:eastAsia="en-US"/>
              </w:rPr>
            </w:pPr>
            <w:r w:rsidRPr="00F52FFA">
              <w:rPr>
                <w:color w:val="000000"/>
              </w:rPr>
              <w:t>Kā ir izmantota ES tiesību aktā paredzētā rīcības brīvība dalībvalstij pārņemt vai ieviest noteiktas ES tiesību akta normas? Kādēļ?</w:t>
            </w:r>
          </w:p>
        </w:tc>
        <w:tc>
          <w:tcPr>
            <w:tcW w:w="5244" w:type="dxa"/>
            <w:gridSpan w:val="2"/>
          </w:tcPr>
          <w:p w14:paraId="6DE4FCDB" w14:textId="6104B6A6" w:rsidR="002B5BF3" w:rsidRPr="00F52FFA" w:rsidRDefault="002B5BF3" w:rsidP="002B5BF3">
            <w:pPr>
              <w:rPr>
                <w:i/>
                <w:iCs/>
                <w:color w:val="000000"/>
              </w:rPr>
            </w:pPr>
            <w:r w:rsidRPr="00F52FFA">
              <w:rPr>
                <w:iCs/>
                <w:color w:val="000000"/>
              </w:rPr>
              <w:t>MK noteikumu projekts šo jomu neskar</w:t>
            </w:r>
          </w:p>
        </w:tc>
      </w:tr>
      <w:tr w:rsidR="002B5BF3" w:rsidRPr="00F52FFA" w14:paraId="0A90309F" w14:textId="77777777" w:rsidTr="00D318C4">
        <w:tc>
          <w:tcPr>
            <w:tcW w:w="4390" w:type="dxa"/>
            <w:gridSpan w:val="2"/>
          </w:tcPr>
          <w:p w14:paraId="5D9AFEA4" w14:textId="576CCE39" w:rsidR="002B5BF3" w:rsidRPr="00F52FFA" w:rsidRDefault="002B5BF3" w:rsidP="002B5BF3">
            <w:pPr>
              <w:rPr>
                <w:iCs/>
                <w:color w:val="000000"/>
                <w:lang w:eastAsia="en-US"/>
              </w:rPr>
            </w:pPr>
            <w:r w:rsidRPr="00F52FFA">
              <w:rPr>
                <w:color w:val="000000"/>
              </w:rPr>
              <w:t xml:space="preserve">Saistības sniegt paziņojumu ES institūcijām un ES dalībvalstīm atbilstoši </w:t>
            </w:r>
            <w:r w:rsidRPr="00F52FFA">
              <w:rPr>
                <w:color w:val="000000"/>
              </w:rPr>
              <w:lastRenderedPageBreak/>
              <w:t>normatīvajiem aktiem, kas regulē informācijas sniegšanu par tehnisko noteikumu, valsts atbalsta piešķiršanas un finanšu noteikumu (attiecībā uz monetāro politiku) projektiem</w:t>
            </w:r>
          </w:p>
        </w:tc>
        <w:tc>
          <w:tcPr>
            <w:tcW w:w="5244" w:type="dxa"/>
            <w:gridSpan w:val="2"/>
          </w:tcPr>
          <w:p w14:paraId="7808F447" w14:textId="544B33FB" w:rsidR="002B5BF3" w:rsidRPr="00F52FFA" w:rsidRDefault="002B5BF3" w:rsidP="002B5BF3">
            <w:pPr>
              <w:jc w:val="both"/>
              <w:rPr>
                <w:iCs/>
                <w:color w:val="000000"/>
              </w:rPr>
            </w:pPr>
            <w:r w:rsidRPr="00F52FFA">
              <w:rPr>
                <w:iCs/>
                <w:color w:val="000000"/>
              </w:rPr>
              <w:lastRenderedPageBreak/>
              <w:t xml:space="preserve">Saskaņā ar Komisijas Regulas Nr.651/2014 11.pantu Ekonomikas ministrijai Eiropas Komisijai 20 darba </w:t>
            </w:r>
            <w:r w:rsidRPr="00F52FFA">
              <w:rPr>
                <w:iCs/>
                <w:color w:val="000000"/>
              </w:rPr>
              <w:lastRenderedPageBreak/>
              <w:t xml:space="preserve">dienu laikā pēc šī Ministru kabineta Noteikumu projekta spēkā stāšanās ir </w:t>
            </w:r>
            <w:proofErr w:type="spellStart"/>
            <w:r w:rsidRPr="00F52FFA">
              <w:rPr>
                <w:iCs/>
                <w:color w:val="000000"/>
              </w:rPr>
              <w:t>jānosūta</w:t>
            </w:r>
            <w:proofErr w:type="spellEnd"/>
            <w:r w:rsidRPr="00F52FFA">
              <w:rPr>
                <w:iCs/>
                <w:color w:val="000000"/>
              </w:rPr>
              <w:t xml:space="preserve"> kopsavilkuma informācija par šo atbalsta pasākumu.</w:t>
            </w:r>
          </w:p>
        </w:tc>
      </w:tr>
      <w:tr w:rsidR="002B5BF3" w:rsidRPr="00F52FFA" w14:paraId="1308AFF0" w14:textId="77777777" w:rsidTr="00D318C4">
        <w:tc>
          <w:tcPr>
            <w:tcW w:w="4390" w:type="dxa"/>
            <w:gridSpan w:val="2"/>
          </w:tcPr>
          <w:p w14:paraId="3F499CA0" w14:textId="2DEB7374" w:rsidR="002B5BF3" w:rsidRPr="00F52FFA" w:rsidRDefault="002B5BF3" w:rsidP="002B5BF3">
            <w:pPr>
              <w:rPr>
                <w:iCs/>
                <w:color w:val="000000"/>
                <w:lang w:eastAsia="en-US"/>
              </w:rPr>
            </w:pPr>
            <w:r w:rsidRPr="00F52FFA">
              <w:rPr>
                <w:color w:val="000000"/>
                <w:lang w:eastAsia="en-US"/>
              </w:rPr>
              <w:lastRenderedPageBreak/>
              <w:t>Cita informācija</w:t>
            </w:r>
          </w:p>
        </w:tc>
        <w:tc>
          <w:tcPr>
            <w:tcW w:w="5244" w:type="dxa"/>
            <w:gridSpan w:val="2"/>
          </w:tcPr>
          <w:p w14:paraId="5BF2F75E" w14:textId="1C617AA6" w:rsidR="002B5BF3" w:rsidRPr="00F52FFA" w:rsidRDefault="002B5BF3" w:rsidP="002B5BF3">
            <w:pPr>
              <w:rPr>
                <w:iCs/>
                <w:color w:val="000000"/>
              </w:rPr>
            </w:pPr>
            <w:r w:rsidRPr="00F52FFA">
              <w:rPr>
                <w:color w:val="000000"/>
              </w:rPr>
              <w:t>Nav</w:t>
            </w:r>
          </w:p>
        </w:tc>
      </w:tr>
    </w:tbl>
    <w:p w14:paraId="72D4FA99" w14:textId="77777777" w:rsidR="00D318C4" w:rsidRPr="00F52FFA" w:rsidRDefault="00D318C4">
      <w:pPr>
        <w:rPr>
          <w:i/>
        </w:rPr>
      </w:pPr>
    </w:p>
    <w:tbl>
      <w:tblPr>
        <w:tblW w:w="96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312"/>
        <w:gridCol w:w="2808"/>
        <w:gridCol w:w="2971"/>
        <w:gridCol w:w="3543"/>
      </w:tblGrid>
      <w:tr w:rsidR="00C7318A" w:rsidRPr="00F52FFA" w14:paraId="4784EB3E" w14:textId="77777777" w:rsidTr="00A15CD1">
        <w:trPr>
          <w:gridBefore w:val="1"/>
          <w:wBefore w:w="15" w:type="dxa"/>
        </w:trPr>
        <w:tc>
          <w:tcPr>
            <w:tcW w:w="9634" w:type="dxa"/>
            <w:gridSpan w:val="4"/>
            <w:tcBorders>
              <w:top w:val="single" w:sz="4" w:space="0" w:color="auto"/>
              <w:left w:val="single" w:sz="4" w:space="0" w:color="auto"/>
              <w:bottom w:val="single" w:sz="4" w:space="0" w:color="auto"/>
              <w:right w:val="single" w:sz="4" w:space="0" w:color="auto"/>
            </w:tcBorders>
            <w:hideMark/>
          </w:tcPr>
          <w:p w14:paraId="79D21637" w14:textId="3F0ABC29" w:rsidR="00EA71CA" w:rsidRPr="00F52FFA" w:rsidRDefault="00EA71CA" w:rsidP="003A14EF">
            <w:pPr>
              <w:pStyle w:val="naisnod"/>
              <w:spacing w:before="0" w:beforeAutospacing="0" w:after="0" w:afterAutospacing="0" w:line="276" w:lineRule="auto"/>
              <w:jc w:val="center"/>
              <w:rPr>
                <w:b/>
                <w:color w:val="000000"/>
                <w:lang w:eastAsia="en-US"/>
              </w:rPr>
            </w:pPr>
            <w:r w:rsidRPr="00F52FFA">
              <w:rPr>
                <w:b/>
                <w:color w:val="000000"/>
                <w:lang w:eastAsia="en-US"/>
              </w:rPr>
              <w:t>2.tabula</w:t>
            </w:r>
          </w:p>
          <w:p w14:paraId="7C1EBDA0" w14:textId="425DABA5" w:rsidR="00F95DDA" w:rsidRPr="00F52FFA" w:rsidRDefault="00C7318A" w:rsidP="00F95DDA">
            <w:pPr>
              <w:pStyle w:val="naisnod"/>
              <w:spacing w:before="0" w:beforeAutospacing="0" w:after="0" w:afterAutospacing="0"/>
              <w:jc w:val="center"/>
              <w:rPr>
                <w:b/>
                <w:color w:val="000000"/>
                <w:lang w:eastAsia="en-US"/>
              </w:rPr>
            </w:pPr>
            <w:r w:rsidRPr="00F52FFA">
              <w:rPr>
                <w:b/>
                <w:color w:val="000000"/>
                <w:lang w:eastAsia="en-US"/>
              </w:rPr>
              <w:t>Ar tiesību akta projektu uzņemtās saistības, kas izriet no</w:t>
            </w:r>
          </w:p>
          <w:p w14:paraId="5D751878" w14:textId="42596FB1" w:rsidR="00C7318A" w:rsidRPr="00F52FFA" w:rsidRDefault="00C7318A" w:rsidP="00912232">
            <w:pPr>
              <w:pStyle w:val="naisnod"/>
              <w:spacing w:before="0" w:beforeAutospacing="0" w:after="0" w:afterAutospacing="0"/>
              <w:jc w:val="center"/>
              <w:rPr>
                <w:b/>
                <w:color w:val="000000"/>
                <w:lang w:eastAsia="en-US"/>
              </w:rPr>
            </w:pPr>
            <w:r w:rsidRPr="00F52FFA">
              <w:rPr>
                <w:b/>
                <w:color w:val="000000"/>
                <w:lang w:eastAsia="en-US"/>
              </w:rPr>
              <w:t xml:space="preserve"> starptautiskajiem tiesību aktiem vai starptautiskas institūcijas vai organizācijas dokumentiem</w:t>
            </w:r>
            <w:r w:rsidR="00EA71CA" w:rsidRPr="00F52FFA">
              <w:rPr>
                <w:b/>
                <w:color w:val="000000"/>
                <w:lang w:eastAsia="en-US"/>
              </w:rPr>
              <w:t>.</w:t>
            </w:r>
          </w:p>
          <w:p w14:paraId="7038A0FD" w14:textId="77777777" w:rsidR="00C7318A" w:rsidRPr="00F52FFA" w:rsidRDefault="00C7318A" w:rsidP="00912232">
            <w:pPr>
              <w:jc w:val="center"/>
              <w:rPr>
                <w:color w:val="000000"/>
                <w:lang w:eastAsia="en-US"/>
              </w:rPr>
            </w:pPr>
            <w:r w:rsidRPr="00F52FFA">
              <w:rPr>
                <w:b/>
                <w:color w:val="000000"/>
              </w:rPr>
              <w:t>Pasākumi šo saistību izpildei</w:t>
            </w:r>
          </w:p>
        </w:tc>
      </w:tr>
      <w:tr w:rsidR="00C7318A" w:rsidRPr="00F52FFA" w14:paraId="7D096C84" w14:textId="77777777" w:rsidTr="00A15CD1">
        <w:trPr>
          <w:gridBefore w:val="1"/>
          <w:wBefore w:w="15" w:type="dxa"/>
        </w:trPr>
        <w:tc>
          <w:tcPr>
            <w:tcW w:w="3120" w:type="dxa"/>
            <w:gridSpan w:val="2"/>
            <w:tcBorders>
              <w:top w:val="single" w:sz="4" w:space="0" w:color="auto"/>
              <w:left w:val="single" w:sz="4" w:space="0" w:color="auto"/>
              <w:bottom w:val="single" w:sz="4" w:space="0" w:color="auto"/>
              <w:right w:val="single" w:sz="4" w:space="0" w:color="auto"/>
            </w:tcBorders>
            <w:hideMark/>
          </w:tcPr>
          <w:p w14:paraId="51418190" w14:textId="77777777" w:rsidR="00C7318A" w:rsidRPr="00F52FFA" w:rsidRDefault="00C7318A" w:rsidP="003A14EF">
            <w:pPr>
              <w:rPr>
                <w:color w:val="000000"/>
                <w:lang w:eastAsia="en-US"/>
              </w:rPr>
            </w:pPr>
            <w:r w:rsidRPr="00F52FFA">
              <w:rPr>
                <w:color w:val="000000"/>
              </w:rPr>
              <w:t>Attiecīgā starptautiskā tiesību akta vai starptautiskas institūcijas vai organizācijas dokumenta (turpmāk – starptautiskais dokuments) datums, numurs un nosaukums</w:t>
            </w:r>
          </w:p>
        </w:tc>
        <w:tc>
          <w:tcPr>
            <w:tcW w:w="6514" w:type="dxa"/>
            <w:gridSpan w:val="2"/>
            <w:tcBorders>
              <w:top w:val="single" w:sz="4" w:space="0" w:color="auto"/>
              <w:left w:val="single" w:sz="4" w:space="0" w:color="auto"/>
              <w:bottom w:val="single" w:sz="4" w:space="0" w:color="auto"/>
              <w:right w:val="single" w:sz="4" w:space="0" w:color="auto"/>
            </w:tcBorders>
            <w:hideMark/>
          </w:tcPr>
          <w:p w14:paraId="59145B8F" w14:textId="79B4332E" w:rsidR="00C7318A" w:rsidRPr="00F52FFA" w:rsidRDefault="00B93370" w:rsidP="003A14EF">
            <w:pPr>
              <w:tabs>
                <w:tab w:val="left" w:pos="325"/>
              </w:tabs>
              <w:rPr>
                <w:i/>
                <w:color w:val="000000"/>
                <w:lang w:eastAsia="en-US"/>
              </w:rPr>
            </w:pPr>
            <w:r w:rsidRPr="00F52FFA">
              <w:rPr>
                <w:iCs/>
                <w:color w:val="000000"/>
              </w:rPr>
              <w:t>N</w:t>
            </w:r>
            <w:r w:rsidR="00C7318A" w:rsidRPr="00F52FFA">
              <w:rPr>
                <w:iCs/>
                <w:color w:val="000000"/>
              </w:rPr>
              <w:t>o</w:t>
            </w:r>
            <w:r w:rsidR="00EA71CA" w:rsidRPr="00F52FFA">
              <w:rPr>
                <w:iCs/>
                <w:color w:val="000000"/>
              </w:rPr>
              <w:t>teikumu projekts šo jomu neskar</w:t>
            </w:r>
          </w:p>
        </w:tc>
      </w:tr>
      <w:tr w:rsidR="00C7318A" w:rsidRPr="00F52FFA" w14:paraId="2756487E" w14:textId="77777777" w:rsidTr="00A15CD1">
        <w:trPr>
          <w:gridBefore w:val="1"/>
          <w:wBefore w:w="15" w:type="dxa"/>
        </w:trPr>
        <w:tc>
          <w:tcPr>
            <w:tcW w:w="3120" w:type="dxa"/>
            <w:gridSpan w:val="2"/>
            <w:tcBorders>
              <w:top w:val="single" w:sz="4" w:space="0" w:color="auto"/>
              <w:left w:val="single" w:sz="4" w:space="0" w:color="auto"/>
              <w:bottom w:val="single" w:sz="4" w:space="0" w:color="auto"/>
              <w:right w:val="single" w:sz="4" w:space="0" w:color="auto"/>
            </w:tcBorders>
            <w:hideMark/>
          </w:tcPr>
          <w:p w14:paraId="6D94EF8C" w14:textId="77777777" w:rsidR="00C7318A" w:rsidRPr="00F52FFA" w:rsidRDefault="00C7318A" w:rsidP="003A14EF">
            <w:pPr>
              <w:jc w:val="center"/>
              <w:rPr>
                <w:color w:val="000000"/>
                <w:lang w:eastAsia="en-US"/>
              </w:rPr>
            </w:pPr>
            <w:r w:rsidRPr="00F52FFA">
              <w:rPr>
                <w:color w:val="000000"/>
              </w:rPr>
              <w:t>A</w:t>
            </w:r>
          </w:p>
        </w:tc>
        <w:tc>
          <w:tcPr>
            <w:tcW w:w="2971" w:type="dxa"/>
            <w:tcBorders>
              <w:top w:val="single" w:sz="4" w:space="0" w:color="auto"/>
              <w:left w:val="single" w:sz="4" w:space="0" w:color="auto"/>
              <w:bottom w:val="single" w:sz="4" w:space="0" w:color="auto"/>
              <w:right w:val="single" w:sz="4" w:space="0" w:color="auto"/>
            </w:tcBorders>
            <w:hideMark/>
          </w:tcPr>
          <w:p w14:paraId="05B6C7C6" w14:textId="77777777" w:rsidR="00C7318A" w:rsidRPr="00F52FFA" w:rsidRDefault="00C7318A" w:rsidP="003A14EF">
            <w:pPr>
              <w:jc w:val="center"/>
              <w:rPr>
                <w:color w:val="000000"/>
                <w:lang w:eastAsia="en-US"/>
              </w:rPr>
            </w:pPr>
            <w:r w:rsidRPr="00F52FFA">
              <w:rPr>
                <w:color w:val="000000"/>
              </w:rPr>
              <w:t>B</w:t>
            </w:r>
          </w:p>
        </w:tc>
        <w:tc>
          <w:tcPr>
            <w:tcW w:w="3543" w:type="dxa"/>
            <w:tcBorders>
              <w:top w:val="single" w:sz="4" w:space="0" w:color="auto"/>
              <w:left w:val="single" w:sz="4" w:space="0" w:color="auto"/>
              <w:bottom w:val="single" w:sz="4" w:space="0" w:color="auto"/>
              <w:right w:val="single" w:sz="4" w:space="0" w:color="auto"/>
            </w:tcBorders>
            <w:hideMark/>
          </w:tcPr>
          <w:p w14:paraId="501A986C" w14:textId="77777777" w:rsidR="00C7318A" w:rsidRPr="00F52FFA" w:rsidRDefault="00C7318A" w:rsidP="003A14EF">
            <w:pPr>
              <w:jc w:val="center"/>
              <w:rPr>
                <w:color w:val="000000"/>
                <w:lang w:eastAsia="en-US"/>
              </w:rPr>
            </w:pPr>
            <w:r w:rsidRPr="00F52FFA">
              <w:rPr>
                <w:color w:val="000000"/>
              </w:rPr>
              <w:t>C</w:t>
            </w:r>
          </w:p>
        </w:tc>
      </w:tr>
      <w:tr w:rsidR="00C7318A" w:rsidRPr="00F52FFA" w14:paraId="50FA504C" w14:textId="77777777" w:rsidTr="00A15CD1">
        <w:trPr>
          <w:gridBefore w:val="1"/>
          <w:wBefore w:w="15" w:type="dxa"/>
        </w:trPr>
        <w:tc>
          <w:tcPr>
            <w:tcW w:w="3120" w:type="dxa"/>
            <w:gridSpan w:val="2"/>
            <w:tcBorders>
              <w:top w:val="single" w:sz="4" w:space="0" w:color="auto"/>
              <w:left w:val="single" w:sz="4" w:space="0" w:color="auto"/>
              <w:bottom w:val="single" w:sz="4" w:space="0" w:color="auto"/>
              <w:right w:val="single" w:sz="4" w:space="0" w:color="auto"/>
            </w:tcBorders>
            <w:hideMark/>
          </w:tcPr>
          <w:p w14:paraId="3427DAC6" w14:textId="77777777" w:rsidR="00C7318A" w:rsidRPr="00F52FFA" w:rsidRDefault="00C7318A" w:rsidP="003A14EF">
            <w:pPr>
              <w:rPr>
                <w:color w:val="000000"/>
              </w:rPr>
            </w:pPr>
            <w:r w:rsidRPr="00F52FFA">
              <w:rPr>
                <w:color w:val="000000"/>
              </w:rPr>
              <w:t>Starptautiskās saistības (pēc būtības), kas izriet no norādītā starptautiskā dokumenta.</w:t>
            </w:r>
          </w:p>
          <w:p w14:paraId="78009EF7" w14:textId="2A067EBD" w:rsidR="00C7318A" w:rsidRPr="00F52FFA" w:rsidRDefault="00C7318A" w:rsidP="003A14EF">
            <w:pPr>
              <w:rPr>
                <w:color w:val="000000"/>
                <w:lang w:eastAsia="en-US"/>
              </w:rPr>
            </w:pPr>
            <w:r w:rsidRPr="00F52FFA">
              <w:rPr>
                <w:color w:val="000000"/>
              </w:rPr>
              <w:t>Konkrēti veicamie pasākumi vai uzdevumi, kas nepieciešami šo starptautisko saistību izpildei</w:t>
            </w:r>
            <w:r w:rsidR="00655851" w:rsidRPr="00F52FFA">
              <w:rPr>
                <w:color w:val="000000"/>
              </w:rPr>
              <w:t>.</w:t>
            </w:r>
          </w:p>
        </w:tc>
        <w:tc>
          <w:tcPr>
            <w:tcW w:w="2971" w:type="dxa"/>
            <w:tcBorders>
              <w:top w:val="single" w:sz="4" w:space="0" w:color="auto"/>
              <w:left w:val="single" w:sz="4" w:space="0" w:color="auto"/>
              <w:bottom w:val="single" w:sz="4" w:space="0" w:color="auto"/>
              <w:right w:val="single" w:sz="4" w:space="0" w:color="auto"/>
            </w:tcBorders>
            <w:hideMark/>
          </w:tcPr>
          <w:p w14:paraId="4ADF5D0B" w14:textId="64B61012" w:rsidR="00C7318A" w:rsidRPr="00F52FFA" w:rsidRDefault="00C7318A" w:rsidP="003A14EF">
            <w:pPr>
              <w:rPr>
                <w:color w:val="000000"/>
                <w:lang w:eastAsia="en-US"/>
              </w:rPr>
            </w:pPr>
            <w:r w:rsidRPr="00F52FFA">
              <w:rPr>
                <w:color w:val="000000"/>
              </w:rPr>
              <w:t>Ja pasākumi vai uzdevumi, ar ko tiks izpildītas starptautiskās saistības, tiek noteikti projektā, norāda attiecīgo projekta vienību vai norāda dokumentu, kurā sniegts izvērsts skaidrojums, kādā veidā tiks nodrošināta starptautisko saistību izpilde</w:t>
            </w:r>
            <w:r w:rsidR="00655851" w:rsidRPr="00F52FFA">
              <w:rPr>
                <w:color w:val="000000"/>
              </w:rPr>
              <w:t>.</w:t>
            </w:r>
          </w:p>
        </w:tc>
        <w:tc>
          <w:tcPr>
            <w:tcW w:w="3543" w:type="dxa"/>
            <w:tcBorders>
              <w:top w:val="single" w:sz="4" w:space="0" w:color="auto"/>
              <w:left w:val="single" w:sz="4" w:space="0" w:color="auto"/>
              <w:bottom w:val="single" w:sz="4" w:space="0" w:color="auto"/>
              <w:right w:val="single" w:sz="4" w:space="0" w:color="auto"/>
            </w:tcBorders>
            <w:hideMark/>
          </w:tcPr>
          <w:p w14:paraId="76015DD0" w14:textId="77777777" w:rsidR="00C7318A" w:rsidRPr="00F52FFA" w:rsidRDefault="00C7318A" w:rsidP="003A14EF">
            <w:pPr>
              <w:rPr>
                <w:color w:val="000000"/>
              </w:rPr>
            </w:pPr>
            <w:r w:rsidRPr="00F52FFA">
              <w:rPr>
                <w:color w:val="000000"/>
              </w:rPr>
              <w:t>Informācija par to, vai starptautiskās saistības, kas minētas šīs tabulas A ailē, tiek izpildītas pilnībā vai daļēji.</w:t>
            </w:r>
          </w:p>
          <w:p w14:paraId="2D78E734" w14:textId="77777777" w:rsidR="00C7318A" w:rsidRPr="00F52FFA" w:rsidRDefault="00C7318A" w:rsidP="003A14EF">
            <w:pPr>
              <w:rPr>
                <w:color w:val="000000"/>
              </w:rPr>
            </w:pPr>
            <w:r w:rsidRPr="00F52FFA">
              <w:rPr>
                <w:color w:val="000000"/>
              </w:rPr>
              <w:t>Ja attiecīgās starptautiskās saistības tiek izpildītas daļēji, sniedz attiecīgu skaidrojumu, kā arī precīzi norāda, kad un kādā veidā starptautiskās saistības tiks izpildītas pilnībā.</w:t>
            </w:r>
          </w:p>
          <w:p w14:paraId="124A8C70" w14:textId="37937A0D" w:rsidR="00C7318A" w:rsidRPr="00F52FFA" w:rsidRDefault="00C7318A" w:rsidP="003A14EF">
            <w:pPr>
              <w:rPr>
                <w:color w:val="000000"/>
                <w:lang w:eastAsia="en-US"/>
              </w:rPr>
            </w:pPr>
            <w:r w:rsidRPr="00F52FFA">
              <w:rPr>
                <w:color w:val="000000"/>
              </w:rPr>
              <w:t>Norāda institūciju, kas ir atbildīga par šo saistību izpildi pilnībā</w:t>
            </w:r>
            <w:r w:rsidR="00655851" w:rsidRPr="00F52FFA">
              <w:rPr>
                <w:color w:val="000000"/>
              </w:rPr>
              <w:t>.</w:t>
            </w:r>
          </w:p>
        </w:tc>
      </w:tr>
      <w:tr w:rsidR="00C7318A" w:rsidRPr="00F52FFA" w14:paraId="4876D93E" w14:textId="77777777" w:rsidTr="00A15CD1">
        <w:trPr>
          <w:gridBefore w:val="1"/>
          <w:wBefore w:w="15" w:type="dxa"/>
        </w:trPr>
        <w:tc>
          <w:tcPr>
            <w:tcW w:w="3120" w:type="dxa"/>
            <w:gridSpan w:val="2"/>
            <w:tcBorders>
              <w:top w:val="single" w:sz="4" w:space="0" w:color="auto"/>
              <w:left w:val="single" w:sz="4" w:space="0" w:color="auto"/>
              <w:bottom w:val="single" w:sz="4" w:space="0" w:color="auto"/>
              <w:right w:val="single" w:sz="4" w:space="0" w:color="auto"/>
            </w:tcBorders>
            <w:hideMark/>
          </w:tcPr>
          <w:p w14:paraId="2DE74283" w14:textId="63DC1050" w:rsidR="00C7318A" w:rsidRPr="00F52FFA" w:rsidRDefault="00C7318A" w:rsidP="003A14EF">
            <w:pPr>
              <w:rPr>
                <w:color w:val="000000"/>
                <w:lang w:eastAsia="en-US"/>
              </w:rPr>
            </w:pPr>
            <w:r w:rsidRPr="00F52FFA">
              <w:rPr>
                <w:iCs/>
                <w:color w:val="000000"/>
              </w:rPr>
              <w:t>No</w:t>
            </w:r>
            <w:r w:rsidR="00655851" w:rsidRPr="00F52FFA">
              <w:rPr>
                <w:iCs/>
                <w:color w:val="000000"/>
              </w:rPr>
              <w:t>teikumu projekts šo jomu neskar</w:t>
            </w:r>
          </w:p>
        </w:tc>
        <w:tc>
          <w:tcPr>
            <w:tcW w:w="2971" w:type="dxa"/>
            <w:tcBorders>
              <w:top w:val="single" w:sz="4" w:space="0" w:color="auto"/>
              <w:left w:val="single" w:sz="4" w:space="0" w:color="auto"/>
              <w:bottom w:val="single" w:sz="4" w:space="0" w:color="auto"/>
              <w:right w:val="single" w:sz="4" w:space="0" w:color="auto"/>
            </w:tcBorders>
            <w:hideMark/>
          </w:tcPr>
          <w:p w14:paraId="1BEF5955" w14:textId="111C77FB" w:rsidR="00C7318A" w:rsidRPr="00F52FFA" w:rsidRDefault="00B93370" w:rsidP="003A14EF">
            <w:pPr>
              <w:rPr>
                <w:color w:val="000000"/>
                <w:lang w:eastAsia="en-US"/>
              </w:rPr>
            </w:pPr>
            <w:r w:rsidRPr="00F52FFA">
              <w:rPr>
                <w:iCs/>
                <w:color w:val="000000"/>
              </w:rPr>
              <w:t>N</w:t>
            </w:r>
            <w:r w:rsidR="00C7318A" w:rsidRPr="00F52FFA">
              <w:rPr>
                <w:iCs/>
                <w:color w:val="000000"/>
              </w:rPr>
              <w:t>o</w:t>
            </w:r>
            <w:r w:rsidR="00655851" w:rsidRPr="00F52FFA">
              <w:rPr>
                <w:iCs/>
                <w:color w:val="000000"/>
              </w:rPr>
              <w:t>teikumu projekts šo jomu neskar</w:t>
            </w:r>
          </w:p>
        </w:tc>
        <w:tc>
          <w:tcPr>
            <w:tcW w:w="3543" w:type="dxa"/>
            <w:tcBorders>
              <w:top w:val="single" w:sz="4" w:space="0" w:color="auto"/>
              <w:left w:val="single" w:sz="4" w:space="0" w:color="auto"/>
              <w:bottom w:val="single" w:sz="4" w:space="0" w:color="auto"/>
              <w:right w:val="single" w:sz="4" w:space="0" w:color="auto"/>
            </w:tcBorders>
            <w:hideMark/>
          </w:tcPr>
          <w:p w14:paraId="4842DF21" w14:textId="0C338CDD" w:rsidR="00C7318A" w:rsidRPr="00F52FFA" w:rsidRDefault="00B93370" w:rsidP="003A14EF">
            <w:pPr>
              <w:rPr>
                <w:color w:val="000000"/>
                <w:lang w:eastAsia="en-US"/>
              </w:rPr>
            </w:pPr>
            <w:r w:rsidRPr="00F52FFA">
              <w:rPr>
                <w:iCs/>
                <w:color w:val="000000"/>
              </w:rPr>
              <w:t>N</w:t>
            </w:r>
            <w:r w:rsidR="00C7318A" w:rsidRPr="00F52FFA">
              <w:rPr>
                <w:iCs/>
                <w:color w:val="000000"/>
              </w:rPr>
              <w:t>o</w:t>
            </w:r>
            <w:r w:rsidR="00655851" w:rsidRPr="00F52FFA">
              <w:rPr>
                <w:iCs/>
                <w:color w:val="000000"/>
              </w:rPr>
              <w:t>teikumu projekts šo jomu neskar</w:t>
            </w:r>
          </w:p>
        </w:tc>
      </w:tr>
      <w:tr w:rsidR="00C7318A" w:rsidRPr="00F52FFA" w14:paraId="454071ED" w14:textId="77777777" w:rsidTr="00A15CD1">
        <w:trPr>
          <w:gridBefore w:val="1"/>
          <w:wBefore w:w="15" w:type="dxa"/>
        </w:trPr>
        <w:tc>
          <w:tcPr>
            <w:tcW w:w="3120" w:type="dxa"/>
            <w:gridSpan w:val="2"/>
            <w:tcBorders>
              <w:top w:val="single" w:sz="4" w:space="0" w:color="auto"/>
              <w:left w:val="single" w:sz="4" w:space="0" w:color="auto"/>
              <w:bottom w:val="single" w:sz="4" w:space="0" w:color="auto"/>
              <w:right w:val="single" w:sz="4" w:space="0" w:color="auto"/>
            </w:tcBorders>
            <w:hideMark/>
          </w:tcPr>
          <w:p w14:paraId="1278FAB7" w14:textId="0C6ABF68" w:rsidR="00C7318A" w:rsidRPr="00F52FFA" w:rsidRDefault="00C7318A" w:rsidP="003A14EF">
            <w:pPr>
              <w:rPr>
                <w:color w:val="000000"/>
                <w:lang w:eastAsia="en-US"/>
              </w:rPr>
            </w:pPr>
            <w:r w:rsidRPr="00F52FFA">
              <w:rPr>
                <w:color w:val="000000"/>
              </w:rPr>
              <w:t>Vai starptautiskajā dokumentā paredzētās saistības nav pretrunā ar jau esošajām Latvijas Republikas starptautiskajām saistībām</w:t>
            </w:r>
            <w:r w:rsidR="00655851" w:rsidRPr="00F52FFA">
              <w:rPr>
                <w:color w:val="000000"/>
              </w:rPr>
              <w:t>?</w:t>
            </w:r>
          </w:p>
        </w:tc>
        <w:tc>
          <w:tcPr>
            <w:tcW w:w="6514" w:type="dxa"/>
            <w:gridSpan w:val="2"/>
            <w:tcBorders>
              <w:top w:val="single" w:sz="4" w:space="0" w:color="auto"/>
              <w:left w:val="single" w:sz="4" w:space="0" w:color="auto"/>
              <w:bottom w:val="single" w:sz="4" w:space="0" w:color="auto"/>
              <w:right w:val="single" w:sz="4" w:space="0" w:color="auto"/>
            </w:tcBorders>
            <w:hideMark/>
          </w:tcPr>
          <w:p w14:paraId="4636F421" w14:textId="30AFA200" w:rsidR="00C7318A" w:rsidRPr="00F52FFA" w:rsidRDefault="00B93370" w:rsidP="003A14EF">
            <w:pPr>
              <w:rPr>
                <w:i/>
                <w:color w:val="000000"/>
                <w:lang w:eastAsia="en-US"/>
              </w:rPr>
            </w:pPr>
            <w:r w:rsidRPr="00F52FFA">
              <w:rPr>
                <w:iCs/>
                <w:color w:val="000000"/>
              </w:rPr>
              <w:t>N</w:t>
            </w:r>
            <w:r w:rsidR="00C7318A" w:rsidRPr="00F52FFA">
              <w:rPr>
                <w:iCs/>
                <w:color w:val="000000"/>
              </w:rPr>
              <w:t>o</w:t>
            </w:r>
            <w:r w:rsidR="00655851" w:rsidRPr="00F52FFA">
              <w:rPr>
                <w:iCs/>
                <w:color w:val="000000"/>
              </w:rPr>
              <w:t>teikumu projekts šo jomu neskar</w:t>
            </w:r>
          </w:p>
        </w:tc>
      </w:tr>
      <w:tr w:rsidR="00C7318A" w:rsidRPr="00F52FFA" w14:paraId="7FE1D06A" w14:textId="77777777" w:rsidTr="00A15CD1">
        <w:trPr>
          <w:gridBefore w:val="1"/>
          <w:wBefore w:w="15" w:type="dxa"/>
        </w:trPr>
        <w:tc>
          <w:tcPr>
            <w:tcW w:w="3120" w:type="dxa"/>
            <w:gridSpan w:val="2"/>
            <w:tcBorders>
              <w:top w:val="single" w:sz="4" w:space="0" w:color="auto"/>
              <w:left w:val="single" w:sz="4" w:space="0" w:color="auto"/>
              <w:bottom w:val="single" w:sz="4" w:space="0" w:color="auto"/>
              <w:right w:val="single" w:sz="4" w:space="0" w:color="auto"/>
            </w:tcBorders>
            <w:hideMark/>
          </w:tcPr>
          <w:p w14:paraId="545F6611" w14:textId="77777777" w:rsidR="00C7318A" w:rsidRPr="00F52FFA" w:rsidRDefault="00C7318A" w:rsidP="003A14EF">
            <w:pPr>
              <w:rPr>
                <w:color w:val="000000"/>
                <w:lang w:eastAsia="en-US"/>
              </w:rPr>
            </w:pPr>
            <w:r w:rsidRPr="00F52FFA">
              <w:rPr>
                <w:color w:val="000000"/>
              </w:rPr>
              <w:t>Cita informācija</w:t>
            </w:r>
          </w:p>
        </w:tc>
        <w:tc>
          <w:tcPr>
            <w:tcW w:w="6514" w:type="dxa"/>
            <w:gridSpan w:val="2"/>
            <w:tcBorders>
              <w:top w:val="single" w:sz="4" w:space="0" w:color="auto"/>
              <w:left w:val="single" w:sz="4" w:space="0" w:color="auto"/>
              <w:bottom w:val="single" w:sz="4" w:space="0" w:color="auto"/>
              <w:right w:val="single" w:sz="4" w:space="0" w:color="auto"/>
            </w:tcBorders>
            <w:hideMark/>
          </w:tcPr>
          <w:p w14:paraId="6ADB7343" w14:textId="5F3AE703" w:rsidR="00C7318A" w:rsidRPr="00F52FFA" w:rsidRDefault="00655851" w:rsidP="003A14EF">
            <w:pPr>
              <w:rPr>
                <w:color w:val="000000"/>
                <w:lang w:eastAsia="en-US"/>
              </w:rPr>
            </w:pPr>
            <w:r w:rsidRPr="00F52FFA">
              <w:rPr>
                <w:color w:val="000000"/>
              </w:rPr>
              <w:t>Nav</w:t>
            </w:r>
          </w:p>
        </w:tc>
      </w:tr>
      <w:tr w:rsidR="00C7318A" w:rsidRPr="00F52FFA" w14:paraId="580826D2" w14:textId="77777777" w:rsidTr="00A15CD1">
        <w:tblPrEx>
          <w:tblCellMar>
            <w:left w:w="0" w:type="dxa"/>
            <w:right w:w="0" w:type="dxa"/>
          </w:tblCellMar>
          <w:tblLook w:val="0000" w:firstRow="0" w:lastRow="0" w:firstColumn="0" w:lastColumn="0" w:noHBand="0" w:noVBand="0"/>
        </w:tblPrEx>
        <w:trPr>
          <w:trHeight w:val="589"/>
        </w:trPr>
        <w:tc>
          <w:tcPr>
            <w:tcW w:w="9649" w:type="dxa"/>
            <w:gridSpan w:val="5"/>
            <w:tcBorders>
              <w:left w:val="nil"/>
              <w:bottom w:val="single" w:sz="4" w:space="0" w:color="auto"/>
              <w:right w:val="nil"/>
            </w:tcBorders>
            <w:vAlign w:val="center"/>
          </w:tcPr>
          <w:p w14:paraId="6124B387" w14:textId="50B35B63" w:rsidR="00424E00" w:rsidRPr="00F52FFA" w:rsidRDefault="00424E00" w:rsidP="00777064">
            <w:pPr>
              <w:pStyle w:val="naisnod"/>
              <w:spacing w:before="0" w:beforeAutospacing="0" w:after="0" w:afterAutospacing="0"/>
              <w:ind w:right="57"/>
            </w:pPr>
          </w:p>
        </w:tc>
      </w:tr>
      <w:tr w:rsidR="00912232" w:rsidRPr="00F52FFA" w14:paraId="462090C6" w14:textId="77777777" w:rsidTr="00A15CD1">
        <w:tblPrEx>
          <w:tblCellMar>
            <w:left w:w="0" w:type="dxa"/>
            <w:right w:w="0" w:type="dxa"/>
          </w:tblCellMar>
          <w:tblLook w:val="0000" w:firstRow="0" w:lastRow="0" w:firstColumn="0" w:lastColumn="0" w:noHBand="0" w:noVBand="0"/>
        </w:tblPrEx>
        <w:trPr>
          <w:trHeight w:val="340"/>
        </w:trPr>
        <w:tc>
          <w:tcPr>
            <w:tcW w:w="9649" w:type="dxa"/>
            <w:gridSpan w:val="5"/>
            <w:tcBorders>
              <w:left w:val="single" w:sz="4" w:space="0" w:color="auto"/>
              <w:right w:val="single" w:sz="4" w:space="0" w:color="auto"/>
            </w:tcBorders>
            <w:vAlign w:val="center"/>
          </w:tcPr>
          <w:p w14:paraId="07D30983" w14:textId="0BC5B824" w:rsidR="00912232" w:rsidRPr="00F52FFA" w:rsidRDefault="00912232" w:rsidP="003A14EF">
            <w:pPr>
              <w:pStyle w:val="naisnod"/>
              <w:spacing w:before="0" w:after="0"/>
              <w:ind w:left="57" w:right="57"/>
              <w:jc w:val="center"/>
              <w:rPr>
                <w:b/>
              </w:rPr>
            </w:pPr>
            <w:r w:rsidRPr="00F52FFA">
              <w:rPr>
                <w:b/>
              </w:rPr>
              <w:t>VI. Sabiedrības līdzdalība un komunikācijas aktivitātes</w:t>
            </w:r>
          </w:p>
        </w:tc>
      </w:tr>
      <w:tr w:rsidR="00C7318A" w:rsidRPr="00F52FFA" w14:paraId="7145E592" w14:textId="77777777" w:rsidTr="00782549">
        <w:tblPrEx>
          <w:tblCellMar>
            <w:left w:w="0" w:type="dxa"/>
            <w:right w:w="0" w:type="dxa"/>
          </w:tblCellMar>
          <w:tblLook w:val="0000" w:firstRow="0" w:lastRow="0" w:firstColumn="0" w:lastColumn="0" w:noHBand="0" w:noVBand="0"/>
        </w:tblPrEx>
        <w:trPr>
          <w:trHeight w:val="1326"/>
        </w:trPr>
        <w:tc>
          <w:tcPr>
            <w:tcW w:w="327" w:type="dxa"/>
            <w:gridSpan w:val="2"/>
          </w:tcPr>
          <w:p w14:paraId="4BC62BE4" w14:textId="77777777" w:rsidR="00C7318A" w:rsidRPr="00F52FFA" w:rsidRDefault="00C7318A" w:rsidP="003A14EF">
            <w:pPr>
              <w:ind w:left="57" w:right="57"/>
              <w:jc w:val="both"/>
              <w:rPr>
                <w:bCs/>
              </w:rPr>
            </w:pPr>
            <w:r w:rsidRPr="00F52FFA">
              <w:rPr>
                <w:bCs/>
              </w:rPr>
              <w:t>1.</w:t>
            </w:r>
          </w:p>
        </w:tc>
        <w:tc>
          <w:tcPr>
            <w:tcW w:w="2808" w:type="dxa"/>
          </w:tcPr>
          <w:p w14:paraId="0C8EAF5C" w14:textId="77777777" w:rsidR="00C7318A" w:rsidRPr="00F52FFA" w:rsidRDefault="00C7318A" w:rsidP="003A14EF">
            <w:pPr>
              <w:tabs>
                <w:tab w:val="left" w:pos="170"/>
              </w:tabs>
              <w:ind w:left="57" w:right="57"/>
            </w:pPr>
            <w:r w:rsidRPr="00F52FFA">
              <w:t>Plānotās sabiedrības līdzdalības un komunikācijas aktivitātes saistībā ar projektu</w:t>
            </w:r>
          </w:p>
        </w:tc>
        <w:tc>
          <w:tcPr>
            <w:tcW w:w="6514" w:type="dxa"/>
            <w:gridSpan w:val="2"/>
          </w:tcPr>
          <w:p w14:paraId="2725D415" w14:textId="5CE697D0" w:rsidR="00C7318A" w:rsidRPr="00F52FFA" w:rsidRDefault="00C7318A" w:rsidP="00782549">
            <w:pPr>
              <w:shd w:val="clear" w:color="auto" w:fill="FFFFFF"/>
              <w:spacing w:after="120"/>
              <w:ind w:left="57" w:right="113"/>
              <w:jc w:val="both"/>
            </w:pPr>
            <w:bookmarkStart w:id="0" w:name="p61"/>
            <w:bookmarkEnd w:id="0"/>
            <w:r w:rsidRPr="00F52FFA">
              <w:t xml:space="preserve">Atbilstoši normatīvo aktu prasībām Ekonomikas ministrija tās tīmekļa vietnē publicē </w:t>
            </w:r>
            <w:r w:rsidR="00AD3AE1" w:rsidRPr="00F52FFA">
              <w:t xml:space="preserve">informāciju </w:t>
            </w:r>
            <w:r w:rsidRPr="00F52FFA">
              <w:t xml:space="preserve">par noteikumu projektu un tā virzību. </w:t>
            </w:r>
          </w:p>
        </w:tc>
      </w:tr>
      <w:tr w:rsidR="00C7318A" w:rsidRPr="00F52FFA" w14:paraId="4A792954" w14:textId="77777777" w:rsidTr="00A15CD1">
        <w:tblPrEx>
          <w:tblCellMar>
            <w:left w:w="0" w:type="dxa"/>
            <w:right w:w="0" w:type="dxa"/>
          </w:tblCellMar>
          <w:tblLook w:val="0000" w:firstRow="0" w:lastRow="0" w:firstColumn="0" w:lastColumn="0" w:noHBand="0" w:noVBand="0"/>
        </w:tblPrEx>
        <w:trPr>
          <w:trHeight w:val="416"/>
        </w:trPr>
        <w:tc>
          <w:tcPr>
            <w:tcW w:w="327" w:type="dxa"/>
            <w:gridSpan w:val="2"/>
          </w:tcPr>
          <w:p w14:paraId="2184F7DE" w14:textId="77777777" w:rsidR="00C7318A" w:rsidRPr="00F52FFA" w:rsidRDefault="00C7318A" w:rsidP="003A14EF">
            <w:pPr>
              <w:ind w:left="57" w:right="57"/>
              <w:jc w:val="both"/>
              <w:rPr>
                <w:bCs/>
              </w:rPr>
            </w:pPr>
            <w:r w:rsidRPr="00F52FFA">
              <w:rPr>
                <w:bCs/>
              </w:rPr>
              <w:t>2.</w:t>
            </w:r>
          </w:p>
        </w:tc>
        <w:tc>
          <w:tcPr>
            <w:tcW w:w="2808" w:type="dxa"/>
          </w:tcPr>
          <w:p w14:paraId="0525D3CC" w14:textId="77777777" w:rsidR="00C7318A" w:rsidRPr="00F52FFA" w:rsidRDefault="00C7318A" w:rsidP="003A14EF">
            <w:pPr>
              <w:ind w:left="57" w:right="57"/>
            </w:pPr>
            <w:r w:rsidRPr="00F52FFA">
              <w:t>Sabiedrības līdzdalība projekta izstrādē</w:t>
            </w:r>
          </w:p>
        </w:tc>
        <w:tc>
          <w:tcPr>
            <w:tcW w:w="6514" w:type="dxa"/>
            <w:gridSpan w:val="2"/>
          </w:tcPr>
          <w:p w14:paraId="173AEBEA" w14:textId="3654EEBD" w:rsidR="00056475" w:rsidRPr="00F52FFA" w:rsidRDefault="00C7318A" w:rsidP="00056475">
            <w:pPr>
              <w:shd w:val="clear" w:color="auto" w:fill="FFFFFF"/>
              <w:ind w:left="57" w:right="113"/>
              <w:jc w:val="both"/>
            </w:pPr>
            <w:bookmarkStart w:id="1" w:name="p62"/>
            <w:bookmarkEnd w:id="1"/>
            <w:r w:rsidRPr="00F52FFA">
              <w:t xml:space="preserve">4.2.1.2.pasākuma projektu iesniegumu vērtēšanas kritērijus plānots apstiprināt </w:t>
            </w:r>
            <w:r w:rsidRPr="00F52FFA">
              <w:rPr>
                <w:kern w:val="24"/>
              </w:rPr>
              <w:t xml:space="preserve">Eiropas Savienības struktūrfondu un Kohēzijas fonda </w:t>
            </w:r>
            <w:r w:rsidRPr="00F52FFA">
              <w:t xml:space="preserve">2014.–2020.gada plānošanas perioda Uzraudzības komitejā, </w:t>
            </w:r>
            <w:r w:rsidRPr="00F52FFA">
              <w:lastRenderedPageBreak/>
              <w:t>kuras sastāvā ir iekļauti arī sociālie, nevalstisko organizāciju un reģionālie partneri.</w:t>
            </w:r>
            <w:r w:rsidR="00056475" w:rsidRPr="00F52FFA">
              <w:t xml:space="preserve"> </w:t>
            </w:r>
          </w:p>
        </w:tc>
      </w:tr>
      <w:tr w:rsidR="00C7318A" w:rsidRPr="00F52FFA" w14:paraId="7D02C9B6" w14:textId="77777777" w:rsidTr="00A15CD1">
        <w:tblPrEx>
          <w:tblCellMar>
            <w:left w:w="0" w:type="dxa"/>
            <w:right w:w="0" w:type="dxa"/>
          </w:tblCellMar>
          <w:tblLook w:val="0000" w:firstRow="0" w:lastRow="0" w:firstColumn="0" w:lastColumn="0" w:noHBand="0" w:noVBand="0"/>
        </w:tblPrEx>
        <w:trPr>
          <w:trHeight w:val="571"/>
        </w:trPr>
        <w:tc>
          <w:tcPr>
            <w:tcW w:w="327" w:type="dxa"/>
            <w:gridSpan w:val="2"/>
          </w:tcPr>
          <w:p w14:paraId="253353A2" w14:textId="77777777" w:rsidR="00C7318A" w:rsidRPr="00F52FFA" w:rsidRDefault="00C7318A" w:rsidP="003A14EF">
            <w:pPr>
              <w:ind w:left="57" w:right="57"/>
              <w:jc w:val="both"/>
              <w:rPr>
                <w:bCs/>
              </w:rPr>
            </w:pPr>
            <w:r w:rsidRPr="00F52FFA">
              <w:rPr>
                <w:bCs/>
              </w:rPr>
              <w:lastRenderedPageBreak/>
              <w:t>3.</w:t>
            </w:r>
          </w:p>
        </w:tc>
        <w:tc>
          <w:tcPr>
            <w:tcW w:w="2808" w:type="dxa"/>
          </w:tcPr>
          <w:p w14:paraId="3D1C38B5" w14:textId="77777777" w:rsidR="00C7318A" w:rsidRPr="00F52FFA" w:rsidRDefault="00C7318A" w:rsidP="003A14EF">
            <w:pPr>
              <w:ind w:left="57" w:right="57"/>
            </w:pPr>
            <w:r w:rsidRPr="00F52FFA">
              <w:t>Sabiedrības līdzdalības rezultāti</w:t>
            </w:r>
          </w:p>
        </w:tc>
        <w:tc>
          <w:tcPr>
            <w:tcW w:w="6514" w:type="dxa"/>
            <w:gridSpan w:val="2"/>
          </w:tcPr>
          <w:p w14:paraId="7745022D" w14:textId="77777777" w:rsidR="000B77C0" w:rsidRPr="00F52FFA" w:rsidRDefault="000B77C0" w:rsidP="000B77C0">
            <w:pPr>
              <w:ind w:left="57" w:right="57"/>
            </w:pPr>
            <w:r w:rsidRPr="00F52FFA">
              <w:t>Izstrādāti šādi dokumenti:</w:t>
            </w:r>
          </w:p>
          <w:p w14:paraId="2D717BB3" w14:textId="0474D501" w:rsidR="000B77C0" w:rsidRPr="00F52FFA" w:rsidRDefault="00782549" w:rsidP="000B77C0">
            <w:pPr>
              <w:ind w:left="57" w:right="57"/>
              <w:jc w:val="both"/>
            </w:pPr>
            <w:r w:rsidRPr="00F52FFA">
              <w:t>1)</w:t>
            </w:r>
            <w:r w:rsidRPr="00F52FFA">
              <w:tab/>
              <w:t>o</w:t>
            </w:r>
            <w:r w:rsidR="000B77C0" w:rsidRPr="00F52FFA">
              <w:t xml:space="preserve">trās atlases kārtas projektu iesniegumu vērtēšanas kritēriji un to piemērošanas metodika, kas apstiprināti ar </w:t>
            </w:r>
            <w:r w:rsidR="00923A99" w:rsidRPr="00F52FFA">
              <w:t xml:space="preserve">07.07.2017. </w:t>
            </w:r>
            <w:r w:rsidR="000B77C0" w:rsidRPr="00F52FFA">
              <w:t>Eiropas Savienības struktūrfondu un Kohēzijas fonda 2014.-2020.gada plānošanas perioda Uzraudzības komitejas lēmumu Nr</w:t>
            </w:r>
            <w:r w:rsidR="00923A99" w:rsidRPr="00F52FFA">
              <w:t>. L – 2017/12</w:t>
            </w:r>
            <w:r w:rsidR="000B77C0" w:rsidRPr="00F52FFA">
              <w:t>.</w:t>
            </w:r>
          </w:p>
          <w:p w14:paraId="7EB83CD6" w14:textId="0149AFF5" w:rsidR="00C7318A" w:rsidRPr="00F52FFA" w:rsidRDefault="000B77C0" w:rsidP="000B77C0">
            <w:pPr>
              <w:ind w:left="57" w:right="57"/>
              <w:jc w:val="both"/>
            </w:pPr>
            <w:r w:rsidRPr="00F52FFA">
              <w:t>2)</w:t>
            </w:r>
            <w:r w:rsidRPr="00F52FFA">
              <w:tab/>
              <w:t xml:space="preserve">Noteikumu projekts izsludināts </w:t>
            </w:r>
            <w:r w:rsidR="00A822FE" w:rsidRPr="00F52FFA">
              <w:t xml:space="preserve">01.06.2017. </w:t>
            </w:r>
            <w:r w:rsidRPr="00F52FFA">
              <w:t>Valsts sekretāru sanāksmē un tiek virzīts saskaņošanai. Saskaņošanas procesā ir iesaistīti sociālie, valsts, nevalstiskā sektora un reģionālie partneri.</w:t>
            </w:r>
          </w:p>
        </w:tc>
      </w:tr>
      <w:tr w:rsidR="00C7318A" w:rsidRPr="00F52FFA" w14:paraId="322A539B" w14:textId="77777777" w:rsidTr="00A15CD1">
        <w:tblPrEx>
          <w:tblCellMar>
            <w:left w:w="0" w:type="dxa"/>
            <w:right w:w="0" w:type="dxa"/>
          </w:tblCellMar>
          <w:tblLook w:val="0000" w:firstRow="0" w:lastRow="0" w:firstColumn="0" w:lastColumn="0" w:noHBand="0" w:noVBand="0"/>
        </w:tblPrEx>
        <w:trPr>
          <w:trHeight w:val="205"/>
        </w:trPr>
        <w:tc>
          <w:tcPr>
            <w:tcW w:w="327" w:type="dxa"/>
            <w:gridSpan w:val="2"/>
          </w:tcPr>
          <w:p w14:paraId="6F014194" w14:textId="77777777" w:rsidR="00C7318A" w:rsidRPr="00F52FFA" w:rsidRDefault="00C7318A" w:rsidP="003A14EF">
            <w:pPr>
              <w:ind w:left="57" w:right="57"/>
              <w:jc w:val="both"/>
              <w:rPr>
                <w:bCs/>
              </w:rPr>
            </w:pPr>
            <w:r w:rsidRPr="00F52FFA">
              <w:rPr>
                <w:bCs/>
              </w:rPr>
              <w:t>4.</w:t>
            </w:r>
          </w:p>
        </w:tc>
        <w:tc>
          <w:tcPr>
            <w:tcW w:w="2808" w:type="dxa"/>
          </w:tcPr>
          <w:p w14:paraId="1E3DAB5A" w14:textId="77777777" w:rsidR="00C7318A" w:rsidRPr="00F52FFA" w:rsidRDefault="00C7318A" w:rsidP="003A14EF">
            <w:pPr>
              <w:ind w:left="57" w:right="57"/>
            </w:pPr>
            <w:r w:rsidRPr="00F52FFA">
              <w:t>Cita informācija</w:t>
            </w:r>
          </w:p>
        </w:tc>
        <w:tc>
          <w:tcPr>
            <w:tcW w:w="6514" w:type="dxa"/>
            <w:gridSpan w:val="2"/>
          </w:tcPr>
          <w:p w14:paraId="3EE3546B" w14:textId="0D12CAC7" w:rsidR="00C7318A" w:rsidRPr="00F52FFA" w:rsidRDefault="00496B48" w:rsidP="003A14EF">
            <w:pPr>
              <w:ind w:left="57" w:right="113"/>
              <w:jc w:val="both"/>
            </w:pPr>
            <w:r w:rsidRPr="00F52FFA">
              <w:t>Nav</w:t>
            </w:r>
          </w:p>
        </w:tc>
      </w:tr>
    </w:tbl>
    <w:p w14:paraId="1CF4267C" w14:textId="77777777" w:rsidR="00C7318A" w:rsidRPr="00F52FFA" w:rsidRDefault="00C7318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7"/>
        <w:gridCol w:w="2816"/>
        <w:gridCol w:w="6496"/>
      </w:tblGrid>
      <w:tr w:rsidR="00C7318A" w:rsidRPr="00F52FFA" w14:paraId="650E7301" w14:textId="77777777" w:rsidTr="00A15CD1">
        <w:trPr>
          <w:trHeight w:val="421"/>
        </w:trPr>
        <w:tc>
          <w:tcPr>
            <w:tcW w:w="9639" w:type="dxa"/>
            <w:gridSpan w:val="3"/>
            <w:vAlign w:val="center"/>
          </w:tcPr>
          <w:p w14:paraId="11EDA638" w14:textId="77777777" w:rsidR="00C7318A" w:rsidRPr="00F52FFA" w:rsidRDefault="00C7318A" w:rsidP="003A14EF">
            <w:pPr>
              <w:pStyle w:val="naisnod"/>
              <w:spacing w:before="0" w:beforeAutospacing="0" w:after="0" w:afterAutospacing="0"/>
              <w:ind w:left="57" w:right="57"/>
              <w:jc w:val="center"/>
            </w:pPr>
            <w:r w:rsidRPr="00F52FFA">
              <w:rPr>
                <w:b/>
              </w:rPr>
              <w:t>VII. Tiesību akta projekta izpildes nodrošināšana un tās ietekme uz institūcijām</w:t>
            </w:r>
          </w:p>
        </w:tc>
      </w:tr>
      <w:tr w:rsidR="00C7318A" w:rsidRPr="00F52FFA" w14:paraId="4DE3DDF5" w14:textId="77777777" w:rsidTr="00A15CD1">
        <w:trPr>
          <w:trHeight w:val="553"/>
        </w:trPr>
        <w:tc>
          <w:tcPr>
            <w:tcW w:w="327" w:type="dxa"/>
          </w:tcPr>
          <w:p w14:paraId="765EE432" w14:textId="77777777" w:rsidR="00C7318A" w:rsidRPr="00F52FFA" w:rsidRDefault="00C7318A" w:rsidP="003A14EF">
            <w:pPr>
              <w:ind w:left="57" w:right="57"/>
              <w:jc w:val="both"/>
              <w:rPr>
                <w:bCs/>
              </w:rPr>
            </w:pPr>
            <w:r w:rsidRPr="00F52FFA">
              <w:rPr>
                <w:bCs/>
              </w:rPr>
              <w:t>1.</w:t>
            </w:r>
          </w:p>
        </w:tc>
        <w:tc>
          <w:tcPr>
            <w:tcW w:w="2816" w:type="dxa"/>
          </w:tcPr>
          <w:p w14:paraId="31655584" w14:textId="77777777" w:rsidR="00C7318A" w:rsidRPr="00F52FFA" w:rsidRDefault="00C7318A" w:rsidP="003A14EF">
            <w:pPr>
              <w:ind w:left="57" w:right="57"/>
            </w:pPr>
            <w:r w:rsidRPr="00F52FFA">
              <w:t>Projekta izpildē iesaistītās institūcijas</w:t>
            </w:r>
          </w:p>
        </w:tc>
        <w:tc>
          <w:tcPr>
            <w:tcW w:w="6496" w:type="dxa"/>
          </w:tcPr>
          <w:p w14:paraId="178E6C77" w14:textId="1C0ADC15" w:rsidR="00C7318A" w:rsidRPr="00F52FFA" w:rsidRDefault="00C7318A" w:rsidP="003A14EF">
            <w:pPr>
              <w:shd w:val="clear" w:color="auto" w:fill="FFFFFF"/>
              <w:ind w:left="57" w:right="113"/>
              <w:jc w:val="both"/>
            </w:pPr>
            <w:r w:rsidRPr="00F52FFA">
              <w:t>Ekonomikas ministrija kā atbildīgā iest</w:t>
            </w:r>
            <w:r w:rsidR="003C1A5A" w:rsidRPr="00F52FFA">
              <w:t>āde, CFLA kā sadarbības iestāde</w:t>
            </w:r>
          </w:p>
        </w:tc>
      </w:tr>
      <w:tr w:rsidR="00C7318A" w:rsidRPr="00F52FFA" w14:paraId="3452100B" w14:textId="77777777" w:rsidTr="00A15CD1">
        <w:trPr>
          <w:trHeight w:val="339"/>
        </w:trPr>
        <w:tc>
          <w:tcPr>
            <w:tcW w:w="327" w:type="dxa"/>
          </w:tcPr>
          <w:p w14:paraId="39C6D9D8" w14:textId="77777777" w:rsidR="00C7318A" w:rsidRPr="00F52FFA" w:rsidRDefault="00C7318A" w:rsidP="003A14EF">
            <w:pPr>
              <w:ind w:left="57" w:right="57"/>
              <w:jc w:val="both"/>
              <w:rPr>
                <w:bCs/>
              </w:rPr>
            </w:pPr>
            <w:r w:rsidRPr="00F52FFA">
              <w:rPr>
                <w:bCs/>
              </w:rPr>
              <w:t>2.</w:t>
            </w:r>
          </w:p>
        </w:tc>
        <w:tc>
          <w:tcPr>
            <w:tcW w:w="2816" w:type="dxa"/>
          </w:tcPr>
          <w:p w14:paraId="1CA00525" w14:textId="77777777" w:rsidR="00C7318A" w:rsidRPr="00F52FFA" w:rsidRDefault="00C7318A" w:rsidP="003A14EF">
            <w:pPr>
              <w:ind w:left="57" w:right="57"/>
            </w:pPr>
            <w:r w:rsidRPr="00F52FFA">
              <w:t xml:space="preserve">Projekta izpildes ietekme uz pārvaldes funkcijām un institucionālo struktūru. </w:t>
            </w:r>
          </w:p>
          <w:p w14:paraId="41F20F78" w14:textId="77777777" w:rsidR="00C7318A" w:rsidRPr="00F52FFA" w:rsidRDefault="00C7318A" w:rsidP="003A14EF">
            <w:pPr>
              <w:ind w:left="57" w:right="57"/>
            </w:pPr>
            <w:r w:rsidRPr="00F52FFA">
              <w:t>Jaunu institūciju izveide, esošu institūciju likvidācija vai reorganizācija, to ietekme uz institūcijas cilvēkresursiem</w:t>
            </w:r>
          </w:p>
        </w:tc>
        <w:tc>
          <w:tcPr>
            <w:tcW w:w="6496" w:type="dxa"/>
          </w:tcPr>
          <w:p w14:paraId="7E483CD1" w14:textId="426D698B" w:rsidR="00C7318A" w:rsidRPr="00F52FFA" w:rsidRDefault="00C7318A" w:rsidP="003A14EF">
            <w:pPr>
              <w:shd w:val="clear" w:color="auto" w:fill="FFFFFF"/>
              <w:ind w:left="57" w:right="113"/>
              <w:jc w:val="both"/>
              <w:rPr>
                <w:kern w:val="24"/>
              </w:rPr>
            </w:pPr>
            <w:r w:rsidRPr="00F52FFA">
              <w:t xml:space="preserve">Nav plānota jaunu institūciju izveide, esošu institūciju </w:t>
            </w:r>
            <w:r w:rsidR="003C1A5A" w:rsidRPr="00F52FFA">
              <w:t>likvidācija vai reorga</w:t>
            </w:r>
            <w:r w:rsidR="003C1A5A" w:rsidRPr="00F52FFA">
              <w:softHyphen/>
              <w:t>nizācija</w:t>
            </w:r>
            <w:r w:rsidR="00364D86" w:rsidRPr="00F52FFA">
              <w:t>, vai institūciju pieejamiem cilvēkresursiem</w:t>
            </w:r>
          </w:p>
        </w:tc>
      </w:tr>
      <w:tr w:rsidR="00C7318A" w:rsidRPr="00F52FFA" w14:paraId="734C5578" w14:textId="77777777" w:rsidTr="00A15CD1">
        <w:trPr>
          <w:trHeight w:val="319"/>
        </w:trPr>
        <w:tc>
          <w:tcPr>
            <w:tcW w:w="327" w:type="dxa"/>
          </w:tcPr>
          <w:p w14:paraId="4B3E420C" w14:textId="77777777" w:rsidR="00C7318A" w:rsidRPr="00F52FFA" w:rsidRDefault="00C7318A" w:rsidP="003A14EF">
            <w:pPr>
              <w:ind w:left="57" w:right="57"/>
              <w:jc w:val="both"/>
              <w:rPr>
                <w:bCs/>
              </w:rPr>
            </w:pPr>
            <w:r w:rsidRPr="00F52FFA">
              <w:rPr>
                <w:bCs/>
              </w:rPr>
              <w:t>3.</w:t>
            </w:r>
          </w:p>
        </w:tc>
        <w:tc>
          <w:tcPr>
            <w:tcW w:w="2816" w:type="dxa"/>
          </w:tcPr>
          <w:p w14:paraId="2E78AE36" w14:textId="77777777" w:rsidR="00C7318A" w:rsidRPr="00F52FFA" w:rsidRDefault="00C7318A" w:rsidP="00C70049">
            <w:pPr>
              <w:ind w:left="57" w:right="57"/>
            </w:pPr>
            <w:r w:rsidRPr="00F52FFA">
              <w:t>Cita informācija</w:t>
            </w:r>
          </w:p>
        </w:tc>
        <w:tc>
          <w:tcPr>
            <w:tcW w:w="6496" w:type="dxa"/>
          </w:tcPr>
          <w:p w14:paraId="66C01E03" w14:textId="4CBDF5D2" w:rsidR="00C7318A" w:rsidRPr="00F52FFA" w:rsidRDefault="00496B48" w:rsidP="00C70049">
            <w:pPr>
              <w:shd w:val="clear" w:color="auto" w:fill="FFFFFF"/>
              <w:ind w:left="57" w:right="113"/>
              <w:jc w:val="both"/>
            </w:pPr>
            <w:r w:rsidRPr="00F52FFA">
              <w:t>Nav</w:t>
            </w:r>
          </w:p>
        </w:tc>
      </w:tr>
    </w:tbl>
    <w:p w14:paraId="00F0B330" w14:textId="155B0126" w:rsidR="00C7318A" w:rsidRPr="00F52FFA" w:rsidRDefault="00C7318A" w:rsidP="00C7318A">
      <w:pPr>
        <w:ind w:firstLine="720"/>
        <w:jc w:val="both"/>
      </w:pPr>
      <w:r w:rsidRPr="00F52FFA">
        <w:t xml:space="preserve">Anotācijas IV. sadaļa – noteikumu </w:t>
      </w:r>
      <w:r w:rsidRPr="00F52FFA">
        <w:rPr>
          <w:iCs/>
        </w:rPr>
        <w:t>projekts šo jomu neskar.</w:t>
      </w:r>
    </w:p>
    <w:p w14:paraId="58A0EF69" w14:textId="77777777" w:rsidR="00C7318A" w:rsidRPr="00F52FFA" w:rsidRDefault="00C7318A" w:rsidP="00C7318A"/>
    <w:p w14:paraId="424FFB52" w14:textId="77777777" w:rsidR="0003024A" w:rsidRPr="0003024A" w:rsidRDefault="0003024A" w:rsidP="0003024A">
      <w:pPr>
        <w:rPr>
          <w:b/>
        </w:rPr>
      </w:pPr>
      <w:r w:rsidRPr="0003024A">
        <w:rPr>
          <w:b/>
        </w:rPr>
        <w:t>Ministru prezidenta biedra,</w:t>
      </w:r>
    </w:p>
    <w:p w14:paraId="11695AE0" w14:textId="77777777" w:rsidR="0003024A" w:rsidRPr="0003024A" w:rsidRDefault="0003024A" w:rsidP="0003024A">
      <w:pPr>
        <w:rPr>
          <w:b/>
        </w:rPr>
      </w:pPr>
      <w:r w:rsidRPr="0003024A">
        <w:rPr>
          <w:b/>
        </w:rPr>
        <w:t>ekonomikas ministra pienākumu izpildītājs,</w:t>
      </w:r>
    </w:p>
    <w:p w14:paraId="7617B3AF" w14:textId="28E891A3" w:rsidR="00C7318A" w:rsidRDefault="0003024A" w:rsidP="0003024A">
      <w:pPr>
        <w:rPr>
          <w:b/>
        </w:rPr>
      </w:pPr>
      <w:proofErr w:type="spellStart"/>
      <w:r w:rsidRPr="0003024A">
        <w:rPr>
          <w:b/>
        </w:rPr>
        <w:t>iekšlietu</w:t>
      </w:r>
      <w:proofErr w:type="spellEnd"/>
      <w:r w:rsidRPr="0003024A">
        <w:rPr>
          <w:b/>
        </w:rPr>
        <w:t xml:space="preserve"> ministrs</w:t>
      </w:r>
      <w:r w:rsidRPr="0003024A">
        <w:rPr>
          <w:b/>
        </w:rPr>
        <w:tab/>
      </w:r>
      <w:r w:rsidRPr="0003024A">
        <w:rPr>
          <w:b/>
        </w:rPr>
        <w:tab/>
      </w:r>
      <w:r w:rsidRPr="0003024A">
        <w:rPr>
          <w:b/>
        </w:rPr>
        <w:tab/>
      </w:r>
      <w:r w:rsidRPr="0003024A">
        <w:rPr>
          <w:b/>
        </w:rPr>
        <w:tab/>
      </w:r>
      <w:r w:rsidRPr="0003024A">
        <w:rPr>
          <w:b/>
        </w:rPr>
        <w:tab/>
      </w:r>
      <w:r>
        <w:rPr>
          <w:b/>
        </w:rPr>
        <w:tab/>
      </w:r>
      <w:r>
        <w:rPr>
          <w:b/>
        </w:rPr>
        <w:tab/>
      </w:r>
      <w:r>
        <w:rPr>
          <w:b/>
        </w:rPr>
        <w:tab/>
      </w:r>
      <w:r w:rsidRPr="0003024A">
        <w:rPr>
          <w:b/>
        </w:rPr>
        <w:t>R. Kozlovskis</w:t>
      </w:r>
    </w:p>
    <w:p w14:paraId="70E7CA41" w14:textId="77777777" w:rsidR="0003024A" w:rsidRPr="007C0FBD" w:rsidRDefault="0003024A" w:rsidP="0003024A">
      <w:pPr>
        <w:rPr>
          <w:b/>
        </w:rPr>
      </w:pPr>
      <w:bookmarkStart w:id="2" w:name="_GoBack"/>
      <w:bookmarkEnd w:id="2"/>
    </w:p>
    <w:p w14:paraId="7569886A" w14:textId="77777777" w:rsidR="00D04E8B" w:rsidRPr="007C0FBD" w:rsidRDefault="00C7318A" w:rsidP="00C7318A">
      <w:pPr>
        <w:rPr>
          <w:b/>
        </w:rPr>
      </w:pPr>
      <w:r w:rsidRPr="007C0FBD">
        <w:rPr>
          <w:b/>
        </w:rPr>
        <w:t xml:space="preserve">Vīza: </w:t>
      </w:r>
    </w:p>
    <w:p w14:paraId="71497AFB" w14:textId="77777777" w:rsidR="0003024A" w:rsidRPr="0003024A" w:rsidRDefault="0003024A" w:rsidP="0003024A">
      <w:pPr>
        <w:rPr>
          <w:b/>
        </w:rPr>
      </w:pPr>
      <w:r w:rsidRPr="0003024A">
        <w:rPr>
          <w:b/>
        </w:rPr>
        <w:t>Ekonomikas ministrijas valsts sekretāra</w:t>
      </w:r>
    </w:p>
    <w:p w14:paraId="1E837B47" w14:textId="5F3B9473" w:rsidR="008A7374" w:rsidRDefault="0003024A" w:rsidP="0003024A">
      <w:pPr>
        <w:rPr>
          <w:b/>
        </w:rPr>
      </w:pPr>
      <w:r w:rsidRPr="0003024A">
        <w:rPr>
          <w:b/>
        </w:rPr>
        <w:t>pienākumu izpildītāja, Administrācijas vadītāja</w:t>
      </w:r>
      <w:r w:rsidRPr="0003024A">
        <w:rPr>
          <w:b/>
        </w:rPr>
        <w:tab/>
      </w:r>
      <w:r>
        <w:rPr>
          <w:b/>
        </w:rPr>
        <w:tab/>
      </w:r>
      <w:r>
        <w:rPr>
          <w:b/>
        </w:rPr>
        <w:tab/>
      </w:r>
      <w:r>
        <w:rPr>
          <w:b/>
        </w:rPr>
        <w:tab/>
      </w:r>
      <w:r w:rsidRPr="0003024A">
        <w:rPr>
          <w:b/>
        </w:rPr>
        <w:t>I. Jaunzeme</w:t>
      </w:r>
    </w:p>
    <w:p w14:paraId="0BBADE0A" w14:textId="77777777" w:rsidR="0003024A" w:rsidRDefault="0003024A" w:rsidP="0003024A">
      <w:pPr>
        <w:rPr>
          <w:b/>
        </w:rPr>
      </w:pPr>
    </w:p>
    <w:p w14:paraId="1AE4EC71" w14:textId="77777777" w:rsidR="0003024A" w:rsidRDefault="0003024A" w:rsidP="0003024A">
      <w:pPr>
        <w:rPr>
          <w:b/>
        </w:rPr>
      </w:pPr>
    </w:p>
    <w:p w14:paraId="5B4F777A" w14:textId="77777777" w:rsidR="0003024A" w:rsidRDefault="0003024A" w:rsidP="0003024A">
      <w:pPr>
        <w:rPr>
          <w:sz w:val="25"/>
          <w:szCs w:val="25"/>
        </w:rPr>
      </w:pPr>
    </w:p>
    <w:p w14:paraId="3F4A0820" w14:textId="6FC14A5C" w:rsidR="00C7318A" w:rsidRPr="00F52FFA" w:rsidRDefault="0065410F" w:rsidP="00C70049">
      <w:pPr>
        <w:rPr>
          <w:sz w:val="20"/>
          <w:szCs w:val="20"/>
        </w:rPr>
      </w:pPr>
      <w:r w:rsidRPr="00F52FFA">
        <w:rPr>
          <w:sz w:val="20"/>
          <w:szCs w:val="20"/>
        </w:rPr>
        <w:t>Zvaigznītis</w:t>
      </w:r>
    </w:p>
    <w:p w14:paraId="162681C7" w14:textId="7E633A66" w:rsidR="00C7318A" w:rsidRPr="00F52FFA" w:rsidRDefault="00C7318A" w:rsidP="00C7318A">
      <w:pPr>
        <w:rPr>
          <w:sz w:val="20"/>
          <w:szCs w:val="20"/>
        </w:rPr>
      </w:pPr>
      <w:r w:rsidRPr="00F52FFA">
        <w:rPr>
          <w:sz w:val="20"/>
          <w:szCs w:val="20"/>
        </w:rPr>
        <w:t>67013171</w:t>
      </w:r>
    </w:p>
    <w:p w14:paraId="7B1D3DA4" w14:textId="0F0093B1" w:rsidR="00D318C4" w:rsidRPr="00C22A1A" w:rsidRDefault="0003024A">
      <w:pPr>
        <w:rPr>
          <w:sz w:val="20"/>
          <w:szCs w:val="20"/>
        </w:rPr>
      </w:pPr>
      <w:hyperlink r:id="rId11" w:history="1">
        <w:r w:rsidR="007C0FBD" w:rsidRPr="00197135">
          <w:rPr>
            <w:rStyle w:val="Hyperlink"/>
            <w:sz w:val="20"/>
            <w:szCs w:val="20"/>
          </w:rPr>
          <w:t>Kritaps.Zvaigznitis@em.gov.lv</w:t>
        </w:r>
      </w:hyperlink>
      <w:r w:rsidR="00C7318A" w:rsidRPr="00C22A1A">
        <w:rPr>
          <w:rStyle w:val="Hyperlink"/>
          <w:color w:val="auto"/>
          <w:sz w:val="20"/>
          <w:szCs w:val="20"/>
        </w:rPr>
        <w:t xml:space="preserve"> </w:t>
      </w:r>
    </w:p>
    <w:sectPr w:rsidR="00D318C4" w:rsidRPr="00C22A1A" w:rsidSect="00D318C4">
      <w:headerReference w:type="default" r:id="rId12"/>
      <w:footerReference w:type="even" r:id="rId13"/>
      <w:footerReference w:type="default" r:id="rId14"/>
      <w:pgSz w:w="11906" w:h="16838" w:code="9"/>
      <w:pgMar w:top="993" w:right="1134" w:bottom="1134" w:left="1701" w:header="709" w:footer="709"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E7AA78" w16cid:durableId="1DD12F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4CCC4" w14:textId="77777777" w:rsidR="00F32FDC" w:rsidRDefault="00F32FDC" w:rsidP="00053BDB">
      <w:r>
        <w:separator/>
      </w:r>
    </w:p>
  </w:endnote>
  <w:endnote w:type="continuationSeparator" w:id="0">
    <w:p w14:paraId="67759F13" w14:textId="77777777" w:rsidR="00F32FDC" w:rsidRDefault="00F32FDC" w:rsidP="00053BDB">
      <w:r>
        <w:continuationSeparator/>
      </w:r>
    </w:p>
  </w:endnote>
  <w:endnote w:type="continuationNotice" w:id="1">
    <w:p w14:paraId="7C277097" w14:textId="77777777" w:rsidR="00F32FDC" w:rsidRDefault="00F32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52271" w14:textId="77777777" w:rsidR="00F32FDC" w:rsidRPr="00053BDB" w:rsidRDefault="00F32FDC" w:rsidP="00053BDB">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D1D8B" w14:textId="19345866" w:rsidR="00F32FDC" w:rsidRPr="00053BDB" w:rsidRDefault="00F32FDC" w:rsidP="00F13C26">
    <w:pPr>
      <w:ind w:right="-427"/>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EMAnot_04122017_421SAM</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9D370" w14:textId="77777777" w:rsidR="00F32FDC" w:rsidRDefault="00F32FDC" w:rsidP="00053BDB">
      <w:r>
        <w:separator/>
      </w:r>
    </w:p>
  </w:footnote>
  <w:footnote w:type="continuationSeparator" w:id="0">
    <w:p w14:paraId="0CB5C87F" w14:textId="77777777" w:rsidR="00F32FDC" w:rsidRDefault="00F32FDC" w:rsidP="00053BDB">
      <w:r>
        <w:continuationSeparator/>
      </w:r>
    </w:p>
  </w:footnote>
  <w:footnote w:type="continuationNotice" w:id="1">
    <w:p w14:paraId="1333EB2F" w14:textId="77777777" w:rsidR="00F32FDC" w:rsidRDefault="00F32F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7602"/>
      <w:docPartObj>
        <w:docPartGallery w:val="Page Numbers (Top of Page)"/>
        <w:docPartUnique/>
      </w:docPartObj>
    </w:sdtPr>
    <w:sdtEndPr>
      <w:rPr>
        <w:noProof/>
      </w:rPr>
    </w:sdtEndPr>
    <w:sdtContent>
      <w:p w14:paraId="294E0DFF" w14:textId="471FE158" w:rsidR="00F32FDC" w:rsidRDefault="00F32FDC">
        <w:pPr>
          <w:pStyle w:val="Header"/>
          <w:jc w:val="center"/>
        </w:pPr>
        <w:r>
          <w:fldChar w:fldCharType="begin"/>
        </w:r>
        <w:r>
          <w:instrText xml:space="preserve"> PAGE   \* MERGEFORMAT </w:instrText>
        </w:r>
        <w:r>
          <w:fldChar w:fldCharType="separate"/>
        </w:r>
        <w:r w:rsidR="0003024A">
          <w:rPr>
            <w:noProof/>
          </w:rPr>
          <w:t>18</w:t>
        </w:r>
        <w:r>
          <w:rPr>
            <w:noProof/>
          </w:rPr>
          <w:fldChar w:fldCharType="end"/>
        </w:r>
      </w:p>
    </w:sdtContent>
  </w:sdt>
  <w:p w14:paraId="0274057A" w14:textId="77777777" w:rsidR="00F32FDC" w:rsidRPr="00053BDB" w:rsidRDefault="00F32FDC" w:rsidP="00053BDB">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548"/>
    <w:multiLevelType w:val="hybridMultilevel"/>
    <w:tmpl w:val="65B2BC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EB3743"/>
    <w:multiLevelType w:val="hybridMultilevel"/>
    <w:tmpl w:val="990AA4A8"/>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383F10"/>
    <w:multiLevelType w:val="hybridMultilevel"/>
    <w:tmpl w:val="29200C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F262CB"/>
    <w:multiLevelType w:val="hybridMultilevel"/>
    <w:tmpl w:val="9164453C"/>
    <w:lvl w:ilvl="0" w:tplc="04260019">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F3E7EE9"/>
    <w:multiLevelType w:val="multilevel"/>
    <w:tmpl w:val="227657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71CB"/>
    <w:multiLevelType w:val="hybridMultilevel"/>
    <w:tmpl w:val="5F026C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310507"/>
    <w:multiLevelType w:val="hybridMultilevel"/>
    <w:tmpl w:val="E258D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FE537E"/>
    <w:multiLevelType w:val="hybridMultilevel"/>
    <w:tmpl w:val="AB8EF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E5714F"/>
    <w:multiLevelType w:val="hybridMultilevel"/>
    <w:tmpl w:val="7C4004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7C5375"/>
    <w:multiLevelType w:val="hybridMultilevel"/>
    <w:tmpl w:val="F48EAE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A80772"/>
    <w:multiLevelType w:val="hybridMultilevel"/>
    <w:tmpl w:val="B44079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B56ECC"/>
    <w:multiLevelType w:val="hybridMultilevel"/>
    <w:tmpl w:val="CD3E68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0722B0"/>
    <w:multiLevelType w:val="hybridMultilevel"/>
    <w:tmpl w:val="937C91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E511C5"/>
    <w:multiLevelType w:val="multilevel"/>
    <w:tmpl w:val="5A909E1E"/>
    <w:lvl w:ilvl="0">
      <w:start w:val="1"/>
      <w:numFmt w:val="decimal"/>
      <w:lvlText w:val="%1."/>
      <w:lvlJc w:val="left"/>
      <w:pPr>
        <w:ind w:left="360" w:hanging="360"/>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512F8B"/>
    <w:multiLevelType w:val="hybridMultilevel"/>
    <w:tmpl w:val="3BAE146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787051"/>
    <w:multiLevelType w:val="hybridMultilevel"/>
    <w:tmpl w:val="3BAE146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BD48F7"/>
    <w:multiLevelType w:val="hybridMultilevel"/>
    <w:tmpl w:val="0150B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892EAD"/>
    <w:multiLevelType w:val="hybridMultilevel"/>
    <w:tmpl w:val="C24690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DD57341"/>
    <w:multiLevelType w:val="hybridMultilevel"/>
    <w:tmpl w:val="BADC31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E0B058C"/>
    <w:multiLevelType w:val="hybridMultilevel"/>
    <w:tmpl w:val="F3DAB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01C5493"/>
    <w:multiLevelType w:val="multilevel"/>
    <w:tmpl w:val="ECBED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C710EF"/>
    <w:multiLevelType w:val="hybridMultilevel"/>
    <w:tmpl w:val="8B5837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BC533AF"/>
    <w:multiLevelType w:val="hybridMultilevel"/>
    <w:tmpl w:val="1F8209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487A12"/>
    <w:multiLevelType w:val="hybridMultilevel"/>
    <w:tmpl w:val="A02E6E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717A0D"/>
    <w:multiLevelType w:val="hybridMultilevel"/>
    <w:tmpl w:val="7C764A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924AD6"/>
    <w:multiLevelType w:val="hybridMultilevel"/>
    <w:tmpl w:val="746CB0E6"/>
    <w:lvl w:ilvl="0" w:tplc="5F12D37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9C83030"/>
    <w:multiLevelType w:val="hybridMultilevel"/>
    <w:tmpl w:val="F48EAE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ED21A44"/>
    <w:multiLevelType w:val="hybridMultilevel"/>
    <w:tmpl w:val="C31477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AEC59A7"/>
    <w:multiLevelType w:val="hybridMultilevel"/>
    <w:tmpl w:val="33EA272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C944A9"/>
    <w:multiLevelType w:val="hybridMultilevel"/>
    <w:tmpl w:val="3BA4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6C8605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195073"/>
    <w:multiLevelType w:val="hybridMultilevel"/>
    <w:tmpl w:val="2222F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748476F"/>
    <w:multiLevelType w:val="hybridMultilevel"/>
    <w:tmpl w:val="4488721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926067B"/>
    <w:multiLevelType w:val="hybridMultilevel"/>
    <w:tmpl w:val="18783150"/>
    <w:lvl w:ilvl="0" w:tplc="38CE8820">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4"/>
  </w:num>
  <w:num w:numId="3">
    <w:abstractNumId w:val="23"/>
  </w:num>
  <w:num w:numId="4">
    <w:abstractNumId w:val="9"/>
  </w:num>
  <w:num w:numId="5">
    <w:abstractNumId w:val="8"/>
  </w:num>
  <w:num w:numId="6">
    <w:abstractNumId w:val="10"/>
  </w:num>
  <w:num w:numId="7">
    <w:abstractNumId w:val="29"/>
  </w:num>
  <w:num w:numId="8">
    <w:abstractNumId w:val="2"/>
  </w:num>
  <w:num w:numId="9">
    <w:abstractNumId w:val="17"/>
  </w:num>
  <w:num w:numId="10">
    <w:abstractNumId w:val="21"/>
  </w:num>
  <w:num w:numId="11">
    <w:abstractNumId w:val="15"/>
  </w:num>
  <w:num w:numId="12">
    <w:abstractNumId w:val="32"/>
  </w:num>
  <w:num w:numId="13">
    <w:abstractNumId w:val="18"/>
  </w:num>
  <w:num w:numId="14">
    <w:abstractNumId w:val="1"/>
  </w:num>
  <w:num w:numId="15">
    <w:abstractNumId w:val="27"/>
  </w:num>
  <w:num w:numId="16">
    <w:abstractNumId w:val="13"/>
  </w:num>
  <w:num w:numId="17">
    <w:abstractNumId w:val="28"/>
  </w:num>
  <w:num w:numId="18">
    <w:abstractNumId w:val="6"/>
  </w:num>
  <w:num w:numId="19">
    <w:abstractNumId w:val="14"/>
  </w:num>
  <w:num w:numId="20">
    <w:abstractNumId w:val="19"/>
  </w:num>
  <w:num w:numId="21">
    <w:abstractNumId w:val="26"/>
  </w:num>
  <w:num w:numId="22">
    <w:abstractNumId w:val="22"/>
  </w:num>
  <w:num w:numId="23">
    <w:abstractNumId w:val="20"/>
  </w:num>
  <w:num w:numId="24">
    <w:abstractNumId w:val="16"/>
  </w:num>
  <w:num w:numId="25">
    <w:abstractNumId w:val="7"/>
  </w:num>
  <w:num w:numId="26">
    <w:abstractNumId w:val="33"/>
  </w:num>
  <w:num w:numId="27">
    <w:abstractNumId w:val="5"/>
  </w:num>
  <w:num w:numId="28">
    <w:abstractNumId w:val="30"/>
  </w:num>
  <w:num w:numId="29">
    <w:abstractNumId w:val="3"/>
  </w:num>
  <w:num w:numId="30">
    <w:abstractNumId w:val="4"/>
  </w:num>
  <w:num w:numId="31">
    <w:abstractNumId w:val="12"/>
  </w:num>
  <w:num w:numId="32">
    <w:abstractNumId w:val="0"/>
  </w:num>
  <w:num w:numId="33">
    <w:abstractNumId w:val="2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DB"/>
    <w:rsid w:val="0000007A"/>
    <w:rsid w:val="00001FD8"/>
    <w:rsid w:val="00011F89"/>
    <w:rsid w:val="00012D7F"/>
    <w:rsid w:val="00014FF5"/>
    <w:rsid w:val="00021A35"/>
    <w:rsid w:val="00022516"/>
    <w:rsid w:val="0002402C"/>
    <w:rsid w:val="0003024A"/>
    <w:rsid w:val="0003118A"/>
    <w:rsid w:val="0003352A"/>
    <w:rsid w:val="000339FD"/>
    <w:rsid w:val="00040501"/>
    <w:rsid w:val="00043F1E"/>
    <w:rsid w:val="00046798"/>
    <w:rsid w:val="00047DFA"/>
    <w:rsid w:val="00050325"/>
    <w:rsid w:val="000511C1"/>
    <w:rsid w:val="00051794"/>
    <w:rsid w:val="00053BDB"/>
    <w:rsid w:val="0005565C"/>
    <w:rsid w:val="00056475"/>
    <w:rsid w:val="00061AC5"/>
    <w:rsid w:val="00064469"/>
    <w:rsid w:val="000647D2"/>
    <w:rsid w:val="0007026E"/>
    <w:rsid w:val="00071966"/>
    <w:rsid w:val="00071CD1"/>
    <w:rsid w:val="00071D34"/>
    <w:rsid w:val="00071D7B"/>
    <w:rsid w:val="00077CCD"/>
    <w:rsid w:val="000821BD"/>
    <w:rsid w:val="00083485"/>
    <w:rsid w:val="0008370C"/>
    <w:rsid w:val="0008474F"/>
    <w:rsid w:val="00086BC3"/>
    <w:rsid w:val="00091F8B"/>
    <w:rsid w:val="00097FE2"/>
    <w:rsid w:val="000A15F5"/>
    <w:rsid w:val="000A2B5F"/>
    <w:rsid w:val="000A2FDB"/>
    <w:rsid w:val="000A6381"/>
    <w:rsid w:val="000B153F"/>
    <w:rsid w:val="000B7315"/>
    <w:rsid w:val="000B74F1"/>
    <w:rsid w:val="000B77C0"/>
    <w:rsid w:val="000C1E3F"/>
    <w:rsid w:val="000C78FF"/>
    <w:rsid w:val="000D072A"/>
    <w:rsid w:val="000D580B"/>
    <w:rsid w:val="000E21D9"/>
    <w:rsid w:val="000E5717"/>
    <w:rsid w:val="000F61CC"/>
    <w:rsid w:val="00105078"/>
    <w:rsid w:val="00111117"/>
    <w:rsid w:val="00113E5E"/>
    <w:rsid w:val="00113F79"/>
    <w:rsid w:val="00120721"/>
    <w:rsid w:val="00123A2A"/>
    <w:rsid w:val="00125649"/>
    <w:rsid w:val="00125DC1"/>
    <w:rsid w:val="00132C1F"/>
    <w:rsid w:val="00134A55"/>
    <w:rsid w:val="00136130"/>
    <w:rsid w:val="00136745"/>
    <w:rsid w:val="00136F50"/>
    <w:rsid w:val="00143549"/>
    <w:rsid w:val="00144BF4"/>
    <w:rsid w:val="00146AE6"/>
    <w:rsid w:val="00146C72"/>
    <w:rsid w:val="0014764D"/>
    <w:rsid w:val="00152765"/>
    <w:rsid w:val="00152BC2"/>
    <w:rsid w:val="001550A1"/>
    <w:rsid w:val="00157125"/>
    <w:rsid w:val="00157A7B"/>
    <w:rsid w:val="001655F9"/>
    <w:rsid w:val="0016598F"/>
    <w:rsid w:val="00170FBF"/>
    <w:rsid w:val="001712FB"/>
    <w:rsid w:val="00172B20"/>
    <w:rsid w:val="001779A5"/>
    <w:rsid w:val="0018254F"/>
    <w:rsid w:val="00185308"/>
    <w:rsid w:val="00191939"/>
    <w:rsid w:val="00191D5D"/>
    <w:rsid w:val="001941E8"/>
    <w:rsid w:val="001963EF"/>
    <w:rsid w:val="001B1061"/>
    <w:rsid w:val="001B3399"/>
    <w:rsid w:val="001B6447"/>
    <w:rsid w:val="001C0A46"/>
    <w:rsid w:val="001C16F9"/>
    <w:rsid w:val="001C3203"/>
    <w:rsid w:val="001C3CA6"/>
    <w:rsid w:val="001C4D09"/>
    <w:rsid w:val="001C63E8"/>
    <w:rsid w:val="001D0A4C"/>
    <w:rsid w:val="001D177C"/>
    <w:rsid w:val="001D31C4"/>
    <w:rsid w:val="001D3650"/>
    <w:rsid w:val="001E6904"/>
    <w:rsid w:val="001F1271"/>
    <w:rsid w:val="001F17CF"/>
    <w:rsid w:val="00204846"/>
    <w:rsid w:val="00205F77"/>
    <w:rsid w:val="00206BC8"/>
    <w:rsid w:val="00207561"/>
    <w:rsid w:val="00211E6B"/>
    <w:rsid w:val="00216F6A"/>
    <w:rsid w:val="00217076"/>
    <w:rsid w:val="00221D9A"/>
    <w:rsid w:val="00226A5D"/>
    <w:rsid w:val="00233521"/>
    <w:rsid w:val="00242621"/>
    <w:rsid w:val="0025031B"/>
    <w:rsid w:val="00252C19"/>
    <w:rsid w:val="00260200"/>
    <w:rsid w:val="0026140E"/>
    <w:rsid w:val="002635E1"/>
    <w:rsid w:val="00263CC1"/>
    <w:rsid w:val="00271B0F"/>
    <w:rsid w:val="002815EE"/>
    <w:rsid w:val="00283681"/>
    <w:rsid w:val="00283EF8"/>
    <w:rsid w:val="00286863"/>
    <w:rsid w:val="00286A74"/>
    <w:rsid w:val="0029691D"/>
    <w:rsid w:val="002A2E73"/>
    <w:rsid w:val="002A6AFB"/>
    <w:rsid w:val="002A7A53"/>
    <w:rsid w:val="002B2B44"/>
    <w:rsid w:val="002B5BF3"/>
    <w:rsid w:val="002C2DB6"/>
    <w:rsid w:val="002C5C03"/>
    <w:rsid w:val="002C656F"/>
    <w:rsid w:val="002D5264"/>
    <w:rsid w:val="002D6AEA"/>
    <w:rsid w:val="002E38C9"/>
    <w:rsid w:val="002F043A"/>
    <w:rsid w:val="002F4EBC"/>
    <w:rsid w:val="002F6B78"/>
    <w:rsid w:val="003020DF"/>
    <w:rsid w:val="003038B9"/>
    <w:rsid w:val="0030599B"/>
    <w:rsid w:val="00307950"/>
    <w:rsid w:val="00312732"/>
    <w:rsid w:val="00315A16"/>
    <w:rsid w:val="00315C62"/>
    <w:rsid w:val="003177F7"/>
    <w:rsid w:val="00321D42"/>
    <w:rsid w:val="00334B40"/>
    <w:rsid w:val="00334FDF"/>
    <w:rsid w:val="00342201"/>
    <w:rsid w:val="00344524"/>
    <w:rsid w:val="00347844"/>
    <w:rsid w:val="00351E95"/>
    <w:rsid w:val="0035360E"/>
    <w:rsid w:val="00356C26"/>
    <w:rsid w:val="00364D86"/>
    <w:rsid w:val="00366D58"/>
    <w:rsid w:val="00373EDD"/>
    <w:rsid w:val="003819CC"/>
    <w:rsid w:val="003826AF"/>
    <w:rsid w:val="003827A9"/>
    <w:rsid w:val="00384551"/>
    <w:rsid w:val="0038579C"/>
    <w:rsid w:val="00391D32"/>
    <w:rsid w:val="00397AED"/>
    <w:rsid w:val="003A14EF"/>
    <w:rsid w:val="003A7079"/>
    <w:rsid w:val="003A7BEB"/>
    <w:rsid w:val="003B10E9"/>
    <w:rsid w:val="003B40FD"/>
    <w:rsid w:val="003B512C"/>
    <w:rsid w:val="003B630F"/>
    <w:rsid w:val="003B63FA"/>
    <w:rsid w:val="003C14EB"/>
    <w:rsid w:val="003C1A5A"/>
    <w:rsid w:val="003C494A"/>
    <w:rsid w:val="003C59AD"/>
    <w:rsid w:val="003C6518"/>
    <w:rsid w:val="003C76AF"/>
    <w:rsid w:val="003D02C7"/>
    <w:rsid w:val="003D1126"/>
    <w:rsid w:val="003D4C30"/>
    <w:rsid w:val="003E5753"/>
    <w:rsid w:val="003E6707"/>
    <w:rsid w:val="003F2DEE"/>
    <w:rsid w:val="003F7C4A"/>
    <w:rsid w:val="0040225A"/>
    <w:rsid w:val="004052D9"/>
    <w:rsid w:val="00416455"/>
    <w:rsid w:val="00424E00"/>
    <w:rsid w:val="004251D7"/>
    <w:rsid w:val="00425E4D"/>
    <w:rsid w:val="00430AE1"/>
    <w:rsid w:val="00431745"/>
    <w:rsid w:val="00431B39"/>
    <w:rsid w:val="00442BC6"/>
    <w:rsid w:val="00444E11"/>
    <w:rsid w:val="00446686"/>
    <w:rsid w:val="004514C7"/>
    <w:rsid w:val="00451844"/>
    <w:rsid w:val="0045380C"/>
    <w:rsid w:val="0047738A"/>
    <w:rsid w:val="0047764A"/>
    <w:rsid w:val="00477EA8"/>
    <w:rsid w:val="0048153D"/>
    <w:rsid w:val="00484190"/>
    <w:rsid w:val="00485286"/>
    <w:rsid w:val="00485476"/>
    <w:rsid w:val="004954C5"/>
    <w:rsid w:val="004967BB"/>
    <w:rsid w:val="004968A3"/>
    <w:rsid w:val="00496B48"/>
    <w:rsid w:val="00497ADB"/>
    <w:rsid w:val="004A7ECF"/>
    <w:rsid w:val="004B2B79"/>
    <w:rsid w:val="004C0442"/>
    <w:rsid w:val="004D3FAE"/>
    <w:rsid w:val="004D57B1"/>
    <w:rsid w:val="004D732F"/>
    <w:rsid w:val="004E0246"/>
    <w:rsid w:val="004E6630"/>
    <w:rsid w:val="004E71FE"/>
    <w:rsid w:val="004E757E"/>
    <w:rsid w:val="004F149F"/>
    <w:rsid w:val="004F5443"/>
    <w:rsid w:val="004F5B76"/>
    <w:rsid w:val="004F6F07"/>
    <w:rsid w:val="00500FF9"/>
    <w:rsid w:val="00501624"/>
    <w:rsid w:val="00504890"/>
    <w:rsid w:val="005065F9"/>
    <w:rsid w:val="0050729E"/>
    <w:rsid w:val="00507380"/>
    <w:rsid w:val="005112CE"/>
    <w:rsid w:val="00513222"/>
    <w:rsid w:val="00514C61"/>
    <w:rsid w:val="00515189"/>
    <w:rsid w:val="00515586"/>
    <w:rsid w:val="00516580"/>
    <w:rsid w:val="00517E1D"/>
    <w:rsid w:val="0052152D"/>
    <w:rsid w:val="0053008F"/>
    <w:rsid w:val="00531D46"/>
    <w:rsid w:val="005343F6"/>
    <w:rsid w:val="00536274"/>
    <w:rsid w:val="00543FFF"/>
    <w:rsid w:val="00554FEF"/>
    <w:rsid w:val="0055763C"/>
    <w:rsid w:val="005605E8"/>
    <w:rsid w:val="00561AAE"/>
    <w:rsid w:val="005636F3"/>
    <w:rsid w:val="005668E0"/>
    <w:rsid w:val="0056778E"/>
    <w:rsid w:val="0057050D"/>
    <w:rsid w:val="00570E33"/>
    <w:rsid w:val="005769C0"/>
    <w:rsid w:val="00577868"/>
    <w:rsid w:val="00580771"/>
    <w:rsid w:val="00583AC6"/>
    <w:rsid w:val="00585BBE"/>
    <w:rsid w:val="00592769"/>
    <w:rsid w:val="005931D5"/>
    <w:rsid w:val="00593696"/>
    <w:rsid w:val="00593EAD"/>
    <w:rsid w:val="00594840"/>
    <w:rsid w:val="00595C3D"/>
    <w:rsid w:val="00596AB8"/>
    <w:rsid w:val="005A0C47"/>
    <w:rsid w:val="005A2CA9"/>
    <w:rsid w:val="005A34BB"/>
    <w:rsid w:val="005A4F8E"/>
    <w:rsid w:val="005A5170"/>
    <w:rsid w:val="005B1613"/>
    <w:rsid w:val="005B28DA"/>
    <w:rsid w:val="005B7F77"/>
    <w:rsid w:val="005C4913"/>
    <w:rsid w:val="005D49EE"/>
    <w:rsid w:val="005D6C57"/>
    <w:rsid w:val="005E3250"/>
    <w:rsid w:val="005F0AD5"/>
    <w:rsid w:val="005F51C0"/>
    <w:rsid w:val="005F5820"/>
    <w:rsid w:val="00602F9E"/>
    <w:rsid w:val="0060492C"/>
    <w:rsid w:val="006060B0"/>
    <w:rsid w:val="006128B5"/>
    <w:rsid w:val="00613635"/>
    <w:rsid w:val="00616070"/>
    <w:rsid w:val="00616BDB"/>
    <w:rsid w:val="0062219A"/>
    <w:rsid w:val="00622B26"/>
    <w:rsid w:val="006276AE"/>
    <w:rsid w:val="0063032F"/>
    <w:rsid w:val="00631910"/>
    <w:rsid w:val="00635EC4"/>
    <w:rsid w:val="00637F82"/>
    <w:rsid w:val="006444C8"/>
    <w:rsid w:val="0065188B"/>
    <w:rsid w:val="0065410F"/>
    <w:rsid w:val="00655851"/>
    <w:rsid w:val="006613D0"/>
    <w:rsid w:val="00675AAF"/>
    <w:rsid w:val="006767FE"/>
    <w:rsid w:val="00676A6D"/>
    <w:rsid w:val="00694945"/>
    <w:rsid w:val="00695465"/>
    <w:rsid w:val="006A0DB3"/>
    <w:rsid w:val="006A51EE"/>
    <w:rsid w:val="006A5C6A"/>
    <w:rsid w:val="006A602A"/>
    <w:rsid w:val="006B0E03"/>
    <w:rsid w:val="006B10B9"/>
    <w:rsid w:val="006B1EF6"/>
    <w:rsid w:val="006C12CE"/>
    <w:rsid w:val="006D2976"/>
    <w:rsid w:val="006D2ED2"/>
    <w:rsid w:val="006D37A9"/>
    <w:rsid w:val="006D402C"/>
    <w:rsid w:val="006D7519"/>
    <w:rsid w:val="006E404F"/>
    <w:rsid w:val="006F0403"/>
    <w:rsid w:val="006F0941"/>
    <w:rsid w:val="006F2C0E"/>
    <w:rsid w:val="006F311C"/>
    <w:rsid w:val="006F34C5"/>
    <w:rsid w:val="006F45F5"/>
    <w:rsid w:val="006F4AFA"/>
    <w:rsid w:val="006F6E12"/>
    <w:rsid w:val="0070145F"/>
    <w:rsid w:val="0070216E"/>
    <w:rsid w:val="00703777"/>
    <w:rsid w:val="00704BB4"/>
    <w:rsid w:val="007053A0"/>
    <w:rsid w:val="007061A1"/>
    <w:rsid w:val="00711862"/>
    <w:rsid w:val="007120E8"/>
    <w:rsid w:val="00713335"/>
    <w:rsid w:val="007137E1"/>
    <w:rsid w:val="00717FEA"/>
    <w:rsid w:val="00720D5C"/>
    <w:rsid w:val="00721B82"/>
    <w:rsid w:val="007240E1"/>
    <w:rsid w:val="00731E9A"/>
    <w:rsid w:val="00732649"/>
    <w:rsid w:val="0073280C"/>
    <w:rsid w:val="007329FF"/>
    <w:rsid w:val="00736589"/>
    <w:rsid w:val="00737CBC"/>
    <w:rsid w:val="00737E48"/>
    <w:rsid w:val="00752BA0"/>
    <w:rsid w:val="00755A80"/>
    <w:rsid w:val="007572F9"/>
    <w:rsid w:val="00757D6E"/>
    <w:rsid w:val="007600DE"/>
    <w:rsid w:val="0076035E"/>
    <w:rsid w:val="00760601"/>
    <w:rsid w:val="00762FF0"/>
    <w:rsid w:val="00770B8B"/>
    <w:rsid w:val="00770BD7"/>
    <w:rsid w:val="00773813"/>
    <w:rsid w:val="00775ED5"/>
    <w:rsid w:val="00777064"/>
    <w:rsid w:val="00782549"/>
    <w:rsid w:val="007904B1"/>
    <w:rsid w:val="00790925"/>
    <w:rsid w:val="007A0DFE"/>
    <w:rsid w:val="007A5A47"/>
    <w:rsid w:val="007A6933"/>
    <w:rsid w:val="007B2404"/>
    <w:rsid w:val="007B6E76"/>
    <w:rsid w:val="007C0FBD"/>
    <w:rsid w:val="007C2DEB"/>
    <w:rsid w:val="007C3A7E"/>
    <w:rsid w:val="007C7BB2"/>
    <w:rsid w:val="007C7EB5"/>
    <w:rsid w:val="007D1A16"/>
    <w:rsid w:val="007D2C85"/>
    <w:rsid w:val="007D2F2B"/>
    <w:rsid w:val="007D342A"/>
    <w:rsid w:val="007D4195"/>
    <w:rsid w:val="007E0332"/>
    <w:rsid w:val="007E091B"/>
    <w:rsid w:val="007E12D3"/>
    <w:rsid w:val="007E18B1"/>
    <w:rsid w:val="007E2608"/>
    <w:rsid w:val="007E431D"/>
    <w:rsid w:val="007E4EDE"/>
    <w:rsid w:val="007E511F"/>
    <w:rsid w:val="007F1965"/>
    <w:rsid w:val="008014C2"/>
    <w:rsid w:val="00803F84"/>
    <w:rsid w:val="00804C92"/>
    <w:rsid w:val="0080551C"/>
    <w:rsid w:val="008074A2"/>
    <w:rsid w:val="00810C15"/>
    <w:rsid w:val="00811C98"/>
    <w:rsid w:val="00812553"/>
    <w:rsid w:val="00814CCD"/>
    <w:rsid w:val="00817702"/>
    <w:rsid w:val="00820863"/>
    <w:rsid w:val="0082204B"/>
    <w:rsid w:val="0083078C"/>
    <w:rsid w:val="00832252"/>
    <w:rsid w:val="008379AF"/>
    <w:rsid w:val="00840D43"/>
    <w:rsid w:val="00841BE1"/>
    <w:rsid w:val="00841F65"/>
    <w:rsid w:val="008437A1"/>
    <w:rsid w:val="00844172"/>
    <w:rsid w:val="0084437F"/>
    <w:rsid w:val="00845709"/>
    <w:rsid w:val="008465D0"/>
    <w:rsid w:val="00847538"/>
    <w:rsid w:val="008616C0"/>
    <w:rsid w:val="00863385"/>
    <w:rsid w:val="008762E0"/>
    <w:rsid w:val="008806BF"/>
    <w:rsid w:val="008807F8"/>
    <w:rsid w:val="00880833"/>
    <w:rsid w:val="00880D3F"/>
    <w:rsid w:val="00881E16"/>
    <w:rsid w:val="00882A85"/>
    <w:rsid w:val="00882DB0"/>
    <w:rsid w:val="00886FF8"/>
    <w:rsid w:val="00890277"/>
    <w:rsid w:val="008A7374"/>
    <w:rsid w:val="008A7993"/>
    <w:rsid w:val="008B71B8"/>
    <w:rsid w:val="008C45F2"/>
    <w:rsid w:val="008C60B4"/>
    <w:rsid w:val="008C7223"/>
    <w:rsid w:val="008C7343"/>
    <w:rsid w:val="008D2832"/>
    <w:rsid w:val="008D46EC"/>
    <w:rsid w:val="008F367B"/>
    <w:rsid w:val="008F3958"/>
    <w:rsid w:val="008F64AB"/>
    <w:rsid w:val="008F6EE7"/>
    <w:rsid w:val="00901215"/>
    <w:rsid w:val="00901311"/>
    <w:rsid w:val="009043C2"/>
    <w:rsid w:val="00907919"/>
    <w:rsid w:val="00912232"/>
    <w:rsid w:val="009137D7"/>
    <w:rsid w:val="00913B3D"/>
    <w:rsid w:val="009147B5"/>
    <w:rsid w:val="00914A69"/>
    <w:rsid w:val="00915E03"/>
    <w:rsid w:val="009177AF"/>
    <w:rsid w:val="00923A99"/>
    <w:rsid w:val="00923E57"/>
    <w:rsid w:val="009255AD"/>
    <w:rsid w:val="00925F5B"/>
    <w:rsid w:val="00927549"/>
    <w:rsid w:val="00931ABF"/>
    <w:rsid w:val="00932DE3"/>
    <w:rsid w:val="009344CD"/>
    <w:rsid w:val="00935300"/>
    <w:rsid w:val="00937049"/>
    <w:rsid w:val="00937D67"/>
    <w:rsid w:val="009417ED"/>
    <w:rsid w:val="00951534"/>
    <w:rsid w:val="00952A45"/>
    <w:rsid w:val="00961FFA"/>
    <w:rsid w:val="0096375E"/>
    <w:rsid w:val="0096794A"/>
    <w:rsid w:val="00970A1C"/>
    <w:rsid w:val="00972A6B"/>
    <w:rsid w:val="00973434"/>
    <w:rsid w:val="00974647"/>
    <w:rsid w:val="0098193C"/>
    <w:rsid w:val="0098481A"/>
    <w:rsid w:val="00987973"/>
    <w:rsid w:val="00987B7E"/>
    <w:rsid w:val="00990DE6"/>
    <w:rsid w:val="009940AE"/>
    <w:rsid w:val="00996EC6"/>
    <w:rsid w:val="00997174"/>
    <w:rsid w:val="00997756"/>
    <w:rsid w:val="00997DA3"/>
    <w:rsid w:val="009A0226"/>
    <w:rsid w:val="009A08AD"/>
    <w:rsid w:val="009A16C2"/>
    <w:rsid w:val="009A1ECB"/>
    <w:rsid w:val="009A274A"/>
    <w:rsid w:val="009A2B55"/>
    <w:rsid w:val="009A3029"/>
    <w:rsid w:val="009A473B"/>
    <w:rsid w:val="009A5268"/>
    <w:rsid w:val="009B24B7"/>
    <w:rsid w:val="009B458D"/>
    <w:rsid w:val="009B57A0"/>
    <w:rsid w:val="009B6678"/>
    <w:rsid w:val="009B6A0D"/>
    <w:rsid w:val="009B7FD3"/>
    <w:rsid w:val="009D0FA2"/>
    <w:rsid w:val="009D1B85"/>
    <w:rsid w:val="009D52AD"/>
    <w:rsid w:val="009D6C5B"/>
    <w:rsid w:val="009E0F69"/>
    <w:rsid w:val="009E69EC"/>
    <w:rsid w:val="009E7383"/>
    <w:rsid w:val="009E7AA2"/>
    <w:rsid w:val="009F19FF"/>
    <w:rsid w:val="009F2593"/>
    <w:rsid w:val="009F78CF"/>
    <w:rsid w:val="00A03615"/>
    <w:rsid w:val="00A04B1E"/>
    <w:rsid w:val="00A06F91"/>
    <w:rsid w:val="00A07D12"/>
    <w:rsid w:val="00A15CD1"/>
    <w:rsid w:val="00A16B4F"/>
    <w:rsid w:val="00A17AD7"/>
    <w:rsid w:val="00A21EA1"/>
    <w:rsid w:val="00A23D12"/>
    <w:rsid w:val="00A36A57"/>
    <w:rsid w:val="00A40EE5"/>
    <w:rsid w:val="00A40F97"/>
    <w:rsid w:val="00A42C6B"/>
    <w:rsid w:val="00A519A3"/>
    <w:rsid w:val="00A559D3"/>
    <w:rsid w:val="00A6541F"/>
    <w:rsid w:val="00A72C2B"/>
    <w:rsid w:val="00A76320"/>
    <w:rsid w:val="00A768AC"/>
    <w:rsid w:val="00A76A23"/>
    <w:rsid w:val="00A80352"/>
    <w:rsid w:val="00A80E32"/>
    <w:rsid w:val="00A822FE"/>
    <w:rsid w:val="00A828D1"/>
    <w:rsid w:val="00A842F3"/>
    <w:rsid w:val="00A8606B"/>
    <w:rsid w:val="00A86B2E"/>
    <w:rsid w:val="00A87B0D"/>
    <w:rsid w:val="00A9343B"/>
    <w:rsid w:val="00A93517"/>
    <w:rsid w:val="00A954A2"/>
    <w:rsid w:val="00A95D05"/>
    <w:rsid w:val="00A9628B"/>
    <w:rsid w:val="00A97A4E"/>
    <w:rsid w:val="00AA45C5"/>
    <w:rsid w:val="00AA7F50"/>
    <w:rsid w:val="00AA7FFD"/>
    <w:rsid w:val="00AB174E"/>
    <w:rsid w:val="00AB3B62"/>
    <w:rsid w:val="00AB668B"/>
    <w:rsid w:val="00AC051F"/>
    <w:rsid w:val="00AC20E4"/>
    <w:rsid w:val="00AC322E"/>
    <w:rsid w:val="00AD2889"/>
    <w:rsid w:val="00AD3AE1"/>
    <w:rsid w:val="00AD5BAB"/>
    <w:rsid w:val="00AE0DA2"/>
    <w:rsid w:val="00AE46B3"/>
    <w:rsid w:val="00AE48EE"/>
    <w:rsid w:val="00AE77CD"/>
    <w:rsid w:val="00AF1D43"/>
    <w:rsid w:val="00B00D0E"/>
    <w:rsid w:val="00B00DB4"/>
    <w:rsid w:val="00B01EB2"/>
    <w:rsid w:val="00B05196"/>
    <w:rsid w:val="00B059BF"/>
    <w:rsid w:val="00B06A39"/>
    <w:rsid w:val="00B06F63"/>
    <w:rsid w:val="00B07C39"/>
    <w:rsid w:val="00B114CB"/>
    <w:rsid w:val="00B123B4"/>
    <w:rsid w:val="00B153EC"/>
    <w:rsid w:val="00B17DD9"/>
    <w:rsid w:val="00B21962"/>
    <w:rsid w:val="00B23692"/>
    <w:rsid w:val="00B350E9"/>
    <w:rsid w:val="00B35A66"/>
    <w:rsid w:val="00B40115"/>
    <w:rsid w:val="00B4167B"/>
    <w:rsid w:val="00B43399"/>
    <w:rsid w:val="00B4660E"/>
    <w:rsid w:val="00B46D00"/>
    <w:rsid w:val="00B47B54"/>
    <w:rsid w:val="00B51887"/>
    <w:rsid w:val="00B5492A"/>
    <w:rsid w:val="00B5565E"/>
    <w:rsid w:val="00B55B3B"/>
    <w:rsid w:val="00B57402"/>
    <w:rsid w:val="00B62BD3"/>
    <w:rsid w:val="00B63EAD"/>
    <w:rsid w:val="00B67A66"/>
    <w:rsid w:val="00B804D6"/>
    <w:rsid w:val="00B8058A"/>
    <w:rsid w:val="00B83217"/>
    <w:rsid w:val="00B8614A"/>
    <w:rsid w:val="00B93370"/>
    <w:rsid w:val="00B947B7"/>
    <w:rsid w:val="00B964C4"/>
    <w:rsid w:val="00B97E53"/>
    <w:rsid w:val="00BA399B"/>
    <w:rsid w:val="00BC262C"/>
    <w:rsid w:val="00BC5BDA"/>
    <w:rsid w:val="00BC5FBA"/>
    <w:rsid w:val="00BD2854"/>
    <w:rsid w:val="00BE21BF"/>
    <w:rsid w:val="00BE2270"/>
    <w:rsid w:val="00BE57B2"/>
    <w:rsid w:val="00BE6E5E"/>
    <w:rsid w:val="00BF0376"/>
    <w:rsid w:val="00BF1194"/>
    <w:rsid w:val="00BF46CC"/>
    <w:rsid w:val="00BF4E02"/>
    <w:rsid w:val="00C04C75"/>
    <w:rsid w:val="00C06D07"/>
    <w:rsid w:val="00C100E4"/>
    <w:rsid w:val="00C10E28"/>
    <w:rsid w:val="00C17D8C"/>
    <w:rsid w:val="00C17FBA"/>
    <w:rsid w:val="00C22704"/>
    <w:rsid w:val="00C22A1A"/>
    <w:rsid w:val="00C26316"/>
    <w:rsid w:val="00C323EF"/>
    <w:rsid w:val="00C3409D"/>
    <w:rsid w:val="00C3699F"/>
    <w:rsid w:val="00C36E96"/>
    <w:rsid w:val="00C430EE"/>
    <w:rsid w:val="00C46F5C"/>
    <w:rsid w:val="00C477F2"/>
    <w:rsid w:val="00C553B7"/>
    <w:rsid w:val="00C5775C"/>
    <w:rsid w:val="00C60A02"/>
    <w:rsid w:val="00C62394"/>
    <w:rsid w:val="00C65488"/>
    <w:rsid w:val="00C70049"/>
    <w:rsid w:val="00C7009B"/>
    <w:rsid w:val="00C707EC"/>
    <w:rsid w:val="00C7193B"/>
    <w:rsid w:val="00C725F3"/>
    <w:rsid w:val="00C72795"/>
    <w:rsid w:val="00C7284A"/>
    <w:rsid w:val="00C7318A"/>
    <w:rsid w:val="00C8619E"/>
    <w:rsid w:val="00C91FEF"/>
    <w:rsid w:val="00C91FF3"/>
    <w:rsid w:val="00C9266E"/>
    <w:rsid w:val="00C9712F"/>
    <w:rsid w:val="00CA13CA"/>
    <w:rsid w:val="00CA1941"/>
    <w:rsid w:val="00CA485C"/>
    <w:rsid w:val="00CA48F4"/>
    <w:rsid w:val="00CA54DF"/>
    <w:rsid w:val="00CA5705"/>
    <w:rsid w:val="00CB0FCB"/>
    <w:rsid w:val="00CB6AD6"/>
    <w:rsid w:val="00CC022E"/>
    <w:rsid w:val="00CC1756"/>
    <w:rsid w:val="00CC4A55"/>
    <w:rsid w:val="00CC5BA5"/>
    <w:rsid w:val="00CD0311"/>
    <w:rsid w:val="00CD0FFE"/>
    <w:rsid w:val="00CD1EA5"/>
    <w:rsid w:val="00CD30AF"/>
    <w:rsid w:val="00CD750B"/>
    <w:rsid w:val="00CE1114"/>
    <w:rsid w:val="00CE203A"/>
    <w:rsid w:val="00CE6E30"/>
    <w:rsid w:val="00CF127E"/>
    <w:rsid w:val="00CF21AF"/>
    <w:rsid w:val="00CF5A26"/>
    <w:rsid w:val="00CF7DBA"/>
    <w:rsid w:val="00D04E8B"/>
    <w:rsid w:val="00D05F4D"/>
    <w:rsid w:val="00D066F4"/>
    <w:rsid w:val="00D12D07"/>
    <w:rsid w:val="00D13B11"/>
    <w:rsid w:val="00D1460B"/>
    <w:rsid w:val="00D15C1A"/>
    <w:rsid w:val="00D161F0"/>
    <w:rsid w:val="00D177E3"/>
    <w:rsid w:val="00D22B01"/>
    <w:rsid w:val="00D235E3"/>
    <w:rsid w:val="00D2699B"/>
    <w:rsid w:val="00D318C4"/>
    <w:rsid w:val="00D404A0"/>
    <w:rsid w:val="00D4054B"/>
    <w:rsid w:val="00D43327"/>
    <w:rsid w:val="00D446C2"/>
    <w:rsid w:val="00D45C94"/>
    <w:rsid w:val="00D4686C"/>
    <w:rsid w:val="00D46A3D"/>
    <w:rsid w:val="00D52B54"/>
    <w:rsid w:val="00D54020"/>
    <w:rsid w:val="00D56807"/>
    <w:rsid w:val="00D57FA9"/>
    <w:rsid w:val="00D60818"/>
    <w:rsid w:val="00D60DD3"/>
    <w:rsid w:val="00D63B0B"/>
    <w:rsid w:val="00D65117"/>
    <w:rsid w:val="00D659E1"/>
    <w:rsid w:val="00D6780D"/>
    <w:rsid w:val="00D762BA"/>
    <w:rsid w:val="00D91C99"/>
    <w:rsid w:val="00D92E17"/>
    <w:rsid w:val="00D94770"/>
    <w:rsid w:val="00D972BA"/>
    <w:rsid w:val="00D9760E"/>
    <w:rsid w:val="00DA0473"/>
    <w:rsid w:val="00DA1349"/>
    <w:rsid w:val="00DA233F"/>
    <w:rsid w:val="00DA5D41"/>
    <w:rsid w:val="00DA6C27"/>
    <w:rsid w:val="00DB7BFF"/>
    <w:rsid w:val="00DC027F"/>
    <w:rsid w:val="00DC116E"/>
    <w:rsid w:val="00DC3463"/>
    <w:rsid w:val="00DC604D"/>
    <w:rsid w:val="00DD6F62"/>
    <w:rsid w:val="00DE49DF"/>
    <w:rsid w:val="00DE4BEF"/>
    <w:rsid w:val="00DE7182"/>
    <w:rsid w:val="00DE7713"/>
    <w:rsid w:val="00DF3755"/>
    <w:rsid w:val="00DF562A"/>
    <w:rsid w:val="00DF58C7"/>
    <w:rsid w:val="00E069B3"/>
    <w:rsid w:val="00E11ACB"/>
    <w:rsid w:val="00E13445"/>
    <w:rsid w:val="00E23E39"/>
    <w:rsid w:val="00E2405A"/>
    <w:rsid w:val="00E32822"/>
    <w:rsid w:val="00E34C02"/>
    <w:rsid w:val="00E40EB8"/>
    <w:rsid w:val="00E40FD5"/>
    <w:rsid w:val="00E42DDB"/>
    <w:rsid w:val="00E438B2"/>
    <w:rsid w:val="00E43CD7"/>
    <w:rsid w:val="00E467FE"/>
    <w:rsid w:val="00E47704"/>
    <w:rsid w:val="00E54EA1"/>
    <w:rsid w:val="00E55008"/>
    <w:rsid w:val="00E60B4F"/>
    <w:rsid w:val="00E622EF"/>
    <w:rsid w:val="00E635F8"/>
    <w:rsid w:val="00E6434C"/>
    <w:rsid w:val="00E64F3E"/>
    <w:rsid w:val="00E6534F"/>
    <w:rsid w:val="00E657D7"/>
    <w:rsid w:val="00E71EFB"/>
    <w:rsid w:val="00E721B0"/>
    <w:rsid w:val="00E74C8A"/>
    <w:rsid w:val="00E76D21"/>
    <w:rsid w:val="00E853E5"/>
    <w:rsid w:val="00E86654"/>
    <w:rsid w:val="00E87928"/>
    <w:rsid w:val="00E93579"/>
    <w:rsid w:val="00EA71CA"/>
    <w:rsid w:val="00EA7519"/>
    <w:rsid w:val="00EC30CE"/>
    <w:rsid w:val="00EC318A"/>
    <w:rsid w:val="00ED3698"/>
    <w:rsid w:val="00EE1594"/>
    <w:rsid w:val="00EE3D33"/>
    <w:rsid w:val="00EE57AB"/>
    <w:rsid w:val="00EF61AE"/>
    <w:rsid w:val="00EF6597"/>
    <w:rsid w:val="00EF6B85"/>
    <w:rsid w:val="00EF7127"/>
    <w:rsid w:val="00F03ABD"/>
    <w:rsid w:val="00F118FC"/>
    <w:rsid w:val="00F12D85"/>
    <w:rsid w:val="00F13C26"/>
    <w:rsid w:val="00F1464F"/>
    <w:rsid w:val="00F1588A"/>
    <w:rsid w:val="00F22F5D"/>
    <w:rsid w:val="00F249FB"/>
    <w:rsid w:val="00F27D6C"/>
    <w:rsid w:val="00F3046E"/>
    <w:rsid w:val="00F32FDC"/>
    <w:rsid w:val="00F51E86"/>
    <w:rsid w:val="00F52FFA"/>
    <w:rsid w:val="00F55033"/>
    <w:rsid w:val="00F56544"/>
    <w:rsid w:val="00F56704"/>
    <w:rsid w:val="00F57527"/>
    <w:rsid w:val="00F66EC3"/>
    <w:rsid w:val="00F75A98"/>
    <w:rsid w:val="00F8049A"/>
    <w:rsid w:val="00F80949"/>
    <w:rsid w:val="00F8152B"/>
    <w:rsid w:val="00F857EA"/>
    <w:rsid w:val="00F86E8F"/>
    <w:rsid w:val="00F927A5"/>
    <w:rsid w:val="00F93345"/>
    <w:rsid w:val="00F95DDA"/>
    <w:rsid w:val="00F96207"/>
    <w:rsid w:val="00F96DB2"/>
    <w:rsid w:val="00FA053E"/>
    <w:rsid w:val="00FA1C70"/>
    <w:rsid w:val="00FA297A"/>
    <w:rsid w:val="00FA2B67"/>
    <w:rsid w:val="00FA31A4"/>
    <w:rsid w:val="00FB56DE"/>
    <w:rsid w:val="00FB7175"/>
    <w:rsid w:val="00FD077C"/>
    <w:rsid w:val="00FD3F4F"/>
    <w:rsid w:val="00FD5FCD"/>
    <w:rsid w:val="00FD75C3"/>
    <w:rsid w:val="00FE5191"/>
    <w:rsid w:val="00FE7005"/>
    <w:rsid w:val="00FE7D30"/>
    <w:rsid w:val="00FF74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A42A79"/>
  <w15:chartTrackingRefBased/>
  <w15:docId w15:val="{0E647376-7413-4353-8BD9-0CC038A8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BDB"/>
    <w:rPr>
      <w:rFonts w:eastAsia="Calibri"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3BDB"/>
    <w:pPr>
      <w:tabs>
        <w:tab w:val="center" w:pos="4153"/>
        <w:tab w:val="right" w:pos="8306"/>
      </w:tabs>
    </w:pPr>
  </w:style>
  <w:style w:type="character" w:customStyle="1" w:styleId="HeaderChar">
    <w:name w:val="Header Char"/>
    <w:basedOn w:val="DefaultParagraphFont"/>
    <w:link w:val="Header"/>
    <w:uiPriority w:val="99"/>
    <w:rsid w:val="00053BDB"/>
    <w:rPr>
      <w:rFonts w:eastAsia="Calibri" w:cs="Times New Roman"/>
      <w:sz w:val="24"/>
      <w:szCs w:val="24"/>
      <w:lang w:eastAsia="lv-LV"/>
    </w:rPr>
  </w:style>
  <w:style w:type="paragraph" w:styleId="Footer">
    <w:name w:val="footer"/>
    <w:basedOn w:val="Normal"/>
    <w:link w:val="FooterChar"/>
    <w:uiPriority w:val="99"/>
    <w:unhideWhenUsed/>
    <w:rsid w:val="00053BDB"/>
    <w:pPr>
      <w:tabs>
        <w:tab w:val="center" w:pos="4153"/>
        <w:tab w:val="right" w:pos="8306"/>
      </w:tabs>
    </w:pPr>
  </w:style>
  <w:style w:type="character" w:customStyle="1" w:styleId="FooterChar">
    <w:name w:val="Footer Char"/>
    <w:basedOn w:val="DefaultParagraphFont"/>
    <w:link w:val="Footer"/>
    <w:uiPriority w:val="99"/>
    <w:rsid w:val="00053BDB"/>
    <w:rPr>
      <w:rFonts w:eastAsia="Calibri" w:cs="Times New Roman"/>
      <w:sz w:val="24"/>
      <w:szCs w:val="24"/>
      <w:lang w:eastAsia="lv-LV"/>
    </w:rPr>
  </w:style>
  <w:style w:type="paragraph" w:styleId="ListParagraph">
    <w:name w:val="List Paragraph"/>
    <w:aliases w:val="2,Strip,H&amp;P List Paragraph,List Paragraph1"/>
    <w:basedOn w:val="Normal"/>
    <w:link w:val="ListParagraphChar"/>
    <w:uiPriority w:val="34"/>
    <w:qFormat/>
    <w:rsid w:val="00DF3755"/>
    <w:pPr>
      <w:ind w:left="720"/>
      <w:contextualSpacing/>
    </w:p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DF3755"/>
    <w:rPr>
      <w:rFonts w:eastAsia="Times New Roman"/>
      <w:sz w:val="20"/>
      <w:szCs w:val="20"/>
      <w:lang w:eastAsia="en-US"/>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DF3755"/>
    <w:rPr>
      <w:rFonts w:eastAsia="Times New Roman" w:cs="Times New Roman"/>
      <w:sz w:val="20"/>
      <w:szCs w:val="20"/>
    </w:rPr>
  </w:style>
  <w:style w:type="character" w:styleId="FootnoteReference">
    <w:name w:val="footnote reference"/>
    <w:aliases w:val="Footnote Reference Superscript,Footnote Reference Number,SUPERS"/>
    <w:uiPriority w:val="99"/>
    <w:rsid w:val="00DF3755"/>
    <w:rPr>
      <w:vertAlign w:val="superscript"/>
    </w:rPr>
  </w:style>
  <w:style w:type="paragraph" w:styleId="BodyText2">
    <w:name w:val="Body Text 2"/>
    <w:basedOn w:val="Normal"/>
    <w:link w:val="BodyText2Char"/>
    <w:semiHidden/>
    <w:rsid w:val="00DF3755"/>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3755"/>
    <w:rPr>
      <w:rFonts w:eastAsia="Calibri" w:cs="Times New Roman"/>
      <w:b/>
      <w:bCs/>
      <w:szCs w:val="28"/>
      <w:lang w:val="x-none" w:eastAsia="x-none"/>
    </w:rPr>
  </w:style>
  <w:style w:type="character" w:customStyle="1" w:styleId="ListParagraphChar">
    <w:name w:val="List Paragraph Char"/>
    <w:aliases w:val="2 Char,Strip Char,H&amp;P List Paragraph Char,List Paragraph1 Char"/>
    <w:link w:val="ListParagraph"/>
    <w:uiPriority w:val="34"/>
    <w:rsid w:val="00DF3755"/>
    <w:rPr>
      <w:rFonts w:eastAsia="Calibri" w:cs="Times New Roman"/>
      <w:sz w:val="24"/>
      <w:szCs w:val="24"/>
      <w:lang w:eastAsia="lv-LV"/>
    </w:rPr>
  </w:style>
  <w:style w:type="paragraph" w:styleId="BalloonText">
    <w:name w:val="Balloon Text"/>
    <w:basedOn w:val="Normal"/>
    <w:link w:val="BalloonTextChar"/>
    <w:uiPriority w:val="99"/>
    <w:semiHidden/>
    <w:unhideWhenUsed/>
    <w:rsid w:val="00125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C1"/>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F1588A"/>
    <w:rPr>
      <w:sz w:val="16"/>
      <w:szCs w:val="16"/>
    </w:rPr>
  </w:style>
  <w:style w:type="paragraph" w:styleId="CommentText">
    <w:name w:val="annotation text"/>
    <w:basedOn w:val="Normal"/>
    <w:link w:val="CommentTextChar"/>
    <w:uiPriority w:val="99"/>
    <w:unhideWhenUsed/>
    <w:rsid w:val="00F1588A"/>
    <w:rPr>
      <w:sz w:val="20"/>
      <w:szCs w:val="20"/>
    </w:rPr>
  </w:style>
  <w:style w:type="character" w:customStyle="1" w:styleId="CommentTextChar">
    <w:name w:val="Comment Text Char"/>
    <w:basedOn w:val="DefaultParagraphFont"/>
    <w:link w:val="CommentText"/>
    <w:uiPriority w:val="99"/>
    <w:rsid w:val="00F1588A"/>
    <w:rPr>
      <w:rFonts w:eastAsia="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1588A"/>
    <w:rPr>
      <w:b/>
      <w:bCs/>
    </w:rPr>
  </w:style>
  <w:style w:type="character" w:customStyle="1" w:styleId="CommentSubjectChar">
    <w:name w:val="Comment Subject Char"/>
    <w:basedOn w:val="CommentTextChar"/>
    <w:link w:val="CommentSubject"/>
    <w:uiPriority w:val="99"/>
    <w:semiHidden/>
    <w:rsid w:val="00F1588A"/>
    <w:rPr>
      <w:rFonts w:eastAsia="Calibri" w:cs="Times New Roman"/>
      <w:b/>
      <w:bCs/>
      <w:sz w:val="20"/>
      <w:szCs w:val="20"/>
      <w:lang w:eastAsia="lv-LV"/>
    </w:rPr>
  </w:style>
  <w:style w:type="character" w:styleId="Hyperlink">
    <w:name w:val="Hyperlink"/>
    <w:uiPriority w:val="99"/>
    <w:rsid w:val="00755A80"/>
    <w:rPr>
      <w:rFonts w:cs="Times New Roman"/>
      <w:color w:val="0000FF"/>
      <w:u w:val="single"/>
    </w:rPr>
  </w:style>
  <w:style w:type="paragraph" w:customStyle="1" w:styleId="naisnod">
    <w:name w:val="naisnod"/>
    <w:basedOn w:val="Normal"/>
    <w:rsid w:val="00C7318A"/>
    <w:pPr>
      <w:spacing w:before="100" w:beforeAutospacing="1" w:after="100" w:afterAutospacing="1"/>
    </w:pPr>
    <w:rPr>
      <w:rFonts w:eastAsia="Times New Roman"/>
    </w:rPr>
  </w:style>
  <w:style w:type="paragraph" w:customStyle="1" w:styleId="tv213">
    <w:name w:val="tv213"/>
    <w:basedOn w:val="Normal"/>
    <w:rsid w:val="006D2ED2"/>
    <w:pPr>
      <w:spacing w:before="100" w:beforeAutospacing="1" w:after="100" w:afterAutospacing="1"/>
      <w:ind w:left="567" w:hanging="709"/>
      <w:jc w:val="both"/>
    </w:pPr>
    <w:rPr>
      <w:rFonts w:eastAsia="Times New Roman"/>
    </w:rPr>
  </w:style>
  <w:style w:type="paragraph" w:styleId="Revision">
    <w:name w:val="Revision"/>
    <w:hidden/>
    <w:uiPriority w:val="99"/>
    <w:semiHidden/>
    <w:rsid w:val="00536274"/>
    <w:rPr>
      <w:rFonts w:eastAsia="Calibri" w:cs="Times New Roman"/>
      <w:sz w:val="24"/>
      <w:szCs w:val="24"/>
      <w:lang w:eastAsia="lv-LV"/>
    </w:rPr>
  </w:style>
  <w:style w:type="character" w:styleId="FollowedHyperlink">
    <w:name w:val="FollowedHyperlink"/>
    <w:basedOn w:val="DefaultParagraphFont"/>
    <w:uiPriority w:val="99"/>
    <w:semiHidden/>
    <w:unhideWhenUsed/>
    <w:rsid w:val="00056475"/>
    <w:rPr>
      <w:color w:val="954F72" w:themeColor="followedHyperlink"/>
      <w:u w:val="single"/>
    </w:rPr>
  </w:style>
  <w:style w:type="character" w:customStyle="1" w:styleId="UnresolvedMention">
    <w:name w:val="Unresolved Mention"/>
    <w:basedOn w:val="DefaultParagraphFont"/>
    <w:uiPriority w:val="99"/>
    <w:semiHidden/>
    <w:unhideWhenUsed/>
    <w:rsid w:val="007C0F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05194">
      <w:bodyDiv w:val="1"/>
      <w:marLeft w:val="0"/>
      <w:marRight w:val="0"/>
      <w:marTop w:val="0"/>
      <w:marBottom w:val="0"/>
      <w:divBdr>
        <w:top w:val="none" w:sz="0" w:space="0" w:color="auto"/>
        <w:left w:val="none" w:sz="0" w:space="0" w:color="auto"/>
        <w:bottom w:val="none" w:sz="0" w:space="0" w:color="auto"/>
        <w:right w:val="none" w:sz="0" w:space="0" w:color="auto"/>
      </w:divBdr>
    </w:div>
    <w:div w:id="534389398">
      <w:bodyDiv w:val="1"/>
      <w:marLeft w:val="0"/>
      <w:marRight w:val="0"/>
      <w:marTop w:val="0"/>
      <w:marBottom w:val="0"/>
      <w:divBdr>
        <w:top w:val="none" w:sz="0" w:space="0" w:color="auto"/>
        <w:left w:val="none" w:sz="0" w:space="0" w:color="auto"/>
        <w:bottom w:val="none" w:sz="0" w:space="0" w:color="auto"/>
        <w:right w:val="none" w:sz="0" w:space="0" w:color="auto"/>
      </w:divBdr>
    </w:div>
    <w:div w:id="856621496">
      <w:bodyDiv w:val="1"/>
      <w:marLeft w:val="0"/>
      <w:marRight w:val="0"/>
      <w:marTop w:val="0"/>
      <w:marBottom w:val="0"/>
      <w:divBdr>
        <w:top w:val="none" w:sz="0" w:space="0" w:color="auto"/>
        <w:left w:val="none" w:sz="0" w:space="0" w:color="auto"/>
        <w:bottom w:val="none" w:sz="0" w:space="0" w:color="auto"/>
        <w:right w:val="none" w:sz="0" w:space="0" w:color="auto"/>
      </w:divBdr>
    </w:div>
    <w:div w:id="872153795">
      <w:bodyDiv w:val="1"/>
      <w:marLeft w:val="0"/>
      <w:marRight w:val="0"/>
      <w:marTop w:val="0"/>
      <w:marBottom w:val="0"/>
      <w:divBdr>
        <w:top w:val="none" w:sz="0" w:space="0" w:color="auto"/>
        <w:left w:val="none" w:sz="0" w:space="0" w:color="auto"/>
        <w:bottom w:val="none" w:sz="0" w:space="0" w:color="auto"/>
        <w:right w:val="none" w:sz="0" w:space="0" w:color="auto"/>
      </w:divBdr>
    </w:div>
    <w:div w:id="192086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81111-darbibas-programmas-izaugsme-un-nodarbinatiba-4-2-2-specifiska-atbalsta-merka-atbilstosi-pasvaldibas-integretajam-attistib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taps.Zvaigznitis@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281111-darbibas-programmas-izaugsme-un-nodarbinatiba-4-2-2-specifiska-atbalsta-merka-atbilstosi-pasvaldibas-integretajam-attistibas" TargetMode="External"/><Relationship Id="rId4" Type="http://schemas.openxmlformats.org/officeDocument/2006/relationships/settings" Target="settings.xml"/><Relationship Id="rId9" Type="http://schemas.openxmlformats.org/officeDocument/2006/relationships/hyperlink" Target="http://likumi.lv/ta/id/281111-darbibas-programmas-izaugsme-un-nodarbinatiba-4-2-2-specifiska-atbalsta-merka-atbilstosi-pasvaldibas-integretajam-attistib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45DAA-AFEF-463F-8642-1A2503F4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19</Pages>
  <Words>33787</Words>
  <Characters>19259</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4.2.1.specifiskā atbalsta mērķa “Veicināt energoefektivitātes paaugstināšanu valsts un dzīvojamās ēkās” 4.2.1.2.pasākuma “Veicināt energoefektivitātes paaugstināšanu val</vt:lpstr>
    </vt:vector>
  </TitlesOfParts>
  <Company>Ekonomikas ministrija</Company>
  <LinksUpToDate>false</LinksUpToDate>
  <CharactersWithSpaces>52941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4.2.1.specifiskā atbalsta mērķa “Veicināt energoefektivitātes paaugstināšanu valsts un dzīvojamās ēkās” 4.2.1.2.pasākuma “Veicināt energoefektivitātes paaugstināšanu val</dc:title>
  <dc:subject>Anotācija</dc:subject>
  <dc:creator>Kristaps Zvaigznītis</dc:creator>
  <cp:keywords/>
  <dc:description/>
  <cp:lastModifiedBy>Kristaps Zvaigznītis</cp:lastModifiedBy>
  <cp:revision>59</cp:revision>
  <cp:lastPrinted>2016-06-30T06:03:00Z</cp:lastPrinted>
  <dcterms:created xsi:type="dcterms:W3CDTF">2017-08-30T09:28:00Z</dcterms:created>
  <dcterms:modified xsi:type="dcterms:W3CDTF">2017-12-13T15:48:00Z</dcterms:modified>
</cp:coreProperties>
</file>