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47D50" w14:textId="5EBA6F6D" w:rsidR="00EA6CD3" w:rsidRPr="003F45F7" w:rsidRDefault="00EA6CD3" w:rsidP="00EA6CD3">
      <w:pPr>
        <w:jc w:val="center"/>
        <w:rPr>
          <w:rFonts w:eastAsia="Times New Roman"/>
          <w:b/>
          <w:sz w:val="28"/>
          <w:szCs w:val="28"/>
          <w:lang w:val="lv-LV" w:eastAsia="lv-LV"/>
        </w:rPr>
      </w:pPr>
      <w:bookmarkStart w:id="0" w:name="OLE_LINK3"/>
      <w:bookmarkStart w:id="1" w:name="OLE_LINK1"/>
      <w:bookmarkStart w:id="2" w:name="OLE_LINK2"/>
      <w:r w:rsidRPr="003F45F7">
        <w:rPr>
          <w:b/>
          <w:sz w:val="28"/>
          <w:szCs w:val="28"/>
          <w:lang w:val="lv-LV"/>
        </w:rPr>
        <w:t>Ministru kabineta noteikumu projekta ,,</w:t>
      </w:r>
      <w:bookmarkStart w:id="3" w:name="OLE_LINK7"/>
      <w:bookmarkStart w:id="4" w:name="OLE_LINK8"/>
      <w:r w:rsidR="003F45F7">
        <w:rPr>
          <w:rFonts w:eastAsia="Times New Roman"/>
          <w:b/>
          <w:sz w:val="28"/>
          <w:szCs w:val="28"/>
          <w:lang w:val="lv-LV" w:eastAsia="lv-LV"/>
        </w:rPr>
        <w:t xml:space="preserve"> Grozījums</w:t>
      </w:r>
      <w:r w:rsidR="00E37F50" w:rsidRPr="003F45F7">
        <w:rPr>
          <w:rFonts w:eastAsia="Times New Roman"/>
          <w:b/>
          <w:sz w:val="28"/>
          <w:szCs w:val="28"/>
          <w:lang w:val="lv-LV" w:eastAsia="lv-LV"/>
        </w:rPr>
        <w:t xml:space="preserve"> Ministru kabineta 2016.gada 15.jūlija noteikumos Nr.469 „</w:t>
      </w:r>
      <w:r w:rsidR="00E37F50" w:rsidRPr="003F45F7">
        <w:rPr>
          <w:b/>
          <w:bCs/>
          <w:sz w:val="28"/>
          <w:szCs w:val="28"/>
          <w:shd w:val="clear" w:color="auto" w:fill="FFFFFF"/>
          <w:lang w:val="lv-LV"/>
        </w:rPr>
        <w:t>Noteikumi par paralēlajiem aizdevumiem saimnieciskās darbības veicējiem konkurētspējas uzlabošanai</w:t>
      </w:r>
      <w:r w:rsidR="00CA0BCB" w:rsidRPr="003F45F7">
        <w:rPr>
          <w:b/>
          <w:sz w:val="28"/>
          <w:szCs w:val="28"/>
          <w:lang w:val="lv-LV"/>
        </w:rPr>
        <w:t>”</w:t>
      </w:r>
      <w:r w:rsidRPr="003F45F7">
        <w:rPr>
          <w:b/>
          <w:sz w:val="28"/>
          <w:szCs w:val="28"/>
          <w:lang w:val="lv-LV"/>
        </w:rPr>
        <w:t>”</w:t>
      </w:r>
      <w:bookmarkEnd w:id="3"/>
      <w:bookmarkEnd w:id="4"/>
      <w:r w:rsidR="00844176" w:rsidRPr="003F45F7">
        <w:rPr>
          <w:b/>
          <w:sz w:val="28"/>
          <w:szCs w:val="28"/>
          <w:lang w:val="lv-LV"/>
        </w:rPr>
        <w:t xml:space="preserve"> </w:t>
      </w:r>
    </w:p>
    <w:p w14:paraId="13882E5F" w14:textId="77777777" w:rsidR="00EA6CD3" w:rsidRPr="003F45F7" w:rsidRDefault="00EA6CD3" w:rsidP="00EA6CD3">
      <w:pPr>
        <w:pStyle w:val="BodyText"/>
        <w:jc w:val="center"/>
        <w:rPr>
          <w:b/>
          <w:szCs w:val="28"/>
        </w:rPr>
      </w:pPr>
      <w:r w:rsidRPr="003F45F7">
        <w:rPr>
          <w:b/>
          <w:szCs w:val="28"/>
        </w:rPr>
        <w:t>sākotnējās ietekmes novērtējuma ziņojums (anotācija)</w:t>
      </w:r>
    </w:p>
    <w:p w14:paraId="6A67B0DA" w14:textId="77777777" w:rsidR="00EA6CD3" w:rsidRPr="003F45F7" w:rsidRDefault="00EA6CD3" w:rsidP="00E15447">
      <w:pPr>
        <w:pStyle w:val="BodyText"/>
        <w:rPr>
          <w:b/>
          <w:szCs w:val="28"/>
        </w:rPr>
      </w:pPr>
    </w:p>
    <w:bookmarkEnd w:id="0"/>
    <w:bookmarkEnd w:id="1"/>
    <w:bookmarkEnd w:id="2"/>
    <w:p w14:paraId="5E74745E" w14:textId="77777777" w:rsidR="003E171B" w:rsidRPr="003F45F7" w:rsidRDefault="003E171B" w:rsidP="00EA6CD3">
      <w:pPr>
        <w:tabs>
          <w:tab w:val="right" w:pos="9072"/>
        </w:tabs>
        <w:rPr>
          <w:sz w:val="28"/>
          <w:szCs w:val="28"/>
          <w:lang w:val="lv-LV"/>
        </w:rPr>
      </w:pPr>
    </w:p>
    <w:tbl>
      <w:tblPr>
        <w:tblW w:w="935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3"/>
        <w:gridCol w:w="1482"/>
        <w:gridCol w:w="7547"/>
      </w:tblGrid>
      <w:tr w:rsidR="00844176" w:rsidRPr="003F45F7" w14:paraId="3B854522" w14:textId="77777777" w:rsidTr="000472EA">
        <w:trPr>
          <w:trHeight w:val="405"/>
        </w:trPr>
        <w:tc>
          <w:tcPr>
            <w:tcW w:w="9352" w:type="dxa"/>
            <w:gridSpan w:val="3"/>
            <w:tcBorders>
              <w:top w:val="outset" w:sz="6" w:space="0" w:color="414142"/>
              <w:left w:val="outset" w:sz="6" w:space="0" w:color="414142"/>
              <w:bottom w:val="outset" w:sz="6" w:space="0" w:color="414142"/>
              <w:right w:val="outset" w:sz="6" w:space="0" w:color="414142"/>
            </w:tcBorders>
            <w:hideMark/>
          </w:tcPr>
          <w:p w14:paraId="6EEAA9E9" w14:textId="77777777" w:rsidR="00844176" w:rsidRPr="003F45F7" w:rsidRDefault="00844176" w:rsidP="00A459E6">
            <w:pPr>
              <w:spacing w:before="100" w:beforeAutospacing="1" w:after="100" w:afterAutospacing="1"/>
              <w:ind w:firstLine="300"/>
              <w:jc w:val="center"/>
              <w:rPr>
                <w:rFonts w:eastAsia="Times New Roman"/>
                <w:sz w:val="28"/>
                <w:szCs w:val="28"/>
                <w:lang w:val="lv-LV" w:eastAsia="lv-LV"/>
              </w:rPr>
            </w:pPr>
            <w:r w:rsidRPr="003F45F7">
              <w:rPr>
                <w:rFonts w:eastAsia="Times New Roman"/>
                <w:b/>
                <w:bCs/>
                <w:color w:val="000000"/>
                <w:sz w:val="28"/>
                <w:szCs w:val="28"/>
                <w:lang w:val="lv-LV" w:eastAsia="lv-LV"/>
              </w:rPr>
              <w:t>I. Tiesību akta projekta izstrādes nepieciešamība</w:t>
            </w:r>
          </w:p>
        </w:tc>
      </w:tr>
      <w:tr w:rsidR="00844176" w:rsidRPr="003F45F7" w14:paraId="13C64775" w14:textId="77777777" w:rsidTr="000472EA">
        <w:trPr>
          <w:trHeight w:val="405"/>
        </w:trPr>
        <w:tc>
          <w:tcPr>
            <w:tcW w:w="323" w:type="dxa"/>
            <w:tcBorders>
              <w:top w:val="outset" w:sz="6" w:space="0" w:color="414142"/>
              <w:left w:val="outset" w:sz="6" w:space="0" w:color="414142"/>
              <w:bottom w:val="outset" w:sz="6" w:space="0" w:color="414142"/>
              <w:right w:val="outset" w:sz="6" w:space="0" w:color="414142"/>
            </w:tcBorders>
            <w:hideMark/>
          </w:tcPr>
          <w:p w14:paraId="02B9FC00"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1.</w:t>
            </w:r>
          </w:p>
        </w:tc>
        <w:tc>
          <w:tcPr>
            <w:tcW w:w="1482" w:type="dxa"/>
            <w:tcBorders>
              <w:top w:val="outset" w:sz="6" w:space="0" w:color="414142"/>
              <w:left w:val="outset" w:sz="6" w:space="0" w:color="414142"/>
              <w:bottom w:val="outset" w:sz="6" w:space="0" w:color="414142"/>
              <w:right w:val="outset" w:sz="6" w:space="0" w:color="414142"/>
            </w:tcBorders>
            <w:hideMark/>
          </w:tcPr>
          <w:p w14:paraId="34054CE4"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Pamatojums</w:t>
            </w:r>
          </w:p>
        </w:tc>
        <w:tc>
          <w:tcPr>
            <w:tcW w:w="7547" w:type="dxa"/>
            <w:tcBorders>
              <w:top w:val="outset" w:sz="6" w:space="0" w:color="414142"/>
              <w:left w:val="outset" w:sz="6" w:space="0" w:color="414142"/>
              <w:bottom w:val="outset" w:sz="6" w:space="0" w:color="414142"/>
              <w:right w:val="outset" w:sz="6" w:space="0" w:color="414142"/>
            </w:tcBorders>
            <w:hideMark/>
          </w:tcPr>
          <w:p w14:paraId="4A6385D8" w14:textId="77777777" w:rsidR="00844176" w:rsidRPr="003F45F7" w:rsidRDefault="00844176" w:rsidP="00A459E6">
            <w:pPr>
              <w:ind w:right="344"/>
              <w:jc w:val="both"/>
              <w:rPr>
                <w:sz w:val="28"/>
                <w:szCs w:val="28"/>
                <w:lang w:val="lv-LV"/>
              </w:rPr>
            </w:pPr>
            <w:r w:rsidRPr="003F45F7">
              <w:rPr>
                <w:sz w:val="28"/>
                <w:szCs w:val="28"/>
                <w:lang w:val="lv-LV"/>
              </w:rPr>
              <w:t>Noteikumu projekts sagatavots, pamatojoties uz:</w:t>
            </w:r>
          </w:p>
          <w:p w14:paraId="4F3B5593" w14:textId="77777777" w:rsidR="00844176" w:rsidRPr="003F45F7" w:rsidRDefault="00844176" w:rsidP="00844176">
            <w:pPr>
              <w:pStyle w:val="ListParagraph"/>
              <w:numPr>
                <w:ilvl w:val="0"/>
                <w:numId w:val="14"/>
              </w:numPr>
              <w:ind w:right="344"/>
              <w:jc w:val="both"/>
              <w:rPr>
                <w:sz w:val="28"/>
                <w:szCs w:val="28"/>
                <w:lang w:val="lv-LV"/>
              </w:rPr>
            </w:pPr>
            <w:r w:rsidRPr="003F45F7">
              <w:rPr>
                <w:sz w:val="28"/>
                <w:szCs w:val="28"/>
                <w:lang w:val="lv-LV"/>
              </w:rPr>
              <w:t>Attīstības finanšu institūcijas likuma 12.panta ceturto daļu;</w:t>
            </w:r>
          </w:p>
          <w:p w14:paraId="324ECAC9" w14:textId="7780F2E9" w:rsidR="00844176" w:rsidRPr="003F45F7" w:rsidRDefault="00155483" w:rsidP="00844176">
            <w:pPr>
              <w:pStyle w:val="ListParagraph"/>
              <w:numPr>
                <w:ilvl w:val="0"/>
                <w:numId w:val="14"/>
              </w:numPr>
              <w:ind w:right="344"/>
              <w:jc w:val="both"/>
              <w:rPr>
                <w:sz w:val="28"/>
                <w:szCs w:val="28"/>
                <w:lang w:val="lv-LV"/>
              </w:rPr>
            </w:pPr>
            <w:hyperlink r:id="rId8" w:tgtFrame="_blank" w:history="1">
              <w:r w:rsidR="00844176" w:rsidRPr="003F45F7">
                <w:rPr>
                  <w:rStyle w:val="Hyperlink"/>
                  <w:iCs/>
                  <w:color w:val="auto"/>
                  <w:sz w:val="28"/>
                  <w:szCs w:val="28"/>
                  <w:u w:val="none"/>
                  <w:shd w:val="clear" w:color="auto" w:fill="FFFFFF"/>
                  <w:lang w:val="lv-LV"/>
                </w:rPr>
                <w:t>Eiropas Savienības struktūrfondu un</w:t>
              </w:r>
              <w:r w:rsidR="00844176" w:rsidRPr="003F45F7">
                <w:rPr>
                  <w:iCs/>
                  <w:sz w:val="28"/>
                  <w:szCs w:val="28"/>
                  <w:shd w:val="clear" w:color="auto" w:fill="FFFFFF"/>
                  <w:lang w:val="lv-LV"/>
                </w:rPr>
                <w:br/>
              </w:r>
              <w:r w:rsidR="00844176" w:rsidRPr="003F45F7">
                <w:rPr>
                  <w:rStyle w:val="Hyperlink"/>
                  <w:iCs/>
                  <w:color w:val="auto"/>
                  <w:sz w:val="28"/>
                  <w:szCs w:val="28"/>
                  <w:u w:val="none"/>
                  <w:shd w:val="clear" w:color="auto" w:fill="FFFFFF"/>
                  <w:lang w:val="lv-LV"/>
                </w:rPr>
                <w:t>Kohēzijas fonda 2014.–2020. gada plānošanas perioda</w:t>
              </w:r>
              <w:r w:rsidR="00844176" w:rsidRPr="003F45F7">
                <w:rPr>
                  <w:iCs/>
                  <w:sz w:val="28"/>
                  <w:szCs w:val="28"/>
                  <w:shd w:val="clear" w:color="auto" w:fill="FFFFFF"/>
                  <w:lang w:val="lv-LV"/>
                </w:rPr>
                <w:br/>
              </w:r>
              <w:r w:rsidR="00844176" w:rsidRPr="003F45F7">
                <w:rPr>
                  <w:rStyle w:val="Hyperlink"/>
                  <w:iCs/>
                  <w:color w:val="auto"/>
                  <w:sz w:val="28"/>
                  <w:szCs w:val="28"/>
                  <w:u w:val="none"/>
                  <w:shd w:val="clear" w:color="auto" w:fill="FFFFFF"/>
                  <w:lang w:val="lv-LV"/>
                </w:rPr>
                <w:t>vadības likuma</w:t>
              </w:r>
            </w:hyperlink>
            <w:r w:rsidR="00844176" w:rsidRPr="003F45F7">
              <w:rPr>
                <w:rStyle w:val="apple-converted-space"/>
                <w:iCs/>
                <w:sz w:val="28"/>
                <w:szCs w:val="28"/>
                <w:shd w:val="clear" w:color="auto" w:fill="FFFFFF"/>
                <w:lang w:val="lv-LV"/>
              </w:rPr>
              <w:t> </w:t>
            </w:r>
            <w:hyperlink r:id="rId9" w:anchor="p20" w:tgtFrame="_blank" w:history="1">
              <w:r w:rsidR="00844176" w:rsidRPr="003F45F7">
                <w:rPr>
                  <w:rStyle w:val="Hyperlink"/>
                  <w:iCs/>
                  <w:color w:val="auto"/>
                  <w:sz w:val="28"/>
                  <w:szCs w:val="28"/>
                  <w:u w:val="none"/>
                  <w:shd w:val="clear" w:color="auto" w:fill="FFFFFF"/>
                  <w:lang w:val="lv-LV"/>
                </w:rPr>
                <w:t>20. pant</w:t>
              </w:r>
            </w:hyperlink>
            <w:r w:rsidR="001C2832" w:rsidRPr="003F45F7">
              <w:rPr>
                <w:rStyle w:val="Hyperlink"/>
                <w:iCs/>
                <w:color w:val="auto"/>
                <w:sz w:val="28"/>
                <w:szCs w:val="28"/>
                <w:u w:val="none"/>
                <w:shd w:val="clear" w:color="auto" w:fill="FFFFFF"/>
                <w:lang w:val="lv-LV"/>
              </w:rPr>
              <w:t>a 14.punktu</w:t>
            </w:r>
            <w:r w:rsidR="00844176" w:rsidRPr="003F45F7">
              <w:rPr>
                <w:sz w:val="28"/>
                <w:szCs w:val="28"/>
                <w:lang w:val="lv-LV"/>
              </w:rPr>
              <w:t>.</w:t>
            </w:r>
          </w:p>
        </w:tc>
      </w:tr>
      <w:tr w:rsidR="00844176" w:rsidRPr="003F45F7" w14:paraId="0FF0CCEA" w14:textId="77777777" w:rsidTr="000472EA">
        <w:trPr>
          <w:trHeight w:val="465"/>
        </w:trPr>
        <w:tc>
          <w:tcPr>
            <w:tcW w:w="323" w:type="dxa"/>
            <w:tcBorders>
              <w:top w:val="outset" w:sz="6" w:space="0" w:color="414142"/>
              <w:left w:val="outset" w:sz="6" w:space="0" w:color="414142"/>
              <w:bottom w:val="outset" w:sz="6" w:space="0" w:color="414142"/>
              <w:right w:val="outset" w:sz="6" w:space="0" w:color="414142"/>
            </w:tcBorders>
            <w:hideMark/>
          </w:tcPr>
          <w:p w14:paraId="38AFFD17"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2.</w:t>
            </w:r>
          </w:p>
        </w:tc>
        <w:tc>
          <w:tcPr>
            <w:tcW w:w="1482" w:type="dxa"/>
            <w:tcBorders>
              <w:top w:val="outset" w:sz="6" w:space="0" w:color="414142"/>
              <w:left w:val="outset" w:sz="6" w:space="0" w:color="414142"/>
              <w:bottom w:val="outset" w:sz="6" w:space="0" w:color="414142"/>
              <w:right w:val="outset" w:sz="6" w:space="0" w:color="414142"/>
            </w:tcBorders>
            <w:hideMark/>
          </w:tcPr>
          <w:p w14:paraId="528D2DED"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Pašreizējā situācija un problēmas, kuru risināšanai tiesību akta projekts izstrādāts, tiesiskā regulējuma mērķis un būtība</w:t>
            </w:r>
          </w:p>
        </w:tc>
        <w:tc>
          <w:tcPr>
            <w:tcW w:w="7547" w:type="dxa"/>
            <w:tcBorders>
              <w:top w:val="outset" w:sz="6" w:space="0" w:color="414142"/>
              <w:left w:val="outset" w:sz="6" w:space="0" w:color="414142"/>
              <w:bottom w:val="outset" w:sz="6" w:space="0" w:color="414142"/>
              <w:right w:val="outset" w:sz="6" w:space="0" w:color="414142"/>
            </w:tcBorders>
          </w:tcPr>
          <w:p w14:paraId="268507C1" w14:textId="77777777" w:rsidR="001753A1" w:rsidRDefault="00B77807" w:rsidP="001C3D13">
            <w:pPr>
              <w:spacing w:before="120"/>
              <w:ind w:left="201" w:right="346"/>
              <w:jc w:val="both"/>
              <w:rPr>
                <w:sz w:val="28"/>
                <w:szCs w:val="28"/>
                <w:lang w:val="lv-LV"/>
              </w:rPr>
            </w:pPr>
            <w:r w:rsidRPr="003F45F7">
              <w:rPr>
                <w:sz w:val="28"/>
                <w:szCs w:val="28"/>
                <w:lang w:val="lv-LV"/>
              </w:rPr>
              <w:t xml:space="preserve">Ar Komisijas Regulu (ES) 2017/1084 (2017.gada 14.jūnijs), ar ko Regulu (ES) Nr. 651/2014 groza attiecībā uz atbalstu ostu un lidostu infrastruktūrai, paziņošanas robežvērtībām atbalstam kultūrai un kultūrvēsturiskā mantojuma saglabāšanai un atbalstam sporta un </w:t>
            </w:r>
            <w:proofErr w:type="spellStart"/>
            <w:r w:rsidRPr="003F45F7">
              <w:rPr>
                <w:sz w:val="28"/>
                <w:szCs w:val="28"/>
                <w:lang w:val="lv-LV"/>
              </w:rPr>
              <w:t>multifunkcionālai</w:t>
            </w:r>
            <w:proofErr w:type="spellEnd"/>
            <w:r w:rsidRPr="003F45F7">
              <w:rPr>
                <w:sz w:val="28"/>
                <w:szCs w:val="28"/>
                <w:lang w:val="lv-LV"/>
              </w:rPr>
              <w:t xml:space="preserve"> atpūtas infrastruktūrai un reģionālā darbības atbalsta shēmām tālākajos reģionos un ar ko Regulu (ES) Nr. 702/2014 groza attiecībā uz attiecināmo izmaksu aprēķinu (turpmāk – Regula Nr. 2017/1084), </w:t>
            </w:r>
            <w:r w:rsidRPr="00C81AD7">
              <w:rPr>
                <w:b/>
                <w:sz w:val="28"/>
                <w:szCs w:val="28"/>
                <w:lang w:val="lv-LV"/>
              </w:rPr>
              <w:t xml:space="preserve">veikti grozījumi </w:t>
            </w:r>
            <w:r w:rsidR="00596582" w:rsidRPr="00C81AD7">
              <w:rPr>
                <w:b/>
                <w:sz w:val="28"/>
                <w:szCs w:val="28"/>
                <w:lang w:val="lv-LV"/>
              </w:rPr>
              <w:t>Komisijas 2014. gada 17. jūnija Regulā (ES) Nr. 651/2014</w:t>
            </w:r>
            <w:r w:rsidR="00596582" w:rsidRPr="00596582">
              <w:rPr>
                <w:sz w:val="28"/>
                <w:szCs w:val="28"/>
                <w:lang w:val="lv-LV"/>
              </w:rPr>
              <w:t>, ar ko noteiktas atbalsta kategorijas atzīst par saderīgām ar iekšējo tirgu, piemērojot Līguma 107. un 108. pantu (Eiropas Savienības Oficiālais Vēstnesis, 2014. gada 26. jūnijs, Nr. L 187) (turpmāk – Regula Nr.651/2014)</w:t>
            </w:r>
            <w:r w:rsidR="00596582">
              <w:rPr>
                <w:sz w:val="28"/>
                <w:szCs w:val="28"/>
                <w:lang w:val="lv-LV"/>
              </w:rPr>
              <w:t xml:space="preserve">. </w:t>
            </w:r>
          </w:p>
          <w:p w14:paraId="374B8A77" w14:textId="77777777" w:rsidR="003B3F05" w:rsidRDefault="001753A1" w:rsidP="001C3D13">
            <w:pPr>
              <w:spacing w:before="120"/>
              <w:ind w:left="201" w:right="346"/>
              <w:jc w:val="both"/>
              <w:rPr>
                <w:sz w:val="28"/>
                <w:szCs w:val="28"/>
                <w:lang w:val="lv-LV"/>
              </w:rPr>
            </w:pPr>
            <w:r>
              <w:rPr>
                <w:sz w:val="28"/>
                <w:szCs w:val="28"/>
                <w:lang w:val="lv-LV"/>
              </w:rPr>
              <w:t xml:space="preserve">Lai nodrošinātu atbilstību </w:t>
            </w:r>
            <w:r w:rsidRPr="001753A1">
              <w:rPr>
                <w:sz w:val="28"/>
                <w:szCs w:val="28"/>
                <w:lang w:val="lv-LV"/>
              </w:rPr>
              <w:t>Regula</w:t>
            </w:r>
            <w:r>
              <w:rPr>
                <w:sz w:val="28"/>
                <w:szCs w:val="28"/>
                <w:lang w:val="lv-LV"/>
              </w:rPr>
              <w:t>i</w:t>
            </w:r>
            <w:r w:rsidRPr="001753A1">
              <w:rPr>
                <w:sz w:val="28"/>
                <w:szCs w:val="28"/>
                <w:lang w:val="lv-LV"/>
              </w:rPr>
              <w:t xml:space="preserve"> Nr. 2017/1084</w:t>
            </w:r>
            <w:r w:rsidR="001C061F">
              <w:rPr>
                <w:sz w:val="28"/>
                <w:szCs w:val="28"/>
                <w:lang w:val="lv-LV"/>
              </w:rPr>
              <w:t xml:space="preserve">, ir papildināts 2016.gada 15.jūlija </w:t>
            </w:r>
            <w:r w:rsidR="001C061F" w:rsidRPr="001C061F">
              <w:rPr>
                <w:sz w:val="28"/>
                <w:szCs w:val="28"/>
                <w:lang w:val="lv-LV"/>
              </w:rPr>
              <w:t>MK noteikumu Nr.469</w:t>
            </w:r>
            <w:r w:rsidR="001C061F" w:rsidRPr="001C061F">
              <w:rPr>
                <w:sz w:val="28"/>
                <w:szCs w:val="28"/>
              </w:rPr>
              <w:t xml:space="preserve"> “</w:t>
            </w:r>
            <w:r w:rsidR="001C061F" w:rsidRPr="001C061F">
              <w:rPr>
                <w:sz w:val="28"/>
                <w:szCs w:val="28"/>
                <w:lang w:val="lv-LV"/>
              </w:rPr>
              <w:t>Noteikumi par paralēlajiem aizdevumiem saimnieciskās darbības veicējiem konkurētspējas uzlabošanai” (turpmāk – MK noteikumi Nr.469)</w:t>
            </w:r>
            <w:r w:rsidR="001C061F">
              <w:rPr>
                <w:sz w:val="28"/>
                <w:szCs w:val="28"/>
                <w:lang w:val="lv-LV"/>
              </w:rPr>
              <w:t xml:space="preserve"> </w:t>
            </w:r>
            <w:r w:rsidR="001C061F" w:rsidRPr="00103D33">
              <w:rPr>
                <w:b/>
                <w:sz w:val="28"/>
                <w:szCs w:val="28"/>
                <w:lang w:val="lv-LV"/>
              </w:rPr>
              <w:t xml:space="preserve">20.3.apakšpunkts ar </w:t>
            </w:r>
            <w:r w:rsidR="00C81AD7" w:rsidRPr="00103D33">
              <w:rPr>
                <w:b/>
                <w:sz w:val="28"/>
                <w:szCs w:val="28"/>
                <w:lang w:val="lv-LV"/>
              </w:rPr>
              <w:t>atsauci</w:t>
            </w:r>
            <w:r w:rsidR="001C061F" w:rsidRPr="00103D33">
              <w:rPr>
                <w:b/>
                <w:sz w:val="28"/>
                <w:szCs w:val="28"/>
                <w:lang w:val="lv-LV"/>
              </w:rPr>
              <w:t xml:space="preserve"> uz Regulas Nr.651/2014 13.panta b) apakšpunktu</w:t>
            </w:r>
            <w:r w:rsidR="001C061F">
              <w:rPr>
                <w:sz w:val="28"/>
                <w:szCs w:val="28"/>
                <w:lang w:val="lv-LV"/>
              </w:rPr>
              <w:t>.</w:t>
            </w:r>
            <w:r w:rsidR="00B304A4">
              <w:rPr>
                <w:sz w:val="28"/>
                <w:szCs w:val="28"/>
                <w:lang w:val="lv-LV"/>
              </w:rPr>
              <w:t xml:space="preserve"> Minētās izmaiņas saskaņā ar Regulas Nr.2017/1084 grozījumiem pēc būtības ir tehniska rakstura un atbalsta saņēmēju loku neietekmē, jo neatbalstāmo nozaru</w:t>
            </w:r>
            <w:r w:rsidR="00C81AD7">
              <w:rPr>
                <w:sz w:val="28"/>
                <w:szCs w:val="28"/>
                <w:lang w:val="lv-LV"/>
              </w:rPr>
              <w:t xml:space="preserve"> un darbību</w:t>
            </w:r>
            <w:r w:rsidR="00B304A4">
              <w:rPr>
                <w:sz w:val="28"/>
                <w:szCs w:val="28"/>
                <w:lang w:val="lv-LV"/>
              </w:rPr>
              <w:t xml:space="preserve"> skaits nav paplašināts. </w:t>
            </w:r>
          </w:p>
          <w:p w14:paraId="6A015580" w14:textId="5E528DB8" w:rsidR="003B3F05" w:rsidRDefault="00B304A4" w:rsidP="003B3F05">
            <w:pPr>
              <w:spacing w:before="120"/>
              <w:ind w:left="201" w:right="346"/>
              <w:jc w:val="both"/>
              <w:rPr>
                <w:sz w:val="28"/>
                <w:szCs w:val="28"/>
                <w:lang w:val="lv-LV"/>
              </w:rPr>
            </w:pPr>
            <w:r>
              <w:rPr>
                <w:sz w:val="28"/>
                <w:szCs w:val="28"/>
                <w:lang w:val="lv-LV"/>
              </w:rPr>
              <w:t xml:space="preserve">Papildus MK noteikumu Nr.469 </w:t>
            </w:r>
            <w:r w:rsidR="00CB3017">
              <w:rPr>
                <w:sz w:val="28"/>
                <w:szCs w:val="28"/>
                <w:lang w:val="lv-LV"/>
              </w:rPr>
              <w:t xml:space="preserve">20.2. un </w:t>
            </w:r>
            <w:r>
              <w:rPr>
                <w:sz w:val="28"/>
                <w:szCs w:val="28"/>
                <w:lang w:val="lv-LV"/>
              </w:rPr>
              <w:t xml:space="preserve">20.3.apakšpunktā iekļautas atsauces uz Komisijas regulas Nr.651/2014 13.panta a) un b) apakšpunktā minēto nozaru definīcijām, </w:t>
            </w:r>
            <w:r w:rsidR="00CB3017">
              <w:rPr>
                <w:sz w:val="28"/>
                <w:szCs w:val="28"/>
                <w:lang w:val="lv-LV"/>
              </w:rPr>
              <w:t xml:space="preserve">t.sk. iekļauta definīcija kuģubūvei, </w:t>
            </w:r>
            <w:r>
              <w:rPr>
                <w:sz w:val="28"/>
                <w:szCs w:val="28"/>
                <w:lang w:val="lv-LV"/>
              </w:rPr>
              <w:t xml:space="preserve">lai </w:t>
            </w:r>
            <w:r w:rsidR="003B3F05">
              <w:rPr>
                <w:sz w:val="28"/>
                <w:szCs w:val="28"/>
                <w:lang w:val="lv-LV"/>
              </w:rPr>
              <w:t xml:space="preserve">nodrošinātu </w:t>
            </w:r>
            <w:hyperlink r:id="rId10" w:tgtFrame="_blank" w:history="1">
              <w:r w:rsidR="003B3F05" w:rsidRPr="003F45F7">
                <w:rPr>
                  <w:rStyle w:val="Hyperlink"/>
                  <w:iCs/>
                  <w:color w:val="auto"/>
                  <w:sz w:val="28"/>
                  <w:szCs w:val="28"/>
                  <w:u w:val="none"/>
                  <w:shd w:val="clear" w:color="auto" w:fill="FFFFFF"/>
                  <w:lang w:val="lv-LV"/>
                </w:rPr>
                <w:t>E</w:t>
              </w:r>
              <w:r w:rsidR="003B3F05">
                <w:rPr>
                  <w:rStyle w:val="Hyperlink"/>
                  <w:iCs/>
                  <w:color w:val="auto"/>
                  <w:sz w:val="28"/>
                  <w:szCs w:val="28"/>
                  <w:u w:val="none"/>
                  <w:shd w:val="clear" w:color="auto" w:fill="FFFFFF"/>
                  <w:lang w:val="lv-LV"/>
                </w:rPr>
                <w:t xml:space="preserve">iropas Savienības struktūrfondu </w:t>
              </w:r>
              <w:r w:rsidR="003B3F05" w:rsidRPr="003F45F7">
                <w:rPr>
                  <w:rStyle w:val="Hyperlink"/>
                  <w:iCs/>
                  <w:color w:val="auto"/>
                  <w:sz w:val="28"/>
                  <w:szCs w:val="28"/>
                  <w:u w:val="none"/>
                  <w:shd w:val="clear" w:color="auto" w:fill="FFFFFF"/>
                  <w:lang w:val="lv-LV"/>
                </w:rPr>
                <w:t>un</w:t>
              </w:r>
              <w:r w:rsidR="003B3F05">
                <w:rPr>
                  <w:iCs/>
                  <w:sz w:val="28"/>
                  <w:szCs w:val="28"/>
                  <w:shd w:val="clear" w:color="auto" w:fill="FFFFFF"/>
                  <w:lang w:val="lv-LV"/>
                </w:rPr>
                <w:t xml:space="preserve"> </w:t>
              </w:r>
              <w:r w:rsidR="003B3F05" w:rsidRPr="003F45F7">
                <w:rPr>
                  <w:rStyle w:val="Hyperlink"/>
                  <w:iCs/>
                  <w:color w:val="auto"/>
                  <w:sz w:val="28"/>
                  <w:szCs w:val="28"/>
                  <w:u w:val="none"/>
                  <w:shd w:val="clear" w:color="auto" w:fill="FFFFFF"/>
                  <w:lang w:val="lv-LV"/>
                </w:rPr>
                <w:t xml:space="preserve">Kohēzijas fonda 2014.–2020. gada </w:t>
              </w:r>
              <w:r w:rsidR="003B3F05" w:rsidRPr="003F45F7">
                <w:rPr>
                  <w:rStyle w:val="Hyperlink"/>
                  <w:iCs/>
                  <w:color w:val="auto"/>
                  <w:sz w:val="28"/>
                  <w:szCs w:val="28"/>
                  <w:u w:val="none"/>
                  <w:shd w:val="clear" w:color="auto" w:fill="FFFFFF"/>
                  <w:lang w:val="lv-LV"/>
                </w:rPr>
                <w:lastRenderedPageBreak/>
                <w:t>plānošanas perioda</w:t>
              </w:r>
              <w:r w:rsidR="003B3F05">
                <w:rPr>
                  <w:iCs/>
                  <w:sz w:val="28"/>
                  <w:szCs w:val="28"/>
                  <w:shd w:val="clear" w:color="auto" w:fill="FFFFFF"/>
                  <w:lang w:val="lv-LV"/>
                </w:rPr>
                <w:t xml:space="preserve"> </w:t>
              </w:r>
              <w:r w:rsidR="003B3F05" w:rsidRPr="003F45F7">
                <w:rPr>
                  <w:rStyle w:val="Hyperlink"/>
                  <w:iCs/>
                  <w:color w:val="auto"/>
                  <w:sz w:val="28"/>
                  <w:szCs w:val="28"/>
                  <w:u w:val="none"/>
                  <w:shd w:val="clear" w:color="auto" w:fill="FFFFFF"/>
                  <w:lang w:val="lv-LV"/>
                </w:rPr>
                <w:t>vadības likuma</w:t>
              </w:r>
            </w:hyperlink>
            <w:r w:rsidR="003B3F05" w:rsidRPr="003F45F7">
              <w:rPr>
                <w:rStyle w:val="apple-converted-space"/>
                <w:iCs/>
                <w:sz w:val="28"/>
                <w:szCs w:val="28"/>
                <w:shd w:val="clear" w:color="auto" w:fill="FFFFFF"/>
                <w:lang w:val="lv-LV"/>
              </w:rPr>
              <w:t> </w:t>
            </w:r>
            <w:hyperlink r:id="rId11" w:anchor="p20" w:tgtFrame="_blank" w:history="1">
              <w:r w:rsidR="003B3F05" w:rsidRPr="003F45F7">
                <w:rPr>
                  <w:rStyle w:val="Hyperlink"/>
                  <w:iCs/>
                  <w:color w:val="auto"/>
                  <w:sz w:val="28"/>
                  <w:szCs w:val="28"/>
                  <w:u w:val="none"/>
                  <w:shd w:val="clear" w:color="auto" w:fill="FFFFFF"/>
                  <w:lang w:val="lv-LV"/>
                </w:rPr>
                <w:t>20. pant</w:t>
              </w:r>
            </w:hyperlink>
            <w:r w:rsidR="003B3F05">
              <w:rPr>
                <w:rStyle w:val="Hyperlink"/>
                <w:iCs/>
                <w:color w:val="auto"/>
                <w:sz w:val="28"/>
                <w:szCs w:val="28"/>
                <w:u w:val="none"/>
                <w:shd w:val="clear" w:color="auto" w:fill="FFFFFF"/>
                <w:lang w:val="lv-LV"/>
              </w:rPr>
              <w:t>a 14.punkta ievērošanu un</w:t>
            </w:r>
            <w:r w:rsidR="003B3F05">
              <w:rPr>
                <w:sz w:val="28"/>
                <w:szCs w:val="28"/>
                <w:lang w:val="lv-LV"/>
              </w:rPr>
              <w:t xml:space="preserve"> </w:t>
            </w:r>
            <w:r>
              <w:rPr>
                <w:sz w:val="28"/>
                <w:szCs w:val="28"/>
                <w:lang w:val="lv-LV"/>
              </w:rPr>
              <w:t>izvairītos no nekorektu normu interpretācijas</w:t>
            </w:r>
            <w:r w:rsidR="003B3F05">
              <w:rPr>
                <w:sz w:val="28"/>
                <w:szCs w:val="28"/>
                <w:lang w:val="lv-LV"/>
              </w:rPr>
              <w:t>. Iekļaujot minēto definīciju MK noteikumos Nr.469</w:t>
            </w:r>
            <w:r w:rsidR="00092F46">
              <w:rPr>
                <w:sz w:val="28"/>
                <w:szCs w:val="28"/>
                <w:lang w:val="lv-LV"/>
              </w:rPr>
              <w:t>,</w:t>
            </w:r>
            <w:r w:rsidR="003B3F05">
              <w:rPr>
                <w:sz w:val="28"/>
                <w:szCs w:val="28"/>
                <w:lang w:val="lv-LV"/>
              </w:rPr>
              <w:t xml:space="preserve"> tika </w:t>
            </w:r>
            <w:r w:rsidR="003B3F05" w:rsidRPr="003B3F05">
              <w:rPr>
                <w:sz w:val="28"/>
                <w:szCs w:val="28"/>
                <w:lang w:val="lv-LV"/>
              </w:rPr>
              <w:t>izvērtēts, ka šī definīcija nav pretrunā citiem ar šo nozari saistītiem normatīvajiem aktiem, kā arī nesašaurina vai nepaplašina Komisijas 2014. gada 17. jūnija Regulā (ES) Nr. 651/2014 ietverto regulējumu.</w:t>
            </w:r>
          </w:p>
          <w:p w14:paraId="570FAB42" w14:textId="48DE8140" w:rsidR="00B304A4" w:rsidRDefault="00B304A4" w:rsidP="001C3D13">
            <w:pPr>
              <w:spacing w:before="120"/>
              <w:ind w:left="201" w:right="346"/>
              <w:jc w:val="both"/>
              <w:rPr>
                <w:sz w:val="28"/>
                <w:szCs w:val="28"/>
                <w:lang w:val="lv-LV"/>
              </w:rPr>
            </w:pPr>
            <w:r>
              <w:rPr>
                <w:sz w:val="28"/>
                <w:szCs w:val="28"/>
                <w:lang w:val="lv-LV"/>
              </w:rPr>
              <w:t xml:space="preserve">MK noteikumi Nr.469 </w:t>
            </w:r>
            <w:r w:rsidRPr="00103D33">
              <w:rPr>
                <w:b/>
                <w:sz w:val="28"/>
                <w:szCs w:val="28"/>
                <w:lang w:val="lv-LV"/>
              </w:rPr>
              <w:t>papildināti ar jaunu 23.</w:t>
            </w:r>
            <w:r w:rsidRPr="00103D33">
              <w:rPr>
                <w:b/>
                <w:sz w:val="28"/>
                <w:szCs w:val="28"/>
                <w:vertAlign w:val="superscript"/>
                <w:lang w:val="lv-LV"/>
              </w:rPr>
              <w:t>1</w:t>
            </w:r>
            <w:r w:rsidRPr="00103D33">
              <w:rPr>
                <w:b/>
                <w:sz w:val="28"/>
                <w:szCs w:val="28"/>
                <w:lang w:val="lv-LV"/>
              </w:rPr>
              <w:t xml:space="preserve"> punktu</w:t>
            </w:r>
            <w:r w:rsidRPr="00B304A4">
              <w:rPr>
                <w:sz w:val="28"/>
                <w:szCs w:val="28"/>
                <w:lang w:val="lv-LV"/>
              </w:rPr>
              <w:t xml:space="preserve"> </w:t>
            </w:r>
            <w:r>
              <w:rPr>
                <w:sz w:val="28"/>
                <w:szCs w:val="28"/>
                <w:lang w:val="lv-LV"/>
              </w:rPr>
              <w:t>attiecībā uz nosacījumu, kas jāievēro stimulējošās ietekmes neizpildes gadījumā</w:t>
            </w:r>
            <w:r w:rsidR="001840C6">
              <w:rPr>
                <w:sz w:val="28"/>
                <w:szCs w:val="28"/>
                <w:lang w:val="lv-LV"/>
              </w:rPr>
              <w:t>, lai nodrošinātu šīs normas nepārprotamu un skaidru nosacījumu ievērošanu.</w:t>
            </w:r>
          </w:p>
          <w:p w14:paraId="645696A7" w14:textId="6D75FA33" w:rsidR="001C3D13" w:rsidRPr="001C3D13" w:rsidRDefault="001C3D13" w:rsidP="001C3D13">
            <w:pPr>
              <w:spacing w:before="120"/>
              <w:ind w:left="201" w:right="346"/>
              <w:jc w:val="both"/>
              <w:rPr>
                <w:sz w:val="28"/>
                <w:szCs w:val="28"/>
                <w:lang w:val="lv-LV"/>
              </w:rPr>
            </w:pPr>
            <w:r>
              <w:rPr>
                <w:sz w:val="28"/>
                <w:szCs w:val="28"/>
                <w:lang w:val="lv-LV"/>
              </w:rPr>
              <w:t>G</w:t>
            </w:r>
            <w:r w:rsidRPr="001C3D13">
              <w:rPr>
                <w:sz w:val="28"/>
                <w:szCs w:val="28"/>
                <w:lang w:val="lv-LV"/>
              </w:rPr>
              <w:t xml:space="preserve">rozītajā </w:t>
            </w:r>
            <w:r>
              <w:rPr>
                <w:sz w:val="28"/>
                <w:szCs w:val="28"/>
                <w:lang w:val="lv-LV"/>
              </w:rPr>
              <w:t>Regulā</w:t>
            </w:r>
            <w:r w:rsidRPr="001C3D13">
              <w:rPr>
                <w:sz w:val="28"/>
                <w:szCs w:val="28"/>
                <w:lang w:val="lv-LV"/>
              </w:rPr>
              <w:t xml:space="preserve"> Nr. 2017/1084 ir svītrots </w:t>
            </w:r>
            <w:r w:rsidR="001C061F">
              <w:rPr>
                <w:sz w:val="28"/>
                <w:szCs w:val="28"/>
                <w:lang w:val="lv-LV"/>
              </w:rPr>
              <w:t xml:space="preserve">arī </w:t>
            </w:r>
            <w:r w:rsidRPr="001C3D13">
              <w:rPr>
                <w:sz w:val="28"/>
                <w:szCs w:val="28"/>
                <w:lang w:val="lv-LV"/>
              </w:rPr>
              <w:t>noteikums,</w:t>
            </w:r>
            <w:r>
              <w:rPr>
                <w:sz w:val="28"/>
                <w:szCs w:val="28"/>
                <w:lang w:val="lv-LV"/>
              </w:rPr>
              <w:t xml:space="preserve"> kurš šobrīd ir iekļauts </w:t>
            </w:r>
            <w:r w:rsidRPr="001C3D13">
              <w:rPr>
                <w:sz w:val="28"/>
                <w:szCs w:val="28"/>
                <w:lang w:val="lv-LV"/>
              </w:rPr>
              <w:t>MK noteikumu Nr.469</w:t>
            </w:r>
            <w:r w:rsidRPr="001C3D13">
              <w:rPr>
                <w:sz w:val="28"/>
                <w:szCs w:val="28"/>
              </w:rPr>
              <w:t xml:space="preserve"> “</w:t>
            </w:r>
            <w:r w:rsidRPr="001C3D13">
              <w:rPr>
                <w:sz w:val="28"/>
                <w:szCs w:val="28"/>
                <w:lang w:val="lv-LV"/>
              </w:rPr>
              <w:t>Noteikumi par paralēlajiem aizdevumiem saimnieciskās darbības veicējiem konkurētspējas uzlabošanai” (turpmāk – MK noteikumi Nr.469) 36.</w:t>
            </w:r>
            <w:r>
              <w:rPr>
                <w:sz w:val="28"/>
                <w:szCs w:val="28"/>
                <w:lang w:val="lv-LV"/>
              </w:rPr>
              <w:t>punktā, un</w:t>
            </w:r>
            <w:r w:rsidRPr="001C3D13">
              <w:rPr>
                <w:sz w:val="28"/>
                <w:szCs w:val="28"/>
                <w:lang w:val="lv-LV"/>
              </w:rPr>
              <w:t xml:space="preserve"> kurš paredzēja, ka atbrīvojumu nevar piešķirt reģionālajam atbalstam, kura saņēmēji Eiropas Ekonomikas zonā ir beiguši to pašu vai līdzīgu darbību divu gadu laikā pirms pieteikšanās uz ieguldījumu atbalstu vai kam ir konkrēti plāni izbeigt šādu darbību divu gadu laikā no dienas, kad būs pabeigts attiecīgais ieguldījums (Komisijas Regulā (ES) Nr.651/2014</w:t>
            </w:r>
            <w:r>
              <w:rPr>
                <w:sz w:val="28"/>
                <w:szCs w:val="28"/>
                <w:lang w:val="lv-LV"/>
              </w:rPr>
              <w:t xml:space="preserve"> </w:t>
            </w:r>
            <w:r w:rsidRPr="001C3D13">
              <w:rPr>
                <w:sz w:val="28"/>
                <w:szCs w:val="28"/>
                <w:lang w:val="lv-LV"/>
              </w:rPr>
              <w:t xml:space="preserve">13. panta d) apakšpunkts). </w:t>
            </w:r>
          </w:p>
          <w:p w14:paraId="74FE97D3" w14:textId="39B73785" w:rsidR="001C3D13" w:rsidRDefault="001C3D13" w:rsidP="001C3D13">
            <w:pPr>
              <w:spacing w:before="120"/>
              <w:ind w:left="201" w:right="346"/>
              <w:jc w:val="both"/>
              <w:rPr>
                <w:sz w:val="28"/>
                <w:szCs w:val="28"/>
                <w:lang w:val="lv-LV"/>
              </w:rPr>
            </w:pPr>
            <w:r w:rsidRPr="001C3D13">
              <w:rPr>
                <w:sz w:val="28"/>
                <w:szCs w:val="28"/>
                <w:lang w:val="lv-LV"/>
              </w:rPr>
              <w:t>Tā vietā tagad ir iekļauts jauns noteikums, proti, Regul</w:t>
            </w:r>
            <w:r>
              <w:rPr>
                <w:sz w:val="28"/>
                <w:szCs w:val="28"/>
                <w:lang w:val="lv-LV"/>
              </w:rPr>
              <w:t>as</w:t>
            </w:r>
            <w:r w:rsidRPr="001C3D13">
              <w:rPr>
                <w:sz w:val="28"/>
                <w:szCs w:val="28"/>
                <w:lang w:val="lv-LV"/>
              </w:rPr>
              <w:t xml:space="preserve"> Nr. 2017/1084  14. panta 16. punkts, kurā noteikts, ka subjektam, kurš piesakās uz reģionālo atbalstu saskaņā ar </w:t>
            </w:r>
            <w:r>
              <w:rPr>
                <w:sz w:val="28"/>
                <w:szCs w:val="28"/>
                <w:lang w:val="lv-LV"/>
              </w:rPr>
              <w:t>Komisijas Regulu</w:t>
            </w:r>
            <w:r w:rsidRPr="001C3D13">
              <w:rPr>
                <w:sz w:val="28"/>
                <w:szCs w:val="28"/>
                <w:lang w:val="lv-LV"/>
              </w:rPr>
              <w:t xml:space="preserve"> (ES) Nr.651/2014: a) jāapliecina, ka tas pēdējo divu gadu laikā pirms pieteikšanās uz atbalstu nav pārcēlies uz uzņēmējdarbības vietu, kurā tiks veikts sākotnējais ieguldījums, par kuru tiek pieprasīts atbalsts, un b) jāapņemas nepārcelties divus gadus pēc tam, kad būs pabeigts ieguldījums, par kuru tiek pieprasīts atbalsts.</w:t>
            </w:r>
          </w:p>
          <w:p w14:paraId="44D9B931" w14:textId="118F73AC" w:rsidR="000A1BA2" w:rsidRDefault="000A1BA2" w:rsidP="001C3D13">
            <w:pPr>
              <w:spacing w:before="120"/>
              <w:ind w:left="201" w:right="346"/>
              <w:jc w:val="both"/>
              <w:rPr>
                <w:sz w:val="28"/>
                <w:szCs w:val="28"/>
                <w:lang w:val="lv-LV"/>
              </w:rPr>
            </w:pPr>
            <w:r w:rsidRPr="000A1BA2">
              <w:rPr>
                <w:sz w:val="28"/>
                <w:szCs w:val="28"/>
                <w:lang w:val="lv-LV"/>
              </w:rPr>
              <w:t>Tas nozīmē, ka Regula</w:t>
            </w:r>
            <w:r>
              <w:rPr>
                <w:sz w:val="28"/>
                <w:szCs w:val="28"/>
                <w:lang w:val="lv-LV"/>
              </w:rPr>
              <w:t>s</w:t>
            </w:r>
            <w:r w:rsidRPr="000A1BA2">
              <w:rPr>
                <w:sz w:val="28"/>
                <w:szCs w:val="28"/>
                <w:lang w:val="lv-LV"/>
              </w:rPr>
              <w:t xml:space="preserve"> Nr. 2017/1084 14. pantu var piemērot atbalstam, ko piešķir uzņēmumam, kurš ir beidzis darbību, izņemot gadījumus, kad runa ir par darbības pārcelšanu. Saskaņā ar Regula Nr. 2017/1084</w:t>
            </w:r>
            <w:r>
              <w:rPr>
                <w:sz w:val="28"/>
                <w:szCs w:val="28"/>
                <w:lang w:val="lv-LV"/>
              </w:rPr>
              <w:t xml:space="preserve"> </w:t>
            </w:r>
            <w:r w:rsidRPr="000A1BA2">
              <w:rPr>
                <w:sz w:val="28"/>
                <w:szCs w:val="28"/>
                <w:lang w:val="lv-LV"/>
              </w:rPr>
              <w:t>2. panta 61.a punktu “pārcelšana” ir definēta šādi: “</w:t>
            </w:r>
            <w:r w:rsidRPr="00C81AD7">
              <w:rPr>
                <w:i/>
                <w:sz w:val="28"/>
                <w:szCs w:val="28"/>
                <w:lang w:val="lv-LV"/>
              </w:rPr>
              <w:t xml:space="preserve">tādas pašas vai līdzīgas darbības vai tās daļas pārvietošana no uzņēmējdarbības vietas vienā EEZ līguma līgumslēdzējā pusē (sākotnējā uzņēmējdarbības vieta) uz uzņēmējdarbības vietu, kurā tiek veikts atbalstītais ieguldījums, citā EEZ līguma līgumslēdzējā pusē (atbalstītā uzņēmējdarbības vieta). Pārvietošana notiek, ja produkts vai pakalpojums sākotnējā vai atbalstītajā </w:t>
            </w:r>
            <w:bookmarkStart w:id="5" w:name="_GoBack"/>
            <w:r w:rsidRPr="00C81AD7">
              <w:rPr>
                <w:i/>
                <w:sz w:val="28"/>
                <w:szCs w:val="28"/>
                <w:lang w:val="lv-LV"/>
              </w:rPr>
              <w:lastRenderedPageBreak/>
              <w:t>uzņēmējdarbības vietā vismaz daļēji kalpo tādiem pašiem mērķiem un apmierina tāda paša veida klientu prasības vai vajadzības un tajā pašā vai līdzīgā darbībā vienā no saņēmēja sākotnējām uzņēmējdarbības vietām EEZ tiek zaudētas darbvietas”</w:t>
            </w:r>
            <w:r w:rsidRPr="000A1BA2">
              <w:rPr>
                <w:sz w:val="28"/>
                <w:szCs w:val="28"/>
                <w:lang w:val="lv-LV"/>
              </w:rPr>
              <w:t>.</w:t>
            </w:r>
          </w:p>
          <w:p w14:paraId="38C2457E" w14:textId="3F0FBB06" w:rsidR="004C2CD6" w:rsidRPr="003F45F7" w:rsidRDefault="00B77807" w:rsidP="00B77807">
            <w:pPr>
              <w:spacing w:before="120"/>
              <w:ind w:left="201" w:right="346"/>
              <w:jc w:val="both"/>
              <w:rPr>
                <w:sz w:val="28"/>
                <w:szCs w:val="28"/>
                <w:lang w:val="lv-LV"/>
              </w:rPr>
            </w:pPr>
            <w:r w:rsidRPr="003F45F7">
              <w:rPr>
                <w:sz w:val="28"/>
                <w:szCs w:val="28"/>
                <w:lang w:val="lv-LV"/>
              </w:rPr>
              <w:t>Lai MK noteikumi Nr.</w:t>
            </w:r>
            <w:r w:rsidR="00B86997">
              <w:rPr>
                <w:sz w:val="28"/>
                <w:szCs w:val="28"/>
                <w:lang w:val="lv-LV"/>
              </w:rPr>
              <w:t>469</w:t>
            </w:r>
            <w:r w:rsidR="00822B60">
              <w:t xml:space="preserve"> </w:t>
            </w:r>
            <w:r w:rsidRPr="003F45F7">
              <w:rPr>
                <w:sz w:val="28"/>
                <w:szCs w:val="28"/>
                <w:lang w:val="lv-LV"/>
              </w:rPr>
              <w:t>atbilstu Komisijas Regulas (ES) Nr.651/2014 prasībām, noteikumu projekts paredz veikt atbilstošu grozījumu MK noteikum</w:t>
            </w:r>
            <w:r w:rsidR="00596582">
              <w:rPr>
                <w:sz w:val="28"/>
                <w:szCs w:val="28"/>
                <w:lang w:val="lv-LV"/>
              </w:rPr>
              <w:t>u</w:t>
            </w:r>
            <w:r w:rsidRPr="003F45F7">
              <w:rPr>
                <w:sz w:val="28"/>
                <w:szCs w:val="28"/>
                <w:lang w:val="lv-LV"/>
              </w:rPr>
              <w:t xml:space="preserve"> Nr.469</w:t>
            </w:r>
            <w:r w:rsidR="00596582">
              <w:rPr>
                <w:sz w:val="28"/>
                <w:szCs w:val="28"/>
                <w:lang w:val="lv-LV"/>
              </w:rPr>
              <w:t xml:space="preserve"> </w:t>
            </w:r>
            <w:r w:rsidR="00596582" w:rsidRPr="00103D33">
              <w:rPr>
                <w:b/>
                <w:sz w:val="28"/>
                <w:szCs w:val="28"/>
                <w:lang w:val="lv-LV"/>
              </w:rPr>
              <w:t>36.punktā</w:t>
            </w:r>
            <w:r w:rsidRPr="00103D33">
              <w:rPr>
                <w:b/>
                <w:sz w:val="28"/>
                <w:szCs w:val="28"/>
                <w:lang w:val="lv-LV"/>
              </w:rPr>
              <w:t>,</w:t>
            </w:r>
            <w:r w:rsidRPr="003F45F7">
              <w:rPr>
                <w:sz w:val="28"/>
                <w:szCs w:val="28"/>
                <w:lang w:val="lv-LV"/>
              </w:rPr>
              <w:t xml:space="preserve"> </w:t>
            </w:r>
            <w:r w:rsidRPr="00103D33">
              <w:rPr>
                <w:b/>
                <w:sz w:val="28"/>
                <w:szCs w:val="28"/>
                <w:lang w:val="lv-LV"/>
              </w:rPr>
              <w:t>ietverot atsauci uz Regulas Nr.651/2014 14.panta 16. un 17. punktu, kā arī Regulas Nr.651/2014 2.panta 61.punkta “a” apakšpunktu.</w:t>
            </w:r>
            <w:bookmarkEnd w:id="5"/>
          </w:p>
        </w:tc>
      </w:tr>
      <w:tr w:rsidR="00844176" w:rsidRPr="003F45F7" w14:paraId="3AE1E35A" w14:textId="77777777" w:rsidTr="000472EA">
        <w:trPr>
          <w:trHeight w:val="465"/>
        </w:trPr>
        <w:tc>
          <w:tcPr>
            <w:tcW w:w="323" w:type="dxa"/>
            <w:tcBorders>
              <w:top w:val="outset" w:sz="6" w:space="0" w:color="414142"/>
              <w:left w:val="outset" w:sz="6" w:space="0" w:color="414142"/>
              <w:bottom w:val="outset" w:sz="6" w:space="0" w:color="414142"/>
              <w:right w:val="outset" w:sz="6" w:space="0" w:color="414142"/>
            </w:tcBorders>
            <w:hideMark/>
          </w:tcPr>
          <w:p w14:paraId="23F1F431"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lastRenderedPageBreak/>
              <w:t>3.</w:t>
            </w:r>
          </w:p>
        </w:tc>
        <w:tc>
          <w:tcPr>
            <w:tcW w:w="1482" w:type="dxa"/>
            <w:tcBorders>
              <w:top w:val="outset" w:sz="6" w:space="0" w:color="414142"/>
              <w:left w:val="outset" w:sz="6" w:space="0" w:color="414142"/>
              <w:bottom w:val="outset" w:sz="6" w:space="0" w:color="414142"/>
              <w:right w:val="outset" w:sz="6" w:space="0" w:color="414142"/>
            </w:tcBorders>
            <w:hideMark/>
          </w:tcPr>
          <w:p w14:paraId="1431C4B6"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Projekta izstrādē iesaistītās institūcijas</w:t>
            </w:r>
          </w:p>
        </w:tc>
        <w:tc>
          <w:tcPr>
            <w:tcW w:w="7547" w:type="dxa"/>
            <w:tcBorders>
              <w:top w:val="outset" w:sz="6" w:space="0" w:color="414142"/>
              <w:left w:val="outset" w:sz="6" w:space="0" w:color="414142"/>
              <w:bottom w:val="outset" w:sz="6" w:space="0" w:color="414142"/>
              <w:right w:val="outset" w:sz="6" w:space="0" w:color="414142"/>
            </w:tcBorders>
            <w:hideMark/>
          </w:tcPr>
          <w:p w14:paraId="5454237A" w14:textId="4E57960D" w:rsidR="00844176" w:rsidRPr="003F45F7" w:rsidRDefault="00B86997" w:rsidP="00A459E6">
            <w:pPr>
              <w:spacing w:before="100" w:beforeAutospacing="1" w:after="100" w:afterAutospacing="1"/>
              <w:ind w:left="60"/>
              <w:rPr>
                <w:rFonts w:eastAsia="Times New Roman"/>
                <w:sz w:val="28"/>
                <w:szCs w:val="28"/>
                <w:lang w:val="lv-LV" w:eastAsia="lv-LV"/>
              </w:rPr>
            </w:pPr>
            <w:r>
              <w:rPr>
                <w:sz w:val="28"/>
                <w:szCs w:val="28"/>
                <w:lang w:val="lv-LV"/>
              </w:rPr>
              <w:t>Akciju sabiedrība</w:t>
            </w:r>
            <w:r w:rsidR="00B77807" w:rsidRPr="003F45F7">
              <w:rPr>
                <w:sz w:val="28"/>
                <w:szCs w:val="28"/>
                <w:lang w:val="lv-LV"/>
              </w:rPr>
              <w:t xml:space="preserve"> “Attīst</w:t>
            </w:r>
            <w:r w:rsidR="00600073">
              <w:rPr>
                <w:sz w:val="28"/>
                <w:szCs w:val="28"/>
                <w:lang w:val="lv-LV"/>
              </w:rPr>
              <w:t xml:space="preserve">ības finanšu institūcija </w:t>
            </w:r>
            <w:proofErr w:type="spellStart"/>
            <w:r w:rsidR="00600073">
              <w:rPr>
                <w:sz w:val="28"/>
                <w:szCs w:val="28"/>
                <w:lang w:val="lv-LV"/>
              </w:rPr>
              <w:t>Altum</w:t>
            </w:r>
            <w:proofErr w:type="spellEnd"/>
            <w:r w:rsidR="00600073">
              <w:rPr>
                <w:sz w:val="28"/>
                <w:szCs w:val="28"/>
                <w:lang w:val="lv-LV"/>
              </w:rPr>
              <w:t xml:space="preserve">”, </w:t>
            </w:r>
            <w:proofErr w:type="spellStart"/>
            <w:r w:rsidR="00600073">
              <w:rPr>
                <w:sz w:val="28"/>
                <w:szCs w:val="28"/>
                <w:lang w:val="lv-LV"/>
              </w:rPr>
              <w:t>Ekonomiks</w:t>
            </w:r>
            <w:proofErr w:type="spellEnd"/>
            <w:r w:rsidR="00600073">
              <w:rPr>
                <w:sz w:val="28"/>
                <w:szCs w:val="28"/>
                <w:lang w:val="lv-LV"/>
              </w:rPr>
              <w:t xml:space="preserve"> ministrija.</w:t>
            </w:r>
          </w:p>
        </w:tc>
      </w:tr>
      <w:tr w:rsidR="00844176" w:rsidRPr="003F45F7" w14:paraId="2828825B" w14:textId="77777777" w:rsidTr="000472EA">
        <w:tc>
          <w:tcPr>
            <w:tcW w:w="323" w:type="dxa"/>
            <w:tcBorders>
              <w:top w:val="outset" w:sz="6" w:space="0" w:color="414142"/>
              <w:left w:val="outset" w:sz="6" w:space="0" w:color="414142"/>
              <w:bottom w:val="outset" w:sz="6" w:space="0" w:color="414142"/>
              <w:right w:val="outset" w:sz="6" w:space="0" w:color="414142"/>
            </w:tcBorders>
            <w:hideMark/>
          </w:tcPr>
          <w:p w14:paraId="06DBB9FB"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4.</w:t>
            </w:r>
          </w:p>
        </w:tc>
        <w:tc>
          <w:tcPr>
            <w:tcW w:w="1482" w:type="dxa"/>
            <w:tcBorders>
              <w:top w:val="outset" w:sz="6" w:space="0" w:color="414142"/>
              <w:left w:val="outset" w:sz="6" w:space="0" w:color="414142"/>
              <w:bottom w:val="outset" w:sz="6" w:space="0" w:color="414142"/>
              <w:right w:val="outset" w:sz="6" w:space="0" w:color="414142"/>
            </w:tcBorders>
            <w:hideMark/>
          </w:tcPr>
          <w:p w14:paraId="367A9432"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Cita informācija</w:t>
            </w:r>
          </w:p>
        </w:tc>
        <w:tc>
          <w:tcPr>
            <w:tcW w:w="7547" w:type="dxa"/>
            <w:tcBorders>
              <w:top w:val="outset" w:sz="6" w:space="0" w:color="414142"/>
              <w:left w:val="outset" w:sz="6" w:space="0" w:color="414142"/>
              <w:bottom w:val="outset" w:sz="6" w:space="0" w:color="414142"/>
              <w:right w:val="outset" w:sz="6" w:space="0" w:color="414142"/>
            </w:tcBorders>
            <w:hideMark/>
          </w:tcPr>
          <w:p w14:paraId="17941CFB"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 xml:space="preserve">Nav. </w:t>
            </w:r>
          </w:p>
        </w:tc>
      </w:tr>
      <w:tr w:rsidR="00844176" w:rsidRPr="003F45F7" w14:paraId="4DA5A241" w14:textId="77777777" w:rsidTr="000472EA">
        <w:trPr>
          <w:trHeight w:val="128"/>
        </w:trPr>
        <w:tc>
          <w:tcPr>
            <w:tcW w:w="9352" w:type="dxa"/>
            <w:gridSpan w:val="3"/>
            <w:tcBorders>
              <w:top w:val="outset" w:sz="6" w:space="0" w:color="414142"/>
              <w:left w:val="nil"/>
              <w:bottom w:val="outset" w:sz="6" w:space="0" w:color="414142"/>
              <w:right w:val="nil"/>
            </w:tcBorders>
            <w:hideMark/>
          </w:tcPr>
          <w:p w14:paraId="351DA73D" w14:textId="77777777" w:rsidR="00844176" w:rsidRPr="003F45F7" w:rsidRDefault="00844176" w:rsidP="00A459E6">
            <w:pPr>
              <w:tabs>
                <w:tab w:val="left" w:pos="990"/>
              </w:tabs>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ab/>
            </w:r>
          </w:p>
        </w:tc>
      </w:tr>
    </w:tbl>
    <w:p w14:paraId="664E824F" w14:textId="77777777" w:rsidR="00844176" w:rsidRPr="003F45F7" w:rsidRDefault="00844176" w:rsidP="00844176">
      <w:pPr>
        <w:rPr>
          <w:rFonts w:eastAsia="Times New Roman"/>
          <w:vanish/>
          <w:sz w:val="28"/>
          <w:szCs w:val="28"/>
          <w:lang w:val="lv-LV" w:eastAsia="lv-LV"/>
        </w:rPr>
      </w:pPr>
    </w:p>
    <w:tbl>
      <w:tblPr>
        <w:tblW w:w="934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134"/>
        <w:gridCol w:w="6944"/>
      </w:tblGrid>
      <w:tr w:rsidR="00844176" w:rsidRPr="003F45F7" w14:paraId="689D5659" w14:textId="77777777" w:rsidTr="003F45F7">
        <w:trPr>
          <w:trHeight w:val="555"/>
        </w:trPr>
        <w:tc>
          <w:tcPr>
            <w:tcW w:w="9348" w:type="dxa"/>
            <w:gridSpan w:val="3"/>
            <w:tcBorders>
              <w:top w:val="nil"/>
              <w:left w:val="outset" w:sz="6" w:space="0" w:color="414142"/>
              <w:bottom w:val="outset" w:sz="6" w:space="0" w:color="414142"/>
              <w:right w:val="outset" w:sz="6" w:space="0" w:color="414142"/>
            </w:tcBorders>
            <w:hideMark/>
          </w:tcPr>
          <w:p w14:paraId="6CEA03B6" w14:textId="77777777" w:rsidR="00844176" w:rsidRPr="003F45F7" w:rsidRDefault="00844176" w:rsidP="00A459E6">
            <w:pPr>
              <w:spacing w:before="100" w:beforeAutospacing="1" w:after="100" w:afterAutospacing="1"/>
              <w:ind w:firstLine="300"/>
              <w:jc w:val="center"/>
              <w:rPr>
                <w:rFonts w:eastAsia="Times New Roman"/>
                <w:sz w:val="28"/>
                <w:szCs w:val="28"/>
                <w:lang w:val="lv-LV" w:eastAsia="lv-LV"/>
              </w:rPr>
            </w:pPr>
            <w:r w:rsidRPr="003F45F7">
              <w:rPr>
                <w:rFonts w:eastAsia="Times New Roman"/>
                <w:b/>
                <w:bCs/>
                <w:color w:val="000000"/>
                <w:sz w:val="28"/>
                <w:szCs w:val="28"/>
                <w:lang w:val="lv-LV" w:eastAsia="lv-LV"/>
              </w:rPr>
              <w:t>II. Tiesību akta projekta ietekme uz sabiedrību, tautsaimniecības attīstību un administratīvo slogu</w:t>
            </w:r>
          </w:p>
        </w:tc>
      </w:tr>
      <w:tr w:rsidR="00844176" w:rsidRPr="003F45F7" w14:paraId="7AC99F78" w14:textId="77777777" w:rsidTr="00C64334">
        <w:trPr>
          <w:trHeight w:val="465"/>
        </w:trPr>
        <w:tc>
          <w:tcPr>
            <w:tcW w:w="270" w:type="dxa"/>
            <w:tcBorders>
              <w:top w:val="outset" w:sz="6" w:space="0" w:color="414142"/>
              <w:left w:val="outset" w:sz="6" w:space="0" w:color="414142"/>
              <w:bottom w:val="outset" w:sz="6" w:space="0" w:color="414142"/>
              <w:right w:val="outset" w:sz="6" w:space="0" w:color="414142"/>
            </w:tcBorders>
            <w:hideMark/>
          </w:tcPr>
          <w:p w14:paraId="770690A3"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1.</w:t>
            </w:r>
          </w:p>
        </w:tc>
        <w:tc>
          <w:tcPr>
            <w:tcW w:w="2134" w:type="dxa"/>
            <w:tcBorders>
              <w:top w:val="outset" w:sz="6" w:space="0" w:color="414142"/>
              <w:left w:val="outset" w:sz="6" w:space="0" w:color="414142"/>
              <w:bottom w:val="outset" w:sz="6" w:space="0" w:color="414142"/>
              <w:right w:val="outset" w:sz="6" w:space="0" w:color="414142"/>
            </w:tcBorders>
            <w:hideMark/>
          </w:tcPr>
          <w:p w14:paraId="51E7A42A"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 xml:space="preserve">Sabiedrības </w:t>
            </w:r>
            <w:proofErr w:type="spellStart"/>
            <w:r w:rsidRPr="003F45F7">
              <w:rPr>
                <w:rFonts w:eastAsia="Times New Roman"/>
                <w:color w:val="000000"/>
                <w:sz w:val="28"/>
                <w:szCs w:val="28"/>
                <w:lang w:val="lv-LV" w:eastAsia="lv-LV"/>
              </w:rPr>
              <w:t>mērķgrupas</w:t>
            </w:r>
            <w:proofErr w:type="spellEnd"/>
            <w:r w:rsidRPr="003F45F7">
              <w:rPr>
                <w:rFonts w:eastAsia="Times New Roman"/>
                <w:color w:val="000000"/>
                <w:sz w:val="28"/>
                <w:szCs w:val="28"/>
                <w:lang w:val="lv-LV" w:eastAsia="lv-LV"/>
              </w:rPr>
              <w:t>, kuras tiesiskais regulējums ietekmē vai varētu ietekmēt</w:t>
            </w:r>
          </w:p>
        </w:tc>
        <w:tc>
          <w:tcPr>
            <w:tcW w:w="6944" w:type="dxa"/>
            <w:tcBorders>
              <w:top w:val="outset" w:sz="6" w:space="0" w:color="414142"/>
              <w:left w:val="outset" w:sz="6" w:space="0" w:color="414142"/>
              <w:bottom w:val="outset" w:sz="6" w:space="0" w:color="414142"/>
              <w:right w:val="outset" w:sz="6" w:space="0" w:color="414142"/>
            </w:tcBorders>
            <w:hideMark/>
          </w:tcPr>
          <w:p w14:paraId="3E91CF47" w14:textId="788679AE" w:rsidR="00844176" w:rsidRPr="003F45F7" w:rsidRDefault="00844176" w:rsidP="006640F1">
            <w:pPr>
              <w:ind w:right="201"/>
              <w:jc w:val="both"/>
              <w:rPr>
                <w:sz w:val="28"/>
                <w:szCs w:val="28"/>
                <w:lang w:val="lv-LV"/>
              </w:rPr>
            </w:pPr>
            <w:r w:rsidRPr="003F45F7">
              <w:rPr>
                <w:sz w:val="28"/>
                <w:szCs w:val="28"/>
                <w:lang w:val="lv-LV"/>
              </w:rPr>
              <w:t xml:space="preserve">Latvijā reģistrēti saimnieciskās darbības veicēji, </w:t>
            </w:r>
            <w:r w:rsidR="00B86997">
              <w:rPr>
                <w:sz w:val="28"/>
                <w:szCs w:val="28"/>
                <w:lang w:val="lv-LV"/>
              </w:rPr>
              <w:t>akciju sabiedrība</w:t>
            </w:r>
            <w:r w:rsidR="00B77807" w:rsidRPr="003F45F7">
              <w:rPr>
                <w:sz w:val="28"/>
                <w:szCs w:val="28"/>
                <w:lang w:val="lv-LV"/>
              </w:rPr>
              <w:t xml:space="preserve"> “Attīstības finanšu institūcija </w:t>
            </w:r>
            <w:proofErr w:type="spellStart"/>
            <w:r w:rsidR="00B77807" w:rsidRPr="003F45F7">
              <w:rPr>
                <w:sz w:val="28"/>
                <w:szCs w:val="28"/>
                <w:lang w:val="lv-LV"/>
              </w:rPr>
              <w:t>Altum</w:t>
            </w:r>
            <w:proofErr w:type="spellEnd"/>
            <w:r w:rsidR="00B77807" w:rsidRPr="003F45F7">
              <w:rPr>
                <w:sz w:val="28"/>
                <w:szCs w:val="28"/>
                <w:lang w:val="lv-LV"/>
              </w:rPr>
              <w:t>”.</w:t>
            </w:r>
          </w:p>
        </w:tc>
      </w:tr>
      <w:tr w:rsidR="00844176" w:rsidRPr="003F45F7" w14:paraId="17B9E99D" w14:textId="77777777" w:rsidTr="00C64334">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23F7C624"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2.</w:t>
            </w:r>
          </w:p>
        </w:tc>
        <w:tc>
          <w:tcPr>
            <w:tcW w:w="2134" w:type="dxa"/>
            <w:tcBorders>
              <w:top w:val="outset" w:sz="6" w:space="0" w:color="414142"/>
              <w:left w:val="outset" w:sz="6" w:space="0" w:color="414142"/>
              <w:bottom w:val="outset" w:sz="6" w:space="0" w:color="414142"/>
              <w:right w:val="outset" w:sz="6" w:space="0" w:color="414142"/>
            </w:tcBorders>
            <w:hideMark/>
          </w:tcPr>
          <w:p w14:paraId="73791D2E"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Tiesiskā regulējuma ietekme uz tautsaimniecību un administratīvo slogu</w:t>
            </w:r>
          </w:p>
        </w:tc>
        <w:tc>
          <w:tcPr>
            <w:tcW w:w="6944" w:type="dxa"/>
            <w:tcBorders>
              <w:top w:val="outset" w:sz="6" w:space="0" w:color="414142"/>
              <w:left w:val="outset" w:sz="6" w:space="0" w:color="414142"/>
              <w:bottom w:val="outset" w:sz="6" w:space="0" w:color="414142"/>
              <w:right w:val="outset" w:sz="6" w:space="0" w:color="414142"/>
            </w:tcBorders>
            <w:hideMark/>
          </w:tcPr>
          <w:p w14:paraId="1AB47359" w14:textId="1E08AD8B" w:rsidR="00844176" w:rsidRPr="003F45F7" w:rsidRDefault="00B77807" w:rsidP="003F45F7">
            <w:pPr>
              <w:pStyle w:val="BodyText"/>
              <w:ind w:right="201"/>
              <w:rPr>
                <w:rFonts w:eastAsia="Calibri"/>
                <w:szCs w:val="28"/>
                <w:lang w:eastAsia="en-US"/>
              </w:rPr>
            </w:pPr>
            <w:r w:rsidRPr="003F45F7">
              <w:rPr>
                <w:rFonts w:eastAsia="Calibri"/>
                <w:szCs w:val="28"/>
                <w:lang w:eastAsia="en-US"/>
              </w:rPr>
              <w:t>Noteikumu projekts šo jomu neskar.</w:t>
            </w:r>
          </w:p>
        </w:tc>
      </w:tr>
      <w:tr w:rsidR="00844176" w:rsidRPr="003F45F7" w14:paraId="3D6187D5" w14:textId="77777777" w:rsidTr="00C64334">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243DC10"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3.</w:t>
            </w:r>
          </w:p>
        </w:tc>
        <w:tc>
          <w:tcPr>
            <w:tcW w:w="2134" w:type="dxa"/>
            <w:tcBorders>
              <w:top w:val="outset" w:sz="6" w:space="0" w:color="414142"/>
              <w:left w:val="outset" w:sz="6" w:space="0" w:color="414142"/>
              <w:bottom w:val="outset" w:sz="6" w:space="0" w:color="414142"/>
              <w:right w:val="outset" w:sz="6" w:space="0" w:color="414142"/>
            </w:tcBorders>
            <w:hideMark/>
          </w:tcPr>
          <w:p w14:paraId="105E3C37"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Administratīvo izmaksu monetārs novērtējums</w:t>
            </w:r>
          </w:p>
        </w:tc>
        <w:tc>
          <w:tcPr>
            <w:tcW w:w="6944" w:type="dxa"/>
            <w:tcBorders>
              <w:top w:val="outset" w:sz="6" w:space="0" w:color="414142"/>
              <w:left w:val="outset" w:sz="6" w:space="0" w:color="414142"/>
              <w:bottom w:val="outset" w:sz="6" w:space="0" w:color="414142"/>
              <w:right w:val="outset" w:sz="6" w:space="0" w:color="414142"/>
            </w:tcBorders>
            <w:hideMark/>
          </w:tcPr>
          <w:p w14:paraId="0A38BAC3" w14:textId="0F4B269B" w:rsidR="00844176" w:rsidRPr="003F45F7" w:rsidRDefault="00B86997" w:rsidP="006640F1">
            <w:pPr>
              <w:pStyle w:val="BodyText"/>
              <w:ind w:right="201"/>
              <w:rPr>
                <w:rFonts w:eastAsia="Calibri"/>
                <w:szCs w:val="28"/>
                <w:lang w:eastAsia="en-US"/>
              </w:rPr>
            </w:pPr>
            <w:r w:rsidRPr="00B86997">
              <w:rPr>
                <w:rFonts w:eastAsia="Calibri"/>
                <w:szCs w:val="28"/>
                <w:lang w:eastAsia="en-US"/>
              </w:rPr>
              <w:t>Noteikumu projekts šo jomu neskar.</w:t>
            </w:r>
          </w:p>
        </w:tc>
      </w:tr>
      <w:tr w:rsidR="00844176" w:rsidRPr="003F45F7" w14:paraId="4B29DDB0" w14:textId="77777777" w:rsidTr="00C64334">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61A4CAAC"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4.</w:t>
            </w:r>
          </w:p>
        </w:tc>
        <w:tc>
          <w:tcPr>
            <w:tcW w:w="2134" w:type="dxa"/>
            <w:tcBorders>
              <w:top w:val="outset" w:sz="6" w:space="0" w:color="414142"/>
              <w:left w:val="outset" w:sz="6" w:space="0" w:color="414142"/>
              <w:bottom w:val="outset" w:sz="6" w:space="0" w:color="414142"/>
              <w:right w:val="outset" w:sz="6" w:space="0" w:color="414142"/>
            </w:tcBorders>
            <w:hideMark/>
          </w:tcPr>
          <w:p w14:paraId="0A000F97"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Cita informācija</w:t>
            </w:r>
          </w:p>
        </w:tc>
        <w:tc>
          <w:tcPr>
            <w:tcW w:w="6944" w:type="dxa"/>
            <w:tcBorders>
              <w:top w:val="outset" w:sz="6" w:space="0" w:color="414142"/>
              <w:left w:val="outset" w:sz="6" w:space="0" w:color="414142"/>
              <w:bottom w:val="outset" w:sz="6" w:space="0" w:color="414142"/>
              <w:right w:val="outset" w:sz="6" w:space="0" w:color="414142"/>
            </w:tcBorders>
            <w:hideMark/>
          </w:tcPr>
          <w:p w14:paraId="3F62C4EF" w14:textId="77777777" w:rsidR="00844176" w:rsidRPr="003F45F7" w:rsidRDefault="00844176" w:rsidP="006640F1">
            <w:pPr>
              <w:ind w:right="201"/>
              <w:jc w:val="both"/>
              <w:rPr>
                <w:sz w:val="28"/>
                <w:szCs w:val="28"/>
                <w:lang w:val="lv-LV"/>
              </w:rPr>
            </w:pPr>
            <w:r w:rsidRPr="003F45F7">
              <w:rPr>
                <w:sz w:val="28"/>
                <w:szCs w:val="28"/>
                <w:lang w:val="lv-LV"/>
              </w:rPr>
              <w:t>Nav</w:t>
            </w:r>
          </w:p>
        </w:tc>
      </w:tr>
    </w:tbl>
    <w:p w14:paraId="1AF20C3F" w14:textId="77777777" w:rsidR="00C64334" w:rsidRPr="00C64334" w:rsidRDefault="00C64334" w:rsidP="00C64334">
      <w:pPr>
        <w:jc w:val="both"/>
        <w:rPr>
          <w:rFonts w:eastAsia="PMingLiU"/>
          <w:sz w:val="24"/>
          <w:szCs w:val="24"/>
          <w:lang w:val="lv-LV" w:eastAsia="ja-JP"/>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C64334" w:rsidRPr="00C64334" w14:paraId="09822BAD"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52CC7A71" w14:textId="77777777" w:rsidR="00C64334" w:rsidRPr="00C64334" w:rsidRDefault="00C64334" w:rsidP="00C64334">
            <w:pPr>
              <w:tabs>
                <w:tab w:val="left" w:pos="2268"/>
                <w:tab w:val="left" w:pos="2410"/>
              </w:tabs>
              <w:jc w:val="center"/>
              <w:rPr>
                <w:rFonts w:eastAsia="PMingLiU"/>
                <w:b/>
                <w:sz w:val="28"/>
                <w:szCs w:val="28"/>
                <w:lang w:val="lv-LV"/>
              </w:rPr>
            </w:pPr>
            <w:r w:rsidRPr="00C64334">
              <w:rPr>
                <w:rFonts w:eastAsia="PMingLiU"/>
                <w:b/>
                <w:bCs/>
                <w:sz w:val="28"/>
                <w:szCs w:val="28"/>
                <w:lang w:val="lv-LV" w:eastAsia="ja-JP"/>
              </w:rPr>
              <w:t>III. Tiesību akta projekta ietekme uz valsts budžetu un pašvaldību budžetiem</w:t>
            </w:r>
          </w:p>
        </w:tc>
      </w:tr>
      <w:tr w:rsidR="00C64334" w:rsidRPr="00C64334" w14:paraId="5C8EA566"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tcPr>
          <w:p w14:paraId="61D25187" w14:textId="281BC4D4" w:rsidR="00C64334" w:rsidRPr="00C64334" w:rsidRDefault="00822B60" w:rsidP="00C64334">
            <w:pPr>
              <w:tabs>
                <w:tab w:val="left" w:pos="2268"/>
                <w:tab w:val="left" w:pos="2410"/>
              </w:tabs>
              <w:jc w:val="center"/>
              <w:rPr>
                <w:rFonts w:eastAsia="PMingLiU"/>
                <w:bCs/>
                <w:sz w:val="28"/>
                <w:szCs w:val="28"/>
                <w:lang w:val="lv-LV" w:eastAsia="ja-JP"/>
              </w:rPr>
            </w:pPr>
            <w:r>
              <w:rPr>
                <w:rFonts w:eastAsia="PMingLiU"/>
                <w:bCs/>
                <w:sz w:val="28"/>
                <w:szCs w:val="28"/>
                <w:lang w:val="lv-LV" w:eastAsia="ja-JP"/>
              </w:rPr>
              <w:t>Noteikumu p</w:t>
            </w:r>
            <w:r w:rsidR="00C64334" w:rsidRPr="00C64334">
              <w:rPr>
                <w:rFonts w:eastAsia="PMingLiU"/>
                <w:bCs/>
                <w:sz w:val="28"/>
                <w:szCs w:val="28"/>
                <w:lang w:val="lv-LV" w:eastAsia="ja-JP"/>
              </w:rPr>
              <w:t>rojekts šo jomu neskar.</w:t>
            </w:r>
          </w:p>
        </w:tc>
      </w:tr>
    </w:tbl>
    <w:p w14:paraId="676C0F79" w14:textId="77777777" w:rsidR="00C64334" w:rsidRPr="00C64334" w:rsidRDefault="00C64334" w:rsidP="00C64334">
      <w:pPr>
        <w:jc w:val="both"/>
        <w:rPr>
          <w:rFonts w:eastAsia="PMingLiU"/>
          <w:sz w:val="28"/>
          <w:szCs w:val="28"/>
          <w:lang w:val="lv-LV" w:eastAsia="ja-JP"/>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C64334" w:rsidRPr="00C64334" w14:paraId="3B00D520"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379A717F" w14:textId="77777777" w:rsidR="00C64334" w:rsidRPr="00C64334" w:rsidRDefault="00C64334" w:rsidP="00C64334">
            <w:pPr>
              <w:tabs>
                <w:tab w:val="left" w:pos="2268"/>
                <w:tab w:val="left" w:pos="2410"/>
              </w:tabs>
              <w:jc w:val="center"/>
              <w:rPr>
                <w:rFonts w:eastAsia="PMingLiU"/>
                <w:b/>
                <w:sz w:val="28"/>
                <w:szCs w:val="28"/>
                <w:lang w:val="lv-LV"/>
              </w:rPr>
            </w:pPr>
            <w:r w:rsidRPr="00C64334">
              <w:rPr>
                <w:rFonts w:eastAsia="PMingLiU"/>
                <w:b/>
                <w:bCs/>
                <w:sz w:val="28"/>
                <w:szCs w:val="28"/>
                <w:lang w:val="lv-LV" w:eastAsia="ja-JP"/>
              </w:rPr>
              <w:lastRenderedPageBreak/>
              <w:t>IV. Tiesību akta projekta ietekme uz spēkā esošo tiesību normu sistēmu</w:t>
            </w:r>
          </w:p>
        </w:tc>
      </w:tr>
      <w:tr w:rsidR="00C64334" w:rsidRPr="00C64334" w14:paraId="6BA00CE2"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tcPr>
          <w:p w14:paraId="29FD0B1C" w14:textId="67361ED6" w:rsidR="00C64334" w:rsidRPr="00C64334" w:rsidRDefault="00822B60" w:rsidP="00C64334">
            <w:pPr>
              <w:tabs>
                <w:tab w:val="left" w:pos="2268"/>
                <w:tab w:val="left" w:pos="2410"/>
              </w:tabs>
              <w:jc w:val="center"/>
              <w:rPr>
                <w:rFonts w:eastAsia="PMingLiU"/>
                <w:bCs/>
                <w:sz w:val="28"/>
                <w:szCs w:val="28"/>
                <w:lang w:val="lv-LV" w:eastAsia="ja-JP"/>
              </w:rPr>
            </w:pPr>
            <w:r>
              <w:rPr>
                <w:rFonts w:eastAsia="PMingLiU"/>
                <w:bCs/>
                <w:sz w:val="28"/>
                <w:szCs w:val="28"/>
                <w:lang w:val="lv-LV" w:eastAsia="ja-JP"/>
              </w:rPr>
              <w:t>Noteikumu p</w:t>
            </w:r>
            <w:r w:rsidR="00C64334" w:rsidRPr="00C64334">
              <w:rPr>
                <w:rFonts w:eastAsia="PMingLiU"/>
                <w:bCs/>
                <w:sz w:val="28"/>
                <w:szCs w:val="28"/>
                <w:lang w:val="lv-LV" w:eastAsia="ja-JP"/>
              </w:rPr>
              <w:t>rojekts šo jomu neskar.</w:t>
            </w:r>
          </w:p>
        </w:tc>
      </w:tr>
    </w:tbl>
    <w:p w14:paraId="761B2087" w14:textId="77777777" w:rsidR="00C64334" w:rsidRPr="00C64334" w:rsidRDefault="00C64334" w:rsidP="00C64334">
      <w:pPr>
        <w:jc w:val="both"/>
        <w:rPr>
          <w:rFonts w:eastAsia="PMingLiU"/>
          <w:sz w:val="24"/>
          <w:szCs w:val="24"/>
          <w:lang w:val="lv-LV" w:eastAsia="ja-JP"/>
        </w:rPr>
      </w:pPr>
    </w:p>
    <w:p w14:paraId="405D6DEB" w14:textId="77777777" w:rsidR="00844176" w:rsidRPr="003F45F7" w:rsidRDefault="00844176" w:rsidP="00844176">
      <w:pPr>
        <w:rPr>
          <w:rFonts w:eastAsia="Times New Roman"/>
          <w:sz w:val="28"/>
          <w:szCs w:val="28"/>
          <w:lang w:val="lv-LV" w:eastAsia="lv-LV"/>
        </w:rPr>
      </w:pPr>
    </w:p>
    <w:tbl>
      <w:tblPr>
        <w:tblW w:w="934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1"/>
        <w:gridCol w:w="2985"/>
        <w:gridCol w:w="6082"/>
      </w:tblGrid>
      <w:tr w:rsidR="00844176" w:rsidRPr="003F45F7" w14:paraId="73DEEB8B" w14:textId="77777777" w:rsidTr="003F45F7">
        <w:tc>
          <w:tcPr>
            <w:tcW w:w="9348" w:type="dxa"/>
            <w:gridSpan w:val="3"/>
            <w:tcBorders>
              <w:top w:val="outset" w:sz="6" w:space="0" w:color="414142"/>
              <w:left w:val="outset" w:sz="6" w:space="0" w:color="414142"/>
              <w:bottom w:val="outset" w:sz="6" w:space="0" w:color="414142"/>
              <w:right w:val="outset" w:sz="6" w:space="0" w:color="414142"/>
            </w:tcBorders>
            <w:hideMark/>
          </w:tcPr>
          <w:p w14:paraId="5B4EAA0F" w14:textId="77777777" w:rsidR="00844176" w:rsidRPr="003F45F7" w:rsidRDefault="00844176" w:rsidP="00A459E6">
            <w:pPr>
              <w:spacing w:before="100" w:beforeAutospacing="1" w:after="100" w:afterAutospacing="1"/>
              <w:ind w:firstLine="300"/>
              <w:jc w:val="center"/>
              <w:rPr>
                <w:rFonts w:eastAsia="Times New Roman"/>
                <w:sz w:val="28"/>
                <w:szCs w:val="28"/>
                <w:lang w:val="lv-LV" w:eastAsia="lv-LV"/>
              </w:rPr>
            </w:pPr>
            <w:r w:rsidRPr="003F45F7">
              <w:rPr>
                <w:rFonts w:eastAsia="Times New Roman"/>
                <w:b/>
                <w:bCs/>
                <w:color w:val="000000"/>
                <w:sz w:val="28"/>
                <w:szCs w:val="28"/>
                <w:lang w:val="lv-LV" w:eastAsia="lv-LV"/>
              </w:rPr>
              <w:t>V. Tiesību akta projekta atbilstība Latvijas Republikas starptautiskajām saistībām</w:t>
            </w:r>
          </w:p>
        </w:tc>
      </w:tr>
      <w:tr w:rsidR="00844176" w:rsidRPr="003F45F7" w14:paraId="6E5D1512" w14:textId="77777777" w:rsidTr="003F45F7">
        <w:tc>
          <w:tcPr>
            <w:tcW w:w="281" w:type="dxa"/>
            <w:tcBorders>
              <w:top w:val="outset" w:sz="6" w:space="0" w:color="414142"/>
              <w:left w:val="outset" w:sz="6" w:space="0" w:color="414142"/>
              <w:bottom w:val="outset" w:sz="6" w:space="0" w:color="414142"/>
              <w:right w:val="outset" w:sz="6" w:space="0" w:color="414142"/>
            </w:tcBorders>
            <w:hideMark/>
          </w:tcPr>
          <w:p w14:paraId="49FF3B7E" w14:textId="77777777" w:rsidR="00844176" w:rsidRPr="003F45F7" w:rsidRDefault="00844176" w:rsidP="00A459E6">
            <w:pPr>
              <w:rPr>
                <w:rFonts w:eastAsia="Times New Roman"/>
                <w:sz w:val="28"/>
                <w:szCs w:val="28"/>
                <w:lang w:val="lv-LV" w:eastAsia="lv-LV"/>
              </w:rPr>
            </w:pPr>
            <w:r w:rsidRPr="003F45F7">
              <w:rPr>
                <w:rFonts w:eastAsia="Times New Roman"/>
                <w:sz w:val="28"/>
                <w:szCs w:val="28"/>
                <w:lang w:val="lv-LV" w:eastAsia="lv-LV"/>
              </w:rPr>
              <w:t>1.</w:t>
            </w:r>
          </w:p>
        </w:tc>
        <w:tc>
          <w:tcPr>
            <w:tcW w:w="2985" w:type="dxa"/>
            <w:tcBorders>
              <w:top w:val="outset" w:sz="6" w:space="0" w:color="414142"/>
              <w:left w:val="outset" w:sz="6" w:space="0" w:color="414142"/>
              <w:bottom w:val="outset" w:sz="6" w:space="0" w:color="414142"/>
              <w:right w:val="outset" w:sz="6" w:space="0" w:color="414142"/>
            </w:tcBorders>
            <w:hideMark/>
          </w:tcPr>
          <w:p w14:paraId="5F9A1E53" w14:textId="77777777" w:rsidR="00844176" w:rsidRPr="003F45F7" w:rsidRDefault="00844176" w:rsidP="00A459E6">
            <w:pPr>
              <w:jc w:val="both"/>
              <w:rPr>
                <w:rFonts w:eastAsia="Times New Roman"/>
                <w:sz w:val="28"/>
                <w:szCs w:val="28"/>
                <w:lang w:val="lv-LV" w:eastAsia="lv-LV"/>
              </w:rPr>
            </w:pPr>
            <w:r w:rsidRPr="003F45F7">
              <w:rPr>
                <w:rFonts w:eastAsia="Times New Roman"/>
                <w:sz w:val="28"/>
                <w:szCs w:val="28"/>
                <w:lang w:val="lv-LV" w:eastAsia="lv-LV"/>
              </w:rPr>
              <w:t>Saistības pret Eiropas Savienību</w:t>
            </w:r>
          </w:p>
        </w:tc>
        <w:tc>
          <w:tcPr>
            <w:tcW w:w="6082" w:type="dxa"/>
            <w:tcBorders>
              <w:top w:val="outset" w:sz="6" w:space="0" w:color="414142"/>
              <w:left w:val="outset" w:sz="6" w:space="0" w:color="414142"/>
              <w:bottom w:val="outset" w:sz="6" w:space="0" w:color="414142"/>
              <w:right w:val="outset" w:sz="6" w:space="0" w:color="414142"/>
            </w:tcBorders>
            <w:hideMark/>
          </w:tcPr>
          <w:p w14:paraId="368A2FEB" w14:textId="1B910B8C" w:rsidR="00844176" w:rsidRPr="003F45F7" w:rsidRDefault="00F117F6" w:rsidP="00A459E6">
            <w:pPr>
              <w:ind w:left="177" w:right="92"/>
              <w:jc w:val="both"/>
              <w:rPr>
                <w:sz w:val="28"/>
                <w:szCs w:val="28"/>
                <w:lang w:val="lv-LV"/>
              </w:rPr>
            </w:pPr>
            <w:r w:rsidRPr="003F45F7">
              <w:rPr>
                <w:sz w:val="28"/>
                <w:szCs w:val="28"/>
                <w:lang w:val="lv-LV"/>
              </w:rPr>
              <w:t xml:space="preserve">Ar normatīvo aktu tiek ieviestas prasības no </w:t>
            </w:r>
            <w:r w:rsidR="00596582" w:rsidRPr="00596582">
              <w:rPr>
                <w:sz w:val="28"/>
                <w:szCs w:val="28"/>
                <w:lang w:val="lv-LV"/>
              </w:rPr>
              <w:t>Komisi</w:t>
            </w:r>
            <w:r w:rsidR="00596582">
              <w:rPr>
                <w:sz w:val="28"/>
                <w:szCs w:val="28"/>
                <w:lang w:val="lv-LV"/>
              </w:rPr>
              <w:t>jas 2014. gada 17. jūnija Regulas</w:t>
            </w:r>
            <w:r w:rsidR="00596582" w:rsidRPr="00596582">
              <w:rPr>
                <w:sz w:val="28"/>
                <w:szCs w:val="28"/>
                <w:lang w:val="lv-LV"/>
              </w:rPr>
              <w:t xml:space="preserve"> (ES) Nr. 651/2014, ar ko noteiktas atbalsta kategorijas atzīst par saderīgām ar iekšējo tirgu, piemērojot Līguma 107. un 108. pantu (Eiropas Savienības Oficiālais Vēstnesis, 20</w:t>
            </w:r>
            <w:r w:rsidR="00596582">
              <w:rPr>
                <w:sz w:val="28"/>
                <w:szCs w:val="28"/>
                <w:lang w:val="lv-LV"/>
              </w:rPr>
              <w:t>14. gada 26. jūnijs, Nr. L 187)</w:t>
            </w:r>
            <w:r w:rsidR="001840C6">
              <w:rPr>
                <w:sz w:val="28"/>
                <w:szCs w:val="28"/>
                <w:lang w:val="lv-LV"/>
              </w:rPr>
              <w:t xml:space="preserve"> </w:t>
            </w:r>
          </w:p>
        </w:tc>
      </w:tr>
      <w:tr w:rsidR="00844176" w:rsidRPr="003F45F7" w14:paraId="2AC6A840" w14:textId="77777777" w:rsidTr="003F45F7">
        <w:tc>
          <w:tcPr>
            <w:tcW w:w="281" w:type="dxa"/>
            <w:tcBorders>
              <w:top w:val="outset" w:sz="6" w:space="0" w:color="414142"/>
              <w:left w:val="outset" w:sz="6" w:space="0" w:color="414142"/>
              <w:bottom w:val="outset" w:sz="6" w:space="0" w:color="414142"/>
              <w:right w:val="outset" w:sz="6" w:space="0" w:color="414142"/>
            </w:tcBorders>
            <w:hideMark/>
          </w:tcPr>
          <w:p w14:paraId="03FE576B" w14:textId="77777777" w:rsidR="00844176" w:rsidRPr="003F45F7" w:rsidRDefault="00844176" w:rsidP="00A459E6">
            <w:pPr>
              <w:rPr>
                <w:rFonts w:eastAsia="Times New Roman"/>
                <w:sz w:val="28"/>
                <w:szCs w:val="28"/>
                <w:lang w:val="lv-LV" w:eastAsia="lv-LV"/>
              </w:rPr>
            </w:pPr>
            <w:r w:rsidRPr="003F45F7">
              <w:rPr>
                <w:rFonts w:eastAsia="Times New Roman"/>
                <w:sz w:val="28"/>
                <w:szCs w:val="28"/>
                <w:lang w:val="lv-LV" w:eastAsia="lv-LV"/>
              </w:rPr>
              <w:t>2.</w:t>
            </w:r>
          </w:p>
        </w:tc>
        <w:tc>
          <w:tcPr>
            <w:tcW w:w="2985" w:type="dxa"/>
            <w:tcBorders>
              <w:top w:val="outset" w:sz="6" w:space="0" w:color="414142"/>
              <w:left w:val="outset" w:sz="6" w:space="0" w:color="414142"/>
              <w:bottom w:val="outset" w:sz="6" w:space="0" w:color="414142"/>
              <w:right w:val="outset" w:sz="6" w:space="0" w:color="414142"/>
            </w:tcBorders>
            <w:hideMark/>
          </w:tcPr>
          <w:p w14:paraId="4F6C4B5C" w14:textId="77777777" w:rsidR="00844176" w:rsidRPr="003F45F7" w:rsidRDefault="00844176" w:rsidP="00A459E6">
            <w:pPr>
              <w:jc w:val="both"/>
              <w:rPr>
                <w:rFonts w:eastAsia="Times New Roman"/>
                <w:sz w:val="28"/>
                <w:szCs w:val="28"/>
                <w:lang w:val="lv-LV" w:eastAsia="lv-LV"/>
              </w:rPr>
            </w:pPr>
            <w:r w:rsidRPr="003F45F7">
              <w:rPr>
                <w:rFonts w:eastAsia="Times New Roman"/>
                <w:sz w:val="28"/>
                <w:szCs w:val="28"/>
                <w:lang w:val="lv-LV" w:eastAsia="lv-LV"/>
              </w:rPr>
              <w:t>Citas starptautiskās saistības</w:t>
            </w:r>
          </w:p>
        </w:tc>
        <w:tc>
          <w:tcPr>
            <w:tcW w:w="6082" w:type="dxa"/>
            <w:tcBorders>
              <w:top w:val="outset" w:sz="6" w:space="0" w:color="414142"/>
              <w:left w:val="outset" w:sz="6" w:space="0" w:color="414142"/>
              <w:bottom w:val="outset" w:sz="6" w:space="0" w:color="414142"/>
              <w:right w:val="outset" w:sz="6" w:space="0" w:color="414142"/>
            </w:tcBorders>
            <w:hideMark/>
          </w:tcPr>
          <w:p w14:paraId="0893D7B3" w14:textId="77777777" w:rsidR="00844176" w:rsidRPr="003F45F7" w:rsidRDefault="00844176" w:rsidP="00A459E6">
            <w:pPr>
              <w:ind w:left="177" w:right="92"/>
              <w:jc w:val="both"/>
              <w:rPr>
                <w:rFonts w:eastAsia="Times New Roman"/>
                <w:sz w:val="28"/>
                <w:szCs w:val="28"/>
                <w:lang w:val="lv-LV" w:eastAsia="lv-LV"/>
              </w:rPr>
            </w:pPr>
            <w:r w:rsidRPr="003F45F7">
              <w:rPr>
                <w:rFonts w:eastAsia="Times New Roman"/>
                <w:sz w:val="28"/>
                <w:szCs w:val="28"/>
                <w:lang w:val="lv-LV" w:eastAsia="lv-LV"/>
              </w:rPr>
              <w:t>Projekts šo jomu neskar.</w:t>
            </w:r>
          </w:p>
        </w:tc>
      </w:tr>
      <w:tr w:rsidR="00844176" w:rsidRPr="003F45F7" w14:paraId="54A4C739" w14:textId="77777777" w:rsidTr="003F45F7">
        <w:tc>
          <w:tcPr>
            <w:tcW w:w="281" w:type="dxa"/>
            <w:tcBorders>
              <w:top w:val="outset" w:sz="6" w:space="0" w:color="414142"/>
              <w:left w:val="outset" w:sz="6" w:space="0" w:color="414142"/>
              <w:bottom w:val="outset" w:sz="6" w:space="0" w:color="414142"/>
              <w:right w:val="outset" w:sz="6" w:space="0" w:color="414142"/>
            </w:tcBorders>
            <w:hideMark/>
          </w:tcPr>
          <w:p w14:paraId="223157E6" w14:textId="77777777" w:rsidR="00844176" w:rsidRPr="003F45F7" w:rsidRDefault="00844176" w:rsidP="00A459E6">
            <w:pPr>
              <w:rPr>
                <w:rFonts w:eastAsia="Times New Roman"/>
                <w:sz w:val="28"/>
                <w:szCs w:val="28"/>
                <w:lang w:val="lv-LV" w:eastAsia="lv-LV"/>
              </w:rPr>
            </w:pPr>
            <w:r w:rsidRPr="003F45F7">
              <w:rPr>
                <w:rFonts w:eastAsia="Times New Roman"/>
                <w:sz w:val="28"/>
                <w:szCs w:val="28"/>
                <w:lang w:val="lv-LV" w:eastAsia="lv-LV"/>
              </w:rPr>
              <w:t>3.</w:t>
            </w:r>
          </w:p>
        </w:tc>
        <w:tc>
          <w:tcPr>
            <w:tcW w:w="2985" w:type="dxa"/>
            <w:tcBorders>
              <w:top w:val="outset" w:sz="6" w:space="0" w:color="414142"/>
              <w:left w:val="outset" w:sz="6" w:space="0" w:color="414142"/>
              <w:bottom w:val="outset" w:sz="6" w:space="0" w:color="414142"/>
              <w:right w:val="outset" w:sz="6" w:space="0" w:color="414142"/>
            </w:tcBorders>
            <w:hideMark/>
          </w:tcPr>
          <w:p w14:paraId="5A05D251" w14:textId="77777777" w:rsidR="00844176" w:rsidRPr="003F45F7" w:rsidRDefault="00844176" w:rsidP="00A459E6">
            <w:pPr>
              <w:jc w:val="both"/>
              <w:rPr>
                <w:rFonts w:eastAsia="Times New Roman"/>
                <w:sz w:val="28"/>
                <w:szCs w:val="28"/>
                <w:lang w:val="lv-LV" w:eastAsia="lv-LV"/>
              </w:rPr>
            </w:pPr>
            <w:r w:rsidRPr="003F45F7">
              <w:rPr>
                <w:rFonts w:eastAsia="Times New Roman"/>
                <w:sz w:val="28"/>
                <w:szCs w:val="28"/>
                <w:lang w:val="lv-LV" w:eastAsia="lv-LV"/>
              </w:rPr>
              <w:t>Cita informācija</w:t>
            </w:r>
          </w:p>
        </w:tc>
        <w:tc>
          <w:tcPr>
            <w:tcW w:w="6082" w:type="dxa"/>
            <w:tcBorders>
              <w:top w:val="outset" w:sz="6" w:space="0" w:color="414142"/>
              <w:left w:val="outset" w:sz="6" w:space="0" w:color="414142"/>
              <w:bottom w:val="outset" w:sz="6" w:space="0" w:color="414142"/>
              <w:right w:val="outset" w:sz="6" w:space="0" w:color="414142"/>
            </w:tcBorders>
            <w:hideMark/>
          </w:tcPr>
          <w:p w14:paraId="2C625D5F" w14:textId="7A391959" w:rsidR="00844176" w:rsidRPr="00103D33" w:rsidRDefault="00103D33" w:rsidP="00103D33">
            <w:pPr>
              <w:shd w:val="clear" w:color="auto" w:fill="FFFFFF"/>
              <w:ind w:right="113"/>
              <w:jc w:val="both"/>
              <w:rPr>
                <w:sz w:val="28"/>
                <w:szCs w:val="28"/>
              </w:rPr>
            </w:pPr>
            <w:r>
              <w:rPr>
                <w:sz w:val="28"/>
                <w:szCs w:val="28"/>
              </w:rPr>
              <w:t xml:space="preserve">   </w:t>
            </w:r>
            <w:r w:rsidRPr="00103D33">
              <w:rPr>
                <w:sz w:val="28"/>
                <w:szCs w:val="28"/>
              </w:rPr>
              <w:t>Nav.</w:t>
            </w:r>
          </w:p>
        </w:tc>
      </w:tr>
    </w:tbl>
    <w:p w14:paraId="2CFEC8F1" w14:textId="77777777" w:rsidR="00F117F6" w:rsidRPr="003F45F7" w:rsidRDefault="00844176" w:rsidP="00844176">
      <w:pPr>
        <w:rPr>
          <w:rFonts w:eastAsia="Times New Roman"/>
          <w:color w:val="000000"/>
          <w:sz w:val="28"/>
          <w:szCs w:val="28"/>
          <w:lang w:val="lv-LV" w:eastAsia="lv-LV"/>
        </w:rPr>
      </w:pPr>
      <w:r w:rsidRPr="003F45F7">
        <w:rPr>
          <w:rFonts w:eastAsia="Times New Roman"/>
          <w:color w:val="000000"/>
          <w:sz w:val="28"/>
          <w:szCs w:val="28"/>
          <w:lang w:val="lv-LV" w:eastAsia="lv-LV"/>
        </w:rPr>
        <w:t> </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2161"/>
        <w:gridCol w:w="2249"/>
        <w:gridCol w:w="2505"/>
      </w:tblGrid>
      <w:tr w:rsidR="00F117F6" w:rsidRPr="00F117F6" w14:paraId="656AFAB3" w14:textId="77777777" w:rsidTr="00255234">
        <w:tc>
          <w:tcPr>
            <w:tcW w:w="9208" w:type="dxa"/>
            <w:gridSpan w:val="4"/>
            <w:tcBorders>
              <w:top w:val="single" w:sz="4" w:space="0" w:color="auto"/>
              <w:left w:val="single" w:sz="4" w:space="0" w:color="auto"/>
              <w:bottom w:val="single" w:sz="4" w:space="0" w:color="auto"/>
              <w:right w:val="single" w:sz="4" w:space="0" w:color="auto"/>
            </w:tcBorders>
            <w:hideMark/>
          </w:tcPr>
          <w:p w14:paraId="456F99C5" w14:textId="77777777" w:rsidR="00F117F6" w:rsidRPr="00F117F6" w:rsidRDefault="00F117F6" w:rsidP="00F117F6">
            <w:pPr>
              <w:jc w:val="center"/>
              <w:rPr>
                <w:rFonts w:eastAsia="Times New Roman"/>
                <w:color w:val="000000"/>
                <w:sz w:val="28"/>
                <w:szCs w:val="28"/>
                <w:lang w:val="lv-LV"/>
              </w:rPr>
            </w:pPr>
            <w:r w:rsidRPr="00F117F6">
              <w:rPr>
                <w:rFonts w:eastAsia="Times New Roman"/>
                <w:b/>
                <w:color w:val="000000"/>
                <w:sz w:val="28"/>
                <w:szCs w:val="28"/>
                <w:lang w:val="lv-LV"/>
              </w:rPr>
              <w:t>1.tabula. Tiesību akta projekta atbilstība ES tiesību aktiem</w:t>
            </w:r>
          </w:p>
        </w:tc>
      </w:tr>
      <w:tr w:rsidR="00F117F6" w:rsidRPr="00F117F6" w14:paraId="46F792AA" w14:textId="77777777" w:rsidTr="003B3F05">
        <w:tc>
          <w:tcPr>
            <w:tcW w:w="2293" w:type="dxa"/>
            <w:tcBorders>
              <w:top w:val="single" w:sz="4" w:space="0" w:color="auto"/>
              <w:left w:val="single" w:sz="4" w:space="0" w:color="auto"/>
              <w:bottom w:val="single" w:sz="4" w:space="0" w:color="auto"/>
              <w:right w:val="single" w:sz="4" w:space="0" w:color="auto"/>
            </w:tcBorders>
            <w:hideMark/>
          </w:tcPr>
          <w:p w14:paraId="54208097" w14:textId="77777777" w:rsidR="00F117F6" w:rsidRPr="00F117F6" w:rsidRDefault="00F117F6" w:rsidP="00F117F6">
            <w:pPr>
              <w:rPr>
                <w:rFonts w:eastAsia="PMingLiU"/>
                <w:color w:val="000000"/>
                <w:sz w:val="28"/>
                <w:szCs w:val="28"/>
                <w:lang w:val="lv-LV"/>
              </w:rPr>
            </w:pPr>
            <w:r w:rsidRPr="00F117F6">
              <w:rPr>
                <w:rFonts w:eastAsia="PMingLiU"/>
                <w:color w:val="000000"/>
                <w:sz w:val="28"/>
                <w:szCs w:val="28"/>
                <w:lang w:val="lv-LV" w:eastAsia="ja-JP"/>
              </w:rPr>
              <w:t>Attiecīgā ES tiesību akta datums, numurs un nosaukums</w:t>
            </w:r>
          </w:p>
        </w:tc>
        <w:tc>
          <w:tcPr>
            <w:tcW w:w="6915" w:type="dxa"/>
            <w:gridSpan w:val="3"/>
            <w:tcBorders>
              <w:top w:val="single" w:sz="4" w:space="0" w:color="auto"/>
              <w:left w:val="single" w:sz="4" w:space="0" w:color="auto"/>
              <w:bottom w:val="single" w:sz="4" w:space="0" w:color="auto"/>
              <w:right w:val="single" w:sz="4" w:space="0" w:color="auto"/>
            </w:tcBorders>
            <w:hideMark/>
          </w:tcPr>
          <w:p w14:paraId="7DF1F958" w14:textId="77777777" w:rsidR="00F117F6" w:rsidRPr="00F117F6" w:rsidRDefault="00F117F6" w:rsidP="00F117F6">
            <w:pPr>
              <w:jc w:val="both"/>
              <w:rPr>
                <w:rFonts w:eastAsia="Times New Roman"/>
                <w:color w:val="000000"/>
                <w:sz w:val="28"/>
                <w:szCs w:val="28"/>
                <w:lang w:val="lv-LV"/>
              </w:rPr>
            </w:pPr>
            <w:r w:rsidRPr="00F117F6">
              <w:rPr>
                <w:rFonts w:eastAsia="Times New Roman"/>
                <w:sz w:val="28"/>
                <w:szCs w:val="28"/>
                <w:lang w:val="lv-LV" w:eastAsia="lv-LV"/>
              </w:rPr>
              <w:t>Ar normatīvo aktu tiek ieviestas prasības no Regulas Nr.651/2014.</w:t>
            </w:r>
          </w:p>
        </w:tc>
      </w:tr>
      <w:tr w:rsidR="00F117F6" w:rsidRPr="00F117F6" w14:paraId="0329A0DA" w14:textId="77777777" w:rsidTr="003B3F05">
        <w:tc>
          <w:tcPr>
            <w:tcW w:w="2293" w:type="dxa"/>
            <w:tcBorders>
              <w:top w:val="single" w:sz="4" w:space="0" w:color="auto"/>
              <w:left w:val="single" w:sz="4" w:space="0" w:color="auto"/>
              <w:bottom w:val="single" w:sz="4" w:space="0" w:color="auto"/>
              <w:right w:val="single" w:sz="4" w:space="0" w:color="auto"/>
            </w:tcBorders>
            <w:hideMark/>
          </w:tcPr>
          <w:p w14:paraId="22C25A9A" w14:textId="77777777" w:rsidR="00F117F6" w:rsidRPr="00F117F6" w:rsidRDefault="00F117F6" w:rsidP="00F117F6">
            <w:pPr>
              <w:jc w:val="center"/>
              <w:rPr>
                <w:rFonts w:eastAsia="PMingLiU"/>
                <w:color w:val="000000"/>
                <w:sz w:val="28"/>
                <w:szCs w:val="28"/>
                <w:lang w:val="lv-LV"/>
              </w:rPr>
            </w:pPr>
            <w:r w:rsidRPr="00F117F6">
              <w:rPr>
                <w:rFonts w:eastAsia="PMingLiU"/>
                <w:color w:val="000000"/>
                <w:sz w:val="28"/>
                <w:szCs w:val="28"/>
                <w:lang w:val="lv-LV" w:eastAsia="ja-JP"/>
              </w:rPr>
              <w:t>A</w:t>
            </w:r>
          </w:p>
        </w:tc>
        <w:tc>
          <w:tcPr>
            <w:tcW w:w="2161" w:type="dxa"/>
            <w:tcBorders>
              <w:top w:val="single" w:sz="4" w:space="0" w:color="auto"/>
              <w:left w:val="single" w:sz="4" w:space="0" w:color="auto"/>
              <w:bottom w:val="single" w:sz="4" w:space="0" w:color="auto"/>
              <w:right w:val="single" w:sz="4" w:space="0" w:color="auto"/>
            </w:tcBorders>
            <w:hideMark/>
          </w:tcPr>
          <w:p w14:paraId="151A8D6E" w14:textId="77777777" w:rsidR="00F117F6" w:rsidRPr="00F117F6" w:rsidRDefault="00F117F6" w:rsidP="00F117F6">
            <w:pPr>
              <w:jc w:val="center"/>
              <w:rPr>
                <w:rFonts w:eastAsia="PMingLiU"/>
                <w:color w:val="000000"/>
                <w:sz w:val="28"/>
                <w:szCs w:val="28"/>
                <w:lang w:val="lv-LV"/>
              </w:rPr>
            </w:pPr>
            <w:r w:rsidRPr="00F117F6">
              <w:rPr>
                <w:rFonts w:eastAsia="PMingLiU"/>
                <w:color w:val="000000"/>
                <w:sz w:val="28"/>
                <w:szCs w:val="28"/>
                <w:lang w:val="lv-LV" w:eastAsia="ja-JP"/>
              </w:rPr>
              <w:t>B</w:t>
            </w:r>
          </w:p>
        </w:tc>
        <w:tc>
          <w:tcPr>
            <w:tcW w:w="2249" w:type="dxa"/>
            <w:tcBorders>
              <w:top w:val="single" w:sz="4" w:space="0" w:color="auto"/>
              <w:left w:val="single" w:sz="4" w:space="0" w:color="auto"/>
              <w:bottom w:val="single" w:sz="4" w:space="0" w:color="auto"/>
              <w:right w:val="single" w:sz="4" w:space="0" w:color="auto"/>
            </w:tcBorders>
            <w:hideMark/>
          </w:tcPr>
          <w:p w14:paraId="36B07361" w14:textId="77777777" w:rsidR="00F117F6" w:rsidRPr="00F117F6" w:rsidRDefault="00F117F6" w:rsidP="00F117F6">
            <w:pPr>
              <w:jc w:val="center"/>
              <w:rPr>
                <w:rFonts w:eastAsia="PMingLiU"/>
                <w:color w:val="000000"/>
                <w:sz w:val="28"/>
                <w:szCs w:val="28"/>
                <w:lang w:val="lv-LV"/>
              </w:rPr>
            </w:pPr>
            <w:r w:rsidRPr="00F117F6">
              <w:rPr>
                <w:rFonts w:eastAsia="PMingLiU"/>
                <w:color w:val="000000"/>
                <w:sz w:val="28"/>
                <w:szCs w:val="28"/>
                <w:lang w:val="lv-LV" w:eastAsia="ja-JP"/>
              </w:rPr>
              <w:t>C</w:t>
            </w:r>
          </w:p>
        </w:tc>
        <w:tc>
          <w:tcPr>
            <w:tcW w:w="2505" w:type="dxa"/>
            <w:tcBorders>
              <w:top w:val="single" w:sz="4" w:space="0" w:color="auto"/>
              <w:left w:val="single" w:sz="4" w:space="0" w:color="auto"/>
              <w:bottom w:val="single" w:sz="4" w:space="0" w:color="auto"/>
              <w:right w:val="single" w:sz="4" w:space="0" w:color="auto"/>
            </w:tcBorders>
            <w:hideMark/>
          </w:tcPr>
          <w:p w14:paraId="2A470F7B" w14:textId="77777777" w:rsidR="00F117F6" w:rsidRPr="00F117F6" w:rsidRDefault="00F117F6" w:rsidP="00F117F6">
            <w:pPr>
              <w:jc w:val="center"/>
              <w:rPr>
                <w:rFonts w:eastAsia="PMingLiU"/>
                <w:color w:val="000000"/>
                <w:sz w:val="28"/>
                <w:szCs w:val="28"/>
                <w:lang w:val="lv-LV"/>
              </w:rPr>
            </w:pPr>
            <w:r w:rsidRPr="00F117F6">
              <w:rPr>
                <w:rFonts w:eastAsia="PMingLiU"/>
                <w:color w:val="000000"/>
                <w:sz w:val="28"/>
                <w:szCs w:val="28"/>
                <w:lang w:val="lv-LV" w:eastAsia="ja-JP"/>
              </w:rPr>
              <w:t>D</w:t>
            </w:r>
          </w:p>
        </w:tc>
      </w:tr>
      <w:tr w:rsidR="00F117F6" w:rsidRPr="00F117F6" w14:paraId="46528B47" w14:textId="77777777" w:rsidTr="003B3F05">
        <w:tc>
          <w:tcPr>
            <w:tcW w:w="2293" w:type="dxa"/>
            <w:tcBorders>
              <w:top w:val="single" w:sz="4" w:space="0" w:color="auto"/>
              <w:left w:val="single" w:sz="4" w:space="0" w:color="auto"/>
              <w:bottom w:val="single" w:sz="4" w:space="0" w:color="auto"/>
              <w:right w:val="single" w:sz="4" w:space="0" w:color="auto"/>
            </w:tcBorders>
            <w:hideMark/>
          </w:tcPr>
          <w:p w14:paraId="6F0C8364" w14:textId="77777777" w:rsidR="00F117F6" w:rsidRPr="00F117F6" w:rsidRDefault="00F117F6" w:rsidP="00F117F6">
            <w:pPr>
              <w:rPr>
                <w:rFonts w:eastAsia="PMingLiU"/>
                <w:color w:val="000000"/>
                <w:sz w:val="28"/>
                <w:szCs w:val="28"/>
                <w:lang w:val="lv-LV"/>
              </w:rPr>
            </w:pPr>
            <w:r w:rsidRPr="00F117F6">
              <w:rPr>
                <w:rFonts w:eastAsia="PMingLiU"/>
                <w:color w:val="000000"/>
                <w:sz w:val="28"/>
                <w:szCs w:val="28"/>
                <w:lang w:val="lv-LV" w:eastAsia="ja-JP"/>
              </w:rPr>
              <w:t xml:space="preserve">Attiecīgā ES tiesību akta panta numurs (uzskaitot katru tiesību akta </w:t>
            </w:r>
            <w:r w:rsidRPr="00F117F6">
              <w:rPr>
                <w:rFonts w:eastAsia="PMingLiU"/>
                <w:color w:val="000000"/>
                <w:sz w:val="28"/>
                <w:szCs w:val="28"/>
                <w:lang w:val="lv-LV" w:eastAsia="ja-JP"/>
              </w:rPr>
              <w:br/>
              <w:t>vienību – pantu, daļu, punktu, apakšpunktu)</w:t>
            </w:r>
          </w:p>
        </w:tc>
        <w:tc>
          <w:tcPr>
            <w:tcW w:w="2161" w:type="dxa"/>
            <w:tcBorders>
              <w:top w:val="single" w:sz="4" w:space="0" w:color="auto"/>
              <w:left w:val="single" w:sz="4" w:space="0" w:color="auto"/>
              <w:bottom w:val="single" w:sz="4" w:space="0" w:color="auto"/>
              <w:right w:val="single" w:sz="4" w:space="0" w:color="auto"/>
            </w:tcBorders>
            <w:hideMark/>
          </w:tcPr>
          <w:p w14:paraId="4E197603" w14:textId="77777777" w:rsidR="00F117F6" w:rsidRPr="00F117F6" w:rsidRDefault="00F117F6" w:rsidP="00F117F6">
            <w:pPr>
              <w:rPr>
                <w:rFonts w:eastAsia="PMingLiU"/>
                <w:color w:val="000000"/>
                <w:sz w:val="28"/>
                <w:szCs w:val="28"/>
                <w:lang w:val="lv-LV"/>
              </w:rPr>
            </w:pPr>
            <w:r w:rsidRPr="00F117F6">
              <w:rPr>
                <w:rFonts w:eastAsia="PMingLiU"/>
                <w:color w:val="000000"/>
                <w:sz w:val="28"/>
                <w:szCs w:val="28"/>
                <w:lang w:val="lv-LV" w:eastAsia="ja-JP"/>
              </w:rPr>
              <w:t>Projekta vienība, kas pārņem vai ievieš katru šīs tabulas A ailē minēto ES tiesību akta vienību, vai tiesību akts, kur attiecīgā ES tiesību akta vienība pārņemta vai ieviesta</w:t>
            </w:r>
          </w:p>
        </w:tc>
        <w:tc>
          <w:tcPr>
            <w:tcW w:w="2249" w:type="dxa"/>
            <w:tcBorders>
              <w:top w:val="single" w:sz="4" w:space="0" w:color="auto"/>
              <w:left w:val="single" w:sz="4" w:space="0" w:color="auto"/>
              <w:bottom w:val="single" w:sz="4" w:space="0" w:color="auto"/>
              <w:right w:val="single" w:sz="4" w:space="0" w:color="auto"/>
            </w:tcBorders>
            <w:hideMark/>
          </w:tcPr>
          <w:p w14:paraId="41D12409" w14:textId="77777777" w:rsidR="00F117F6" w:rsidRPr="00F117F6" w:rsidRDefault="00F117F6" w:rsidP="00F117F6">
            <w:pPr>
              <w:rPr>
                <w:rFonts w:eastAsia="PMingLiU"/>
                <w:color w:val="000000"/>
                <w:sz w:val="28"/>
                <w:szCs w:val="28"/>
                <w:lang w:val="lv-LV" w:eastAsia="ja-JP"/>
              </w:rPr>
            </w:pPr>
            <w:r w:rsidRPr="00F117F6">
              <w:rPr>
                <w:rFonts w:eastAsia="PMingLiU"/>
                <w:color w:val="000000"/>
                <w:sz w:val="28"/>
                <w:szCs w:val="28"/>
                <w:lang w:val="lv-LV" w:eastAsia="ja-JP"/>
              </w:rPr>
              <w:t>Informācija par to, vai šīs tabulas A ailē minētās ES tiesību akta vienības tiek pārņemtas vai ieviestas pilnībā vai daļēji.</w:t>
            </w:r>
          </w:p>
          <w:p w14:paraId="0F604A09" w14:textId="77777777" w:rsidR="00F117F6" w:rsidRPr="00F117F6" w:rsidRDefault="00F117F6" w:rsidP="00F117F6">
            <w:pPr>
              <w:rPr>
                <w:rFonts w:eastAsia="PMingLiU"/>
                <w:color w:val="000000"/>
                <w:sz w:val="28"/>
                <w:szCs w:val="28"/>
                <w:lang w:val="lv-LV" w:eastAsia="ja-JP"/>
              </w:rPr>
            </w:pPr>
            <w:r w:rsidRPr="00F117F6">
              <w:rPr>
                <w:rFonts w:eastAsia="PMingLiU"/>
                <w:color w:val="000000"/>
                <w:sz w:val="28"/>
                <w:szCs w:val="28"/>
                <w:lang w:val="lv-LV" w:eastAsia="ja-JP"/>
              </w:rPr>
              <w:t>Ja attiecīgā ES tiesību akta vienība tiek pārņemta vai ieviesta daļēji, – sniedz attiecīgu skaidrojumu, kā arī precīzi norāda, kad un kādā veidā ES tiesību akta vienība tiks pārņemta vai ieviesta pilnībā.</w:t>
            </w:r>
          </w:p>
          <w:p w14:paraId="7C04E9CC" w14:textId="77777777" w:rsidR="00F117F6" w:rsidRPr="00F117F6" w:rsidRDefault="00F117F6" w:rsidP="00F117F6">
            <w:pPr>
              <w:rPr>
                <w:rFonts w:eastAsia="PMingLiU"/>
                <w:color w:val="000000"/>
                <w:sz w:val="28"/>
                <w:szCs w:val="28"/>
                <w:lang w:val="lv-LV"/>
              </w:rPr>
            </w:pPr>
            <w:r w:rsidRPr="00F117F6">
              <w:rPr>
                <w:rFonts w:eastAsia="PMingLiU"/>
                <w:color w:val="000000"/>
                <w:sz w:val="28"/>
                <w:szCs w:val="28"/>
                <w:lang w:val="lv-LV" w:eastAsia="ja-JP"/>
              </w:rPr>
              <w:lastRenderedPageBreak/>
              <w:t>Norāda institūciju, kas ir atbildīga par šo saistību izpildi pilnībā</w:t>
            </w:r>
          </w:p>
        </w:tc>
        <w:tc>
          <w:tcPr>
            <w:tcW w:w="2505" w:type="dxa"/>
            <w:tcBorders>
              <w:top w:val="single" w:sz="4" w:space="0" w:color="auto"/>
              <w:left w:val="single" w:sz="4" w:space="0" w:color="auto"/>
              <w:bottom w:val="single" w:sz="4" w:space="0" w:color="auto"/>
              <w:right w:val="single" w:sz="4" w:space="0" w:color="auto"/>
            </w:tcBorders>
            <w:hideMark/>
          </w:tcPr>
          <w:p w14:paraId="638A2F98" w14:textId="77777777" w:rsidR="00F117F6" w:rsidRPr="00F117F6" w:rsidRDefault="00F117F6" w:rsidP="00F117F6">
            <w:pPr>
              <w:rPr>
                <w:rFonts w:eastAsia="PMingLiU"/>
                <w:color w:val="000000"/>
                <w:sz w:val="28"/>
                <w:szCs w:val="28"/>
                <w:lang w:val="lv-LV" w:eastAsia="ja-JP"/>
              </w:rPr>
            </w:pPr>
            <w:r w:rsidRPr="00F117F6">
              <w:rPr>
                <w:rFonts w:eastAsia="PMingLiU"/>
                <w:color w:val="000000"/>
                <w:sz w:val="28"/>
                <w:szCs w:val="28"/>
                <w:lang w:val="lv-LV" w:eastAsia="ja-JP"/>
              </w:rPr>
              <w:lastRenderedPageBreak/>
              <w:t>Informācija par to, vai šīs tabulas B ailē minētās projekta vienības paredz stingrākas prasības nekā šīs tabulas A ailē minētās ES tiesību akta vienības.</w:t>
            </w:r>
          </w:p>
          <w:p w14:paraId="4750B70E" w14:textId="77777777" w:rsidR="00F117F6" w:rsidRPr="00F117F6" w:rsidRDefault="00F117F6" w:rsidP="00F117F6">
            <w:pPr>
              <w:rPr>
                <w:rFonts w:eastAsia="PMingLiU"/>
                <w:color w:val="000000"/>
                <w:sz w:val="28"/>
                <w:szCs w:val="28"/>
                <w:lang w:val="lv-LV" w:eastAsia="ja-JP"/>
              </w:rPr>
            </w:pPr>
            <w:r w:rsidRPr="00F117F6">
              <w:rPr>
                <w:rFonts w:eastAsia="PMingLiU"/>
                <w:color w:val="000000"/>
                <w:sz w:val="28"/>
                <w:szCs w:val="28"/>
                <w:lang w:val="lv-LV" w:eastAsia="ja-JP"/>
              </w:rPr>
              <w:t>Ja projekts satur stingrākas prasības nekā attiecīgais ES tiesību akts, – norāda pamatojumu un samērīgumu.</w:t>
            </w:r>
          </w:p>
          <w:p w14:paraId="7E8B6FF2" w14:textId="77777777" w:rsidR="00F117F6" w:rsidRPr="00F117F6" w:rsidRDefault="00F117F6" w:rsidP="00F117F6">
            <w:pPr>
              <w:rPr>
                <w:rFonts w:eastAsia="PMingLiU"/>
                <w:color w:val="000000"/>
                <w:sz w:val="28"/>
                <w:szCs w:val="28"/>
                <w:lang w:val="lv-LV"/>
              </w:rPr>
            </w:pPr>
            <w:r w:rsidRPr="00F117F6">
              <w:rPr>
                <w:rFonts w:eastAsia="PMingLiU"/>
                <w:color w:val="000000"/>
                <w:sz w:val="28"/>
                <w:szCs w:val="28"/>
                <w:lang w:val="lv-LV" w:eastAsia="ja-JP"/>
              </w:rPr>
              <w:t xml:space="preserve">Norāda iespējamās alternatīvas (t.sk. alternatīvas, kas neparedz tiesiskā regulējuma izstrādi) – kādos gadījumos </w:t>
            </w:r>
            <w:r w:rsidRPr="00F117F6">
              <w:rPr>
                <w:rFonts w:eastAsia="PMingLiU"/>
                <w:color w:val="000000"/>
                <w:sz w:val="28"/>
                <w:szCs w:val="28"/>
                <w:lang w:val="lv-LV" w:eastAsia="ja-JP"/>
              </w:rPr>
              <w:lastRenderedPageBreak/>
              <w:t>būtu iespējams izvairīties no stingrāku prasību noteikšanas, nekā paredzēts attiecīgajos ES tiesību aktos</w:t>
            </w:r>
          </w:p>
        </w:tc>
      </w:tr>
      <w:tr w:rsidR="003B3F05" w:rsidRPr="00F117F6" w14:paraId="051EA3A7" w14:textId="77777777" w:rsidTr="003B3F05">
        <w:tc>
          <w:tcPr>
            <w:tcW w:w="2293" w:type="dxa"/>
            <w:tcBorders>
              <w:top w:val="single" w:sz="4" w:space="0" w:color="auto"/>
              <w:left w:val="single" w:sz="4" w:space="0" w:color="auto"/>
              <w:bottom w:val="single" w:sz="4" w:space="0" w:color="auto"/>
              <w:right w:val="single" w:sz="4" w:space="0" w:color="auto"/>
            </w:tcBorders>
          </w:tcPr>
          <w:p w14:paraId="0DD43D06" w14:textId="253A65DD" w:rsidR="003B3F05" w:rsidRPr="003B3F05" w:rsidRDefault="003B3F05" w:rsidP="003B3F05">
            <w:pPr>
              <w:rPr>
                <w:rFonts w:eastAsia="PMingLiU"/>
                <w:i/>
                <w:color w:val="000000"/>
                <w:sz w:val="28"/>
                <w:szCs w:val="28"/>
                <w:lang w:val="lv-LV" w:eastAsia="ja-JP"/>
              </w:rPr>
            </w:pPr>
            <w:r w:rsidRPr="003B3F05">
              <w:rPr>
                <w:rFonts w:eastAsia="PMingLiU"/>
                <w:i/>
                <w:color w:val="000000"/>
                <w:sz w:val="28"/>
                <w:szCs w:val="28"/>
                <w:lang w:val="lv-LV" w:eastAsia="ja-JP"/>
              </w:rPr>
              <w:lastRenderedPageBreak/>
              <w:t>Regulas Nr.651/2014 1.panta 3.punkts</w:t>
            </w:r>
          </w:p>
        </w:tc>
        <w:tc>
          <w:tcPr>
            <w:tcW w:w="2161" w:type="dxa"/>
            <w:tcBorders>
              <w:top w:val="single" w:sz="4" w:space="0" w:color="auto"/>
              <w:left w:val="single" w:sz="4" w:space="0" w:color="auto"/>
              <w:bottom w:val="single" w:sz="4" w:space="0" w:color="auto"/>
              <w:right w:val="single" w:sz="4" w:space="0" w:color="auto"/>
            </w:tcBorders>
          </w:tcPr>
          <w:p w14:paraId="2235CC8C" w14:textId="623E3910" w:rsidR="003B3F05" w:rsidRPr="003B3F05" w:rsidRDefault="003B3F05" w:rsidP="003B3F05">
            <w:pPr>
              <w:rPr>
                <w:rFonts w:eastAsia="PMingLiU"/>
                <w:i/>
                <w:color w:val="000000"/>
                <w:sz w:val="28"/>
                <w:szCs w:val="28"/>
                <w:lang w:val="lv-LV" w:eastAsia="ja-JP"/>
              </w:rPr>
            </w:pPr>
            <w:r w:rsidRPr="003B3F05">
              <w:rPr>
                <w:rFonts w:eastAsia="PMingLiU"/>
                <w:i/>
                <w:color w:val="000000"/>
                <w:sz w:val="28"/>
                <w:szCs w:val="28"/>
                <w:lang w:val="lv-LV" w:eastAsia="ja-JP"/>
              </w:rPr>
              <w:t>Noteikumu projekta 20.2.apakšpunkts</w:t>
            </w:r>
          </w:p>
        </w:tc>
        <w:tc>
          <w:tcPr>
            <w:tcW w:w="2249" w:type="dxa"/>
            <w:tcBorders>
              <w:top w:val="single" w:sz="4" w:space="0" w:color="auto"/>
              <w:left w:val="single" w:sz="4" w:space="0" w:color="auto"/>
              <w:bottom w:val="single" w:sz="4" w:space="0" w:color="auto"/>
              <w:right w:val="single" w:sz="4" w:space="0" w:color="auto"/>
            </w:tcBorders>
          </w:tcPr>
          <w:p w14:paraId="04F4E7A3" w14:textId="53390C3B" w:rsidR="003B3F05" w:rsidRPr="00F117F6" w:rsidRDefault="003B3F05" w:rsidP="003B3F05">
            <w:pPr>
              <w:jc w:val="center"/>
              <w:rPr>
                <w:rFonts w:eastAsia="PMingLiU"/>
                <w:color w:val="000000"/>
                <w:sz w:val="28"/>
                <w:szCs w:val="28"/>
                <w:lang w:val="lv-LV" w:eastAsia="ja-JP"/>
              </w:rPr>
            </w:pPr>
            <w:r w:rsidRPr="00C81AD7">
              <w:rPr>
                <w:rFonts w:eastAsia="PMingLiU"/>
                <w:i/>
                <w:color w:val="000000"/>
                <w:sz w:val="28"/>
                <w:szCs w:val="28"/>
                <w:lang w:val="lv-LV" w:eastAsia="ja-JP"/>
              </w:rPr>
              <w:t>Ieviests pilnībā.</w:t>
            </w:r>
          </w:p>
        </w:tc>
        <w:tc>
          <w:tcPr>
            <w:tcW w:w="2505" w:type="dxa"/>
            <w:tcBorders>
              <w:top w:val="single" w:sz="4" w:space="0" w:color="auto"/>
              <w:left w:val="single" w:sz="4" w:space="0" w:color="auto"/>
              <w:bottom w:val="single" w:sz="4" w:space="0" w:color="auto"/>
              <w:right w:val="single" w:sz="4" w:space="0" w:color="auto"/>
            </w:tcBorders>
          </w:tcPr>
          <w:p w14:paraId="42670459" w14:textId="4E97155D" w:rsidR="003B3F05" w:rsidRPr="00F117F6" w:rsidRDefault="003B3F05" w:rsidP="003B3F05">
            <w:pPr>
              <w:jc w:val="center"/>
              <w:rPr>
                <w:rFonts w:eastAsia="PMingLiU"/>
                <w:color w:val="000000"/>
                <w:sz w:val="28"/>
                <w:szCs w:val="28"/>
                <w:lang w:val="lv-LV" w:eastAsia="ja-JP"/>
              </w:rPr>
            </w:pPr>
            <w:r w:rsidRPr="00C81AD7">
              <w:rPr>
                <w:rFonts w:eastAsia="PMingLiU"/>
                <w:i/>
                <w:color w:val="000000"/>
                <w:sz w:val="28"/>
                <w:szCs w:val="28"/>
                <w:lang w:val="lv-LV" w:eastAsia="ja-JP"/>
              </w:rPr>
              <w:t>Neparedz stingrākas prasības</w:t>
            </w:r>
          </w:p>
        </w:tc>
      </w:tr>
      <w:tr w:rsidR="003B3F05" w:rsidRPr="00F117F6" w14:paraId="75F6A6B8" w14:textId="77777777" w:rsidTr="003B3F05">
        <w:tc>
          <w:tcPr>
            <w:tcW w:w="2293" w:type="dxa"/>
            <w:tcBorders>
              <w:top w:val="single" w:sz="4" w:space="0" w:color="auto"/>
              <w:left w:val="single" w:sz="4" w:space="0" w:color="auto"/>
              <w:bottom w:val="single" w:sz="4" w:space="0" w:color="auto"/>
              <w:right w:val="single" w:sz="4" w:space="0" w:color="auto"/>
            </w:tcBorders>
          </w:tcPr>
          <w:p w14:paraId="792A7C2B" w14:textId="3ADBE216" w:rsidR="003B3F05" w:rsidRPr="00F117F6" w:rsidRDefault="003B3F05" w:rsidP="003B3F05">
            <w:pPr>
              <w:rPr>
                <w:rFonts w:eastAsia="PMingLiU"/>
                <w:color w:val="000000"/>
                <w:sz w:val="28"/>
                <w:szCs w:val="28"/>
                <w:lang w:val="lv-LV" w:eastAsia="ja-JP"/>
              </w:rPr>
            </w:pPr>
            <w:r w:rsidRPr="00F461CD">
              <w:rPr>
                <w:rFonts w:eastAsia="PMingLiU"/>
                <w:i/>
                <w:color w:val="000000"/>
                <w:sz w:val="28"/>
                <w:szCs w:val="28"/>
                <w:lang w:val="lv-LV" w:eastAsia="ja-JP"/>
              </w:rPr>
              <w:t xml:space="preserve">Regulas Nr.651/2014 2.panta </w:t>
            </w:r>
            <w:r>
              <w:rPr>
                <w:rFonts w:eastAsia="PMingLiU"/>
                <w:i/>
                <w:color w:val="000000"/>
                <w:sz w:val="28"/>
                <w:szCs w:val="28"/>
                <w:lang w:val="lv-LV" w:eastAsia="ja-JP"/>
              </w:rPr>
              <w:t>8., 9., 10., 11</w:t>
            </w:r>
            <w:r w:rsidRPr="00F461CD">
              <w:rPr>
                <w:rFonts w:eastAsia="PMingLiU"/>
                <w:i/>
                <w:color w:val="000000"/>
                <w:sz w:val="28"/>
                <w:szCs w:val="28"/>
                <w:lang w:val="lv-LV" w:eastAsia="ja-JP"/>
              </w:rPr>
              <w:t>.punkts</w:t>
            </w:r>
          </w:p>
        </w:tc>
        <w:tc>
          <w:tcPr>
            <w:tcW w:w="2161" w:type="dxa"/>
            <w:tcBorders>
              <w:top w:val="single" w:sz="4" w:space="0" w:color="auto"/>
              <w:left w:val="single" w:sz="4" w:space="0" w:color="auto"/>
              <w:bottom w:val="single" w:sz="4" w:space="0" w:color="auto"/>
              <w:right w:val="single" w:sz="4" w:space="0" w:color="auto"/>
            </w:tcBorders>
          </w:tcPr>
          <w:p w14:paraId="6DEA797A" w14:textId="3AF00431" w:rsidR="003B3F05" w:rsidRPr="00F117F6" w:rsidRDefault="003B3F05" w:rsidP="003B3F05">
            <w:pPr>
              <w:jc w:val="center"/>
              <w:rPr>
                <w:rFonts w:eastAsia="PMingLiU"/>
                <w:color w:val="000000"/>
                <w:sz w:val="28"/>
                <w:szCs w:val="28"/>
                <w:lang w:val="lv-LV" w:eastAsia="ja-JP"/>
              </w:rPr>
            </w:pPr>
            <w:r w:rsidRPr="00F461CD">
              <w:rPr>
                <w:rFonts w:eastAsia="PMingLiU"/>
                <w:i/>
                <w:color w:val="000000"/>
                <w:sz w:val="28"/>
                <w:szCs w:val="28"/>
                <w:lang w:val="lv-LV" w:eastAsia="ja-JP"/>
              </w:rPr>
              <w:t>Noteikumu projekta 20.</w:t>
            </w:r>
            <w:r>
              <w:rPr>
                <w:rFonts w:eastAsia="PMingLiU"/>
                <w:i/>
                <w:color w:val="000000"/>
                <w:sz w:val="28"/>
                <w:szCs w:val="28"/>
                <w:lang w:val="lv-LV" w:eastAsia="ja-JP"/>
              </w:rPr>
              <w:t>2</w:t>
            </w:r>
            <w:r w:rsidRPr="00F461CD">
              <w:rPr>
                <w:rFonts w:eastAsia="PMingLiU"/>
                <w:i/>
                <w:color w:val="000000"/>
                <w:sz w:val="28"/>
                <w:szCs w:val="28"/>
                <w:lang w:val="lv-LV" w:eastAsia="ja-JP"/>
              </w:rPr>
              <w:t>.</w:t>
            </w:r>
            <w:r>
              <w:rPr>
                <w:rFonts w:eastAsia="PMingLiU"/>
                <w:i/>
                <w:color w:val="000000"/>
                <w:sz w:val="28"/>
                <w:szCs w:val="28"/>
                <w:lang w:val="lv-LV" w:eastAsia="ja-JP"/>
              </w:rPr>
              <w:t>apakš</w:t>
            </w:r>
            <w:r w:rsidRPr="00F461CD">
              <w:rPr>
                <w:rFonts w:eastAsia="PMingLiU"/>
                <w:i/>
                <w:color w:val="000000"/>
                <w:sz w:val="28"/>
                <w:szCs w:val="28"/>
                <w:lang w:val="lv-LV" w:eastAsia="ja-JP"/>
              </w:rPr>
              <w:t>punkts</w:t>
            </w:r>
          </w:p>
        </w:tc>
        <w:tc>
          <w:tcPr>
            <w:tcW w:w="2249" w:type="dxa"/>
            <w:tcBorders>
              <w:top w:val="single" w:sz="4" w:space="0" w:color="auto"/>
              <w:left w:val="single" w:sz="4" w:space="0" w:color="auto"/>
              <w:bottom w:val="single" w:sz="4" w:space="0" w:color="auto"/>
              <w:right w:val="single" w:sz="4" w:space="0" w:color="auto"/>
            </w:tcBorders>
          </w:tcPr>
          <w:p w14:paraId="574320E6" w14:textId="7A2D3D79" w:rsidR="003B3F05" w:rsidRPr="00F117F6" w:rsidRDefault="003B3F05" w:rsidP="003B3F05">
            <w:pPr>
              <w:jc w:val="center"/>
              <w:rPr>
                <w:rFonts w:eastAsia="PMingLiU"/>
                <w:color w:val="000000"/>
                <w:sz w:val="28"/>
                <w:szCs w:val="28"/>
                <w:lang w:val="lv-LV" w:eastAsia="ja-JP"/>
              </w:rPr>
            </w:pPr>
            <w:r w:rsidRPr="00C81AD7">
              <w:rPr>
                <w:rFonts w:eastAsia="PMingLiU"/>
                <w:i/>
                <w:color w:val="000000"/>
                <w:sz w:val="28"/>
                <w:szCs w:val="28"/>
                <w:lang w:val="lv-LV" w:eastAsia="ja-JP"/>
              </w:rPr>
              <w:t>Ieviests pilnībā.</w:t>
            </w:r>
          </w:p>
        </w:tc>
        <w:tc>
          <w:tcPr>
            <w:tcW w:w="2505" w:type="dxa"/>
            <w:tcBorders>
              <w:top w:val="single" w:sz="4" w:space="0" w:color="auto"/>
              <w:left w:val="single" w:sz="4" w:space="0" w:color="auto"/>
              <w:bottom w:val="single" w:sz="4" w:space="0" w:color="auto"/>
              <w:right w:val="single" w:sz="4" w:space="0" w:color="auto"/>
            </w:tcBorders>
          </w:tcPr>
          <w:p w14:paraId="455200D4" w14:textId="349C4FCE" w:rsidR="003B3F05" w:rsidRPr="00F117F6" w:rsidRDefault="003B3F05" w:rsidP="003B3F05">
            <w:pPr>
              <w:jc w:val="center"/>
              <w:rPr>
                <w:rFonts w:eastAsia="PMingLiU"/>
                <w:color w:val="000000"/>
                <w:sz w:val="28"/>
                <w:szCs w:val="28"/>
                <w:lang w:val="lv-LV" w:eastAsia="ja-JP"/>
              </w:rPr>
            </w:pPr>
            <w:r w:rsidRPr="00C81AD7">
              <w:rPr>
                <w:rFonts w:eastAsia="PMingLiU"/>
                <w:i/>
                <w:color w:val="000000"/>
                <w:sz w:val="28"/>
                <w:szCs w:val="28"/>
                <w:lang w:val="lv-LV" w:eastAsia="ja-JP"/>
              </w:rPr>
              <w:t>Neparedz stingrākas prasības</w:t>
            </w:r>
          </w:p>
        </w:tc>
      </w:tr>
      <w:tr w:rsidR="003B3F05" w:rsidRPr="00F117F6" w14:paraId="13C7DA59" w14:textId="77777777" w:rsidTr="003B3F05">
        <w:tc>
          <w:tcPr>
            <w:tcW w:w="2293" w:type="dxa"/>
            <w:tcBorders>
              <w:top w:val="single" w:sz="4" w:space="0" w:color="auto"/>
              <w:left w:val="single" w:sz="4" w:space="0" w:color="auto"/>
              <w:bottom w:val="single" w:sz="4" w:space="0" w:color="auto"/>
              <w:right w:val="single" w:sz="4" w:space="0" w:color="auto"/>
            </w:tcBorders>
          </w:tcPr>
          <w:p w14:paraId="3BC803E5" w14:textId="25FEA6AC" w:rsidR="003B3F05" w:rsidRPr="00C81AD7" w:rsidRDefault="003B3F05" w:rsidP="003B3F05">
            <w:pPr>
              <w:rPr>
                <w:rFonts w:eastAsia="PMingLiU"/>
                <w:i/>
                <w:color w:val="000000"/>
                <w:sz w:val="28"/>
                <w:szCs w:val="28"/>
                <w:lang w:val="lv-LV" w:eastAsia="ja-JP"/>
              </w:rPr>
            </w:pPr>
            <w:r w:rsidRPr="00C81AD7">
              <w:rPr>
                <w:rFonts w:eastAsia="PMingLiU"/>
                <w:i/>
                <w:color w:val="000000"/>
                <w:sz w:val="28"/>
                <w:szCs w:val="28"/>
                <w:lang w:val="lv-LV" w:eastAsia="ja-JP"/>
              </w:rPr>
              <w:t>Regulas Nr.651/2014 2.panta 13., 43. un 44., 45., 130.punkts</w:t>
            </w:r>
          </w:p>
        </w:tc>
        <w:tc>
          <w:tcPr>
            <w:tcW w:w="2161" w:type="dxa"/>
            <w:tcBorders>
              <w:top w:val="single" w:sz="4" w:space="0" w:color="auto"/>
              <w:left w:val="single" w:sz="4" w:space="0" w:color="auto"/>
              <w:bottom w:val="single" w:sz="4" w:space="0" w:color="auto"/>
              <w:right w:val="single" w:sz="4" w:space="0" w:color="auto"/>
            </w:tcBorders>
          </w:tcPr>
          <w:p w14:paraId="034A470E" w14:textId="56C479C4" w:rsidR="003B3F05" w:rsidRPr="00C81AD7" w:rsidRDefault="003B3F05" w:rsidP="003B3F05">
            <w:pPr>
              <w:jc w:val="center"/>
              <w:rPr>
                <w:rFonts w:eastAsia="PMingLiU"/>
                <w:i/>
                <w:color w:val="000000"/>
                <w:sz w:val="28"/>
                <w:szCs w:val="28"/>
                <w:lang w:val="lv-LV" w:eastAsia="ja-JP"/>
              </w:rPr>
            </w:pPr>
            <w:r w:rsidRPr="00C81AD7">
              <w:rPr>
                <w:rFonts w:eastAsia="PMingLiU"/>
                <w:i/>
                <w:color w:val="000000"/>
                <w:sz w:val="28"/>
                <w:szCs w:val="28"/>
                <w:lang w:val="lv-LV" w:eastAsia="ja-JP"/>
              </w:rPr>
              <w:t>Noteikumu projekta 20.3.</w:t>
            </w:r>
            <w:r>
              <w:rPr>
                <w:rFonts w:eastAsia="PMingLiU"/>
                <w:i/>
                <w:color w:val="000000"/>
                <w:sz w:val="28"/>
                <w:szCs w:val="28"/>
                <w:lang w:val="lv-LV" w:eastAsia="ja-JP"/>
              </w:rPr>
              <w:t>apakš</w:t>
            </w:r>
            <w:r w:rsidRPr="00C81AD7">
              <w:rPr>
                <w:rFonts w:eastAsia="PMingLiU"/>
                <w:i/>
                <w:color w:val="000000"/>
                <w:sz w:val="28"/>
                <w:szCs w:val="28"/>
                <w:lang w:val="lv-LV" w:eastAsia="ja-JP"/>
              </w:rPr>
              <w:t>punkts</w:t>
            </w:r>
          </w:p>
        </w:tc>
        <w:tc>
          <w:tcPr>
            <w:tcW w:w="2249" w:type="dxa"/>
            <w:tcBorders>
              <w:top w:val="single" w:sz="4" w:space="0" w:color="auto"/>
              <w:left w:val="single" w:sz="4" w:space="0" w:color="auto"/>
              <w:bottom w:val="single" w:sz="4" w:space="0" w:color="auto"/>
              <w:right w:val="single" w:sz="4" w:space="0" w:color="auto"/>
            </w:tcBorders>
          </w:tcPr>
          <w:p w14:paraId="539495EA" w14:textId="2C0CF3F7" w:rsidR="003B3F05" w:rsidRPr="00C81AD7" w:rsidRDefault="003B3F05" w:rsidP="003B3F05">
            <w:pPr>
              <w:jc w:val="center"/>
              <w:rPr>
                <w:rFonts w:eastAsia="PMingLiU"/>
                <w:i/>
                <w:color w:val="000000"/>
                <w:sz w:val="28"/>
                <w:szCs w:val="28"/>
                <w:lang w:val="lv-LV" w:eastAsia="ja-JP"/>
              </w:rPr>
            </w:pPr>
            <w:r w:rsidRPr="00C81AD7">
              <w:rPr>
                <w:rFonts w:eastAsia="PMingLiU"/>
                <w:i/>
                <w:color w:val="000000"/>
                <w:sz w:val="28"/>
                <w:szCs w:val="28"/>
                <w:lang w:val="lv-LV" w:eastAsia="ja-JP"/>
              </w:rPr>
              <w:t>Ieviests pilnībā.</w:t>
            </w:r>
          </w:p>
        </w:tc>
        <w:tc>
          <w:tcPr>
            <w:tcW w:w="2505" w:type="dxa"/>
            <w:tcBorders>
              <w:top w:val="single" w:sz="4" w:space="0" w:color="auto"/>
              <w:left w:val="single" w:sz="4" w:space="0" w:color="auto"/>
              <w:bottom w:val="single" w:sz="4" w:space="0" w:color="auto"/>
              <w:right w:val="single" w:sz="4" w:space="0" w:color="auto"/>
            </w:tcBorders>
          </w:tcPr>
          <w:p w14:paraId="064803D6" w14:textId="4F498A2C" w:rsidR="003B3F05" w:rsidRPr="00C81AD7" w:rsidRDefault="003B3F05" w:rsidP="003B3F05">
            <w:pPr>
              <w:jc w:val="center"/>
              <w:rPr>
                <w:rFonts w:eastAsia="PMingLiU"/>
                <w:i/>
                <w:color w:val="000000"/>
                <w:sz w:val="28"/>
                <w:szCs w:val="28"/>
                <w:lang w:val="lv-LV" w:eastAsia="ja-JP"/>
              </w:rPr>
            </w:pPr>
            <w:r w:rsidRPr="00C81AD7">
              <w:rPr>
                <w:rFonts w:eastAsia="PMingLiU"/>
                <w:i/>
                <w:color w:val="000000"/>
                <w:sz w:val="28"/>
                <w:szCs w:val="28"/>
                <w:lang w:val="lv-LV" w:eastAsia="ja-JP"/>
              </w:rPr>
              <w:t>Neparedz stingrākas prasības</w:t>
            </w:r>
          </w:p>
        </w:tc>
      </w:tr>
      <w:tr w:rsidR="003B3F05" w:rsidRPr="00F117F6" w14:paraId="460FD835" w14:textId="77777777" w:rsidTr="003B3F05">
        <w:trPr>
          <w:trHeight w:val="1152"/>
        </w:trPr>
        <w:tc>
          <w:tcPr>
            <w:tcW w:w="2293" w:type="dxa"/>
            <w:tcBorders>
              <w:top w:val="single" w:sz="4" w:space="0" w:color="auto"/>
              <w:left w:val="single" w:sz="4" w:space="0" w:color="auto"/>
              <w:bottom w:val="single" w:sz="4" w:space="0" w:color="auto"/>
              <w:right w:val="single" w:sz="4" w:space="0" w:color="auto"/>
            </w:tcBorders>
          </w:tcPr>
          <w:p w14:paraId="3EFCC297" w14:textId="772DA764" w:rsidR="003B3F05" w:rsidRPr="00C81AD7" w:rsidRDefault="003B3F05" w:rsidP="003B3F05">
            <w:pPr>
              <w:rPr>
                <w:rFonts w:eastAsia="PMingLiU"/>
                <w:i/>
                <w:color w:val="000000"/>
                <w:sz w:val="28"/>
                <w:szCs w:val="28"/>
                <w:lang w:val="lv-LV" w:eastAsia="ja-JP"/>
              </w:rPr>
            </w:pPr>
            <w:r w:rsidRPr="00C81AD7">
              <w:rPr>
                <w:rFonts w:eastAsia="PMingLiU"/>
                <w:i/>
                <w:color w:val="000000"/>
                <w:sz w:val="28"/>
                <w:szCs w:val="28"/>
                <w:lang w:val="lv-LV" w:eastAsia="ja-JP"/>
              </w:rPr>
              <w:t xml:space="preserve">Regulas </w:t>
            </w:r>
            <w:r>
              <w:rPr>
                <w:rFonts w:eastAsia="PMingLiU"/>
                <w:i/>
                <w:color w:val="000000"/>
                <w:sz w:val="28"/>
                <w:szCs w:val="28"/>
                <w:lang w:val="lv-LV" w:eastAsia="ja-JP"/>
              </w:rPr>
              <w:t>Nr.651/2014 13. panta "b" apakšpunkts</w:t>
            </w:r>
          </w:p>
        </w:tc>
        <w:tc>
          <w:tcPr>
            <w:tcW w:w="2161" w:type="dxa"/>
            <w:tcBorders>
              <w:top w:val="single" w:sz="4" w:space="0" w:color="auto"/>
              <w:left w:val="single" w:sz="4" w:space="0" w:color="auto"/>
              <w:bottom w:val="single" w:sz="4" w:space="0" w:color="auto"/>
              <w:right w:val="single" w:sz="4" w:space="0" w:color="auto"/>
            </w:tcBorders>
          </w:tcPr>
          <w:p w14:paraId="01C1E830" w14:textId="7317B1CE" w:rsidR="003B3F05" w:rsidRPr="00C81AD7" w:rsidRDefault="003B3F05" w:rsidP="003B3F05">
            <w:pPr>
              <w:jc w:val="center"/>
              <w:rPr>
                <w:rFonts w:eastAsia="PMingLiU"/>
                <w:i/>
                <w:color w:val="000000"/>
                <w:sz w:val="28"/>
                <w:szCs w:val="28"/>
                <w:lang w:val="lv-LV" w:eastAsia="ja-JP"/>
              </w:rPr>
            </w:pPr>
            <w:r w:rsidRPr="00C81AD7">
              <w:rPr>
                <w:rFonts w:eastAsia="PMingLiU"/>
                <w:i/>
                <w:color w:val="000000"/>
                <w:sz w:val="28"/>
                <w:szCs w:val="28"/>
                <w:lang w:val="lv-LV" w:eastAsia="ja-JP"/>
              </w:rPr>
              <w:t>Noteikumu projekta 20.3.</w:t>
            </w:r>
            <w:r>
              <w:rPr>
                <w:rFonts w:eastAsia="PMingLiU"/>
                <w:i/>
                <w:color w:val="000000"/>
                <w:sz w:val="28"/>
                <w:szCs w:val="28"/>
                <w:lang w:val="lv-LV" w:eastAsia="ja-JP"/>
              </w:rPr>
              <w:t>apakš</w:t>
            </w:r>
            <w:r w:rsidRPr="00C81AD7">
              <w:rPr>
                <w:rFonts w:eastAsia="PMingLiU"/>
                <w:i/>
                <w:color w:val="000000"/>
                <w:sz w:val="28"/>
                <w:szCs w:val="28"/>
                <w:lang w:val="lv-LV" w:eastAsia="ja-JP"/>
              </w:rPr>
              <w:t>punkts</w:t>
            </w:r>
          </w:p>
        </w:tc>
        <w:tc>
          <w:tcPr>
            <w:tcW w:w="2249" w:type="dxa"/>
            <w:tcBorders>
              <w:top w:val="single" w:sz="4" w:space="0" w:color="auto"/>
              <w:left w:val="single" w:sz="4" w:space="0" w:color="auto"/>
              <w:bottom w:val="single" w:sz="4" w:space="0" w:color="auto"/>
              <w:right w:val="single" w:sz="4" w:space="0" w:color="auto"/>
            </w:tcBorders>
          </w:tcPr>
          <w:p w14:paraId="06F517F0" w14:textId="2CCA2B9C" w:rsidR="003B3F05" w:rsidRPr="00C81AD7" w:rsidRDefault="003B3F05" w:rsidP="003B3F05">
            <w:pPr>
              <w:jc w:val="center"/>
              <w:rPr>
                <w:rFonts w:eastAsia="PMingLiU"/>
                <w:i/>
                <w:color w:val="000000"/>
                <w:sz w:val="28"/>
                <w:szCs w:val="28"/>
                <w:lang w:val="lv-LV" w:eastAsia="ja-JP"/>
              </w:rPr>
            </w:pPr>
            <w:r w:rsidRPr="00C81AD7">
              <w:rPr>
                <w:rFonts w:eastAsia="PMingLiU"/>
                <w:i/>
                <w:color w:val="000000"/>
                <w:sz w:val="28"/>
                <w:szCs w:val="28"/>
                <w:lang w:val="lv-LV" w:eastAsia="ja-JP"/>
              </w:rPr>
              <w:t>Ieviests pilnībā.</w:t>
            </w:r>
          </w:p>
        </w:tc>
        <w:tc>
          <w:tcPr>
            <w:tcW w:w="2505" w:type="dxa"/>
            <w:tcBorders>
              <w:top w:val="single" w:sz="4" w:space="0" w:color="auto"/>
              <w:left w:val="single" w:sz="4" w:space="0" w:color="auto"/>
              <w:bottom w:val="single" w:sz="4" w:space="0" w:color="auto"/>
              <w:right w:val="single" w:sz="4" w:space="0" w:color="auto"/>
            </w:tcBorders>
          </w:tcPr>
          <w:p w14:paraId="03A402E6" w14:textId="53469B17" w:rsidR="003B3F05" w:rsidRPr="00C81AD7" w:rsidRDefault="003B3F05" w:rsidP="003B3F05">
            <w:pPr>
              <w:jc w:val="center"/>
              <w:rPr>
                <w:rFonts w:eastAsia="PMingLiU"/>
                <w:i/>
                <w:color w:val="000000"/>
                <w:sz w:val="28"/>
                <w:szCs w:val="28"/>
                <w:lang w:val="lv-LV" w:eastAsia="ja-JP"/>
              </w:rPr>
            </w:pPr>
            <w:r w:rsidRPr="00C81AD7">
              <w:rPr>
                <w:rFonts w:eastAsia="PMingLiU"/>
                <w:i/>
                <w:color w:val="000000"/>
                <w:sz w:val="28"/>
                <w:szCs w:val="28"/>
                <w:lang w:val="lv-LV" w:eastAsia="ja-JP"/>
              </w:rPr>
              <w:t>Neparedz stingrākas prasības</w:t>
            </w:r>
          </w:p>
        </w:tc>
      </w:tr>
      <w:tr w:rsidR="003B3F05" w:rsidRPr="00F117F6" w14:paraId="0F24B7FD" w14:textId="77777777" w:rsidTr="003B3F05">
        <w:tc>
          <w:tcPr>
            <w:tcW w:w="2293" w:type="dxa"/>
            <w:tcBorders>
              <w:top w:val="single" w:sz="4" w:space="0" w:color="auto"/>
              <w:left w:val="single" w:sz="4" w:space="0" w:color="auto"/>
              <w:bottom w:val="single" w:sz="4" w:space="0" w:color="auto"/>
              <w:right w:val="single" w:sz="4" w:space="0" w:color="auto"/>
            </w:tcBorders>
          </w:tcPr>
          <w:p w14:paraId="6A3D7BF7" w14:textId="56CB489F" w:rsidR="003B3F05" w:rsidRPr="00F117F6" w:rsidRDefault="003B3F05" w:rsidP="003B3F05">
            <w:pPr>
              <w:rPr>
                <w:rFonts w:eastAsia="PMingLiU"/>
                <w:color w:val="000000"/>
                <w:sz w:val="28"/>
                <w:szCs w:val="28"/>
                <w:lang w:val="lv-LV" w:eastAsia="ja-JP"/>
              </w:rPr>
            </w:pPr>
            <w:r w:rsidRPr="006667A3">
              <w:rPr>
                <w:rFonts w:eastAsia="PMingLiU"/>
                <w:i/>
                <w:color w:val="000000"/>
                <w:sz w:val="28"/>
                <w:szCs w:val="28"/>
                <w:lang w:val="lv-LV" w:eastAsia="ja-JP"/>
              </w:rPr>
              <w:t>Regulas Nr.651/2014</w:t>
            </w:r>
            <w:r>
              <w:rPr>
                <w:rFonts w:eastAsia="PMingLiU"/>
                <w:i/>
                <w:color w:val="000000"/>
                <w:sz w:val="28"/>
                <w:szCs w:val="28"/>
                <w:lang w:val="lv-LV" w:eastAsia="ja-JP"/>
              </w:rPr>
              <w:t xml:space="preserve"> 6.panta 2.punkts</w:t>
            </w:r>
          </w:p>
        </w:tc>
        <w:tc>
          <w:tcPr>
            <w:tcW w:w="2161" w:type="dxa"/>
            <w:tcBorders>
              <w:top w:val="single" w:sz="4" w:space="0" w:color="auto"/>
              <w:left w:val="single" w:sz="4" w:space="0" w:color="auto"/>
              <w:bottom w:val="single" w:sz="4" w:space="0" w:color="auto"/>
              <w:right w:val="single" w:sz="4" w:space="0" w:color="auto"/>
            </w:tcBorders>
          </w:tcPr>
          <w:p w14:paraId="53C9A931" w14:textId="3DF23735" w:rsidR="003B3F05" w:rsidRPr="00C81AD7" w:rsidRDefault="003B3F05" w:rsidP="003B3F05">
            <w:pPr>
              <w:jc w:val="center"/>
              <w:rPr>
                <w:rFonts w:eastAsia="PMingLiU"/>
                <w:i/>
                <w:color w:val="000000"/>
                <w:sz w:val="28"/>
                <w:szCs w:val="28"/>
                <w:lang w:val="lv-LV" w:eastAsia="ja-JP"/>
              </w:rPr>
            </w:pPr>
            <w:r w:rsidRPr="00C81AD7">
              <w:rPr>
                <w:rFonts w:eastAsia="PMingLiU"/>
                <w:i/>
                <w:color w:val="000000"/>
                <w:sz w:val="28"/>
                <w:szCs w:val="28"/>
                <w:lang w:val="lv-LV" w:eastAsia="ja-JP"/>
              </w:rPr>
              <w:t>Noteikumu projekta 23.</w:t>
            </w:r>
            <w:r w:rsidRPr="00C81AD7">
              <w:rPr>
                <w:rFonts w:eastAsia="PMingLiU"/>
                <w:i/>
                <w:color w:val="000000"/>
                <w:sz w:val="28"/>
                <w:szCs w:val="28"/>
                <w:vertAlign w:val="superscript"/>
                <w:lang w:val="lv-LV" w:eastAsia="ja-JP"/>
              </w:rPr>
              <w:t>1</w:t>
            </w:r>
            <w:r w:rsidRPr="00C81AD7">
              <w:rPr>
                <w:rFonts w:eastAsia="PMingLiU"/>
                <w:i/>
                <w:color w:val="000000"/>
                <w:sz w:val="28"/>
                <w:szCs w:val="28"/>
                <w:lang w:val="lv-LV" w:eastAsia="ja-JP"/>
              </w:rPr>
              <w:t xml:space="preserve"> punkts.</w:t>
            </w:r>
          </w:p>
        </w:tc>
        <w:tc>
          <w:tcPr>
            <w:tcW w:w="2249" w:type="dxa"/>
            <w:tcBorders>
              <w:top w:val="single" w:sz="4" w:space="0" w:color="auto"/>
              <w:left w:val="single" w:sz="4" w:space="0" w:color="auto"/>
              <w:bottom w:val="single" w:sz="4" w:space="0" w:color="auto"/>
              <w:right w:val="single" w:sz="4" w:space="0" w:color="auto"/>
            </w:tcBorders>
          </w:tcPr>
          <w:p w14:paraId="7A6C9D4E" w14:textId="37BEE82D" w:rsidR="003B3F05" w:rsidRPr="00C81AD7" w:rsidRDefault="003B3F05" w:rsidP="003B3F05">
            <w:pPr>
              <w:jc w:val="center"/>
              <w:rPr>
                <w:rFonts w:eastAsia="PMingLiU"/>
                <w:i/>
                <w:color w:val="000000"/>
                <w:sz w:val="28"/>
                <w:szCs w:val="28"/>
                <w:lang w:val="lv-LV" w:eastAsia="ja-JP"/>
              </w:rPr>
            </w:pPr>
            <w:r w:rsidRPr="00C81AD7">
              <w:rPr>
                <w:rFonts w:eastAsia="PMingLiU"/>
                <w:i/>
                <w:color w:val="000000"/>
                <w:sz w:val="28"/>
                <w:szCs w:val="28"/>
                <w:lang w:val="lv-LV" w:eastAsia="ja-JP"/>
              </w:rPr>
              <w:t>Ieviests pilnībā.</w:t>
            </w:r>
          </w:p>
        </w:tc>
        <w:tc>
          <w:tcPr>
            <w:tcW w:w="2505" w:type="dxa"/>
            <w:tcBorders>
              <w:top w:val="single" w:sz="4" w:space="0" w:color="auto"/>
              <w:left w:val="single" w:sz="4" w:space="0" w:color="auto"/>
              <w:bottom w:val="single" w:sz="4" w:space="0" w:color="auto"/>
              <w:right w:val="single" w:sz="4" w:space="0" w:color="auto"/>
            </w:tcBorders>
          </w:tcPr>
          <w:p w14:paraId="33DBB7BE" w14:textId="4306CCE0" w:rsidR="003B3F05" w:rsidRPr="00C81AD7" w:rsidRDefault="003B3F05" w:rsidP="003B3F05">
            <w:pPr>
              <w:jc w:val="center"/>
              <w:rPr>
                <w:rFonts w:eastAsia="PMingLiU"/>
                <w:i/>
                <w:color w:val="000000"/>
                <w:sz w:val="28"/>
                <w:szCs w:val="28"/>
                <w:lang w:val="lv-LV" w:eastAsia="ja-JP"/>
              </w:rPr>
            </w:pPr>
            <w:r w:rsidRPr="00C81AD7">
              <w:rPr>
                <w:rFonts w:eastAsia="PMingLiU"/>
                <w:i/>
                <w:color w:val="000000"/>
                <w:sz w:val="28"/>
                <w:szCs w:val="28"/>
                <w:lang w:val="lv-LV" w:eastAsia="ja-JP"/>
              </w:rPr>
              <w:t>Neparedz stingrākas prasības</w:t>
            </w:r>
          </w:p>
        </w:tc>
      </w:tr>
      <w:tr w:rsidR="003B3F05" w:rsidRPr="00F117F6" w14:paraId="4AB36FEE" w14:textId="77777777" w:rsidTr="003B3F05">
        <w:tc>
          <w:tcPr>
            <w:tcW w:w="2293" w:type="dxa"/>
            <w:tcBorders>
              <w:top w:val="single" w:sz="4" w:space="0" w:color="auto"/>
              <w:left w:val="single" w:sz="4" w:space="0" w:color="auto"/>
              <w:bottom w:val="single" w:sz="4" w:space="0" w:color="auto"/>
              <w:right w:val="single" w:sz="4" w:space="0" w:color="auto"/>
            </w:tcBorders>
          </w:tcPr>
          <w:p w14:paraId="67B60014" w14:textId="77777777" w:rsidR="003B3F05" w:rsidRPr="00F117F6" w:rsidRDefault="003B3F05" w:rsidP="003B3F05">
            <w:pPr>
              <w:rPr>
                <w:rFonts w:eastAsia="PMingLiU"/>
                <w:i/>
                <w:color w:val="000000"/>
                <w:sz w:val="28"/>
                <w:szCs w:val="28"/>
                <w:lang w:val="lv-LV" w:eastAsia="ja-JP"/>
              </w:rPr>
            </w:pPr>
            <w:r w:rsidRPr="00F117F6">
              <w:rPr>
                <w:rFonts w:eastAsia="PMingLiU"/>
                <w:i/>
                <w:color w:val="000000"/>
                <w:sz w:val="28"/>
                <w:szCs w:val="28"/>
                <w:lang w:val="lv-LV" w:eastAsia="ja-JP"/>
              </w:rPr>
              <w:t>Regulas Nr.651/2014 14.panta 16. un 17. punkts</w:t>
            </w:r>
          </w:p>
        </w:tc>
        <w:tc>
          <w:tcPr>
            <w:tcW w:w="2161" w:type="dxa"/>
            <w:tcBorders>
              <w:top w:val="single" w:sz="4" w:space="0" w:color="auto"/>
              <w:left w:val="single" w:sz="4" w:space="0" w:color="auto"/>
              <w:bottom w:val="single" w:sz="4" w:space="0" w:color="auto"/>
              <w:right w:val="single" w:sz="4" w:space="0" w:color="auto"/>
            </w:tcBorders>
          </w:tcPr>
          <w:p w14:paraId="4C2DDE93" w14:textId="0F3EA392" w:rsidR="003B3F05" w:rsidRPr="00F117F6" w:rsidRDefault="003B3F05" w:rsidP="003B3F05">
            <w:pPr>
              <w:jc w:val="center"/>
              <w:rPr>
                <w:rFonts w:eastAsia="PMingLiU"/>
                <w:i/>
                <w:iCs/>
                <w:color w:val="000000"/>
                <w:sz w:val="28"/>
                <w:szCs w:val="28"/>
                <w:lang w:val="lv-LV"/>
              </w:rPr>
            </w:pPr>
            <w:r w:rsidRPr="003F45F7">
              <w:rPr>
                <w:rFonts w:eastAsia="PMingLiU"/>
                <w:i/>
                <w:color w:val="000000"/>
                <w:sz w:val="28"/>
                <w:szCs w:val="28"/>
                <w:lang w:val="lv-LV" w:eastAsia="ja-JP"/>
              </w:rPr>
              <w:t>Noteikumu projekta 36</w:t>
            </w:r>
            <w:r w:rsidRPr="00F117F6">
              <w:rPr>
                <w:rFonts w:eastAsia="PMingLiU"/>
                <w:i/>
                <w:color w:val="000000"/>
                <w:sz w:val="28"/>
                <w:szCs w:val="28"/>
                <w:lang w:val="lv-LV" w:eastAsia="ja-JP"/>
              </w:rPr>
              <w:t>. punkts.</w:t>
            </w:r>
          </w:p>
        </w:tc>
        <w:tc>
          <w:tcPr>
            <w:tcW w:w="2249" w:type="dxa"/>
            <w:tcBorders>
              <w:top w:val="single" w:sz="4" w:space="0" w:color="auto"/>
              <w:left w:val="single" w:sz="4" w:space="0" w:color="auto"/>
              <w:bottom w:val="single" w:sz="4" w:space="0" w:color="auto"/>
              <w:right w:val="single" w:sz="4" w:space="0" w:color="auto"/>
            </w:tcBorders>
          </w:tcPr>
          <w:p w14:paraId="16C0890B" w14:textId="77777777" w:rsidR="003B3F05" w:rsidRPr="00F117F6" w:rsidRDefault="003B3F05" w:rsidP="003B3F05">
            <w:pPr>
              <w:jc w:val="center"/>
              <w:rPr>
                <w:rFonts w:eastAsia="PMingLiU"/>
                <w:i/>
                <w:iCs/>
                <w:color w:val="000000"/>
                <w:sz w:val="28"/>
                <w:szCs w:val="28"/>
                <w:lang w:val="lv-LV" w:eastAsia="ja-JP"/>
              </w:rPr>
            </w:pPr>
            <w:r w:rsidRPr="00F117F6">
              <w:rPr>
                <w:rFonts w:eastAsia="PMingLiU"/>
                <w:i/>
                <w:color w:val="000000"/>
                <w:sz w:val="28"/>
                <w:szCs w:val="28"/>
                <w:lang w:val="lv-LV" w:eastAsia="ja-JP"/>
              </w:rPr>
              <w:t>Ieviests pilnībā.</w:t>
            </w:r>
          </w:p>
        </w:tc>
        <w:tc>
          <w:tcPr>
            <w:tcW w:w="2505" w:type="dxa"/>
            <w:tcBorders>
              <w:top w:val="single" w:sz="4" w:space="0" w:color="auto"/>
              <w:left w:val="single" w:sz="4" w:space="0" w:color="auto"/>
              <w:bottom w:val="single" w:sz="4" w:space="0" w:color="auto"/>
              <w:right w:val="single" w:sz="4" w:space="0" w:color="auto"/>
            </w:tcBorders>
          </w:tcPr>
          <w:p w14:paraId="73562417" w14:textId="6FF8AAEF" w:rsidR="003B3F05" w:rsidRPr="00F117F6" w:rsidRDefault="003B3F05" w:rsidP="003B3F05">
            <w:pPr>
              <w:jc w:val="center"/>
              <w:rPr>
                <w:rFonts w:eastAsia="PMingLiU"/>
                <w:i/>
                <w:iCs/>
                <w:color w:val="000000"/>
                <w:sz w:val="28"/>
                <w:szCs w:val="28"/>
                <w:lang w:val="lv-LV" w:eastAsia="ja-JP"/>
              </w:rPr>
            </w:pPr>
            <w:r w:rsidRPr="00F117F6">
              <w:rPr>
                <w:rFonts w:eastAsia="PMingLiU"/>
                <w:i/>
                <w:color w:val="000000"/>
                <w:sz w:val="28"/>
                <w:szCs w:val="28"/>
                <w:lang w:val="lv-LV" w:eastAsia="ja-JP"/>
              </w:rPr>
              <w:t xml:space="preserve">Neparedz stingrākas prasības </w:t>
            </w:r>
          </w:p>
        </w:tc>
      </w:tr>
      <w:tr w:rsidR="003B3F05" w:rsidRPr="00F117F6" w14:paraId="3E907504" w14:textId="77777777" w:rsidTr="003B3F05">
        <w:tc>
          <w:tcPr>
            <w:tcW w:w="2293" w:type="dxa"/>
            <w:tcBorders>
              <w:top w:val="single" w:sz="4" w:space="0" w:color="auto"/>
              <w:left w:val="single" w:sz="4" w:space="0" w:color="auto"/>
              <w:bottom w:val="single" w:sz="4" w:space="0" w:color="auto"/>
              <w:right w:val="single" w:sz="4" w:space="0" w:color="auto"/>
            </w:tcBorders>
          </w:tcPr>
          <w:p w14:paraId="60D9D4C0" w14:textId="2674BDD2" w:rsidR="003B3F05" w:rsidRPr="00F117F6" w:rsidRDefault="003B3F05" w:rsidP="003B3F05">
            <w:pPr>
              <w:rPr>
                <w:rFonts w:eastAsia="PMingLiU"/>
                <w:i/>
                <w:color w:val="000000"/>
                <w:sz w:val="28"/>
                <w:szCs w:val="28"/>
                <w:lang w:val="lv-LV" w:eastAsia="ja-JP"/>
              </w:rPr>
            </w:pPr>
            <w:r w:rsidRPr="00F117F6">
              <w:rPr>
                <w:rFonts w:eastAsia="PMingLiU"/>
                <w:i/>
                <w:color w:val="000000"/>
                <w:sz w:val="28"/>
                <w:szCs w:val="28"/>
                <w:lang w:val="lv-LV" w:eastAsia="ja-JP"/>
              </w:rPr>
              <w:t>Regulas Nr.651/2014 2.panta 61.punkta “a”</w:t>
            </w:r>
            <w:r>
              <w:rPr>
                <w:rFonts w:eastAsia="PMingLiU"/>
                <w:i/>
                <w:color w:val="000000"/>
                <w:sz w:val="28"/>
                <w:szCs w:val="28"/>
                <w:lang w:val="lv-LV" w:eastAsia="ja-JP"/>
              </w:rPr>
              <w:t xml:space="preserve"> </w:t>
            </w:r>
            <w:r w:rsidRPr="00F117F6">
              <w:rPr>
                <w:rFonts w:eastAsia="PMingLiU"/>
                <w:i/>
                <w:color w:val="000000"/>
                <w:sz w:val="28"/>
                <w:szCs w:val="28"/>
                <w:lang w:val="lv-LV" w:eastAsia="ja-JP"/>
              </w:rPr>
              <w:t>apakšpunkts</w:t>
            </w:r>
          </w:p>
        </w:tc>
        <w:tc>
          <w:tcPr>
            <w:tcW w:w="2161" w:type="dxa"/>
            <w:tcBorders>
              <w:top w:val="single" w:sz="4" w:space="0" w:color="auto"/>
              <w:left w:val="single" w:sz="4" w:space="0" w:color="auto"/>
              <w:bottom w:val="single" w:sz="4" w:space="0" w:color="auto"/>
              <w:right w:val="single" w:sz="4" w:space="0" w:color="auto"/>
            </w:tcBorders>
          </w:tcPr>
          <w:p w14:paraId="1FC3BB0B" w14:textId="3AE35FEC" w:rsidR="003B3F05" w:rsidRPr="00F117F6" w:rsidRDefault="003B3F05" w:rsidP="003B3F05">
            <w:pPr>
              <w:jc w:val="center"/>
              <w:rPr>
                <w:rFonts w:eastAsia="PMingLiU"/>
                <w:i/>
                <w:color w:val="000000"/>
                <w:sz w:val="28"/>
                <w:szCs w:val="28"/>
                <w:lang w:val="lv-LV" w:eastAsia="ja-JP"/>
              </w:rPr>
            </w:pPr>
            <w:r w:rsidRPr="00F117F6">
              <w:rPr>
                <w:rFonts w:eastAsia="PMingLiU"/>
                <w:i/>
                <w:color w:val="000000"/>
                <w:sz w:val="28"/>
                <w:szCs w:val="28"/>
                <w:lang w:val="lv-LV" w:eastAsia="ja-JP"/>
              </w:rPr>
              <w:t>Noteikumu</w:t>
            </w:r>
            <w:r w:rsidRPr="003F45F7">
              <w:rPr>
                <w:rFonts w:eastAsia="PMingLiU"/>
                <w:i/>
                <w:color w:val="000000"/>
                <w:sz w:val="28"/>
                <w:szCs w:val="28"/>
                <w:lang w:val="lv-LV" w:eastAsia="ja-JP"/>
              </w:rPr>
              <w:t xml:space="preserve"> projekta 36</w:t>
            </w:r>
            <w:r w:rsidRPr="00F117F6">
              <w:rPr>
                <w:rFonts w:eastAsia="PMingLiU"/>
                <w:i/>
                <w:color w:val="000000"/>
                <w:sz w:val="28"/>
                <w:szCs w:val="28"/>
                <w:lang w:val="lv-LV" w:eastAsia="ja-JP"/>
              </w:rPr>
              <w:t>. punkts.</w:t>
            </w:r>
          </w:p>
        </w:tc>
        <w:tc>
          <w:tcPr>
            <w:tcW w:w="2249" w:type="dxa"/>
            <w:tcBorders>
              <w:top w:val="single" w:sz="4" w:space="0" w:color="auto"/>
              <w:left w:val="single" w:sz="4" w:space="0" w:color="auto"/>
              <w:bottom w:val="single" w:sz="4" w:space="0" w:color="auto"/>
              <w:right w:val="single" w:sz="4" w:space="0" w:color="auto"/>
            </w:tcBorders>
          </w:tcPr>
          <w:p w14:paraId="32EB610D" w14:textId="77777777" w:rsidR="003B3F05" w:rsidRPr="00F117F6" w:rsidRDefault="003B3F05" w:rsidP="003B3F05">
            <w:pPr>
              <w:jc w:val="center"/>
              <w:rPr>
                <w:rFonts w:eastAsia="PMingLiU"/>
                <w:i/>
                <w:color w:val="000000"/>
                <w:sz w:val="28"/>
                <w:szCs w:val="28"/>
                <w:lang w:val="lv-LV" w:eastAsia="ja-JP"/>
              </w:rPr>
            </w:pPr>
            <w:r w:rsidRPr="00F117F6">
              <w:rPr>
                <w:rFonts w:eastAsia="PMingLiU"/>
                <w:i/>
                <w:color w:val="000000"/>
                <w:sz w:val="28"/>
                <w:szCs w:val="28"/>
                <w:lang w:val="lv-LV" w:eastAsia="ja-JP"/>
              </w:rPr>
              <w:t>Ieviests pilnībā.</w:t>
            </w:r>
          </w:p>
        </w:tc>
        <w:tc>
          <w:tcPr>
            <w:tcW w:w="2505" w:type="dxa"/>
            <w:tcBorders>
              <w:top w:val="single" w:sz="4" w:space="0" w:color="auto"/>
              <w:left w:val="single" w:sz="4" w:space="0" w:color="auto"/>
              <w:bottom w:val="single" w:sz="4" w:space="0" w:color="auto"/>
              <w:right w:val="single" w:sz="4" w:space="0" w:color="auto"/>
            </w:tcBorders>
          </w:tcPr>
          <w:p w14:paraId="0AF6F137" w14:textId="2C7AEB9A" w:rsidR="003B3F05" w:rsidRPr="00F117F6" w:rsidRDefault="003B3F05" w:rsidP="003B3F05">
            <w:pPr>
              <w:jc w:val="center"/>
              <w:rPr>
                <w:rFonts w:eastAsia="PMingLiU"/>
                <w:i/>
                <w:color w:val="000000"/>
                <w:sz w:val="28"/>
                <w:szCs w:val="28"/>
                <w:lang w:val="lv-LV" w:eastAsia="ja-JP"/>
              </w:rPr>
            </w:pPr>
            <w:r w:rsidRPr="00F117F6">
              <w:rPr>
                <w:rFonts w:eastAsia="PMingLiU"/>
                <w:i/>
                <w:color w:val="000000"/>
                <w:sz w:val="28"/>
                <w:szCs w:val="28"/>
                <w:lang w:val="lv-LV" w:eastAsia="ja-JP"/>
              </w:rPr>
              <w:t xml:space="preserve">Neparedz stingrākas prasības </w:t>
            </w:r>
          </w:p>
        </w:tc>
      </w:tr>
      <w:tr w:rsidR="003B3F05" w:rsidRPr="00F117F6" w14:paraId="08AAA257" w14:textId="77777777" w:rsidTr="003B3F05">
        <w:tc>
          <w:tcPr>
            <w:tcW w:w="4454" w:type="dxa"/>
            <w:gridSpan w:val="2"/>
            <w:tcBorders>
              <w:top w:val="single" w:sz="4" w:space="0" w:color="auto"/>
              <w:left w:val="single" w:sz="4" w:space="0" w:color="auto"/>
              <w:bottom w:val="single" w:sz="4" w:space="0" w:color="auto"/>
              <w:right w:val="single" w:sz="4" w:space="0" w:color="auto"/>
            </w:tcBorders>
            <w:hideMark/>
          </w:tcPr>
          <w:p w14:paraId="46E5F079" w14:textId="77777777" w:rsidR="003B3F05" w:rsidRPr="00F117F6" w:rsidRDefault="003B3F05" w:rsidP="003B3F05">
            <w:pPr>
              <w:rPr>
                <w:rFonts w:eastAsia="PMingLiU"/>
                <w:color w:val="000000"/>
                <w:sz w:val="28"/>
                <w:szCs w:val="28"/>
                <w:lang w:val="lv-LV" w:eastAsia="ja-JP"/>
              </w:rPr>
            </w:pPr>
            <w:r w:rsidRPr="00F117F6">
              <w:rPr>
                <w:rFonts w:eastAsia="PMingLiU"/>
                <w:color w:val="000000"/>
                <w:sz w:val="28"/>
                <w:szCs w:val="28"/>
                <w:lang w:val="lv-LV" w:eastAsia="ja-JP"/>
              </w:rPr>
              <w:t>Kā ir izmantota ES tiesību aktā paredzētā rīcības brīvība dalībvalstij pārņemt vai ieviest noteiktas ES tiesību akta normas? Kādēļ?</w:t>
            </w:r>
          </w:p>
        </w:tc>
        <w:tc>
          <w:tcPr>
            <w:tcW w:w="4754" w:type="dxa"/>
            <w:gridSpan w:val="2"/>
            <w:tcBorders>
              <w:top w:val="single" w:sz="4" w:space="0" w:color="auto"/>
              <w:left w:val="single" w:sz="4" w:space="0" w:color="auto"/>
              <w:bottom w:val="single" w:sz="4" w:space="0" w:color="auto"/>
              <w:right w:val="single" w:sz="4" w:space="0" w:color="auto"/>
            </w:tcBorders>
            <w:hideMark/>
          </w:tcPr>
          <w:p w14:paraId="7E471983" w14:textId="77777777" w:rsidR="003B3F05" w:rsidRPr="00F117F6" w:rsidRDefault="003B3F05" w:rsidP="003B3F05">
            <w:pPr>
              <w:rPr>
                <w:rFonts w:eastAsia="PMingLiU"/>
                <w:color w:val="000000"/>
                <w:sz w:val="28"/>
                <w:szCs w:val="28"/>
                <w:lang w:val="lv-LV"/>
              </w:rPr>
            </w:pPr>
            <w:r w:rsidRPr="00F117F6">
              <w:rPr>
                <w:rFonts w:eastAsia="PMingLiU"/>
                <w:iCs/>
                <w:color w:val="000000"/>
                <w:sz w:val="28"/>
                <w:szCs w:val="28"/>
                <w:lang w:val="lv-LV" w:eastAsia="ja-JP"/>
              </w:rPr>
              <w:t>Noteikumu projekts šo jomu neskar.</w:t>
            </w:r>
          </w:p>
        </w:tc>
      </w:tr>
      <w:tr w:rsidR="003B3F05" w:rsidRPr="00F117F6" w14:paraId="65CDB1FD" w14:textId="77777777" w:rsidTr="003B3F05">
        <w:tc>
          <w:tcPr>
            <w:tcW w:w="4454" w:type="dxa"/>
            <w:gridSpan w:val="2"/>
            <w:tcBorders>
              <w:top w:val="single" w:sz="4" w:space="0" w:color="auto"/>
              <w:left w:val="single" w:sz="4" w:space="0" w:color="auto"/>
              <w:bottom w:val="single" w:sz="4" w:space="0" w:color="auto"/>
              <w:right w:val="single" w:sz="4" w:space="0" w:color="auto"/>
            </w:tcBorders>
            <w:hideMark/>
          </w:tcPr>
          <w:p w14:paraId="15229EE0" w14:textId="77777777" w:rsidR="003B3F05" w:rsidRPr="00F117F6" w:rsidRDefault="003B3F05" w:rsidP="003B3F05">
            <w:pPr>
              <w:rPr>
                <w:rFonts w:eastAsia="PMingLiU"/>
                <w:i/>
                <w:color w:val="000000"/>
                <w:sz w:val="28"/>
                <w:szCs w:val="28"/>
                <w:lang w:val="lv-LV"/>
              </w:rPr>
            </w:pPr>
            <w:r w:rsidRPr="00F117F6">
              <w:rPr>
                <w:rFonts w:eastAsia="PMingLiU"/>
                <w:color w:val="000000"/>
                <w:sz w:val="28"/>
                <w:szCs w:val="28"/>
                <w:lang w:val="lv-LV" w:eastAsia="ja-JP"/>
              </w:rPr>
              <w:t xml:space="preserve">Saistības sniegt paziņojumu ES institūcijām un ES dalībvalstīm atbilstoši normatīvajiem aktiem, kas regulē informācijas sniegšanu par tehnisko noteikumu, valsts atbalsta </w:t>
            </w:r>
            <w:r w:rsidRPr="00F117F6">
              <w:rPr>
                <w:rFonts w:eastAsia="PMingLiU"/>
                <w:color w:val="000000"/>
                <w:sz w:val="28"/>
                <w:szCs w:val="28"/>
                <w:lang w:val="lv-LV" w:eastAsia="ja-JP"/>
              </w:rPr>
              <w:lastRenderedPageBreak/>
              <w:t>piešķiršanas un finanšu noteikumu (attiecībā uz monetāro politiku) projektiem</w:t>
            </w:r>
          </w:p>
        </w:tc>
        <w:tc>
          <w:tcPr>
            <w:tcW w:w="4754" w:type="dxa"/>
            <w:gridSpan w:val="2"/>
            <w:tcBorders>
              <w:top w:val="single" w:sz="4" w:space="0" w:color="auto"/>
              <w:left w:val="single" w:sz="4" w:space="0" w:color="auto"/>
              <w:bottom w:val="single" w:sz="4" w:space="0" w:color="auto"/>
              <w:right w:val="single" w:sz="4" w:space="0" w:color="auto"/>
            </w:tcBorders>
            <w:hideMark/>
          </w:tcPr>
          <w:p w14:paraId="6C35C4D9" w14:textId="77777777" w:rsidR="003B3F05" w:rsidRPr="00F117F6" w:rsidRDefault="003B3F05" w:rsidP="003B3F05">
            <w:pPr>
              <w:jc w:val="both"/>
              <w:rPr>
                <w:rFonts w:eastAsia="PMingLiU"/>
                <w:color w:val="000000"/>
                <w:sz w:val="28"/>
                <w:szCs w:val="28"/>
                <w:lang w:val="lv-LV"/>
              </w:rPr>
            </w:pPr>
            <w:r w:rsidRPr="00F117F6">
              <w:rPr>
                <w:rFonts w:eastAsia="PMingLiU"/>
                <w:iCs/>
                <w:color w:val="000000"/>
                <w:sz w:val="28"/>
                <w:szCs w:val="28"/>
                <w:lang w:val="lv-LV" w:eastAsia="ja-JP"/>
              </w:rPr>
              <w:lastRenderedPageBreak/>
              <w:t>Noteikumu projekts šo jomu neskar.</w:t>
            </w:r>
          </w:p>
        </w:tc>
      </w:tr>
      <w:tr w:rsidR="003B3F05" w:rsidRPr="00F117F6" w14:paraId="326CD79C" w14:textId="77777777" w:rsidTr="003B3F05">
        <w:tc>
          <w:tcPr>
            <w:tcW w:w="4454" w:type="dxa"/>
            <w:gridSpan w:val="2"/>
            <w:tcBorders>
              <w:top w:val="single" w:sz="4" w:space="0" w:color="auto"/>
              <w:left w:val="single" w:sz="4" w:space="0" w:color="auto"/>
              <w:bottom w:val="single" w:sz="4" w:space="0" w:color="auto"/>
              <w:right w:val="single" w:sz="4" w:space="0" w:color="auto"/>
            </w:tcBorders>
            <w:hideMark/>
          </w:tcPr>
          <w:p w14:paraId="1F322C2D" w14:textId="77777777" w:rsidR="003B3F05" w:rsidRPr="00F117F6" w:rsidRDefault="003B3F05" w:rsidP="003B3F05">
            <w:pPr>
              <w:rPr>
                <w:rFonts w:eastAsia="Times New Roman"/>
                <w:i/>
                <w:color w:val="000000"/>
                <w:sz w:val="28"/>
                <w:szCs w:val="28"/>
                <w:lang w:val="lv-LV"/>
              </w:rPr>
            </w:pPr>
            <w:r w:rsidRPr="00F117F6">
              <w:rPr>
                <w:rFonts w:eastAsia="Times New Roman"/>
                <w:color w:val="000000"/>
                <w:sz w:val="28"/>
                <w:szCs w:val="28"/>
                <w:lang w:val="lv-LV"/>
              </w:rPr>
              <w:t>Cita informācija</w:t>
            </w:r>
          </w:p>
        </w:tc>
        <w:tc>
          <w:tcPr>
            <w:tcW w:w="4754" w:type="dxa"/>
            <w:gridSpan w:val="2"/>
            <w:tcBorders>
              <w:top w:val="single" w:sz="4" w:space="0" w:color="auto"/>
              <w:left w:val="single" w:sz="4" w:space="0" w:color="auto"/>
              <w:bottom w:val="single" w:sz="4" w:space="0" w:color="auto"/>
              <w:right w:val="single" w:sz="4" w:space="0" w:color="auto"/>
            </w:tcBorders>
            <w:hideMark/>
          </w:tcPr>
          <w:p w14:paraId="62D57816" w14:textId="77777777" w:rsidR="003B3F05" w:rsidRPr="00F117F6" w:rsidRDefault="003B3F05" w:rsidP="003B3F05">
            <w:pPr>
              <w:rPr>
                <w:rFonts w:eastAsia="PMingLiU"/>
                <w:color w:val="000000"/>
                <w:sz w:val="28"/>
                <w:szCs w:val="28"/>
                <w:lang w:val="lv-LV"/>
              </w:rPr>
            </w:pPr>
            <w:r w:rsidRPr="00F117F6">
              <w:rPr>
                <w:rFonts w:eastAsia="PMingLiU"/>
                <w:color w:val="000000"/>
                <w:sz w:val="28"/>
                <w:szCs w:val="28"/>
                <w:lang w:val="lv-LV" w:eastAsia="ja-JP"/>
              </w:rPr>
              <w:t>Nav.</w:t>
            </w:r>
          </w:p>
        </w:tc>
      </w:tr>
    </w:tbl>
    <w:p w14:paraId="68253D41" w14:textId="77777777" w:rsidR="00C64334" w:rsidRPr="00C64334" w:rsidRDefault="00C64334" w:rsidP="00C64334">
      <w:pPr>
        <w:jc w:val="center"/>
        <w:rPr>
          <w:rFonts w:eastAsia="PMingLiU"/>
          <w:sz w:val="24"/>
          <w:szCs w:val="24"/>
          <w:lang w:val="lv-LV"/>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2564"/>
        <w:gridCol w:w="3260"/>
      </w:tblGrid>
      <w:tr w:rsidR="00C64334" w:rsidRPr="00822B60" w14:paraId="74D9D8C4" w14:textId="77777777" w:rsidTr="002E7B7E">
        <w:tc>
          <w:tcPr>
            <w:tcW w:w="9208" w:type="dxa"/>
            <w:gridSpan w:val="3"/>
            <w:tcBorders>
              <w:top w:val="single" w:sz="4" w:space="0" w:color="auto"/>
              <w:left w:val="single" w:sz="4" w:space="0" w:color="auto"/>
              <w:bottom w:val="single" w:sz="4" w:space="0" w:color="auto"/>
              <w:right w:val="single" w:sz="4" w:space="0" w:color="auto"/>
            </w:tcBorders>
            <w:hideMark/>
          </w:tcPr>
          <w:p w14:paraId="77ABD1C2" w14:textId="77777777" w:rsidR="00C64334" w:rsidRPr="00822B60" w:rsidRDefault="00C64334" w:rsidP="00C64334">
            <w:pPr>
              <w:jc w:val="center"/>
              <w:rPr>
                <w:rFonts w:eastAsia="Times New Roman"/>
                <w:b/>
                <w:color w:val="000000"/>
                <w:sz w:val="28"/>
                <w:szCs w:val="28"/>
                <w:lang w:val="lv-LV"/>
              </w:rPr>
            </w:pPr>
            <w:r w:rsidRPr="00822B60">
              <w:rPr>
                <w:rFonts w:eastAsia="Times New Roman"/>
                <w:b/>
                <w:color w:val="000000"/>
                <w:sz w:val="28"/>
                <w:szCs w:val="28"/>
                <w:lang w:val="lv-LV"/>
              </w:rPr>
              <w:t>2.tabula. Ar tiesību akta projektu uzņemtās saistības, kas izriet no starptautiskajiem tiesību aktiem vai starptautiskas institūcijas vai organizācijas dokumentiem</w:t>
            </w:r>
          </w:p>
          <w:p w14:paraId="159AF5F1" w14:textId="77777777" w:rsidR="00C64334" w:rsidRPr="00822B60" w:rsidRDefault="00C64334" w:rsidP="00C64334">
            <w:pPr>
              <w:jc w:val="center"/>
              <w:rPr>
                <w:rFonts w:eastAsia="PMingLiU"/>
                <w:color w:val="000000"/>
                <w:sz w:val="28"/>
                <w:szCs w:val="28"/>
                <w:lang w:val="lv-LV"/>
              </w:rPr>
            </w:pPr>
            <w:r w:rsidRPr="00822B60">
              <w:rPr>
                <w:rFonts w:eastAsia="PMingLiU"/>
                <w:b/>
                <w:color w:val="000000"/>
                <w:sz w:val="28"/>
                <w:szCs w:val="28"/>
                <w:lang w:val="lv-LV" w:eastAsia="ja-JP"/>
              </w:rPr>
              <w:t>Pasākumi šo saistību izpildei</w:t>
            </w:r>
          </w:p>
        </w:tc>
      </w:tr>
      <w:tr w:rsidR="00C64334" w:rsidRPr="00822B60" w14:paraId="631CFFFC" w14:textId="77777777" w:rsidTr="002E7B7E">
        <w:tc>
          <w:tcPr>
            <w:tcW w:w="3384" w:type="dxa"/>
            <w:tcBorders>
              <w:top w:val="single" w:sz="4" w:space="0" w:color="auto"/>
              <w:left w:val="single" w:sz="4" w:space="0" w:color="auto"/>
              <w:bottom w:val="single" w:sz="4" w:space="0" w:color="auto"/>
              <w:right w:val="single" w:sz="4" w:space="0" w:color="auto"/>
            </w:tcBorders>
            <w:hideMark/>
          </w:tcPr>
          <w:p w14:paraId="645DDC93" w14:textId="77777777" w:rsidR="00C64334" w:rsidRPr="00822B60" w:rsidRDefault="00C64334" w:rsidP="00C64334">
            <w:pPr>
              <w:rPr>
                <w:rFonts w:eastAsia="PMingLiU"/>
                <w:color w:val="000000"/>
                <w:sz w:val="28"/>
                <w:szCs w:val="28"/>
                <w:lang w:val="lv-LV"/>
              </w:rPr>
            </w:pPr>
            <w:r w:rsidRPr="00822B60">
              <w:rPr>
                <w:rFonts w:eastAsia="PMingLiU"/>
                <w:color w:val="000000"/>
                <w:sz w:val="28"/>
                <w:szCs w:val="28"/>
                <w:lang w:val="lv-LV" w:eastAsia="ja-JP"/>
              </w:rPr>
              <w:t>Attiecīgā starptautiskā tiesību akta vai starptautiskas institūcijas vai organizācijas dokumenta (turpmāk – starptautiskais dokuments) datums, numurs un nosaukums</w:t>
            </w:r>
          </w:p>
        </w:tc>
        <w:tc>
          <w:tcPr>
            <w:tcW w:w="5824" w:type="dxa"/>
            <w:gridSpan w:val="2"/>
            <w:tcBorders>
              <w:top w:val="single" w:sz="4" w:space="0" w:color="auto"/>
              <w:left w:val="single" w:sz="4" w:space="0" w:color="auto"/>
              <w:bottom w:val="single" w:sz="4" w:space="0" w:color="auto"/>
              <w:right w:val="single" w:sz="4" w:space="0" w:color="auto"/>
            </w:tcBorders>
            <w:hideMark/>
          </w:tcPr>
          <w:p w14:paraId="7FE3D987" w14:textId="77777777" w:rsidR="00C64334" w:rsidRPr="00822B60" w:rsidRDefault="00C64334" w:rsidP="00C64334">
            <w:pPr>
              <w:tabs>
                <w:tab w:val="left" w:pos="325"/>
              </w:tabs>
              <w:rPr>
                <w:rFonts w:eastAsia="PMingLiU"/>
                <w:i/>
                <w:color w:val="000000"/>
                <w:sz w:val="28"/>
                <w:szCs w:val="28"/>
                <w:lang w:val="lv-LV"/>
              </w:rPr>
            </w:pPr>
            <w:r w:rsidRPr="00822B60">
              <w:rPr>
                <w:rFonts w:eastAsia="PMingLiU"/>
                <w:iCs/>
                <w:color w:val="000000"/>
                <w:sz w:val="28"/>
                <w:szCs w:val="28"/>
                <w:lang w:val="lv-LV" w:eastAsia="ja-JP"/>
              </w:rPr>
              <w:t>Noteikumu projekts šo jomu neskar.</w:t>
            </w:r>
          </w:p>
        </w:tc>
      </w:tr>
      <w:tr w:rsidR="00C64334" w:rsidRPr="00822B60" w14:paraId="3439FC8A" w14:textId="77777777" w:rsidTr="002E7B7E">
        <w:tc>
          <w:tcPr>
            <w:tcW w:w="3384" w:type="dxa"/>
            <w:tcBorders>
              <w:top w:val="single" w:sz="4" w:space="0" w:color="auto"/>
              <w:left w:val="single" w:sz="4" w:space="0" w:color="auto"/>
              <w:bottom w:val="single" w:sz="4" w:space="0" w:color="auto"/>
              <w:right w:val="single" w:sz="4" w:space="0" w:color="auto"/>
            </w:tcBorders>
            <w:hideMark/>
          </w:tcPr>
          <w:p w14:paraId="6A954EC5" w14:textId="77777777" w:rsidR="00C64334" w:rsidRPr="00822B60" w:rsidRDefault="00C64334" w:rsidP="00C64334">
            <w:pPr>
              <w:jc w:val="center"/>
              <w:rPr>
                <w:rFonts w:eastAsia="PMingLiU"/>
                <w:color w:val="000000"/>
                <w:sz w:val="28"/>
                <w:szCs w:val="28"/>
                <w:lang w:val="lv-LV"/>
              </w:rPr>
            </w:pPr>
            <w:r w:rsidRPr="00822B60">
              <w:rPr>
                <w:rFonts w:eastAsia="PMingLiU"/>
                <w:color w:val="000000"/>
                <w:sz w:val="28"/>
                <w:szCs w:val="28"/>
                <w:lang w:val="lv-LV" w:eastAsia="ja-JP"/>
              </w:rPr>
              <w:t>A</w:t>
            </w:r>
          </w:p>
        </w:tc>
        <w:tc>
          <w:tcPr>
            <w:tcW w:w="2564" w:type="dxa"/>
            <w:tcBorders>
              <w:top w:val="single" w:sz="4" w:space="0" w:color="auto"/>
              <w:left w:val="single" w:sz="4" w:space="0" w:color="auto"/>
              <w:bottom w:val="single" w:sz="4" w:space="0" w:color="auto"/>
              <w:right w:val="single" w:sz="4" w:space="0" w:color="auto"/>
            </w:tcBorders>
            <w:hideMark/>
          </w:tcPr>
          <w:p w14:paraId="7CFBCECD" w14:textId="77777777" w:rsidR="00C64334" w:rsidRPr="00822B60" w:rsidRDefault="00C64334" w:rsidP="00C64334">
            <w:pPr>
              <w:jc w:val="center"/>
              <w:rPr>
                <w:rFonts w:eastAsia="PMingLiU"/>
                <w:color w:val="000000"/>
                <w:sz w:val="28"/>
                <w:szCs w:val="28"/>
                <w:lang w:val="lv-LV"/>
              </w:rPr>
            </w:pPr>
            <w:r w:rsidRPr="00822B60">
              <w:rPr>
                <w:rFonts w:eastAsia="PMingLiU"/>
                <w:color w:val="000000"/>
                <w:sz w:val="28"/>
                <w:szCs w:val="28"/>
                <w:lang w:val="lv-LV" w:eastAsia="ja-JP"/>
              </w:rPr>
              <w:t>B</w:t>
            </w:r>
          </w:p>
        </w:tc>
        <w:tc>
          <w:tcPr>
            <w:tcW w:w="3260" w:type="dxa"/>
            <w:tcBorders>
              <w:top w:val="single" w:sz="4" w:space="0" w:color="auto"/>
              <w:left w:val="single" w:sz="4" w:space="0" w:color="auto"/>
              <w:bottom w:val="single" w:sz="4" w:space="0" w:color="auto"/>
              <w:right w:val="single" w:sz="4" w:space="0" w:color="auto"/>
            </w:tcBorders>
            <w:hideMark/>
          </w:tcPr>
          <w:p w14:paraId="63399C9C" w14:textId="77777777" w:rsidR="00C64334" w:rsidRPr="00822B60" w:rsidRDefault="00C64334" w:rsidP="00C64334">
            <w:pPr>
              <w:jc w:val="center"/>
              <w:rPr>
                <w:rFonts w:eastAsia="PMingLiU"/>
                <w:color w:val="000000"/>
                <w:sz w:val="28"/>
                <w:szCs w:val="28"/>
                <w:lang w:val="lv-LV"/>
              </w:rPr>
            </w:pPr>
            <w:r w:rsidRPr="00822B60">
              <w:rPr>
                <w:rFonts w:eastAsia="PMingLiU"/>
                <w:color w:val="000000"/>
                <w:sz w:val="28"/>
                <w:szCs w:val="28"/>
                <w:lang w:val="lv-LV" w:eastAsia="ja-JP"/>
              </w:rPr>
              <w:t>C</w:t>
            </w:r>
          </w:p>
        </w:tc>
      </w:tr>
      <w:tr w:rsidR="00C64334" w:rsidRPr="00822B60" w14:paraId="74C536D4" w14:textId="77777777" w:rsidTr="002E7B7E">
        <w:tc>
          <w:tcPr>
            <w:tcW w:w="3384" w:type="dxa"/>
            <w:tcBorders>
              <w:top w:val="single" w:sz="4" w:space="0" w:color="auto"/>
              <w:left w:val="single" w:sz="4" w:space="0" w:color="auto"/>
              <w:bottom w:val="single" w:sz="4" w:space="0" w:color="auto"/>
              <w:right w:val="single" w:sz="4" w:space="0" w:color="auto"/>
            </w:tcBorders>
            <w:hideMark/>
          </w:tcPr>
          <w:p w14:paraId="2F9A1B3E" w14:textId="77777777" w:rsidR="00C64334" w:rsidRPr="00822B60" w:rsidRDefault="00C64334" w:rsidP="00C64334">
            <w:pPr>
              <w:rPr>
                <w:rFonts w:eastAsia="PMingLiU"/>
                <w:color w:val="000000"/>
                <w:sz w:val="28"/>
                <w:szCs w:val="28"/>
                <w:lang w:val="lv-LV" w:eastAsia="ja-JP"/>
              </w:rPr>
            </w:pPr>
            <w:r w:rsidRPr="00822B60">
              <w:rPr>
                <w:rFonts w:eastAsia="PMingLiU"/>
                <w:color w:val="000000"/>
                <w:sz w:val="28"/>
                <w:szCs w:val="28"/>
                <w:lang w:val="lv-LV" w:eastAsia="ja-JP"/>
              </w:rPr>
              <w:t>Starptautiskās saistības (pēc būtības), kas izriet no norādītā starptautiskā dokumenta.</w:t>
            </w:r>
          </w:p>
          <w:p w14:paraId="4613DC96" w14:textId="77777777" w:rsidR="00C64334" w:rsidRPr="00822B60" w:rsidRDefault="00C64334" w:rsidP="00C64334">
            <w:pPr>
              <w:rPr>
                <w:rFonts w:eastAsia="PMingLiU"/>
                <w:color w:val="000000"/>
                <w:sz w:val="28"/>
                <w:szCs w:val="28"/>
                <w:lang w:val="lv-LV"/>
              </w:rPr>
            </w:pPr>
            <w:r w:rsidRPr="00822B60">
              <w:rPr>
                <w:rFonts w:eastAsia="PMingLiU"/>
                <w:color w:val="000000"/>
                <w:sz w:val="28"/>
                <w:szCs w:val="28"/>
                <w:lang w:val="lv-LV" w:eastAsia="ja-JP"/>
              </w:rPr>
              <w:t>Konkrēti veicamie pasākumi vai uzdevumi, kas nepieciešami šo starptautisko saistību izpildei</w:t>
            </w:r>
          </w:p>
        </w:tc>
        <w:tc>
          <w:tcPr>
            <w:tcW w:w="2564" w:type="dxa"/>
            <w:tcBorders>
              <w:top w:val="single" w:sz="4" w:space="0" w:color="auto"/>
              <w:left w:val="single" w:sz="4" w:space="0" w:color="auto"/>
              <w:bottom w:val="single" w:sz="4" w:space="0" w:color="auto"/>
              <w:right w:val="single" w:sz="4" w:space="0" w:color="auto"/>
            </w:tcBorders>
            <w:hideMark/>
          </w:tcPr>
          <w:p w14:paraId="03022FC7" w14:textId="77777777" w:rsidR="00C64334" w:rsidRPr="00822B60" w:rsidRDefault="00C64334" w:rsidP="00C64334">
            <w:pPr>
              <w:rPr>
                <w:rFonts w:eastAsia="PMingLiU"/>
                <w:color w:val="000000"/>
                <w:sz w:val="28"/>
                <w:szCs w:val="28"/>
                <w:lang w:val="lv-LV"/>
              </w:rPr>
            </w:pPr>
            <w:r w:rsidRPr="00822B60">
              <w:rPr>
                <w:rFonts w:eastAsia="PMingLiU"/>
                <w:color w:val="000000"/>
                <w:sz w:val="28"/>
                <w:szCs w:val="28"/>
                <w:lang w:val="lv-LV" w:eastAsia="ja-JP"/>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260" w:type="dxa"/>
            <w:tcBorders>
              <w:top w:val="single" w:sz="4" w:space="0" w:color="auto"/>
              <w:left w:val="single" w:sz="4" w:space="0" w:color="auto"/>
              <w:bottom w:val="single" w:sz="4" w:space="0" w:color="auto"/>
              <w:right w:val="single" w:sz="4" w:space="0" w:color="auto"/>
            </w:tcBorders>
            <w:hideMark/>
          </w:tcPr>
          <w:p w14:paraId="05EF8B23" w14:textId="77777777" w:rsidR="00C64334" w:rsidRPr="00822B60" w:rsidRDefault="00C64334" w:rsidP="00C64334">
            <w:pPr>
              <w:rPr>
                <w:rFonts w:eastAsia="PMingLiU"/>
                <w:color w:val="000000"/>
                <w:sz w:val="28"/>
                <w:szCs w:val="28"/>
                <w:lang w:val="lv-LV" w:eastAsia="ja-JP"/>
              </w:rPr>
            </w:pPr>
            <w:r w:rsidRPr="00822B60">
              <w:rPr>
                <w:rFonts w:eastAsia="PMingLiU"/>
                <w:color w:val="000000"/>
                <w:sz w:val="28"/>
                <w:szCs w:val="28"/>
                <w:lang w:val="lv-LV" w:eastAsia="ja-JP"/>
              </w:rPr>
              <w:t>Informācija par to, vai starptautiskās saistības, kas minētas šīs tabulas A ailē, tiek izpildītas pilnībā vai daļēji.</w:t>
            </w:r>
          </w:p>
          <w:p w14:paraId="51B966C7" w14:textId="77777777" w:rsidR="00C64334" w:rsidRPr="00822B60" w:rsidRDefault="00C64334" w:rsidP="00C64334">
            <w:pPr>
              <w:rPr>
                <w:rFonts w:eastAsia="PMingLiU"/>
                <w:color w:val="000000"/>
                <w:sz w:val="28"/>
                <w:szCs w:val="28"/>
                <w:lang w:val="lv-LV" w:eastAsia="ja-JP"/>
              </w:rPr>
            </w:pPr>
            <w:r w:rsidRPr="00822B60">
              <w:rPr>
                <w:rFonts w:eastAsia="PMingLiU"/>
                <w:color w:val="000000"/>
                <w:sz w:val="28"/>
                <w:szCs w:val="28"/>
                <w:lang w:val="lv-LV" w:eastAsia="ja-JP"/>
              </w:rPr>
              <w:t>Ja attiecīgās starptautiskās saistības tiek izpildītas daļēji, sniedz attiecīgu skaidrojumu, kā arī precīzi norāda, kad un kādā veidā starptautiskās saistības tiks izpildītas pilnībā.</w:t>
            </w:r>
          </w:p>
          <w:p w14:paraId="50A8BF71" w14:textId="77777777" w:rsidR="00C64334" w:rsidRPr="00822B60" w:rsidRDefault="00C64334" w:rsidP="00C64334">
            <w:pPr>
              <w:rPr>
                <w:rFonts w:eastAsia="PMingLiU"/>
                <w:color w:val="000000"/>
                <w:sz w:val="28"/>
                <w:szCs w:val="28"/>
                <w:lang w:val="lv-LV"/>
              </w:rPr>
            </w:pPr>
            <w:r w:rsidRPr="00822B60">
              <w:rPr>
                <w:rFonts w:eastAsia="PMingLiU"/>
                <w:color w:val="000000"/>
                <w:sz w:val="28"/>
                <w:szCs w:val="28"/>
                <w:lang w:val="lv-LV" w:eastAsia="ja-JP"/>
              </w:rPr>
              <w:t>Norāda institūciju, kas ir atbildīga par šo saistību izpildi pilnībā</w:t>
            </w:r>
          </w:p>
        </w:tc>
      </w:tr>
      <w:tr w:rsidR="00C64334" w:rsidRPr="00822B60" w14:paraId="6030B3B6" w14:textId="77777777" w:rsidTr="002E7B7E">
        <w:tc>
          <w:tcPr>
            <w:tcW w:w="3384" w:type="dxa"/>
            <w:tcBorders>
              <w:top w:val="single" w:sz="4" w:space="0" w:color="auto"/>
              <w:left w:val="single" w:sz="4" w:space="0" w:color="auto"/>
              <w:bottom w:val="single" w:sz="4" w:space="0" w:color="auto"/>
              <w:right w:val="single" w:sz="4" w:space="0" w:color="auto"/>
            </w:tcBorders>
            <w:hideMark/>
          </w:tcPr>
          <w:p w14:paraId="4CD5489E" w14:textId="77777777" w:rsidR="00C64334" w:rsidRPr="00822B60" w:rsidRDefault="00C64334" w:rsidP="00C64334">
            <w:pPr>
              <w:rPr>
                <w:rFonts w:eastAsia="PMingLiU"/>
                <w:color w:val="000000"/>
                <w:sz w:val="28"/>
                <w:szCs w:val="28"/>
                <w:lang w:val="lv-LV"/>
              </w:rPr>
            </w:pPr>
            <w:r w:rsidRPr="00822B60">
              <w:rPr>
                <w:rFonts w:eastAsia="PMingLiU"/>
                <w:iCs/>
                <w:color w:val="000000"/>
                <w:sz w:val="28"/>
                <w:szCs w:val="28"/>
                <w:lang w:val="lv-LV" w:eastAsia="ja-JP"/>
              </w:rPr>
              <w:t>Noteikumu projekts šo jomu neskar.</w:t>
            </w:r>
          </w:p>
        </w:tc>
        <w:tc>
          <w:tcPr>
            <w:tcW w:w="2564" w:type="dxa"/>
            <w:tcBorders>
              <w:top w:val="single" w:sz="4" w:space="0" w:color="auto"/>
              <w:left w:val="single" w:sz="4" w:space="0" w:color="auto"/>
              <w:bottom w:val="single" w:sz="4" w:space="0" w:color="auto"/>
              <w:right w:val="single" w:sz="4" w:space="0" w:color="auto"/>
            </w:tcBorders>
            <w:hideMark/>
          </w:tcPr>
          <w:p w14:paraId="2D4FBAEE" w14:textId="77777777" w:rsidR="00C64334" w:rsidRPr="00822B60" w:rsidRDefault="00C64334" w:rsidP="00C64334">
            <w:pPr>
              <w:rPr>
                <w:rFonts w:eastAsia="PMingLiU"/>
                <w:color w:val="000000"/>
                <w:sz w:val="28"/>
                <w:szCs w:val="28"/>
                <w:lang w:val="lv-LV"/>
              </w:rPr>
            </w:pPr>
            <w:r w:rsidRPr="00822B60">
              <w:rPr>
                <w:rFonts w:eastAsia="PMingLiU"/>
                <w:iCs/>
                <w:color w:val="000000"/>
                <w:sz w:val="28"/>
                <w:szCs w:val="28"/>
                <w:lang w:val="lv-LV" w:eastAsia="ja-JP"/>
              </w:rPr>
              <w:t>Noteikumu projekts šo jomu neskar.</w:t>
            </w:r>
          </w:p>
        </w:tc>
        <w:tc>
          <w:tcPr>
            <w:tcW w:w="3260" w:type="dxa"/>
            <w:tcBorders>
              <w:top w:val="single" w:sz="4" w:space="0" w:color="auto"/>
              <w:left w:val="single" w:sz="4" w:space="0" w:color="auto"/>
              <w:bottom w:val="single" w:sz="4" w:space="0" w:color="auto"/>
              <w:right w:val="single" w:sz="4" w:space="0" w:color="auto"/>
            </w:tcBorders>
            <w:hideMark/>
          </w:tcPr>
          <w:p w14:paraId="66C2F4A8" w14:textId="77777777" w:rsidR="00C64334" w:rsidRPr="00822B60" w:rsidRDefault="00C64334" w:rsidP="00C64334">
            <w:pPr>
              <w:rPr>
                <w:rFonts w:eastAsia="PMingLiU"/>
                <w:color w:val="000000"/>
                <w:sz w:val="28"/>
                <w:szCs w:val="28"/>
                <w:lang w:val="lv-LV"/>
              </w:rPr>
            </w:pPr>
            <w:r w:rsidRPr="00822B60">
              <w:rPr>
                <w:rFonts w:eastAsia="PMingLiU"/>
                <w:iCs/>
                <w:color w:val="000000"/>
                <w:sz w:val="28"/>
                <w:szCs w:val="28"/>
                <w:lang w:val="lv-LV" w:eastAsia="ja-JP"/>
              </w:rPr>
              <w:t>Noteikumu projekts šo jomu neskar.</w:t>
            </w:r>
          </w:p>
        </w:tc>
      </w:tr>
      <w:tr w:rsidR="00C64334" w:rsidRPr="00822B60" w14:paraId="0B98C1E3" w14:textId="77777777" w:rsidTr="002E7B7E">
        <w:tc>
          <w:tcPr>
            <w:tcW w:w="3384" w:type="dxa"/>
            <w:tcBorders>
              <w:top w:val="single" w:sz="4" w:space="0" w:color="auto"/>
              <w:left w:val="single" w:sz="4" w:space="0" w:color="auto"/>
              <w:bottom w:val="single" w:sz="4" w:space="0" w:color="auto"/>
              <w:right w:val="single" w:sz="4" w:space="0" w:color="auto"/>
            </w:tcBorders>
            <w:hideMark/>
          </w:tcPr>
          <w:p w14:paraId="476B2F6C" w14:textId="77777777" w:rsidR="00C64334" w:rsidRPr="00822B60" w:rsidRDefault="00C64334" w:rsidP="00C64334">
            <w:pPr>
              <w:rPr>
                <w:rFonts w:eastAsia="PMingLiU"/>
                <w:color w:val="000000"/>
                <w:sz w:val="28"/>
                <w:szCs w:val="28"/>
                <w:lang w:val="lv-LV"/>
              </w:rPr>
            </w:pPr>
            <w:r w:rsidRPr="00822B60">
              <w:rPr>
                <w:rFonts w:eastAsia="PMingLiU"/>
                <w:color w:val="000000"/>
                <w:sz w:val="28"/>
                <w:szCs w:val="28"/>
                <w:lang w:val="lv-LV" w:eastAsia="ja-JP"/>
              </w:rPr>
              <w:t>Vai starptautiskajā dokumentā paredzētās saistības nav pretrunā ar jau esošajām Latvijas Republikas starptautiskajām saistībām</w:t>
            </w:r>
          </w:p>
        </w:tc>
        <w:tc>
          <w:tcPr>
            <w:tcW w:w="5824" w:type="dxa"/>
            <w:gridSpan w:val="2"/>
            <w:tcBorders>
              <w:top w:val="single" w:sz="4" w:space="0" w:color="auto"/>
              <w:left w:val="single" w:sz="4" w:space="0" w:color="auto"/>
              <w:bottom w:val="single" w:sz="4" w:space="0" w:color="auto"/>
              <w:right w:val="single" w:sz="4" w:space="0" w:color="auto"/>
            </w:tcBorders>
            <w:hideMark/>
          </w:tcPr>
          <w:p w14:paraId="7607280F" w14:textId="77777777" w:rsidR="00C64334" w:rsidRPr="00822B60" w:rsidRDefault="00C64334" w:rsidP="00C64334">
            <w:pPr>
              <w:rPr>
                <w:rFonts w:eastAsia="PMingLiU"/>
                <w:i/>
                <w:color w:val="000000"/>
                <w:sz w:val="28"/>
                <w:szCs w:val="28"/>
                <w:lang w:val="lv-LV"/>
              </w:rPr>
            </w:pPr>
            <w:r w:rsidRPr="00822B60">
              <w:rPr>
                <w:rFonts w:eastAsia="PMingLiU"/>
                <w:iCs/>
                <w:color w:val="000000"/>
                <w:sz w:val="28"/>
                <w:szCs w:val="28"/>
                <w:lang w:val="lv-LV" w:eastAsia="ja-JP"/>
              </w:rPr>
              <w:t>Noteikumu projekts šo jomu neskar.</w:t>
            </w:r>
          </w:p>
        </w:tc>
      </w:tr>
      <w:tr w:rsidR="00C64334" w:rsidRPr="00822B60" w14:paraId="2D614E2E" w14:textId="77777777" w:rsidTr="002E7B7E">
        <w:tc>
          <w:tcPr>
            <w:tcW w:w="3384" w:type="dxa"/>
            <w:tcBorders>
              <w:top w:val="single" w:sz="4" w:space="0" w:color="auto"/>
              <w:left w:val="single" w:sz="4" w:space="0" w:color="auto"/>
              <w:bottom w:val="single" w:sz="4" w:space="0" w:color="auto"/>
              <w:right w:val="single" w:sz="4" w:space="0" w:color="auto"/>
            </w:tcBorders>
            <w:hideMark/>
          </w:tcPr>
          <w:p w14:paraId="7E52CD72" w14:textId="77777777" w:rsidR="00C64334" w:rsidRPr="00822B60" w:rsidRDefault="00C64334" w:rsidP="00C64334">
            <w:pPr>
              <w:rPr>
                <w:rFonts w:eastAsia="PMingLiU"/>
                <w:color w:val="000000"/>
                <w:sz w:val="28"/>
                <w:szCs w:val="28"/>
                <w:lang w:val="lv-LV"/>
              </w:rPr>
            </w:pPr>
            <w:r w:rsidRPr="00822B60">
              <w:rPr>
                <w:rFonts w:eastAsia="PMingLiU"/>
                <w:color w:val="000000"/>
                <w:sz w:val="28"/>
                <w:szCs w:val="28"/>
                <w:lang w:val="lv-LV" w:eastAsia="ja-JP"/>
              </w:rPr>
              <w:t>Cita informācija</w:t>
            </w:r>
          </w:p>
        </w:tc>
        <w:tc>
          <w:tcPr>
            <w:tcW w:w="5824" w:type="dxa"/>
            <w:gridSpan w:val="2"/>
            <w:tcBorders>
              <w:top w:val="single" w:sz="4" w:space="0" w:color="auto"/>
              <w:left w:val="single" w:sz="4" w:space="0" w:color="auto"/>
              <w:bottom w:val="single" w:sz="4" w:space="0" w:color="auto"/>
              <w:right w:val="single" w:sz="4" w:space="0" w:color="auto"/>
            </w:tcBorders>
            <w:hideMark/>
          </w:tcPr>
          <w:p w14:paraId="49A08028" w14:textId="77777777" w:rsidR="00C64334" w:rsidRPr="00822B60" w:rsidRDefault="00C64334" w:rsidP="00C64334">
            <w:pPr>
              <w:rPr>
                <w:rFonts w:eastAsia="PMingLiU"/>
                <w:color w:val="000000"/>
                <w:sz w:val="28"/>
                <w:szCs w:val="28"/>
                <w:lang w:val="lv-LV"/>
              </w:rPr>
            </w:pPr>
            <w:r w:rsidRPr="00822B60">
              <w:rPr>
                <w:rFonts w:eastAsia="PMingLiU"/>
                <w:color w:val="000000"/>
                <w:sz w:val="28"/>
                <w:szCs w:val="28"/>
                <w:lang w:val="lv-LV" w:eastAsia="ja-JP"/>
              </w:rPr>
              <w:t>Nav.</w:t>
            </w:r>
          </w:p>
        </w:tc>
      </w:tr>
    </w:tbl>
    <w:p w14:paraId="090117C7" w14:textId="77777777" w:rsidR="00C64334" w:rsidRPr="00C64334" w:rsidRDefault="00C64334" w:rsidP="00C64334">
      <w:pPr>
        <w:rPr>
          <w:rFonts w:eastAsia="PMingLiU"/>
          <w:sz w:val="24"/>
          <w:szCs w:val="24"/>
          <w:lang w:val="lv-LV"/>
        </w:rPr>
      </w:pPr>
    </w:p>
    <w:tbl>
      <w:tblPr>
        <w:tblW w:w="94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50"/>
      </w:tblGrid>
      <w:tr w:rsidR="00C64334" w:rsidRPr="00822B60" w14:paraId="4FE091E1" w14:textId="77777777" w:rsidTr="00822B60">
        <w:trPr>
          <w:trHeight w:val="249"/>
        </w:trPr>
        <w:tc>
          <w:tcPr>
            <w:tcW w:w="9450" w:type="dxa"/>
            <w:vAlign w:val="center"/>
          </w:tcPr>
          <w:p w14:paraId="09F9D156" w14:textId="77777777" w:rsidR="00C64334" w:rsidRPr="00822B60" w:rsidRDefault="00C64334" w:rsidP="00C64334">
            <w:pPr>
              <w:ind w:left="57" w:right="57"/>
              <w:jc w:val="center"/>
              <w:rPr>
                <w:rFonts w:eastAsia="Times New Roman"/>
                <w:sz w:val="28"/>
                <w:szCs w:val="28"/>
                <w:lang w:val="lv-LV" w:eastAsia="lv-LV"/>
              </w:rPr>
            </w:pPr>
            <w:r w:rsidRPr="00822B60">
              <w:rPr>
                <w:rFonts w:eastAsia="Times New Roman"/>
                <w:b/>
                <w:sz w:val="28"/>
                <w:szCs w:val="28"/>
                <w:lang w:val="lv-LV" w:eastAsia="lv-LV"/>
              </w:rPr>
              <w:t>VI. Sabiedrības līdzdalība un komunikācijas aktivitātes</w:t>
            </w:r>
          </w:p>
        </w:tc>
      </w:tr>
      <w:tr w:rsidR="00822B60" w:rsidRPr="00822B60" w14:paraId="2363A066" w14:textId="77777777" w:rsidTr="00822B60">
        <w:trPr>
          <w:trHeight w:val="218"/>
        </w:trPr>
        <w:tc>
          <w:tcPr>
            <w:tcW w:w="9450" w:type="dxa"/>
          </w:tcPr>
          <w:p w14:paraId="6C76C4AA" w14:textId="00A4C78E" w:rsidR="00822B60" w:rsidRPr="00822B60" w:rsidRDefault="00822B60" w:rsidP="00822B60">
            <w:pPr>
              <w:ind w:left="57" w:right="57"/>
              <w:jc w:val="center"/>
              <w:rPr>
                <w:rFonts w:eastAsia="PMingLiU"/>
                <w:sz w:val="28"/>
                <w:szCs w:val="28"/>
                <w:lang w:val="lv-LV" w:eastAsia="ja-JP"/>
              </w:rPr>
            </w:pPr>
            <w:proofErr w:type="spellStart"/>
            <w:r>
              <w:rPr>
                <w:bCs/>
                <w:sz w:val="28"/>
                <w:szCs w:val="28"/>
              </w:rPr>
              <w:lastRenderedPageBreak/>
              <w:t>Noteikumu</w:t>
            </w:r>
            <w:proofErr w:type="spellEnd"/>
            <w:r>
              <w:rPr>
                <w:bCs/>
                <w:sz w:val="28"/>
                <w:szCs w:val="28"/>
              </w:rPr>
              <w:t xml:space="preserve"> </w:t>
            </w:r>
            <w:proofErr w:type="spellStart"/>
            <w:r>
              <w:rPr>
                <w:bCs/>
                <w:sz w:val="28"/>
                <w:szCs w:val="28"/>
              </w:rPr>
              <w:t>p</w:t>
            </w:r>
            <w:r w:rsidRPr="00822B60">
              <w:rPr>
                <w:bCs/>
                <w:sz w:val="28"/>
                <w:szCs w:val="28"/>
              </w:rPr>
              <w:t>rojekts</w:t>
            </w:r>
            <w:proofErr w:type="spellEnd"/>
            <w:r w:rsidRPr="00822B60">
              <w:rPr>
                <w:bCs/>
                <w:sz w:val="28"/>
                <w:szCs w:val="28"/>
              </w:rPr>
              <w:t xml:space="preserve"> </w:t>
            </w:r>
            <w:proofErr w:type="spellStart"/>
            <w:r w:rsidRPr="00822B60">
              <w:rPr>
                <w:bCs/>
                <w:sz w:val="28"/>
                <w:szCs w:val="28"/>
              </w:rPr>
              <w:t>šo</w:t>
            </w:r>
            <w:proofErr w:type="spellEnd"/>
            <w:r w:rsidRPr="00822B60">
              <w:rPr>
                <w:bCs/>
                <w:sz w:val="28"/>
                <w:szCs w:val="28"/>
              </w:rPr>
              <w:t xml:space="preserve"> </w:t>
            </w:r>
            <w:proofErr w:type="spellStart"/>
            <w:r w:rsidRPr="00822B60">
              <w:rPr>
                <w:bCs/>
                <w:sz w:val="28"/>
                <w:szCs w:val="28"/>
              </w:rPr>
              <w:t>jomu</w:t>
            </w:r>
            <w:proofErr w:type="spellEnd"/>
            <w:r w:rsidRPr="00822B60">
              <w:rPr>
                <w:bCs/>
                <w:sz w:val="28"/>
                <w:szCs w:val="28"/>
              </w:rPr>
              <w:t xml:space="preserve"> </w:t>
            </w:r>
            <w:proofErr w:type="spellStart"/>
            <w:r w:rsidRPr="00822B60">
              <w:rPr>
                <w:bCs/>
                <w:sz w:val="28"/>
                <w:szCs w:val="28"/>
              </w:rPr>
              <w:t>neskar</w:t>
            </w:r>
            <w:proofErr w:type="spellEnd"/>
            <w:r w:rsidRPr="00822B60">
              <w:rPr>
                <w:bCs/>
                <w:sz w:val="28"/>
                <w:szCs w:val="28"/>
              </w:rPr>
              <w:t>.</w:t>
            </w:r>
            <w:bookmarkStart w:id="6" w:name="p61"/>
            <w:bookmarkEnd w:id="6"/>
          </w:p>
        </w:tc>
      </w:tr>
    </w:tbl>
    <w:p w14:paraId="7A376ED9" w14:textId="77777777" w:rsidR="00C64334" w:rsidRPr="00C64334" w:rsidRDefault="00C64334" w:rsidP="00C64334">
      <w:pPr>
        <w:jc w:val="both"/>
        <w:rPr>
          <w:rFonts w:eastAsia="PMingLiU"/>
          <w:sz w:val="24"/>
          <w:szCs w:val="24"/>
          <w:lang w:val="lv-LV" w:eastAsia="ja-JP"/>
        </w:rPr>
      </w:pPr>
    </w:p>
    <w:p w14:paraId="44AB9C1C" w14:textId="0E9263FE" w:rsidR="00844176" w:rsidRPr="003F45F7" w:rsidRDefault="00844176" w:rsidP="00844176">
      <w:pPr>
        <w:rPr>
          <w:rFonts w:eastAsia="Times New Roman"/>
          <w:sz w:val="28"/>
          <w:szCs w:val="28"/>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39"/>
        <w:gridCol w:w="6197"/>
      </w:tblGrid>
      <w:tr w:rsidR="00844176" w:rsidRPr="003F45F7" w14:paraId="79E751A3" w14:textId="77777777" w:rsidTr="00822B60">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0690BE75" w14:textId="77777777" w:rsidR="00844176" w:rsidRPr="003F45F7" w:rsidRDefault="00844176" w:rsidP="00A459E6">
            <w:pPr>
              <w:spacing w:before="100" w:beforeAutospacing="1" w:after="100" w:afterAutospacing="1"/>
              <w:ind w:firstLine="300"/>
              <w:jc w:val="center"/>
              <w:rPr>
                <w:rFonts w:eastAsia="Times New Roman"/>
                <w:sz w:val="28"/>
                <w:szCs w:val="28"/>
                <w:lang w:val="lv-LV" w:eastAsia="lv-LV"/>
              </w:rPr>
            </w:pPr>
            <w:r w:rsidRPr="003F45F7">
              <w:rPr>
                <w:rFonts w:eastAsia="Times New Roman"/>
                <w:b/>
                <w:bCs/>
                <w:color w:val="000000"/>
                <w:sz w:val="28"/>
                <w:szCs w:val="28"/>
                <w:lang w:val="lv-LV" w:eastAsia="lv-LV"/>
              </w:rPr>
              <w:t>VII. Tiesību akta projekta izpildes nodrošināšana un tās ietekme uz institūcijām</w:t>
            </w:r>
          </w:p>
        </w:tc>
      </w:tr>
      <w:tr w:rsidR="00844176" w:rsidRPr="003F45F7" w14:paraId="4E2367C7" w14:textId="77777777" w:rsidTr="00822B60">
        <w:trPr>
          <w:trHeight w:val="420"/>
        </w:trPr>
        <w:tc>
          <w:tcPr>
            <w:tcW w:w="270" w:type="dxa"/>
            <w:tcBorders>
              <w:top w:val="outset" w:sz="6" w:space="0" w:color="414142"/>
              <w:left w:val="outset" w:sz="6" w:space="0" w:color="414142"/>
              <w:bottom w:val="outset" w:sz="6" w:space="0" w:color="414142"/>
              <w:right w:val="outset" w:sz="6" w:space="0" w:color="414142"/>
            </w:tcBorders>
            <w:hideMark/>
          </w:tcPr>
          <w:p w14:paraId="3A33D0D4"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1.</w:t>
            </w:r>
          </w:p>
        </w:tc>
        <w:tc>
          <w:tcPr>
            <w:tcW w:w="2739" w:type="dxa"/>
            <w:tcBorders>
              <w:top w:val="outset" w:sz="6" w:space="0" w:color="414142"/>
              <w:left w:val="outset" w:sz="6" w:space="0" w:color="414142"/>
              <w:bottom w:val="outset" w:sz="6" w:space="0" w:color="414142"/>
              <w:right w:val="outset" w:sz="6" w:space="0" w:color="414142"/>
            </w:tcBorders>
            <w:hideMark/>
          </w:tcPr>
          <w:p w14:paraId="70DF1D2B" w14:textId="77777777" w:rsidR="00844176" w:rsidRPr="003F45F7" w:rsidRDefault="00844176" w:rsidP="00A459E6">
            <w:pPr>
              <w:ind w:right="112"/>
              <w:jc w:val="both"/>
              <w:rPr>
                <w:sz w:val="28"/>
                <w:szCs w:val="28"/>
                <w:lang w:val="lv-LV"/>
              </w:rPr>
            </w:pPr>
            <w:r w:rsidRPr="003F45F7">
              <w:rPr>
                <w:sz w:val="28"/>
                <w:szCs w:val="28"/>
                <w:lang w:val="lv-LV"/>
              </w:rPr>
              <w:t>Projekta izpildē iesaistītās institūcijas</w:t>
            </w:r>
          </w:p>
        </w:tc>
        <w:tc>
          <w:tcPr>
            <w:tcW w:w="6197" w:type="dxa"/>
            <w:tcBorders>
              <w:top w:val="outset" w:sz="6" w:space="0" w:color="414142"/>
              <w:left w:val="outset" w:sz="6" w:space="0" w:color="414142"/>
              <w:bottom w:val="outset" w:sz="6" w:space="0" w:color="414142"/>
              <w:right w:val="outset" w:sz="6" w:space="0" w:color="414142"/>
            </w:tcBorders>
            <w:hideMark/>
          </w:tcPr>
          <w:p w14:paraId="3A6EF7C1" w14:textId="58E309C8" w:rsidR="00844176" w:rsidRPr="003F45F7" w:rsidRDefault="00844176" w:rsidP="00A459E6">
            <w:pPr>
              <w:ind w:left="82" w:right="161"/>
              <w:jc w:val="both"/>
              <w:rPr>
                <w:sz w:val="28"/>
                <w:szCs w:val="28"/>
                <w:lang w:val="lv-LV"/>
              </w:rPr>
            </w:pPr>
            <w:r w:rsidRPr="003F45F7">
              <w:rPr>
                <w:sz w:val="28"/>
                <w:szCs w:val="28"/>
                <w:lang w:val="lv-LV"/>
              </w:rPr>
              <w:t>Ministru kabineta noteikum</w:t>
            </w:r>
            <w:r w:rsidR="003F45F7" w:rsidRPr="003F45F7">
              <w:rPr>
                <w:sz w:val="28"/>
                <w:szCs w:val="28"/>
                <w:lang w:val="lv-LV"/>
              </w:rPr>
              <w:t>u projekta izpildi nodrošinās Ekonomikas ministrija</w:t>
            </w:r>
            <w:r w:rsidRPr="003F45F7">
              <w:rPr>
                <w:sz w:val="28"/>
                <w:szCs w:val="28"/>
                <w:lang w:val="lv-LV"/>
              </w:rPr>
              <w:t xml:space="preserve"> un </w:t>
            </w:r>
            <w:r w:rsidR="00B86997">
              <w:rPr>
                <w:sz w:val="28"/>
                <w:szCs w:val="28"/>
                <w:lang w:val="lv-LV"/>
              </w:rPr>
              <w:t>akciju sabiedrība</w:t>
            </w:r>
            <w:r w:rsidR="003F45F7" w:rsidRPr="003F45F7">
              <w:rPr>
                <w:sz w:val="28"/>
                <w:szCs w:val="28"/>
                <w:lang w:val="lv-LV"/>
              </w:rPr>
              <w:t xml:space="preserve"> “Attīstības finanšu institūcija </w:t>
            </w:r>
            <w:proofErr w:type="spellStart"/>
            <w:r w:rsidR="003F45F7" w:rsidRPr="003F45F7">
              <w:rPr>
                <w:sz w:val="28"/>
                <w:szCs w:val="28"/>
                <w:lang w:val="lv-LV"/>
              </w:rPr>
              <w:t>Altum</w:t>
            </w:r>
            <w:proofErr w:type="spellEnd"/>
            <w:r w:rsidR="003F45F7" w:rsidRPr="003F45F7">
              <w:rPr>
                <w:sz w:val="28"/>
                <w:szCs w:val="28"/>
                <w:lang w:val="lv-LV"/>
              </w:rPr>
              <w:t>”</w:t>
            </w:r>
            <w:r w:rsidRPr="003F45F7">
              <w:rPr>
                <w:sz w:val="28"/>
                <w:szCs w:val="28"/>
                <w:lang w:val="lv-LV"/>
              </w:rPr>
              <w:t>.</w:t>
            </w:r>
          </w:p>
        </w:tc>
      </w:tr>
      <w:tr w:rsidR="00844176" w:rsidRPr="003F45F7" w14:paraId="5A8DB668" w14:textId="77777777" w:rsidTr="00822B60">
        <w:trPr>
          <w:trHeight w:val="450"/>
        </w:trPr>
        <w:tc>
          <w:tcPr>
            <w:tcW w:w="270" w:type="dxa"/>
            <w:tcBorders>
              <w:top w:val="outset" w:sz="6" w:space="0" w:color="414142"/>
              <w:left w:val="outset" w:sz="6" w:space="0" w:color="414142"/>
              <w:bottom w:val="outset" w:sz="6" w:space="0" w:color="414142"/>
              <w:right w:val="outset" w:sz="6" w:space="0" w:color="414142"/>
            </w:tcBorders>
            <w:hideMark/>
          </w:tcPr>
          <w:p w14:paraId="3F510DC4"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2.</w:t>
            </w:r>
          </w:p>
        </w:tc>
        <w:tc>
          <w:tcPr>
            <w:tcW w:w="2739" w:type="dxa"/>
            <w:tcBorders>
              <w:top w:val="outset" w:sz="6" w:space="0" w:color="414142"/>
              <w:left w:val="outset" w:sz="6" w:space="0" w:color="414142"/>
              <w:bottom w:val="outset" w:sz="6" w:space="0" w:color="414142"/>
              <w:right w:val="outset" w:sz="6" w:space="0" w:color="414142"/>
            </w:tcBorders>
            <w:hideMark/>
          </w:tcPr>
          <w:p w14:paraId="2389F531" w14:textId="77777777" w:rsidR="00844176" w:rsidRPr="003F45F7" w:rsidRDefault="00844176" w:rsidP="00A459E6">
            <w:pPr>
              <w:ind w:right="112"/>
              <w:jc w:val="both"/>
              <w:rPr>
                <w:sz w:val="28"/>
                <w:szCs w:val="28"/>
                <w:lang w:val="lv-LV"/>
              </w:rPr>
            </w:pPr>
            <w:r w:rsidRPr="003F45F7">
              <w:rPr>
                <w:sz w:val="28"/>
                <w:szCs w:val="28"/>
                <w:lang w:val="lv-LV"/>
              </w:rPr>
              <w:t>Projekta izpildes ietekme uz pārvaldes funkcijām un institucionālo struktūru. Jaunu institūciju izveide, esošu institūciju likvidācija vai reorganizācija, to ietekme uz institūcijas cilvēkresursiem.</w:t>
            </w:r>
          </w:p>
        </w:tc>
        <w:tc>
          <w:tcPr>
            <w:tcW w:w="6197" w:type="dxa"/>
            <w:tcBorders>
              <w:top w:val="outset" w:sz="6" w:space="0" w:color="414142"/>
              <w:left w:val="outset" w:sz="6" w:space="0" w:color="414142"/>
              <w:bottom w:val="outset" w:sz="6" w:space="0" w:color="414142"/>
              <w:right w:val="outset" w:sz="6" w:space="0" w:color="414142"/>
            </w:tcBorders>
            <w:hideMark/>
          </w:tcPr>
          <w:p w14:paraId="7E901C3C" w14:textId="657F33BA" w:rsidR="00844176" w:rsidRPr="003F45F7" w:rsidRDefault="00844176" w:rsidP="00A459E6">
            <w:pPr>
              <w:ind w:left="82" w:right="161"/>
              <w:jc w:val="both"/>
              <w:rPr>
                <w:sz w:val="28"/>
                <w:szCs w:val="28"/>
                <w:lang w:val="lv-LV"/>
              </w:rPr>
            </w:pPr>
            <w:r w:rsidRPr="003F45F7">
              <w:rPr>
                <w:sz w:val="28"/>
                <w:szCs w:val="28"/>
                <w:lang w:val="lv-LV"/>
              </w:rPr>
              <w:t>Ministru kabineta noteikumu proj</w:t>
            </w:r>
            <w:r w:rsidR="003F45F7" w:rsidRPr="003F45F7">
              <w:rPr>
                <w:sz w:val="28"/>
                <w:szCs w:val="28"/>
                <w:lang w:val="lv-LV"/>
              </w:rPr>
              <w:t>ekta izpilde tiks nodrošināta Ekonomikas ministrijas</w:t>
            </w:r>
            <w:r w:rsidRPr="003F45F7">
              <w:rPr>
                <w:sz w:val="28"/>
                <w:szCs w:val="28"/>
                <w:lang w:val="lv-LV"/>
              </w:rPr>
              <w:t xml:space="preserve"> un </w:t>
            </w:r>
            <w:r w:rsidR="00B86997">
              <w:rPr>
                <w:sz w:val="28"/>
                <w:szCs w:val="28"/>
                <w:lang w:val="lv-LV"/>
              </w:rPr>
              <w:t>akciju sabiedrības</w:t>
            </w:r>
            <w:r w:rsidR="003F45F7" w:rsidRPr="003F45F7">
              <w:rPr>
                <w:sz w:val="28"/>
                <w:szCs w:val="28"/>
                <w:lang w:val="lv-LV"/>
              </w:rPr>
              <w:t xml:space="preserve"> “Attīstības finanšu institūcija </w:t>
            </w:r>
            <w:proofErr w:type="spellStart"/>
            <w:r w:rsidR="003F45F7" w:rsidRPr="003F45F7">
              <w:rPr>
                <w:sz w:val="28"/>
                <w:szCs w:val="28"/>
                <w:lang w:val="lv-LV"/>
              </w:rPr>
              <w:t>Altum</w:t>
            </w:r>
            <w:proofErr w:type="spellEnd"/>
            <w:r w:rsidR="003F45F7" w:rsidRPr="003F45F7">
              <w:rPr>
                <w:sz w:val="28"/>
                <w:szCs w:val="28"/>
                <w:lang w:val="lv-LV"/>
              </w:rPr>
              <w:t xml:space="preserve">” </w:t>
            </w:r>
            <w:r w:rsidRPr="003F45F7">
              <w:rPr>
                <w:sz w:val="28"/>
                <w:szCs w:val="28"/>
                <w:lang w:val="lv-LV"/>
              </w:rPr>
              <w:t>esošo funkciju ietvaros.</w:t>
            </w:r>
          </w:p>
          <w:p w14:paraId="799815EA" w14:textId="77777777" w:rsidR="00844176" w:rsidRPr="003F45F7" w:rsidRDefault="00844176" w:rsidP="00A459E6">
            <w:pPr>
              <w:ind w:left="82" w:right="161" w:firstLine="720"/>
              <w:jc w:val="both"/>
              <w:rPr>
                <w:sz w:val="28"/>
                <w:szCs w:val="28"/>
                <w:lang w:val="lv-LV"/>
              </w:rPr>
            </w:pPr>
          </w:p>
        </w:tc>
      </w:tr>
      <w:tr w:rsidR="00844176" w:rsidRPr="003F45F7" w14:paraId="78F1F3A6" w14:textId="77777777" w:rsidTr="00822B60">
        <w:trPr>
          <w:trHeight w:val="390"/>
        </w:trPr>
        <w:tc>
          <w:tcPr>
            <w:tcW w:w="270" w:type="dxa"/>
            <w:tcBorders>
              <w:top w:val="outset" w:sz="6" w:space="0" w:color="414142"/>
              <w:left w:val="outset" w:sz="6" w:space="0" w:color="414142"/>
              <w:bottom w:val="outset" w:sz="6" w:space="0" w:color="414142"/>
              <w:right w:val="outset" w:sz="6" w:space="0" w:color="414142"/>
            </w:tcBorders>
            <w:hideMark/>
          </w:tcPr>
          <w:p w14:paraId="099B8C20"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3.</w:t>
            </w:r>
          </w:p>
        </w:tc>
        <w:tc>
          <w:tcPr>
            <w:tcW w:w="2739" w:type="dxa"/>
            <w:tcBorders>
              <w:top w:val="outset" w:sz="6" w:space="0" w:color="414142"/>
              <w:left w:val="outset" w:sz="6" w:space="0" w:color="414142"/>
              <w:bottom w:val="outset" w:sz="6" w:space="0" w:color="414142"/>
              <w:right w:val="outset" w:sz="6" w:space="0" w:color="414142"/>
            </w:tcBorders>
            <w:hideMark/>
          </w:tcPr>
          <w:p w14:paraId="2F5B6105" w14:textId="77777777" w:rsidR="00844176" w:rsidRPr="003F45F7" w:rsidRDefault="00844176" w:rsidP="00A459E6">
            <w:pPr>
              <w:jc w:val="both"/>
              <w:rPr>
                <w:rFonts w:eastAsia="Times New Roman"/>
                <w:sz w:val="28"/>
                <w:szCs w:val="28"/>
                <w:lang w:val="lv-LV" w:eastAsia="lv-LV"/>
              </w:rPr>
            </w:pPr>
            <w:r w:rsidRPr="003F45F7">
              <w:rPr>
                <w:rFonts w:eastAsia="Times New Roman"/>
                <w:sz w:val="28"/>
                <w:szCs w:val="28"/>
                <w:lang w:val="lv-LV" w:eastAsia="lv-LV"/>
              </w:rPr>
              <w:t>Cita informācija</w:t>
            </w:r>
          </w:p>
        </w:tc>
        <w:tc>
          <w:tcPr>
            <w:tcW w:w="6197" w:type="dxa"/>
            <w:tcBorders>
              <w:top w:val="outset" w:sz="6" w:space="0" w:color="414142"/>
              <w:left w:val="outset" w:sz="6" w:space="0" w:color="414142"/>
              <w:bottom w:val="outset" w:sz="6" w:space="0" w:color="414142"/>
              <w:right w:val="outset" w:sz="6" w:space="0" w:color="414142"/>
            </w:tcBorders>
            <w:hideMark/>
          </w:tcPr>
          <w:p w14:paraId="5FA5DBE6" w14:textId="77777777" w:rsidR="00844176" w:rsidRPr="003F45F7" w:rsidRDefault="00844176" w:rsidP="00A459E6">
            <w:pPr>
              <w:ind w:firstLine="720"/>
              <w:jc w:val="both"/>
              <w:rPr>
                <w:rFonts w:eastAsia="Times New Roman"/>
                <w:sz w:val="28"/>
                <w:szCs w:val="28"/>
                <w:lang w:val="lv-LV" w:eastAsia="lv-LV"/>
              </w:rPr>
            </w:pPr>
            <w:r w:rsidRPr="003F45F7">
              <w:rPr>
                <w:rFonts w:eastAsia="Times New Roman"/>
                <w:sz w:val="28"/>
                <w:szCs w:val="28"/>
                <w:lang w:val="lv-LV" w:eastAsia="lv-LV"/>
              </w:rPr>
              <w:t>Nav</w:t>
            </w:r>
          </w:p>
        </w:tc>
      </w:tr>
    </w:tbl>
    <w:p w14:paraId="34A12F6A" w14:textId="77777777" w:rsidR="004E6C7D" w:rsidRPr="003F45F7" w:rsidRDefault="004E6C7D" w:rsidP="00EA6CD3">
      <w:pPr>
        <w:tabs>
          <w:tab w:val="right" w:pos="9072"/>
        </w:tabs>
        <w:rPr>
          <w:sz w:val="28"/>
          <w:szCs w:val="28"/>
          <w:lang w:val="lv-LV"/>
        </w:rPr>
      </w:pPr>
    </w:p>
    <w:p w14:paraId="77A8F9C3" w14:textId="77777777" w:rsidR="000A0059" w:rsidRPr="003F45F7" w:rsidRDefault="000A0059" w:rsidP="00EA6CD3">
      <w:pPr>
        <w:tabs>
          <w:tab w:val="right" w:pos="9072"/>
        </w:tabs>
        <w:rPr>
          <w:sz w:val="28"/>
          <w:szCs w:val="28"/>
          <w:lang w:val="lv-LV"/>
        </w:rPr>
      </w:pPr>
    </w:p>
    <w:p w14:paraId="5233A7A9" w14:textId="77777777" w:rsidR="00EB184B" w:rsidRPr="003F45F7" w:rsidRDefault="00EB184B" w:rsidP="00EB184B">
      <w:pPr>
        <w:jc w:val="both"/>
        <w:rPr>
          <w:sz w:val="28"/>
          <w:szCs w:val="28"/>
          <w:lang w:val="lv-LV"/>
        </w:rPr>
      </w:pPr>
      <w:r w:rsidRPr="003F45F7">
        <w:rPr>
          <w:sz w:val="28"/>
          <w:szCs w:val="28"/>
          <w:lang w:val="lv-LV"/>
        </w:rPr>
        <w:t>Ministru prezidenta biedrs,</w:t>
      </w:r>
    </w:p>
    <w:p w14:paraId="22B3D324" w14:textId="7567DA13" w:rsidR="00EB184B" w:rsidRPr="003F45F7" w:rsidRDefault="00EB184B" w:rsidP="00EB184B">
      <w:pPr>
        <w:jc w:val="both"/>
        <w:rPr>
          <w:sz w:val="28"/>
          <w:szCs w:val="28"/>
          <w:lang w:val="lv-LV"/>
        </w:rPr>
      </w:pPr>
      <w:r w:rsidRPr="003F45F7">
        <w:rPr>
          <w:sz w:val="28"/>
          <w:szCs w:val="28"/>
          <w:lang w:val="lv-LV"/>
        </w:rPr>
        <w:t>ekonomikas ministrs</w:t>
      </w:r>
      <w:r w:rsidR="006640F1">
        <w:rPr>
          <w:sz w:val="28"/>
          <w:szCs w:val="28"/>
          <w:lang w:val="lv-LV"/>
        </w:rPr>
        <w:tab/>
      </w:r>
      <w:r w:rsidR="006640F1">
        <w:rPr>
          <w:sz w:val="28"/>
          <w:szCs w:val="28"/>
          <w:lang w:val="lv-LV"/>
        </w:rPr>
        <w:tab/>
      </w:r>
      <w:r w:rsidR="006640F1">
        <w:rPr>
          <w:sz w:val="28"/>
          <w:szCs w:val="28"/>
          <w:lang w:val="lv-LV"/>
        </w:rPr>
        <w:tab/>
      </w:r>
      <w:r w:rsidR="006640F1">
        <w:rPr>
          <w:sz w:val="28"/>
          <w:szCs w:val="28"/>
          <w:lang w:val="lv-LV"/>
        </w:rPr>
        <w:tab/>
      </w:r>
      <w:r w:rsidR="006640F1">
        <w:rPr>
          <w:sz w:val="28"/>
          <w:szCs w:val="28"/>
          <w:lang w:val="lv-LV"/>
        </w:rPr>
        <w:tab/>
      </w:r>
      <w:r w:rsidR="006640F1">
        <w:rPr>
          <w:sz w:val="28"/>
          <w:szCs w:val="28"/>
          <w:lang w:val="lv-LV"/>
        </w:rPr>
        <w:tab/>
      </w:r>
      <w:r w:rsidR="006C20C5" w:rsidRPr="003F45F7">
        <w:rPr>
          <w:sz w:val="28"/>
          <w:szCs w:val="28"/>
          <w:lang w:val="lv-LV"/>
        </w:rPr>
        <w:tab/>
      </w:r>
      <w:r w:rsidRPr="003F45F7">
        <w:rPr>
          <w:sz w:val="28"/>
          <w:szCs w:val="28"/>
          <w:lang w:val="lv-LV"/>
        </w:rPr>
        <w:t>A. Ašeradens</w:t>
      </w:r>
    </w:p>
    <w:p w14:paraId="67B7D043" w14:textId="77777777" w:rsidR="00EB184B" w:rsidRPr="003F45F7" w:rsidRDefault="00EB184B" w:rsidP="00EB184B">
      <w:pPr>
        <w:jc w:val="both"/>
        <w:rPr>
          <w:sz w:val="28"/>
          <w:szCs w:val="28"/>
          <w:lang w:val="lv-LV"/>
        </w:rPr>
      </w:pPr>
    </w:p>
    <w:p w14:paraId="68588B83" w14:textId="77777777" w:rsidR="000A0059" w:rsidRPr="003F45F7" w:rsidRDefault="00EB184B" w:rsidP="00EB184B">
      <w:pPr>
        <w:jc w:val="both"/>
        <w:rPr>
          <w:sz w:val="28"/>
          <w:szCs w:val="28"/>
          <w:lang w:val="lv-LV"/>
        </w:rPr>
      </w:pPr>
      <w:r w:rsidRPr="003F45F7">
        <w:rPr>
          <w:sz w:val="28"/>
          <w:szCs w:val="28"/>
          <w:lang w:val="lv-LV"/>
        </w:rPr>
        <w:t>Vīza:</w:t>
      </w:r>
    </w:p>
    <w:p w14:paraId="25E7447C" w14:textId="6E685865" w:rsidR="002C504B" w:rsidRPr="003F45F7" w:rsidRDefault="00EB184B" w:rsidP="006C20C5">
      <w:pPr>
        <w:jc w:val="both"/>
        <w:rPr>
          <w:sz w:val="28"/>
          <w:szCs w:val="28"/>
          <w:lang w:val="lv-LV"/>
        </w:rPr>
      </w:pPr>
      <w:r w:rsidRPr="003F45F7">
        <w:rPr>
          <w:sz w:val="28"/>
          <w:szCs w:val="28"/>
          <w:lang w:val="lv-LV"/>
        </w:rPr>
        <w:t>Valsts sekretār</w:t>
      </w:r>
      <w:r w:rsidR="006C20C5" w:rsidRPr="003F45F7">
        <w:rPr>
          <w:sz w:val="28"/>
          <w:szCs w:val="28"/>
          <w:lang w:val="lv-LV"/>
        </w:rPr>
        <w:t>s</w:t>
      </w:r>
      <w:r w:rsidR="006C20C5" w:rsidRPr="003F45F7">
        <w:rPr>
          <w:sz w:val="28"/>
          <w:szCs w:val="28"/>
          <w:lang w:val="lv-LV"/>
        </w:rPr>
        <w:tab/>
      </w:r>
      <w:r w:rsidR="006C20C5" w:rsidRPr="003F45F7">
        <w:rPr>
          <w:sz w:val="28"/>
          <w:szCs w:val="28"/>
          <w:lang w:val="lv-LV"/>
        </w:rPr>
        <w:tab/>
      </w:r>
      <w:r w:rsidR="006C20C5" w:rsidRPr="003F45F7">
        <w:rPr>
          <w:sz w:val="28"/>
          <w:szCs w:val="28"/>
          <w:lang w:val="lv-LV"/>
        </w:rPr>
        <w:tab/>
      </w:r>
      <w:r w:rsidR="006C20C5" w:rsidRPr="003F45F7">
        <w:rPr>
          <w:sz w:val="28"/>
          <w:szCs w:val="28"/>
          <w:lang w:val="lv-LV"/>
        </w:rPr>
        <w:tab/>
      </w:r>
      <w:r w:rsidR="006C20C5" w:rsidRPr="003F45F7">
        <w:rPr>
          <w:sz w:val="28"/>
          <w:szCs w:val="28"/>
          <w:lang w:val="lv-LV"/>
        </w:rPr>
        <w:tab/>
      </w:r>
      <w:r w:rsidR="006C20C5" w:rsidRPr="003F45F7">
        <w:rPr>
          <w:sz w:val="28"/>
          <w:szCs w:val="28"/>
          <w:lang w:val="lv-LV"/>
        </w:rPr>
        <w:tab/>
      </w:r>
      <w:r w:rsidR="006C20C5" w:rsidRPr="003F45F7">
        <w:rPr>
          <w:sz w:val="28"/>
          <w:szCs w:val="28"/>
          <w:lang w:val="lv-LV"/>
        </w:rPr>
        <w:tab/>
      </w:r>
      <w:r w:rsidR="006C20C5" w:rsidRPr="003F45F7">
        <w:rPr>
          <w:sz w:val="28"/>
          <w:szCs w:val="28"/>
          <w:lang w:val="lv-LV"/>
        </w:rPr>
        <w:tab/>
      </w:r>
      <w:proofErr w:type="spellStart"/>
      <w:r w:rsidR="006C20C5" w:rsidRPr="003F45F7">
        <w:rPr>
          <w:sz w:val="28"/>
          <w:szCs w:val="28"/>
          <w:lang w:val="lv-LV"/>
        </w:rPr>
        <w:t>J.Stinka</w:t>
      </w:r>
      <w:proofErr w:type="spellEnd"/>
    </w:p>
    <w:p w14:paraId="0A456EEB" w14:textId="77777777" w:rsidR="00EB184B" w:rsidRPr="004232A9" w:rsidRDefault="00EB184B" w:rsidP="00EB184B">
      <w:pPr>
        <w:jc w:val="both"/>
        <w:rPr>
          <w:sz w:val="24"/>
          <w:szCs w:val="24"/>
          <w:lang w:val="lv-LV"/>
        </w:rPr>
      </w:pPr>
    </w:p>
    <w:p w14:paraId="77EA9A20" w14:textId="09ABE2C9" w:rsidR="0001286B" w:rsidRDefault="0001286B" w:rsidP="00EE573A">
      <w:pPr>
        <w:spacing w:after="60"/>
        <w:jc w:val="both"/>
        <w:rPr>
          <w:lang w:val="lv-LV"/>
        </w:rPr>
      </w:pPr>
      <w:r>
        <w:rPr>
          <w:lang w:val="lv-LV"/>
        </w:rPr>
        <w:fldChar w:fldCharType="begin"/>
      </w:r>
      <w:r>
        <w:rPr>
          <w:lang w:val="lv-LV"/>
        </w:rPr>
        <w:instrText xml:space="preserve"> USERNAME   \* MERGEFORMAT </w:instrText>
      </w:r>
      <w:r>
        <w:rPr>
          <w:lang w:val="lv-LV"/>
        </w:rPr>
        <w:fldChar w:fldCharType="separate"/>
      </w:r>
      <w:r w:rsidR="002A2E61">
        <w:rPr>
          <w:noProof/>
          <w:lang w:val="lv-LV"/>
        </w:rPr>
        <w:t>Signe Tuklere</w:t>
      </w:r>
      <w:r>
        <w:rPr>
          <w:lang w:val="lv-LV"/>
        </w:rPr>
        <w:fldChar w:fldCharType="end"/>
      </w:r>
      <w:r w:rsidR="00600073">
        <w:rPr>
          <w:lang w:val="lv-LV"/>
        </w:rPr>
        <w:t>, 67013298</w:t>
      </w:r>
    </w:p>
    <w:p w14:paraId="46C3419F" w14:textId="709CFC35" w:rsidR="00E57209" w:rsidRPr="00EE573A" w:rsidRDefault="0001286B" w:rsidP="00EE573A">
      <w:pPr>
        <w:spacing w:after="60"/>
        <w:jc w:val="both"/>
        <w:rPr>
          <w:lang w:val="lv-LV"/>
        </w:rPr>
      </w:pPr>
      <w:r>
        <w:fldChar w:fldCharType="begin"/>
      </w:r>
      <w:r>
        <w:instrText xml:space="preserve"> USERADDRESS   \* MERGEFORMAT </w:instrText>
      </w:r>
      <w:r>
        <w:fldChar w:fldCharType="end"/>
      </w:r>
      <w:r>
        <w:t>Signe.Tuklere@em.gov.lv</w:t>
      </w:r>
    </w:p>
    <w:sectPr w:rsidR="00E57209" w:rsidRPr="00EE573A" w:rsidSect="000472EA">
      <w:headerReference w:type="default" r:id="rId12"/>
      <w:footerReference w:type="default" r:id="rId13"/>
      <w:footerReference w:type="first" r:id="rId14"/>
      <w:endnotePr>
        <w:numFmt w:val="decimal"/>
      </w:endnotePr>
      <w:type w:val="continuous"/>
      <w:pgSz w:w="11906" w:h="16838"/>
      <w:pgMar w:top="1411" w:right="1008" w:bottom="1138" w:left="158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CA17D" w14:textId="77777777" w:rsidR="001B58F4" w:rsidRDefault="001B58F4" w:rsidP="006B2FEF">
      <w:r>
        <w:separator/>
      </w:r>
    </w:p>
  </w:endnote>
  <w:endnote w:type="continuationSeparator" w:id="0">
    <w:p w14:paraId="3FC1057D" w14:textId="77777777" w:rsidR="001B58F4" w:rsidRDefault="001B58F4" w:rsidP="006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72588" w14:textId="28AF5208" w:rsidR="00E37F50" w:rsidRDefault="005A5AE7" w:rsidP="00E37F50">
    <w:pPr>
      <w:pStyle w:val="Footer"/>
      <w:jc w:val="both"/>
    </w:pPr>
    <w:r>
      <w:rPr>
        <w:lang w:val="lv-LV"/>
      </w:rPr>
      <w:fldChar w:fldCharType="begin"/>
    </w:r>
    <w:r>
      <w:rPr>
        <w:lang w:val="lv-LV"/>
      </w:rPr>
      <w:instrText xml:space="preserve"> FILENAME   \* MERGEFORMAT </w:instrText>
    </w:r>
    <w:r>
      <w:rPr>
        <w:lang w:val="lv-LV"/>
      </w:rPr>
      <w:fldChar w:fldCharType="separate"/>
    </w:r>
    <w:r w:rsidR="005C3501">
      <w:rPr>
        <w:noProof/>
        <w:lang w:val="lv-LV"/>
      </w:rPr>
      <w:t>EMAnot_18</w:t>
    </w:r>
    <w:r w:rsidR="00092F46">
      <w:rPr>
        <w:noProof/>
        <w:lang w:val="lv-LV"/>
      </w:rPr>
      <w:t>12</w:t>
    </w:r>
    <w:r w:rsidR="00AB7503">
      <w:rPr>
        <w:noProof/>
        <w:lang w:val="lv-LV"/>
      </w:rPr>
      <w:t>17_groz469.docx</w:t>
    </w:r>
    <w:r>
      <w:rPr>
        <w:lang w:val="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D70E9" w14:textId="581ED17E" w:rsidR="003B7B62" w:rsidRDefault="00092F46" w:rsidP="003B7B62">
    <w:pPr>
      <w:pStyle w:val="Footer"/>
      <w:jc w:val="both"/>
    </w:pPr>
    <w:fldSimple w:instr=" FILENAME   \* MERGEFORMAT ">
      <w:r w:rsidR="005C3501">
        <w:rPr>
          <w:noProof/>
        </w:rPr>
        <w:t>EMAnot_18</w:t>
      </w:r>
      <w:r>
        <w:rPr>
          <w:noProof/>
        </w:rPr>
        <w:t>12</w:t>
      </w:r>
      <w:r w:rsidR="00AB7503">
        <w:rPr>
          <w:noProof/>
        </w:rPr>
        <w:t>17_groz469.docx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DBEA6" w14:textId="77777777" w:rsidR="001B58F4" w:rsidRDefault="001B58F4" w:rsidP="006B2FEF">
      <w:r>
        <w:separator/>
      </w:r>
    </w:p>
  </w:footnote>
  <w:footnote w:type="continuationSeparator" w:id="0">
    <w:p w14:paraId="7F342045" w14:textId="77777777" w:rsidR="001B58F4" w:rsidRDefault="001B58F4" w:rsidP="006B2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627235"/>
      <w:docPartObj>
        <w:docPartGallery w:val="Page Numbers (Top of Page)"/>
        <w:docPartUnique/>
      </w:docPartObj>
    </w:sdtPr>
    <w:sdtEndPr>
      <w:rPr>
        <w:sz w:val="24"/>
        <w:szCs w:val="24"/>
      </w:rPr>
    </w:sdtEndPr>
    <w:sdtContent>
      <w:p w14:paraId="5B9CF147" w14:textId="034F2EE6" w:rsidR="00C2517F" w:rsidRPr="00B014C2" w:rsidRDefault="00C2517F">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155483">
          <w:rPr>
            <w:noProof/>
            <w:sz w:val="24"/>
            <w:szCs w:val="24"/>
          </w:rPr>
          <w:t>7</w:t>
        </w:r>
        <w:r w:rsidRPr="00B014C2">
          <w:rPr>
            <w:sz w:val="24"/>
            <w:szCs w:val="24"/>
          </w:rPr>
          <w:fldChar w:fldCharType="end"/>
        </w:r>
      </w:p>
    </w:sdtContent>
  </w:sdt>
  <w:p w14:paraId="2EE12AED" w14:textId="77777777" w:rsidR="00C2517F" w:rsidRDefault="00C2517F">
    <w:pPr>
      <w:pStyle w:val="Header"/>
    </w:pPr>
  </w:p>
  <w:p w14:paraId="598329DB" w14:textId="77777777" w:rsidR="00290EE2" w:rsidRDefault="00290E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61A"/>
    <w:multiLevelType w:val="hybridMultilevel"/>
    <w:tmpl w:val="E90AB3D0"/>
    <w:lvl w:ilvl="0" w:tplc="69484720">
      <w:start w:val="5"/>
      <w:numFmt w:val="bullet"/>
      <w:lvlText w:val="-"/>
      <w:lvlJc w:val="left"/>
      <w:pPr>
        <w:ind w:left="501" w:hanging="360"/>
      </w:pPr>
      <w:rPr>
        <w:rFonts w:ascii="Times New Roman" w:eastAsia="Calibr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1" w15:restartNumberingAfterBreak="0">
    <w:nsid w:val="051D5F0E"/>
    <w:multiLevelType w:val="hybridMultilevel"/>
    <w:tmpl w:val="4B546A86"/>
    <w:lvl w:ilvl="0" w:tplc="1D9AE45C">
      <w:numFmt w:val="bullet"/>
      <w:lvlText w:val="–"/>
      <w:lvlJc w:val="left"/>
      <w:pPr>
        <w:ind w:left="142" w:hanging="360"/>
      </w:pPr>
      <w:rPr>
        <w:rFonts w:ascii="Times New Roman" w:eastAsia="Calibri" w:hAnsi="Times New Roman" w:cs="Times New Roman" w:hint="default"/>
      </w:rPr>
    </w:lvl>
    <w:lvl w:ilvl="1" w:tplc="04260003" w:tentative="1">
      <w:start w:val="1"/>
      <w:numFmt w:val="bullet"/>
      <w:lvlText w:val="o"/>
      <w:lvlJc w:val="left"/>
      <w:pPr>
        <w:ind w:left="862" w:hanging="360"/>
      </w:pPr>
      <w:rPr>
        <w:rFonts w:ascii="Courier New" w:hAnsi="Courier New" w:cs="Courier New" w:hint="default"/>
      </w:rPr>
    </w:lvl>
    <w:lvl w:ilvl="2" w:tplc="04260005" w:tentative="1">
      <w:start w:val="1"/>
      <w:numFmt w:val="bullet"/>
      <w:lvlText w:val=""/>
      <w:lvlJc w:val="left"/>
      <w:pPr>
        <w:ind w:left="1582" w:hanging="360"/>
      </w:pPr>
      <w:rPr>
        <w:rFonts w:ascii="Wingdings" w:hAnsi="Wingdings" w:hint="default"/>
      </w:rPr>
    </w:lvl>
    <w:lvl w:ilvl="3" w:tplc="04260001" w:tentative="1">
      <w:start w:val="1"/>
      <w:numFmt w:val="bullet"/>
      <w:lvlText w:val=""/>
      <w:lvlJc w:val="left"/>
      <w:pPr>
        <w:ind w:left="2302" w:hanging="360"/>
      </w:pPr>
      <w:rPr>
        <w:rFonts w:ascii="Symbol" w:hAnsi="Symbol" w:hint="default"/>
      </w:rPr>
    </w:lvl>
    <w:lvl w:ilvl="4" w:tplc="04260003" w:tentative="1">
      <w:start w:val="1"/>
      <w:numFmt w:val="bullet"/>
      <w:lvlText w:val="o"/>
      <w:lvlJc w:val="left"/>
      <w:pPr>
        <w:ind w:left="3022" w:hanging="360"/>
      </w:pPr>
      <w:rPr>
        <w:rFonts w:ascii="Courier New" w:hAnsi="Courier New" w:cs="Courier New" w:hint="default"/>
      </w:rPr>
    </w:lvl>
    <w:lvl w:ilvl="5" w:tplc="04260005" w:tentative="1">
      <w:start w:val="1"/>
      <w:numFmt w:val="bullet"/>
      <w:lvlText w:val=""/>
      <w:lvlJc w:val="left"/>
      <w:pPr>
        <w:ind w:left="3742" w:hanging="360"/>
      </w:pPr>
      <w:rPr>
        <w:rFonts w:ascii="Wingdings" w:hAnsi="Wingdings" w:hint="default"/>
      </w:rPr>
    </w:lvl>
    <w:lvl w:ilvl="6" w:tplc="04260001" w:tentative="1">
      <w:start w:val="1"/>
      <w:numFmt w:val="bullet"/>
      <w:lvlText w:val=""/>
      <w:lvlJc w:val="left"/>
      <w:pPr>
        <w:ind w:left="4462" w:hanging="360"/>
      </w:pPr>
      <w:rPr>
        <w:rFonts w:ascii="Symbol" w:hAnsi="Symbol" w:hint="default"/>
      </w:rPr>
    </w:lvl>
    <w:lvl w:ilvl="7" w:tplc="04260003" w:tentative="1">
      <w:start w:val="1"/>
      <w:numFmt w:val="bullet"/>
      <w:lvlText w:val="o"/>
      <w:lvlJc w:val="left"/>
      <w:pPr>
        <w:ind w:left="5182" w:hanging="360"/>
      </w:pPr>
      <w:rPr>
        <w:rFonts w:ascii="Courier New" w:hAnsi="Courier New" w:cs="Courier New" w:hint="default"/>
      </w:rPr>
    </w:lvl>
    <w:lvl w:ilvl="8" w:tplc="04260005" w:tentative="1">
      <w:start w:val="1"/>
      <w:numFmt w:val="bullet"/>
      <w:lvlText w:val=""/>
      <w:lvlJc w:val="left"/>
      <w:pPr>
        <w:ind w:left="5902" w:hanging="360"/>
      </w:pPr>
      <w:rPr>
        <w:rFonts w:ascii="Wingdings" w:hAnsi="Wingdings" w:hint="default"/>
      </w:rPr>
    </w:lvl>
  </w:abstractNum>
  <w:abstractNum w:abstractNumId="2"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F8171BC"/>
    <w:multiLevelType w:val="hybridMultilevel"/>
    <w:tmpl w:val="6BAE6320"/>
    <w:lvl w:ilvl="0" w:tplc="46BAD36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4" w15:restartNumberingAfterBreak="0">
    <w:nsid w:val="1FA95D05"/>
    <w:multiLevelType w:val="hybridMultilevel"/>
    <w:tmpl w:val="77C41132"/>
    <w:lvl w:ilvl="0" w:tplc="37E005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2B2F58BF"/>
    <w:multiLevelType w:val="hybridMultilevel"/>
    <w:tmpl w:val="E6A269FE"/>
    <w:lvl w:ilvl="0" w:tplc="AA6C735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2C34708A"/>
    <w:multiLevelType w:val="hybridMultilevel"/>
    <w:tmpl w:val="E7E03FB6"/>
    <w:lvl w:ilvl="0" w:tplc="42DAF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7" w15:restartNumberingAfterBreak="0">
    <w:nsid w:val="315539C9"/>
    <w:multiLevelType w:val="hybridMultilevel"/>
    <w:tmpl w:val="3FF28906"/>
    <w:lvl w:ilvl="0" w:tplc="69484720">
      <w:start w:val="5"/>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8" w15:restartNumberingAfterBreak="0">
    <w:nsid w:val="32C43B72"/>
    <w:multiLevelType w:val="hybridMultilevel"/>
    <w:tmpl w:val="B0F05EA0"/>
    <w:lvl w:ilvl="0" w:tplc="BA7A8BB2">
      <w:numFmt w:val="bullet"/>
      <w:lvlText w:val="-"/>
      <w:lvlJc w:val="left"/>
      <w:pPr>
        <w:ind w:left="417" w:hanging="360"/>
      </w:pPr>
      <w:rPr>
        <w:rFonts w:ascii="Times New Roman" w:eastAsia="Calibr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9" w15:restartNumberingAfterBreak="0">
    <w:nsid w:val="3BD17CA9"/>
    <w:multiLevelType w:val="hybridMultilevel"/>
    <w:tmpl w:val="CBA2BB18"/>
    <w:lvl w:ilvl="0" w:tplc="1C52F50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5265F8E"/>
    <w:multiLevelType w:val="hybridMultilevel"/>
    <w:tmpl w:val="B5E8051A"/>
    <w:lvl w:ilvl="0" w:tplc="4B7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581559EF"/>
    <w:multiLevelType w:val="hybridMultilevel"/>
    <w:tmpl w:val="E1DA156C"/>
    <w:lvl w:ilvl="0" w:tplc="1626F4B4">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2" w15:restartNumberingAfterBreak="0">
    <w:nsid w:val="5A510D38"/>
    <w:multiLevelType w:val="hybridMultilevel"/>
    <w:tmpl w:val="888CE90E"/>
    <w:lvl w:ilvl="0" w:tplc="04260001">
      <w:start w:val="1"/>
      <w:numFmt w:val="bullet"/>
      <w:lvlText w:val=""/>
      <w:lvlJc w:val="left"/>
      <w:pPr>
        <w:ind w:left="501" w:hanging="360"/>
      </w:pPr>
      <w:rPr>
        <w:rFonts w:ascii="Symbol" w:hAnsi="Symbol" w:hint="default"/>
        <w:b w:val="0"/>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1">
      <w:start w:val="1"/>
      <w:numFmt w:val="bullet"/>
      <w:lvlText w:val=""/>
      <w:lvlJc w:val="left"/>
      <w:pPr>
        <w:ind w:left="2661" w:hanging="360"/>
      </w:pPr>
      <w:rPr>
        <w:rFonts w:ascii="Symbol" w:hAnsi="Symbol" w:hint="default"/>
      </w:r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15:restartNumberingAfterBreak="0">
    <w:nsid w:val="658A2F4E"/>
    <w:multiLevelType w:val="hybridMultilevel"/>
    <w:tmpl w:val="3508E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FED38EF"/>
    <w:multiLevelType w:val="hybridMultilevel"/>
    <w:tmpl w:val="C48CD6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EE86341"/>
    <w:multiLevelType w:val="hybridMultilevel"/>
    <w:tmpl w:val="A698B9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15"/>
  </w:num>
  <w:num w:numId="3">
    <w:abstractNumId w:val="10"/>
  </w:num>
  <w:num w:numId="4">
    <w:abstractNumId w:val="4"/>
  </w:num>
  <w:num w:numId="5">
    <w:abstractNumId w:val="6"/>
  </w:num>
  <w:num w:numId="6">
    <w:abstractNumId w:val="3"/>
  </w:num>
  <w:num w:numId="7">
    <w:abstractNumId w:val="9"/>
  </w:num>
  <w:num w:numId="8">
    <w:abstractNumId w:val="16"/>
  </w:num>
  <w:num w:numId="9">
    <w:abstractNumId w:val="12"/>
  </w:num>
  <w:num w:numId="10">
    <w:abstractNumId w:val="0"/>
  </w:num>
  <w:num w:numId="11">
    <w:abstractNumId w:val="1"/>
  </w:num>
  <w:num w:numId="12">
    <w:abstractNumId w:val="7"/>
  </w:num>
  <w:num w:numId="13">
    <w:abstractNumId w:val="13"/>
  </w:num>
  <w:num w:numId="14">
    <w:abstractNumId w:val="14"/>
  </w:num>
  <w:num w:numId="15">
    <w:abstractNumId w:val="5"/>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D3"/>
    <w:rsid w:val="000008A9"/>
    <w:rsid w:val="000058AA"/>
    <w:rsid w:val="00006552"/>
    <w:rsid w:val="0001048C"/>
    <w:rsid w:val="0001286B"/>
    <w:rsid w:val="00013B61"/>
    <w:rsid w:val="0002003C"/>
    <w:rsid w:val="0002596F"/>
    <w:rsid w:val="00026F18"/>
    <w:rsid w:val="0003245D"/>
    <w:rsid w:val="0003265E"/>
    <w:rsid w:val="000430AC"/>
    <w:rsid w:val="00044743"/>
    <w:rsid w:val="00047095"/>
    <w:rsid w:val="000472EA"/>
    <w:rsid w:val="000527A4"/>
    <w:rsid w:val="000678CD"/>
    <w:rsid w:val="00070F56"/>
    <w:rsid w:val="00071082"/>
    <w:rsid w:val="00072B02"/>
    <w:rsid w:val="0007330D"/>
    <w:rsid w:val="00074090"/>
    <w:rsid w:val="000773A5"/>
    <w:rsid w:val="0008002B"/>
    <w:rsid w:val="00080352"/>
    <w:rsid w:val="0008515E"/>
    <w:rsid w:val="00085640"/>
    <w:rsid w:val="00092F46"/>
    <w:rsid w:val="0009324B"/>
    <w:rsid w:val="00094B1E"/>
    <w:rsid w:val="00095280"/>
    <w:rsid w:val="00096060"/>
    <w:rsid w:val="000964C6"/>
    <w:rsid w:val="000A0059"/>
    <w:rsid w:val="000A14E3"/>
    <w:rsid w:val="000A1BA2"/>
    <w:rsid w:val="000B0748"/>
    <w:rsid w:val="000B1926"/>
    <w:rsid w:val="000B1B64"/>
    <w:rsid w:val="000B2C54"/>
    <w:rsid w:val="000B3449"/>
    <w:rsid w:val="000B492B"/>
    <w:rsid w:val="000C33C1"/>
    <w:rsid w:val="000C4418"/>
    <w:rsid w:val="000C7FCE"/>
    <w:rsid w:val="000D3D56"/>
    <w:rsid w:val="000D43D9"/>
    <w:rsid w:val="000D74B9"/>
    <w:rsid w:val="000E257B"/>
    <w:rsid w:val="000E2AD8"/>
    <w:rsid w:val="000E53C3"/>
    <w:rsid w:val="000E5DD2"/>
    <w:rsid w:val="000E68EC"/>
    <w:rsid w:val="000F0A62"/>
    <w:rsid w:val="000F4230"/>
    <w:rsid w:val="00102922"/>
    <w:rsid w:val="00102B1D"/>
    <w:rsid w:val="00103D33"/>
    <w:rsid w:val="0011154E"/>
    <w:rsid w:val="0011606F"/>
    <w:rsid w:val="0012624C"/>
    <w:rsid w:val="00135F4C"/>
    <w:rsid w:val="00137388"/>
    <w:rsid w:val="00143BB6"/>
    <w:rsid w:val="00145366"/>
    <w:rsid w:val="00146697"/>
    <w:rsid w:val="00151BBD"/>
    <w:rsid w:val="00152387"/>
    <w:rsid w:val="00155483"/>
    <w:rsid w:val="00161BA7"/>
    <w:rsid w:val="001650AC"/>
    <w:rsid w:val="001655DD"/>
    <w:rsid w:val="00165747"/>
    <w:rsid w:val="0016668A"/>
    <w:rsid w:val="00166A8B"/>
    <w:rsid w:val="00172082"/>
    <w:rsid w:val="001753A1"/>
    <w:rsid w:val="00177882"/>
    <w:rsid w:val="00177C69"/>
    <w:rsid w:val="00180E2B"/>
    <w:rsid w:val="00183B65"/>
    <w:rsid w:val="001840C6"/>
    <w:rsid w:val="00186A4D"/>
    <w:rsid w:val="00187140"/>
    <w:rsid w:val="001935C8"/>
    <w:rsid w:val="001946C8"/>
    <w:rsid w:val="00195D43"/>
    <w:rsid w:val="001A1368"/>
    <w:rsid w:val="001A3ED2"/>
    <w:rsid w:val="001A7C3A"/>
    <w:rsid w:val="001B58F4"/>
    <w:rsid w:val="001B7454"/>
    <w:rsid w:val="001C061F"/>
    <w:rsid w:val="001C0801"/>
    <w:rsid w:val="001C1B72"/>
    <w:rsid w:val="001C2832"/>
    <w:rsid w:val="001C3D13"/>
    <w:rsid w:val="001C4ED0"/>
    <w:rsid w:val="001C5ED6"/>
    <w:rsid w:val="001C6208"/>
    <w:rsid w:val="001C68A2"/>
    <w:rsid w:val="001D0800"/>
    <w:rsid w:val="001D2C0E"/>
    <w:rsid w:val="001D3167"/>
    <w:rsid w:val="001D7397"/>
    <w:rsid w:val="001D7DC1"/>
    <w:rsid w:val="001E1B0F"/>
    <w:rsid w:val="001E3588"/>
    <w:rsid w:val="001E4C2F"/>
    <w:rsid w:val="001E5FBC"/>
    <w:rsid w:val="001F0219"/>
    <w:rsid w:val="001F2BA2"/>
    <w:rsid w:val="001F469B"/>
    <w:rsid w:val="001F7086"/>
    <w:rsid w:val="001F7AAD"/>
    <w:rsid w:val="00200E7D"/>
    <w:rsid w:val="0020468C"/>
    <w:rsid w:val="002107BF"/>
    <w:rsid w:val="00211315"/>
    <w:rsid w:val="00215C6A"/>
    <w:rsid w:val="00217F5B"/>
    <w:rsid w:val="00220185"/>
    <w:rsid w:val="00224E84"/>
    <w:rsid w:val="002267E7"/>
    <w:rsid w:val="00237878"/>
    <w:rsid w:val="002438ED"/>
    <w:rsid w:val="00244A9E"/>
    <w:rsid w:val="00250127"/>
    <w:rsid w:val="0025023B"/>
    <w:rsid w:val="002525BF"/>
    <w:rsid w:val="00254901"/>
    <w:rsid w:val="00255BAC"/>
    <w:rsid w:val="002601C7"/>
    <w:rsid w:val="00261B97"/>
    <w:rsid w:val="00263FD2"/>
    <w:rsid w:val="002651EA"/>
    <w:rsid w:val="0027369F"/>
    <w:rsid w:val="00273700"/>
    <w:rsid w:val="00273B21"/>
    <w:rsid w:val="00290EE2"/>
    <w:rsid w:val="00292062"/>
    <w:rsid w:val="002957B7"/>
    <w:rsid w:val="002A0435"/>
    <w:rsid w:val="002A0BC1"/>
    <w:rsid w:val="002A166A"/>
    <w:rsid w:val="002A2E61"/>
    <w:rsid w:val="002A3EC2"/>
    <w:rsid w:val="002A6400"/>
    <w:rsid w:val="002B3EAE"/>
    <w:rsid w:val="002B407B"/>
    <w:rsid w:val="002B4900"/>
    <w:rsid w:val="002B6364"/>
    <w:rsid w:val="002B7F82"/>
    <w:rsid w:val="002C15A0"/>
    <w:rsid w:val="002C22CF"/>
    <w:rsid w:val="002C3E51"/>
    <w:rsid w:val="002C504B"/>
    <w:rsid w:val="002D6A10"/>
    <w:rsid w:val="002D6BDB"/>
    <w:rsid w:val="002E024D"/>
    <w:rsid w:val="002E1075"/>
    <w:rsid w:val="002E678E"/>
    <w:rsid w:val="002E708A"/>
    <w:rsid w:val="002E7A48"/>
    <w:rsid w:val="002F06CE"/>
    <w:rsid w:val="002F5587"/>
    <w:rsid w:val="002F5700"/>
    <w:rsid w:val="002F741D"/>
    <w:rsid w:val="00300B84"/>
    <w:rsid w:val="0030159B"/>
    <w:rsid w:val="00301A6D"/>
    <w:rsid w:val="0030247A"/>
    <w:rsid w:val="00303955"/>
    <w:rsid w:val="00304810"/>
    <w:rsid w:val="003061FB"/>
    <w:rsid w:val="00306270"/>
    <w:rsid w:val="0031259B"/>
    <w:rsid w:val="003176D3"/>
    <w:rsid w:val="003228DE"/>
    <w:rsid w:val="00326096"/>
    <w:rsid w:val="003334FB"/>
    <w:rsid w:val="0033779C"/>
    <w:rsid w:val="00337AC6"/>
    <w:rsid w:val="003406E7"/>
    <w:rsid w:val="0034476B"/>
    <w:rsid w:val="00346CE0"/>
    <w:rsid w:val="00354ABE"/>
    <w:rsid w:val="00366AFE"/>
    <w:rsid w:val="0036787F"/>
    <w:rsid w:val="00367B98"/>
    <w:rsid w:val="00374F73"/>
    <w:rsid w:val="00375F30"/>
    <w:rsid w:val="00376F09"/>
    <w:rsid w:val="00380AC5"/>
    <w:rsid w:val="00381382"/>
    <w:rsid w:val="003814A5"/>
    <w:rsid w:val="00381905"/>
    <w:rsid w:val="00381B26"/>
    <w:rsid w:val="00385772"/>
    <w:rsid w:val="00387734"/>
    <w:rsid w:val="0039139B"/>
    <w:rsid w:val="003913FB"/>
    <w:rsid w:val="00392998"/>
    <w:rsid w:val="00395460"/>
    <w:rsid w:val="00396152"/>
    <w:rsid w:val="00397D0E"/>
    <w:rsid w:val="003A1D77"/>
    <w:rsid w:val="003A24AD"/>
    <w:rsid w:val="003A40AD"/>
    <w:rsid w:val="003A6A32"/>
    <w:rsid w:val="003A6D12"/>
    <w:rsid w:val="003B1693"/>
    <w:rsid w:val="003B32EC"/>
    <w:rsid w:val="003B3F05"/>
    <w:rsid w:val="003B5E55"/>
    <w:rsid w:val="003B5F6A"/>
    <w:rsid w:val="003B63BE"/>
    <w:rsid w:val="003B7B62"/>
    <w:rsid w:val="003C072B"/>
    <w:rsid w:val="003C3D3D"/>
    <w:rsid w:val="003D1A86"/>
    <w:rsid w:val="003D7F0B"/>
    <w:rsid w:val="003E171B"/>
    <w:rsid w:val="003E4132"/>
    <w:rsid w:val="003E58C7"/>
    <w:rsid w:val="003E5A6D"/>
    <w:rsid w:val="003E5D7B"/>
    <w:rsid w:val="003E637A"/>
    <w:rsid w:val="003F2B20"/>
    <w:rsid w:val="003F2C34"/>
    <w:rsid w:val="003F30FC"/>
    <w:rsid w:val="003F45CD"/>
    <w:rsid w:val="003F45F7"/>
    <w:rsid w:val="003F7C94"/>
    <w:rsid w:val="0040104F"/>
    <w:rsid w:val="00401397"/>
    <w:rsid w:val="004038BC"/>
    <w:rsid w:val="00406AE2"/>
    <w:rsid w:val="0041036A"/>
    <w:rsid w:val="004118CF"/>
    <w:rsid w:val="0041316A"/>
    <w:rsid w:val="004158F6"/>
    <w:rsid w:val="00415A66"/>
    <w:rsid w:val="00416A31"/>
    <w:rsid w:val="00417136"/>
    <w:rsid w:val="00421830"/>
    <w:rsid w:val="004232A9"/>
    <w:rsid w:val="00423B46"/>
    <w:rsid w:val="00425AA9"/>
    <w:rsid w:val="00426250"/>
    <w:rsid w:val="00426A69"/>
    <w:rsid w:val="00426B77"/>
    <w:rsid w:val="00431019"/>
    <w:rsid w:val="00433EC2"/>
    <w:rsid w:val="004352F7"/>
    <w:rsid w:val="0043554A"/>
    <w:rsid w:val="004362D3"/>
    <w:rsid w:val="00442A8B"/>
    <w:rsid w:val="00442D1E"/>
    <w:rsid w:val="00443016"/>
    <w:rsid w:val="00443194"/>
    <w:rsid w:val="00445945"/>
    <w:rsid w:val="00450D9C"/>
    <w:rsid w:val="00452140"/>
    <w:rsid w:val="00453BB3"/>
    <w:rsid w:val="004619FE"/>
    <w:rsid w:val="00463574"/>
    <w:rsid w:val="004666F3"/>
    <w:rsid w:val="00467343"/>
    <w:rsid w:val="0047031A"/>
    <w:rsid w:val="00481C20"/>
    <w:rsid w:val="00483B86"/>
    <w:rsid w:val="00485293"/>
    <w:rsid w:val="00485E47"/>
    <w:rsid w:val="00490499"/>
    <w:rsid w:val="00497AB8"/>
    <w:rsid w:val="004A5EEF"/>
    <w:rsid w:val="004B0B1D"/>
    <w:rsid w:val="004C0738"/>
    <w:rsid w:val="004C0FE6"/>
    <w:rsid w:val="004C20F1"/>
    <w:rsid w:val="004C253C"/>
    <w:rsid w:val="004C2CD6"/>
    <w:rsid w:val="004C2FC4"/>
    <w:rsid w:val="004D232B"/>
    <w:rsid w:val="004D3ABB"/>
    <w:rsid w:val="004E322D"/>
    <w:rsid w:val="004E3FAA"/>
    <w:rsid w:val="004E5D38"/>
    <w:rsid w:val="004E603B"/>
    <w:rsid w:val="004E6C7D"/>
    <w:rsid w:val="0050230D"/>
    <w:rsid w:val="0050364D"/>
    <w:rsid w:val="005116FB"/>
    <w:rsid w:val="00515D44"/>
    <w:rsid w:val="00531AFF"/>
    <w:rsid w:val="00534305"/>
    <w:rsid w:val="00537FF8"/>
    <w:rsid w:val="005464E6"/>
    <w:rsid w:val="00546938"/>
    <w:rsid w:val="00552639"/>
    <w:rsid w:val="00555557"/>
    <w:rsid w:val="00557AA8"/>
    <w:rsid w:val="00566916"/>
    <w:rsid w:val="00566F71"/>
    <w:rsid w:val="00567FC5"/>
    <w:rsid w:val="00571CCF"/>
    <w:rsid w:val="00572180"/>
    <w:rsid w:val="00572337"/>
    <w:rsid w:val="00573FFE"/>
    <w:rsid w:val="00575FC3"/>
    <w:rsid w:val="0057625C"/>
    <w:rsid w:val="00576743"/>
    <w:rsid w:val="005771D5"/>
    <w:rsid w:val="00590033"/>
    <w:rsid w:val="00591838"/>
    <w:rsid w:val="00592336"/>
    <w:rsid w:val="00592809"/>
    <w:rsid w:val="00593343"/>
    <w:rsid w:val="00594A83"/>
    <w:rsid w:val="00596582"/>
    <w:rsid w:val="005A4807"/>
    <w:rsid w:val="005A5A80"/>
    <w:rsid w:val="005A5AE7"/>
    <w:rsid w:val="005B29EF"/>
    <w:rsid w:val="005B2DA5"/>
    <w:rsid w:val="005B476F"/>
    <w:rsid w:val="005B6095"/>
    <w:rsid w:val="005B65B8"/>
    <w:rsid w:val="005B6A0D"/>
    <w:rsid w:val="005C04E5"/>
    <w:rsid w:val="005C3501"/>
    <w:rsid w:val="005C3D03"/>
    <w:rsid w:val="005C51FA"/>
    <w:rsid w:val="005C5413"/>
    <w:rsid w:val="005C63C7"/>
    <w:rsid w:val="005C6B2C"/>
    <w:rsid w:val="005D06E8"/>
    <w:rsid w:val="005D1195"/>
    <w:rsid w:val="005D688E"/>
    <w:rsid w:val="005E1192"/>
    <w:rsid w:val="005E4164"/>
    <w:rsid w:val="005F3FC6"/>
    <w:rsid w:val="005F75C4"/>
    <w:rsid w:val="00600073"/>
    <w:rsid w:val="0060393A"/>
    <w:rsid w:val="00611ADA"/>
    <w:rsid w:val="00611E18"/>
    <w:rsid w:val="00611FC0"/>
    <w:rsid w:val="00613A4A"/>
    <w:rsid w:val="00614157"/>
    <w:rsid w:val="006146CA"/>
    <w:rsid w:val="00614ECD"/>
    <w:rsid w:val="006231D7"/>
    <w:rsid w:val="00626031"/>
    <w:rsid w:val="00630C6C"/>
    <w:rsid w:val="00630ED2"/>
    <w:rsid w:val="00631935"/>
    <w:rsid w:val="00636B91"/>
    <w:rsid w:val="006373FF"/>
    <w:rsid w:val="00640665"/>
    <w:rsid w:val="00646A6F"/>
    <w:rsid w:val="006529FC"/>
    <w:rsid w:val="00653397"/>
    <w:rsid w:val="0065438E"/>
    <w:rsid w:val="006553CD"/>
    <w:rsid w:val="006559F5"/>
    <w:rsid w:val="00661782"/>
    <w:rsid w:val="00662C11"/>
    <w:rsid w:val="006640F1"/>
    <w:rsid w:val="006667A3"/>
    <w:rsid w:val="00666A01"/>
    <w:rsid w:val="00670249"/>
    <w:rsid w:val="00672822"/>
    <w:rsid w:val="006729D2"/>
    <w:rsid w:val="00673BC6"/>
    <w:rsid w:val="006775B3"/>
    <w:rsid w:val="00684808"/>
    <w:rsid w:val="00685E59"/>
    <w:rsid w:val="006876CB"/>
    <w:rsid w:val="006B2D92"/>
    <w:rsid w:val="006B2FEF"/>
    <w:rsid w:val="006B6581"/>
    <w:rsid w:val="006B6D6C"/>
    <w:rsid w:val="006C20C5"/>
    <w:rsid w:val="006C5ECD"/>
    <w:rsid w:val="006D1520"/>
    <w:rsid w:val="006D2482"/>
    <w:rsid w:val="006D2F0C"/>
    <w:rsid w:val="006D3604"/>
    <w:rsid w:val="006E2082"/>
    <w:rsid w:val="006E67BA"/>
    <w:rsid w:val="006F2362"/>
    <w:rsid w:val="006F47EB"/>
    <w:rsid w:val="006F4DE9"/>
    <w:rsid w:val="006F61D4"/>
    <w:rsid w:val="006F71C2"/>
    <w:rsid w:val="00700AC3"/>
    <w:rsid w:val="00700E68"/>
    <w:rsid w:val="00701065"/>
    <w:rsid w:val="0070175E"/>
    <w:rsid w:val="00703DC5"/>
    <w:rsid w:val="007040F2"/>
    <w:rsid w:val="007153C5"/>
    <w:rsid w:val="007161D3"/>
    <w:rsid w:val="00722D55"/>
    <w:rsid w:val="00723991"/>
    <w:rsid w:val="007262F0"/>
    <w:rsid w:val="00731BE9"/>
    <w:rsid w:val="00731E2B"/>
    <w:rsid w:val="007420D7"/>
    <w:rsid w:val="00752DBC"/>
    <w:rsid w:val="00753FF4"/>
    <w:rsid w:val="0075411D"/>
    <w:rsid w:val="00756F8A"/>
    <w:rsid w:val="00757367"/>
    <w:rsid w:val="00760295"/>
    <w:rsid w:val="00762675"/>
    <w:rsid w:val="00762FC8"/>
    <w:rsid w:val="00765825"/>
    <w:rsid w:val="007700D3"/>
    <w:rsid w:val="0077131C"/>
    <w:rsid w:val="0077138B"/>
    <w:rsid w:val="0077534E"/>
    <w:rsid w:val="0078045E"/>
    <w:rsid w:val="00780B70"/>
    <w:rsid w:val="00782847"/>
    <w:rsid w:val="00783777"/>
    <w:rsid w:val="00783D20"/>
    <w:rsid w:val="007862D0"/>
    <w:rsid w:val="0079247D"/>
    <w:rsid w:val="00794F2D"/>
    <w:rsid w:val="0079516D"/>
    <w:rsid w:val="007954D3"/>
    <w:rsid w:val="0079636E"/>
    <w:rsid w:val="00797AAD"/>
    <w:rsid w:val="007A2F02"/>
    <w:rsid w:val="007A5127"/>
    <w:rsid w:val="007A5C51"/>
    <w:rsid w:val="007B41D7"/>
    <w:rsid w:val="007C1A7D"/>
    <w:rsid w:val="007C4094"/>
    <w:rsid w:val="007D50AE"/>
    <w:rsid w:val="007E107E"/>
    <w:rsid w:val="007E1EA6"/>
    <w:rsid w:val="007E2FDE"/>
    <w:rsid w:val="007E4C1F"/>
    <w:rsid w:val="007E6943"/>
    <w:rsid w:val="007F0204"/>
    <w:rsid w:val="007F5C3C"/>
    <w:rsid w:val="007F5C58"/>
    <w:rsid w:val="00807142"/>
    <w:rsid w:val="008074E3"/>
    <w:rsid w:val="00807802"/>
    <w:rsid w:val="0080799C"/>
    <w:rsid w:val="00810C18"/>
    <w:rsid w:val="00814421"/>
    <w:rsid w:val="00814AFC"/>
    <w:rsid w:val="00822B60"/>
    <w:rsid w:val="0082350A"/>
    <w:rsid w:val="00831A5D"/>
    <w:rsid w:val="00831DB4"/>
    <w:rsid w:val="008365EC"/>
    <w:rsid w:val="00837390"/>
    <w:rsid w:val="00844176"/>
    <w:rsid w:val="008503CA"/>
    <w:rsid w:val="0085318D"/>
    <w:rsid w:val="008565FB"/>
    <w:rsid w:val="00871516"/>
    <w:rsid w:val="008764DD"/>
    <w:rsid w:val="00877499"/>
    <w:rsid w:val="008841EB"/>
    <w:rsid w:val="0088562C"/>
    <w:rsid w:val="00891C00"/>
    <w:rsid w:val="00895E41"/>
    <w:rsid w:val="0089734D"/>
    <w:rsid w:val="008A0A32"/>
    <w:rsid w:val="008A7CC5"/>
    <w:rsid w:val="008B206C"/>
    <w:rsid w:val="008B56DF"/>
    <w:rsid w:val="008B5EFB"/>
    <w:rsid w:val="008C7959"/>
    <w:rsid w:val="008D4F09"/>
    <w:rsid w:val="008D51A3"/>
    <w:rsid w:val="008D65D5"/>
    <w:rsid w:val="008D75EB"/>
    <w:rsid w:val="008D7F23"/>
    <w:rsid w:val="008E1F57"/>
    <w:rsid w:val="008E751B"/>
    <w:rsid w:val="008F2317"/>
    <w:rsid w:val="00900C33"/>
    <w:rsid w:val="009034C7"/>
    <w:rsid w:val="00904C91"/>
    <w:rsid w:val="009165D6"/>
    <w:rsid w:val="00917D6F"/>
    <w:rsid w:val="00921504"/>
    <w:rsid w:val="00922352"/>
    <w:rsid w:val="009244A6"/>
    <w:rsid w:val="0092710C"/>
    <w:rsid w:val="0093112B"/>
    <w:rsid w:val="00942D63"/>
    <w:rsid w:val="009455DB"/>
    <w:rsid w:val="00954428"/>
    <w:rsid w:val="00954541"/>
    <w:rsid w:val="00954C0F"/>
    <w:rsid w:val="00955548"/>
    <w:rsid w:val="00956218"/>
    <w:rsid w:val="00956C4B"/>
    <w:rsid w:val="00957122"/>
    <w:rsid w:val="00957E64"/>
    <w:rsid w:val="00961605"/>
    <w:rsid w:val="00963C88"/>
    <w:rsid w:val="00966814"/>
    <w:rsid w:val="00970D58"/>
    <w:rsid w:val="009A692C"/>
    <w:rsid w:val="009A7E10"/>
    <w:rsid w:val="009B1CEB"/>
    <w:rsid w:val="009B2576"/>
    <w:rsid w:val="009B3AE3"/>
    <w:rsid w:val="009B584C"/>
    <w:rsid w:val="009B6613"/>
    <w:rsid w:val="009B7000"/>
    <w:rsid w:val="009B75D4"/>
    <w:rsid w:val="009C061A"/>
    <w:rsid w:val="009C108E"/>
    <w:rsid w:val="009C228A"/>
    <w:rsid w:val="009C2E2D"/>
    <w:rsid w:val="009C7F6E"/>
    <w:rsid w:val="009D0A96"/>
    <w:rsid w:val="009D26B6"/>
    <w:rsid w:val="009D43B2"/>
    <w:rsid w:val="009E5C84"/>
    <w:rsid w:val="009F0FC9"/>
    <w:rsid w:val="009F1A7E"/>
    <w:rsid w:val="00A03E32"/>
    <w:rsid w:val="00A13FC8"/>
    <w:rsid w:val="00A14369"/>
    <w:rsid w:val="00A2067E"/>
    <w:rsid w:val="00A229AC"/>
    <w:rsid w:val="00A23E8B"/>
    <w:rsid w:val="00A25225"/>
    <w:rsid w:val="00A26676"/>
    <w:rsid w:val="00A267B2"/>
    <w:rsid w:val="00A27A02"/>
    <w:rsid w:val="00A30DAB"/>
    <w:rsid w:val="00A32A3F"/>
    <w:rsid w:val="00A337C5"/>
    <w:rsid w:val="00A33B10"/>
    <w:rsid w:val="00A34EAB"/>
    <w:rsid w:val="00A37CD5"/>
    <w:rsid w:val="00A459E6"/>
    <w:rsid w:val="00A468F1"/>
    <w:rsid w:val="00A562DC"/>
    <w:rsid w:val="00A56E9B"/>
    <w:rsid w:val="00A66F1F"/>
    <w:rsid w:val="00A73448"/>
    <w:rsid w:val="00A849DF"/>
    <w:rsid w:val="00A86F1C"/>
    <w:rsid w:val="00A9174A"/>
    <w:rsid w:val="00A950FC"/>
    <w:rsid w:val="00A969CC"/>
    <w:rsid w:val="00A96C8D"/>
    <w:rsid w:val="00A9708B"/>
    <w:rsid w:val="00AB3EB4"/>
    <w:rsid w:val="00AB6AE8"/>
    <w:rsid w:val="00AB7503"/>
    <w:rsid w:val="00AC24BD"/>
    <w:rsid w:val="00AD5C75"/>
    <w:rsid w:val="00AD64FB"/>
    <w:rsid w:val="00AD6AEF"/>
    <w:rsid w:val="00AE0055"/>
    <w:rsid w:val="00AE091D"/>
    <w:rsid w:val="00AE5675"/>
    <w:rsid w:val="00AE57EC"/>
    <w:rsid w:val="00AF254A"/>
    <w:rsid w:val="00AF36C9"/>
    <w:rsid w:val="00AF5DF5"/>
    <w:rsid w:val="00B10B94"/>
    <w:rsid w:val="00B111A5"/>
    <w:rsid w:val="00B11FB8"/>
    <w:rsid w:val="00B13379"/>
    <w:rsid w:val="00B13C6F"/>
    <w:rsid w:val="00B14D75"/>
    <w:rsid w:val="00B15DBA"/>
    <w:rsid w:val="00B2297A"/>
    <w:rsid w:val="00B230F6"/>
    <w:rsid w:val="00B2464D"/>
    <w:rsid w:val="00B300C7"/>
    <w:rsid w:val="00B304A4"/>
    <w:rsid w:val="00B32793"/>
    <w:rsid w:val="00B4164D"/>
    <w:rsid w:val="00B44919"/>
    <w:rsid w:val="00B450C4"/>
    <w:rsid w:val="00B457C4"/>
    <w:rsid w:val="00B462F7"/>
    <w:rsid w:val="00B4697F"/>
    <w:rsid w:val="00B46A16"/>
    <w:rsid w:val="00B51427"/>
    <w:rsid w:val="00B5564B"/>
    <w:rsid w:val="00B55A30"/>
    <w:rsid w:val="00B618A9"/>
    <w:rsid w:val="00B652FE"/>
    <w:rsid w:val="00B65CF6"/>
    <w:rsid w:val="00B700CC"/>
    <w:rsid w:val="00B74B38"/>
    <w:rsid w:val="00B77807"/>
    <w:rsid w:val="00B77E56"/>
    <w:rsid w:val="00B80371"/>
    <w:rsid w:val="00B837AE"/>
    <w:rsid w:val="00B868AD"/>
    <w:rsid w:val="00B86997"/>
    <w:rsid w:val="00B9742D"/>
    <w:rsid w:val="00BB0BAA"/>
    <w:rsid w:val="00BB1EA2"/>
    <w:rsid w:val="00BB4E62"/>
    <w:rsid w:val="00BC608E"/>
    <w:rsid w:val="00BC69DC"/>
    <w:rsid w:val="00BC7045"/>
    <w:rsid w:val="00BD20AE"/>
    <w:rsid w:val="00BD2AD6"/>
    <w:rsid w:val="00BD7AE1"/>
    <w:rsid w:val="00BE1471"/>
    <w:rsid w:val="00BE15E4"/>
    <w:rsid w:val="00BF15B9"/>
    <w:rsid w:val="00BF7096"/>
    <w:rsid w:val="00BF7D60"/>
    <w:rsid w:val="00C0447C"/>
    <w:rsid w:val="00C04CAF"/>
    <w:rsid w:val="00C050AF"/>
    <w:rsid w:val="00C05EF2"/>
    <w:rsid w:val="00C12263"/>
    <w:rsid w:val="00C12CF8"/>
    <w:rsid w:val="00C220E6"/>
    <w:rsid w:val="00C23427"/>
    <w:rsid w:val="00C23F73"/>
    <w:rsid w:val="00C25016"/>
    <w:rsid w:val="00C2517F"/>
    <w:rsid w:val="00C26333"/>
    <w:rsid w:val="00C264E6"/>
    <w:rsid w:val="00C26E37"/>
    <w:rsid w:val="00C32C97"/>
    <w:rsid w:val="00C35A54"/>
    <w:rsid w:val="00C416DB"/>
    <w:rsid w:val="00C423B7"/>
    <w:rsid w:val="00C42887"/>
    <w:rsid w:val="00C42ACD"/>
    <w:rsid w:val="00C446A5"/>
    <w:rsid w:val="00C52004"/>
    <w:rsid w:val="00C64334"/>
    <w:rsid w:val="00C65AAE"/>
    <w:rsid w:val="00C66A4D"/>
    <w:rsid w:val="00C7141D"/>
    <w:rsid w:val="00C72945"/>
    <w:rsid w:val="00C77C68"/>
    <w:rsid w:val="00C81AD7"/>
    <w:rsid w:val="00C85115"/>
    <w:rsid w:val="00C86896"/>
    <w:rsid w:val="00C86AE5"/>
    <w:rsid w:val="00C95656"/>
    <w:rsid w:val="00CA082C"/>
    <w:rsid w:val="00CA0BCB"/>
    <w:rsid w:val="00CA373F"/>
    <w:rsid w:val="00CB2A80"/>
    <w:rsid w:val="00CB3017"/>
    <w:rsid w:val="00CB5A26"/>
    <w:rsid w:val="00CB6AC4"/>
    <w:rsid w:val="00CD1C12"/>
    <w:rsid w:val="00CE1DD6"/>
    <w:rsid w:val="00CE35E1"/>
    <w:rsid w:val="00CE5541"/>
    <w:rsid w:val="00CE6A30"/>
    <w:rsid w:val="00CF4607"/>
    <w:rsid w:val="00CF747C"/>
    <w:rsid w:val="00D00576"/>
    <w:rsid w:val="00D0207F"/>
    <w:rsid w:val="00D04299"/>
    <w:rsid w:val="00D05A7A"/>
    <w:rsid w:val="00D12B80"/>
    <w:rsid w:val="00D13BD0"/>
    <w:rsid w:val="00D13D6F"/>
    <w:rsid w:val="00D15E1F"/>
    <w:rsid w:val="00D165F4"/>
    <w:rsid w:val="00D20CC5"/>
    <w:rsid w:val="00D217AC"/>
    <w:rsid w:val="00D31BE1"/>
    <w:rsid w:val="00D3493F"/>
    <w:rsid w:val="00D37973"/>
    <w:rsid w:val="00D41B1D"/>
    <w:rsid w:val="00D41F46"/>
    <w:rsid w:val="00D42754"/>
    <w:rsid w:val="00D4323D"/>
    <w:rsid w:val="00D455A4"/>
    <w:rsid w:val="00D5265D"/>
    <w:rsid w:val="00D532E9"/>
    <w:rsid w:val="00D62E09"/>
    <w:rsid w:val="00D64101"/>
    <w:rsid w:val="00D64FFD"/>
    <w:rsid w:val="00D70AAA"/>
    <w:rsid w:val="00D71684"/>
    <w:rsid w:val="00D767E6"/>
    <w:rsid w:val="00D76D7C"/>
    <w:rsid w:val="00D77A0C"/>
    <w:rsid w:val="00D8131B"/>
    <w:rsid w:val="00D81D94"/>
    <w:rsid w:val="00D8420C"/>
    <w:rsid w:val="00D84DE0"/>
    <w:rsid w:val="00D9193B"/>
    <w:rsid w:val="00D96FBA"/>
    <w:rsid w:val="00DA239C"/>
    <w:rsid w:val="00DB3228"/>
    <w:rsid w:val="00DB3721"/>
    <w:rsid w:val="00DB3D04"/>
    <w:rsid w:val="00DC72F1"/>
    <w:rsid w:val="00DD00BE"/>
    <w:rsid w:val="00DD02D4"/>
    <w:rsid w:val="00DD0953"/>
    <w:rsid w:val="00DD1CB9"/>
    <w:rsid w:val="00DD1F77"/>
    <w:rsid w:val="00DD2637"/>
    <w:rsid w:val="00DE644A"/>
    <w:rsid w:val="00DF47DC"/>
    <w:rsid w:val="00DF6884"/>
    <w:rsid w:val="00DF6E16"/>
    <w:rsid w:val="00DF703D"/>
    <w:rsid w:val="00E00218"/>
    <w:rsid w:val="00E018E1"/>
    <w:rsid w:val="00E024C1"/>
    <w:rsid w:val="00E0484E"/>
    <w:rsid w:val="00E07AC4"/>
    <w:rsid w:val="00E10305"/>
    <w:rsid w:val="00E10642"/>
    <w:rsid w:val="00E1136D"/>
    <w:rsid w:val="00E116BA"/>
    <w:rsid w:val="00E11D29"/>
    <w:rsid w:val="00E15447"/>
    <w:rsid w:val="00E15B7B"/>
    <w:rsid w:val="00E17864"/>
    <w:rsid w:val="00E20773"/>
    <w:rsid w:val="00E2107F"/>
    <w:rsid w:val="00E23059"/>
    <w:rsid w:val="00E33146"/>
    <w:rsid w:val="00E37F50"/>
    <w:rsid w:val="00E40942"/>
    <w:rsid w:val="00E50E6F"/>
    <w:rsid w:val="00E539B3"/>
    <w:rsid w:val="00E55EC8"/>
    <w:rsid w:val="00E56469"/>
    <w:rsid w:val="00E57209"/>
    <w:rsid w:val="00E5727D"/>
    <w:rsid w:val="00E67CE0"/>
    <w:rsid w:val="00E713A7"/>
    <w:rsid w:val="00E72404"/>
    <w:rsid w:val="00E74A15"/>
    <w:rsid w:val="00E7567F"/>
    <w:rsid w:val="00E773D7"/>
    <w:rsid w:val="00E821B6"/>
    <w:rsid w:val="00E8572D"/>
    <w:rsid w:val="00E85807"/>
    <w:rsid w:val="00E900E0"/>
    <w:rsid w:val="00E9122B"/>
    <w:rsid w:val="00E93CFE"/>
    <w:rsid w:val="00E953B9"/>
    <w:rsid w:val="00EA0EBB"/>
    <w:rsid w:val="00EA1619"/>
    <w:rsid w:val="00EA49CE"/>
    <w:rsid w:val="00EA6CD3"/>
    <w:rsid w:val="00EB184B"/>
    <w:rsid w:val="00EC03E6"/>
    <w:rsid w:val="00EC218F"/>
    <w:rsid w:val="00EC4F17"/>
    <w:rsid w:val="00ED053C"/>
    <w:rsid w:val="00ED0A46"/>
    <w:rsid w:val="00ED18C9"/>
    <w:rsid w:val="00ED377A"/>
    <w:rsid w:val="00ED4255"/>
    <w:rsid w:val="00ED5CF7"/>
    <w:rsid w:val="00ED603E"/>
    <w:rsid w:val="00EE44FE"/>
    <w:rsid w:val="00EE4A54"/>
    <w:rsid w:val="00EE4C51"/>
    <w:rsid w:val="00EE573A"/>
    <w:rsid w:val="00EE61BD"/>
    <w:rsid w:val="00EE7BA0"/>
    <w:rsid w:val="00EF2696"/>
    <w:rsid w:val="00EF55B6"/>
    <w:rsid w:val="00EF602C"/>
    <w:rsid w:val="00F019FA"/>
    <w:rsid w:val="00F02EB7"/>
    <w:rsid w:val="00F0662E"/>
    <w:rsid w:val="00F066C5"/>
    <w:rsid w:val="00F117F6"/>
    <w:rsid w:val="00F149F8"/>
    <w:rsid w:val="00F15773"/>
    <w:rsid w:val="00F30608"/>
    <w:rsid w:val="00F32822"/>
    <w:rsid w:val="00F352DD"/>
    <w:rsid w:val="00F40762"/>
    <w:rsid w:val="00F40F20"/>
    <w:rsid w:val="00F418C2"/>
    <w:rsid w:val="00F449A8"/>
    <w:rsid w:val="00F44B3E"/>
    <w:rsid w:val="00F461CD"/>
    <w:rsid w:val="00F51164"/>
    <w:rsid w:val="00F52F0B"/>
    <w:rsid w:val="00F53217"/>
    <w:rsid w:val="00F542FA"/>
    <w:rsid w:val="00F652EB"/>
    <w:rsid w:val="00F70443"/>
    <w:rsid w:val="00F7097D"/>
    <w:rsid w:val="00F716EF"/>
    <w:rsid w:val="00F77D50"/>
    <w:rsid w:val="00F81A0A"/>
    <w:rsid w:val="00F9016C"/>
    <w:rsid w:val="00F929ED"/>
    <w:rsid w:val="00F9305D"/>
    <w:rsid w:val="00F948CA"/>
    <w:rsid w:val="00F9522F"/>
    <w:rsid w:val="00FA3AB1"/>
    <w:rsid w:val="00FA4EC5"/>
    <w:rsid w:val="00FA5EE1"/>
    <w:rsid w:val="00FB0CA1"/>
    <w:rsid w:val="00FB1472"/>
    <w:rsid w:val="00FC3C7A"/>
    <w:rsid w:val="00FC6839"/>
    <w:rsid w:val="00FD061B"/>
    <w:rsid w:val="00FD5F34"/>
    <w:rsid w:val="00FD5FEF"/>
    <w:rsid w:val="00FE2D33"/>
    <w:rsid w:val="00FE37E7"/>
    <w:rsid w:val="00FE6FC3"/>
    <w:rsid w:val="00FE76D2"/>
    <w:rsid w:val="00FE7A91"/>
    <w:rsid w:val="00FF22AC"/>
    <w:rsid w:val="00FF3664"/>
    <w:rsid w:val="00FF42CE"/>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23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
    <w:basedOn w:val="Normal"/>
    <w:link w:val="ListParagraphChar"/>
    <w:uiPriority w:val="34"/>
    <w:qFormat/>
    <w:rsid w:val="00166A8B"/>
    <w:pPr>
      <w:ind w:left="720"/>
      <w:contextualSpacing/>
    </w:pPr>
  </w:style>
  <w:style w:type="character" w:styleId="CommentReference">
    <w:name w:val="annotation reference"/>
    <w:basedOn w:val="DefaultParagraphFont"/>
    <w:semiHidden/>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semiHidden/>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
    <w:link w:val="ListParagraph"/>
    <w:uiPriority w:val="34"/>
    <w:locked/>
    <w:rsid w:val="00D165F4"/>
    <w:rPr>
      <w:rFonts w:ascii="Times New Roman" w:eastAsia="Calibri" w:hAnsi="Times New Roman" w:cs="Times New Roman"/>
      <w:sz w:val="20"/>
      <w:szCs w:val="20"/>
      <w:lang w:val="en-AU"/>
    </w:rPr>
  </w:style>
  <w:style w:type="paragraph" w:styleId="Revision">
    <w:name w:val="Revision"/>
    <w:hidden/>
    <w:uiPriority w:val="99"/>
    <w:semiHidden/>
    <w:rsid w:val="00822B60"/>
    <w:pPr>
      <w:spacing w:after="0" w:line="240" w:lineRule="auto"/>
    </w:pPr>
    <w:rPr>
      <w:rFonts w:ascii="Times New Roman" w:eastAsia="Calibri"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735052036">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209277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ta/id/" TargetMode="External"/><Relationship Id="rId4" Type="http://schemas.openxmlformats.org/officeDocument/2006/relationships/settings" Target="settings.xml"/><Relationship Id="rId9" Type="http://schemas.openxmlformats.org/officeDocument/2006/relationships/hyperlink" Target="http://likumi.lv/ta/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FBF2C-E677-4DBA-87E5-06990477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7645</Words>
  <Characters>4359</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2017-11-29T11:26:00Z</dcterms:created>
  <dcterms:modified xsi:type="dcterms:W3CDTF">2017-12-18T09:12:00Z</dcterms:modified>
</cp:coreProperties>
</file>