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F7E8E" w14:textId="77777777" w:rsidR="00EA6CD3" w:rsidRPr="003F0341" w:rsidRDefault="00EA6CD3" w:rsidP="007F6449">
      <w:pPr>
        <w:jc w:val="center"/>
        <w:rPr>
          <w:b/>
          <w:sz w:val="28"/>
          <w:szCs w:val="28"/>
          <w:lang w:val="lv-LV"/>
        </w:rPr>
      </w:pPr>
      <w:bookmarkStart w:id="0" w:name="OLE_LINK3"/>
      <w:bookmarkStart w:id="1" w:name="OLE_LINK1"/>
      <w:bookmarkStart w:id="2" w:name="OLE_LINK2"/>
      <w:r w:rsidRPr="003F0341">
        <w:rPr>
          <w:b/>
          <w:sz w:val="28"/>
          <w:szCs w:val="28"/>
          <w:lang w:val="lv-LV"/>
        </w:rPr>
        <w:t>Ministru kabineta noteikumu projekta ,,</w:t>
      </w:r>
      <w:bookmarkStart w:id="3" w:name="OLE_LINK7"/>
      <w:bookmarkStart w:id="4" w:name="OLE_LINK8"/>
      <w:r w:rsidR="007F6449" w:rsidRPr="003F0341">
        <w:rPr>
          <w:sz w:val="28"/>
          <w:szCs w:val="28"/>
          <w:lang w:val="lv-LV"/>
        </w:rPr>
        <w:t xml:space="preserve"> </w:t>
      </w:r>
      <w:r w:rsidR="00FE76B5" w:rsidRPr="003F0341">
        <w:rPr>
          <w:b/>
          <w:sz w:val="28"/>
          <w:szCs w:val="28"/>
          <w:lang w:val="lv-LV"/>
        </w:rPr>
        <w:t xml:space="preserve">Grozījumi Ministru kabineta 2016.gada 31.maija noteikumos Nr.328 „Noteikumi par </w:t>
      </w:r>
      <w:proofErr w:type="spellStart"/>
      <w:r w:rsidR="00FE76B5" w:rsidRPr="003F0341">
        <w:rPr>
          <w:b/>
          <w:sz w:val="28"/>
          <w:szCs w:val="28"/>
          <w:lang w:val="lv-LV"/>
        </w:rPr>
        <w:t>mikroaizdevumiem</w:t>
      </w:r>
      <w:proofErr w:type="spellEnd"/>
      <w:r w:rsidR="00FE76B5" w:rsidRPr="003F0341">
        <w:rPr>
          <w:b/>
          <w:sz w:val="28"/>
          <w:szCs w:val="28"/>
          <w:lang w:val="lv-LV"/>
        </w:rPr>
        <w:t xml:space="preserve"> un starta aizdevumiem”</w:t>
      </w:r>
      <w:r w:rsidRPr="003F0341">
        <w:rPr>
          <w:b/>
          <w:sz w:val="28"/>
          <w:szCs w:val="28"/>
          <w:lang w:val="lv-LV"/>
        </w:rPr>
        <w:t>”</w:t>
      </w:r>
      <w:bookmarkEnd w:id="3"/>
      <w:bookmarkEnd w:id="4"/>
      <w:r w:rsidR="00844176" w:rsidRPr="003F0341">
        <w:rPr>
          <w:b/>
          <w:sz w:val="28"/>
          <w:szCs w:val="28"/>
          <w:lang w:val="lv-LV"/>
        </w:rPr>
        <w:t xml:space="preserve"> </w:t>
      </w:r>
      <w:r w:rsidRPr="003F0341">
        <w:rPr>
          <w:b/>
          <w:sz w:val="28"/>
          <w:szCs w:val="28"/>
          <w:lang w:val="lv-LV"/>
        </w:rPr>
        <w:t>sākotnējās ietekmes novērtējuma ziņojums (anotācija)</w:t>
      </w:r>
    </w:p>
    <w:bookmarkEnd w:id="0"/>
    <w:bookmarkEnd w:id="1"/>
    <w:bookmarkEnd w:id="2"/>
    <w:p w14:paraId="2DE059E4" w14:textId="1FFC7441" w:rsidR="003E171B" w:rsidRPr="003F0341" w:rsidRDefault="003E171B" w:rsidP="00EA6CD3">
      <w:pPr>
        <w:tabs>
          <w:tab w:val="right" w:pos="9072"/>
        </w:tabs>
        <w:rPr>
          <w:sz w:val="28"/>
          <w:szCs w:val="28"/>
          <w:lang w:val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1752"/>
        <w:gridCol w:w="6959"/>
      </w:tblGrid>
      <w:tr w:rsidR="00844176" w:rsidRPr="00110128" w14:paraId="02364BB3" w14:textId="77777777" w:rsidTr="00871E2F">
        <w:trPr>
          <w:trHeight w:val="405"/>
        </w:trPr>
        <w:tc>
          <w:tcPr>
            <w:tcW w:w="91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54FE2" w14:textId="77777777" w:rsidR="00844176" w:rsidRPr="003F0341" w:rsidRDefault="00844176" w:rsidP="00871E2F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t>I. Tiesību akta projekta izstrādes nepieciešamība</w:t>
            </w:r>
          </w:p>
        </w:tc>
      </w:tr>
      <w:tr w:rsidR="00844176" w:rsidRPr="00110128" w14:paraId="7F385C9A" w14:textId="77777777" w:rsidTr="00871E2F">
        <w:trPr>
          <w:trHeight w:val="405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2C726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7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EF4B2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Pamatojums</w:t>
            </w:r>
          </w:p>
        </w:tc>
        <w:tc>
          <w:tcPr>
            <w:tcW w:w="69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45073" w14:textId="77777777" w:rsidR="00B621AF" w:rsidRPr="00156C28" w:rsidRDefault="00B621AF" w:rsidP="00B621AF">
            <w:pPr>
              <w:ind w:right="344"/>
              <w:jc w:val="both"/>
              <w:rPr>
                <w:sz w:val="28"/>
                <w:szCs w:val="28"/>
                <w:lang w:val="lv-LV"/>
              </w:rPr>
            </w:pPr>
            <w:r w:rsidRPr="00156C28">
              <w:rPr>
                <w:sz w:val="28"/>
                <w:szCs w:val="28"/>
                <w:lang w:val="lv-LV"/>
              </w:rPr>
              <w:t>Attīstības finanšu institūcijas likuma 12.panta ceturt</w:t>
            </w:r>
            <w:r>
              <w:rPr>
                <w:sz w:val="28"/>
                <w:szCs w:val="28"/>
                <w:lang w:val="lv-LV"/>
              </w:rPr>
              <w:t>ā</w:t>
            </w:r>
            <w:r w:rsidRPr="00156C28">
              <w:rPr>
                <w:sz w:val="28"/>
                <w:szCs w:val="28"/>
                <w:lang w:val="lv-LV"/>
              </w:rPr>
              <w:t xml:space="preserve"> daļ</w:t>
            </w:r>
            <w:r>
              <w:rPr>
                <w:sz w:val="28"/>
                <w:szCs w:val="28"/>
                <w:lang w:val="lv-LV"/>
              </w:rPr>
              <w:t>a</w:t>
            </w:r>
            <w:r w:rsidRPr="00156C28">
              <w:rPr>
                <w:sz w:val="28"/>
                <w:szCs w:val="28"/>
                <w:lang w:val="lv-LV"/>
              </w:rPr>
              <w:t>;</w:t>
            </w:r>
          </w:p>
          <w:p w14:paraId="79DF1BBF" w14:textId="72AF1B46" w:rsidR="00844176" w:rsidRPr="00891622" w:rsidRDefault="00A41FB2" w:rsidP="00B621AF">
            <w:pPr>
              <w:ind w:right="344"/>
              <w:jc w:val="both"/>
              <w:rPr>
                <w:sz w:val="28"/>
                <w:szCs w:val="28"/>
                <w:lang w:val="lv-LV"/>
              </w:rPr>
            </w:pPr>
            <w:hyperlink r:id="rId8" w:tgtFrame="_blank" w:history="1">
              <w:r w:rsidR="00B621AF" w:rsidRPr="00156C28">
                <w:rPr>
                  <w:sz w:val="28"/>
                  <w:szCs w:val="28"/>
                  <w:lang w:val="lv-LV"/>
                </w:rPr>
                <w:t>Eiropas Savienības struktūrfondu un</w:t>
              </w:r>
              <w:r w:rsidR="00B621AF" w:rsidRPr="00156C28">
                <w:rPr>
                  <w:sz w:val="28"/>
                  <w:szCs w:val="28"/>
                  <w:lang w:val="lv-LV"/>
                </w:rPr>
                <w:br/>
                <w:t>Kohēzijas fonda 2014.–2020. gada plānošanas perioda vadības likuma</w:t>
              </w:r>
            </w:hyperlink>
            <w:r w:rsidR="00B621AF" w:rsidRPr="00156C28">
              <w:rPr>
                <w:sz w:val="28"/>
                <w:szCs w:val="28"/>
                <w:lang w:val="lv-LV"/>
              </w:rPr>
              <w:t> </w:t>
            </w:r>
            <w:hyperlink r:id="rId9" w:anchor="p20" w:tgtFrame="_blank" w:history="1">
              <w:r w:rsidR="00B621AF" w:rsidRPr="00156C28">
                <w:rPr>
                  <w:sz w:val="28"/>
                  <w:szCs w:val="28"/>
                  <w:lang w:val="lv-LV"/>
                </w:rPr>
                <w:t>20. pant</w:t>
              </w:r>
            </w:hyperlink>
            <w:r w:rsidR="00B621AF" w:rsidRPr="00156C28">
              <w:rPr>
                <w:sz w:val="28"/>
                <w:szCs w:val="28"/>
                <w:lang w:val="lv-LV"/>
              </w:rPr>
              <w:t>a 14.punkt</w:t>
            </w:r>
            <w:r w:rsidR="00B621AF">
              <w:rPr>
                <w:sz w:val="28"/>
                <w:szCs w:val="28"/>
                <w:lang w:val="lv-LV"/>
              </w:rPr>
              <w:t>s</w:t>
            </w:r>
            <w:r w:rsidR="00B621AF" w:rsidRPr="00156C28">
              <w:rPr>
                <w:sz w:val="28"/>
                <w:szCs w:val="28"/>
                <w:lang w:val="lv-LV"/>
              </w:rPr>
              <w:t>.</w:t>
            </w:r>
          </w:p>
        </w:tc>
      </w:tr>
      <w:tr w:rsidR="00844176" w:rsidRPr="0094437B" w14:paraId="62EDED08" w14:textId="77777777" w:rsidTr="00871E2F">
        <w:trPr>
          <w:trHeight w:val="465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587A4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17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71769E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9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E075A5" w14:textId="77777777" w:rsidR="00844176" w:rsidRPr="004A2EE3" w:rsidRDefault="00FE76B5" w:rsidP="005E30B2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 xml:space="preserve">2016.gada 31.maija noteikumi Nr.328 „Noteikumi par </w:t>
            </w:r>
            <w:proofErr w:type="spellStart"/>
            <w:r w:rsidRPr="000E56F8">
              <w:rPr>
                <w:sz w:val="28"/>
                <w:szCs w:val="28"/>
                <w:lang w:val="lv-LV"/>
              </w:rPr>
              <w:t>mikroaizdevumiem</w:t>
            </w:r>
            <w:proofErr w:type="spellEnd"/>
            <w:r w:rsidRPr="000E56F8">
              <w:rPr>
                <w:sz w:val="28"/>
                <w:szCs w:val="28"/>
                <w:lang w:val="lv-LV"/>
              </w:rPr>
              <w:t xml:space="preserve"> un starta aizdevumiem”</w:t>
            </w:r>
            <w:r w:rsidR="007F6449" w:rsidRPr="000E56F8">
              <w:rPr>
                <w:sz w:val="28"/>
                <w:szCs w:val="28"/>
                <w:lang w:val="lv-LV"/>
              </w:rPr>
              <w:t xml:space="preserve"> (turpmāk – MK noteikumi </w:t>
            </w:r>
            <w:r w:rsidR="00796159" w:rsidRPr="000E56F8">
              <w:rPr>
                <w:sz w:val="28"/>
                <w:szCs w:val="28"/>
                <w:lang w:val="lv-LV"/>
              </w:rPr>
              <w:t>N</w:t>
            </w:r>
            <w:r w:rsidR="007F6449" w:rsidRPr="000E56F8">
              <w:rPr>
                <w:sz w:val="28"/>
                <w:szCs w:val="28"/>
                <w:lang w:val="lv-LV"/>
              </w:rPr>
              <w:t>r.</w:t>
            </w:r>
            <w:r w:rsidRPr="000E56F8">
              <w:rPr>
                <w:sz w:val="28"/>
                <w:szCs w:val="28"/>
                <w:lang w:val="lv-LV"/>
              </w:rPr>
              <w:t>328</w:t>
            </w:r>
            <w:r w:rsidR="007F6449" w:rsidRPr="000E56F8">
              <w:rPr>
                <w:sz w:val="28"/>
                <w:szCs w:val="28"/>
                <w:lang w:val="lv-LV"/>
              </w:rPr>
              <w:t xml:space="preserve">) </w:t>
            </w:r>
            <w:r w:rsidR="002D744A" w:rsidRPr="000E56F8">
              <w:rPr>
                <w:sz w:val="28"/>
                <w:szCs w:val="28"/>
                <w:lang w:val="lv-LV"/>
              </w:rPr>
              <w:t>ietver</w:t>
            </w:r>
            <w:r w:rsidR="007F6449" w:rsidRPr="000E56F8">
              <w:rPr>
                <w:sz w:val="28"/>
                <w:szCs w:val="28"/>
                <w:lang w:val="lv-LV"/>
              </w:rPr>
              <w:t xml:space="preserve"> </w:t>
            </w:r>
            <w:r w:rsidR="002D744A" w:rsidRPr="000E56F8">
              <w:rPr>
                <w:sz w:val="28"/>
                <w:szCs w:val="28"/>
                <w:lang w:val="lv-LV"/>
              </w:rPr>
              <w:t>valsts atbalsta programm</w:t>
            </w:r>
            <w:r w:rsidR="00E1062C">
              <w:rPr>
                <w:sz w:val="28"/>
                <w:szCs w:val="28"/>
                <w:lang w:val="lv-LV"/>
              </w:rPr>
              <w:t>as</w:t>
            </w:r>
            <w:r w:rsidR="00450691" w:rsidRPr="000E56F8">
              <w:rPr>
                <w:sz w:val="28"/>
                <w:szCs w:val="28"/>
                <w:lang w:val="lv-LV"/>
              </w:rPr>
              <w:t xml:space="preserve"> </w:t>
            </w:r>
            <w:r w:rsidR="00E1062C" w:rsidRPr="000E56F8">
              <w:rPr>
                <w:sz w:val="28"/>
                <w:szCs w:val="28"/>
                <w:lang w:val="lv-LV"/>
              </w:rPr>
              <w:t xml:space="preserve">(turpmāk – programmas) </w:t>
            </w:r>
            <w:r w:rsidR="00450691" w:rsidRPr="000E56F8">
              <w:rPr>
                <w:sz w:val="28"/>
                <w:szCs w:val="28"/>
                <w:lang w:val="lv-LV"/>
              </w:rPr>
              <w:t xml:space="preserve">par </w:t>
            </w:r>
            <w:r w:rsidRPr="000E56F8">
              <w:rPr>
                <w:sz w:val="28"/>
                <w:szCs w:val="28"/>
                <w:lang w:val="lv-LV"/>
              </w:rPr>
              <w:t>mikro aizdevumu un starta aizdevumu</w:t>
            </w:r>
            <w:r w:rsidR="00E1062C">
              <w:rPr>
                <w:sz w:val="28"/>
                <w:szCs w:val="28"/>
                <w:lang w:val="lv-LV"/>
              </w:rPr>
              <w:t xml:space="preserve"> (</w:t>
            </w:r>
            <w:r w:rsidR="005C3B2C" w:rsidRPr="004A2EE3">
              <w:rPr>
                <w:sz w:val="28"/>
                <w:szCs w:val="28"/>
                <w:lang w:val="lv-LV"/>
              </w:rPr>
              <w:t>turpmāk - aizdevumi</w:t>
            </w:r>
            <w:r w:rsidR="00E1062C" w:rsidRPr="004A2EE3">
              <w:rPr>
                <w:sz w:val="28"/>
                <w:szCs w:val="28"/>
                <w:lang w:val="lv-LV"/>
              </w:rPr>
              <w:t>)</w:t>
            </w:r>
            <w:r w:rsidR="005C3B2C" w:rsidRPr="004A2EE3">
              <w:rPr>
                <w:sz w:val="28"/>
                <w:szCs w:val="28"/>
                <w:lang w:val="lv-LV"/>
              </w:rPr>
              <w:t xml:space="preserve"> izsniegšanu</w:t>
            </w:r>
            <w:r w:rsidR="00450691" w:rsidRPr="004A2EE3">
              <w:rPr>
                <w:sz w:val="28"/>
                <w:szCs w:val="28"/>
                <w:lang w:val="lv-LV"/>
              </w:rPr>
              <w:t xml:space="preserve"> </w:t>
            </w:r>
            <w:r w:rsidR="00E1062C" w:rsidRPr="004A2EE3">
              <w:rPr>
                <w:sz w:val="28"/>
                <w:szCs w:val="28"/>
                <w:lang w:val="lv-LV"/>
              </w:rPr>
              <w:t xml:space="preserve">ieviešanas </w:t>
            </w:r>
            <w:r w:rsidR="007F6449" w:rsidRPr="004A2EE3">
              <w:rPr>
                <w:sz w:val="28"/>
                <w:szCs w:val="28"/>
                <w:lang w:val="lv-LV"/>
              </w:rPr>
              <w:t>kārtību</w:t>
            </w:r>
            <w:r w:rsidR="00844176" w:rsidRPr="004A2EE3">
              <w:rPr>
                <w:sz w:val="28"/>
                <w:szCs w:val="28"/>
                <w:lang w:val="lv-LV"/>
              </w:rPr>
              <w:t>.</w:t>
            </w:r>
          </w:p>
          <w:p w14:paraId="330E2AA9" w14:textId="3863CB28" w:rsidR="00FE76B5" w:rsidRPr="004A2EE3" w:rsidRDefault="00450691" w:rsidP="005E30B2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4A2EE3">
              <w:rPr>
                <w:sz w:val="28"/>
                <w:szCs w:val="28"/>
                <w:lang w:val="lv-LV"/>
              </w:rPr>
              <w:t>Programmas ietvaros</w:t>
            </w:r>
            <w:r w:rsidR="00891622" w:rsidRPr="004A2EE3">
              <w:rPr>
                <w:sz w:val="28"/>
                <w:szCs w:val="28"/>
                <w:lang w:val="lv-LV"/>
              </w:rPr>
              <w:t xml:space="preserve"> </w:t>
            </w:r>
            <w:r w:rsidR="00FE76B5" w:rsidRPr="004A2EE3">
              <w:rPr>
                <w:sz w:val="28"/>
                <w:szCs w:val="28"/>
                <w:lang w:val="lv-LV"/>
              </w:rPr>
              <w:t xml:space="preserve">līdz </w:t>
            </w:r>
            <w:r w:rsidR="007F6449" w:rsidRPr="004A2EE3">
              <w:rPr>
                <w:sz w:val="28"/>
                <w:szCs w:val="28"/>
                <w:lang w:val="lv-LV"/>
              </w:rPr>
              <w:t>2017.gada 1.</w:t>
            </w:r>
            <w:r w:rsidR="00DA1FCE" w:rsidRPr="004A2EE3">
              <w:rPr>
                <w:sz w:val="28"/>
                <w:szCs w:val="28"/>
                <w:lang w:val="lv-LV"/>
              </w:rPr>
              <w:t xml:space="preserve">septembrim </w:t>
            </w:r>
            <w:r w:rsidR="00B83EED" w:rsidRPr="004A2EE3">
              <w:rPr>
                <w:sz w:val="28"/>
                <w:szCs w:val="28"/>
                <w:lang w:val="lv-LV"/>
              </w:rPr>
              <w:t>akciju sabiedrība</w:t>
            </w:r>
            <w:r w:rsidR="007F6449" w:rsidRPr="004A2EE3">
              <w:rPr>
                <w:sz w:val="28"/>
                <w:szCs w:val="28"/>
                <w:lang w:val="lv-LV"/>
              </w:rPr>
              <w:t xml:space="preserve"> “Attīstības finanšu institūcija </w:t>
            </w:r>
            <w:proofErr w:type="spellStart"/>
            <w:r w:rsidR="007F6449" w:rsidRPr="004A2EE3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7F6449" w:rsidRPr="004A2EE3">
              <w:rPr>
                <w:sz w:val="28"/>
                <w:szCs w:val="28"/>
                <w:lang w:val="lv-LV"/>
              </w:rPr>
              <w:t>”</w:t>
            </w:r>
            <w:r w:rsidR="005E30B2" w:rsidRPr="004A2EE3">
              <w:rPr>
                <w:sz w:val="28"/>
                <w:szCs w:val="28"/>
                <w:lang w:val="lv-LV"/>
              </w:rPr>
              <w:t xml:space="preserve"> (turpmāk – </w:t>
            </w:r>
            <w:r w:rsidR="006D536E" w:rsidRPr="004A2EE3">
              <w:rPr>
                <w:sz w:val="28"/>
                <w:szCs w:val="28"/>
                <w:lang w:val="lv-LV"/>
              </w:rPr>
              <w:t xml:space="preserve">sabiedrība </w:t>
            </w:r>
            <w:proofErr w:type="spellStart"/>
            <w:r w:rsidR="005E30B2" w:rsidRPr="004A2EE3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5E30B2" w:rsidRPr="004A2EE3">
              <w:rPr>
                <w:sz w:val="28"/>
                <w:szCs w:val="28"/>
                <w:lang w:val="lv-LV"/>
              </w:rPr>
              <w:t>)</w:t>
            </w:r>
            <w:r w:rsidR="007F6449" w:rsidRPr="004A2EE3">
              <w:rPr>
                <w:sz w:val="28"/>
                <w:szCs w:val="28"/>
                <w:lang w:val="lv-LV"/>
              </w:rPr>
              <w:t xml:space="preserve"> ir</w:t>
            </w:r>
            <w:r w:rsidR="00FE76B5" w:rsidRPr="004A2EE3">
              <w:rPr>
                <w:sz w:val="28"/>
                <w:szCs w:val="28"/>
                <w:lang w:val="lv-LV"/>
              </w:rPr>
              <w:t>:</w:t>
            </w:r>
          </w:p>
          <w:p w14:paraId="418768A4" w14:textId="67BC9C65" w:rsidR="00FE76B5" w:rsidRPr="004A2EE3" w:rsidRDefault="00FE76B5" w:rsidP="00FE76B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right="346"/>
              <w:jc w:val="both"/>
              <w:rPr>
                <w:sz w:val="28"/>
                <w:szCs w:val="28"/>
                <w:lang w:val="lv-LV"/>
              </w:rPr>
            </w:pPr>
            <w:r w:rsidRPr="004A2EE3">
              <w:rPr>
                <w:sz w:val="28"/>
                <w:szCs w:val="28"/>
                <w:lang w:val="lv-LV"/>
              </w:rPr>
              <w:t xml:space="preserve">noslēgusi </w:t>
            </w:r>
            <w:r w:rsidR="00DA1FCE" w:rsidRPr="004A2EE3">
              <w:rPr>
                <w:sz w:val="28"/>
                <w:szCs w:val="28"/>
                <w:lang w:val="lv-LV"/>
              </w:rPr>
              <w:t>210</w:t>
            </w:r>
            <w:r w:rsidRPr="004A2EE3">
              <w:rPr>
                <w:sz w:val="28"/>
                <w:szCs w:val="28"/>
                <w:lang w:val="lv-LV"/>
              </w:rPr>
              <w:t xml:space="preserve"> starta aizdevumu līgumu </w:t>
            </w:r>
            <w:r w:rsidR="00DA1FCE" w:rsidRPr="004A2EE3">
              <w:rPr>
                <w:sz w:val="28"/>
                <w:szCs w:val="28"/>
                <w:lang w:val="lv-LV"/>
              </w:rPr>
              <w:t>4</w:t>
            </w:r>
            <w:r w:rsidRPr="004A2EE3">
              <w:rPr>
                <w:sz w:val="28"/>
                <w:szCs w:val="28"/>
                <w:lang w:val="lv-LV"/>
              </w:rPr>
              <w:t>,</w:t>
            </w:r>
            <w:r w:rsidR="00DA1FCE" w:rsidRPr="004A2EE3">
              <w:rPr>
                <w:sz w:val="28"/>
                <w:szCs w:val="28"/>
                <w:lang w:val="lv-LV"/>
              </w:rPr>
              <w:t>2</w:t>
            </w:r>
            <w:r w:rsidRPr="004A2EE3">
              <w:rPr>
                <w:sz w:val="28"/>
                <w:szCs w:val="28"/>
                <w:lang w:val="lv-LV"/>
              </w:rPr>
              <w:t xml:space="preserve">2 miljonu </w:t>
            </w:r>
            <w:proofErr w:type="spellStart"/>
            <w:r w:rsidR="00B83EED" w:rsidRPr="004A2EE3">
              <w:rPr>
                <w:i/>
                <w:sz w:val="28"/>
                <w:szCs w:val="28"/>
                <w:lang w:val="lv-LV"/>
              </w:rPr>
              <w:t>euro</w:t>
            </w:r>
            <w:proofErr w:type="spellEnd"/>
            <w:r w:rsidR="00B83EED" w:rsidRPr="004A2EE3">
              <w:rPr>
                <w:sz w:val="28"/>
                <w:szCs w:val="28"/>
                <w:lang w:val="lv-LV"/>
              </w:rPr>
              <w:t xml:space="preserve"> </w:t>
            </w:r>
            <w:r w:rsidRPr="004A2EE3">
              <w:rPr>
                <w:sz w:val="28"/>
                <w:szCs w:val="28"/>
                <w:lang w:val="lv-LV"/>
              </w:rPr>
              <w:t xml:space="preserve">apmērā un pieņēmusi lēmumu par </w:t>
            </w:r>
            <w:r w:rsidR="00DA1FCE" w:rsidRPr="004A2EE3">
              <w:rPr>
                <w:sz w:val="28"/>
                <w:szCs w:val="28"/>
                <w:lang w:val="lv-LV"/>
              </w:rPr>
              <w:t xml:space="preserve">241 </w:t>
            </w:r>
            <w:r w:rsidRPr="004A2EE3">
              <w:rPr>
                <w:sz w:val="28"/>
                <w:szCs w:val="28"/>
                <w:lang w:val="lv-LV"/>
              </w:rPr>
              <w:t>aizdevumu izsniegšanu 4,8</w:t>
            </w:r>
            <w:r w:rsidR="00DA1FCE" w:rsidRPr="004A2EE3">
              <w:rPr>
                <w:sz w:val="28"/>
                <w:szCs w:val="28"/>
                <w:lang w:val="lv-LV"/>
              </w:rPr>
              <w:t>1</w:t>
            </w:r>
            <w:r w:rsidRPr="004A2EE3">
              <w:rPr>
                <w:sz w:val="28"/>
                <w:szCs w:val="28"/>
                <w:lang w:val="lv-LV"/>
              </w:rPr>
              <w:t xml:space="preserve"> miljonu EUR apmērā;</w:t>
            </w:r>
          </w:p>
          <w:p w14:paraId="02C62DDA" w14:textId="3BA444FB" w:rsidR="00FE76B5" w:rsidRPr="004A2EE3" w:rsidRDefault="00FE76B5" w:rsidP="00FE76B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120"/>
              <w:ind w:right="346"/>
              <w:jc w:val="both"/>
              <w:rPr>
                <w:sz w:val="28"/>
                <w:szCs w:val="28"/>
                <w:lang w:val="lv-LV"/>
              </w:rPr>
            </w:pPr>
            <w:r w:rsidRPr="004A2EE3">
              <w:rPr>
                <w:sz w:val="28"/>
                <w:szCs w:val="28"/>
                <w:lang w:val="lv-LV"/>
              </w:rPr>
              <w:t xml:space="preserve">noslēgusi </w:t>
            </w:r>
            <w:r w:rsidR="00DA1FCE" w:rsidRPr="004A2EE3">
              <w:rPr>
                <w:sz w:val="28"/>
                <w:szCs w:val="28"/>
                <w:lang w:val="lv-LV"/>
              </w:rPr>
              <w:t>61</w:t>
            </w:r>
            <w:r w:rsidRPr="004A2EE3">
              <w:rPr>
                <w:sz w:val="28"/>
                <w:szCs w:val="28"/>
                <w:lang w:val="lv-LV"/>
              </w:rPr>
              <w:t xml:space="preserve"> mikro aizdevumu līgumu 0,</w:t>
            </w:r>
            <w:r w:rsidR="00DA1FCE" w:rsidRPr="004A2EE3">
              <w:rPr>
                <w:sz w:val="28"/>
                <w:szCs w:val="28"/>
                <w:lang w:val="lv-LV"/>
              </w:rPr>
              <w:t>7</w:t>
            </w:r>
            <w:r w:rsidRPr="004A2EE3">
              <w:rPr>
                <w:sz w:val="28"/>
                <w:szCs w:val="28"/>
                <w:lang w:val="lv-LV"/>
              </w:rPr>
              <w:t xml:space="preserve">6 miljonu </w:t>
            </w:r>
            <w:proofErr w:type="spellStart"/>
            <w:r w:rsidR="00B83EED" w:rsidRPr="004A2EE3">
              <w:rPr>
                <w:i/>
                <w:sz w:val="28"/>
                <w:szCs w:val="28"/>
                <w:lang w:val="lv-LV"/>
              </w:rPr>
              <w:t>euro</w:t>
            </w:r>
            <w:proofErr w:type="spellEnd"/>
            <w:r w:rsidR="00B83EED" w:rsidRPr="004A2EE3">
              <w:rPr>
                <w:sz w:val="28"/>
                <w:szCs w:val="28"/>
                <w:lang w:val="lv-LV"/>
              </w:rPr>
              <w:t xml:space="preserve"> </w:t>
            </w:r>
            <w:r w:rsidRPr="004A2EE3">
              <w:rPr>
                <w:sz w:val="28"/>
                <w:szCs w:val="28"/>
                <w:lang w:val="lv-LV"/>
              </w:rPr>
              <w:t xml:space="preserve">apmērā un pieņēmusi lēmumu par </w:t>
            </w:r>
            <w:r w:rsidR="00DA1FCE" w:rsidRPr="004A2EE3">
              <w:rPr>
                <w:sz w:val="28"/>
                <w:szCs w:val="28"/>
                <w:lang w:val="lv-LV"/>
              </w:rPr>
              <w:t>65</w:t>
            </w:r>
            <w:r w:rsidRPr="004A2EE3">
              <w:rPr>
                <w:sz w:val="28"/>
                <w:szCs w:val="28"/>
                <w:lang w:val="lv-LV"/>
              </w:rPr>
              <w:t xml:space="preserve"> aizdevumu izsniegšanu 0,</w:t>
            </w:r>
            <w:r w:rsidR="00DA1FCE" w:rsidRPr="004A2EE3">
              <w:rPr>
                <w:sz w:val="28"/>
                <w:szCs w:val="28"/>
                <w:lang w:val="lv-LV"/>
              </w:rPr>
              <w:t>81</w:t>
            </w:r>
            <w:r w:rsidRPr="004A2EE3">
              <w:rPr>
                <w:sz w:val="28"/>
                <w:szCs w:val="28"/>
                <w:lang w:val="lv-LV"/>
              </w:rPr>
              <w:t xml:space="preserve"> miljonu EUR apmērā.</w:t>
            </w:r>
          </w:p>
          <w:p w14:paraId="07D9C89C" w14:textId="77777777" w:rsidR="002D744A" w:rsidRPr="000E56F8" w:rsidRDefault="005E30B2" w:rsidP="002D744A">
            <w:pPr>
              <w:autoSpaceDE w:val="0"/>
              <w:autoSpaceDN w:val="0"/>
              <w:adjustRightInd w:val="0"/>
              <w:spacing w:after="120"/>
              <w:ind w:left="144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 xml:space="preserve">2017.gada 1.pusgadā </w:t>
            </w:r>
            <w:r w:rsidR="006D5EB4" w:rsidRPr="000E56F8">
              <w:rPr>
                <w:sz w:val="28"/>
                <w:szCs w:val="28"/>
                <w:lang w:val="lv-LV"/>
              </w:rPr>
              <w:t xml:space="preserve">sabiedrība </w:t>
            </w:r>
            <w:proofErr w:type="spellStart"/>
            <w:r w:rsidRPr="000E56F8">
              <w:rPr>
                <w:sz w:val="28"/>
                <w:szCs w:val="28"/>
                <w:lang w:val="lv-LV"/>
              </w:rPr>
              <w:t>Altum</w:t>
            </w:r>
            <w:proofErr w:type="spellEnd"/>
            <w:r w:rsidRPr="000E56F8">
              <w:rPr>
                <w:sz w:val="28"/>
                <w:szCs w:val="28"/>
                <w:lang w:val="lv-LV"/>
              </w:rPr>
              <w:t xml:space="preserve"> veica plašu </w:t>
            </w:r>
            <w:r w:rsidR="00FE76B5" w:rsidRPr="000E56F8">
              <w:rPr>
                <w:sz w:val="28"/>
                <w:szCs w:val="28"/>
                <w:lang w:val="lv-LV"/>
              </w:rPr>
              <w:t xml:space="preserve">sabiedrības </w:t>
            </w:r>
            <w:r w:rsidRPr="000E56F8">
              <w:rPr>
                <w:sz w:val="28"/>
                <w:szCs w:val="28"/>
                <w:lang w:val="lv-LV"/>
              </w:rPr>
              <w:t xml:space="preserve">informēšanu par </w:t>
            </w:r>
            <w:r w:rsidR="00FE76B5" w:rsidRPr="000E56F8">
              <w:rPr>
                <w:sz w:val="28"/>
                <w:szCs w:val="28"/>
                <w:lang w:val="lv-LV"/>
              </w:rPr>
              <w:t>starta un mikro aizdevumiem visos Latvijas reģionos</w:t>
            </w:r>
            <w:r w:rsidR="004741BD" w:rsidRPr="000E56F8">
              <w:rPr>
                <w:sz w:val="28"/>
                <w:szCs w:val="28"/>
                <w:lang w:val="lv-LV"/>
              </w:rPr>
              <w:t xml:space="preserve">, kas noslēdzās 31.maijā ar Starta dienu jeb biznesa uzsācēju gadatirgu Rīgā. </w:t>
            </w:r>
            <w:r w:rsidR="00A541ED" w:rsidRPr="000E56F8">
              <w:rPr>
                <w:sz w:val="28"/>
                <w:szCs w:val="28"/>
                <w:lang w:val="lv-LV"/>
              </w:rPr>
              <w:t xml:space="preserve">Pēc šiem pasākumiem </w:t>
            </w:r>
            <w:r w:rsidR="005E39B3" w:rsidRPr="000E56F8">
              <w:rPr>
                <w:sz w:val="28"/>
                <w:szCs w:val="28"/>
                <w:lang w:val="lv-LV"/>
              </w:rPr>
              <w:t xml:space="preserve">sabiedrība </w:t>
            </w:r>
            <w:proofErr w:type="spellStart"/>
            <w:r w:rsidR="00A541ED" w:rsidRPr="000E56F8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A541ED" w:rsidRPr="000E56F8">
              <w:rPr>
                <w:sz w:val="28"/>
                <w:szCs w:val="28"/>
                <w:lang w:val="lv-LV"/>
              </w:rPr>
              <w:t xml:space="preserve"> apkopoja </w:t>
            </w:r>
            <w:r w:rsidR="00796159" w:rsidRPr="000E56F8">
              <w:rPr>
                <w:sz w:val="28"/>
                <w:szCs w:val="28"/>
                <w:lang w:val="lv-LV"/>
              </w:rPr>
              <w:t>informāciju par</w:t>
            </w:r>
            <w:r w:rsidR="009B43EB" w:rsidRPr="000E56F8">
              <w:rPr>
                <w:sz w:val="28"/>
                <w:szCs w:val="28"/>
                <w:lang w:val="lv-LV"/>
              </w:rPr>
              <w:t xml:space="preserve"> </w:t>
            </w:r>
            <w:r w:rsidR="005C3B2C">
              <w:rPr>
                <w:sz w:val="28"/>
                <w:szCs w:val="28"/>
                <w:lang w:val="lv-LV"/>
              </w:rPr>
              <w:t>programmas</w:t>
            </w:r>
            <w:r w:rsidR="005C3B2C" w:rsidRPr="000E56F8">
              <w:rPr>
                <w:sz w:val="28"/>
                <w:szCs w:val="28"/>
                <w:lang w:val="lv-LV"/>
              </w:rPr>
              <w:t xml:space="preserve"> </w:t>
            </w:r>
            <w:r w:rsidR="009B43EB" w:rsidRPr="000E56F8">
              <w:rPr>
                <w:sz w:val="28"/>
                <w:szCs w:val="28"/>
                <w:lang w:val="lv-LV"/>
              </w:rPr>
              <w:t>ietvaros noteiktajām prasībām un kritērijiem</w:t>
            </w:r>
            <w:r w:rsidR="005E39B3" w:rsidRPr="000E56F8">
              <w:rPr>
                <w:sz w:val="28"/>
                <w:szCs w:val="28"/>
                <w:lang w:val="lv-LV"/>
              </w:rPr>
              <w:t xml:space="preserve"> attiecībā uz reģistrētās saimnieciskās darbības veidu un līdzšinējās saimnieciskās darbības ilgumu</w:t>
            </w:r>
            <w:r w:rsidR="009B43EB" w:rsidRPr="000E56F8">
              <w:rPr>
                <w:sz w:val="28"/>
                <w:szCs w:val="28"/>
                <w:lang w:val="lv-LV"/>
              </w:rPr>
              <w:t>, kuri liedza daļai no potenciālajiem uzņēmējdarbības uzsācējiem saņemt aizdevumus</w:t>
            </w:r>
            <w:r w:rsidR="004741BD" w:rsidRPr="000E56F8">
              <w:rPr>
                <w:sz w:val="28"/>
                <w:szCs w:val="28"/>
                <w:lang w:val="lv-LV"/>
              </w:rPr>
              <w:t xml:space="preserve">, kā arī uzņēmējdarbības </w:t>
            </w:r>
            <w:r w:rsidR="009D1051" w:rsidRPr="000E56F8">
              <w:rPr>
                <w:sz w:val="28"/>
                <w:szCs w:val="28"/>
                <w:lang w:val="lv-LV"/>
              </w:rPr>
              <w:t xml:space="preserve">uzsācēju </w:t>
            </w:r>
            <w:r w:rsidR="00A541ED" w:rsidRPr="000E56F8">
              <w:rPr>
                <w:sz w:val="28"/>
                <w:szCs w:val="28"/>
                <w:lang w:val="lv-LV"/>
              </w:rPr>
              <w:t xml:space="preserve">ierosinājumus izmaiņām </w:t>
            </w:r>
            <w:r w:rsidR="004741BD" w:rsidRPr="000E56F8">
              <w:rPr>
                <w:sz w:val="28"/>
                <w:szCs w:val="28"/>
                <w:lang w:val="lv-LV"/>
              </w:rPr>
              <w:t xml:space="preserve">starta </w:t>
            </w:r>
            <w:r w:rsidR="009D1051" w:rsidRPr="000E56F8">
              <w:rPr>
                <w:sz w:val="28"/>
                <w:szCs w:val="28"/>
                <w:lang w:val="lv-LV"/>
              </w:rPr>
              <w:t xml:space="preserve">aizdevumu </w:t>
            </w:r>
            <w:r w:rsidR="004E626B" w:rsidRPr="000E56F8">
              <w:rPr>
                <w:sz w:val="28"/>
                <w:szCs w:val="28"/>
                <w:lang w:val="lv-LV"/>
              </w:rPr>
              <w:t>pasākumā</w:t>
            </w:r>
            <w:r w:rsidR="009D1051" w:rsidRPr="000E56F8">
              <w:rPr>
                <w:sz w:val="28"/>
                <w:szCs w:val="28"/>
                <w:lang w:val="lv-LV"/>
              </w:rPr>
              <w:t>.</w:t>
            </w:r>
          </w:p>
          <w:p w14:paraId="48F1B5EE" w14:textId="5A3D50C2" w:rsidR="005E30B2" w:rsidRPr="000E56F8" w:rsidRDefault="009D1051" w:rsidP="002D744A">
            <w:pPr>
              <w:autoSpaceDE w:val="0"/>
              <w:autoSpaceDN w:val="0"/>
              <w:adjustRightInd w:val="0"/>
              <w:spacing w:after="120"/>
              <w:ind w:left="144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>A</w:t>
            </w:r>
            <w:r w:rsidR="00A541ED" w:rsidRPr="000E56F8">
              <w:rPr>
                <w:sz w:val="28"/>
                <w:szCs w:val="28"/>
                <w:lang w:val="lv-LV"/>
              </w:rPr>
              <w:t>tbilstoši</w:t>
            </w:r>
            <w:r w:rsidR="005E39B3" w:rsidRPr="000E56F8">
              <w:rPr>
                <w:sz w:val="28"/>
                <w:szCs w:val="28"/>
                <w:lang w:val="lv-LV"/>
              </w:rPr>
              <w:t xml:space="preserve"> sabiedrības </w:t>
            </w:r>
            <w:proofErr w:type="spellStart"/>
            <w:r w:rsidR="005E39B3" w:rsidRPr="000E56F8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5E39B3" w:rsidRPr="000E56F8">
              <w:rPr>
                <w:sz w:val="28"/>
                <w:szCs w:val="28"/>
                <w:lang w:val="lv-LV"/>
              </w:rPr>
              <w:t xml:space="preserve"> apkopotajai un izanalizētajai informācijai</w:t>
            </w:r>
            <w:r w:rsidR="001C362D" w:rsidRPr="000E56F8">
              <w:rPr>
                <w:sz w:val="28"/>
                <w:szCs w:val="28"/>
                <w:lang w:val="lv-LV"/>
              </w:rPr>
              <w:t xml:space="preserve"> un uzņēmējdarbības uzsācēju ierosinājumiem</w:t>
            </w:r>
            <w:r w:rsidR="005E39B3" w:rsidRPr="000E56F8">
              <w:rPr>
                <w:sz w:val="28"/>
                <w:szCs w:val="28"/>
                <w:lang w:val="lv-LV"/>
              </w:rPr>
              <w:t>,</w:t>
            </w:r>
            <w:r w:rsidR="00A541ED" w:rsidRPr="000E56F8">
              <w:rPr>
                <w:sz w:val="28"/>
                <w:szCs w:val="28"/>
                <w:lang w:val="lv-LV"/>
              </w:rPr>
              <w:t xml:space="preserve"> Ekonomikas ministrija</w:t>
            </w:r>
            <w:r w:rsidR="005D2167" w:rsidRPr="000E56F8">
              <w:rPr>
                <w:sz w:val="28"/>
                <w:szCs w:val="28"/>
                <w:lang w:val="lv-LV"/>
              </w:rPr>
              <w:t xml:space="preserve"> (turpmāk – EM)</w:t>
            </w:r>
            <w:r w:rsidR="00A541ED" w:rsidRPr="000E56F8">
              <w:rPr>
                <w:sz w:val="28"/>
                <w:szCs w:val="28"/>
                <w:lang w:val="lv-LV"/>
              </w:rPr>
              <w:t xml:space="preserve"> ir izstrādājusi </w:t>
            </w:r>
            <w:r w:rsidR="005E39B3" w:rsidRPr="000E56F8">
              <w:rPr>
                <w:sz w:val="28"/>
                <w:szCs w:val="28"/>
                <w:lang w:val="lv-LV"/>
              </w:rPr>
              <w:t xml:space="preserve">Ministru kabineta noteikumu projektu ,,Grozījumi Ministru kabineta 2016.gada 31.maija </w:t>
            </w:r>
            <w:r w:rsidR="005E39B3" w:rsidRPr="000E56F8">
              <w:rPr>
                <w:sz w:val="28"/>
                <w:szCs w:val="28"/>
                <w:lang w:val="lv-LV"/>
              </w:rPr>
              <w:lastRenderedPageBreak/>
              <w:t xml:space="preserve">noteikumos Nr.328 „Noteikumi par </w:t>
            </w:r>
            <w:proofErr w:type="spellStart"/>
            <w:r w:rsidR="005E39B3" w:rsidRPr="000E56F8">
              <w:rPr>
                <w:sz w:val="28"/>
                <w:szCs w:val="28"/>
                <w:lang w:val="lv-LV"/>
              </w:rPr>
              <w:t>mikroaizdevumiem</w:t>
            </w:r>
            <w:proofErr w:type="spellEnd"/>
            <w:r w:rsidR="005E39B3" w:rsidRPr="000E56F8">
              <w:rPr>
                <w:sz w:val="28"/>
                <w:szCs w:val="28"/>
                <w:lang w:val="lv-LV"/>
              </w:rPr>
              <w:t xml:space="preserve"> un starta aizdevumiem””</w:t>
            </w:r>
            <w:r w:rsidR="009C3257">
              <w:rPr>
                <w:sz w:val="28"/>
                <w:szCs w:val="28"/>
                <w:lang w:val="lv-LV"/>
              </w:rPr>
              <w:t xml:space="preserve"> (turpmāk – MK noteikumu projekts)</w:t>
            </w:r>
            <w:r w:rsidR="00B762A0" w:rsidRPr="000E56F8">
              <w:rPr>
                <w:sz w:val="28"/>
                <w:szCs w:val="28"/>
                <w:lang w:val="lv-LV"/>
              </w:rPr>
              <w:t>.</w:t>
            </w:r>
          </w:p>
          <w:p w14:paraId="7BDD5133" w14:textId="77777777" w:rsidR="00BF13E6" w:rsidRPr="000E56F8" w:rsidRDefault="005E39B3" w:rsidP="00532875">
            <w:pPr>
              <w:autoSpaceDE w:val="0"/>
              <w:autoSpaceDN w:val="0"/>
              <w:adjustRightInd w:val="0"/>
              <w:spacing w:before="120" w:after="240"/>
              <w:ind w:left="144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>Noteikumu projekta mērķis ir</w:t>
            </w:r>
            <w:r w:rsidR="001C362D" w:rsidRPr="000E56F8">
              <w:rPr>
                <w:sz w:val="28"/>
                <w:szCs w:val="28"/>
                <w:lang w:val="lv-LV"/>
              </w:rPr>
              <w:t xml:space="preserve"> </w:t>
            </w:r>
            <w:r w:rsidRPr="000E56F8">
              <w:rPr>
                <w:sz w:val="28"/>
                <w:szCs w:val="28"/>
                <w:lang w:val="lv-LV"/>
              </w:rPr>
              <w:t>paplašin</w:t>
            </w:r>
            <w:r w:rsidR="00910BBC">
              <w:rPr>
                <w:sz w:val="28"/>
                <w:szCs w:val="28"/>
                <w:lang w:val="lv-LV"/>
              </w:rPr>
              <w:t>ā</w:t>
            </w:r>
            <w:r w:rsidRPr="000E56F8">
              <w:rPr>
                <w:sz w:val="28"/>
                <w:szCs w:val="28"/>
                <w:lang w:val="lv-LV"/>
              </w:rPr>
              <w:t xml:space="preserve">t </w:t>
            </w:r>
            <w:r w:rsidR="002D744A" w:rsidRPr="000E56F8">
              <w:rPr>
                <w:sz w:val="28"/>
                <w:szCs w:val="28"/>
                <w:lang w:val="lv-LV"/>
              </w:rPr>
              <w:t xml:space="preserve">potenciālo </w:t>
            </w:r>
            <w:r w:rsidRPr="000E56F8">
              <w:rPr>
                <w:sz w:val="28"/>
                <w:szCs w:val="28"/>
                <w:lang w:val="lv-LV"/>
              </w:rPr>
              <w:t>atbalsta saņēmēju loku</w:t>
            </w:r>
            <w:r w:rsidR="001C362D" w:rsidRPr="000E56F8">
              <w:rPr>
                <w:sz w:val="28"/>
                <w:szCs w:val="28"/>
                <w:lang w:val="lv-LV"/>
              </w:rPr>
              <w:t xml:space="preserve">, kā arī pagarināt </w:t>
            </w:r>
            <w:r w:rsidR="005D2167" w:rsidRPr="000E56F8">
              <w:rPr>
                <w:sz w:val="28"/>
                <w:szCs w:val="28"/>
                <w:lang w:val="lv-LV"/>
              </w:rPr>
              <w:t xml:space="preserve">izsniegto </w:t>
            </w:r>
            <w:r w:rsidR="001C362D" w:rsidRPr="000E56F8">
              <w:rPr>
                <w:sz w:val="28"/>
                <w:szCs w:val="28"/>
                <w:lang w:val="lv-LV"/>
              </w:rPr>
              <w:t>aizdevumu atmaksas termiņu, tādējādi nosakot labvēlīgākus aizdevumu i</w:t>
            </w:r>
            <w:r w:rsidR="004E626B" w:rsidRPr="000E56F8">
              <w:rPr>
                <w:sz w:val="28"/>
                <w:szCs w:val="28"/>
                <w:lang w:val="lv-LV"/>
              </w:rPr>
              <w:t>zmantošanas nosacījumus.</w:t>
            </w:r>
            <w:r w:rsidR="001C362D" w:rsidRPr="000E56F8">
              <w:rPr>
                <w:sz w:val="28"/>
                <w:szCs w:val="28"/>
                <w:lang w:val="lv-LV"/>
              </w:rPr>
              <w:t xml:space="preserve"> </w:t>
            </w:r>
          </w:p>
          <w:p w14:paraId="74811C11" w14:textId="77777777" w:rsidR="004741BD" w:rsidRPr="000E56F8" w:rsidRDefault="004741BD" w:rsidP="004741BD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b/>
                <w:sz w:val="28"/>
                <w:szCs w:val="28"/>
                <w:lang w:val="lv-LV"/>
              </w:rPr>
            </w:pPr>
            <w:r w:rsidRPr="000E56F8">
              <w:rPr>
                <w:b/>
                <w:sz w:val="28"/>
                <w:szCs w:val="28"/>
                <w:lang w:val="lv-LV"/>
              </w:rPr>
              <w:t>1.</w:t>
            </w:r>
            <w:r w:rsidR="005C3B2C">
              <w:rPr>
                <w:b/>
                <w:sz w:val="28"/>
                <w:szCs w:val="28"/>
                <w:lang w:val="lv-LV"/>
              </w:rPr>
              <w:t>Aizdevumu</w:t>
            </w:r>
            <w:r w:rsidR="005C3B2C" w:rsidRPr="000E56F8">
              <w:rPr>
                <w:b/>
                <w:sz w:val="28"/>
                <w:szCs w:val="28"/>
                <w:lang w:val="lv-LV"/>
              </w:rPr>
              <w:t xml:space="preserve"> </w:t>
            </w:r>
            <w:r w:rsidRPr="000E56F8">
              <w:rPr>
                <w:b/>
                <w:sz w:val="28"/>
                <w:szCs w:val="28"/>
                <w:lang w:val="lv-LV"/>
              </w:rPr>
              <w:t>saņēmēju loks.</w:t>
            </w:r>
          </w:p>
          <w:p w14:paraId="181EB2D6" w14:textId="407786DA" w:rsidR="00532875" w:rsidRPr="000E56F8" w:rsidRDefault="004741BD" w:rsidP="004741BD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 xml:space="preserve">MK noteikumu </w:t>
            </w:r>
            <w:r w:rsidR="00796159" w:rsidRPr="000E56F8">
              <w:rPr>
                <w:sz w:val="28"/>
                <w:szCs w:val="28"/>
                <w:lang w:val="lv-LV"/>
              </w:rPr>
              <w:t>N</w:t>
            </w:r>
            <w:r w:rsidRPr="000E56F8">
              <w:rPr>
                <w:sz w:val="28"/>
                <w:szCs w:val="28"/>
                <w:lang w:val="lv-LV"/>
              </w:rPr>
              <w:t>r.328 2.punktā noteikts, ka pasākuma ietvaros aizdevumu</w:t>
            </w:r>
            <w:r w:rsidR="005C3B2C">
              <w:rPr>
                <w:sz w:val="28"/>
                <w:szCs w:val="28"/>
                <w:lang w:val="lv-LV"/>
              </w:rPr>
              <w:t>s</w:t>
            </w:r>
            <w:r w:rsidRPr="000E56F8">
              <w:rPr>
                <w:sz w:val="28"/>
                <w:szCs w:val="28"/>
                <w:lang w:val="lv-LV"/>
              </w:rPr>
              <w:t xml:space="preserve"> sniedz komersantiem. Līdzšinējā </w:t>
            </w:r>
            <w:r w:rsidR="004E626B" w:rsidRPr="000E56F8">
              <w:rPr>
                <w:sz w:val="28"/>
                <w:szCs w:val="28"/>
                <w:lang w:val="lv-LV"/>
              </w:rPr>
              <w:t>sabiedrība</w:t>
            </w:r>
            <w:r w:rsidR="00C212B4" w:rsidRPr="000E56F8">
              <w:rPr>
                <w:sz w:val="28"/>
                <w:szCs w:val="28"/>
                <w:lang w:val="lv-LV"/>
              </w:rPr>
              <w:t>s</w:t>
            </w:r>
            <w:r w:rsidR="004E626B" w:rsidRPr="000E56F8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0E56F8">
              <w:rPr>
                <w:sz w:val="28"/>
                <w:szCs w:val="28"/>
                <w:lang w:val="lv-LV"/>
              </w:rPr>
              <w:t>Altum</w:t>
            </w:r>
            <w:proofErr w:type="spellEnd"/>
            <w:r w:rsidRPr="000E56F8">
              <w:rPr>
                <w:sz w:val="28"/>
                <w:szCs w:val="28"/>
                <w:lang w:val="lv-LV"/>
              </w:rPr>
              <w:t xml:space="preserve"> pieredze rāda, ka daļa no potenciālajiem </w:t>
            </w:r>
            <w:r w:rsidR="005C3B2C">
              <w:rPr>
                <w:sz w:val="28"/>
                <w:szCs w:val="28"/>
                <w:lang w:val="lv-LV"/>
              </w:rPr>
              <w:t>aizdevumu</w:t>
            </w:r>
            <w:r w:rsidR="005C3B2C" w:rsidRPr="000E56F8">
              <w:rPr>
                <w:sz w:val="28"/>
                <w:szCs w:val="28"/>
                <w:lang w:val="lv-LV"/>
              </w:rPr>
              <w:t xml:space="preserve"> </w:t>
            </w:r>
            <w:r w:rsidRPr="000E56F8">
              <w:rPr>
                <w:sz w:val="28"/>
                <w:szCs w:val="28"/>
                <w:lang w:val="lv-LV"/>
              </w:rPr>
              <w:t xml:space="preserve">pretendentiem ir </w:t>
            </w:r>
            <w:proofErr w:type="spellStart"/>
            <w:r w:rsidRPr="000E56F8">
              <w:rPr>
                <w:sz w:val="28"/>
                <w:szCs w:val="28"/>
                <w:lang w:val="lv-LV"/>
              </w:rPr>
              <w:t>pašnodarbinātās</w:t>
            </w:r>
            <w:proofErr w:type="spellEnd"/>
            <w:r w:rsidRPr="000E56F8">
              <w:rPr>
                <w:sz w:val="28"/>
                <w:szCs w:val="28"/>
                <w:lang w:val="lv-LV"/>
              </w:rPr>
              <w:t xml:space="preserve"> personas, kas veic </w:t>
            </w:r>
            <w:r w:rsidR="009D1051" w:rsidRPr="000E56F8">
              <w:rPr>
                <w:sz w:val="28"/>
                <w:szCs w:val="28"/>
                <w:lang w:val="lv-LV"/>
              </w:rPr>
              <w:t xml:space="preserve">vai plāno uzsākt </w:t>
            </w:r>
            <w:r w:rsidRPr="000E56F8">
              <w:rPr>
                <w:sz w:val="28"/>
                <w:szCs w:val="28"/>
                <w:lang w:val="lv-LV"/>
              </w:rPr>
              <w:t>saimniecisko darbību</w:t>
            </w:r>
            <w:r w:rsidR="009D1051" w:rsidRPr="000E56F8">
              <w:rPr>
                <w:sz w:val="28"/>
                <w:szCs w:val="28"/>
                <w:lang w:val="lv-LV"/>
              </w:rPr>
              <w:t xml:space="preserve">. Bet </w:t>
            </w:r>
            <w:r w:rsidR="00504D6E" w:rsidRPr="000E56F8">
              <w:rPr>
                <w:sz w:val="28"/>
                <w:szCs w:val="28"/>
                <w:lang w:val="lv-LV"/>
              </w:rPr>
              <w:t xml:space="preserve">pašlaik spēkā esošo </w:t>
            </w:r>
            <w:r w:rsidR="009D1051" w:rsidRPr="000E56F8">
              <w:rPr>
                <w:sz w:val="28"/>
                <w:szCs w:val="28"/>
                <w:lang w:val="lv-LV"/>
              </w:rPr>
              <w:t>MK noteikumu</w:t>
            </w:r>
            <w:r w:rsidRPr="000E56F8">
              <w:rPr>
                <w:sz w:val="28"/>
                <w:szCs w:val="28"/>
                <w:lang w:val="lv-LV"/>
              </w:rPr>
              <w:t xml:space="preserve"> </w:t>
            </w:r>
            <w:r w:rsidR="00720E7B" w:rsidRPr="000E56F8">
              <w:rPr>
                <w:sz w:val="28"/>
                <w:szCs w:val="28"/>
                <w:lang w:val="lv-LV"/>
              </w:rPr>
              <w:t>N</w:t>
            </w:r>
            <w:r w:rsidRPr="000E56F8">
              <w:rPr>
                <w:sz w:val="28"/>
                <w:szCs w:val="28"/>
                <w:lang w:val="lv-LV"/>
              </w:rPr>
              <w:t>r.328 2.punkts ierobežo pieteikšanos aizdevu</w:t>
            </w:r>
            <w:r w:rsidR="008B5B2C" w:rsidRPr="000E56F8">
              <w:rPr>
                <w:sz w:val="28"/>
                <w:szCs w:val="28"/>
                <w:lang w:val="lv-LV"/>
              </w:rPr>
              <w:t>mam, ja persona nav reģistrējusies</w:t>
            </w:r>
            <w:r w:rsidR="00532875" w:rsidRPr="000E56F8">
              <w:rPr>
                <w:sz w:val="28"/>
                <w:szCs w:val="28"/>
                <w:lang w:val="lv-LV"/>
              </w:rPr>
              <w:t xml:space="preserve"> Latvijas Republikas Uzņēmumu reģistrā</w:t>
            </w:r>
            <w:r w:rsidR="008B5B2C" w:rsidRPr="000E56F8">
              <w:rPr>
                <w:sz w:val="28"/>
                <w:szCs w:val="28"/>
                <w:lang w:val="lv-LV"/>
              </w:rPr>
              <w:t xml:space="preserve"> </w:t>
            </w:r>
            <w:r w:rsidR="00504D6E" w:rsidRPr="000E56F8">
              <w:rPr>
                <w:sz w:val="28"/>
                <w:szCs w:val="28"/>
                <w:lang w:val="lv-LV"/>
              </w:rPr>
              <w:t xml:space="preserve">kā komersants </w:t>
            </w:r>
            <w:r w:rsidR="008B5B2C" w:rsidRPr="000E56F8">
              <w:rPr>
                <w:sz w:val="28"/>
                <w:szCs w:val="28"/>
                <w:lang w:val="lv-LV"/>
              </w:rPr>
              <w:t>(piemēram, kā</w:t>
            </w:r>
            <w:r w:rsidR="00ED2979">
              <w:rPr>
                <w:sz w:val="28"/>
                <w:szCs w:val="28"/>
                <w:lang w:val="lv-LV"/>
              </w:rPr>
              <w:t xml:space="preserve"> sabiedrība ar ierobežotu atbildību vai individuālais komersants</w:t>
            </w:r>
            <w:r w:rsidRPr="000E56F8">
              <w:rPr>
                <w:sz w:val="28"/>
                <w:szCs w:val="28"/>
                <w:lang w:val="lv-LV"/>
              </w:rPr>
              <w:t xml:space="preserve">. Līdz ar to minētais </w:t>
            </w:r>
            <w:r w:rsidR="00314298" w:rsidRPr="000E56F8">
              <w:rPr>
                <w:sz w:val="28"/>
                <w:szCs w:val="28"/>
                <w:lang w:val="lv-LV"/>
              </w:rPr>
              <w:t>regulējums</w:t>
            </w:r>
            <w:r w:rsidRPr="000E56F8">
              <w:rPr>
                <w:sz w:val="28"/>
                <w:szCs w:val="28"/>
                <w:lang w:val="lv-LV"/>
              </w:rPr>
              <w:t xml:space="preserve"> ierobežo </w:t>
            </w:r>
            <w:r w:rsidR="00A93054">
              <w:rPr>
                <w:sz w:val="28"/>
                <w:szCs w:val="28"/>
                <w:lang w:val="lv-LV"/>
              </w:rPr>
              <w:t xml:space="preserve">minēto </w:t>
            </w:r>
            <w:r w:rsidRPr="000E56F8">
              <w:rPr>
                <w:sz w:val="28"/>
                <w:szCs w:val="28"/>
                <w:lang w:val="lv-LV"/>
              </w:rPr>
              <w:t xml:space="preserve">potenciālu </w:t>
            </w:r>
            <w:r w:rsidR="005C3B2C">
              <w:rPr>
                <w:sz w:val="28"/>
                <w:szCs w:val="28"/>
                <w:lang w:val="lv-LV"/>
              </w:rPr>
              <w:t>aizdevumu</w:t>
            </w:r>
            <w:r w:rsidR="005C3B2C" w:rsidRPr="000E56F8">
              <w:rPr>
                <w:sz w:val="28"/>
                <w:szCs w:val="28"/>
                <w:lang w:val="lv-LV"/>
              </w:rPr>
              <w:t xml:space="preserve"> </w:t>
            </w:r>
            <w:r w:rsidRPr="000E56F8">
              <w:rPr>
                <w:sz w:val="28"/>
                <w:szCs w:val="28"/>
                <w:lang w:val="lv-LV"/>
              </w:rPr>
              <w:t xml:space="preserve">saņēmēju loku un izvirza </w:t>
            </w:r>
            <w:r w:rsidR="00081EC5" w:rsidRPr="000E56F8">
              <w:rPr>
                <w:sz w:val="28"/>
                <w:szCs w:val="28"/>
                <w:lang w:val="lv-LV"/>
              </w:rPr>
              <w:t>papildus</w:t>
            </w:r>
            <w:r w:rsidRPr="000E56F8">
              <w:rPr>
                <w:sz w:val="28"/>
                <w:szCs w:val="28"/>
                <w:lang w:val="lv-LV"/>
              </w:rPr>
              <w:t xml:space="preserve"> administratīvo prasību reģistrēt</w:t>
            </w:r>
            <w:r w:rsidR="00081EC5" w:rsidRPr="000E56F8">
              <w:rPr>
                <w:sz w:val="28"/>
                <w:szCs w:val="28"/>
                <w:lang w:val="lv-LV"/>
              </w:rPr>
              <w:t>ies kā komersantam</w:t>
            </w:r>
            <w:r w:rsidRPr="000E56F8">
              <w:rPr>
                <w:sz w:val="28"/>
                <w:szCs w:val="28"/>
                <w:lang w:val="lv-LV"/>
              </w:rPr>
              <w:t xml:space="preserve">. </w:t>
            </w:r>
          </w:p>
          <w:p w14:paraId="6CBF7C8E" w14:textId="0AFC86CA" w:rsidR="004741BD" w:rsidRPr="000E56F8" w:rsidRDefault="00E231E0" w:rsidP="00532875">
            <w:pPr>
              <w:autoSpaceDE w:val="0"/>
              <w:autoSpaceDN w:val="0"/>
              <w:adjustRightInd w:val="0"/>
              <w:spacing w:before="120" w:after="240"/>
              <w:ind w:left="144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>Ņemot vērā iepriekš minēto</w:t>
            </w:r>
            <w:r w:rsidR="00A93054">
              <w:rPr>
                <w:sz w:val="28"/>
                <w:szCs w:val="28"/>
                <w:lang w:val="lv-LV"/>
              </w:rPr>
              <w:t>, kā arī saskaņošana</w:t>
            </w:r>
            <w:r w:rsidR="00C15EB7">
              <w:rPr>
                <w:sz w:val="28"/>
                <w:szCs w:val="28"/>
                <w:lang w:val="lv-LV"/>
              </w:rPr>
              <w:t>s</w:t>
            </w:r>
            <w:r w:rsidR="00A93054">
              <w:rPr>
                <w:sz w:val="28"/>
                <w:szCs w:val="28"/>
                <w:lang w:val="lv-LV"/>
              </w:rPr>
              <w:t xml:space="preserve"> laikā saņemtos priekšlikumus neierobežot nevienu no iespējamiem pretendentiem, balstoties uz tā juridisko nodibinājuma formu, un to, ka</w:t>
            </w:r>
            <w:r w:rsidRPr="000E56F8">
              <w:rPr>
                <w:sz w:val="28"/>
                <w:szCs w:val="28"/>
                <w:lang w:val="lv-LV"/>
              </w:rPr>
              <w:t xml:space="preserve"> </w:t>
            </w:r>
            <w:r w:rsidR="002D7D0E">
              <w:rPr>
                <w:rFonts w:eastAsia="Times New Roman"/>
                <w:sz w:val="28"/>
                <w:szCs w:val="28"/>
                <w:lang w:val="lv-LV" w:eastAsia="lv-LV"/>
              </w:rPr>
              <w:t xml:space="preserve">Eiropas Komisijas </w:t>
            </w:r>
            <w:r w:rsidR="00A93054">
              <w:rPr>
                <w:rFonts w:eastAsia="Times New Roman"/>
                <w:sz w:val="28"/>
                <w:szCs w:val="28"/>
                <w:lang w:val="lv-LV" w:eastAsia="lv-LV"/>
              </w:rPr>
              <w:t>2013.gada 18.decembra</w:t>
            </w:r>
            <w:r w:rsidR="00B621AF" w:rsidRPr="00B621AF">
              <w:rPr>
                <w:rFonts w:eastAsia="Times New Roman"/>
                <w:sz w:val="28"/>
                <w:szCs w:val="28"/>
                <w:lang w:val="lv-LV" w:eastAsia="lv-LV"/>
              </w:rPr>
              <w:t xml:space="preserve"> Regula (ES) Nr.</w:t>
            </w:r>
            <w:r w:rsidR="00A93054">
              <w:rPr>
                <w:rFonts w:eastAsia="Times New Roman"/>
                <w:sz w:val="28"/>
                <w:szCs w:val="28"/>
                <w:lang w:val="lv-LV" w:eastAsia="lv-LV"/>
              </w:rPr>
              <w:t>1407/2013</w:t>
            </w:r>
            <w:r w:rsidR="00B621AF" w:rsidRPr="00B621AF">
              <w:rPr>
                <w:rFonts w:eastAsia="Times New Roman"/>
                <w:sz w:val="28"/>
                <w:szCs w:val="28"/>
                <w:lang w:val="lv-LV" w:eastAsia="lv-LV"/>
              </w:rPr>
              <w:t xml:space="preserve">, ar ko noteiktas atbalsta kategorijas atzīst par saderīgām ar iekšējo tirgu, piemērojot Līguma 107. un 108. pantu </w:t>
            </w:r>
            <w:r w:rsidRPr="000E56F8">
              <w:rPr>
                <w:rFonts w:eastAsia="Times New Roman"/>
                <w:sz w:val="28"/>
                <w:szCs w:val="28"/>
                <w:lang w:val="lv-LV" w:eastAsia="lv-LV"/>
              </w:rPr>
              <w:t xml:space="preserve">neierobežo atbalsta sniegšanu </w:t>
            </w:r>
            <w:r w:rsidR="00A93054">
              <w:rPr>
                <w:rFonts w:eastAsia="Times New Roman"/>
                <w:sz w:val="28"/>
                <w:szCs w:val="28"/>
                <w:lang w:val="lv-LV" w:eastAsia="lv-LV"/>
              </w:rPr>
              <w:t>personām, kuras veic saimniecisko darbību, bet nav komersanti, kas reģistrējušies Latvijas Republikas uzņēmumu reģistrā</w:t>
            </w:r>
            <w:r w:rsidRPr="000E56F8">
              <w:rPr>
                <w:rFonts w:eastAsia="Times New Roman"/>
                <w:sz w:val="28"/>
                <w:szCs w:val="28"/>
                <w:lang w:val="lv-LV" w:eastAsia="lv-LV"/>
              </w:rPr>
              <w:t xml:space="preserve">,  </w:t>
            </w:r>
            <w:r w:rsidR="005D2167" w:rsidRPr="00E56D02">
              <w:rPr>
                <w:sz w:val="28"/>
                <w:szCs w:val="28"/>
                <w:lang w:val="lv-LV"/>
              </w:rPr>
              <w:t>EM</w:t>
            </w:r>
            <w:r w:rsidR="004741BD" w:rsidRPr="00E56D02">
              <w:rPr>
                <w:sz w:val="28"/>
                <w:szCs w:val="28"/>
                <w:lang w:val="lv-LV"/>
              </w:rPr>
              <w:t xml:space="preserve"> ierosina paplašināt </w:t>
            </w:r>
            <w:r w:rsidR="006E5D5B" w:rsidRPr="00E56D02">
              <w:rPr>
                <w:sz w:val="28"/>
                <w:szCs w:val="28"/>
                <w:lang w:val="lv-LV"/>
              </w:rPr>
              <w:t>starta aizdevumu</w:t>
            </w:r>
            <w:r w:rsidR="004741BD" w:rsidRPr="00E56D02">
              <w:rPr>
                <w:sz w:val="28"/>
                <w:szCs w:val="28"/>
                <w:lang w:val="lv-LV"/>
              </w:rPr>
              <w:t xml:space="preserve"> saņēmēju loku un kā </w:t>
            </w:r>
            <w:r w:rsidR="005C3B2C" w:rsidRPr="00E56D02">
              <w:rPr>
                <w:sz w:val="28"/>
                <w:szCs w:val="28"/>
                <w:lang w:val="lv-LV"/>
              </w:rPr>
              <w:t xml:space="preserve">aizdevumu pretendentus </w:t>
            </w:r>
            <w:r w:rsidR="006E5D5B" w:rsidRPr="00E56D02">
              <w:rPr>
                <w:sz w:val="28"/>
                <w:szCs w:val="28"/>
                <w:lang w:val="lv-LV"/>
              </w:rPr>
              <w:t>norādīt</w:t>
            </w:r>
            <w:r w:rsidR="004741BD" w:rsidRPr="00E56D02">
              <w:rPr>
                <w:sz w:val="28"/>
                <w:szCs w:val="28"/>
                <w:lang w:val="lv-LV"/>
              </w:rPr>
              <w:t xml:space="preserve"> </w:t>
            </w:r>
            <w:r w:rsidR="00A93054" w:rsidRPr="00E56D02">
              <w:rPr>
                <w:sz w:val="28"/>
                <w:szCs w:val="28"/>
                <w:lang w:val="lv-LV"/>
              </w:rPr>
              <w:t xml:space="preserve">arī </w:t>
            </w:r>
            <w:r w:rsidR="008B5B2C" w:rsidRPr="00E56D02">
              <w:rPr>
                <w:sz w:val="28"/>
                <w:szCs w:val="28"/>
                <w:lang w:val="lv-LV"/>
              </w:rPr>
              <w:t>personas, kuras</w:t>
            </w:r>
            <w:r w:rsidR="00BF7BD9" w:rsidRPr="00E56D02">
              <w:rPr>
                <w:sz w:val="28"/>
                <w:szCs w:val="28"/>
                <w:lang w:val="lv-LV"/>
              </w:rPr>
              <w:t xml:space="preserve"> veic saimniecisko darbību un</w:t>
            </w:r>
            <w:r w:rsidR="008B5B2C" w:rsidRPr="00E56D02">
              <w:rPr>
                <w:sz w:val="28"/>
                <w:szCs w:val="28"/>
                <w:lang w:val="lv-LV"/>
              </w:rPr>
              <w:t xml:space="preserve"> </w:t>
            </w:r>
            <w:r w:rsidR="005C3B2C" w:rsidRPr="00E56D02">
              <w:rPr>
                <w:sz w:val="28"/>
                <w:szCs w:val="28"/>
                <w:lang w:val="lv-LV"/>
              </w:rPr>
              <w:t xml:space="preserve">tiek </w:t>
            </w:r>
            <w:r w:rsidR="008B5B2C" w:rsidRPr="00E56D02">
              <w:rPr>
                <w:sz w:val="28"/>
                <w:szCs w:val="28"/>
                <w:lang w:val="lv-LV"/>
              </w:rPr>
              <w:t>reģistrētas Valsts ieņēmumu dienestā.</w:t>
            </w:r>
            <w:r w:rsidR="006E5D5B" w:rsidRPr="000E56F8">
              <w:rPr>
                <w:sz w:val="28"/>
                <w:szCs w:val="28"/>
                <w:lang w:val="lv-LV"/>
              </w:rPr>
              <w:t xml:space="preserve"> </w:t>
            </w:r>
            <w:r w:rsidR="00B02EDD">
              <w:rPr>
                <w:sz w:val="28"/>
                <w:szCs w:val="28"/>
                <w:lang w:val="lv-LV"/>
              </w:rPr>
              <w:t xml:space="preserve">Atbilstoši minētajam tika pārskatīts un precizēts viss MK noteikumu teksts, izņemot </w:t>
            </w:r>
            <w:r w:rsidR="00C6333E">
              <w:rPr>
                <w:sz w:val="28"/>
                <w:szCs w:val="28"/>
                <w:lang w:val="lv-LV"/>
              </w:rPr>
              <w:t xml:space="preserve">darbības programmas “Izaugsme un nodarbinātība” (turpmāk – </w:t>
            </w:r>
            <w:r w:rsidR="00B621AF">
              <w:rPr>
                <w:sz w:val="28"/>
                <w:szCs w:val="28"/>
                <w:lang w:val="lv-LV"/>
              </w:rPr>
              <w:t>darbības programma</w:t>
            </w:r>
            <w:r w:rsidR="00C6333E">
              <w:rPr>
                <w:sz w:val="28"/>
                <w:szCs w:val="28"/>
                <w:lang w:val="lv-LV"/>
              </w:rPr>
              <w:t>) 3.1.1.specifiskā atbalsta mērķa</w:t>
            </w:r>
            <w:r w:rsidR="00B02EDD">
              <w:rPr>
                <w:sz w:val="28"/>
                <w:szCs w:val="28"/>
                <w:lang w:val="lv-LV"/>
              </w:rPr>
              <w:t xml:space="preserve"> nosaukumu un pasākuma mērķi, kurš šādā redakcijā tika iekļauts apstiprinātaj</w:t>
            </w:r>
            <w:r w:rsidR="00C6333E">
              <w:rPr>
                <w:sz w:val="28"/>
                <w:szCs w:val="28"/>
                <w:lang w:val="lv-LV"/>
              </w:rPr>
              <w:t xml:space="preserve">ā </w:t>
            </w:r>
            <w:r w:rsidR="00B621AF">
              <w:rPr>
                <w:sz w:val="28"/>
                <w:szCs w:val="28"/>
                <w:lang w:val="lv-LV"/>
              </w:rPr>
              <w:t>darbības programmā</w:t>
            </w:r>
            <w:r w:rsidR="00B02EDD">
              <w:rPr>
                <w:sz w:val="28"/>
                <w:szCs w:val="28"/>
                <w:lang w:val="lv-LV"/>
              </w:rPr>
              <w:t xml:space="preserve">, bet kas </w:t>
            </w:r>
            <w:r w:rsidR="00B02EDD">
              <w:rPr>
                <w:sz w:val="28"/>
                <w:szCs w:val="28"/>
                <w:lang w:val="lv-LV"/>
              </w:rPr>
              <w:lastRenderedPageBreak/>
              <w:t xml:space="preserve">sākotnēji nebija noteikts ar mērķi ierobežot konkrēto mērķa grupu, t.i. </w:t>
            </w:r>
            <w:proofErr w:type="spellStart"/>
            <w:r w:rsidR="00B02EDD">
              <w:rPr>
                <w:sz w:val="28"/>
                <w:szCs w:val="28"/>
                <w:lang w:val="lv-LV"/>
              </w:rPr>
              <w:t>pašnodarbinātas</w:t>
            </w:r>
            <w:proofErr w:type="spellEnd"/>
            <w:r w:rsidR="00B02EDD">
              <w:rPr>
                <w:sz w:val="28"/>
                <w:szCs w:val="28"/>
                <w:lang w:val="lv-LV"/>
              </w:rPr>
              <w:t xml:space="preserve"> personas.</w:t>
            </w:r>
          </w:p>
          <w:p w14:paraId="091A3200" w14:textId="77777777" w:rsidR="004741BD" w:rsidRPr="000E56F8" w:rsidRDefault="004741BD" w:rsidP="004741BD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b/>
                <w:sz w:val="28"/>
                <w:szCs w:val="28"/>
                <w:lang w:val="lv-LV"/>
              </w:rPr>
            </w:pPr>
            <w:r w:rsidRPr="000E56F8">
              <w:rPr>
                <w:b/>
                <w:sz w:val="28"/>
                <w:szCs w:val="28"/>
                <w:lang w:val="lv-LV"/>
              </w:rPr>
              <w:t>2. Līdzšinējās saimnieciskās darbības ilgums</w:t>
            </w:r>
          </w:p>
          <w:p w14:paraId="4CFCD861" w14:textId="5C79B658" w:rsidR="00A154D5" w:rsidRPr="000E56F8" w:rsidRDefault="00A154D5" w:rsidP="00F30A0A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>Spēkā esošo MK noteikumu</w:t>
            </w:r>
            <w:r w:rsidR="00ED2979">
              <w:rPr>
                <w:sz w:val="28"/>
                <w:szCs w:val="28"/>
                <w:lang w:val="lv-LV"/>
              </w:rPr>
              <w:t xml:space="preserve"> Nr.328</w:t>
            </w:r>
            <w:r w:rsidRPr="000E56F8">
              <w:rPr>
                <w:sz w:val="28"/>
                <w:szCs w:val="28"/>
                <w:lang w:val="lv-LV"/>
              </w:rPr>
              <w:t xml:space="preserve"> 28.punktā noteikti nosacījumi, kuriem jāatbilst komercdarbības uzsācējiem aizdevumu pieteikuma iesniegšanas brīdī.</w:t>
            </w:r>
            <w:r w:rsidR="00A93054">
              <w:rPr>
                <w:sz w:val="28"/>
                <w:szCs w:val="28"/>
                <w:lang w:val="lv-LV"/>
              </w:rPr>
              <w:t xml:space="preserve"> Minētos</w:t>
            </w:r>
            <w:r w:rsidR="00910BBC">
              <w:rPr>
                <w:sz w:val="28"/>
                <w:szCs w:val="28"/>
                <w:lang w:val="lv-LV"/>
              </w:rPr>
              <w:t xml:space="preserve"> nosacījumus</w:t>
            </w:r>
            <w:r w:rsidR="00673B07" w:rsidRPr="000E56F8">
              <w:rPr>
                <w:sz w:val="28"/>
                <w:szCs w:val="28"/>
                <w:lang w:val="lv-LV"/>
              </w:rPr>
              <w:t xml:space="preserve"> </w:t>
            </w:r>
            <w:r w:rsidR="004224C2" w:rsidRPr="000E56F8">
              <w:rPr>
                <w:sz w:val="28"/>
                <w:szCs w:val="28"/>
                <w:lang w:val="lv-LV"/>
              </w:rPr>
              <w:t xml:space="preserve">nenosaka </w:t>
            </w:r>
            <w:r w:rsidR="00584453" w:rsidRPr="000E56F8">
              <w:rPr>
                <w:sz w:val="28"/>
                <w:szCs w:val="28"/>
                <w:lang w:val="lv-LV"/>
              </w:rPr>
              <w:t xml:space="preserve">ES fondu </w:t>
            </w:r>
            <w:r w:rsidR="004224C2" w:rsidRPr="000E56F8">
              <w:rPr>
                <w:sz w:val="28"/>
                <w:szCs w:val="28"/>
                <w:lang w:val="lv-LV"/>
              </w:rPr>
              <w:t xml:space="preserve">2014.-2020.g. plānošanas perioda </w:t>
            </w:r>
            <w:r w:rsidR="00584453" w:rsidRPr="000E56F8">
              <w:rPr>
                <w:sz w:val="28"/>
                <w:szCs w:val="28"/>
                <w:lang w:val="lv-LV"/>
              </w:rPr>
              <w:t>regulējums</w:t>
            </w:r>
            <w:r w:rsidR="004224C2" w:rsidRPr="000E56F8">
              <w:rPr>
                <w:sz w:val="28"/>
                <w:szCs w:val="28"/>
                <w:lang w:val="lv-LV"/>
              </w:rPr>
              <w:t>.</w:t>
            </w:r>
          </w:p>
          <w:p w14:paraId="1B05EBCA" w14:textId="447D2180" w:rsidR="00CD1F7F" w:rsidRPr="000E56F8" w:rsidRDefault="00343A18" w:rsidP="00F30A0A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 xml:space="preserve">Vērtējot </w:t>
            </w:r>
            <w:r w:rsidR="005C3B2C">
              <w:rPr>
                <w:sz w:val="28"/>
                <w:szCs w:val="28"/>
                <w:lang w:val="lv-LV"/>
              </w:rPr>
              <w:t>aizdevumu</w:t>
            </w:r>
            <w:r w:rsidR="005C3B2C" w:rsidRPr="000E56F8">
              <w:rPr>
                <w:sz w:val="28"/>
                <w:szCs w:val="28"/>
                <w:lang w:val="lv-LV"/>
              </w:rPr>
              <w:t xml:space="preserve"> </w:t>
            </w:r>
            <w:r w:rsidRPr="000E56F8">
              <w:rPr>
                <w:sz w:val="28"/>
                <w:szCs w:val="28"/>
                <w:lang w:val="lv-LV"/>
              </w:rPr>
              <w:t xml:space="preserve">pretendentu atbilstību iepriekš minētā MK noteikumu </w:t>
            </w:r>
            <w:r w:rsidR="00ED2979">
              <w:rPr>
                <w:sz w:val="28"/>
                <w:szCs w:val="28"/>
                <w:lang w:val="lv-LV"/>
              </w:rPr>
              <w:t xml:space="preserve">Nr.328 </w:t>
            </w:r>
            <w:r w:rsidRPr="000E56F8">
              <w:rPr>
                <w:sz w:val="28"/>
                <w:szCs w:val="28"/>
                <w:lang w:val="lv-LV"/>
              </w:rPr>
              <w:t xml:space="preserve">punktam, </w:t>
            </w:r>
            <w:r w:rsidR="00532875" w:rsidRPr="000E56F8">
              <w:rPr>
                <w:sz w:val="28"/>
                <w:szCs w:val="28"/>
                <w:lang w:val="lv-LV"/>
              </w:rPr>
              <w:t>s</w:t>
            </w:r>
            <w:r w:rsidR="0023582E" w:rsidRPr="000E56F8">
              <w:rPr>
                <w:sz w:val="28"/>
                <w:szCs w:val="28"/>
                <w:lang w:val="lv-LV"/>
              </w:rPr>
              <w:t xml:space="preserve">abiedrības </w:t>
            </w:r>
            <w:proofErr w:type="spellStart"/>
            <w:r w:rsidR="00F30A0A" w:rsidRPr="000E56F8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F30A0A" w:rsidRPr="000E56F8">
              <w:rPr>
                <w:sz w:val="28"/>
                <w:szCs w:val="28"/>
                <w:lang w:val="lv-LV"/>
              </w:rPr>
              <w:t xml:space="preserve"> praksē novēroti gadījumi, kad </w:t>
            </w:r>
            <w:r w:rsidR="005C3B2C">
              <w:rPr>
                <w:sz w:val="28"/>
                <w:szCs w:val="28"/>
                <w:lang w:val="lv-LV"/>
              </w:rPr>
              <w:t xml:space="preserve">aizdevuma </w:t>
            </w:r>
            <w:r w:rsidR="00F30A0A" w:rsidRPr="000E56F8">
              <w:rPr>
                <w:sz w:val="28"/>
                <w:szCs w:val="28"/>
                <w:lang w:val="lv-LV"/>
              </w:rPr>
              <w:t xml:space="preserve">pretendents ir dalībnieks komersantā, kas ilgstoši nav veicis saimniecisko darbību. </w:t>
            </w:r>
            <w:r w:rsidRPr="000E56F8">
              <w:rPr>
                <w:sz w:val="28"/>
                <w:szCs w:val="28"/>
                <w:lang w:val="lv-LV"/>
              </w:rPr>
              <w:t>Šajos gadījumos, lai</w:t>
            </w:r>
            <w:r w:rsidR="00F30A0A" w:rsidRPr="000E56F8">
              <w:rPr>
                <w:sz w:val="28"/>
                <w:szCs w:val="28"/>
                <w:lang w:val="lv-LV"/>
              </w:rPr>
              <w:t xml:space="preserve"> pretendents atbilst</w:t>
            </w:r>
            <w:r w:rsidR="009D1051" w:rsidRPr="000E56F8">
              <w:rPr>
                <w:sz w:val="28"/>
                <w:szCs w:val="28"/>
                <w:lang w:val="lv-LV"/>
              </w:rPr>
              <w:t>u</w:t>
            </w:r>
            <w:r w:rsidR="00F30A0A" w:rsidRPr="000E56F8">
              <w:rPr>
                <w:sz w:val="28"/>
                <w:szCs w:val="28"/>
                <w:lang w:val="lv-LV"/>
              </w:rPr>
              <w:t xml:space="preserve"> minētā punkta nosacījumiem, </w:t>
            </w:r>
            <w:r w:rsidRPr="000E56F8">
              <w:rPr>
                <w:sz w:val="28"/>
                <w:szCs w:val="28"/>
                <w:lang w:val="lv-LV"/>
              </w:rPr>
              <w:t>tam ir</w:t>
            </w:r>
            <w:r w:rsidR="00F30A0A" w:rsidRPr="000E56F8">
              <w:rPr>
                <w:sz w:val="28"/>
                <w:szCs w:val="28"/>
                <w:lang w:val="lv-LV"/>
              </w:rPr>
              <w:t xml:space="preserve"> nepieciešams likvidēt esošo komersantu, kas nereti ir laikietilpīgs process, </w:t>
            </w:r>
            <w:r w:rsidRPr="000E56F8">
              <w:rPr>
                <w:sz w:val="28"/>
                <w:szCs w:val="28"/>
                <w:lang w:val="lv-LV"/>
              </w:rPr>
              <w:t>turklāt</w:t>
            </w:r>
            <w:r w:rsidR="00F30A0A" w:rsidRPr="000E56F8">
              <w:rPr>
                <w:sz w:val="28"/>
                <w:szCs w:val="28"/>
                <w:lang w:val="lv-LV"/>
              </w:rPr>
              <w:t xml:space="preserve"> pēc tam vēl jāgaida gads līdz var pieteikties </w:t>
            </w:r>
            <w:r w:rsidR="00C21746" w:rsidRPr="000E56F8">
              <w:rPr>
                <w:sz w:val="28"/>
                <w:szCs w:val="28"/>
                <w:lang w:val="lv-LV"/>
              </w:rPr>
              <w:t>s</w:t>
            </w:r>
            <w:r w:rsidR="0023582E" w:rsidRPr="000E56F8">
              <w:rPr>
                <w:sz w:val="28"/>
                <w:szCs w:val="28"/>
                <w:lang w:val="lv-LV"/>
              </w:rPr>
              <w:t xml:space="preserve">abiedrības </w:t>
            </w:r>
            <w:proofErr w:type="spellStart"/>
            <w:r w:rsidR="00F30A0A" w:rsidRPr="000E56F8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F30A0A" w:rsidRPr="000E56F8">
              <w:rPr>
                <w:sz w:val="28"/>
                <w:szCs w:val="28"/>
                <w:lang w:val="lv-LV"/>
              </w:rPr>
              <w:t xml:space="preserve"> </w:t>
            </w:r>
            <w:r w:rsidR="005C3B2C">
              <w:rPr>
                <w:sz w:val="28"/>
                <w:szCs w:val="28"/>
                <w:lang w:val="lv-LV"/>
              </w:rPr>
              <w:t>aizdevumam</w:t>
            </w:r>
            <w:r w:rsidR="00F30A0A" w:rsidRPr="000E56F8">
              <w:rPr>
                <w:sz w:val="28"/>
                <w:szCs w:val="28"/>
                <w:lang w:val="lv-LV"/>
              </w:rPr>
              <w:t xml:space="preserve">. Šāda prasība formāli kavē </w:t>
            </w:r>
            <w:r w:rsidR="00BF7BD9">
              <w:rPr>
                <w:sz w:val="28"/>
                <w:szCs w:val="28"/>
                <w:lang w:val="lv-LV"/>
              </w:rPr>
              <w:t>saimnieciskās darbības</w:t>
            </w:r>
            <w:r w:rsidR="00BF7BD9" w:rsidRPr="000E56F8">
              <w:rPr>
                <w:sz w:val="28"/>
                <w:szCs w:val="28"/>
                <w:lang w:val="lv-LV"/>
              </w:rPr>
              <w:t xml:space="preserve"> </w:t>
            </w:r>
            <w:r w:rsidR="00532875" w:rsidRPr="000E56F8">
              <w:rPr>
                <w:sz w:val="28"/>
                <w:szCs w:val="28"/>
                <w:lang w:val="lv-LV"/>
              </w:rPr>
              <w:t xml:space="preserve">uzsākšanu un </w:t>
            </w:r>
            <w:r w:rsidR="00F30A0A" w:rsidRPr="000E56F8">
              <w:rPr>
                <w:sz w:val="28"/>
                <w:szCs w:val="28"/>
                <w:lang w:val="lv-LV"/>
              </w:rPr>
              <w:t>nenodrošina pozitī</w:t>
            </w:r>
            <w:r w:rsidR="009D1051" w:rsidRPr="000E56F8">
              <w:rPr>
                <w:sz w:val="28"/>
                <w:szCs w:val="28"/>
                <w:lang w:val="lv-LV"/>
              </w:rPr>
              <w:t>vu ietekmi uz</w:t>
            </w:r>
            <w:r w:rsidR="00F30A0A" w:rsidRPr="000E56F8">
              <w:rPr>
                <w:sz w:val="28"/>
                <w:szCs w:val="28"/>
                <w:lang w:val="lv-LV"/>
              </w:rPr>
              <w:t xml:space="preserve"> </w:t>
            </w:r>
            <w:r w:rsidR="00ED2979">
              <w:rPr>
                <w:sz w:val="28"/>
                <w:szCs w:val="28"/>
                <w:lang w:val="lv-LV"/>
              </w:rPr>
              <w:t>p</w:t>
            </w:r>
            <w:r w:rsidR="005C3B2C">
              <w:rPr>
                <w:sz w:val="28"/>
                <w:szCs w:val="28"/>
                <w:lang w:val="lv-LV"/>
              </w:rPr>
              <w:t xml:space="preserve">rogrammas </w:t>
            </w:r>
            <w:r w:rsidR="00F30A0A" w:rsidRPr="000E56F8">
              <w:rPr>
                <w:sz w:val="28"/>
                <w:szCs w:val="28"/>
                <w:lang w:val="lv-LV"/>
              </w:rPr>
              <w:t>īstenošanu</w:t>
            </w:r>
            <w:r w:rsidR="00532875" w:rsidRPr="000E56F8">
              <w:rPr>
                <w:sz w:val="28"/>
                <w:szCs w:val="28"/>
                <w:lang w:val="lv-LV"/>
              </w:rPr>
              <w:t xml:space="preserve">. Turklāt, tā </w:t>
            </w:r>
            <w:r w:rsidRPr="000E56F8">
              <w:rPr>
                <w:sz w:val="28"/>
                <w:szCs w:val="28"/>
                <w:lang w:val="lv-LV"/>
              </w:rPr>
              <w:t xml:space="preserve">kā </w:t>
            </w:r>
            <w:r w:rsidR="007008B0" w:rsidRPr="000E56F8">
              <w:rPr>
                <w:sz w:val="28"/>
                <w:szCs w:val="28"/>
                <w:lang w:val="lv-LV"/>
              </w:rPr>
              <w:t>šajā gadījumā</w:t>
            </w:r>
            <w:r w:rsidR="003B3488" w:rsidRPr="000E56F8">
              <w:rPr>
                <w:sz w:val="28"/>
                <w:szCs w:val="28"/>
                <w:lang w:val="lv-LV"/>
              </w:rPr>
              <w:t xml:space="preserve"> </w:t>
            </w:r>
            <w:r w:rsidRPr="000E56F8">
              <w:rPr>
                <w:sz w:val="28"/>
                <w:szCs w:val="28"/>
                <w:lang w:val="lv-LV"/>
              </w:rPr>
              <w:t>ne</w:t>
            </w:r>
            <w:r w:rsidR="009C282F" w:rsidRPr="000E56F8">
              <w:rPr>
                <w:sz w:val="28"/>
                <w:szCs w:val="28"/>
                <w:lang w:val="lv-LV"/>
              </w:rPr>
              <w:t>tiks radīti papildus riski</w:t>
            </w:r>
            <w:r w:rsidRPr="000E56F8">
              <w:rPr>
                <w:sz w:val="28"/>
                <w:szCs w:val="28"/>
                <w:lang w:val="lv-LV"/>
              </w:rPr>
              <w:t xml:space="preserve"> sabiedrībai </w:t>
            </w:r>
            <w:proofErr w:type="spellStart"/>
            <w:r w:rsidRPr="000E56F8">
              <w:rPr>
                <w:sz w:val="28"/>
                <w:szCs w:val="28"/>
                <w:lang w:val="lv-LV"/>
              </w:rPr>
              <w:t>Altum</w:t>
            </w:r>
            <w:proofErr w:type="spellEnd"/>
            <w:r w:rsidRPr="000E56F8">
              <w:rPr>
                <w:sz w:val="28"/>
                <w:szCs w:val="28"/>
                <w:lang w:val="lv-LV"/>
              </w:rPr>
              <w:t>,</w:t>
            </w:r>
            <w:r w:rsidR="00F30A0A" w:rsidRPr="000E56F8">
              <w:rPr>
                <w:sz w:val="28"/>
                <w:szCs w:val="28"/>
                <w:lang w:val="lv-LV"/>
              </w:rPr>
              <w:t xml:space="preserve"> </w:t>
            </w:r>
            <w:r w:rsidR="00F838F0" w:rsidRPr="000E56F8">
              <w:rPr>
                <w:sz w:val="28"/>
                <w:szCs w:val="28"/>
                <w:lang w:val="lv-LV"/>
              </w:rPr>
              <w:t>EM</w:t>
            </w:r>
            <w:r w:rsidR="00F30A0A" w:rsidRPr="000E56F8">
              <w:rPr>
                <w:sz w:val="28"/>
                <w:szCs w:val="28"/>
                <w:lang w:val="lv-LV"/>
              </w:rPr>
              <w:t xml:space="preserve"> ierosina </w:t>
            </w:r>
            <w:r w:rsidR="00E86ACB" w:rsidRPr="000E56F8">
              <w:rPr>
                <w:sz w:val="28"/>
                <w:szCs w:val="28"/>
                <w:lang w:val="lv-LV"/>
              </w:rPr>
              <w:t xml:space="preserve">veikt grozījumus </w:t>
            </w:r>
            <w:r w:rsidR="00E231E0" w:rsidRPr="000E56F8">
              <w:rPr>
                <w:sz w:val="28"/>
                <w:szCs w:val="28"/>
                <w:lang w:val="lv-LV"/>
              </w:rPr>
              <w:t xml:space="preserve">šādos </w:t>
            </w:r>
            <w:r w:rsidR="00F30A0A" w:rsidRPr="000E56F8">
              <w:rPr>
                <w:sz w:val="28"/>
                <w:szCs w:val="28"/>
                <w:lang w:val="lv-LV"/>
              </w:rPr>
              <w:t xml:space="preserve">MK noteikumu </w:t>
            </w:r>
            <w:r w:rsidR="00E86ACB" w:rsidRPr="000E56F8">
              <w:rPr>
                <w:sz w:val="28"/>
                <w:szCs w:val="28"/>
                <w:lang w:val="lv-LV"/>
              </w:rPr>
              <w:t>N</w:t>
            </w:r>
            <w:r w:rsidR="00F30A0A" w:rsidRPr="000E56F8">
              <w:rPr>
                <w:sz w:val="28"/>
                <w:szCs w:val="28"/>
                <w:lang w:val="lv-LV"/>
              </w:rPr>
              <w:t>r.328</w:t>
            </w:r>
            <w:r w:rsidR="00E231E0" w:rsidRPr="000E56F8">
              <w:rPr>
                <w:sz w:val="28"/>
                <w:szCs w:val="28"/>
                <w:lang w:val="lv-LV"/>
              </w:rPr>
              <w:t xml:space="preserve"> apakšpunktos</w:t>
            </w:r>
            <w:r w:rsidR="00CD1F7F" w:rsidRPr="000E56F8">
              <w:rPr>
                <w:sz w:val="28"/>
                <w:szCs w:val="28"/>
                <w:lang w:val="lv-LV"/>
              </w:rPr>
              <w:t>:</w:t>
            </w:r>
          </w:p>
          <w:p w14:paraId="4D336319" w14:textId="64621FEF" w:rsidR="00E231E0" w:rsidRPr="0015295F" w:rsidRDefault="00343A18" w:rsidP="00E231E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 xml:space="preserve">pašlaik spēkā esošo </w:t>
            </w:r>
            <w:r w:rsidR="00E231E0" w:rsidRPr="000E56F8">
              <w:rPr>
                <w:sz w:val="28"/>
                <w:szCs w:val="28"/>
                <w:lang w:val="lv-LV"/>
              </w:rPr>
              <w:t xml:space="preserve">MK noteikumu </w:t>
            </w:r>
            <w:r w:rsidR="00ED2979">
              <w:rPr>
                <w:sz w:val="28"/>
                <w:szCs w:val="28"/>
                <w:lang w:val="lv-LV"/>
              </w:rPr>
              <w:t xml:space="preserve">Nr.328 </w:t>
            </w:r>
            <w:r w:rsidR="00F30A0A" w:rsidRPr="000E56F8">
              <w:rPr>
                <w:sz w:val="28"/>
                <w:szCs w:val="28"/>
                <w:lang w:val="lv-LV"/>
              </w:rPr>
              <w:t>28.1.</w:t>
            </w:r>
            <w:r w:rsidR="00E86ACB" w:rsidRPr="000E56F8">
              <w:rPr>
                <w:sz w:val="28"/>
                <w:szCs w:val="28"/>
                <w:lang w:val="lv-LV"/>
              </w:rPr>
              <w:t>apakš</w:t>
            </w:r>
            <w:r w:rsidR="00E231E0" w:rsidRPr="000E56F8">
              <w:rPr>
                <w:sz w:val="28"/>
                <w:szCs w:val="28"/>
                <w:lang w:val="lv-LV"/>
              </w:rPr>
              <w:t>punkta redakcij</w:t>
            </w:r>
            <w:r w:rsidRPr="000E56F8">
              <w:rPr>
                <w:sz w:val="28"/>
                <w:szCs w:val="28"/>
                <w:lang w:val="lv-LV"/>
              </w:rPr>
              <w:t>ā</w:t>
            </w:r>
            <w:r w:rsidR="00E231E0" w:rsidRPr="000E56F8">
              <w:rPr>
                <w:sz w:val="28"/>
                <w:szCs w:val="28"/>
                <w:lang w:val="lv-LV"/>
              </w:rPr>
              <w:t xml:space="preserve"> noteikts, ka</w:t>
            </w:r>
            <w:r w:rsidR="000E56F8" w:rsidRPr="000E56F8">
              <w:rPr>
                <w:sz w:val="28"/>
                <w:szCs w:val="28"/>
                <w:lang w:val="lv-LV"/>
              </w:rPr>
              <w:t>:</w:t>
            </w:r>
            <w:r w:rsidR="00E231E0" w:rsidRPr="000E56F8">
              <w:rPr>
                <w:sz w:val="28"/>
                <w:szCs w:val="28"/>
                <w:lang w:val="lv-LV"/>
              </w:rPr>
              <w:t xml:space="preserve"> </w:t>
            </w:r>
            <w:r w:rsidR="000E56F8" w:rsidRPr="000E56F8">
              <w:rPr>
                <w:sz w:val="28"/>
                <w:szCs w:val="28"/>
                <w:lang w:val="lv-LV"/>
              </w:rPr>
              <w:t>“</w:t>
            </w:r>
            <w:r w:rsidR="00E231E0" w:rsidRPr="000E56F8">
              <w:rPr>
                <w:i/>
                <w:sz w:val="28"/>
                <w:szCs w:val="28"/>
                <w:lang w:val="lv-LV"/>
              </w:rPr>
              <w:t>par komercdarbības uzsācēju uzskata fizisku personu, ja tai nav un pēdējā gada laikā nav bijusi būtiska līdzdalība komersantā, un atbalsta saņemšanai tā plāno reģistrēt jaunu komersantu</w:t>
            </w:r>
            <w:r w:rsidR="000E56F8" w:rsidRPr="000E56F8">
              <w:rPr>
                <w:sz w:val="28"/>
                <w:szCs w:val="28"/>
                <w:lang w:val="lv-LV"/>
              </w:rPr>
              <w:t>”</w:t>
            </w:r>
            <w:r w:rsidR="00E231E0" w:rsidRPr="000E56F8">
              <w:rPr>
                <w:sz w:val="28"/>
                <w:szCs w:val="28"/>
                <w:lang w:val="lv-LV"/>
              </w:rPr>
              <w:t xml:space="preserve">. </w:t>
            </w:r>
            <w:r w:rsidR="00E231E0" w:rsidRPr="0015295F">
              <w:rPr>
                <w:sz w:val="28"/>
                <w:szCs w:val="28"/>
                <w:lang w:val="lv-LV"/>
              </w:rPr>
              <w:t xml:space="preserve">EM ierosina precizēt apakšpunktu, nosakot, ka </w:t>
            </w:r>
            <w:r w:rsidR="003F288B" w:rsidRPr="0015295F">
              <w:rPr>
                <w:sz w:val="28"/>
                <w:szCs w:val="28"/>
                <w:lang w:val="lv-LV"/>
              </w:rPr>
              <w:t xml:space="preserve">fiziskai personai nav </w:t>
            </w:r>
            <w:r w:rsidR="00F30A0A" w:rsidRPr="0015295F">
              <w:rPr>
                <w:sz w:val="28"/>
                <w:szCs w:val="28"/>
                <w:lang w:val="lv-LV"/>
              </w:rPr>
              <w:t xml:space="preserve">būtiska līdzdalība </w:t>
            </w:r>
            <w:r w:rsidR="003F288B" w:rsidRPr="0015295F">
              <w:rPr>
                <w:sz w:val="28"/>
                <w:szCs w:val="28"/>
                <w:lang w:val="lv-LV"/>
              </w:rPr>
              <w:t xml:space="preserve">komersantā pieteikuma iesniegšanas brīdī, un </w:t>
            </w:r>
            <w:r w:rsidR="00910BBC" w:rsidRPr="0015295F">
              <w:rPr>
                <w:sz w:val="28"/>
                <w:szCs w:val="28"/>
                <w:lang w:val="lv-LV"/>
              </w:rPr>
              <w:t>aizdevuma</w:t>
            </w:r>
            <w:r w:rsidR="003F288B" w:rsidRPr="0015295F">
              <w:rPr>
                <w:sz w:val="28"/>
                <w:szCs w:val="28"/>
                <w:lang w:val="lv-LV"/>
              </w:rPr>
              <w:t xml:space="preserve"> saņemšanai tā plāno </w:t>
            </w:r>
            <w:r w:rsidR="006E3BE5" w:rsidRPr="0015295F">
              <w:rPr>
                <w:sz w:val="28"/>
                <w:szCs w:val="28"/>
                <w:lang w:val="lv-LV"/>
              </w:rPr>
              <w:t>reģistrēties kā saimnieciskās darbības veicējs</w:t>
            </w:r>
            <w:r w:rsidR="00E231E0" w:rsidRPr="0015295F">
              <w:rPr>
                <w:sz w:val="28"/>
                <w:szCs w:val="28"/>
                <w:lang w:val="lv-LV"/>
              </w:rPr>
              <w:t>;</w:t>
            </w:r>
          </w:p>
          <w:p w14:paraId="476D9132" w14:textId="11A03584" w:rsidR="00F30A0A" w:rsidRPr="000E56F8" w:rsidRDefault="00E231E0" w:rsidP="00E231E0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ind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>MK noteikumu Nr.</w:t>
            </w:r>
            <w:r w:rsidR="006535C3">
              <w:rPr>
                <w:sz w:val="28"/>
                <w:szCs w:val="28"/>
                <w:lang w:val="lv-LV"/>
              </w:rPr>
              <w:t>3</w:t>
            </w:r>
            <w:r w:rsidRPr="000E56F8">
              <w:rPr>
                <w:sz w:val="28"/>
                <w:szCs w:val="28"/>
                <w:lang w:val="lv-LV"/>
              </w:rPr>
              <w:t>28 28.2.apakšpunktā noteikts, ka</w:t>
            </w:r>
            <w:r w:rsidR="000E56F8" w:rsidRPr="000E56F8">
              <w:rPr>
                <w:sz w:val="28"/>
                <w:szCs w:val="28"/>
                <w:lang w:val="lv-LV"/>
              </w:rPr>
              <w:t>:</w:t>
            </w:r>
            <w:r w:rsidRPr="000E56F8">
              <w:rPr>
                <w:sz w:val="28"/>
                <w:szCs w:val="28"/>
                <w:lang w:val="lv-LV"/>
              </w:rPr>
              <w:t xml:space="preserve"> </w:t>
            </w:r>
            <w:r w:rsidR="000E56F8" w:rsidRPr="000E56F8">
              <w:rPr>
                <w:sz w:val="28"/>
                <w:szCs w:val="28"/>
                <w:lang w:val="lv-LV"/>
              </w:rPr>
              <w:t>“</w:t>
            </w:r>
            <w:r w:rsidRPr="000E56F8">
              <w:rPr>
                <w:i/>
                <w:sz w:val="28"/>
                <w:szCs w:val="28"/>
                <w:lang w:val="lv-LV"/>
              </w:rPr>
              <w:t xml:space="preserve">par komercdarbības uzsācēju uzskata fizisku personu, ja tā ir reģistrējusi komersantu, kura darbībai vēlas saņemt atbalstu, laikposmā līdz trim gadiem pirms aizdevuma pieteikuma iesniegšanas sabiedrībā </w:t>
            </w:r>
            <w:proofErr w:type="spellStart"/>
            <w:r w:rsidRPr="000E56F8">
              <w:rPr>
                <w:i/>
                <w:sz w:val="28"/>
                <w:szCs w:val="28"/>
                <w:lang w:val="lv-LV"/>
              </w:rPr>
              <w:t>Altum</w:t>
            </w:r>
            <w:proofErr w:type="spellEnd"/>
            <w:r w:rsidRPr="000E56F8">
              <w:rPr>
                <w:i/>
                <w:sz w:val="28"/>
                <w:szCs w:val="28"/>
                <w:lang w:val="lv-LV"/>
              </w:rPr>
              <w:t>, un pēdējā gada laikā šai personai nav bijusi būtiska līdzdalība citā komersantā</w:t>
            </w:r>
            <w:r w:rsidR="000E56F8" w:rsidRPr="000E56F8">
              <w:rPr>
                <w:sz w:val="28"/>
                <w:szCs w:val="28"/>
                <w:lang w:val="lv-LV"/>
              </w:rPr>
              <w:t>”</w:t>
            </w:r>
            <w:r w:rsidRPr="000E56F8">
              <w:rPr>
                <w:sz w:val="28"/>
                <w:szCs w:val="28"/>
                <w:lang w:val="lv-LV"/>
              </w:rPr>
              <w:t xml:space="preserve">. EM ierosina noteikt, ka ierobežojums par būtisku līdzdalību vērtējams tikai uz aizdevuma pieteikuma </w:t>
            </w:r>
            <w:r w:rsidR="00137F96">
              <w:rPr>
                <w:sz w:val="28"/>
                <w:szCs w:val="28"/>
                <w:lang w:val="lv-LV"/>
              </w:rPr>
              <w:t xml:space="preserve">iesniegšanas </w:t>
            </w:r>
            <w:r w:rsidRPr="000E56F8">
              <w:rPr>
                <w:sz w:val="28"/>
                <w:szCs w:val="28"/>
                <w:lang w:val="lv-LV"/>
              </w:rPr>
              <w:t>brīdi</w:t>
            </w:r>
            <w:r w:rsidR="007C45C5" w:rsidRPr="000E56F8">
              <w:rPr>
                <w:sz w:val="28"/>
                <w:szCs w:val="28"/>
                <w:lang w:val="lv-LV"/>
              </w:rPr>
              <w:t>.</w:t>
            </w:r>
          </w:p>
          <w:p w14:paraId="51680035" w14:textId="79CA487D" w:rsidR="00822862" w:rsidRDefault="00343A18" w:rsidP="00F94D89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lastRenderedPageBreak/>
              <w:t xml:space="preserve">Papildus </w:t>
            </w:r>
            <w:r w:rsidR="00F838F0" w:rsidRPr="000E56F8">
              <w:rPr>
                <w:sz w:val="28"/>
                <w:szCs w:val="28"/>
                <w:lang w:val="lv-LV"/>
              </w:rPr>
              <w:t xml:space="preserve">spēkā esošo </w:t>
            </w:r>
            <w:r w:rsidR="007C45C5" w:rsidRPr="000E56F8">
              <w:rPr>
                <w:sz w:val="28"/>
                <w:szCs w:val="28"/>
                <w:lang w:val="lv-LV"/>
              </w:rPr>
              <w:t>MK noteikumu N</w:t>
            </w:r>
            <w:r w:rsidR="00F94D89" w:rsidRPr="000E56F8">
              <w:rPr>
                <w:sz w:val="28"/>
                <w:szCs w:val="28"/>
                <w:lang w:val="lv-LV"/>
              </w:rPr>
              <w:t xml:space="preserve">r.328 </w:t>
            </w:r>
            <w:r w:rsidR="00F838F0" w:rsidRPr="000E56F8">
              <w:rPr>
                <w:sz w:val="28"/>
                <w:szCs w:val="28"/>
                <w:lang w:val="lv-LV"/>
              </w:rPr>
              <w:t>27.punktā norādīts, ka</w:t>
            </w:r>
            <w:r w:rsidR="000E56F8" w:rsidRPr="000E56F8">
              <w:rPr>
                <w:sz w:val="28"/>
                <w:szCs w:val="28"/>
                <w:lang w:val="lv-LV"/>
              </w:rPr>
              <w:t>:</w:t>
            </w:r>
            <w:r w:rsidR="00F838F0" w:rsidRPr="000E56F8">
              <w:rPr>
                <w:sz w:val="28"/>
                <w:szCs w:val="28"/>
                <w:lang w:val="lv-LV"/>
              </w:rPr>
              <w:t xml:space="preserve"> </w:t>
            </w:r>
            <w:r w:rsidR="000E56F8" w:rsidRPr="000E56F8">
              <w:rPr>
                <w:sz w:val="28"/>
                <w:szCs w:val="28"/>
                <w:lang w:val="lv-LV"/>
              </w:rPr>
              <w:t>“</w:t>
            </w:r>
            <w:r w:rsidR="00F838F0" w:rsidRPr="000E56F8">
              <w:rPr>
                <w:i/>
                <w:sz w:val="28"/>
                <w:szCs w:val="28"/>
                <w:lang w:val="lv-LV"/>
              </w:rPr>
              <w:t xml:space="preserve">šo noteikumu izpratnē par jaundibinātu komersantu uzskata viena vai vairāku komercdarbības uzsācēju dibinātu komersantu, kas Latvijas Republikas Uzņēmumu reģistrā reģistrēts ne agrāk kā trīs gadus pirms pieteikuma iesniegšanas sabiedrībā </w:t>
            </w:r>
            <w:proofErr w:type="spellStart"/>
            <w:r w:rsidR="00F838F0" w:rsidRPr="000E56F8">
              <w:rPr>
                <w:i/>
                <w:sz w:val="28"/>
                <w:szCs w:val="28"/>
                <w:lang w:val="lv-LV"/>
              </w:rPr>
              <w:t>Altum</w:t>
            </w:r>
            <w:proofErr w:type="spellEnd"/>
            <w:r w:rsidR="00F838F0" w:rsidRPr="000E56F8">
              <w:rPr>
                <w:sz w:val="28"/>
                <w:szCs w:val="28"/>
                <w:lang w:val="lv-LV"/>
              </w:rPr>
              <w:t xml:space="preserve">”. </w:t>
            </w:r>
            <w:r w:rsidR="00584453" w:rsidRPr="000E56F8">
              <w:rPr>
                <w:sz w:val="28"/>
                <w:szCs w:val="28"/>
                <w:lang w:val="lv-LV"/>
              </w:rPr>
              <w:t xml:space="preserve">Tā kā ES fondu 2014.-2020.g. plānošanas perioda regulējums nenosaka  kritērijus </w:t>
            </w:r>
            <w:proofErr w:type="spellStart"/>
            <w:r w:rsidR="00584453" w:rsidRPr="000E56F8">
              <w:rPr>
                <w:sz w:val="28"/>
                <w:szCs w:val="28"/>
                <w:lang w:val="lv-LV"/>
              </w:rPr>
              <w:t>jaunuzņēmumu</w:t>
            </w:r>
            <w:proofErr w:type="spellEnd"/>
            <w:r w:rsidR="00584453" w:rsidRPr="000E56F8">
              <w:rPr>
                <w:sz w:val="28"/>
                <w:szCs w:val="28"/>
                <w:lang w:val="lv-LV"/>
              </w:rPr>
              <w:t xml:space="preserve"> darbības vecumam, kā arī ņemot vērā nozares vispārpieņemto praksi un </w:t>
            </w:r>
            <w:proofErr w:type="spellStart"/>
            <w:r w:rsidR="00F94D89" w:rsidRPr="000E56F8">
              <w:rPr>
                <w:sz w:val="28"/>
                <w:szCs w:val="28"/>
                <w:lang w:val="lv-LV"/>
              </w:rPr>
              <w:t>Jaunuzņēmumu</w:t>
            </w:r>
            <w:proofErr w:type="spellEnd"/>
            <w:r w:rsidR="00F94D89" w:rsidRPr="000E56F8">
              <w:rPr>
                <w:sz w:val="28"/>
                <w:szCs w:val="28"/>
                <w:lang w:val="lv-LV"/>
              </w:rPr>
              <w:t xml:space="preserve"> darbības atbalsta </w:t>
            </w:r>
            <w:r w:rsidR="00584453" w:rsidRPr="000E56F8">
              <w:rPr>
                <w:sz w:val="28"/>
                <w:szCs w:val="28"/>
                <w:lang w:val="lv-LV"/>
              </w:rPr>
              <w:t>likuma 4.panta 2.punktā norādīto</w:t>
            </w:r>
            <w:r w:rsidR="00F94D89" w:rsidRPr="000E56F8">
              <w:rPr>
                <w:sz w:val="28"/>
                <w:szCs w:val="28"/>
                <w:lang w:val="lv-LV"/>
              </w:rPr>
              <w:t>, ka</w:t>
            </w:r>
            <w:r w:rsidR="000E56F8" w:rsidRPr="000E56F8">
              <w:rPr>
                <w:sz w:val="28"/>
                <w:szCs w:val="28"/>
                <w:lang w:val="lv-LV"/>
              </w:rPr>
              <w:t>:</w:t>
            </w:r>
            <w:r w:rsidR="00F94D89" w:rsidRPr="000E56F8">
              <w:rPr>
                <w:sz w:val="28"/>
                <w:szCs w:val="28"/>
                <w:lang w:val="lv-LV"/>
              </w:rPr>
              <w:t xml:space="preserve"> </w:t>
            </w:r>
            <w:r w:rsidR="00584453" w:rsidRPr="000E56F8">
              <w:rPr>
                <w:sz w:val="28"/>
                <w:szCs w:val="28"/>
                <w:lang w:val="lv-LV"/>
              </w:rPr>
              <w:t>“</w:t>
            </w:r>
            <w:r w:rsidR="00F94D89" w:rsidRPr="000E56F8">
              <w:rPr>
                <w:i/>
                <w:sz w:val="28"/>
                <w:szCs w:val="28"/>
                <w:lang w:val="lv-LV"/>
              </w:rPr>
              <w:t xml:space="preserve">pieteikuma iesniegšanas dienā un visā atbalsta programmas periodā atbilst šādiem kritērijiem: (..) </w:t>
            </w:r>
            <w:proofErr w:type="spellStart"/>
            <w:r w:rsidR="00F94D89" w:rsidRPr="000E56F8">
              <w:rPr>
                <w:i/>
                <w:sz w:val="28"/>
                <w:szCs w:val="28"/>
                <w:lang w:val="lv-LV"/>
              </w:rPr>
              <w:t>jaunuzņēmums</w:t>
            </w:r>
            <w:proofErr w:type="spellEnd"/>
            <w:r w:rsidR="00F94D89" w:rsidRPr="000E56F8">
              <w:rPr>
                <w:i/>
                <w:sz w:val="28"/>
                <w:szCs w:val="28"/>
                <w:lang w:val="lv-LV"/>
              </w:rPr>
              <w:t xml:space="preserve"> veic komercdarbību pirmos piecus gadus kopš t</w:t>
            </w:r>
            <w:r w:rsidR="00584453" w:rsidRPr="000E56F8">
              <w:rPr>
                <w:i/>
                <w:sz w:val="28"/>
                <w:szCs w:val="28"/>
                <w:lang w:val="lv-LV"/>
              </w:rPr>
              <w:t>ā reģistrēšanas komercreģistrā</w:t>
            </w:r>
            <w:r w:rsidR="00584453" w:rsidRPr="000E56F8">
              <w:rPr>
                <w:sz w:val="28"/>
                <w:szCs w:val="28"/>
                <w:lang w:val="lv-LV"/>
              </w:rPr>
              <w:t>”,</w:t>
            </w:r>
            <w:r w:rsidR="00B404B6">
              <w:rPr>
                <w:sz w:val="28"/>
                <w:szCs w:val="28"/>
                <w:lang w:val="lv-LV"/>
              </w:rPr>
              <w:t xml:space="preserve"> un to, ka daļa no pretendentiem pirmajos saimnieciskās darbības gados ir biju</w:t>
            </w:r>
            <w:r w:rsidR="001E76BE">
              <w:rPr>
                <w:sz w:val="28"/>
                <w:szCs w:val="28"/>
                <w:lang w:val="lv-LV"/>
              </w:rPr>
              <w:t xml:space="preserve">ši </w:t>
            </w:r>
            <w:r w:rsidR="00B404B6">
              <w:rPr>
                <w:sz w:val="28"/>
                <w:szCs w:val="28"/>
                <w:lang w:val="lv-LV"/>
              </w:rPr>
              <w:t>pasīvi</w:t>
            </w:r>
            <w:r w:rsidR="001E76BE">
              <w:rPr>
                <w:sz w:val="28"/>
                <w:szCs w:val="28"/>
                <w:lang w:val="lv-LV"/>
              </w:rPr>
              <w:t>, jo ilgs laiks paiet pie produkta vai pakalpojuma izstrādes</w:t>
            </w:r>
            <w:r w:rsidR="00B404B6">
              <w:rPr>
                <w:sz w:val="28"/>
                <w:szCs w:val="28"/>
                <w:lang w:val="lv-LV"/>
              </w:rPr>
              <w:t xml:space="preserve">, </w:t>
            </w:r>
            <w:r w:rsidR="005C6628">
              <w:rPr>
                <w:sz w:val="28"/>
                <w:szCs w:val="28"/>
                <w:lang w:val="lv-LV"/>
              </w:rPr>
              <w:t xml:space="preserve">un </w:t>
            </w:r>
            <w:r w:rsidR="00B404B6">
              <w:rPr>
                <w:sz w:val="28"/>
                <w:szCs w:val="28"/>
                <w:lang w:val="lv-LV"/>
              </w:rPr>
              <w:t xml:space="preserve">daļa </w:t>
            </w:r>
            <w:r w:rsidR="001E76BE">
              <w:rPr>
                <w:sz w:val="28"/>
                <w:szCs w:val="28"/>
                <w:lang w:val="lv-LV"/>
              </w:rPr>
              <w:t xml:space="preserve">saimnieciskās darbības veicēju </w:t>
            </w:r>
            <w:r w:rsidR="00B404B6">
              <w:rPr>
                <w:sz w:val="28"/>
                <w:szCs w:val="28"/>
                <w:lang w:val="lv-LV"/>
              </w:rPr>
              <w:t>sākotnēji piesakās arī citās atbalsta programmās</w:t>
            </w:r>
            <w:r w:rsidR="005C6628">
              <w:rPr>
                <w:sz w:val="28"/>
                <w:szCs w:val="28"/>
                <w:lang w:val="lv-LV"/>
              </w:rPr>
              <w:t xml:space="preserve"> – </w:t>
            </w:r>
            <w:r w:rsidR="00584453" w:rsidRPr="000E56F8">
              <w:rPr>
                <w:sz w:val="28"/>
                <w:szCs w:val="28"/>
                <w:lang w:val="lv-LV"/>
              </w:rPr>
              <w:t>lai paplašinātu potenciālo atbalsta saņēmēju loku</w:t>
            </w:r>
            <w:r w:rsidR="007C45C5" w:rsidRPr="000E56F8">
              <w:rPr>
                <w:sz w:val="28"/>
                <w:szCs w:val="28"/>
                <w:lang w:val="lv-LV"/>
              </w:rPr>
              <w:t xml:space="preserve"> un veicinātu </w:t>
            </w:r>
            <w:r w:rsidR="00BF7BD9">
              <w:rPr>
                <w:sz w:val="28"/>
                <w:szCs w:val="28"/>
                <w:lang w:val="lv-LV"/>
              </w:rPr>
              <w:t>saimnieciskās darbības</w:t>
            </w:r>
            <w:r w:rsidR="00BF7BD9" w:rsidRPr="000E56F8">
              <w:rPr>
                <w:sz w:val="28"/>
                <w:szCs w:val="28"/>
                <w:lang w:val="lv-LV"/>
              </w:rPr>
              <w:t xml:space="preserve"> </w:t>
            </w:r>
            <w:r w:rsidR="007C45C5" w:rsidRPr="000E56F8">
              <w:rPr>
                <w:sz w:val="28"/>
                <w:szCs w:val="28"/>
                <w:lang w:val="lv-LV"/>
              </w:rPr>
              <w:t>uzsākšanu</w:t>
            </w:r>
            <w:r w:rsidR="00584453" w:rsidRPr="000E56F8">
              <w:rPr>
                <w:sz w:val="28"/>
                <w:szCs w:val="28"/>
                <w:lang w:val="lv-LV"/>
              </w:rPr>
              <w:t xml:space="preserve">, </w:t>
            </w:r>
            <w:r w:rsidR="007C45C5" w:rsidRPr="000E56F8">
              <w:rPr>
                <w:sz w:val="28"/>
                <w:szCs w:val="28"/>
                <w:lang w:val="lv-LV"/>
              </w:rPr>
              <w:t>EM</w:t>
            </w:r>
            <w:r w:rsidR="00822862" w:rsidRPr="000E56F8">
              <w:rPr>
                <w:sz w:val="28"/>
                <w:szCs w:val="28"/>
                <w:lang w:val="lv-LV"/>
              </w:rPr>
              <w:t xml:space="preserve"> ierosina </w:t>
            </w:r>
            <w:r w:rsidR="00BF7BD9">
              <w:rPr>
                <w:sz w:val="28"/>
                <w:szCs w:val="28"/>
                <w:lang w:val="lv-LV"/>
              </w:rPr>
              <w:t>saimnieciskās darbības</w:t>
            </w:r>
            <w:r w:rsidR="00BF7BD9" w:rsidRPr="000E56F8">
              <w:rPr>
                <w:sz w:val="28"/>
                <w:szCs w:val="28"/>
                <w:lang w:val="lv-LV"/>
              </w:rPr>
              <w:t xml:space="preserve"> </w:t>
            </w:r>
            <w:r w:rsidR="00822862" w:rsidRPr="000E56F8">
              <w:rPr>
                <w:sz w:val="28"/>
                <w:szCs w:val="28"/>
                <w:lang w:val="lv-LV"/>
              </w:rPr>
              <w:t xml:space="preserve">uzsācēju </w:t>
            </w:r>
            <w:r w:rsidR="00BF7BD9">
              <w:rPr>
                <w:sz w:val="28"/>
                <w:szCs w:val="28"/>
                <w:lang w:val="lv-LV"/>
              </w:rPr>
              <w:t xml:space="preserve">līdzšinējās </w:t>
            </w:r>
            <w:r w:rsidR="00822862" w:rsidRPr="000E56F8">
              <w:rPr>
                <w:sz w:val="28"/>
                <w:szCs w:val="28"/>
                <w:lang w:val="lv-LV"/>
              </w:rPr>
              <w:t xml:space="preserve">darbības maksimālo termiņu starta aizdevumiem </w:t>
            </w:r>
            <w:r w:rsidR="00584453" w:rsidRPr="000E56F8">
              <w:rPr>
                <w:sz w:val="28"/>
                <w:szCs w:val="28"/>
                <w:lang w:val="lv-LV"/>
              </w:rPr>
              <w:t>noteikt</w:t>
            </w:r>
            <w:r w:rsidR="009D1051" w:rsidRPr="000E56F8">
              <w:rPr>
                <w:sz w:val="28"/>
                <w:szCs w:val="28"/>
                <w:lang w:val="lv-LV"/>
              </w:rPr>
              <w:t xml:space="preserve"> – pieci gadi</w:t>
            </w:r>
            <w:r w:rsidR="00822862" w:rsidRPr="000E56F8">
              <w:rPr>
                <w:sz w:val="28"/>
                <w:szCs w:val="28"/>
                <w:lang w:val="lv-LV"/>
              </w:rPr>
              <w:t>.</w:t>
            </w:r>
            <w:r w:rsidR="00B404B6">
              <w:rPr>
                <w:sz w:val="28"/>
                <w:szCs w:val="28"/>
                <w:lang w:val="lv-LV"/>
              </w:rPr>
              <w:t xml:space="preserve">  </w:t>
            </w:r>
            <w:r w:rsidR="001E76BE">
              <w:rPr>
                <w:sz w:val="28"/>
                <w:szCs w:val="28"/>
                <w:lang w:val="lv-LV"/>
              </w:rPr>
              <w:t xml:space="preserve">Vienlaikus jānorāda, ka atbalsts joprojām tiks sniegts tikai tiem </w:t>
            </w:r>
            <w:r w:rsidR="001E76BE" w:rsidRPr="001E76BE">
              <w:rPr>
                <w:sz w:val="28"/>
                <w:szCs w:val="28"/>
                <w:lang w:val="lv-LV"/>
              </w:rPr>
              <w:t>saimni</w:t>
            </w:r>
            <w:r w:rsidR="001E76BE">
              <w:rPr>
                <w:sz w:val="28"/>
                <w:szCs w:val="28"/>
                <w:lang w:val="lv-LV"/>
              </w:rPr>
              <w:t>eciskās darbības veicējiem, kuru biznesa projekti ir perspektīvi un dzīvotspējīgi, bet</w:t>
            </w:r>
            <w:r w:rsidR="001E76BE" w:rsidRPr="001E76BE">
              <w:rPr>
                <w:sz w:val="28"/>
                <w:szCs w:val="28"/>
                <w:lang w:val="lv-LV"/>
              </w:rPr>
              <w:t xml:space="preserve"> nepietiekama nodrošinājuma, saimnieciskās darbības vēstures, </w:t>
            </w:r>
            <w:proofErr w:type="spellStart"/>
            <w:r w:rsidR="001E76BE" w:rsidRPr="001E76BE">
              <w:rPr>
                <w:sz w:val="28"/>
                <w:szCs w:val="28"/>
                <w:lang w:val="lv-LV"/>
              </w:rPr>
              <w:t>kredītvēstures</w:t>
            </w:r>
            <w:proofErr w:type="spellEnd"/>
            <w:r w:rsidR="001E76BE" w:rsidRPr="001E76BE">
              <w:rPr>
                <w:sz w:val="28"/>
                <w:szCs w:val="28"/>
                <w:lang w:val="lv-LV"/>
              </w:rPr>
              <w:t>, neto ieņēmumu plūsmas vai esošo kredītsaistību apjoma dēļ nav iespēju piesaistīt finansējumu no finanšu tirgus dalībniekiem (komercbankām, privātajiem investoriem) biznesa projektu īstenošanai nepieciešamajā apmērā</w:t>
            </w:r>
            <w:r w:rsidR="001E76BE">
              <w:rPr>
                <w:sz w:val="28"/>
                <w:szCs w:val="28"/>
                <w:lang w:val="lv-LV"/>
              </w:rPr>
              <w:t>.</w:t>
            </w:r>
          </w:p>
          <w:p w14:paraId="1DDCD150" w14:textId="77777777" w:rsidR="00822862" w:rsidRPr="000E56F8" w:rsidRDefault="00822862" w:rsidP="00F94D89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 xml:space="preserve">Atbilstoši </w:t>
            </w:r>
            <w:r w:rsidR="00584453" w:rsidRPr="000E56F8">
              <w:rPr>
                <w:sz w:val="28"/>
                <w:szCs w:val="28"/>
                <w:lang w:val="lv-LV"/>
              </w:rPr>
              <w:t xml:space="preserve">iepriekš minētajam, </w:t>
            </w:r>
            <w:r w:rsidR="007C45C5" w:rsidRPr="000E56F8">
              <w:rPr>
                <w:sz w:val="28"/>
                <w:szCs w:val="28"/>
                <w:lang w:val="lv-LV"/>
              </w:rPr>
              <w:t>EM</w:t>
            </w:r>
            <w:r w:rsidRPr="000E56F8">
              <w:rPr>
                <w:sz w:val="28"/>
                <w:szCs w:val="28"/>
                <w:lang w:val="lv-LV"/>
              </w:rPr>
              <w:t xml:space="preserve"> ierosina precizēt </w:t>
            </w:r>
            <w:r w:rsidR="009D1051" w:rsidRPr="000E56F8">
              <w:rPr>
                <w:sz w:val="28"/>
                <w:szCs w:val="28"/>
                <w:lang w:val="lv-LV"/>
              </w:rPr>
              <w:t xml:space="preserve">arī </w:t>
            </w:r>
            <w:r w:rsidR="00584453" w:rsidRPr="000E56F8">
              <w:rPr>
                <w:sz w:val="28"/>
                <w:szCs w:val="28"/>
                <w:lang w:val="lv-LV"/>
              </w:rPr>
              <w:t>MK noteikumu N</w:t>
            </w:r>
            <w:r w:rsidRPr="000E56F8">
              <w:rPr>
                <w:sz w:val="28"/>
                <w:szCs w:val="28"/>
                <w:lang w:val="lv-LV"/>
              </w:rPr>
              <w:t xml:space="preserve">r.328 </w:t>
            </w:r>
            <w:r w:rsidR="00F838F0" w:rsidRPr="000E56F8">
              <w:rPr>
                <w:sz w:val="28"/>
                <w:szCs w:val="28"/>
                <w:lang w:val="lv-LV"/>
              </w:rPr>
              <w:t xml:space="preserve">28.2. un </w:t>
            </w:r>
            <w:r w:rsidRPr="000E56F8">
              <w:rPr>
                <w:sz w:val="28"/>
                <w:szCs w:val="28"/>
                <w:lang w:val="lv-LV"/>
              </w:rPr>
              <w:t>28.3.</w:t>
            </w:r>
            <w:r w:rsidR="00F838F0" w:rsidRPr="000E56F8">
              <w:rPr>
                <w:sz w:val="28"/>
                <w:szCs w:val="28"/>
                <w:lang w:val="lv-LV"/>
              </w:rPr>
              <w:t>apakš</w:t>
            </w:r>
            <w:r w:rsidRPr="000E56F8">
              <w:rPr>
                <w:sz w:val="28"/>
                <w:szCs w:val="28"/>
                <w:lang w:val="lv-LV"/>
              </w:rPr>
              <w:t>punktā norādīto atbalsta pretendentu līdzšinējās darbības termiņu.</w:t>
            </w:r>
          </w:p>
          <w:p w14:paraId="3B56BEA8" w14:textId="77777777" w:rsidR="00F94D89" w:rsidRPr="000E56F8" w:rsidRDefault="00822862" w:rsidP="00F94D89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b/>
                <w:sz w:val="28"/>
                <w:szCs w:val="28"/>
                <w:lang w:val="lv-LV"/>
              </w:rPr>
            </w:pPr>
            <w:r w:rsidRPr="000E56F8">
              <w:rPr>
                <w:b/>
                <w:sz w:val="28"/>
                <w:szCs w:val="28"/>
                <w:lang w:val="lv-LV"/>
              </w:rPr>
              <w:t>3. Starta aizdevumu</w:t>
            </w:r>
            <w:r w:rsidR="002932D2" w:rsidRPr="000E56F8">
              <w:rPr>
                <w:b/>
                <w:sz w:val="28"/>
                <w:szCs w:val="28"/>
                <w:lang w:val="lv-LV"/>
              </w:rPr>
              <w:t xml:space="preserve"> atmaksas</w:t>
            </w:r>
            <w:r w:rsidRPr="000E56F8">
              <w:rPr>
                <w:b/>
                <w:sz w:val="28"/>
                <w:szCs w:val="28"/>
                <w:lang w:val="lv-LV"/>
              </w:rPr>
              <w:t xml:space="preserve"> termiņš.   </w:t>
            </w:r>
          </w:p>
          <w:p w14:paraId="09DD0FA5" w14:textId="2D6757E0" w:rsidR="00814B22" w:rsidRPr="000E56F8" w:rsidRDefault="007C45C5" w:rsidP="00F94D89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>MK noteikumu N</w:t>
            </w:r>
            <w:r w:rsidR="00822862" w:rsidRPr="000E56F8">
              <w:rPr>
                <w:sz w:val="28"/>
                <w:szCs w:val="28"/>
                <w:lang w:val="lv-LV"/>
              </w:rPr>
              <w:t>r.328 32.punktā norādīts, ka “</w:t>
            </w:r>
            <w:r w:rsidR="00822862" w:rsidRPr="000E56F8">
              <w:rPr>
                <w:i/>
                <w:sz w:val="28"/>
                <w:szCs w:val="28"/>
                <w:lang w:val="lv-LV"/>
              </w:rPr>
              <w:t xml:space="preserve">Starta aizdevuma atmaksas termiņš nevar pārsniegt astoņus gadus.” </w:t>
            </w:r>
            <w:r w:rsidR="00822862" w:rsidRPr="000E56F8">
              <w:rPr>
                <w:sz w:val="28"/>
                <w:szCs w:val="28"/>
                <w:lang w:val="lv-LV"/>
              </w:rPr>
              <w:t>Maksimālais starta aizdevuma apjoms ir 150 00</w:t>
            </w:r>
            <w:r w:rsidR="00951ED7">
              <w:rPr>
                <w:sz w:val="28"/>
                <w:szCs w:val="28"/>
                <w:lang w:val="lv-LV"/>
              </w:rPr>
              <w:t>0</w:t>
            </w:r>
            <w:r w:rsidR="00822862" w:rsidRPr="000E56F8">
              <w:rPr>
                <w:sz w:val="28"/>
                <w:szCs w:val="28"/>
                <w:lang w:val="lv-LV"/>
              </w:rPr>
              <w:t xml:space="preserve"> EUR un tā atmaksa 8 gadu laikā rada būtisku iespaidu uz aizdevuma saņēmēja naudas plūsmu, īpaši pirmajos darbības gados, kā arī gadījumos, ja aizdevuma mērķis ir investīcijas industriālajā nekustamajā īpašumā</w:t>
            </w:r>
            <w:r w:rsidR="009D1051" w:rsidRPr="000E56F8">
              <w:rPr>
                <w:sz w:val="28"/>
                <w:szCs w:val="28"/>
                <w:lang w:val="lv-LV"/>
              </w:rPr>
              <w:t xml:space="preserve">. </w:t>
            </w:r>
            <w:r w:rsidR="009D1051" w:rsidRPr="000E56F8">
              <w:rPr>
                <w:sz w:val="28"/>
                <w:szCs w:val="28"/>
                <w:lang w:val="lv-LV"/>
              </w:rPr>
              <w:lastRenderedPageBreak/>
              <w:t>A</w:t>
            </w:r>
            <w:r w:rsidR="00822862" w:rsidRPr="000E56F8">
              <w:rPr>
                <w:sz w:val="28"/>
                <w:szCs w:val="28"/>
                <w:lang w:val="lv-LV"/>
              </w:rPr>
              <w:t xml:space="preserve">izdevuma saņēmējiem pirmajos darbības gados </w:t>
            </w:r>
            <w:r w:rsidR="009D1051" w:rsidRPr="000E56F8">
              <w:rPr>
                <w:sz w:val="28"/>
                <w:szCs w:val="28"/>
                <w:lang w:val="lv-LV"/>
              </w:rPr>
              <w:t xml:space="preserve">vēl veidojas naudas plūsma un aizdevuma pamatsummas maksājami sastāda proporcionāli lielu daļu no darbības izmaksām, attiecīgi arī komersantiem </w:t>
            </w:r>
            <w:r w:rsidR="00822862" w:rsidRPr="000E56F8">
              <w:rPr>
                <w:sz w:val="28"/>
                <w:szCs w:val="28"/>
                <w:lang w:val="lv-LV"/>
              </w:rPr>
              <w:t>nav pietiekami apgrozāmie līdzekļi saimnieciskās darbības attīstīšanai.</w:t>
            </w:r>
          </w:p>
          <w:p w14:paraId="00ADF3E7" w14:textId="18AEBBDA" w:rsidR="00822862" w:rsidRPr="000E56F8" w:rsidRDefault="007C45C5" w:rsidP="00F94D89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>Ņ</w:t>
            </w:r>
            <w:r w:rsidR="00A93054">
              <w:rPr>
                <w:sz w:val="28"/>
                <w:szCs w:val="28"/>
                <w:lang w:val="lv-LV"/>
              </w:rPr>
              <w:t xml:space="preserve">emot vērā iepriekš minēto, EM </w:t>
            </w:r>
            <w:r w:rsidR="00822862" w:rsidRPr="000E56F8">
              <w:rPr>
                <w:sz w:val="28"/>
                <w:szCs w:val="28"/>
                <w:lang w:val="lv-LV"/>
              </w:rPr>
              <w:t>ierosina pagarināt maksimālo aizdevuma termiņu līdz 10 gadiem, bet</w:t>
            </w:r>
            <w:r w:rsidR="00137F96">
              <w:rPr>
                <w:sz w:val="28"/>
                <w:szCs w:val="28"/>
                <w:lang w:val="lv-LV"/>
              </w:rPr>
              <w:t xml:space="preserve"> tādām darbībām kā</w:t>
            </w:r>
            <w:r w:rsidR="00822862" w:rsidRPr="000E56F8">
              <w:rPr>
                <w:sz w:val="28"/>
                <w:szCs w:val="28"/>
                <w:lang w:val="lv-LV"/>
              </w:rPr>
              <w:t xml:space="preserve"> nekustamā īpašuma iegāde, būvniecība vai rekonstrukcija</w:t>
            </w:r>
            <w:r w:rsidR="009D1051" w:rsidRPr="000E56F8">
              <w:rPr>
                <w:sz w:val="28"/>
                <w:szCs w:val="28"/>
                <w:lang w:val="lv-LV"/>
              </w:rPr>
              <w:t xml:space="preserve"> līdz 15 gadiem</w:t>
            </w:r>
            <w:r w:rsidR="00137F96">
              <w:rPr>
                <w:sz w:val="28"/>
                <w:szCs w:val="28"/>
                <w:lang w:val="lv-LV"/>
              </w:rPr>
              <w:t xml:space="preserve"> (izņemot saimnieciskās darbības veicējiem, kuri darbojas  </w:t>
            </w:r>
            <w:r w:rsidR="00137F96" w:rsidRPr="00137F96">
              <w:rPr>
                <w:sz w:val="28"/>
                <w:szCs w:val="28"/>
                <w:lang w:val="lv-LV"/>
              </w:rPr>
              <w:t>NACE 2. </w:t>
            </w:r>
            <w:proofErr w:type="spellStart"/>
            <w:r w:rsidR="00137F96" w:rsidRPr="00137F96">
              <w:rPr>
                <w:sz w:val="28"/>
                <w:szCs w:val="28"/>
                <w:lang w:val="lv-LV"/>
              </w:rPr>
              <w:t>red</w:t>
            </w:r>
            <w:proofErr w:type="spellEnd"/>
            <w:r w:rsidR="00137F96" w:rsidRPr="00137F96">
              <w:rPr>
                <w:sz w:val="28"/>
                <w:szCs w:val="28"/>
                <w:lang w:val="lv-LV"/>
              </w:rPr>
              <w:t>. L sadaļa "Operācijas ar nekustamo īpašumu", izņemot grupu 68.32 "Nekustamā īpašuma pārvaldīšana par atlīdzību vai uz līguma pamata</w:t>
            </w:r>
            <w:r w:rsidR="00137F96">
              <w:rPr>
                <w:sz w:val="28"/>
                <w:szCs w:val="28"/>
                <w:lang w:val="lv-LV"/>
              </w:rPr>
              <w:t>” nozarēs)</w:t>
            </w:r>
            <w:r w:rsidR="003D3E7E" w:rsidRPr="000E56F8">
              <w:rPr>
                <w:sz w:val="28"/>
                <w:szCs w:val="28"/>
                <w:lang w:val="lv-LV"/>
              </w:rPr>
              <w:t xml:space="preserve">, lai saimnieciskās darbības pirmajos gados, kad notiek </w:t>
            </w:r>
            <w:r w:rsidR="00BF7BD9">
              <w:rPr>
                <w:sz w:val="28"/>
                <w:szCs w:val="28"/>
                <w:lang w:val="lv-LV"/>
              </w:rPr>
              <w:t>saimnieciskās darbības veicēju</w:t>
            </w:r>
            <w:r w:rsidR="00BF7BD9" w:rsidRPr="000E56F8">
              <w:rPr>
                <w:sz w:val="28"/>
                <w:szCs w:val="28"/>
                <w:lang w:val="lv-LV"/>
              </w:rPr>
              <w:t xml:space="preserve"> </w:t>
            </w:r>
            <w:r w:rsidR="003D3E7E" w:rsidRPr="000E56F8">
              <w:rPr>
                <w:sz w:val="28"/>
                <w:szCs w:val="28"/>
                <w:lang w:val="lv-LV"/>
              </w:rPr>
              <w:t>attīstība,</w:t>
            </w:r>
            <w:r w:rsidR="002932D2" w:rsidRPr="000E56F8">
              <w:rPr>
                <w:sz w:val="28"/>
                <w:szCs w:val="28"/>
                <w:lang w:val="lv-LV"/>
              </w:rPr>
              <w:t xml:space="preserve"> būtu</w:t>
            </w:r>
            <w:r w:rsidR="003D3E7E" w:rsidRPr="000E56F8">
              <w:rPr>
                <w:sz w:val="28"/>
                <w:szCs w:val="28"/>
                <w:lang w:val="lv-LV"/>
              </w:rPr>
              <w:t xml:space="preserve"> </w:t>
            </w:r>
            <w:r w:rsidR="003D3E7E" w:rsidRPr="00910BBC">
              <w:rPr>
                <w:sz w:val="28"/>
                <w:szCs w:val="28"/>
                <w:lang w:val="lv-LV"/>
              </w:rPr>
              <w:t>iespējami mazāki pamatsummas maksājumi.</w:t>
            </w:r>
            <w:r w:rsidRPr="000E56F8">
              <w:rPr>
                <w:sz w:val="28"/>
                <w:szCs w:val="28"/>
                <w:lang w:val="lv-LV"/>
              </w:rPr>
              <w:t xml:space="preserve"> </w:t>
            </w:r>
          </w:p>
          <w:p w14:paraId="2C7298EB" w14:textId="77777777" w:rsidR="00F94D89" w:rsidRPr="000E56F8" w:rsidRDefault="003D3E7E" w:rsidP="00F94D89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b/>
                <w:sz w:val="28"/>
                <w:szCs w:val="28"/>
                <w:lang w:val="lv-LV"/>
              </w:rPr>
            </w:pPr>
            <w:r w:rsidRPr="000E56F8">
              <w:rPr>
                <w:b/>
                <w:sz w:val="28"/>
                <w:szCs w:val="28"/>
                <w:lang w:val="lv-LV"/>
              </w:rPr>
              <w:t>4. Tehniski precizējumi.</w:t>
            </w:r>
          </w:p>
          <w:p w14:paraId="43614B76" w14:textId="3E400785" w:rsidR="00F94D89" w:rsidRPr="000E56F8" w:rsidRDefault="00806AB5" w:rsidP="00F94D89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>EM</w:t>
            </w:r>
            <w:r w:rsidR="003D3E7E" w:rsidRPr="000E56F8">
              <w:rPr>
                <w:sz w:val="28"/>
                <w:szCs w:val="28"/>
                <w:lang w:val="lv-LV"/>
              </w:rPr>
              <w:t xml:space="preserve"> ierosina veikt tehnisku</w:t>
            </w:r>
            <w:r w:rsidRPr="000E56F8">
              <w:rPr>
                <w:sz w:val="28"/>
                <w:szCs w:val="28"/>
                <w:lang w:val="lv-LV"/>
              </w:rPr>
              <w:t>s precizējumus un MK noteikumu N</w:t>
            </w:r>
            <w:r w:rsidR="003D3E7E" w:rsidRPr="000E56F8">
              <w:rPr>
                <w:sz w:val="28"/>
                <w:szCs w:val="28"/>
                <w:lang w:val="lv-LV"/>
              </w:rPr>
              <w:t>r.328 34.punkt</w:t>
            </w:r>
            <w:r w:rsidR="005C73E4" w:rsidRPr="000E56F8">
              <w:rPr>
                <w:sz w:val="28"/>
                <w:szCs w:val="28"/>
                <w:lang w:val="lv-LV"/>
              </w:rPr>
              <w:t>ā pielietoto terminoloģiju</w:t>
            </w:r>
            <w:r w:rsidR="003D3E7E" w:rsidRPr="000E56F8">
              <w:rPr>
                <w:sz w:val="28"/>
                <w:szCs w:val="28"/>
                <w:lang w:val="lv-LV"/>
              </w:rPr>
              <w:t xml:space="preserve"> </w:t>
            </w:r>
            <w:r w:rsidR="005C73E4" w:rsidRPr="000E56F8">
              <w:rPr>
                <w:sz w:val="28"/>
                <w:szCs w:val="28"/>
                <w:lang w:val="lv-LV"/>
              </w:rPr>
              <w:t xml:space="preserve">pielāgot </w:t>
            </w:r>
            <w:r w:rsidR="003D3E7E" w:rsidRPr="000E56F8">
              <w:rPr>
                <w:sz w:val="28"/>
                <w:szCs w:val="28"/>
                <w:lang w:val="lv-LV"/>
              </w:rPr>
              <w:t>16.punkt</w:t>
            </w:r>
            <w:r w:rsidR="005C73E4" w:rsidRPr="000E56F8">
              <w:rPr>
                <w:sz w:val="28"/>
                <w:szCs w:val="28"/>
                <w:lang w:val="lv-LV"/>
              </w:rPr>
              <w:t xml:space="preserve">ā </w:t>
            </w:r>
            <w:r w:rsidR="0082597B" w:rsidRPr="000E56F8">
              <w:rPr>
                <w:sz w:val="28"/>
                <w:szCs w:val="28"/>
                <w:lang w:val="lv-LV"/>
              </w:rPr>
              <w:t xml:space="preserve">noteiktajam, ka </w:t>
            </w:r>
            <w:r w:rsidR="00B02EDD">
              <w:rPr>
                <w:sz w:val="28"/>
                <w:szCs w:val="28"/>
                <w:lang w:val="lv-LV"/>
              </w:rPr>
              <w:t>saimnieciskās darbības veicēju</w:t>
            </w:r>
            <w:r w:rsidR="00B02EDD" w:rsidRPr="000E56F8">
              <w:rPr>
                <w:sz w:val="28"/>
                <w:szCs w:val="28"/>
                <w:lang w:val="lv-LV"/>
              </w:rPr>
              <w:t xml:space="preserve"> </w:t>
            </w:r>
            <w:r w:rsidR="005D2167" w:rsidRPr="000E56F8">
              <w:rPr>
                <w:sz w:val="28"/>
                <w:szCs w:val="28"/>
                <w:lang w:val="lv-LV"/>
              </w:rPr>
              <w:t xml:space="preserve">un </w:t>
            </w:r>
            <w:r w:rsidR="00B02EDD">
              <w:rPr>
                <w:sz w:val="28"/>
                <w:szCs w:val="28"/>
                <w:lang w:val="lv-LV"/>
              </w:rPr>
              <w:t>saimnieciskās darbības</w:t>
            </w:r>
            <w:r w:rsidR="00B02EDD" w:rsidRPr="000E56F8">
              <w:rPr>
                <w:sz w:val="28"/>
                <w:szCs w:val="28"/>
                <w:lang w:val="lv-LV"/>
              </w:rPr>
              <w:t xml:space="preserve"> </w:t>
            </w:r>
            <w:r w:rsidR="005D2167" w:rsidRPr="000E56F8">
              <w:rPr>
                <w:sz w:val="28"/>
                <w:szCs w:val="28"/>
                <w:lang w:val="lv-LV"/>
              </w:rPr>
              <w:t xml:space="preserve">uzsācēju iesniegtais pieteikums ietver biznesa projekta aprakstu un citu sabiedrības </w:t>
            </w:r>
            <w:proofErr w:type="spellStart"/>
            <w:r w:rsidR="005D2167" w:rsidRPr="000E56F8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5D2167" w:rsidRPr="000E56F8">
              <w:rPr>
                <w:sz w:val="28"/>
                <w:szCs w:val="28"/>
                <w:lang w:val="lv-LV"/>
              </w:rPr>
              <w:t xml:space="preserve"> norādīto informāciju,</w:t>
            </w:r>
            <w:r w:rsidR="003D3E7E" w:rsidRPr="000E56F8">
              <w:rPr>
                <w:sz w:val="28"/>
                <w:szCs w:val="28"/>
                <w:lang w:val="lv-LV"/>
              </w:rPr>
              <w:t xml:space="preserve"> un lietot vienu terminu “pieteikums”, nevis “pieteikums”</w:t>
            </w:r>
            <w:r w:rsidR="009D1051" w:rsidRPr="000E56F8">
              <w:rPr>
                <w:sz w:val="28"/>
                <w:szCs w:val="28"/>
                <w:lang w:val="lv-LV"/>
              </w:rPr>
              <w:t xml:space="preserve"> un “biznesa plāns”</w:t>
            </w:r>
            <w:r w:rsidR="005C73E4" w:rsidRPr="000E56F8">
              <w:rPr>
                <w:sz w:val="28"/>
                <w:szCs w:val="28"/>
                <w:lang w:val="lv-LV"/>
              </w:rPr>
              <w:t xml:space="preserve">, </w:t>
            </w:r>
            <w:r w:rsidR="005D2167" w:rsidRPr="000E56F8">
              <w:rPr>
                <w:sz w:val="28"/>
                <w:szCs w:val="28"/>
                <w:lang w:val="lv-LV"/>
              </w:rPr>
              <w:t xml:space="preserve">lai </w:t>
            </w:r>
            <w:r w:rsidR="002932D2" w:rsidRPr="000E56F8">
              <w:rPr>
                <w:sz w:val="28"/>
                <w:szCs w:val="28"/>
                <w:lang w:val="lv-LV"/>
              </w:rPr>
              <w:t xml:space="preserve">tādējādi </w:t>
            </w:r>
            <w:r w:rsidR="005D2167" w:rsidRPr="000E56F8">
              <w:rPr>
                <w:sz w:val="28"/>
                <w:szCs w:val="28"/>
                <w:lang w:val="lv-LV"/>
              </w:rPr>
              <w:t xml:space="preserve">nodrošinātu konsekvenci un nepārprotamu </w:t>
            </w:r>
            <w:r w:rsidR="00450691" w:rsidRPr="000E56F8">
              <w:rPr>
                <w:sz w:val="28"/>
                <w:szCs w:val="28"/>
                <w:lang w:val="lv-LV"/>
              </w:rPr>
              <w:t xml:space="preserve">MK noteikumu </w:t>
            </w:r>
            <w:r w:rsidR="00ED2979">
              <w:rPr>
                <w:sz w:val="28"/>
                <w:szCs w:val="28"/>
                <w:lang w:val="lv-LV"/>
              </w:rPr>
              <w:t xml:space="preserve">Nr.328 </w:t>
            </w:r>
            <w:r w:rsidR="00450691" w:rsidRPr="000E56F8">
              <w:rPr>
                <w:sz w:val="28"/>
                <w:szCs w:val="28"/>
                <w:lang w:val="lv-LV"/>
              </w:rPr>
              <w:t>teksta uztveri</w:t>
            </w:r>
            <w:r w:rsidR="005D2167" w:rsidRPr="000E56F8">
              <w:rPr>
                <w:sz w:val="28"/>
                <w:szCs w:val="28"/>
                <w:lang w:val="lv-LV"/>
              </w:rPr>
              <w:t>.</w:t>
            </w:r>
          </w:p>
          <w:p w14:paraId="0698B5EA" w14:textId="4223227A" w:rsidR="003D3E7E" w:rsidRPr="0093298F" w:rsidRDefault="00450691" w:rsidP="00F94D89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A93054">
              <w:rPr>
                <w:sz w:val="28"/>
                <w:szCs w:val="28"/>
                <w:lang w:val="lv-LV"/>
              </w:rPr>
              <w:t>Savukārt, MK noteikumu N</w:t>
            </w:r>
            <w:r w:rsidR="003D3E7E" w:rsidRPr="00A93054">
              <w:rPr>
                <w:sz w:val="28"/>
                <w:szCs w:val="28"/>
                <w:lang w:val="lv-LV"/>
              </w:rPr>
              <w:t xml:space="preserve">r.328 </w:t>
            </w:r>
            <w:r w:rsidR="00785232" w:rsidRPr="001E76BE">
              <w:rPr>
                <w:sz w:val="28"/>
                <w:szCs w:val="28"/>
                <w:lang w:val="lv-LV"/>
              </w:rPr>
              <w:t>11.10</w:t>
            </w:r>
            <w:r w:rsidR="00DA1FCE" w:rsidRPr="001E76BE">
              <w:rPr>
                <w:sz w:val="28"/>
                <w:szCs w:val="28"/>
                <w:lang w:val="lv-LV"/>
              </w:rPr>
              <w:t>.</w:t>
            </w:r>
            <w:r w:rsidR="00785232" w:rsidRPr="001E76BE">
              <w:rPr>
                <w:sz w:val="28"/>
                <w:szCs w:val="28"/>
                <w:lang w:val="lv-LV"/>
              </w:rPr>
              <w:t>apakš</w:t>
            </w:r>
            <w:r w:rsidR="00DA1FCE" w:rsidRPr="001E76BE">
              <w:rPr>
                <w:sz w:val="28"/>
                <w:szCs w:val="28"/>
                <w:lang w:val="lv-LV"/>
              </w:rPr>
              <w:t>punkts</w:t>
            </w:r>
            <w:r w:rsidR="00DA1FCE" w:rsidRPr="00A93054">
              <w:rPr>
                <w:sz w:val="28"/>
                <w:szCs w:val="28"/>
                <w:lang w:val="lv-LV"/>
              </w:rPr>
              <w:t xml:space="preserve"> papildināts ar aizliegumu ERAF aizdevumus piešķirt no </w:t>
            </w:r>
            <w:r w:rsidR="00137F96">
              <w:rPr>
                <w:sz w:val="28"/>
                <w:szCs w:val="28"/>
                <w:lang w:val="lv-LV"/>
              </w:rPr>
              <w:t xml:space="preserve">ES struktūrfondu un Kohēzijas fonda </w:t>
            </w:r>
            <w:r w:rsidR="00137F96" w:rsidRPr="0093298F">
              <w:rPr>
                <w:sz w:val="28"/>
                <w:szCs w:val="28"/>
                <w:lang w:val="lv-LV"/>
              </w:rPr>
              <w:t>līdzfinansēt</w:t>
            </w:r>
            <w:r w:rsidR="00137F96">
              <w:rPr>
                <w:sz w:val="28"/>
                <w:szCs w:val="28"/>
                <w:lang w:val="lv-LV"/>
              </w:rPr>
              <w:t>o</w:t>
            </w:r>
            <w:r w:rsidR="00137F96" w:rsidRPr="0093298F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="0093298F" w:rsidRPr="0093298F">
              <w:rPr>
                <w:sz w:val="28"/>
                <w:szCs w:val="28"/>
                <w:lang w:val="lv-LV"/>
              </w:rPr>
              <w:t>grantu</w:t>
            </w:r>
            <w:proofErr w:type="spellEnd"/>
            <w:r w:rsidR="0093298F" w:rsidRPr="0093298F">
              <w:rPr>
                <w:sz w:val="28"/>
                <w:szCs w:val="28"/>
                <w:lang w:val="lv-LV"/>
              </w:rPr>
              <w:t xml:space="preserve"> projektu </w:t>
            </w:r>
            <w:proofErr w:type="spellStart"/>
            <w:r w:rsidR="0093298F" w:rsidRPr="0093298F">
              <w:rPr>
                <w:sz w:val="28"/>
                <w:szCs w:val="28"/>
                <w:lang w:val="lv-LV"/>
              </w:rPr>
              <w:t>priekšfinansēšanai</w:t>
            </w:r>
            <w:proofErr w:type="spellEnd"/>
            <w:r w:rsidR="0093298F" w:rsidRPr="0093298F">
              <w:rPr>
                <w:sz w:val="28"/>
                <w:szCs w:val="28"/>
                <w:lang w:val="lv-LV"/>
              </w:rPr>
              <w:t>.</w:t>
            </w:r>
          </w:p>
          <w:p w14:paraId="7388BE3A" w14:textId="064654B2" w:rsidR="0093298F" w:rsidRPr="0093298F" w:rsidRDefault="00A92A07" w:rsidP="00A92A07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93298F">
              <w:rPr>
                <w:sz w:val="28"/>
                <w:szCs w:val="28"/>
                <w:lang w:val="lv-LV"/>
              </w:rPr>
              <w:t>MK n</w:t>
            </w:r>
            <w:r w:rsidR="006008D1" w:rsidRPr="0093298F">
              <w:rPr>
                <w:sz w:val="28"/>
                <w:szCs w:val="28"/>
                <w:lang w:val="lv-LV"/>
              </w:rPr>
              <w:t>oteikumu</w:t>
            </w:r>
            <w:r w:rsidRPr="0093298F">
              <w:rPr>
                <w:sz w:val="28"/>
                <w:szCs w:val="28"/>
                <w:lang w:val="lv-LV"/>
              </w:rPr>
              <w:t xml:space="preserve"> </w:t>
            </w:r>
            <w:r w:rsidR="00871E2F">
              <w:rPr>
                <w:sz w:val="28"/>
                <w:szCs w:val="28"/>
                <w:lang w:val="lv-LV"/>
              </w:rPr>
              <w:t>N</w:t>
            </w:r>
            <w:r w:rsidR="00871E2F" w:rsidRPr="0093298F">
              <w:rPr>
                <w:sz w:val="28"/>
                <w:szCs w:val="28"/>
                <w:lang w:val="lv-LV"/>
              </w:rPr>
              <w:t>r</w:t>
            </w:r>
            <w:r w:rsidRPr="0093298F">
              <w:rPr>
                <w:sz w:val="28"/>
                <w:szCs w:val="28"/>
                <w:lang w:val="lv-LV"/>
              </w:rPr>
              <w:t>.328</w:t>
            </w:r>
            <w:r w:rsidR="006008D1" w:rsidRPr="0093298F">
              <w:rPr>
                <w:sz w:val="28"/>
                <w:szCs w:val="28"/>
                <w:lang w:val="lv-LV"/>
              </w:rPr>
              <w:t xml:space="preserve"> 5.punkt</w:t>
            </w:r>
            <w:r w:rsidR="00581784">
              <w:rPr>
                <w:sz w:val="28"/>
                <w:szCs w:val="28"/>
                <w:lang w:val="lv-LV"/>
              </w:rPr>
              <w:t>ā tiks</w:t>
            </w:r>
            <w:r w:rsidR="006008D1" w:rsidRPr="0093298F">
              <w:rPr>
                <w:sz w:val="28"/>
                <w:szCs w:val="28"/>
                <w:lang w:val="lv-LV"/>
              </w:rPr>
              <w:t xml:space="preserve"> </w:t>
            </w:r>
            <w:r w:rsidR="00581784">
              <w:rPr>
                <w:sz w:val="28"/>
                <w:szCs w:val="28"/>
                <w:lang w:val="lv-LV"/>
              </w:rPr>
              <w:t>paredzēts</w:t>
            </w:r>
            <w:r w:rsidR="006008D1" w:rsidRPr="0093298F">
              <w:rPr>
                <w:sz w:val="28"/>
                <w:szCs w:val="28"/>
                <w:lang w:val="lv-LV"/>
              </w:rPr>
              <w:t>, ka aizdevumus snie</w:t>
            </w:r>
            <w:r w:rsidR="00581784">
              <w:rPr>
                <w:sz w:val="28"/>
                <w:szCs w:val="28"/>
                <w:lang w:val="lv-LV"/>
              </w:rPr>
              <w:t>gs arī</w:t>
            </w:r>
            <w:r w:rsidR="006008D1" w:rsidRPr="0093298F">
              <w:rPr>
                <w:sz w:val="28"/>
                <w:szCs w:val="28"/>
                <w:lang w:val="lv-LV"/>
              </w:rPr>
              <w:t xml:space="preserve"> no </w:t>
            </w:r>
            <w:r w:rsidR="00581784">
              <w:rPr>
                <w:sz w:val="28"/>
                <w:szCs w:val="28"/>
                <w:lang w:val="lv-LV"/>
              </w:rPr>
              <w:t xml:space="preserve">citiem </w:t>
            </w:r>
            <w:r w:rsidR="006008D1" w:rsidRPr="0093298F">
              <w:rPr>
                <w:sz w:val="28"/>
                <w:szCs w:val="28"/>
                <w:lang w:val="lv-LV"/>
              </w:rPr>
              <w:t>finanšu resursiem, kas nav 3.1.1.4.pasākuma finansējums</w:t>
            </w:r>
            <w:r w:rsidR="00581784">
              <w:rPr>
                <w:sz w:val="28"/>
                <w:szCs w:val="28"/>
                <w:lang w:val="lv-LV"/>
              </w:rPr>
              <w:t xml:space="preserve"> vai</w:t>
            </w:r>
            <w:r w:rsidR="00581784">
              <w:t xml:space="preserve"> </w:t>
            </w:r>
            <w:r w:rsidR="00581784" w:rsidRPr="00581784">
              <w:rPr>
                <w:sz w:val="28"/>
                <w:szCs w:val="28"/>
                <w:lang w:val="lv-LV"/>
              </w:rPr>
              <w:t xml:space="preserve">Eiropas Savienības struktūrfondu un Kohēzijas fonda 2007.–2013. gada plānošanas perioda darbības programmas "Cilvēkresursi un nodarbinātība" papildinājuma 1.3.1.2. aktivitātes "Atbalsts </w:t>
            </w:r>
            <w:proofErr w:type="spellStart"/>
            <w:r w:rsidR="00581784" w:rsidRPr="00581784">
              <w:rPr>
                <w:sz w:val="28"/>
                <w:szCs w:val="28"/>
                <w:lang w:val="lv-LV"/>
              </w:rPr>
              <w:t>pašnodarbinātības</w:t>
            </w:r>
            <w:proofErr w:type="spellEnd"/>
            <w:r w:rsidR="00581784" w:rsidRPr="00581784">
              <w:rPr>
                <w:sz w:val="28"/>
                <w:szCs w:val="28"/>
                <w:lang w:val="lv-LV"/>
              </w:rPr>
              <w:t xml:space="preserve"> un uzņēmējdarbības uzsākšanai" ietvaros atmaksā</w:t>
            </w:r>
            <w:r w:rsidR="00581784">
              <w:rPr>
                <w:sz w:val="28"/>
                <w:szCs w:val="28"/>
                <w:lang w:val="lv-LV"/>
              </w:rPr>
              <w:t>tā līdzekļu publiskā finansējums</w:t>
            </w:r>
            <w:r w:rsidR="004D3010" w:rsidRPr="0093298F">
              <w:rPr>
                <w:sz w:val="28"/>
                <w:szCs w:val="28"/>
                <w:lang w:val="lv-LV"/>
              </w:rPr>
              <w:t xml:space="preserve">, </w:t>
            </w:r>
            <w:r w:rsidR="00581784">
              <w:rPr>
                <w:sz w:val="28"/>
                <w:szCs w:val="28"/>
                <w:lang w:val="lv-LV"/>
              </w:rPr>
              <w:t>jo</w:t>
            </w:r>
            <w:r w:rsidR="00581784" w:rsidRPr="0093298F">
              <w:rPr>
                <w:sz w:val="28"/>
                <w:szCs w:val="28"/>
                <w:lang w:val="lv-LV"/>
              </w:rPr>
              <w:t xml:space="preserve"> </w:t>
            </w:r>
            <w:r w:rsidR="006008D1" w:rsidRPr="0093298F">
              <w:rPr>
                <w:sz w:val="28"/>
                <w:szCs w:val="28"/>
                <w:lang w:val="lv-LV"/>
              </w:rPr>
              <w:t xml:space="preserve">sabiedrība </w:t>
            </w:r>
            <w:proofErr w:type="spellStart"/>
            <w:r w:rsidR="006008D1" w:rsidRPr="0093298F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6008D1" w:rsidRPr="0093298F">
              <w:rPr>
                <w:sz w:val="28"/>
                <w:szCs w:val="28"/>
                <w:lang w:val="lv-LV"/>
              </w:rPr>
              <w:t xml:space="preserve"> aizdevumus </w:t>
            </w:r>
            <w:r w:rsidR="004D3010" w:rsidRPr="0093298F">
              <w:rPr>
                <w:sz w:val="28"/>
                <w:szCs w:val="28"/>
                <w:lang w:val="lv-LV"/>
              </w:rPr>
              <w:t xml:space="preserve">var sniegt arī </w:t>
            </w:r>
            <w:r w:rsidR="006008D1" w:rsidRPr="0093298F">
              <w:rPr>
                <w:sz w:val="28"/>
                <w:szCs w:val="28"/>
                <w:lang w:val="lv-LV"/>
              </w:rPr>
              <w:t>tikai no valsts aizdevuma resursiem</w:t>
            </w:r>
            <w:r w:rsidR="004D3010" w:rsidRPr="0093298F">
              <w:rPr>
                <w:sz w:val="28"/>
                <w:szCs w:val="28"/>
                <w:lang w:val="lv-LV"/>
              </w:rPr>
              <w:t>, piemēram, piesaistot Eiropas Stratēģiskā investīciju fonda finansējumu</w:t>
            </w:r>
            <w:r w:rsidRPr="0093298F">
              <w:rPr>
                <w:sz w:val="28"/>
                <w:szCs w:val="28"/>
                <w:lang w:val="lv-LV"/>
              </w:rPr>
              <w:t>. T</w:t>
            </w:r>
            <w:r w:rsidR="004D3010" w:rsidRPr="0093298F">
              <w:rPr>
                <w:sz w:val="28"/>
                <w:szCs w:val="28"/>
                <w:lang w:val="lv-LV"/>
              </w:rPr>
              <w:t xml:space="preserve">ādēļ </w:t>
            </w:r>
            <w:r w:rsidR="006008D1" w:rsidRPr="0093298F">
              <w:rPr>
                <w:sz w:val="28"/>
                <w:szCs w:val="28"/>
                <w:lang w:val="lv-LV"/>
              </w:rPr>
              <w:t>precizēt</w:t>
            </w:r>
            <w:r w:rsidR="0093298F" w:rsidRPr="0093298F">
              <w:rPr>
                <w:sz w:val="28"/>
                <w:szCs w:val="28"/>
                <w:lang w:val="lv-LV"/>
              </w:rPr>
              <w:t xml:space="preserve">s MK noteikumu </w:t>
            </w:r>
            <w:r w:rsidR="00871E2F">
              <w:rPr>
                <w:sz w:val="28"/>
                <w:szCs w:val="28"/>
                <w:lang w:val="lv-LV"/>
              </w:rPr>
              <w:t>N</w:t>
            </w:r>
            <w:r w:rsidR="0093298F" w:rsidRPr="0093298F">
              <w:rPr>
                <w:sz w:val="28"/>
                <w:szCs w:val="28"/>
                <w:lang w:val="lv-LV"/>
              </w:rPr>
              <w:t xml:space="preserve">r.328 </w:t>
            </w:r>
            <w:r w:rsidR="0093298F" w:rsidRPr="0093298F">
              <w:rPr>
                <w:sz w:val="28"/>
                <w:szCs w:val="28"/>
                <w:lang w:val="lv-LV"/>
              </w:rPr>
              <w:lastRenderedPageBreak/>
              <w:t>1.1.punkts</w:t>
            </w:r>
            <w:r w:rsidRPr="0093298F">
              <w:rPr>
                <w:sz w:val="28"/>
                <w:szCs w:val="28"/>
                <w:lang w:val="lv-LV"/>
              </w:rPr>
              <w:t xml:space="preserve"> un noteikts, ka noteikumi nosaka 3.1.1.4.pasākuma ieviešanas kārtību un aizdevumu piešķiršanas kārtību</w:t>
            </w:r>
            <w:r w:rsidR="0093298F" w:rsidRPr="0093298F">
              <w:rPr>
                <w:sz w:val="28"/>
                <w:szCs w:val="28"/>
                <w:lang w:val="lv-LV"/>
              </w:rPr>
              <w:t>, atbilstoši precizēts arī MK noteikumu Nr.328 18.punkts</w:t>
            </w:r>
            <w:r w:rsidR="00581784">
              <w:rPr>
                <w:sz w:val="28"/>
                <w:szCs w:val="28"/>
                <w:lang w:val="lv-LV"/>
              </w:rPr>
              <w:t xml:space="preserve">, </w:t>
            </w:r>
            <w:r w:rsidR="00D16C33">
              <w:rPr>
                <w:sz w:val="28"/>
                <w:szCs w:val="28"/>
                <w:lang w:val="lv-LV"/>
              </w:rPr>
              <w:t xml:space="preserve">nosakot, ka punktā minētie nosacījumi attiecas tikai uz aizdevumiem, kas izsniegti ar </w:t>
            </w:r>
            <w:r w:rsidR="006008D1" w:rsidRPr="0093298F">
              <w:rPr>
                <w:sz w:val="28"/>
                <w:szCs w:val="28"/>
                <w:lang w:val="lv-LV"/>
              </w:rPr>
              <w:t xml:space="preserve"> </w:t>
            </w:r>
            <w:r w:rsidR="00D16C33" w:rsidRPr="00D16C33">
              <w:rPr>
                <w:sz w:val="28"/>
                <w:szCs w:val="28"/>
                <w:lang w:val="lv-LV"/>
              </w:rPr>
              <w:t xml:space="preserve">Eiropas Reģionālās attīstības fonda </w:t>
            </w:r>
            <w:r w:rsidR="00D16C33">
              <w:rPr>
                <w:sz w:val="28"/>
                <w:szCs w:val="28"/>
                <w:lang w:val="lv-LV"/>
              </w:rPr>
              <w:t>līdzfinansējumu.</w:t>
            </w:r>
          </w:p>
          <w:p w14:paraId="031825B4" w14:textId="2613A333" w:rsidR="008A1056" w:rsidRDefault="0093298F" w:rsidP="00600301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444344">
              <w:rPr>
                <w:sz w:val="28"/>
                <w:szCs w:val="28"/>
                <w:lang w:val="lv-LV"/>
              </w:rPr>
              <w:t xml:space="preserve">Papildus </w:t>
            </w:r>
            <w:r w:rsidR="00A92A07" w:rsidRPr="00444344">
              <w:rPr>
                <w:sz w:val="28"/>
                <w:szCs w:val="28"/>
                <w:lang w:val="lv-LV"/>
              </w:rPr>
              <w:t>precizēts arī MK noteikumu nr.328 5.punkts, neizdalot finansējumu mikro un starta aizdevumiem,</w:t>
            </w:r>
            <w:r w:rsidRPr="00444344">
              <w:rPr>
                <w:sz w:val="28"/>
                <w:szCs w:val="28"/>
                <w:lang w:val="lv-LV"/>
              </w:rPr>
              <w:t xml:space="preserve"> lai novērstu to, ka finansējuma savlaicīgu un sekmīgu izmantošanu ierobežo MK noteikumos </w:t>
            </w:r>
            <w:r w:rsidR="00ED2979">
              <w:rPr>
                <w:sz w:val="28"/>
                <w:szCs w:val="28"/>
                <w:lang w:val="lv-LV"/>
              </w:rPr>
              <w:t xml:space="preserve">Nr. 328 </w:t>
            </w:r>
            <w:r w:rsidRPr="00444344">
              <w:rPr>
                <w:sz w:val="28"/>
                <w:szCs w:val="28"/>
                <w:lang w:val="lv-LV"/>
              </w:rPr>
              <w:t>noteiktais nosacījums tajā aizdevumu veidā, kurā pieprasījums ir lielāks, attiecīgi neveicot grozījumus MK noteikumos</w:t>
            </w:r>
            <w:r w:rsidR="00ED2979">
              <w:rPr>
                <w:sz w:val="28"/>
                <w:szCs w:val="28"/>
                <w:lang w:val="lv-LV"/>
              </w:rPr>
              <w:t xml:space="preserve"> Nr.328</w:t>
            </w:r>
            <w:r w:rsidRPr="00444344">
              <w:rPr>
                <w:sz w:val="28"/>
                <w:szCs w:val="28"/>
                <w:lang w:val="lv-LV"/>
              </w:rPr>
              <w:t>, kas ir laikietilpīgi un būtu formāli. Finansējuma sadalījumu pa aizdevumu veidiem nenosaka ar</w:t>
            </w:r>
            <w:r w:rsidR="00444344" w:rsidRPr="00444344">
              <w:rPr>
                <w:sz w:val="28"/>
                <w:szCs w:val="28"/>
                <w:lang w:val="lv-LV"/>
              </w:rPr>
              <w:t xml:space="preserve">ī citi plānošanas dokumenti, tai skaitā </w:t>
            </w:r>
            <w:r w:rsidR="00ED2979">
              <w:rPr>
                <w:sz w:val="28"/>
                <w:szCs w:val="28"/>
                <w:lang w:val="lv-LV"/>
              </w:rPr>
              <w:t>d</w:t>
            </w:r>
            <w:r w:rsidR="00444344" w:rsidRPr="00444344">
              <w:rPr>
                <w:sz w:val="28"/>
                <w:szCs w:val="28"/>
                <w:lang w:val="lv-LV"/>
              </w:rPr>
              <w:t xml:space="preserve">arbības programma. Ņemot vērā grozījumus MK noteikumu </w:t>
            </w:r>
            <w:r w:rsidR="00B85A89">
              <w:rPr>
                <w:sz w:val="28"/>
                <w:szCs w:val="28"/>
                <w:lang w:val="lv-LV"/>
              </w:rPr>
              <w:t>N</w:t>
            </w:r>
            <w:r w:rsidR="00444344" w:rsidRPr="00444344">
              <w:rPr>
                <w:sz w:val="28"/>
                <w:szCs w:val="28"/>
                <w:lang w:val="lv-LV"/>
              </w:rPr>
              <w:t>r.328 5.punktā, s</w:t>
            </w:r>
            <w:r w:rsidR="00A92A07" w:rsidRPr="00444344">
              <w:rPr>
                <w:sz w:val="28"/>
                <w:szCs w:val="28"/>
                <w:lang w:val="lv-LV"/>
              </w:rPr>
              <w:t xml:space="preserve">vītrots </w:t>
            </w:r>
            <w:r w:rsidR="00444344" w:rsidRPr="00444344">
              <w:rPr>
                <w:sz w:val="28"/>
                <w:szCs w:val="28"/>
                <w:lang w:val="lv-LV"/>
              </w:rPr>
              <w:t xml:space="preserve">arī </w:t>
            </w:r>
            <w:r w:rsidR="00A92A07" w:rsidRPr="00444344">
              <w:rPr>
                <w:sz w:val="28"/>
                <w:szCs w:val="28"/>
                <w:lang w:val="lv-LV"/>
              </w:rPr>
              <w:t>MK noteikumu nr.328 15.punkts</w:t>
            </w:r>
            <w:r w:rsidR="00CF6767" w:rsidRPr="00444344">
              <w:rPr>
                <w:sz w:val="28"/>
                <w:szCs w:val="28"/>
                <w:lang w:val="lv-LV"/>
              </w:rPr>
              <w:t>. Vienlaikus jānorāda, ka ERAF un Valsts kases aizdevumu proporcija saglabāsies kā līdz šim</w:t>
            </w:r>
            <w:r w:rsidR="008A1056">
              <w:rPr>
                <w:sz w:val="28"/>
                <w:szCs w:val="28"/>
                <w:lang w:val="lv-LV"/>
              </w:rPr>
              <w:t xml:space="preserve"> un katram instrumentam tā būs atšķirīga</w:t>
            </w:r>
            <w:r w:rsidR="00600301">
              <w:rPr>
                <w:sz w:val="28"/>
                <w:szCs w:val="28"/>
                <w:lang w:val="lv-LV"/>
              </w:rPr>
              <w:t xml:space="preserve"> un noteikta</w:t>
            </w:r>
            <w:r w:rsidR="00CF6767" w:rsidRPr="00444344">
              <w:rPr>
                <w:sz w:val="28"/>
                <w:szCs w:val="28"/>
                <w:lang w:val="lv-LV"/>
              </w:rPr>
              <w:t xml:space="preserve"> </w:t>
            </w:r>
            <w:r w:rsidR="00600301" w:rsidRPr="00444344">
              <w:rPr>
                <w:sz w:val="28"/>
                <w:szCs w:val="28"/>
                <w:lang w:val="lv-LV"/>
              </w:rPr>
              <w:t>līgumā ar Centrālo finanšu un līgumu aģentūru</w:t>
            </w:r>
            <w:r w:rsidR="00600301">
              <w:rPr>
                <w:sz w:val="28"/>
                <w:szCs w:val="28"/>
                <w:lang w:val="lv-LV"/>
              </w:rPr>
              <w:t xml:space="preserve"> – Fondu fonda biznesa plānā, saglabājot iespēju nepieciešamības gadījumā to mainīt, bet </w:t>
            </w:r>
            <w:r w:rsidR="00600301" w:rsidRPr="008A1056">
              <w:rPr>
                <w:sz w:val="28"/>
                <w:szCs w:val="28"/>
                <w:lang w:val="lv-LV"/>
              </w:rPr>
              <w:t>nepārsniedzot regulā maksimāli noteikto maksimāli iespējamo intensitāti.</w:t>
            </w:r>
          </w:p>
          <w:p w14:paraId="59869DF4" w14:textId="307749A7" w:rsidR="00444344" w:rsidRPr="000E56F8" w:rsidRDefault="00444344" w:rsidP="00A92A07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Ievērojot saskaņošanas laikā sniegtos komentārus, MK noteikum</w:t>
            </w:r>
            <w:r w:rsidR="00ED2979">
              <w:rPr>
                <w:sz w:val="28"/>
                <w:szCs w:val="28"/>
                <w:lang w:val="lv-LV"/>
              </w:rPr>
              <w:t>i Nr.328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="00ED2979">
              <w:rPr>
                <w:sz w:val="28"/>
                <w:szCs w:val="28"/>
                <w:lang w:val="lv-LV"/>
              </w:rPr>
              <w:t>tiek</w:t>
            </w:r>
            <w:r>
              <w:rPr>
                <w:sz w:val="28"/>
                <w:szCs w:val="28"/>
                <w:lang w:val="lv-LV"/>
              </w:rPr>
              <w:t xml:space="preserve"> papildināt</w:t>
            </w:r>
            <w:r w:rsidR="00ED2979">
              <w:rPr>
                <w:sz w:val="28"/>
                <w:szCs w:val="28"/>
                <w:lang w:val="lv-LV"/>
              </w:rPr>
              <w:t>i</w:t>
            </w:r>
            <w:r>
              <w:rPr>
                <w:sz w:val="28"/>
                <w:szCs w:val="28"/>
                <w:lang w:val="lv-LV"/>
              </w:rPr>
              <w:t xml:space="preserve"> ar jaunu punktu Nr.38.</w:t>
            </w:r>
            <w:r w:rsidRPr="00444344">
              <w:rPr>
                <w:sz w:val="28"/>
                <w:szCs w:val="28"/>
                <w:vertAlign w:val="superscript"/>
                <w:lang w:val="lv-LV"/>
              </w:rPr>
              <w:t>1</w:t>
            </w:r>
            <w:r>
              <w:rPr>
                <w:sz w:val="28"/>
                <w:szCs w:val="28"/>
                <w:lang w:val="lv-LV"/>
              </w:rPr>
              <w:t>, lai saimnieciskās darbības veicējiem būtu noteikti skaidri valsts atbalsta noteikumi uzņēmumu apvienošanas, iegādes vai sadalīšanas gadījumā.</w:t>
            </w:r>
          </w:p>
          <w:p w14:paraId="2B878B1B" w14:textId="77777777" w:rsidR="003D3E7E" w:rsidRPr="000E56F8" w:rsidRDefault="003D3E7E" w:rsidP="003D3E7E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b/>
                <w:sz w:val="28"/>
                <w:szCs w:val="28"/>
                <w:lang w:val="lv-LV"/>
              </w:rPr>
            </w:pPr>
            <w:r w:rsidRPr="000E56F8">
              <w:rPr>
                <w:b/>
                <w:sz w:val="28"/>
                <w:szCs w:val="28"/>
                <w:lang w:val="lv-LV"/>
              </w:rPr>
              <w:t>Programmas rādītāju novērtējums</w:t>
            </w:r>
          </w:p>
          <w:p w14:paraId="09F04E06" w14:textId="3D921016" w:rsidR="00BB480B" w:rsidRPr="000E56F8" w:rsidRDefault="003D3E7E" w:rsidP="003D3E7E">
            <w:pPr>
              <w:autoSpaceDE w:val="0"/>
              <w:autoSpaceDN w:val="0"/>
              <w:adjustRightInd w:val="0"/>
              <w:spacing w:before="120" w:after="120"/>
              <w:ind w:left="142" w:right="346"/>
              <w:jc w:val="both"/>
              <w:rPr>
                <w:sz w:val="28"/>
                <w:szCs w:val="28"/>
                <w:lang w:val="lv-LV"/>
              </w:rPr>
            </w:pPr>
            <w:r w:rsidRPr="000E56F8">
              <w:rPr>
                <w:sz w:val="28"/>
                <w:szCs w:val="28"/>
                <w:lang w:val="lv-LV"/>
              </w:rPr>
              <w:t xml:space="preserve">Sabiedrība </w:t>
            </w:r>
            <w:proofErr w:type="spellStart"/>
            <w:r w:rsidRPr="000E56F8">
              <w:rPr>
                <w:sz w:val="28"/>
                <w:szCs w:val="28"/>
                <w:lang w:val="lv-LV"/>
              </w:rPr>
              <w:t>Altum</w:t>
            </w:r>
            <w:proofErr w:type="spellEnd"/>
            <w:r w:rsidRPr="000E56F8">
              <w:rPr>
                <w:sz w:val="28"/>
                <w:szCs w:val="28"/>
                <w:lang w:val="lv-LV"/>
              </w:rPr>
              <w:t xml:space="preserve"> nodrošinās šī </w:t>
            </w:r>
            <w:r w:rsidR="00ED2979">
              <w:rPr>
                <w:sz w:val="28"/>
                <w:szCs w:val="28"/>
                <w:lang w:val="lv-LV"/>
              </w:rPr>
              <w:t xml:space="preserve">MK </w:t>
            </w:r>
            <w:r w:rsidRPr="000E56F8">
              <w:rPr>
                <w:sz w:val="28"/>
                <w:szCs w:val="28"/>
                <w:lang w:val="lv-LV"/>
              </w:rPr>
              <w:t xml:space="preserve">noteikumu projekta ietvaros īstenojamās atbalsta programmas ietekmes, risku un attiecīgi sagaidāmo zaudējumu, finansiālo rezultātu un programmas īstenošanas izvērtēšanu, lai ievērotu </w:t>
            </w:r>
            <w:r w:rsidR="00547ACF" w:rsidRPr="000E56F8">
              <w:rPr>
                <w:sz w:val="28"/>
                <w:szCs w:val="28"/>
                <w:lang w:val="lv-LV"/>
              </w:rPr>
              <w:t xml:space="preserve">Attīstības finanšu institūcijas likuma </w:t>
            </w:r>
            <w:r w:rsidRPr="000E56F8">
              <w:rPr>
                <w:sz w:val="28"/>
                <w:szCs w:val="28"/>
                <w:lang w:val="lv-LV"/>
              </w:rPr>
              <w:t xml:space="preserve">12.panta trešajā daļā noteikto. Šo </w:t>
            </w:r>
            <w:proofErr w:type="spellStart"/>
            <w:r w:rsidRPr="000E56F8">
              <w:rPr>
                <w:sz w:val="28"/>
                <w:szCs w:val="28"/>
                <w:lang w:val="lv-LV"/>
              </w:rPr>
              <w:t>izvērtējumu</w:t>
            </w:r>
            <w:proofErr w:type="spellEnd"/>
            <w:r w:rsidRPr="000E56F8">
              <w:rPr>
                <w:sz w:val="28"/>
                <w:szCs w:val="28"/>
                <w:lang w:val="lv-LV"/>
              </w:rPr>
              <w:t xml:space="preserve"> </w:t>
            </w:r>
            <w:r w:rsidR="00547ACF" w:rsidRPr="000E56F8">
              <w:rPr>
                <w:sz w:val="28"/>
                <w:szCs w:val="28"/>
                <w:lang w:val="lv-LV"/>
              </w:rPr>
              <w:t xml:space="preserve">EM </w:t>
            </w:r>
            <w:r w:rsidRPr="000E56F8">
              <w:rPr>
                <w:sz w:val="28"/>
                <w:szCs w:val="28"/>
                <w:lang w:val="lv-LV"/>
              </w:rPr>
              <w:t xml:space="preserve">virzīs apstiprināšanai Ministru kabinetā vienlaicīgi ar </w:t>
            </w:r>
            <w:r w:rsidR="00547ACF" w:rsidRPr="000E56F8">
              <w:rPr>
                <w:sz w:val="28"/>
                <w:szCs w:val="28"/>
                <w:lang w:val="lv-LV"/>
              </w:rPr>
              <w:t xml:space="preserve">šiem MK </w:t>
            </w:r>
            <w:r w:rsidRPr="000E56F8">
              <w:rPr>
                <w:sz w:val="28"/>
                <w:szCs w:val="28"/>
                <w:lang w:val="lv-LV"/>
              </w:rPr>
              <w:t>noteikumiem u</w:t>
            </w:r>
            <w:r w:rsidR="003F0341" w:rsidRPr="000E56F8">
              <w:rPr>
                <w:sz w:val="28"/>
                <w:szCs w:val="28"/>
                <w:lang w:val="lv-LV"/>
              </w:rPr>
              <w:t>n EM to atsevišķi saskaņos ar Finanšu ministriju</w:t>
            </w:r>
            <w:r w:rsidRPr="000E56F8">
              <w:rPr>
                <w:sz w:val="28"/>
                <w:szCs w:val="28"/>
                <w:lang w:val="lv-LV"/>
              </w:rPr>
              <w:t xml:space="preserve">, kad būs saskaņoti visi noteikumu projekta nosacījumi, kas ir priekšnosacījums </w:t>
            </w:r>
            <w:r w:rsidR="002932D2" w:rsidRPr="000E56F8">
              <w:rPr>
                <w:sz w:val="28"/>
                <w:szCs w:val="28"/>
                <w:lang w:val="lv-LV"/>
              </w:rPr>
              <w:t xml:space="preserve">šī </w:t>
            </w:r>
            <w:proofErr w:type="spellStart"/>
            <w:r w:rsidR="002932D2" w:rsidRPr="000E56F8">
              <w:rPr>
                <w:sz w:val="28"/>
                <w:szCs w:val="28"/>
                <w:lang w:val="lv-LV"/>
              </w:rPr>
              <w:t>iz</w:t>
            </w:r>
            <w:r w:rsidRPr="000E56F8">
              <w:rPr>
                <w:sz w:val="28"/>
                <w:szCs w:val="28"/>
                <w:lang w:val="lv-LV"/>
              </w:rPr>
              <w:t>vērtējuma</w:t>
            </w:r>
            <w:proofErr w:type="spellEnd"/>
            <w:r w:rsidRPr="000E56F8">
              <w:rPr>
                <w:sz w:val="28"/>
                <w:szCs w:val="28"/>
                <w:lang w:val="lv-LV"/>
              </w:rPr>
              <w:t xml:space="preserve"> apstiprināšanai.</w:t>
            </w:r>
          </w:p>
        </w:tc>
      </w:tr>
      <w:tr w:rsidR="00844176" w:rsidRPr="00110128" w14:paraId="41041CF1" w14:textId="77777777" w:rsidTr="00871E2F">
        <w:trPr>
          <w:trHeight w:val="465"/>
        </w:trPr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B363A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17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C459C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 xml:space="preserve">Projekta izstrādē </w:t>
            </w: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lastRenderedPageBreak/>
              <w:t>iesaistītās institūcijas</w:t>
            </w:r>
          </w:p>
        </w:tc>
        <w:tc>
          <w:tcPr>
            <w:tcW w:w="69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732C9" w14:textId="77777777" w:rsidR="00844176" w:rsidRPr="003F0341" w:rsidRDefault="00CE0AC5" w:rsidP="00871E2F">
            <w:pPr>
              <w:spacing w:before="100" w:beforeAutospacing="1" w:after="100" w:afterAutospacing="1"/>
              <w:ind w:left="60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sz w:val="28"/>
                <w:szCs w:val="28"/>
                <w:lang w:val="lv-LV"/>
              </w:rPr>
              <w:lastRenderedPageBreak/>
              <w:t>E</w:t>
            </w:r>
            <w:r w:rsidR="00547ACF">
              <w:rPr>
                <w:sz w:val="28"/>
                <w:szCs w:val="28"/>
                <w:lang w:val="lv-LV"/>
              </w:rPr>
              <w:t>konomikas ministrija</w:t>
            </w:r>
            <w:r w:rsidRPr="003F0341">
              <w:rPr>
                <w:sz w:val="28"/>
                <w:szCs w:val="28"/>
                <w:lang w:val="lv-LV"/>
              </w:rPr>
              <w:t xml:space="preserve">, </w:t>
            </w:r>
            <w:r w:rsidR="00547ACF" w:rsidRPr="00547ACF">
              <w:rPr>
                <w:sz w:val="28"/>
                <w:szCs w:val="28"/>
                <w:lang w:val="lv-LV"/>
              </w:rPr>
              <w:t xml:space="preserve">akciju sabiedrība “Attīstības finanšu institūcija </w:t>
            </w:r>
            <w:proofErr w:type="spellStart"/>
            <w:r w:rsidR="00547ACF" w:rsidRPr="00547ACF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547ACF" w:rsidRPr="00547ACF">
              <w:rPr>
                <w:sz w:val="28"/>
                <w:szCs w:val="28"/>
                <w:lang w:val="lv-LV"/>
              </w:rPr>
              <w:t>”</w:t>
            </w:r>
          </w:p>
        </w:tc>
      </w:tr>
      <w:tr w:rsidR="00844176" w:rsidRPr="003F0341" w14:paraId="3C98D228" w14:textId="77777777" w:rsidTr="00871E2F">
        <w:tc>
          <w:tcPr>
            <w:tcW w:w="41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70DCF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175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9AA3F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695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509E1" w14:textId="77777777" w:rsidR="00844176" w:rsidRPr="003F0341" w:rsidRDefault="00844176" w:rsidP="00547AC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 xml:space="preserve">Nav </w:t>
            </w:r>
          </w:p>
        </w:tc>
      </w:tr>
      <w:tr w:rsidR="00844176" w:rsidRPr="003F0341" w14:paraId="5271E387" w14:textId="77777777" w:rsidTr="00871E2F">
        <w:trPr>
          <w:trHeight w:val="128"/>
        </w:trPr>
        <w:tc>
          <w:tcPr>
            <w:tcW w:w="9129" w:type="dxa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  <w:hideMark/>
          </w:tcPr>
          <w:p w14:paraId="4DC32511" w14:textId="77777777" w:rsidR="00844176" w:rsidRPr="003F0341" w:rsidRDefault="00844176" w:rsidP="00871E2F">
            <w:pPr>
              <w:tabs>
                <w:tab w:val="left" w:pos="990"/>
              </w:tabs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ab/>
            </w:r>
          </w:p>
        </w:tc>
      </w:tr>
    </w:tbl>
    <w:p w14:paraId="76329086" w14:textId="77777777" w:rsidR="00844176" w:rsidRPr="003F0341" w:rsidRDefault="00844176" w:rsidP="00844176">
      <w:pPr>
        <w:rPr>
          <w:rFonts w:eastAsia="Times New Roman"/>
          <w:vanish/>
          <w:sz w:val="28"/>
          <w:szCs w:val="28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134"/>
        <w:gridCol w:w="6725"/>
      </w:tblGrid>
      <w:tr w:rsidR="00844176" w:rsidRPr="0094437B" w14:paraId="7175E08A" w14:textId="77777777" w:rsidTr="00871E2F">
        <w:trPr>
          <w:trHeight w:val="555"/>
        </w:trPr>
        <w:tc>
          <w:tcPr>
            <w:tcW w:w="9129" w:type="dxa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DF66C2" w14:textId="77777777" w:rsidR="00844176" w:rsidRPr="003F0341" w:rsidRDefault="00844176" w:rsidP="00871E2F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844176" w:rsidRPr="0094437B" w14:paraId="3867AEAD" w14:textId="77777777" w:rsidTr="00E0333C">
        <w:trPr>
          <w:trHeight w:val="46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3F396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14993C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 xml:space="preserve">Sabiedrības </w:t>
            </w:r>
            <w:proofErr w:type="spellStart"/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mērķgrupas</w:t>
            </w:r>
            <w:proofErr w:type="spellEnd"/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, kuras tiesiskais regulējums ietekmē vai varētu ietekmēt</w:t>
            </w:r>
          </w:p>
        </w:tc>
        <w:tc>
          <w:tcPr>
            <w:tcW w:w="67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47612B" w14:textId="77777777" w:rsidR="00844176" w:rsidRPr="003F0341" w:rsidRDefault="00844176" w:rsidP="00871E2F">
            <w:pPr>
              <w:ind w:left="223" w:right="201"/>
              <w:jc w:val="both"/>
              <w:rPr>
                <w:sz w:val="28"/>
                <w:szCs w:val="28"/>
                <w:lang w:val="lv-LV"/>
              </w:rPr>
            </w:pPr>
            <w:r w:rsidRPr="003F0341">
              <w:rPr>
                <w:sz w:val="28"/>
                <w:szCs w:val="28"/>
                <w:lang w:val="lv-LV"/>
              </w:rPr>
              <w:t xml:space="preserve">Latvijā reģistrēti saimnieciskās darbības veicēji, </w:t>
            </w:r>
            <w:r w:rsidR="00B83EED">
              <w:rPr>
                <w:sz w:val="28"/>
                <w:szCs w:val="28"/>
                <w:lang w:val="lv-LV"/>
              </w:rPr>
              <w:t>akciju sabiedrība</w:t>
            </w:r>
            <w:r w:rsidR="003F0341" w:rsidRPr="003F0341">
              <w:rPr>
                <w:sz w:val="28"/>
                <w:szCs w:val="28"/>
                <w:lang w:val="lv-LV"/>
              </w:rPr>
              <w:t xml:space="preserve"> “Attīstības finanšu institūcija </w:t>
            </w:r>
            <w:proofErr w:type="spellStart"/>
            <w:r w:rsidR="003F0341" w:rsidRPr="003F0341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3F0341" w:rsidRPr="003F0341">
              <w:rPr>
                <w:sz w:val="28"/>
                <w:szCs w:val="28"/>
                <w:lang w:val="lv-LV"/>
              </w:rPr>
              <w:t>”</w:t>
            </w:r>
            <w:r w:rsidRPr="003F0341">
              <w:rPr>
                <w:sz w:val="28"/>
                <w:szCs w:val="28"/>
                <w:lang w:val="lv-LV"/>
              </w:rPr>
              <w:t>.</w:t>
            </w:r>
          </w:p>
        </w:tc>
      </w:tr>
      <w:tr w:rsidR="00844176" w:rsidRPr="0094437B" w14:paraId="7D9FA66B" w14:textId="77777777" w:rsidTr="00E0333C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A4E694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2EC3C2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7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18DD63" w14:textId="77777777" w:rsidR="00844176" w:rsidRPr="003F0341" w:rsidRDefault="00844176" w:rsidP="00871E2F">
            <w:pPr>
              <w:pStyle w:val="BodyText"/>
              <w:ind w:left="223" w:right="201"/>
              <w:rPr>
                <w:rFonts w:eastAsia="Calibri"/>
                <w:szCs w:val="28"/>
                <w:lang w:eastAsia="en-US"/>
              </w:rPr>
            </w:pPr>
            <w:r w:rsidRPr="003F0341">
              <w:rPr>
                <w:rFonts w:eastAsia="Calibri"/>
                <w:szCs w:val="28"/>
                <w:lang w:eastAsia="en-US"/>
              </w:rPr>
              <w:t>Noteikumu projekts neparedz ietekmi uz administratīvo slogu.</w:t>
            </w:r>
          </w:p>
          <w:p w14:paraId="62F21F17" w14:textId="6B515FCF" w:rsidR="00844176" w:rsidRPr="003F0341" w:rsidRDefault="00844176" w:rsidP="00DC64F8">
            <w:pPr>
              <w:pStyle w:val="BodyText"/>
              <w:ind w:left="223" w:right="201"/>
              <w:rPr>
                <w:rFonts w:eastAsia="Calibri"/>
                <w:szCs w:val="28"/>
                <w:lang w:eastAsia="en-US"/>
              </w:rPr>
            </w:pPr>
            <w:r w:rsidRPr="003F0341">
              <w:rPr>
                <w:rFonts w:eastAsia="Calibri"/>
                <w:szCs w:val="28"/>
                <w:lang w:eastAsia="en-US"/>
              </w:rPr>
              <w:t xml:space="preserve">Noteikumu projekts ietekmē tautsaimniecību, jo </w:t>
            </w:r>
            <w:r w:rsidR="003F0341" w:rsidRPr="003F0341">
              <w:rPr>
                <w:rFonts w:eastAsia="Calibri"/>
                <w:szCs w:val="28"/>
                <w:lang w:eastAsia="en-US"/>
              </w:rPr>
              <w:t>paplašina</w:t>
            </w:r>
            <w:r w:rsidR="00DC64F8" w:rsidRPr="003F0341">
              <w:rPr>
                <w:rFonts w:eastAsia="Calibri"/>
                <w:szCs w:val="28"/>
                <w:lang w:eastAsia="en-US"/>
              </w:rPr>
              <w:t xml:space="preserve"> </w:t>
            </w:r>
            <w:r w:rsidR="00ED2979">
              <w:rPr>
                <w:rFonts w:eastAsia="Calibri"/>
                <w:szCs w:val="28"/>
                <w:lang w:eastAsia="en-US"/>
              </w:rPr>
              <w:t>aizdevumu</w:t>
            </w:r>
            <w:r w:rsidR="00DC64F8" w:rsidRPr="003F0341">
              <w:rPr>
                <w:rFonts w:eastAsia="Calibri"/>
                <w:szCs w:val="28"/>
                <w:lang w:eastAsia="en-US"/>
              </w:rPr>
              <w:t xml:space="preserve"> saņēmēju loku. </w:t>
            </w:r>
          </w:p>
        </w:tc>
      </w:tr>
      <w:tr w:rsidR="00844176" w:rsidRPr="003F0341" w14:paraId="183D00C8" w14:textId="77777777" w:rsidTr="00E0333C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C05ABE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2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661F3D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Administratīvo izmaksu monetārs novērtējums</w:t>
            </w:r>
          </w:p>
        </w:tc>
        <w:tc>
          <w:tcPr>
            <w:tcW w:w="67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C93682" w14:textId="77777777" w:rsidR="00844176" w:rsidRPr="003F0341" w:rsidRDefault="00844176" w:rsidP="00871E2F">
            <w:pPr>
              <w:pStyle w:val="BodyText"/>
              <w:ind w:left="223" w:right="201"/>
              <w:rPr>
                <w:rFonts w:eastAsia="Calibri"/>
                <w:szCs w:val="28"/>
                <w:lang w:eastAsia="en-US"/>
              </w:rPr>
            </w:pPr>
            <w:r w:rsidRPr="003F0341">
              <w:rPr>
                <w:rFonts w:eastAsia="Calibri"/>
                <w:szCs w:val="28"/>
                <w:lang w:eastAsia="en-US"/>
              </w:rPr>
              <w:t>Projekts šo jomu neskar.</w:t>
            </w:r>
          </w:p>
        </w:tc>
      </w:tr>
      <w:tr w:rsidR="00844176" w:rsidRPr="003F0341" w14:paraId="2F7C8B1B" w14:textId="77777777" w:rsidTr="00E0333C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53AD2E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213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7A436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672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D39809" w14:textId="77777777" w:rsidR="00844176" w:rsidRPr="003F0341" w:rsidRDefault="00844176" w:rsidP="00871E2F">
            <w:pPr>
              <w:ind w:left="223" w:right="201"/>
              <w:jc w:val="both"/>
              <w:rPr>
                <w:sz w:val="28"/>
                <w:szCs w:val="28"/>
                <w:lang w:val="lv-LV"/>
              </w:rPr>
            </w:pPr>
            <w:r w:rsidRPr="003F0341">
              <w:rPr>
                <w:sz w:val="28"/>
                <w:szCs w:val="28"/>
                <w:lang w:val="lv-LV"/>
              </w:rPr>
              <w:t>Nav</w:t>
            </w:r>
          </w:p>
        </w:tc>
      </w:tr>
    </w:tbl>
    <w:p w14:paraId="57D2014F" w14:textId="77777777" w:rsidR="00E0333C" w:rsidRPr="00E0333C" w:rsidRDefault="00E0333C" w:rsidP="00E0333C">
      <w:pPr>
        <w:rPr>
          <w:rFonts w:eastAsia="Times New Roman"/>
          <w:sz w:val="28"/>
          <w:szCs w:val="28"/>
          <w:lang w:val="lv-LV" w:eastAsia="lv-LV"/>
        </w:rPr>
      </w:pP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0333C" w:rsidRPr="00E0333C" w14:paraId="5C3AC8E5" w14:textId="77777777" w:rsidTr="002E7B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16C1" w14:textId="77777777" w:rsidR="00E0333C" w:rsidRPr="00E0333C" w:rsidRDefault="00E0333C" w:rsidP="00907DD7">
            <w:pPr>
              <w:jc w:val="center"/>
              <w:rPr>
                <w:rFonts w:eastAsia="Times New Roman"/>
                <w:b/>
                <w:sz w:val="28"/>
                <w:szCs w:val="28"/>
                <w:lang w:val="lv-LV" w:eastAsia="lv-LV"/>
              </w:rPr>
            </w:pPr>
            <w:r w:rsidRPr="00E0333C"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E0333C" w:rsidRPr="00E0333C" w14:paraId="07D6D83D" w14:textId="77777777" w:rsidTr="002E7B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F0C7" w14:textId="77777777" w:rsidR="00E0333C" w:rsidRPr="00E0333C" w:rsidRDefault="00E0333C" w:rsidP="00907DD7">
            <w:pPr>
              <w:jc w:val="center"/>
              <w:rPr>
                <w:rFonts w:eastAsia="Times New Roman"/>
                <w:bCs/>
                <w:sz w:val="28"/>
                <w:szCs w:val="28"/>
                <w:lang w:val="lv-LV" w:eastAsia="lv-LV"/>
              </w:rPr>
            </w:pPr>
            <w:r w:rsidRPr="00E0333C">
              <w:rPr>
                <w:rFonts w:eastAsia="Times New Roman"/>
                <w:bCs/>
                <w:sz w:val="28"/>
                <w:szCs w:val="28"/>
                <w:lang w:val="lv-LV" w:eastAsia="lv-LV"/>
              </w:rPr>
              <w:t>Noteikumu projekts šo jomu neskar.</w:t>
            </w:r>
          </w:p>
        </w:tc>
      </w:tr>
    </w:tbl>
    <w:p w14:paraId="57F14BC5" w14:textId="512F1E09" w:rsidR="00844176" w:rsidRPr="003F0341" w:rsidRDefault="00844176" w:rsidP="00844176">
      <w:pPr>
        <w:rPr>
          <w:rFonts w:eastAsia="Times New Roman"/>
          <w:sz w:val="28"/>
          <w:szCs w:val="28"/>
          <w:lang w:val="lv-LV" w:eastAsia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1861"/>
        <w:gridCol w:w="6714"/>
      </w:tblGrid>
      <w:tr w:rsidR="00844176" w:rsidRPr="0094437B" w14:paraId="6C33CD82" w14:textId="77777777" w:rsidTr="002D7D0E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F4B0E9" w14:textId="77777777" w:rsidR="00844176" w:rsidRPr="003F0341" w:rsidRDefault="00844176" w:rsidP="00871E2F">
            <w:pPr>
              <w:ind w:firstLine="300"/>
              <w:jc w:val="center"/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b/>
                <w:bCs/>
                <w:sz w:val="28"/>
                <w:szCs w:val="28"/>
                <w:lang w:val="lv-LV" w:eastAsia="lv-LV"/>
              </w:rPr>
              <w:t>IV. Tiesību akta projekta ietekme uz spēkā esošo tiesību normu sistēmu</w:t>
            </w:r>
          </w:p>
        </w:tc>
      </w:tr>
      <w:tr w:rsidR="00844176" w:rsidRPr="003F0341" w14:paraId="57818953" w14:textId="77777777" w:rsidTr="002D7D0E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FDF87" w14:textId="77777777" w:rsidR="00844176" w:rsidRPr="003F0341" w:rsidRDefault="00844176" w:rsidP="00871E2F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EF5B6" w14:textId="77777777" w:rsidR="00844176" w:rsidRPr="003F0341" w:rsidRDefault="00844176" w:rsidP="00871E2F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Nepieciešamie saistītie tiesību aktu projekti</w:t>
            </w:r>
          </w:p>
        </w:tc>
        <w:tc>
          <w:tcPr>
            <w:tcW w:w="37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545BF" w14:textId="77777777" w:rsidR="00844176" w:rsidRPr="003F0341" w:rsidRDefault="007F6449" w:rsidP="007F6449">
            <w:pPr>
              <w:pStyle w:val="BodyText"/>
              <w:ind w:right="142"/>
              <w:rPr>
                <w:rFonts w:eastAsia="Calibri"/>
                <w:szCs w:val="28"/>
                <w:lang w:eastAsia="en-US"/>
              </w:rPr>
            </w:pPr>
            <w:r w:rsidRPr="003F0341">
              <w:rPr>
                <w:szCs w:val="28"/>
              </w:rPr>
              <w:t>Nav</w:t>
            </w:r>
            <w:r w:rsidR="00844176" w:rsidRPr="003F0341">
              <w:rPr>
                <w:szCs w:val="28"/>
              </w:rPr>
              <w:t>.</w:t>
            </w:r>
          </w:p>
        </w:tc>
      </w:tr>
      <w:tr w:rsidR="00844176" w:rsidRPr="003F0341" w14:paraId="3469659F" w14:textId="77777777" w:rsidTr="002D7D0E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E264C" w14:textId="77777777" w:rsidR="00844176" w:rsidRPr="003F0341" w:rsidRDefault="00844176" w:rsidP="00871E2F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FEFBA" w14:textId="77777777" w:rsidR="00844176" w:rsidRPr="003F0341" w:rsidRDefault="00844176" w:rsidP="00871E2F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Atbildīgā institūcija</w:t>
            </w:r>
          </w:p>
        </w:tc>
        <w:tc>
          <w:tcPr>
            <w:tcW w:w="37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EC7C4D" w14:textId="77777777" w:rsidR="00844176" w:rsidRPr="003F0341" w:rsidRDefault="007F6449" w:rsidP="00871E2F">
            <w:pPr>
              <w:pStyle w:val="BodyText"/>
              <w:ind w:right="142"/>
              <w:rPr>
                <w:rFonts w:eastAsia="Calibri"/>
                <w:szCs w:val="28"/>
                <w:lang w:eastAsia="en-US"/>
              </w:rPr>
            </w:pPr>
            <w:r w:rsidRPr="003F0341">
              <w:rPr>
                <w:rFonts w:eastAsia="Calibri"/>
                <w:szCs w:val="28"/>
                <w:lang w:eastAsia="en-US"/>
              </w:rPr>
              <w:t>Ekonomikas ministrija</w:t>
            </w:r>
          </w:p>
        </w:tc>
      </w:tr>
      <w:tr w:rsidR="00844176" w:rsidRPr="0094437B" w14:paraId="32F2DD54" w14:textId="77777777" w:rsidTr="002D7D0E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C61D3" w14:textId="77777777" w:rsidR="00844176" w:rsidRPr="003F0341" w:rsidRDefault="00844176" w:rsidP="00871E2F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10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1A60F" w14:textId="77777777" w:rsidR="00844176" w:rsidRPr="003F0341" w:rsidRDefault="00844176" w:rsidP="00871E2F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37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7C4F16" w14:textId="2BD587BB" w:rsidR="00844176" w:rsidRPr="003F0341" w:rsidRDefault="00547ACF" w:rsidP="00871E2F">
            <w:pPr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MK noteikumu Nr.328 grozījumi ietekmē noslēgto </w:t>
            </w:r>
            <w:r w:rsidR="00CE0AC5" w:rsidRPr="003F0341">
              <w:rPr>
                <w:sz w:val="28"/>
                <w:szCs w:val="28"/>
                <w:lang w:val="lv-LV"/>
              </w:rPr>
              <w:t>L</w:t>
            </w:r>
            <w:r>
              <w:rPr>
                <w:sz w:val="28"/>
                <w:szCs w:val="28"/>
                <w:lang w:val="lv-LV"/>
              </w:rPr>
              <w:t>īgumu</w:t>
            </w:r>
            <w:r w:rsidR="00CE0AC5" w:rsidRPr="003F0341">
              <w:rPr>
                <w:sz w:val="28"/>
                <w:szCs w:val="28"/>
                <w:lang w:val="lv-LV"/>
              </w:rPr>
              <w:t xml:space="preserve"> starp </w:t>
            </w:r>
            <w:r w:rsidR="003F0341">
              <w:rPr>
                <w:sz w:val="28"/>
                <w:szCs w:val="28"/>
                <w:lang w:val="lv-LV"/>
              </w:rPr>
              <w:t>Centrālo finanšu un līgumu aģentūru</w:t>
            </w:r>
            <w:r w:rsidR="00CE0AC5" w:rsidRPr="003F0341">
              <w:rPr>
                <w:sz w:val="28"/>
                <w:szCs w:val="28"/>
                <w:lang w:val="lv-LV"/>
              </w:rPr>
              <w:t xml:space="preserve"> un </w:t>
            </w:r>
            <w:r>
              <w:rPr>
                <w:sz w:val="28"/>
                <w:szCs w:val="28"/>
                <w:lang w:val="lv-LV"/>
              </w:rPr>
              <w:t>akciju sabiedrību</w:t>
            </w:r>
            <w:r w:rsidR="00B26202" w:rsidRPr="003F0341">
              <w:rPr>
                <w:sz w:val="28"/>
                <w:szCs w:val="28"/>
                <w:lang w:val="lv-LV"/>
              </w:rPr>
              <w:t xml:space="preserve"> “Attīstības finanšu institūcija </w:t>
            </w:r>
            <w:proofErr w:type="spellStart"/>
            <w:r w:rsidR="00B26202" w:rsidRPr="003F0341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B26202" w:rsidRPr="003F0341">
              <w:rPr>
                <w:sz w:val="28"/>
                <w:szCs w:val="28"/>
                <w:lang w:val="lv-LV"/>
              </w:rPr>
              <w:t>”</w:t>
            </w:r>
            <w:r w:rsidR="00B26202">
              <w:rPr>
                <w:sz w:val="28"/>
                <w:szCs w:val="28"/>
                <w:lang w:val="lv-LV"/>
              </w:rPr>
              <w:t xml:space="preserve"> </w:t>
            </w:r>
            <w:r w:rsidR="00CE0AC5" w:rsidRPr="003F0341">
              <w:rPr>
                <w:sz w:val="28"/>
                <w:szCs w:val="28"/>
                <w:lang w:val="lv-LV"/>
              </w:rPr>
              <w:t>par fondu fonda ieviešanu.</w:t>
            </w:r>
          </w:p>
        </w:tc>
      </w:tr>
    </w:tbl>
    <w:p w14:paraId="2A21AD4B" w14:textId="77777777" w:rsidR="00844176" w:rsidRPr="003F0341" w:rsidRDefault="00844176" w:rsidP="00844176">
      <w:pPr>
        <w:rPr>
          <w:rFonts w:eastAsia="Times New Roman"/>
          <w:sz w:val="28"/>
          <w:szCs w:val="28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699"/>
        <w:gridCol w:w="6088"/>
      </w:tblGrid>
      <w:tr w:rsidR="00844176" w:rsidRPr="00110128" w14:paraId="07C3ABEE" w14:textId="77777777" w:rsidTr="00871E2F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1DE8D" w14:textId="77777777" w:rsidR="00844176" w:rsidRPr="003F0341" w:rsidRDefault="00844176" w:rsidP="00871E2F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844176" w:rsidRPr="00B621AF" w14:paraId="17F7F902" w14:textId="77777777" w:rsidTr="00871E2F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781BB" w14:textId="77777777" w:rsidR="00844176" w:rsidRPr="003F0341" w:rsidRDefault="00844176" w:rsidP="00871E2F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28CC95" w14:textId="77777777" w:rsidR="00844176" w:rsidRPr="003F0341" w:rsidRDefault="00844176" w:rsidP="00871E2F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Saistības pret Eiropas Savienību</w:t>
            </w:r>
          </w:p>
        </w:tc>
        <w:tc>
          <w:tcPr>
            <w:tcW w:w="3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D4E77" w14:textId="687EDFB3" w:rsidR="00844176" w:rsidRPr="003F0341" w:rsidRDefault="00CE0AC5" w:rsidP="00547ACF">
            <w:pPr>
              <w:jc w:val="both"/>
              <w:rPr>
                <w:bCs/>
                <w:sz w:val="28"/>
                <w:szCs w:val="28"/>
                <w:lang w:val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 xml:space="preserve">Ar noteikumu projektu tiks ieviestas </w:t>
            </w:r>
            <w:r w:rsidR="00760B97" w:rsidRPr="00760B97">
              <w:rPr>
                <w:rFonts w:eastAsia="Times New Roman"/>
                <w:sz w:val="28"/>
                <w:szCs w:val="28"/>
                <w:lang w:val="lv-LV" w:eastAsia="lv-LV"/>
              </w:rPr>
              <w:t>Eiropas Komisijas 2014. gada 17. jūnija Regula</w:t>
            </w:r>
            <w:r w:rsidR="00760B97">
              <w:rPr>
                <w:rFonts w:eastAsia="Times New Roman"/>
                <w:sz w:val="28"/>
                <w:szCs w:val="28"/>
                <w:lang w:val="lv-LV" w:eastAsia="lv-LV"/>
              </w:rPr>
              <w:t>s</w:t>
            </w:r>
            <w:r w:rsidR="00760B97" w:rsidRPr="00760B97">
              <w:rPr>
                <w:rFonts w:eastAsia="Times New Roman"/>
                <w:sz w:val="28"/>
                <w:szCs w:val="28"/>
                <w:lang w:val="lv-LV" w:eastAsia="lv-LV"/>
              </w:rPr>
              <w:t xml:space="preserve"> (ES) Nr. </w:t>
            </w:r>
            <w:hyperlink r:id="rId10" w:tgtFrame="_blank" w:history="1">
              <w:r w:rsidR="00760B97" w:rsidRPr="00760B97">
                <w:rPr>
                  <w:rStyle w:val="Hyperlink"/>
                  <w:rFonts w:eastAsia="Times New Roman"/>
                  <w:sz w:val="28"/>
                  <w:szCs w:val="28"/>
                  <w:lang w:val="lv-LV" w:eastAsia="lv-LV"/>
                </w:rPr>
                <w:t>651/2014</w:t>
              </w:r>
            </w:hyperlink>
            <w:r w:rsidR="00760B97" w:rsidRPr="00760B97">
              <w:rPr>
                <w:rFonts w:eastAsia="Times New Roman"/>
                <w:sz w:val="28"/>
                <w:szCs w:val="28"/>
                <w:lang w:val="lv-LV" w:eastAsia="lv-LV"/>
              </w:rPr>
              <w:t>, ar ko noteiktas atbalsta kategorijas atzīst par saderīgām ar iekšējo tirgu, piemērojot Līguma 107. un 108. pantu (turpmāk</w:t>
            </w:r>
            <w:r w:rsidR="00B85A89">
              <w:rPr>
                <w:rFonts w:eastAsia="Times New Roman"/>
                <w:sz w:val="28"/>
                <w:szCs w:val="28"/>
                <w:lang w:val="lv-LV" w:eastAsia="lv-LV"/>
              </w:rPr>
              <w:t xml:space="preserve"> </w:t>
            </w:r>
            <w:r w:rsidR="00760B97" w:rsidRPr="00760B97">
              <w:rPr>
                <w:rFonts w:eastAsia="Times New Roman"/>
                <w:sz w:val="28"/>
                <w:szCs w:val="28"/>
                <w:lang w:val="lv-LV" w:eastAsia="lv-LV"/>
              </w:rPr>
              <w:t>- Regula Nr.651/2014)</w:t>
            </w:r>
            <w:r w:rsidR="00760B97">
              <w:rPr>
                <w:rFonts w:eastAsia="Times New Roman"/>
                <w:sz w:val="28"/>
                <w:szCs w:val="28"/>
                <w:lang w:val="lv-LV" w:eastAsia="lv-LV"/>
              </w:rPr>
              <w:t xml:space="preserve"> </w:t>
            </w: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prasības</w:t>
            </w:r>
            <w:r w:rsidR="00547ACF">
              <w:rPr>
                <w:rFonts w:eastAsia="Times New Roman"/>
                <w:sz w:val="28"/>
                <w:szCs w:val="28"/>
                <w:lang w:val="lv-LV" w:eastAsia="lv-LV"/>
              </w:rPr>
              <w:t>.</w:t>
            </w:r>
          </w:p>
        </w:tc>
      </w:tr>
      <w:tr w:rsidR="00844176" w:rsidRPr="003F0341" w14:paraId="2BF33DFD" w14:textId="77777777" w:rsidTr="00871E2F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88A09" w14:textId="77777777" w:rsidR="00844176" w:rsidRPr="003F0341" w:rsidRDefault="00844176" w:rsidP="00871E2F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74399D" w14:textId="77777777" w:rsidR="00844176" w:rsidRPr="003F0341" w:rsidRDefault="00844176" w:rsidP="00871E2F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Citas starptautiskās saistības</w:t>
            </w:r>
          </w:p>
        </w:tc>
        <w:tc>
          <w:tcPr>
            <w:tcW w:w="3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2F44F" w14:textId="39C4CA68" w:rsidR="00844176" w:rsidRPr="003F0341" w:rsidRDefault="00ED2979" w:rsidP="00871E2F">
            <w:pPr>
              <w:ind w:left="177" w:right="92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MK noteikumu p</w:t>
            </w:r>
            <w:r w:rsidR="00844176" w:rsidRPr="003F0341">
              <w:rPr>
                <w:rFonts w:eastAsia="Times New Roman"/>
                <w:sz w:val="28"/>
                <w:szCs w:val="28"/>
                <w:lang w:val="lv-LV" w:eastAsia="lv-LV"/>
              </w:rPr>
              <w:t>rojekts šo jomu neskar.</w:t>
            </w:r>
          </w:p>
        </w:tc>
      </w:tr>
      <w:tr w:rsidR="00844176" w:rsidRPr="003F0341" w14:paraId="64229F4B" w14:textId="77777777" w:rsidTr="00871E2F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DCABC" w14:textId="77777777" w:rsidR="00844176" w:rsidRPr="003F0341" w:rsidRDefault="00844176" w:rsidP="00871E2F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14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74E23" w14:textId="77777777" w:rsidR="00844176" w:rsidRPr="003F0341" w:rsidRDefault="00844176" w:rsidP="00871E2F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33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D6544" w14:textId="77777777" w:rsidR="00844176" w:rsidRPr="003F0341" w:rsidRDefault="00844176" w:rsidP="00871E2F">
            <w:pPr>
              <w:ind w:left="177" w:right="92"/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Nav</w:t>
            </w:r>
          </w:p>
        </w:tc>
      </w:tr>
    </w:tbl>
    <w:p w14:paraId="1F45E5ED" w14:textId="77777777" w:rsidR="00844176" w:rsidRPr="003F0341" w:rsidRDefault="00844176" w:rsidP="00844176">
      <w:pPr>
        <w:rPr>
          <w:rFonts w:eastAsia="Times New Roman"/>
          <w:color w:val="000000"/>
          <w:sz w:val="28"/>
          <w:szCs w:val="28"/>
          <w:lang w:val="lv-LV" w:eastAsia="lv-LV"/>
        </w:rPr>
      </w:pPr>
      <w:r w:rsidRPr="003F0341">
        <w:rPr>
          <w:rFonts w:eastAsia="Times New Roman"/>
          <w:color w:val="000000"/>
          <w:sz w:val="28"/>
          <w:szCs w:val="28"/>
          <w:lang w:val="lv-LV" w:eastAsia="lv-LV"/>
        </w:rPr>
        <w:t> 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123"/>
        <w:gridCol w:w="2254"/>
        <w:gridCol w:w="2534"/>
      </w:tblGrid>
      <w:tr w:rsidR="00DC64F8" w:rsidRPr="0094437B" w14:paraId="298E60E0" w14:textId="77777777" w:rsidTr="00871E2F"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7B3B" w14:textId="77777777" w:rsidR="00DC64F8" w:rsidRPr="003F0341" w:rsidRDefault="00DC64F8" w:rsidP="00871E2F">
            <w:pPr>
              <w:pStyle w:val="naisno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F0341">
              <w:rPr>
                <w:b/>
                <w:color w:val="000000"/>
                <w:sz w:val="28"/>
                <w:szCs w:val="28"/>
                <w:lang w:eastAsia="en-US"/>
              </w:rPr>
              <w:t>1.tabula. Tiesību akta projekta atbilstība ES tiesību aktiem</w:t>
            </w:r>
          </w:p>
        </w:tc>
      </w:tr>
      <w:tr w:rsidR="00DC64F8" w:rsidRPr="0094437B" w14:paraId="4713CCCC" w14:textId="77777777" w:rsidTr="00871E2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2E11" w14:textId="77777777" w:rsidR="00DC64F8" w:rsidRPr="003F0341" w:rsidRDefault="00DC64F8" w:rsidP="00871E2F">
            <w:pPr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Attiecīgā ES tiesību akta datums, numurs un nosaukums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20F6" w14:textId="77777777" w:rsidR="00CE0AC5" w:rsidRPr="003F0341" w:rsidRDefault="00CE0AC5" w:rsidP="00CE0AC5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3F0341">
              <w:rPr>
                <w:sz w:val="28"/>
                <w:szCs w:val="28"/>
              </w:rPr>
              <w:t xml:space="preserve">Ar normatīvo aktu tiek ieviestas šāda Eiropas Savienības tiesību akta prasības: </w:t>
            </w:r>
          </w:p>
          <w:p w14:paraId="2117B2FD" w14:textId="77777777" w:rsidR="00DC64F8" w:rsidRDefault="00547ACF" w:rsidP="00CE0AC5">
            <w:pPr>
              <w:pStyle w:val="naiskr"/>
              <w:numPr>
                <w:ilvl w:val="0"/>
                <w:numId w:val="17"/>
              </w:numPr>
              <w:spacing w:before="0"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621AF">
              <w:rPr>
                <w:color w:val="000000"/>
                <w:sz w:val="28"/>
                <w:szCs w:val="28"/>
                <w:lang w:val="de-DE" w:eastAsia="en-US"/>
              </w:rPr>
              <w:t>Eiropas</w:t>
            </w:r>
            <w:proofErr w:type="spellEnd"/>
            <w:r w:rsidRPr="00B621AF">
              <w:rPr>
                <w:color w:val="000000"/>
                <w:sz w:val="28"/>
                <w:szCs w:val="28"/>
                <w:lang w:val="de-DE" w:eastAsia="en-US"/>
              </w:rPr>
              <w:t xml:space="preserve"> </w:t>
            </w:r>
            <w:proofErr w:type="spellStart"/>
            <w:r w:rsidRPr="00B621AF">
              <w:rPr>
                <w:color w:val="000000"/>
                <w:sz w:val="28"/>
                <w:szCs w:val="28"/>
                <w:lang w:val="de-DE" w:eastAsia="en-US"/>
              </w:rPr>
              <w:t>Komisijas</w:t>
            </w:r>
            <w:proofErr w:type="spellEnd"/>
            <w:r w:rsidRPr="00B621AF">
              <w:rPr>
                <w:color w:val="000000"/>
                <w:sz w:val="28"/>
                <w:szCs w:val="28"/>
                <w:lang w:val="de-DE" w:eastAsia="en-US"/>
              </w:rPr>
              <w:t xml:space="preserve"> 2014. </w:t>
            </w:r>
            <w:proofErr w:type="spellStart"/>
            <w:r w:rsidRPr="00B621AF">
              <w:rPr>
                <w:color w:val="000000"/>
                <w:sz w:val="28"/>
                <w:szCs w:val="28"/>
                <w:lang w:val="de-DE" w:eastAsia="en-US"/>
              </w:rPr>
              <w:t>gada</w:t>
            </w:r>
            <w:proofErr w:type="spellEnd"/>
            <w:r w:rsidRPr="00B621AF">
              <w:rPr>
                <w:color w:val="000000"/>
                <w:sz w:val="28"/>
                <w:szCs w:val="28"/>
                <w:lang w:val="de-DE" w:eastAsia="en-US"/>
              </w:rPr>
              <w:t xml:space="preserve"> 17. </w:t>
            </w:r>
            <w:proofErr w:type="spellStart"/>
            <w:r w:rsidRPr="00B621AF">
              <w:rPr>
                <w:color w:val="000000"/>
                <w:sz w:val="28"/>
                <w:szCs w:val="28"/>
                <w:lang w:val="de-DE" w:eastAsia="en-US"/>
              </w:rPr>
              <w:t>jūnija</w:t>
            </w:r>
            <w:proofErr w:type="spellEnd"/>
            <w:r w:rsidRPr="00B621AF">
              <w:rPr>
                <w:color w:val="000000"/>
                <w:sz w:val="28"/>
                <w:szCs w:val="28"/>
                <w:lang w:val="de-DE" w:eastAsia="en-US"/>
              </w:rPr>
              <w:t xml:space="preserve"> Regulas (ES) Nr. </w:t>
            </w:r>
            <w:hyperlink r:id="rId11" w:tgtFrame="_blank" w:history="1">
              <w:r w:rsidRPr="002D744A">
                <w:rPr>
                  <w:rStyle w:val="Hyperlink"/>
                  <w:sz w:val="28"/>
                  <w:szCs w:val="28"/>
                  <w:lang w:eastAsia="en-US"/>
                </w:rPr>
                <w:t>651/2014</w:t>
              </w:r>
            </w:hyperlink>
            <w:r w:rsidRPr="002D744A">
              <w:rPr>
                <w:color w:val="000000"/>
                <w:sz w:val="28"/>
                <w:szCs w:val="28"/>
                <w:lang w:eastAsia="en-US"/>
              </w:rPr>
              <w:t>, ar ko noteiktas atbalsta kategorijas atzīst par saderīgām ar iekšējo tirgu, piemērojot Līguma 107. un 108. pantu.</w:t>
            </w:r>
          </w:p>
          <w:p w14:paraId="1D404E98" w14:textId="00CC7161" w:rsidR="00951ED7" w:rsidRPr="003F0341" w:rsidRDefault="00951ED7" w:rsidP="00CE0AC5">
            <w:pPr>
              <w:pStyle w:val="naiskr"/>
              <w:numPr>
                <w:ilvl w:val="0"/>
                <w:numId w:val="17"/>
              </w:numPr>
              <w:spacing w:before="0" w:after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Eiropas Komisijas 2013.gada 18.decembra Komisijas regula (ES) Nr.1407/2013 par Līguma par Eiropas Savienības darbību 107. un 108.panta piemērošanu </w:t>
            </w:r>
            <w:proofErr w:type="spellStart"/>
            <w:r w:rsidRPr="00951ED7">
              <w:rPr>
                <w:i/>
                <w:color w:val="000000"/>
                <w:sz w:val="28"/>
                <w:szCs w:val="28"/>
                <w:lang w:eastAsia="en-US"/>
              </w:rPr>
              <w:t>de</w:t>
            </w:r>
            <w:proofErr w:type="spellEnd"/>
            <w:r w:rsidRPr="00951ED7">
              <w:rPr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51ED7">
              <w:rPr>
                <w:i/>
                <w:color w:val="000000"/>
                <w:sz w:val="28"/>
                <w:szCs w:val="28"/>
                <w:lang w:eastAsia="en-US"/>
              </w:rPr>
              <w:t>minimis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atbalstam</w:t>
            </w:r>
          </w:p>
        </w:tc>
      </w:tr>
      <w:tr w:rsidR="00DC64F8" w:rsidRPr="003F0341" w14:paraId="0E2D4AAA" w14:textId="77777777" w:rsidTr="00871E2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950F" w14:textId="77777777" w:rsidR="00DC64F8" w:rsidRPr="003F0341" w:rsidRDefault="00DC64F8" w:rsidP="00871E2F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5052" w14:textId="77777777" w:rsidR="00DC64F8" w:rsidRPr="003F0341" w:rsidRDefault="00DC64F8" w:rsidP="00871E2F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B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1488" w14:textId="77777777" w:rsidR="00DC64F8" w:rsidRPr="003F0341" w:rsidRDefault="00DC64F8" w:rsidP="00871E2F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C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8ED4" w14:textId="77777777" w:rsidR="00DC64F8" w:rsidRPr="003F0341" w:rsidRDefault="00DC64F8" w:rsidP="00871E2F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D</w:t>
            </w:r>
          </w:p>
        </w:tc>
      </w:tr>
      <w:tr w:rsidR="00DC64F8" w:rsidRPr="0094437B" w14:paraId="5599C834" w14:textId="77777777" w:rsidTr="00871E2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0198" w14:textId="77777777" w:rsidR="00DC64F8" w:rsidRPr="003F0341" w:rsidRDefault="00DC64F8" w:rsidP="00871E2F">
            <w:pPr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 xml:space="preserve">Attiecīgā ES tiesību akta panta numurs (uzskaitot katru tiesību akta </w:t>
            </w:r>
            <w:r w:rsidRPr="003F0341">
              <w:rPr>
                <w:color w:val="000000"/>
                <w:sz w:val="28"/>
                <w:szCs w:val="28"/>
                <w:lang w:val="lv-LV"/>
              </w:rPr>
              <w:br/>
              <w:t>vienību – pantu, daļu, punktu, apakšpunktu)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1A01" w14:textId="77777777" w:rsidR="00DC64F8" w:rsidRPr="003F0341" w:rsidRDefault="00DC64F8" w:rsidP="00871E2F">
            <w:pPr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86E3" w14:textId="77777777" w:rsidR="00DC64F8" w:rsidRPr="003F0341" w:rsidRDefault="00DC64F8" w:rsidP="00871E2F">
            <w:pPr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Informācija par to, vai šīs tabulas A ailē minētās ES tiesību akta vienības tiek pārņemtas vai ieviestas pilnībā vai daļēji.</w:t>
            </w:r>
          </w:p>
          <w:p w14:paraId="7D3562DD" w14:textId="77777777" w:rsidR="00DC64F8" w:rsidRPr="003F0341" w:rsidRDefault="00DC64F8" w:rsidP="00871E2F">
            <w:pPr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 xml:space="preserve">Ja attiecīgā ES tiesību akta vienība tiek pārņemta vai ieviesta daļēji, – sniedz attiecīgu skaidrojumu, kā arī precīzi norāda, kad un kādā veidā ES tiesību akta vienība tiks </w:t>
            </w:r>
            <w:r w:rsidRPr="003F0341">
              <w:rPr>
                <w:color w:val="000000"/>
                <w:sz w:val="28"/>
                <w:szCs w:val="28"/>
                <w:lang w:val="lv-LV"/>
              </w:rPr>
              <w:lastRenderedPageBreak/>
              <w:t>pārņemta vai ieviesta pilnībā.</w:t>
            </w:r>
          </w:p>
          <w:p w14:paraId="041EC588" w14:textId="77777777" w:rsidR="00DC64F8" w:rsidRPr="003F0341" w:rsidRDefault="00DC64F8" w:rsidP="00871E2F">
            <w:pPr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Norāda institūciju, kas ir atbildīga par šo saistību izpildi pilnībā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A595" w14:textId="77777777" w:rsidR="00DC64F8" w:rsidRPr="003F0341" w:rsidRDefault="00DC64F8" w:rsidP="00871E2F">
            <w:pPr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14:paraId="4DB9214A" w14:textId="77777777" w:rsidR="00DC64F8" w:rsidRPr="003F0341" w:rsidRDefault="00DC64F8" w:rsidP="00871E2F">
            <w:pPr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Ja projekts satur stingrākas prasības nekā attiecīgais ES tiesību akts, – norāda pamatojumu un samērīgumu.</w:t>
            </w:r>
          </w:p>
          <w:p w14:paraId="523EFDC1" w14:textId="77777777" w:rsidR="00DC64F8" w:rsidRPr="003F0341" w:rsidRDefault="00DC64F8" w:rsidP="00871E2F">
            <w:pPr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 xml:space="preserve">Norāda iespējamās alternatīvas (t.sk. alternatīvas, kas neparedz tiesiskā </w:t>
            </w:r>
            <w:r w:rsidRPr="003F0341">
              <w:rPr>
                <w:color w:val="000000"/>
                <w:sz w:val="28"/>
                <w:szCs w:val="28"/>
                <w:lang w:val="lv-LV"/>
              </w:rPr>
              <w:lastRenderedPageBreak/>
              <w:t>regulējuma izstrādi) – kādos gadījumos būtu iespējams izvairīties no stingrāku prasību noteikšanas, nekā paredzēts attiecīgajos ES tiesību aktos</w:t>
            </w:r>
          </w:p>
        </w:tc>
      </w:tr>
      <w:tr w:rsidR="00CE0AC5" w:rsidRPr="003F0341" w14:paraId="2597103D" w14:textId="77777777" w:rsidTr="00871E2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4CBC" w14:textId="77777777" w:rsidR="00CE0AC5" w:rsidRPr="003F0341" w:rsidRDefault="002932D2" w:rsidP="00CE0AC5">
            <w:pPr>
              <w:rPr>
                <w:color w:val="000000"/>
                <w:sz w:val="28"/>
                <w:szCs w:val="28"/>
                <w:lang w:val="lv-LV"/>
              </w:rPr>
            </w:pPr>
            <w:r w:rsidRPr="002932D2">
              <w:rPr>
                <w:rFonts w:eastAsia="Times New Roman"/>
                <w:sz w:val="28"/>
                <w:szCs w:val="28"/>
                <w:lang w:val="lv-LV" w:eastAsia="lv-LV"/>
              </w:rPr>
              <w:lastRenderedPageBreak/>
              <w:t>Regulas Nr.651/2014 1.pielikuma 1.pants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739A" w14:textId="77777777" w:rsidR="00CE0AC5" w:rsidRPr="003F0341" w:rsidRDefault="00547ACF" w:rsidP="00CE0AC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Noteikumu projekta 2</w:t>
            </w:r>
            <w:r w:rsidR="00CE0AC5" w:rsidRPr="003F0341">
              <w:rPr>
                <w:color w:val="000000"/>
                <w:sz w:val="28"/>
                <w:szCs w:val="28"/>
                <w:lang w:val="lv-LV"/>
              </w:rPr>
              <w:t>.punkts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DAB4" w14:textId="77777777" w:rsidR="00CE0AC5" w:rsidRPr="003F0341" w:rsidRDefault="00CE0AC5" w:rsidP="00CE0AC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Ieviesta pilnībā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354" w14:textId="77777777" w:rsidR="00CE0AC5" w:rsidRPr="003F0341" w:rsidRDefault="00CE0AC5" w:rsidP="00CE0AC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Neparedz stingrākas prasības</w:t>
            </w:r>
          </w:p>
        </w:tc>
      </w:tr>
      <w:tr w:rsidR="00951ED7" w:rsidRPr="003F0341" w14:paraId="1A3A4780" w14:textId="77777777" w:rsidTr="00871E2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5424" w14:textId="300DC420" w:rsidR="00951ED7" w:rsidRPr="002932D2" w:rsidRDefault="00951ED7" w:rsidP="00CE0AC5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  <w:r>
              <w:rPr>
                <w:rFonts w:eastAsia="Times New Roman"/>
                <w:sz w:val="28"/>
                <w:szCs w:val="28"/>
                <w:lang w:val="lv-LV" w:eastAsia="lv-LV"/>
              </w:rPr>
              <w:t>Regulas Nr.1407/2013 3.panta 8. un 9.punkts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D0B4" w14:textId="6832C9FE" w:rsidR="00951ED7" w:rsidRDefault="00951ED7" w:rsidP="00CE0AC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Noteikumu projekta 17.punkts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6B40" w14:textId="6734F177" w:rsidR="00951ED7" w:rsidRPr="003F0341" w:rsidRDefault="00951ED7" w:rsidP="00CE0AC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Ieviesta pilnībā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244" w14:textId="292E7DDD" w:rsidR="00951ED7" w:rsidRPr="003F0341" w:rsidRDefault="00951ED7" w:rsidP="00CE0AC5">
            <w:pPr>
              <w:jc w:val="center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Neparedz stingrākas prasības</w:t>
            </w:r>
          </w:p>
        </w:tc>
      </w:tr>
      <w:tr w:rsidR="00DC64F8" w:rsidRPr="003F0341" w14:paraId="464410F0" w14:textId="77777777" w:rsidTr="00871E2F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BC05" w14:textId="77777777" w:rsidR="00DC64F8" w:rsidRPr="003F0341" w:rsidRDefault="00DC64F8" w:rsidP="00DC64F8">
            <w:pPr>
              <w:rPr>
                <w:sz w:val="28"/>
                <w:szCs w:val="28"/>
                <w:lang w:val="lv-LV"/>
              </w:rPr>
            </w:pPr>
            <w:r w:rsidRPr="003F0341">
              <w:rPr>
                <w:sz w:val="28"/>
                <w:szCs w:val="28"/>
                <w:lang w:val="lv-LV"/>
              </w:rPr>
              <w:t>Kā ir izmantota ES tiesību aktā paredzētā rīcības brīvība dalībvalstij pārņemt vai ieviest noteiktas ES tiesību akta normas?</w:t>
            </w:r>
          </w:p>
          <w:p w14:paraId="2D77C6B6" w14:textId="77777777" w:rsidR="00DC64F8" w:rsidRPr="003F0341" w:rsidRDefault="00DC64F8" w:rsidP="00DC64F8">
            <w:pPr>
              <w:rPr>
                <w:i/>
                <w:sz w:val="28"/>
                <w:szCs w:val="28"/>
                <w:lang w:val="lv-LV"/>
              </w:rPr>
            </w:pPr>
            <w:r w:rsidRPr="003F0341">
              <w:rPr>
                <w:sz w:val="28"/>
                <w:szCs w:val="28"/>
                <w:lang w:val="lv-LV"/>
              </w:rPr>
              <w:t>Kādēļ?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051D" w14:textId="77777777" w:rsidR="00DC64F8" w:rsidRPr="003F0341" w:rsidRDefault="00CE0AC5" w:rsidP="00DC64F8">
            <w:pPr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/>
              </w:rPr>
              <w:t>Projekts šo jomu neskar.</w:t>
            </w:r>
          </w:p>
        </w:tc>
      </w:tr>
      <w:tr w:rsidR="00DC64F8" w:rsidRPr="003F0341" w14:paraId="7539012C" w14:textId="77777777" w:rsidTr="00871E2F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9424" w14:textId="77777777" w:rsidR="00DC64F8" w:rsidRPr="003F0341" w:rsidRDefault="00DC64F8" w:rsidP="00DC64F8">
            <w:pPr>
              <w:rPr>
                <w:i/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F176" w14:textId="77777777" w:rsidR="00DC64F8" w:rsidRPr="003F0341" w:rsidRDefault="00DC64F8" w:rsidP="00DC64F8">
            <w:pPr>
              <w:jc w:val="both"/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/>
              </w:rPr>
              <w:t>Projekts šo jomu neskar.</w:t>
            </w:r>
          </w:p>
        </w:tc>
      </w:tr>
      <w:tr w:rsidR="00DC64F8" w:rsidRPr="003F0341" w14:paraId="11C13895" w14:textId="77777777" w:rsidTr="00871E2F">
        <w:tc>
          <w:tcPr>
            <w:tcW w:w="4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F5DD" w14:textId="77777777" w:rsidR="00DC64F8" w:rsidRPr="003F0341" w:rsidRDefault="00DC64F8" w:rsidP="00DC64F8">
            <w:pPr>
              <w:pStyle w:val="naiskr"/>
              <w:spacing w:before="0" w:after="0"/>
              <w:rPr>
                <w:i/>
                <w:color w:val="000000"/>
                <w:sz w:val="28"/>
                <w:szCs w:val="28"/>
                <w:lang w:eastAsia="en-US"/>
              </w:rPr>
            </w:pPr>
            <w:r w:rsidRPr="003F0341">
              <w:rPr>
                <w:color w:val="000000"/>
                <w:sz w:val="28"/>
                <w:szCs w:val="28"/>
                <w:lang w:eastAsia="en-US"/>
              </w:rPr>
              <w:t>Cita informācija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E2F2" w14:textId="77777777" w:rsidR="00DC64F8" w:rsidRPr="003F0341" w:rsidRDefault="00DC64F8" w:rsidP="00DC64F8">
            <w:pPr>
              <w:rPr>
                <w:color w:val="000000"/>
                <w:sz w:val="28"/>
                <w:szCs w:val="28"/>
                <w:lang w:val="lv-LV"/>
              </w:rPr>
            </w:pPr>
            <w:r w:rsidRPr="003F0341">
              <w:rPr>
                <w:color w:val="000000"/>
                <w:sz w:val="28"/>
                <w:szCs w:val="28"/>
                <w:lang w:val="lv-LV"/>
              </w:rPr>
              <w:t>Nav.</w:t>
            </w:r>
          </w:p>
        </w:tc>
      </w:tr>
    </w:tbl>
    <w:p w14:paraId="616500B1" w14:textId="77777777" w:rsidR="00E0333C" w:rsidRPr="00C64334" w:rsidRDefault="00E0333C" w:rsidP="00E0333C">
      <w:pPr>
        <w:jc w:val="center"/>
        <w:rPr>
          <w:rFonts w:eastAsia="PMingLiU"/>
          <w:sz w:val="24"/>
          <w:szCs w:val="24"/>
          <w:lang w:val="lv-LV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2564"/>
        <w:gridCol w:w="3260"/>
      </w:tblGrid>
      <w:tr w:rsidR="00E0333C" w:rsidRPr="00822B60" w14:paraId="74ED0A6E" w14:textId="77777777" w:rsidTr="002E7B7E">
        <w:tc>
          <w:tcPr>
            <w:tcW w:w="9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7AA9" w14:textId="77777777" w:rsidR="00E0333C" w:rsidRPr="00822B60" w:rsidRDefault="00E0333C" w:rsidP="002E7B7E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Times New Roman"/>
                <w:b/>
                <w:color w:val="000000"/>
                <w:sz w:val="28"/>
                <w:szCs w:val="28"/>
                <w:lang w:val="lv-LV"/>
              </w:rPr>
              <w:t>2.tabula. Ar tiesību akta projektu uzņemtās saistības, kas izriet no starptautiskajiem tiesību aktiem vai starptautiskas institūcijas vai organizācijas dokumentiem</w:t>
            </w:r>
          </w:p>
          <w:p w14:paraId="5DE6A8F8" w14:textId="77777777" w:rsidR="00E0333C" w:rsidRPr="00822B60" w:rsidRDefault="00E0333C" w:rsidP="002E7B7E">
            <w:pPr>
              <w:jc w:val="center"/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b/>
                <w:color w:val="000000"/>
                <w:sz w:val="28"/>
                <w:szCs w:val="28"/>
                <w:lang w:val="lv-LV" w:eastAsia="ja-JP"/>
              </w:rPr>
              <w:t>Pasākumi šo saistību izpildei</w:t>
            </w:r>
          </w:p>
        </w:tc>
      </w:tr>
      <w:tr w:rsidR="00E0333C" w:rsidRPr="00822B60" w14:paraId="182DAAF5" w14:textId="77777777" w:rsidTr="002E7B7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2415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18DE" w14:textId="77777777" w:rsidR="00E0333C" w:rsidRPr="00822B60" w:rsidRDefault="00E0333C" w:rsidP="002E7B7E">
            <w:pPr>
              <w:tabs>
                <w:tab w:val="left" w:pos="325"/>
              </w:tabs>
              <w:rPr>
                <w:rFonts w:eastAsia="PMingLiU"/>
                <w:i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iCs/>
                <w:color w:val="000000"/>
                <w:sz w:val="28"/>
                <w:szCs w:val="28"/>
                <w:lang w:val="lv-LV" w:eastAsia="ja-JP"/>
              </w:rPr>
              <w:t>Noteikumu projekts šo jomu neskar.</w:t>
            </w:r>
          </w:p>
        </w:tc>
      </w:tr>
      <w:tr w:rsidR="00E0333C" w:rsidRPr="00822B60" w14:paraId="0A23EC5E" w14:textId="77777777" w:rsidTr="002E7B7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3639" w14:textId="77777777" w:rsidR="00E0333C" w:rsidRPr="00822B60" w:rsidRDefault="00E0333C" w:rsidP="002E7B7E">
            <w:pPr>
              <w:jc w:val="center"/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lastRenderedPageBreak/>
              <w:t>A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EB8B" w14:textId="77777777" w:rsidR="00E0333C" w:rsidRPr="00822B60" w:rsidRDefault="00E0333C" w:rsidP="002E7B7E">
            <w:pPr>
              <w:jc w:val="center"/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t>B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0E3C" w14:textId="77777777" w:rsidR="00E0333C" w:rsidRPr="00822B60" w:rsidRDefault="00E0333C" w:rsidP="002E7B7E">
            <w:pPr>
              <w:jc w:val="center"/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t>C</w:t>
            </w:r>
          </w:p>
        </w:tc>
      </w:tr>
      <w:tr w:rsidR="00E0333C" w:rsidRPr="00822B60" w14:paraId="38F9CD4A" w14:textId="77777777" w:rsidTr="002E7B7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7A16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t>Starptautiskās saistības (pēc būtības), kas izriet no norādītā starptautiskā dokumenta.</w:t>
            </w:r>
          </w:p>
          <w:p w14:paraId="7B6B70B6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t>Konkrēti veicamie pasākumi vai uzdevumi, kas nepieciešami šo starptautisko saistību izpildei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E456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9893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t>Informācija par to, vai starptautiskās saistības, kas minētas šīs tabulas A ailē, tiek izpildītas pilnībā vai daļēji.</w:t>
            </w:r>
          </w:p>
          <w:p w14:paraId="3C25175E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14:paraId="75FE546D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t>Norāda institūciju, kas ir atbildīga par šo saistību izpildi pilnībā</w:t>
            </w:r>
          </w:p>
        </w:tc>
      </w:tr>
      <w:tr w:rsidR="00E0333C" w:rsidRPr="00822B60" w14:paraId="30241B71" w14:textId="77777777" w:rsidTr="002E7B7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54BD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iCs/>
                <w:color w:val="000000"/>
                <w:sz w:val="28"/>
                <w:szCs w:val="28"/>
                <w:lang w:val="lv-LV" w:eastAsia="ja-JP"/>
              </w:rPr>
              <w:t>Noteikumu projekts šo jomu neskar.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D418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iCs/>
                <w:color w:val="000000"/>
                <w:sz w:val="28"/>
                <w:szCs w:val="28"/>
                <w:lang w:val="lv-LV" w:eastAsia="ja-JP"/>
              </w:rPr>
              <w:t>Noteikumu projekts šo jomu neskar.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52BF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iCs/>
                <w:color w:val="000000"/>
                <w:sz w:val="28"/>
                <w:szCs w:val="28"/>
                <w:lang w:val="lv-LV" w:eastAsia="ja-JP"/>
              </w:rPr>
              <w:t>Noteikumu projekts šo jomu neskar.</w:t>
            </w:r>
          </w:p>
        </w:tc>
      </w:tr>
      <w:tr w:rsidR="00E0333C" w:rsidRPr="00822B60" w14:paraId="64EB8036" w14:textId="77777777" w:rsidTr="002E7B7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7E69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8378" w14:textId="77777777" w:rsidR="00E0333C" w:rsidRPr="00822B60" w:rsidRDefault="00E0333C" w:rsidP="002E7B7E">
            <w:pPr>
              <w:rPr>
                <w:rFonts w:eastAsia="PMingLiU"/>
                <w:i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iCs/>
                <w:color w:val="000000"/>
                <w:sz w:val="28"/>
                <w:szCs w:val="28"/>
                <w:lang w:val="lv-LV" w:eastAsia="ja-JP"/>
              </w:rPr>
              <w:t>Noteikumu projekts šo jomu neskar.</w:t>
            </w:r>
          </w:p>
        </w:tc>
      </w:tr>
      <w:tr w:rsidR="00E0333C" w:rsidRPr="00822B60" w14:paraId="23F33131" w14:textId="77777777" w:rsidTr="002E7B7E"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8DEE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t>Cita informācija</w:t>
            </w:r>
          </w:p>
        </w:tc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BB609" w14:textId="77777777" w:rsidR="00E0333C" w:rsidRPr="00822B60" w:rsidRDefault="00E0333C" w:rsidP="002E7B7E">
            <w:pPr>
              <w:rPr>
                <w:rFonts w:eastAsia="PMingLiU"/>
                <w:color w:val="000000"/>
                <w:sz w:val="28"/>
                <w:szCs w:val="28"/>
                <w:lang w:val="lv-LV"/>
              </w:rPr>
            </w:pPr>
            <w:r w:rsidRPr="00822B60">
              <w:rPr>
                <w:rFonts w:eastAsia="PMingLiU"/>
                <w:color w:val="000000"/>
                <w:sz w:val="28"/>
                <w:szCs w:val="28"/>
                <w:lang w:val="lv-LV" w:eastAsia="ja-JP"/>
              </w:rPr>
              <w:t>Nav.</w:t>
            </w:r>
          </w:p>
        </w:tc>
      </w:tr>
    </w:tbl>
    <w:p w14:paraId="43B2E7F0" w14:textId="77777777" w:rsidR="00E0333C" w:rsidRPr="00C64334" w:rsidRDefault="00E0333C" w:rsidP="00E0333C">
      <w:pPr>
        <w:rPr>
          <w:rFonts w:eastAsia="PMingLiU"/>
          <w:sz w:val="24"/>
          <w:szCs w:val="24"/>
          <w:lang w:val="lv-LV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0333C" w:rsidRPr="00822B60" w14:paraId="4E623AC5" w14:textId="77777777" w:rsidTr="00907DD7">
        <w:trPr>
          <w:trHeight w:val="249"/>
        </w:trPr>
        <w:tc>
          <w:tcPr>
            <w:tcW w:w="9214" w:type="dxa"/>
            <w:vAlign w:val="center"/>
          </w:tcPr>
          <w:p w14:paraId="4178B270" w14:textId="77777777" w:rsidR="00E0333C" w:rsidRPr="00822B60" w:rsidRDefault="00E0333C" w:rsidP="002E7B7E">
            <w:pPr>
              <w:ind w:left="57" w:right="57"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822B60">
              <w:rPr>
                <w:rFonts w:eastAsia="Times New Roman"/>
                <w:b/>
                <w:sz w:val="28"/>
                <w:szCs w:val="28"/>
                <w:lang w:val="lv-LV" w:eastAsia="lv-LV"/>
              </w:rPr>
              <w:t>VI. Sabiedrības līdzdalība un komunikācijas aktivitātes</w:t>
            </w:r>
          </w:p>
        </w:tc>
      </w:tr>
      <w:tr w:rsidR="00E0333C" w:rsidRPr="00822B60" w14:paraId="180B45C9" w14:textId="77777777" w:rsidTr="00907DD7">
        <w:trPr>
          <w:trHeight w:val="218"/>
        </w:trPr>
        <w:tc>
          <w:tcPr>
            <w:tcW w:w="9214" w:type="dxa"/>
          </w:tcPr>
          <w:p w14:paraId="2975675E" w14:textId="77777777" w:rsidR="00E0333C" w:rsidRPr="00822B60" w:rsidRDefault="00E0333C" w:rsidP="002E7B7E">
            <w:pPr>
              <w:ind w:left="57" w:right="57"/>
              <w:jc w:val="center"/>
              <w:rPr>
                <w:rFonts w:eastAsia="PMingLiU"/>
                <w:sz w:val="28"/>
                <w:szCs w:val="28"/>
                <w:lang w:val="lv-LV" w:eastAsia="ja-JP"/>
              </w:rPr>
            </w:pPr>
            <w:proofErr w:type="spellStart"/>
            <w:r>
              <w:rPr>
                <w:bCs/>
                <w:sz w:val="28"/>
                <w:szCs w:val="28"/>
              </w:rPr>
              <w:t>Noteikumu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p</w:t>
            </w:r>
            <w:r w:rsidRPr="00822B60">
              <w:rPr>
                <w:bCs/>
                <w:sz w:val="28"/>
                <w:szCs w:val="28"/>
              </w:rPr>
              <w:t>rojekts</w:t>
            </w:r>
            <w:proofErr w:type="spellEnd"/>
            <w:r w:rsidRPr="00822B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2B60">
              <w:rPr>
                <w:bCs/>
                <w:sz w:val="28"/>
                <w:szCs w:val="28"/>
              </w:rPr>
              <w:t>šo</w:t>
            </w:r>
            <w:proofErr w:type="spellEnd"/>
            <w:r w:rsidRPr="00822B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2B60">
              <w:rPr>
                <w:bCs/>
                <w:sz w:val="28"/>
                <w:szCs w:val="28"/>
              </w:rPr>
              <w:t>jomu</w:t>
            </w:r>
            <w:proofErr w:type="spellEnd"/>
            <w:r w:rsidRPr="00822B6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22B60">
              <w:rPr>
                <w:bCs/>
                <w:sz w:val="28"/>
                <w:szCs w:val="28"/>
              </w:rPr>
              <w:t>neskar</w:t>
            </w:r>
            <w:proofErr w:type="spellEnd"/>
            <w:r w:rsidRPr="00822B60">
              <w:rPr>
                <w:bCs/>
                <w:sz w:val="28"/>
                <w:szCs w:val="28"/>
              </w:rPr>
              <w:t>.</w:t>
            </w:r>
            <w:bookmarkStart w:id="5" w:name="p61"/>
            <w:bookmarkEnd w:id="5"/>
          </w:p>
        </w:tc>
      </w:tr>
    </w:tbl>
    <w:p w14:paraId="07B85D36" w14:textId="1E6EF1D8" w:rsidR="00844176" w:rsidRPr="003F0341" w:rsidRDefault="00844176" w:rsidP="00844176">
      <w:pPr>
        <w:rPr>
          <w:rFonts w:eastAsia="Times New Roman"/>
          <w:sz w:val="28"/>
          <w:szCs w:val="28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739"/>
        <w:gridCol w:w="6120"/>
      </w:tblGrid>
      <w:tr w:rsidR="00844176" w:rsidRPr="0094437B" w14:paraId="72278BCA" w14:textId="77777777" w:rsidTr="00871E2F">
        <w:trPr>
          <w:trHeight w:val="375"/>
        </w:trPr>
        <w:tc>
          <w:tcPr>
            <w:tcW w:w="91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C8C9A" w14:textId="77777777" w:rsidR="00B83EED" w:rsidRDefault="00844176" w:rsidP="00871E2F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b/>
                <w:bCs/>
                <w:color w:val="000000"/>
                <w:sz w:val="28"/>
                <w:szCs w:val="28"/>
                <w:lang w:val="lv-LV" w:eastAsia="lv-LV"/>
              </w:rPr>
              <w:t>VII. Tiesību akta projekta izpildes nodrošināšana un tās ietekme uz institūcijām</w:t>
            </w:r>
          </w:p>
          <w:p w14:paraId="160ABB53" w14:textId="77777777" w:rsidR="00B83EED" w:rsidRPr="00B83EED" w:rsidRDefault="00B83EED" w:rsidP="002932D2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</w:p>
          <w:p w14:paraId="34C12EA7" w14:textId="77777777" w:rsidR="00844176" w:rsidRPr="00B83EED" w:rsidRDefault="00844176" w:rsidP="002932D2">
            <w:pPr>
              <w:rPr>
                <w:rFonts w:eastAsia="Times New Roman"/>
                <w:sz w:val="28"/>
                <w:szCs w:val="28"/>
                <w:lang w:val="lv-LV" w:eastAsia="lv-LV"/>
              </w:rPr>
            </w:pPr>
          </w:p>
        </w:tc>
      </w:tr>
      <w:tr w:rsidR="00844176" w:rsidRPr="00110128" w14:paraId="3BE578E7" w14:textId="77777777" w:rsidTr="00D37973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ABD64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08CA7" w14:textId="77777777" w:rsidR="00844176" w:rsidRPr="003F0341" w:rsidRDefault="00844176" w:rsidP="00871E2F">
            <w:pPr>
              <w:ind w:right="112"/>
              <w:jc w:val="both"/>
              <w:rPr>
                <w:sz w:val="28"/>
                <w:szCs w:val="28"/>
                <w:lang w:val="lv-LV"/>
              </w:rPr>
            </w:pPr>
            <w:r w:rsidRPr="003F0341">
              <w:rPr>
                <w:sz w:val="28"/>
                <w:szCs w:val="28"/>
                <w:lang w:val="lv-LV"/>
              </w:rPr>
              <w:t>Projekta izpildē iesaistītās institūcijas</w:t>
            </w:r>
          </w:p>
        </w:tc>
        <w:tc>
          <w:tcPr>
            <w:tcW w:w="612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0CF17" w14:textId="77777777" w:rsidR="00844176" w:rsidRPr="003F0341" w:rsidRDefault="00844176" w:rsidP="00871E2F">
            <w:pPr>
              <w:ind w:left="82" w:right="161"/>
              <w:jc w:val="both"/>
              <w:rPr>
                <w:sz w:val="28"/>
                <w:szCs w:val="28"/>
                <w:lang w:val="lv-LV"/>
              </w:rPr>
            </w:pPr>
            <w:r w:rsidRPr="003F0341">
              <w:rPr>
                <w:sz w:val="28"/>
                <w:szCs w:val="28"/>
                <w:lang w:val="lv-LV"/>
              </w:rPr>
              <w:t>E</w:t>
            </w:r>
            <w:r w:rsidR="00733C32" w:rsidRPr="003F0341">
              <w:rPr>
                <w:sz w:val="28"/>
                <w:szCs w:val="28"/>
                <w:lang w:val="lv-LV"/>
              </w:rPr>
              <w:t>konomikas ministrija</w:t>
            </w:r>
            <w:r w:rsidR="0074545C">
              <w:rPr>
                <w:sz w:val="28"/>
                <w:szCs w:val="28"/>
                <w:lang w:val="lv-LV"/>
              </w:rPr>
              <w:t>, akciju sabiedrība</w:t>
            </w:r>
            <w:r w:rsidR="00733C32" w:rsidRPr="003F0341">
              <w:rPr>
                <w:sz w:val="28"/>
                <w:szCs w:val="28"/>
                <w:lang w:val="lv-LV"/>
              </w:rPr>
              <w:t xml:space="preserve"> “Attīstības finanšu institūcija </w:t>
            </w:r>
            <w:proofErr w:type="spellStart"/>
            <w:r w:rsidR="00733C32" w:rsidRPr="003F0341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733C32" w:rsidRPr="003F0341">
              <w:rPr>
                <w:sz w:val="28"/>
                <w:szCs w:val="28"/>
                <w:lang w:val="lv-LV"/>
              </w:rPr>
              <w:t>”</w:t>
            </w:r>
            <w:r w:rsidRPr="003F0341">
              <w:rPr>
                <w:sz w:val="28"/>
                <w:szCs w:val="28"/>
                <w:lang w:val="lv-LV"/>
              </w:rPr>
              <w:t>.</w:t>
            </w:r>
          </w:p>
        </w:tc>
      </w:tr>
      <w:tr w:rsidR="00844176" w:rsidRPr="0094437B" w14:paraId="2CF2C3EA" w14:textId="77777777" w:rsidTr="00D37973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BFDB2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09650" w14:textId="77777777" w:rsidR="00844176" w:rsidRPr="003F0341" w:rsidRDefault="00844176" w:rsidP="00871E2F">
            <w:pPr>
              <w:ind w:right="112"/>
              <w:jc w:val="both"/>
              <w:rPr>
                <w:sz w:val="28"/>
                <w:szCs w:val="28"/>
                <w:lang w:val="lv-LV"/>
              </w:rPr>
            </w:pPr>
            <w:r w:rsidRPr="003F0341">
              <w:rPr>
                <w:sz w:val="28"/>
                <w:szCs w:val="28"/>
                <w:lang w:val="lv-LV"/>
              </w:rPr>
              <w:t xml:space="preserve">Projekta izpildes ietekme uz pārvaldes funkcijām un institucionālo struktūru. Jaunu institūciju izveide, esošu institūciju </w:t>
            </w:r>
            <w:r w:rsidRPr="003F0341">
              <w:rPr>
                <w:sz w:val="28"/>
                <w:szCs w:val="28"/>
                <w:lang w:val="lv-LV"/>
              </w:rPr>
              <w:lastRenderedPageBreak/>
              <w:t>likvidācija vai reorganizācija, to ietekme uz institūcijas cilvēkresursiem.</w:t>
            </w:r>
          </w:p>
        </w:tc>
        <w:tc>
          <w:tcPr>
            <w:tcW w:w="612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33769E" w14:textId="77777777" w:rsidR="00844176" w:rsidRPr="003F0341" w:rsidRDefault="00844176" w:rsidP="00871E2F">
            <w:pPr>
              <w:ind w:left="82" w:right="161"/>
              <w:jc w:val="both"/>
              <w:rPr>
                <w:sz w:val="28"/>
                <w:szCs w:val="28"/>
                <w:lang w:val="lv-LV"/>
              </w:rPr>
            </w:pPr>
            <w:r w:rsidRPr="003F0341">
              <w:rPr>
                <w:sz w:val="28"/>
                <w:szCs w:val="28"/>
                <w:lang w:val="lv-LV"/>
              </w:rPr>
              <w:lastRenderedPageBreak/>
              <w:t>Ministru kabineta noteikumu proj</w:t>
            </w:r>
            <w:r w:rsidR="00733C32" w:rsidRPr="003F0341">
              <w:rPr>
                <w:sz w:val="28"/>
                <w:szCs w:val="28"/>
                <w:lang w:val="lv-LV"/>
              </w:rPr>
              <w:t>ekta izpilde tiks nodrošināta Ekonomikas ministrijas</w:t>
            </w:r>
            <w:r w:rsidRPr="003F0341">
              <w:rPr>
                <w:sz w:val="28"/>
                <w:szCs w:val="28"/>
                <w:lang w:val="lv-LV"/>
              </w:rPr>
              <w:t xml:space="preserve"> un </w:t>
            </w:r>
            <w:r w:rsidR="0074545C">
              <w:rPr>
                <w:sz w:val="28"/>
                <w:szCs w:val="28"/>
                <w:lang w:val="lv-LV"/>
              </w:rPr>
              <w:t>akciju sabiedrības</w:t>
            </w:r>
            <w:r w:rsidR="00733C32" w:rsidRPr="003F0341">
              <w:rPr>
                <w:sz w:val="28"/>
                <w:szCs w:val="28"/>
                <w:lang w:val="lv-LV"/>
              </w:rPr>
              <w:t xml:space="preserve"> “Attīstības finanšu institūcija </w:t>
            </w:r>
            <w:proofErr w:type="spellStart"/>
            <w:r w:rsidR="00733C32" w:rsidRPr="003F0341">
              <w:rPr>
                <w:sz w:val="28"/>
                <w:szCs w:val="28"/>
                <w:lang w:val="lv-LV"/>
              </w:rPr>
              <w:t>Altum</w:t>
            </w:r>
            <w:proofErr w:type="spellEnd"/>
            <w:r w:rsidR="00733C32" w:rsidRPr="003F0341">
              <w:rPr>
                <w:sz w:val="28"/>
                <w:szCs w:val="28"/>
                <w:lang w:val="lv-LV"/>
              </w:rPr>
              <w:t xml:space="preserve">” </w:t>
            </w:r>
            <w:r w:rsidRPr="003F0341">
              <w:rPr>
                <w:sz w:val="28"/>
                <w:szCs w:val="28"/>
                <w:lang w:val="lv-LV"/>
              </w:rPr>
              <w:t>esošo funkciju ietvaros.</w:t>
            </w:r>
          </w:p>
          <w:p w14:paraId="5F5A7977" w14:textId="77777777" w:rsidR="00844176" w:rsidRPr="003F0341" w:rsidRDefault="00844176" w:rsidP="00871E2F">
            <w:pPr>
              <w:ind w:left="82" w:right="161" w:firstLine="720"/>
              <w:jc w:val="both"/>
              <w:rPr>
                <w:sz w:val="28"/>
                <w:szCs w:val="28"/>
                <w:lang w:val="lv-LV"/>
              </w:rPr>
            </w:pPr>
          </w:p>
        </w:tc>
      </w:tr>
      <w:tr w:rsidR="00844176" w:rsidRPr="003F0341" w14:paraId="2EBACAF6" w14:textId="77777777" w:rsidTr="00D37973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2C13F" w14:textId="77777777" w:rsidR="00844176" w:rsidRPr="003F0341" w:rsidRDefault="00844176" w:rsidP="00871E2F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color w:val="000000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27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C748B" w14:textId="77777777" w:rsidR="00844176" w:rsidRPr="003F0341" w:rsidRDefault="00844176" w:rsidP="00871E2F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Cita informācija</w:t>
            </w:r>
          </w:p>
        </w:tc>
        <w:tc>
          <w:tcPr>
            <w:tcW w:w="612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FA647" w14:textId="77777777" w:rsidR="00844176" w:rsidRPr="003F0341" w:rsidRDefault="00844176" w:rsidP="002932D2">
            <w:pPr>
              <w:jc w:val="both"/>
              <w:rPr>
                <w:rFonts w:eastAsia="Times New Roman"/>
                <w:sz w:val="28"/>
                <w:szCs w:val="28"/>
                <w:lang w:val="lv-LV" w:eastAsia="lv-LV"/>
              </w:rPr>
            </w:pPr>
            <w:r w:rsidRPr="003F0341">
              <w:rPr>
                <w:rFonts w:eastAsia="Times New Roman"/>
                <w:sz w:val="28"/>
                <w:szCs w:val="28"/>
                <w:lang w:val="lv-LV" w:eastAsia="lv-LV"/>
              </w:rPr>
              <w:t>Nav</w:t>
            </w:r>
          </w:p>
        </w:tc>
      </w:tr>
    </w:tbl>
    <w:p w14:paraId="7FC0F3F0" w14:textId="1E3ACBC7" w:rsidR="000A0059" w:rsidRPr="003F0341" w:rsidRDefault="000A0059" w:rsidP="00EA6CD3">
      <w:pPr>
        <w:tabs>
          <w:tab w:val="right" w:pos="9072"/>
        </w:tabs>
        <w:rPr>
          <w:sz w:val="28"/>
          <w:szCs w:val="28"/>
          <w:lang w:val="lv-LV"/>
        </w:rPr>
      </w:pPr>
    </w:p>
    <w:p w14:paraId="285B29A3" w14:textId="77777777" w:rsidR="00EB184B" w:rsidRPr="003F0341" w:rsidRDefault="00EB184B" w:rsidP="00EB184B">
      <w:pPr>
        <w:jc w:val="both"/>
        <w:rPr>
          <w:sz w:val="28"/>
          <w:szCs w:val="28"/>
          <w:lang w:val="lv-LV"/>
        </w:rPr>
      </w:pPr>
      <w:r w:rsidRPr="003F0341">
        <w:rPr>
          <w:sz w:val="28"/>
          <w:szCs w:val="28"/>
          <w:lang w:val="lv-LV"/>
        </w:rPr>
        <w:t>Ministru prezidenta biedrs,</w:t>
      </w:r>
    </w:p>
    <w:p w14:paraId="4C5917F9" w14:textId="77777777" w:rsidR="00EB184B" w:rsidRPr="003F0341" w:rsidRDefault="00EB184B" w:rsidP="00EB184B">
      <w:pPr>
        <w:jc w:val="both"/>
        <w:rPr>
          <w:sz w:val="28"/>
          <w:szCs w:val="28"/>
          <w:lang w:val="lv-LV"/>
        </w:rPr>
      </w:pPr>
      <w:r w:rsidRPr="003F0341">
        <w:rPr>
          <w:sz w:val="28"/>
          <w:szCs w:val="28"/>
          <w:lang w:val="lv-LV"/>
        </w:rPr>
        <w:t>ekonomikas ministrs</w:t>
      </w:r>
      <w:r w:rsidR="00B26202">
        <w:rPr>
          <w:sz w:val="28"/>
          <w:szCs w:val="28"/>
          <w:lang w:val="lv-LV"/>
        </w:rPr>
        <w:tab/>
      </w:r>
      <w:r w:rsidR="00B26202">
        <w:rPr>
          <w:sz w:val="28"/>
          <w:szCs w:val="28"/>
          <w:lang w:val="lv-LV"/>
        </w:rPr>
        <w:tab/>
      </w:r>
      <w:r w:rsidR="00B26202">
        <w:rPr>
          <w:sz w:val="28"/>
          <w:szCs w:val="28"/>
          <w:lang w:val="lv-LV"/>
        </w:rPr>
        <w:tab/>
      </w:r>
      <w:r w:rsidR="00B26202">
        <w:rPr>
          <w:sz w:val="28"/>
          <w:szCs w:val="28"/>
          <w:lang w:val="lv-LV"/>
        </w:rPr>
        <w:tab/>
      </w:r>
      <w:r w:rsidR="00B26202">
        <w:rPr>
          <w:sz w:val="28"/>
          <w:szCs w:val="28"/>
          <w:lang w:val="lv-LV"/>
        </w:rPr>
        <w:tab/>
      </w:r>
      <w:r w:rsidR="00B26202">
        <w:rPr>
          <w:sz w:val="28"/>
          <w:szCs w:val="28"/>
          <w:lang w:val="lv-LV"/>
        </w:rPr>
        <w:tab/>
      </w:r>
      <w:r w:rsidR="006C20C5" w:rsidRPr="003F0341">
        <w:rPr>
          <w:sz w:val="28"/>
          <w:szCs w:val="28"/>
          <w:lang w:val="lv-LV"/>
        </w:rPr>
        <w:tab/>
      </w:r>
      <w:r w:rsidRPr="003F0341">
        <w:rPr>
          <w:sz w:val="28"/>
          <w:szCs w:val="28"/>
          <w:lang w:val="lv-LV"/>
        </w:rPr>
        <w:t>A. Ašeradens</w:t>
      </w:r>
    </w:p>
    <w:p w14:paraId="10F9896C" w14:textId="77777777" w:rsidR="00EB184B" w:rsidRPr="003F0341" w:rsidRDefault="00EB184B" w:rsidP="00EB184B">
      <w:pPr>
        <w:jc w:val="both"/>
        <w:rPr>
          <w:sz w:val="28"/>
          <w:szCs w:val="28"/>
          <w:lang w:val="lv-LV"/>
        </w:rPr>
      </w:pPr>
    </w:p>
    <w:p w14:paraId="50199F2B" w14:textId="77777777" w:rsidR="000A0059" w:rsidRPr="003F0341" w:rsidRDefault="00EB184B" w:rsidP="00EB184B">
      <w:pPr>
        <w:jc w:val="both"/>
        <w:rPr>
          <w:sz w:val="28"/>
          <w:szCs w:val="28"/>
          <w:lang w:val="lv-LV"/>
        </w:rPr>
      </w:pPr>
      <w:r w:rsidRPr="003F0341">
        <w:rPr>
          <w:sz w:val="28"/>
          <w:szCs w:val="28"/>
          <w:lang w:val="lv-LV"/>
        </w:rPr>
        <w:t>Vīza:</w:t>
      </w:r>
    </w:p>
    <w:p w14:paraId="01FC1189" w14:textId="77777777" w:rsidR="002C504B" w:rsidRPr="003F0341" w:rsidRDefault="00EB184B" w:rsidP="006C20C5">
      <w:pPr>
        <w:jc w:val="both"/>
        <w:rPr>
          <w:sz w:val="28"/>
          <w:szCs w:val="28"/>
          <w:lang w:val="lv-LV"/>
        </w:rPr>
      </w:pPr>
      <w:r w:rsidRPr="003F0341">
        <w:rPr>
          <w:sz w:val="28"/>
          <w:szCs w:val="28"/>
          <w:lang w:val="lv-LV"/>
        </w:rPr>
        <w:t>Valsts sekretār</w:t>
      </w:r>
      <w:r w:rsidR="006C20C5" w:rsidRPr="003F0341">
        <w:rPr>
          <w:sz w:val="28"/>
          <w:szCs w:val="28"/>
          <w:lang w:val="lv-LV"/>
        </w:rPr>
        <w:t>s</w:t>
      </w:r>
      <w:r w:rsidR="006C20C5" w:rsidRPr="003F0341">
        <w:rPr>
          <w:sz w:val="28"/>
          <w:szCs w:val="28"/>
          <w:lang w:val="lv-LV"/>
        </w:rPr>
        <w:tab/>
      </w:r>
      <w:r w:rsidR="006C20C5" w:rsidRPr="003F0341">
        <w:rPr>
          <w:sz w:val="28"/>
          <w:szCs w:val="28"/>
          <w:lang w:val="lv-LV"/>
        </w:rPr>
        <w:tab/>
      </w:r>
      <w:r w:rsidR="006C20C5" w:rsidRPr="003F0341">
        <w:rPr>
          <w:sz w:val="28"/>
          <w:szCs w:val="28"/>
          <w:lang w:val="lv-LV"/>
        </w:rPr>
        <w:tab/>
      </w:r>
      <w:r w:rsidR="006C20C5" w:rsidRPr="003F0341">
        <w:rPr>
          <w:sz w:val="28"/>
          <w:szCs w:val="28"/>
          <w:lang w:val="lv-LV"/>
        </w:rPr>
        <w:tab/>
      </w:r>
      <w:r w:rsidR="006C20C5" w:rsidRPr="003F0341">
        <w:rPr>
          <w:sz w:val="28"/>
          <w:szCs w:val="28"/>
          <w:lang w:val="lv-LV"/>
        </w:rPr>
        <w:tab/>
      </w:r>
      <w:r w:rsidR="006C20C5" w:rsidRPr="003F0341">
        <w:rPr>
          <w:sz w:val="28"/>
          <w:szCs w:val="28"/>
          <w:lang w:val="lv-LV"/>
        </w:rPr>
        <w:tab/>
      </w:r>
      <w:r w:rsidR="006C20C5" w:rsidRPr="003F0341">
        <w:rPr>
          <w:sz w:val="28"/>
          <w:szCs w:val="28"/>
          <w:lang w:val="lv-LV"/>
        </w:rPr>
        <w:tab/>
      </w:r>
      <w:r w:rsidR="006C20C5" w:rsidRPr="003F0341">
        <w:rPr>
          <w:sz w:val="28"/>
          <w:szCs w:val="28"/>
          <w:lang w:val="lv-LV"/>
        </w:rPr>
        <w:tab/>
        <w:t>J.</w:t>
      </w:r>
      <w:r w:rsidR="002932D2">
        <w:rPr>
          <w:sz w:val="28"/>
          <w:szCs w:val="28"/>
          <w:lang w:val="lv-LV"/>
        </w:rPr>
        <w:t xml:space="preserve"> </w:t>
      </w:r>
      <w:proofErr w:type="spellStart"/>
      <w:r w:rsidR="006C20C5" w:rsidRPr="003F0341">
        <w:rPr>
          <w:sz w:val="28"/>
          <w:szCs w:val="28"/>
          <w:lang w:val="lv-LV"/>
        </w:rPr>
        <w:t>Stinka</w:t>
      </w:r>
      <w:proofErr w:type="spellEnd"/>
    </w:p>
    <w:p w14:paraId="3E39713D" w14:textId="77777777" w:rsidR="00EB184B" w:rsidRPr="009D1051" w:rsidRDefault="00EB184B" w:rsidP="00EB184B">
      <w:pPr>
        <w:jc w:val="both"/>
        <w:rPr>
          <w:sz w:val="24"/>
          <w:szCs w:val="24"/>
          <w:lang w:val="lv-LV"/>
        </w:rPr>
      </w:pPr>
    </w:p>
    <w:p w14:paraId="04B6216E" w14:textId="77777777" w:rsidR="00720C35" w:rsidRDefault="00733C32" w:rsidP="00733C32">
      <w:pPr>
        <w:rPr>
          <w:lang w:val="lv-LV"/>
        </w:rPr>
      </w:pPr>
      <w:proofErr w:type="spellStart"/>
      <w:r w:rsidRPr="00733C32">
        <w:rPr>
          <w:lang w:val="lv-LV"/>
        </w:rPr>
        <w:t>S.Tuklere</w:t>
      </w:r>
      <w:proofErr w:type="spellEnd"/>
    </w:p>
    <w:p w14:paraId="5F554659" w14:textId="103FB768" w:rsidR="00733C32" w:rsidRPr="009D1051" w:rsidRDefault="00733C32">
      <w:pPr>
        <w:rPr>
          <w:lang w:val="lv-LV"/>
        </w:rPr>
      </w:pPr>
      <w:r w:rsidRPr="00733C32">
        <w:rPr>
          <w:lang w:val="lv-LV"/>
        </w:rPr>
        <w:t>67013298, Signe.Tuklere@em.gov.lv</w:t>
      </w:r>
      <w:bookmarkStart w:id="6" w:name="_GoBack"/>
      <w:bookmarkEnd w:id="6"/>
    </w:p>
    <w:sectPr w:rsidR="00733C32" w:rsidRPr="009D1051" w:rsidSect="00720C35">
      <w:headerReference w:type="default" r:id="rId12"/>
      <w:footerReference w:type="default" r:id="rId13"/>
      <w:footerReference w:type="first" r:id="rId14"/>
      <w:endnotePr>
        <w:numFmt w:val="decimal"/>
      </w:endnotePr>
      <w:type w:val="continuous"/>
      <w:pgSz w:w="11906" w:h="16838"/>
      <w:pgMar w:top="1304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1B55C" w14:textId="77777777" w:rsidR="00016159" w:rsidRDefault="00016159" w:rsidP="006B2FEF">
      <w:r>
        <w:separator/>
      </w:r>
    </w:p>
  </w:endnote>
  <w:endnote w:type="continuationSeparator" w:id="0">
    <w:p w14:paraId="741263E9" w14:textId="77777777" w:rsidR="00016159" w:rsidRDefault="00016159" w:rsidP="006B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7D52F" w14:textId="532B8540" w:rsidR="0007156D" w:rsidRDefault="00A41FB2" w:rsidP="00E37F50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07156D">
      <w:rPr>
        <w:noProof/>
      </w:rPr>
      <w:t>EMAnot_groz328_</w:t>
    </w:r>
    <w:r>
      <w:rPr>
        <w:noProof/>
      </w:rPr>
      <w:t>19</w:t>
    </w:r>
    <w:r w:rsidR="004A4356">
      <w:rPr>
        <w:noProof/>
      </w:rPr>
      <w:t>12</w:t>
    </w:r>
    <w:r w:rsidR="0007156D">
      <w:rPr>
        <w:noProof/>
      </w:rPr>
      <w:t>17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FF2A6" w14:textId="77777777" w:rsidR="0007156D" w:rsidRDefault="00A41FB2" w:rsidP="003B7B62">
    <w:pPr>
      <w:pStyle w:val="Footer"/>
      <w:jc w:val="both"/>
    </w:pPr>
    <w:r>
      <w:fldChar w:fldCharType="begin"/>
    </w:r>
    <w:r>
      <w:instrText xml:space="preserve"> FILENAME   \* MERGEFORMAT </w:instrText>
    </w:r>
    <w:r>
      <w:fldChar w:fldCharType="separate"/>
    </w:r>
    <w:r w:rsidR="0007156D">
      <w:rPr>
        <w:noProof/>
      </w:rPr>
      <w:t>EMAnot_groz328_17072017.docx</w:t>
    </w:r>
    <w:r>
      <w:rPr>
        <w:noProof/>
      </w:rPr>
      <w:fldChar w:fldCharType="end"/>
    </w:r>
    <w:r w:rsidR="0007156D">
      <w:t xml:space="preserve">; </w:t>
    </w:r>
    <w:sdt>
      <w:sdtPr>
        <w:alias w:val="Title"/>
        <w:tag w:val=""/>
        <w:id w:val="38268816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156D"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366DF" w14:textId="77777777" w:rsidR="00016159" w:rsidRDefault="00016159" w:rsidP="006B2FEF">
      <w:r>
        <w:separator/>
      </w:r>
    </w:p>
  </w:footnote>
  <w:footnote w:type="continuationSeparator" w:id="0">
    <w:p w14:paraId="774A96C1" w14:textId="77777777" w:rsidR="00016159" w:rsidRDefault="00016159" w:rsidP="006B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6079B9A" w14:textId="66098871" w:rsidR="0007156D" w:rsidRPr="00B014C2" w:rsidRDefault="0007156D">
        <w:pPr>
          <w:pStyle w:val="Header"/>
          <w:jc w:val="center"/>
          <w:rPr>
            <w:sz w:val="24"/>
            <w:szCs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A41FB2">
          <w:rPr>
            <w:noProof/>
            <w:sz w:val="24"/>
            <w:szCs w:val="24"/>
          </w:rPr>
          <w:t>11</w:t>
        </w:r>
        <w:r w:rsidRPr="00B014C2">
          <w:rPr>
            <w:sz w:val="24"/>
            <w:szCs w:val="24"/>
          </w:rPr>
          <w:fldChar w:fldCharType="end"/>
        </w:r>
      </w:p>
    </w:sdtContent>
  </w:sdt>
  <w:p w14:paraId="6CE91A04" w14:textId="77777777" w:rsidR="0007156D" w:rsidRDefault="0007156D">
    <w:pPr>
      <w:pStyle w:val="Header"/>
    </w:pPr>
  </w:p>
  <w:p w14:paraId="4597F8B3" w14:textId="77777777" w:rsidR="0007156D" w:rsidRDefault="000715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61A"/>
    <w:multiLevelType w:val="hybridMultilevel"/>
    <w:tmpl w:val="E90AB3D0"/>
    <w:lvl w:ilvl="0" w:tplc="69484720">
      <w:start w:val="5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51D5F0E"/>
    <w:multiLevelType w:val="hybridMultilevel"/>
    <w:tmpl w:val="4B546A86"/>
    <w:lvl w:ilvl="0" w:tplc="1D9AE45C">
      <w:numFmt w:val="bullet"/>
      <w:lvlText w:val="–"/>
      <w:lvlJc w:val="left"/>
      <w:pPr>
        <w:ind w:left="14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" w15:restartNumberingAfterBreak="0">
    <w:nsid w:val="063438F4"/>
    <w:multiLevelType w:val="hybridMultilevel"/>
    <w:tmpl w:val="FFCA72A0"/>
    <w:lvl w:ilvl="0" w:tplc="0FCC6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8171BC"/>
    <w:multiLevelType w:val="hybridMultilevel"/>
    <w:tmpl w:val="6BAE6320"/>
    <w:lvl w:ilvl="0" w:tplc="46BAD3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555B1C"/>
    <w:multiLevelType w:val="hybridMultilevel"/>
    <w:tmpl w:val="35C08D2E"/>
    <w:lvl w:ilvl="0" w:tplc="5440773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9CF3FAE"/>
    <w:multiLevelType w:val="hybridMultilevel"/>
    <w:tmpl w:val="D0140E2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C60C8"/>
    <w:multiLevelType w:val="hybridMultilevel"/>
    <w:tmpl w:val="AC582DDE"/>
    <w:lvl w:ilvl="0" w:tplc="52EA642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FA95D05"/>
    <w:multiLevelType w:val="hybridMultilevel"/>
    <w:tmpl w:val="77C41132"/>
    <w:lvl w:ilvl="0" w:tplc="37E00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2F58BF"/>
    <w:multiLevelType w:val="hybridMultilevel"/>
    <w:tmpl w:val="E6A269FE"/>
    <w:lvl w:ilvl="0" w:tplc="AA6C7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34708A"/>
    <w:multiLevelType w:val="hybridMultilevel"/>
    <w:tmpl w:val="E7E03FB6"/>
    <w:lvl w:ilvl="0" w:tplc="42DAF4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8" w:hanging="360"/>
      </w:pPr>
    </w:lvl>
    <w:lvl w:ilvl="2" w:tplc="0426001B" w:tentative="1">
      <w:start w:val="1"/>
      <w:numFmt w:val="lowerRoman"/>
      <w:lvlText w:val="%3."/>
      <w:lvlJc w:val="right"/>
      <w:pPr>
        <w:ind w:left="2508" w:hanging="180"/>
      </w:pPr>
    </w:lvl>
    <w:lvl w:ilvl="3" w:tplc="0426000F" w:tentative="1">
      <w:start w:val="1"/>
      <w:numFmt w:val="decimal"/>
      <w:lvlText w:val="%4."/>
      <w:lvlJc w:val="left"/>
      <w:pPr>
        <w:ind w:left="3228" w:hanging="360"/>
      </w:pPr>
    </w:lvl>
    <w:lvl w:ilvl="4" w:tplc="04260019" w:tentative="1">
      <w:start w:val="1"/>
      <w:numFmt w:val="lowerLetter"/>
      <w:lvlText w:val="%5."/>
      <w:lvlJc w:val="left"/>
      <w:pPr>
        <w:ind w:left="3948" w:hanging="360"/>
      </w:pPr>
    </w:lvl>
    <w:lvl w:ilvl="5" w:tplc="0426001B" w:tentative="1">
      <w:start w:val="1"/>
      <w:numFmt w:val="lowerRoman"/>
      <w:lvlText w:val="%6."/>
      <w:lvlJc w:val="right"/>
      <w:pPr>
        <w:ind w:left="4668" w:hanging="180"/>
      </w:pPr>
    </w:lvl>
    <w:lvl w:ilvl="6" w:tplc="0426000F" w:tentative="1">
      <w:start w:val="1"/>
      <w:numFmt w:val="decimal"/>
      <w:lvlText w:val="%7."/>
      <w:lvlJc w:val="left"/>
      <w:pPr>
        <w:ind w:left="5388" w:hanging="360"/>
      </w:pPr>
    </w:lvl>
    <w:lvl w:ilvl="7" w:tplc="04260019" w:tentative="1">
      <w:start w:val="1"/>
      <w:numFmt w:val="lowerLetter"/>
      <w:lvlText w:val="%8."/>
      <w:lvlJc w:val="left"/>
      <w:pPr>
        <w:ind w:left="6108" w:hanging="360"/>
      </w:pPr>
    </w:lvl>
    <w:lvl w:ilvl="8" w:tplc="042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5539C9"/>
    <w:multiLevelType w:val="hybridMultilevel"/>
    <w:tmpl w:val="3FF28906"/>
    <w:lvl w:ilvl="0" w:tplc="69484720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5E60574"/>
    <w:multiLevelType w:val="hybridMultilevel"/>
    <w:tmpl w:val="626C33EE"/>
    <w:lvl w:ilvl="0" w:tplc="77765C2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66B6A2C"/>
    <w:multiLevelType w:val="hybridMultilevel"/>
    <w:tmpl w:val="1DE2ED08"/>
    <w:lvl w:ilvl="0" w:tplc="0AA83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BD17CA9"/>
    <w:multiLevelType w:val="hybridMultilevel"/>
    <w:tmpl w:val="CBA2BB18"/>
    <w:lvl w:ilvl="0" w:tplc="1C52F5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265F8E"/>
    <w:multiLevelType w:val="hybridMultilevel"/>
    <w:tmpl w:val="B5E8051A"/>
    <w:lvl w:ilvl="0" w:tplc="4B7891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10D38"/>
    <w:multiLevelType w:val="hybridMultilevel"/>
    <w:tmpl w:val="888CE90E"/>
    <w:lvl w:ilvl="0" w:tplc="042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A931078"/>
    <w:multiLevelType w:val="hybridMultilevel"/>
    <w:tmpl w:val="7CB21D14"/>
    <w:lvl w:ilvl="0" w:tplc="28746E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A2F4E"/>
    <w:multiLevelType w:val="hybridMultilevel"/>
    <w:tmpl w:val="3508EDD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72757"/>
    <w:multiLevelType w:val="hybridMultilevel"/>
    <w:tmpl w:val="A7FCEC66"/>
    <w:lvl w:ilvl="0" w:tplc="EFF408B0">
      <w:start w:val="201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6FED38EF"/>
    <w:multiLevelType w:val="hybridMultilevel"/>
    <w:tmpl w:val="C48CD6D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E154F"/>
    <w:multiLevelType w:val="hybridMultilevel"/>
    <w:tmpl w:val="9168DF8E"/>
    <w:lvl w:ilvl="0" w:tplc="BEE0299C">
      <w:start w:val="2016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7DE4F9C"/>
    <w:multiLevelType w:val="hybridMultilevel"/>
    <w:tmpl w:val="FADEBF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86341"/>
    <w:multiLevelType w:val="hybridMultilevel"/>
    <w:tmpl w:val="A698B9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7"/>
  </w:num>
  <w:num w:numId="5">
    <w:abstractNumId w:val="9"/>
  </w:num>
  <w:num w:numId="6">
    <w:abstractNumId w:val="3"/>
  </w:num>
  <w:num w:numId="7">
    <w:abstractNumId w:val="13"/>
  </w:num>
  <w:num w:numId="8">
    <w:abstractNumId w:val="22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17"/>
  </w:num>
  <w:num w:numId="14">
    <w:abstractNumId w:val="19"/>
  </w:num>
  <w:num w:numId="15">
    <w:abstractNumId w:val="8"/>
  </w:num>
  <w:num w:numId="16">
    <w:abstractNumId w:val="20"/>
  </w:num>
  <w:num w:numId="17">
    <w:abstractNumId w:val="16"/>
  </w:num>
  <w:num w:numId="18">
    <w:abstractNumId w:val="18"/>
  </w:num>
  <w:num w:numId="19">
    <w:abstractNumId w:val="12"/>
  </w:num>
  <w:num w:numId="20">
    <w:abstractNumId w:val="4"/>
  </w:num>
  <w:num w:numId="21">
    <w:abstractNumId w:val="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D3"/>
    <w:rsid w:val="000008A9"/>
    <w:rsid w:val="000058AA"/>
    <w:rsid w:val="0001048C"/>
    <w:rsid w:val="00013B61"/>
    <w:rsid w:val="00014B9F"/>
    <w:rsid w:val="00016159"/>
    <w:rsid w:val="0002003C"/>
    <w:rsid w:val="0002596F"/>
    <w:rsid w:val="00026F18"/>
    <w:rsid w:val="00030B7E"/>
    <w:rsid w:val="0003245D"/>
    <w:rsid w:val="0003265E"/>
    <w:rsid w:val="000430AC"/>
    <w:rsid w:val="00044743"/>
    <w:rsid w:val="00047095"/>
    <w:rsid w:val="000527A4"/>
    <w:rsid w:val="000678CD"/>
    <w:rsid w:val="00070F56"/>
    <w:rsid w:val="00071082"/>
    <w:rsid w:val="0007156D"/>
    <w:rsid w:val="00072B02"/>
    <w:rsid w:val="0007330D"/>
    <w:rsid w:val="00074090"/>
    <w:rsid w:val="000773A5"/>
    <w:rsid w:val="00077D13"/>
    <w:rsid w:val="0008002B"/>
    <w:rsid w:val="00080352"/>
    <w:rsid w:val="00081EC5"/>
    <w:rsid w:val="0008515E"/>
    <w:rsid w:val="00085640"/>
    <w:rsid w:val="0009324B"/>
    <w:rsid w:val="00094B1E"/>
    <w:rsid w:val="00095280"/>
    <w:rsid w:val="00096060"/>
    <w:rsid w:val="000964C6"/>
    <w:rsid w:val="000A0059"/>
    <w:rsid w:val="000A14E3"/>
    <w:rsid w:val="000B0748"/>
    <w:rsid w:val="000B1926"/>
    <w:rsid w:val="000B1B64"/>
    <w:rsid w:val="000B2C54"/>
    <w:rsid w:val="000B3449"/>
    <w:rsid w:val="000B492B"/>
    <w:rsid w:val="000C33C1"/>
    <w:rsid w:val="000C4418"/>
    <w:rsid w:val="000D3D56"/>
    <w:rsid w:val="000D43D9"/>
    <w:rsid w:val="000D74B9"/>
    <w:rsid w:val="000E257B"/>
    <w:rsid w:val="000E53C3"/>
    <w:rsid w:val="000E56F8"/>
    <w:rsid w:val="000E5DD2"/>
    <w:rsid w:val="000F0A62"/>
    <w:rsid w:val="000F4230"/>
    <w:rsid w:val="00102922"/>
    <w:rsid w:val="00102B1D"/>
    <w:rsid w:val="00110128"/>
    <w:rsid w:val="0011606F"/>
    <w:rsid w:val="0012624C"/>
    <w:rsid w:val="00137388"/>
    <w:rsid w:val="00137F96"/>
    <w:rsid w:val="00143BB6"/>
    <w:rsid w:val="00145366"/>
    <w:rsid w:val="00146697"/>
    <w:rsid w:val="00151BBD"/>
    <w:rsid w:val="00152387"/>
    <w:rsid w:val="0015295F"/>
    <w:rsid w:val="00156C28"/>
    <w:rsid w:val="00161BA7"/>
    <w:rsid w:val="001650AC"/>
    <w:rsid w:val="001655DD"/>
    <w:rsid w:val="00165747"/>
    <w:rsid w:val="00165F5E"/>
    <w:rsid w:val="0016668A"/>
    <w:rsid w:val="00166A8B"/>
    <w:rsid w:val="0016744E"/>
    <w:rsid w:val="00172082"/>
    <w:rsid w:val="00177250"/>
    <w:rsid w:val="00177882"/>
    <w:rsid w:val="00177C69"/>
    <w:rsid w:val="00180E2B"/>
    <w:rsid w:val="00183B65"/>
    <w:rsid w:val="00186A4D"/>
    <w:rsid w:val="00187140"/>
    <w:rsid w:val="00190B3D"/>
    <w:rsid w:val="001935C8"/>
    <w:rsid w:val="001946C8"/>
    <w:rsid w:val="00195D43"/>
    <w:rsid w:val="001A1368"/>
    <w:rsid w:val="001A1439"/>
    <w:rsid w:val="001A3ED2"/>
    <w:rsid w:val="001A7C3A"/>
    <w:rsid w:val="001A7E1D"/>
    <w:rsid w:val="001B7454"/>
    <w:rsid w:val="001C0801"/>
    <w:rsid w:val="001C1B72"/>
    <w:rsid w:val="001C2832"/>
    <w:rsid w:val="001C362D"/>
    <w:rsid w:val="001C5ED6"/>
    <w:rsid w:val="001C6208"/>
    <w:rsid w:val="001C68A2"/>
    <w:rsid w:val="001D0800"/>
    <w:rsid w:val="001D3167"/>
    <w:rsid w:val="001D7397"/>
    <w:rsid w:val="001D7DC1"/>
    <w:rsid w:val="001E1B0F"/>
    <w:rsid w:val="001E3588"/>
    <w:rsid w:val="001E4C2F"/>
    <w:rsid w:val="001E5FBC"/>
    <w:rsid w:val="001E76BE"/>
    <w:rsid w:val="001F2BA2"/>
    <w:rsid w:val="001F6DBE"/>
    <w:rsid w:val="001F7086"/>
    <w:rsid w:val="001F7AAD"/>
    <w:rsid w:val="00200E7D"/>
    <w:rsid w:val="0020468C"/>
    <w:rsid w:val="002107BF"/>
    <w:rsid w:val="00211315"/>
    <w:rsid w:val="00215C6A"/>
    <w:rsid w:val="00217F5B"/>
    <w:rsid w:val="00224E84"/>
    <w:rsid w:val="002267E7"/>
    <w:rsid w:val="0023582E"/>
    <w:rsid w:val="00237878"/>
    <w:rsid w:val="002438ED"/>
    <w:rsid w:val="00244A9E"/>
    <w:rsid w:val="00250127"/>
    <w:rsid w:val="0025023B"/>
    <w:rsid w:val="00252EEF"/>
    <w:rsid w:val="00253B6C"/>
    <w:rsid w:val="00254651"/>
    <w:rsid w:val="00254901"/>
    <w:rsid w:val="00255BAC"/>
    <w:rsid w:val="002601C7"/>
    <w:rsid w:val="00261B97"/>
    <w:rsid w:val="002651EA"/>
    <w:rsid w:val="0027369F"/>
    <w:rsid w:val="00273700"/>
    <w:rsid w:val="00273B21"/>
    <w:rsid w:val="00290EE2"/>
    <w:rsid w:val="00292062"/>
    <w:rsid w:val="002932D2"/>
    <w:rsid w:val="002957B7"/>
    <w:rsid w:val="002A0435"/>
    <w:rsid w:val="002A0BC1"/>
    <w:rsid w:val="002A166A"/>
    <w:rsid w:val="002A3EC2"/>
    <w:rsid w:val="002A6400"/>
    <w:rsid w:val="002B3EAE"/>
    <w:rsid w:val="002B4900"/>
    <w:rsid w:val="002B6364"/>
    <w:rsid w:val="002B7F82"/>
    <w:rsid w:val="002C15A0"/>
    <w:rsid w:val="002C22CF"/>
    <w:rsid w:val="002C3E51"/>
    <w:rsid w:val="002C504B"/>
    <w:rsid w:val="002D6A10"/>
    <w:rsid w:val="002D6BDB"/>
    <w:rsid w:val="002D744A"/>
    <w:rsid w:val="002D7D0E"/>
    <w:rsid w:val="002E024D"/>
    <w:rsid w:val="002E1075"/>
    <w:rsid w:val="002E5643"/>
    <w:rsid w:val="002E678E"/>
    <w:rsid w:val="002E708A"/>
    <w:rsid w:val="002F06CE"/>
    <w:rsid w:val="002F5587"/>
    <w:rsid w:val="002F741D"/>
    <w:rsid w:val="00300B84"/>
    <w:rsid w:val="00301A6D"/>
    <w:rsid w:val="0030247A"/>
    <w:rsid w:val="00303955"/>
    <w:rsid w:val="00304810"/>
    <w:rsid w:val="003061FB"/>
    <w:rsid w:val="00306270"/>
    <w:rsid w:val="0031008A"/>
    <w:rsid w:val="0031259B"/>
    <w:rsid w:val="00314298"/>
    <w:rsid w:val="003176D3"/>
    <w:rsid w:val="003228DE"/>
    <w:rsid w:val="00323C8A"/>
    <w:rsid w:val="00326096"/>
    <w:rsid w:val="003334FB"/>
    <w:rsid w:val="0033779C"/>
    <w:rsid w:val="00337AC6"/>
    <w:rsid w:val="00343A18"/>
    <w:rsid w:val="0034476B"/>
    <w:rsid w:val="00346CE0"/>
    <w:rsid w:val="00354ABE"/>
    <w:rsid w:val="00360657"/>
    <w:rsid w:val="00366AFE"/>
    <w:rsid w:val="00367B98"/>
    <w:rsid w:val="00374F73"/>
    <w:rsid w:val="00375F30"/>
    <w:rsid w:val="00376F09"/>
    <w:rsid w:val="00380AC5"/>
    <w:rsid w:val="00381382"/>
    <w:rsid w:val="003814A5"/>
    <w:rsid w:val="00381B26"/>
    <w:rsid w:val="00385772"/>
    <w:rsid w:val="00387734"/>
    <w:rsid w:val="0039139B"/>
    <w:rsid w:val="003913FB"/>
    <w:rsid w:val="00392998"/>
    <w:rsid w:val="00395460"/>
    <w:rsid w:val="00396152"/>
    <w:rsid w:val="00397D0E"/>
    <w:rsid w:val="003A1D77"/>
    <w:rsid w:val="003A24AD"/>
    <w:rsid w:val="003A40AD"/>
    <w:rsid w:val="003A6A32"/>
    <w:rsid w:val="003B1693"/>
    <w:rsid w:val="003B32EC"/>
    <w:rsid w:val="003B3488"/>
    <w:rsid w:val="003B5E55"/>
    <w:rsid w:val="003B5F6A"/>
    <w:rsid w:val="003B63BE"/>
    <w:rsid w:val="003B7B62"/>
    <w:rsid w:val="003C072B"/>
    <w:rsid w:val="003C3D3D"/>
    <w:rsid w:val="003D0448"/>
    <w:rsid w:val="003D1A86"/>
    <w:rsid w:val="003D3E7E"/>
    <w:rsid w:val="003D7F0B"/>
    <w:rsid w:val="003E145E"/>
    <w:rsid w:val="003E171B"/>
    <w:rsid w:val="003E4132"/>
    <w:rsid w:val="003E58C7"/>
    <w:rsid w:val="003E5A6D"/>
    <w:rsid w:val="003E5D7B"/>
    <w:rsid w:val="003E637A"/>
    <w:rsid w:val="003F0341"/>
    <w:rsid w:val="003F288B"/>
    <w:rsid w:val="003F2B20"/>
    <w:rsid w:val="003F2C34"/>
    <w:rsid w:val="003F30FC"/>
    <w:rsid w:val="003F45CD"/>
    <w:rsid w:val="003F4CC7"/>
    <w:rsid w:val="003F7C94"/>
    <w:rsid w:val="00401397"/>
    <w:rsid w:val="004038BC"/>
    <w:rsid w:val="00406AE2"/>
    <w:rsid w:val="0041036A"/>
    <w:rsid w:val="0041316A"/>
    <w:rsid w:val="004158F6"/>
    <w:rsid w:val="00415A66"/>
    <w:rsid w:val="00416A31"/>
    <w:rsid w:val="00417136"/>
    <w:rsid w:val="004224C2"/>
    <w:rsid w:val="00423B46"/>
    <w:rsid w:val="00425AA9"/>
    <w:rsid w:val="00426250"/>
    <w:rsid w:val="00426A69"/>
    <w:rsid w:val="00426B77"/>
    <w:rsid w:val="00431019"/>
    <w:rsid w:val="00433EC2"/>
    <w:rsid w:val="004352F7"/>
    <w:rsid w:val="0043554A"/>
    <w:rsid w:val="004362D3"/>
    <w:rsid w:val="00442A8B"/>
    <w:rsid w:val="00442D1E"/>
    <w:rsid w:val="00443016"/>
    <w:rsid w:val="00444344"/>
    <w:rsid w:val="00445945"/>
    <w:rsid w:val="00450691"/>
    <w:rsid w:val="00450D9C"/>
    <w:rsid w:val="00452140"/>
    <w:rsid w:val="00453BB3"/>
    <w:rsid w:val="004619FE"/>
    <w:rsid w:val="00463574"/>
    <w:rsid w:val="004666F3"/>
    <w:rsid w:val="00467343"/>
    <w:rsid w:val="0047031A"/>
    <w:rsid w:val="004741BD"/>
    <w:rsid w:val="00481C20"/>
    <w:rsid w:val="00483B86"/>
    <w:rsid w:val="00485293"/>
    <w:rsid w:val="00485E47"/>
    <w:rsid w:val="00490499"/>
    <w:rsid w:val="00497AB8"/>
    <w:rsid w:val="004A2EE3"/>
    <w:rsid w:val="004A4356"/>
    <w:rsid w:val="004A5EEF"/>
    <w:rsid w:val="004B0B1D"/>
    <w:rsid w:val="004C0738"/>
    <w:rsid w:val="004C0FE6"/>
    <w:rsid w:val="004C20F1"/>
    <w:rsid w:val="004C253C"/>
    <w:rsid w:val="004C2FC4"/>
    <w:rsid w:val="004D0B68"/>
    <w:rsid w:val="004D232B"/>
    <w:rsid w:val="004D3010"/>
    <w:rsid w:val="004D3ABB"/>
    <w:rsid w:val="004E4946"/>
    <w:rsid w:val="004E5D38"/>
    <w:rsid w:val="004E603B"/>
    <w:rsid w:val="004E626B"/>
    <w:rsid w:val="004E6C7D"/>
    <w:rsid w:val="004F13BD"/>
    <w:rsid w:val="004F478F"/>
    <w:rsid w:val="0050230D"/>
    <w:rsid w:val="0050364D"/>
    <w:rsid w:val="00503D17"/>
    <w:rsid w:val="00504D6E"/>
    <w:rsid w:val="005116FB"/>
    <w:rsid w:val="00515D44"/>
    <w:rsid w:val="00531AFF"/>
    <w:rsid w:val="00532875"/>
    <w:rsid w:val="00534305"/>
    <w:rsid w:val="00537FF8"/>
    <w:rsid w:val="005464E6"/>
    <w:rsid w:val="00546938"/>
    <w:rsid w:val="00547ACF"/>
    <w:rsid w:val="00552639"/>
    <w:rsid w:val="00555557"/>
    <w:rsid w:val="00557AA8"/>
    <w:rsid w:val="00566916"/>
    <w:rsid w:val="00566F71"/>
    <w:rsid w:val="00567FC5"/>
    <w:rsid w:val="00571CCF"/>
    <w:rsid w:val="00572180"/>
    <w:rsid w:val="00572337"/>
    <w:rsid w:val="00573FFE"/>
    <w:rsid w:val="00575FC3"/>
    <w:rsid w:val="0057625C"/>
    <w:rsid w:val="00576743"/>
    <w:rsid w:val="005771D5"/>
    <w:rsid w:val="00581784"/>
    <w:rsid w:val="00584453"/>
    <w:rsid w:val="00591838"/>
    <w:rsid w:val="00592809"/>
    <w:rsid w:val="00593343"/>
    <w:rsid w:val="00594A83"/>
    <w:rsid w:val="005A4807"/>
    <w:rsid w:val="005A5A80"/>
    <w:rsid w:val="005B297A"/>
    <w:rsid w:val="005B29EF"/>
    <w:rsid w:val="005B2DA5"/>
    <w:rsid w:val="005B476F"/>
    <w:rsid w:val="005B5F05"/>
    <w:rsid w:val="005B6095"/>
    <w:rsid w:val="005B65B8"/>
    <w:rsid w:val="005B6A0D"/>
    <w:rsid w:val="005B6D1C"/>
    <w:rsid w:val="005C04E5"/>
    <w:rsid w:val="005C1764"/>
    <w:rsid w:val="005C3B2C"/>
    <w:rsid w:val="005C3D03"/>
    <w:rsid w:val="005C51FA"/>
    <w:rsid w:val="005C5413"/>
    <w:rsid w:val="005C63C7"/>
    <w:rsid w:val="005C6628"/>
    <w:rsid w:val="005C6B2C"/>
    <w:rsid w:val="005C73E4"/>
    <w:rsid w:val="005C7B1F"/>
    <w:rsid w:val="005D06E8"/>
    <w:rsid w:val="005D1195"/>
    <w:rsid w:val="005D2167"/>
    <w:rsid w:val="005D688E"/>
    <w:rsid w:val="005D794E"/>
    <w:rsid w:val="005E30B2"/>
    <w:rsid w:val="005E39B3"/>
    <w:rsid w:val="005E4164"/>
    <w:rsid w:val="005F3FC6"/>
    <w:rsid w:val="005F75C4"/>
    <w:rsid w:val="006002BF"/>
    <w:rsid w:val="00600301"/>
    <w:rsid w:val="006008D1"/>
    <w:rsid w:val="00611ADA"/>
    <w:rsid w:val="00611E18"/>
    <w:rsid w:val="00611FC0"/>
    <w:rsid w:val="00613A4A"/>
    <w:rsid w:val="00614157"/>
    <w:rsid w:val="00614A2A"/>
    <w:rsid w:val="00614ECD"/>
    <w:rsid w:val="006231D7"/>
    <w:rsid w:val="00626031"/>
    <w:rsid w:val="00630C6C"/>
    <w:rsid w:val="00630ED2"/>
    <w:rsid w:val="00631935"/>
    <w:rsid w:val="00636B91"/>
    <w:rsid w:val="006373FF"/>
    <w:rsid w:val="00646A6F"/>
    <w:rsid w:val="00653397"/>
    <w:rsid w:val="006535C3"/>
    <w:rsid w:val="006553CD"/>
    <w:rsid w:val="006559F5"/>
    <w:rsid w:val="00661782"/>
    <w:rsid w:val="00662C11"/>
    <w:rsid w:val="00672822"/>
    <w:rsid w:val="006729D2"/>
    <w:rsid w:val="00673B07"/>
    <w:rsid w:val="00673BC6"/>
    <w:rsid w:val="006775B3"/>
    <w:rsid w:val="00684808"/>
    <w:rsid w:val="00690F72"/>
    <w:rsid w:val="006B2D92"/>
    <w:rsid w:val="006B2FEF"/>
    <w:rsid w:val="006B4B31"/>
    <w:rsid w:val="006B6581"/>
    <w:rsid w:val="006B6D6C"/>
    <w:rsid w:val="006C20C5"/>
    <w:rsid w:val="006C5ECD"/>
    <w:rsid w:val="006D1520"/>
    <w:rsid w:val="006D2482"/>
    <w:rsid w:val="006D2F0C"/>
    <w:rsid w:val="006D3604"/>
    <w:rsid w:val="006D536E"/>
    <w:rsid w:val="006D5EB4"/>
    <w:rsid w:val="006E2082"/>
    <w:rsid w:val="006E3BE5"/>
    <w:rsid w:val="006E5D5B"/>
    <w:rsid w:val="006E67BA"/>
    <w:rsid w:val="006F2362"/>
    <w:rsid w:val="006F47EB"/>
    <w:rsid w:val="006F4DE9"/>
    <w:rsid w:val="006F61B5"/>
    <w:rsid w:val="006F71C2"/>
    <w:rsid w:val="007008B0"/>
    <w:rsid w:val="00700AC3"/>
    <w:rsid w:val="00700E68"/>
    <w:rsid w:val="00701065"/>
    <w:rsid w:val="0070175E"/>
    <w:rsid w:val="00703DC5"/>
    <w:rsid w:val="007040F2"/>
    <w:rsid w:val="0071279F"/>
    <w:rsid w:val="007153C5"/>
    <w:rsid w:val="007161D3"/>
    <w:rsid w:val="00720C35"/>
    <w:rsid w:val="00720E7B"/>
    <w:rsid w:val="007262F0"/>
    <w:rsid w:val="007314F1"/>
    <w:rsid w:val="00731BE9"/>
    <w:rsid w:val="00731E2B"/>
    <w:rsid w:val="00733C32"/>
    <w:rsid w:val="007420D7"/>
    <w:rsid w:val="0074545C"/>
    <w:rsid w:val="00752DBC"/>
    <w:rsid w:val="00753FF4"/>
    <w:rsid w:val="0075411D"/>
    <w:rsid w:val="00756F8A"/>
    <w:rsid w:val="00757367"/>
    <w:rsid w:val="00760295"/>
    <w:rsid w:val="00760B97"/>
    <w:rsid w:val="00762675"/>
    <w:rsid w:val="00762FC8"/>
    <w:rsid w:val="00765825"/>
    <w:rsid w:val="007700D3"/>
    <w:rsid w:val="00770970"/>
    <w:rsid w:val="0077131C"/>
    <w:rsid w:val="0077138B"/>
    <w:rsid w:val="0077534E"/>
    <w:rsid w:val="0078045E"/>
    <w:rsid w:val="00780B70"/>
    <w:rsid w:val="00782847"/>
    <w:rsid w:val="00783777"/>
    <w:rsid w:val="00783D20"/>
    <w:rsid w:val="00785232"/>
    <w:rsid w:val="007862D0"/>
    <w:rsid w:val="0079247D"/>
    <w:rsid w:val="00794F2D"/>
    <w:rsid w:val="007954D3"/>
    <w:rsid w:val="00796159"/>
    <w:rsid w:val="00797AAD"/>
    <w:rsid w:val="007A2F02"/>
    <w:rsid w:val="007A5127"/>
    <w:rsid w:val="007A5C51"/>
    <w:rsid w:val="007B41D7"/>
    <w:rsid w:val="007C1A7D"/>
    <w:rsid w:val="007C4094"/>
    <w:rsid w:val="007C45C5"/>
    <w:rsid w:val="007C608D"/>
    <w:rsid w:val="007D50AE"/>
    <w:rsid w:val="007E1EA6"/>
    <w:rsid w:val="007E2FDE"/>
    <w:rsid w:val="007E4C1F"/>
    <w:rsid w:val="007E6943"/>
    <w:rsid w:val="007F0204"/>
    <w:rsid w:val="007F5C3C"/>
    <w:rsid w:val="007F5C58"/>
    <w:rsid w:val="007F6449"/>
    <w:rsid w:val="007F6674"/>
    <w:rsid w:val="0080630B"/>
    <w:rsid w:val="00806AB5"/>
    <w:rsid w:val="00807142"/>
    <w:rsid w:val="008074E3"/>
    <w:rsid w:val="00807802"/>
    <w:rsid w:val="0080799C"/>
    <w:rsid w:val="00810C18"/>
    <w:rsid w:val="00814421"/>
    <w:rsid w:val="00814AFC"/>
    <w:rsid w:val="00814B22"/>
    <w:rsid w:val="00822862"/>
    <w:rsid w:val="0082350A"/>
    <w:rsid w:val="0082597B"/>
    <w:rsid w:val="00831A5D"/>
    <w:rsid w:val="00831DB4"/>
    <w:rsid w:val="008365EC"/>
    <w:rsid w:val="00837390"/>
    <w:rsid w:val="00844176"/>
    <w:rsid w:val="008503CA"/>
    <w:rsid w:val="0085318D"/>
    <w:rsid w:val="008565FB"/>
    <w:rsid w:val="00871516"/>
    <w:rsid w:val="00871E2F"/>
    <w:rsid w:val="008764DD"/>
    <w:rsid w:val="00877499"/>
    <w:rsid w:val="008841EB"/>
    <w:rsid w:val="0088688D"/>
    <w:rsid w:val="00891622"/>
    <w:rsid w:val="00891C00"/>
    <w:rsid w:val="00895E41"/>
    <w:rsid w:val="0089734D"/>
    <w:rsid w:val="008A0A32"/>
    <w:rsid w:val="008A1056"/>
    <w:rsid w:val="008A7CC5"/>
    <w:rsid w:val="008B1CC3"/>
    <w:rsid w:val="008B206C"/>
    <w:rsid w:val="008B56DF"/>
    <w:rsid w:val="008B5B2C"/>
    <w:rsid w:val="008B5EFB"/>
    <w:rsid w:val="008C7959"/>
    <w:rsid w:val="008D4F09"/>
    <w:rsid w:val="008D65D5"/>
    <w:rsid w:val="008D75EB"/>
    <w:rsid w:val="008D7F23"/>
    <w:rsid w:val="008E1F57"/>
    <w:rsid w:val="008E751B"/>
    <w:rsid w:val="00900C33"/>
    <w:rsid w:val="0090193D"/>
    <w:rsid w:val="009034C7"/>
    <w:rsid w:val="00907DD7"/>
    <w:rsid w:val="00910BBC"/>
    <w:rsid w:val="009165D6"/>
    <w:rsid w:val="00917D6F"/>
    <w:rsid w:val="00921504"/>
    <w:rsid w:val="00922352"/>
    <w:rsid w:val="0092710C"/>
    <w:rsid w:val="0093112B"/>
    <w:rsid w:val="0093298F"/>
    <w:rsid w:val="00942D63"/>
    <w:rsid w:val="0094437B"/>
    <w:rsid w:val="009455DB"/>
    <w:rsid w:val="00951ED7"/>
    <w:rsid w:val="00954428"/>
    <w:rsid w:val="00954541"/>
    <w:rsid w:val="00954C0F"/>
    <w:rsid w:val="00956218"/>
    <w:rsid w:val="00956C4B"/>
    <w:rsid w:val="00957E64"/>
    <w:rsid w:val="00961605"/>
    <w:rsid w:val="00963C88"/>
    <w:rsid w:val="00966814"/>
    <w:rsid w:val="00970D58"/>
    <w:rsid w:val="00993596"/>
    <w:rsid w:val="009A692C"/>
    <w:rsid w:val="009A7E10"/>
    <w:rsid w:val="009B1CEB"/>
    <w:rsid w:val="009B2576"/>
    <w:rsid w:val="009B3AE3"/>
    <w:rsid w:val="009B43EB"/>
    <w:rsid w:val="009B584C"/>
    <w:rsid w:val="009B6613"/>
    <w:rsid w:val="009B7000"/>
    <w:rsid w:val="009B75D4"/>
    <w:rsid w:val="009C061A"/>
    <w:rsid w:val="009C108E"/>
    <w:rsid w:val="009C1FE8"/>
    <w:rsid w:val="009C228A"/>
    <w:rsid w:val="009C282F"/>
    <w:rsid w:val="009C2E2D"/>
    <w:rsid w:val="009C3257"/>
    <w:rsid w:val="009C7F6E"/>
    <w:rsid w:val="009D0A96"/>
    <w:rsid w:val="009D1051"/>
    <w:rsid w:val="009D43B2"/>
    <w:rsid w:val="009E5C84"/>
    <w:rsid w:val="009F0FC9"/>
    <w:rsid w:val="009F1A7E"/>
    <w:rsid w:val="00A03E32"/>
    <w:rsid w:val="00A13FC8"/>
    <w:rsid w:val="00A14369"/>
    <w:rsid w:val="00A154D5"/>
    <w:rsid w:val="00A2067E"/>
    <w:rsid w:val="00A21F19"/>
    <w:rsid w:val="00A229AC"/>
    <w:rsid w:val="00A23E8B"/>
    <w:rsid w:val="00A25225"/>
    <w:rsid w:val="00A26676"/>
    <w:rsid w:val="00A267B2"/>
    <w:rsid w:val="00A27A02"/>
    <w:rsid w:val="00A30DAB"/>
    <w:rsid w:val="00A32A3F"/>
    <w:rsid w:val="00A337C5"/>
    <w:rsid w:val="00A33B10"/>
    <w:rsid w:val="00A34EAB"/>
    <w:rsid w:val="00A37CD5"/>
    <w:rsid w:val="00A41FB2"/>
    <w:rsid w:val="00A468F1"/>
    <w:rsid w:val="00A541ED"/>
    <w:rsid w:val="00A562DC"/>
    <w:rsid w:val="00A56E9B"/>
    <w:rsid w:val="00A66F1F"/>
    <w:rsid w:val="00A73448"/>
    <w:rsid w:val="00A86F1C"/>
    <w:rsid w:val="00A9174A"/>
    <w:rsid w:val="00A92A07"/>
    <w:rsid w:val="00A93054"/>
    <w:rsid w:val="00A969CC"/>
    <w:rsid w:val="00A96C8D"/>
    <w:rsid w:val="00A9708B"/>
    <w:rsid w:val="00AB3EB4"/>
    <w:rsid w:val="00AB6AE8"/>
    <w:rsid w:val="00AC24BD"/>
    <w:rsid w:val="00AD3D79"/>
    <w:rsid w:val="00AD5C75"/>
    <w:rsid w:val="00AD6AEF"/>
    <w:rsid w:val="00AE0055"/>
    <w:rsid w:val="00AE091D"/>
    <w:rsid w:val="00AE5675"/>
    <w:rsid w:val="00AE57EC"/>
    <w:rsid w:val="00AF1C04"/>
    <w:rsid w:val="00AF254A"/>
    <w:rsid w:val="00AF36C9"/>
    <w:rsid w:val="00AF5DF5"/>
    <w:rsid w:val="00B02EDD"/>
    <w:rsid w:val="00B10B94"/>
    <w:rsid w:val="00B111A5"/>
    <w:rsid w:val="00B117F2"/>
    <w:rsid w:val="00B13379"/>
    <w:rsid w:val="00B13C6F"/>
    <w:rsid w:val="00B14D75"/>
    <w:rsid w:val="00B15DBA"/>
    <w:rsid w:val="00B2297A"/>
    <w:rsid w:val="00B230F6"/>
    <w:rsid w:val="00B26202"/>
    <w:rsid w:val="00B300C7"/>
    <w:rsid w:val="00B32793"/>
    <w:rsid w:val="00B404B6"/>
    <w:rsid w:val="00B414FF"/>
    <w:rsid w:val="00B4164D"/>
    <w:rsid w:val="00B450C4"/>
    <w:rsid w:val="00B457C4"/>
    <w:rsid w:val="00B462F7"/>
    <w:rsid w:val="00B4697F"/>
    <w:rsid w:val="00B46A16"/>
    <w:rsid w:val="00B51427"/>
    <w:rsid w:val="00B5564B"/>
    <w:rsid w:val="00B55A30"/>
    <w:rsid w:val="00B618A9"/>
    <w:rsid w:val="00B621AF"/>
    <w:rsid w:val="00B652FE"/>
    <w:rsid w:val="00B65CF6"/>
    <w:rsid w:val="00B700CC"/>
    <w:rsid w:val="00B74B38"/>
    <w:rsid w:val="00B762A0"/>
    <w:rsid w:val="00B77E56"/>
    <w:rsid w:val="00B80371"/>
    <w:rsid w:val="00B8269F"/>
    <w:rsid w:val="00B837AE"/>
    <w:rsid w:val="00B83EED"/>
    <w:rsid w:val="00B85A89"/>
    <w:rsid w:val="00B868AD"/>
    <w:rsid w:val="00B9742D"/>
    <w:rsid w:val="00BB0BAA"/>
    <w:rsid w:val="00BB1EA2"/>
    <w:rsid w:val="00BB480B"/>
    <w:rsid w:val="00BB4E62"/>
    <w:rsid w:val="00BC608E"/>
    <w:rsid w:val="00BC69DC"/>
    <w:rsid w:val="00BC7045"/>
    <w:rsid w:val="00BD20AE"/>
    <w:rsid w:val="00BD7AE1"/>
    <w:rsid w:val="00BE15E4"/>
    <w:rsid w:val="00BE6127"/>
    <w:rsid w:val="00BF13E6"/>
    <w:rsid w:val="00BF15B9"/>
    <w:rsid w:val="00BF7BD9"/>
    <w:rsid w:val="00BF7D60"/>
    <w:rsid w:val="00C017FE"/>
    <w:rsid w:val="00C0447C"/>
    <w:rsid w:val="00C04CAF"/>
    <w:rsid w:val="00C050AF"/>
    <w:rsid w:val="00C05EF2"/>
    <w:rsid w:val="00C12263"/>
    <w:rsid w:val="00C12CF8"/>
    <w:rsid w:val="00C15EB7"/>
    <w:rsid w:val="00C212B4"/>
    <w:rsid w:val="00C21746"/>
    <w:rsid w:val="00C220E6"/>
    <w:rsid w:val="00C23427"/>
    <w:rsid w:val="00C23F73"/>
    <w:rsid w:val="00C25016"/>
    <w:rsid w:val="00C2517F"/>
    <w:rsid w:val="00C26333"/>
    <w:rsid w:val="00C264E6"/>
    <w:rsid w:val="00C26E37"/>
    <w:rsid w:val="00C271E6"/>
    <w:rsid w:val="00C32C97"/>
    <w:rsid w:val="00C35A54"/>
    <w:rsid w:val="00C416DB"/>
    <w:rsid w:val="00C423B7"/>
    <w:rsid w:val="00C42887"/>
    <w:rsid w:val="00C42ACD"/>
    <w:rsid w:val="00C446A5"/>
    <w:rsid w:val="00C52004"/>
    <w:rsid w:val="00C6333E"/>
    <w:rsid w:val="00C633A8"/>
    <w:rsid w:val="00C65AAE"/>
    <w:rsid w:val="00C66A4D"/>
    <w:rsid w:val="00C7141D"/>
    <w:rsid w:val="00C72945"/>
    <w:rsid w:val="00C77C68"/>
    <w:rsid w:val="00C85115"/>
    <w:rsid w:val="00C86896"/>
    <w:rsid w:val="00C86AE5"/>
    <w:rsid w:val="00C933DE"/>
    <w:rsid w:val="00CA082C"/>
    <w:rsid w:val="00CA0BCB"/>
    <w:rsid w:val="00CA373F"/>
    <w:rsid w:val="00CB2A80"/>
    <w:rsid w:val="00CB5A26"/>
    <w:rsid w:val="00CB6AC4"/>
    <w:rsid w:val="00CD1C12"/>
    <w:rsid w:val="00CD1F7F"/>
    <w:rsid w:val="00CE0AC5"/>
    <w:rsid w:val="00CE1DD6"/>
    <w:rsid w:val="00CE35E1"/>
    <w:rsid w:val="00CE5541"/>
    <w:rsid w:val="00CF4607"/>
    <w:rsid w:val="00CF6767"/>
    <w:rsid w:val="00CF747C"/>
    <w:rsid w:val="00D00576"/>
    <w:rsid w:val="00D0207F"/>
    <w:rsid w:val="00D04299"/>
    <w:rsid w:val="00D05A7A"/>
    <w:rsid w:val="00D12B80"/>
    <w:rsid w:val="00D13BD0"/>
    <w:rsid w:val="00D13D6F"/>
    <w:rsid w:val="00D165F4"/>
    <w:rsid w:val="00D16C33"/>
    <w:rsid w:val="00D20CC5"/>
    <w:rsid w:val="00D217AC"/>
    <w:rsid w:val="00D31BE1"/>
    <w:rsid w:val="00D37973"/>
    <w:rsid w:val="00D41F46"/>
    <w:rsid w:val="00D42754"/>
    <w:rsid w:val="00D455A4"/>
    <w:rsid w:val="00D5265D"/>
    <w:rsid w:val="00D62E09"/>
    <w:rsid w:val="00D64101"/>
    <w:rsid w:val="00D64FFD"/>
    <w:rsid w:val="00D70AAA"/>
    <w:rsid w:val="00D71684"/>
    <w:rsid w:val="00D767E6"/>
    <w:rsid w:val="00D76D7C"/>
    <w:rsid w:val="00D77A0C"/>
    <w:rsid w:val="00D8131B"/>
    <w:rsid w:val="00D81D94"/>
    <w:rsid w:val="00D8420C"/>
    <w:rsid w:val="00D84DE0"/>
    <w:rsid w:val="00D96FBA"/>
    <w:rsid w:val="00DA1FCE"/>
    <w:rsid w:val="00DA239C"/>
    <w:rsid w:val="00DB3228"/>
    <w:rsid w:val="00DB3721"/>
    <w:rsid w:val="00DB3D04"/>
    <w:rsid w:val="00DC64F8"/>
    <w:rsid w:val="00DC72F1"/>
    <w:rsid w:val="00DD00BE"/>
    <w:rsid w:val="00DD02D4"/>
    <w:rsid w:val="00DD0953"/>
    <w:rsid w:val="00DD1CB9"/>
    <w:rsid w:val="00DD1F77"/>
    <w:rsid w:val="00DD2637"/>
    <w:rsid w:val="00DD2F35"/>
    <w:rsid w:val="00DF3993"/>
    <w:rsid w:val="00DF6E16"/>
    <w:rsid w:val="00E00218"/>
    <w:rsid w:val="00E018E1"/>
    <w:rsid w:val="00E0333C"/>
    <w:rsid w:val="00E0484E"/>
    <w:rsid w:val="00E07AC4"/>
    <w:rsid w:val="00E10305"/>
    <w:rsid w:val="00E1062C"/>
    <w:rsid w:val="00E1136D"/>
    <w:rsid w:val="00E116BA"/>
    <w:rsid w:val="00E11D29"/>
    <w:rsid w:val="00E15447"/>
    <w:rsid w:val="00E15B7B"/>
    <w:rsid w:val="00E20773"/>
    <w:rsid w:val="00E2107F"/>
    <w:rsid w:val="00E23059"/>
    <w:rsid w:val="00E231E0"/>
    <w:rsid w:val="00E30352"/>
    <w:rsid w:val="00E33146"/>
    <w:rsid w:val="00E37F50"/>
    <w:rsid w:val="00E40942"/>
    <w:rsid w:val="00E50E6F"/>
    <w:rsid w:val="00E539B3"/>
    <w:rsid w:val="00E55EC8"/>
    <w:rsid w:val="00E56469"/>
    <w:rsid w:val="00E56D02"/>
    <w:rsid w:val="00E57209"/>
    <w:rsid w:val="00E5727D"/>
    <w:rsid w:val="00E713A7"/>
    <w:rsid w:val="00E72404"/>
    <w:rsid w:val="00E74A15"/>
    <w:rsid w:val="00E7567F"/>
    <w:rsid w:val="00E85807"/>
    <w:rsid w:val="00E86ACB"/>
    <w:rsid w:val="00E900E0"/>
    <w:rsid w:val="00E9122B"/>
    <w:rsid w:val="00E93CFE"/>
    <w:rsid w:val="00E953B9"/>
    <w:rsid w:val="00EA0EBB"/>
    <w:rsid w:val="00EA1619"/>
    <w:rsid w:val="00EA49CE"/>
    <w:rsid w:val="00EA6CD3"/>
    <w:rsid w:val="00EB184B"/>
    <w:rsid w:val="00EC03E6"/>
    <w:rsid w:val="00EC218F"/>
    <w:rsid w:val="00ED053C"/>
    <w:rsid w:val="00ED0A46"/>
    <w:rsid w:val="00ED18C9"/>
    <w:rsid w:val="00ED2979"/>
    <w:rsid w:val="00ED377A"/>
    <w:rsid w:val="00ED4255"/>
    <w:rsid w:val="00ED5CF7"/>
    <w:rsid w:val="00ED603E"/>
    <w:rsid w:val="00EE44FE"/>
    <w:rsid w:val="00EE4A54"/>
    <w:rsid w:val="00EE4C51"/>
    <w:rsid w:val="00EE61BD"/>
    <w:rsid w:val="00EE7BA0"/>
    <w:rsid w:val="00EF2696"/>
    <w:rsid w:val="00EF55B6"/>
    <w:rsid w:val="00F019FA"/>
    <w:rsid w:val="00F02EB7"/>
    <w:rsid w:val="00F0662E"/>
    <w:rsid w:val="00F066C5"/>
    <w:rsid w:val="00F15773"/>
    <w:rsid w:val="00F30608"/>
    <w:rsid w:val="00F30A0A"/>
    <w:rsid w:val="00F32822"/>
    <w:rsid w:val="00F352DD"/>
    <w:rsid w:val="00F40762"/>
    <w:rsid w:val="00F40F20"/>
    <w:rsid w:val="00F418C2"/>
    <w:rsid w:val="00F42208"/>
    <w:rsid w:val="00F449A8"/>
    <w:rsid w:val="00F44B3E"/>
    <w:rsid w:val="00F51164"/>
    <w:rsid w:val="00F53217"/>
    <w:rsid w:val="00F542FA"/>
    <w:rsid w:val="00F652EB"/>
    <w:rsid w:val="00F70443"/>
    <w:rsid w:val="00F7097D"/>
    <w:rsid w:val="00F716EF"/>
    <w:rsid w:val="00F77D50"/>
    <w:rsid w:val="00F81A0A"/>
    <w:rsid w:val="00F838F0"/>
    <w:rsid w:val="00F858D1"/>
    <w:rsid w:val="00F9016C"/>
    <w:rsid w:val="00F929ED"/>
    <w:rsid w:val="00F9305D"/>
    <w:rsid w:val="00F94D89"/>
    <w:rsid w:val="00F9522F"/>
    <w:rsid w:val="00FA3AB1"/>
    <w:rsid w:val="00FA4EC5"/>
    <w:rsid w:val="00FA5EE1"/>
    <w:rsid w:val="00FB1472"/>
    <w:rsid w:val="00FC3C7A"/>
    <w:rsid w:val="00FC6839"/>
    <w:rsid w:val="00FD061B"/>
    <w:rsid w:val="00FD5F34"/>
    <w:rsid w:val="00FD5FEF"/>
    <w:rsid w:val="00FE2D33"/>
    <w:rsid w:val="00FE6FC3"/>
    <w:rsid w:val="00FE76B5"/>
    <w:rsid w:val="00FE76D2"/>
    <w:rsid w:val="00FF22AC"/>
    <w:rsid w:val="00FF3664"/>
    <w:rsid w:val="00FF42CE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049DE3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605"/>
  </w:style>
  <w:style w:type="character" w:customStyle="1" w:styleId="CommentTextChar">
    <w:name w:val="Comment Text Char"/>
    <w:basedOn w:val="DefaultParagraphFont"/>
    <w:link w:val="CommentText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4/651?locale=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eli/reg/2014/651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D445-E995-4311-B4CB-AF39FAE5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12315</Words>
  <Characters>7020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19297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Signe Tuklere</dc:creator>
  <dc:description>67013298
Signe.Tuklere@em.gov</dc:description>
  <cp:lastModifiedBy>Signe Tuklere</cp:lastModifiedBy>
  <cp:revision>10</cp:revision>
  <cp:lastPrinted>2017-07-21T07:32:00Z</cp:lastPrinted>
  <dcterms:created xsi:type="dcterms:W3CDTF">2017-10-25T05:56:00Z</dcterms:created>
  <dcterms:modified xsi:type="dcterms:W3CDTF">2017-12-19T07:08:00Z</dcterms:modified>
</cp:coreProperties>
</file>