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76758" w14:textId="218D3B6D" w:rsidR="009571E0" w:rsidRDefault="009571E0" w:rsidP="009571E0">
      <w:pPr>
        <w:rPr>
          <w:rFonts w:cs="Times New Roman"/>
          <w:sz w:val="26"/>
          <w:szCs w:val="26"/>
        </w:rPr>
      </w:pPr>
    </w:p>
    <w:p w14:paraId="422D8795" w14:textId="77777777" w:rsidR="00331407" w:rsidRPr="00C7632C" w:rsidRDefault="00331407" w:rsidP="009571E0">
      <w:pPr>
        <w:rPr>
          <w:rFonts w:cs="Times New Roman"/>
          <w:sz w:val="26"/>
          <w:szCs w:val="26"/>
        </w:rPr>
      </w:pPr>
    </w:p>
    <w:p w14:paraId="0EABB539" w14:textId="3DD927C4" w:rsidR="00331407" w:rsidRPr="00BE0FB0" w:rsidRDefault="00331407" w:rsidP="00275B28">
      <w:pPr>
        <w:tabs>
          <w:tab w:val="left" w:pos="6663"/>
        </w:tabs>
        <w:rPr>
          <w:rFonts w:cs="Times New Roman"/>
          <w:szCs w:val="28"/>
        </w:rPr>
      </w:pPr>
      <w:r w:rsidRPr="00BE0FB0">
        <w:rPr>
          <w:rFonts w:cs="Times New Roman"/>
          <w:szCs w:val="28"/>
        </w:rPr>
        <w:t xml:space="preserve">2018. gada </w:t>
      </w:r>
      <w:r w:rsidR="00563D0C">
        <w:rPr>
          <w:rFonts w:cs="Times New Roman"/>
          <w:szCs w:val="28"/>
        </w:rPr>
        <w:t>23. janvārī</w:t>
      </w:r>
      <w:r w:rsidRPr="00BE0FB0">
        <w:rPr>
          <w:rFonts w:cs="Times New Roman"/>
          <w:szCs w:val="28"/>
        </w:rPr>
        <w:tab/>
        <w:t>Noteikumi Nr.</w:t>
      </w:r>
      <w:r w:rsidR="00563D0C">
        <w:rPr>
          <w:rFonts w:cs="Times New Roman"/>
          <w:szCs w:val="28"/>
        </w:rPr>
        <w:t> 45</w:t>
      </w:r>
    </w:p>
    <w:p w14:paraId="6C541163" w14:textId="4F0CFC20" w:rsidR="00331407" w:rsidRPr="00BE0FB0" w:rsidRDefault="00331407" w:rsidP="00275B28">
      <w:pPr>
        <w:tabs>
          <w:tab w:val="left" w:pos="6663"/>
        </w:tabs>
        <w:rPr>
          <w:rFonts w:cs="Times New Roman"/>
          <w:szCs w:val="28"/>
        </w:rPr>
      </w:pPr>
      <w:r w:rsidRPr="00BE0FB0">
        <w:rPr>
          <w:rFonts w:cs="Times New Roman"/>
          <w:szCs w:val="28"/>
        </w:rPr>
        <w:t>Rīgā</w:t>
      </w:r>
      <w:r w:rsidRPr="00BE0FB0">
        <w:rPr>
          <w:rFonts w:cs="Times New Roman"/>
          <w:szCs w:val="28"/>
        </w:rPr>
        <w:tab/>
        <w:t>(prot. Nr. </w:t>
      </w:r>
      <w:r w:rsidR="00563D0C">
        <w:rPr>
          <w:rFonts w:cs="Times New Roman"/>
          <w:szCs w:val="28"/>
        </w:rPr>
        <w:t>5</w:t>
      </w:r>
      <w:r w:rsidRPr="00BE0FB0">
        <w:rPr>
          <w:rFonts w:cs="Times New Roman"/>
          <w:szCs w:val="28"/>
        </w:rPr>
        <w:t> </w:t>
      </w:r>
      <w:r w:rsidR="00563D0C">
        <w:rPr>
          <w:rFonts w:cs="Times New Roman"/>
          <w:szCs w:val="28"/>
        </w:rPr>
        <w:t>9</w:t>
      </w:r>
      <w:bookmarkStart w:id="0" w:name="_GoBack"/>
      <w:bookmarkEnd w:id="0"/>
      <w:r w:rsidRPr="00BE0FB0">
        <w:rPr>
          <w:rFonts w:cs="Times New Roman"/>
          <w:szCs w:val="28"/>
        </w:rPr>
        <w:t>. §)</w:t>
      </w:r>
    </w:p>
    <w:p w14:paraId="69D60F90" w14:textId="6756F96D" w:rsidR="009571E0" w:rsidRPr="00BE0FB0" w:rsidRDefault="009571E0" w:rsidP="009571E0">
      <w:pPr>
        <w:tabs>
          <w:tab w:val="left" w:pos="6804"/>
        </w:tabs>
        <w:rPr>
          <w:rFonts w:cs="Times New Roman"/>
          <w:szCs w:val="28"/>
        </w:rPr>
      </w:pPr>
    </w:p>
    <w:p w14:paraId="67101B33" w14:textId="3DA3C083" w:rsidR="009571E0" w:rsidRPr="00BE0FB0" w:rsidRDefault="009571E0" w:rsidP="009571E0">
      <w:pPr>
        <w:pStyle w:val="naislab"/>
        <w:spacing w:before="0" w:after="0"/>
        <w:jc w:val="center"/>
        <w:rPr>
          <w:b/>
          <w:sz w:val="28"/>
          <w:szCs w:val="28"/>
        </w:rPr>
      </w:pPr>
      <w:bookmarkStart w:id="1" w:name="OLE_LINK1"/>
      <w:bookmarkStart w:id="2" w:name="OLE_LINK2"/>
      <w:r w:rsidRPr="00BE0FB0">
        <w:rPr>
          <w:b/>
          <w:sz w:val="28"/>
          <w:szCs w:val="28"/>
        </w:rPr>
        <w:t>Grozījumi Ministru kabineta 2000</w:t>
      </w:r>
      <w:r w:rsidR="00331407" w:rsidRPr="00BE0FB0">
        <w:rPr>
          <w:b/>
          <w:sz w:val="28"/>
          <w:szCs w:val="28"/>
        </w:rPr>
        <w:t>. g</w:t>
      </w:r>
      <w:r w:rsidRPr="00BE0FB0">
        <w:rPr>
          <w:b/>
          <w:sz w:val="28"/>
          <w:szCs w:val="28"/>
        </w:rPr>
        <w:t>ada 26</w:t>
      </w:r>
      <w:r w:rsidR="00331407" w:rsidRPr="00BE0FB0">
        <w:rPr>
          <w:b/>
          <w:sz w:val="28"/>
          <w:szCs w:val="28"/>
        </w:rPr>
        <w:t>. s</w:t>
      </w:r>
      <w:r w:rsidRPr="00BE0FB0">
        <w:rPr>
          <w:b/>
          <w:sz w:val="28"/>
          <w:szCs w:val="28"/>
        </w:rPr>
        <w:t>eptembra noteikumos Nr.</w:t>
      </w:r>
      <w:r w:rsidR="00D15E71">
        <w:rPr>
          <w:b/>
          <w:sz w:val="28"/>
          <w:szCs w:val="28"/>
        </w:rPr>
        <w:t> </w:t>
      </w:r>
      <w:r w:rsidRPr="00BE0FB0">
        <w:rPr>
          <w:b/>
          <w:sz w:val="28"/>
          <w:szCs w:val="28"/>
        </w:rPr>
        <w:t xml:space="preserve">332 </w:t>
      </w:r>
      <w:r w:rsidR="00331407" w:rsidRPr="00BE0FB0">
        <w:rPr>
          <w:b/>
          <w:sz w:val="28"/>
          <w:szCs w:val="28"/>
        </w:rPr>
        <w:t>"</w:t>
      </w:r>
      <w:r w:rsidRPr="00BE0FB0">
        <w:rPr>
          <w:b/>
          <w:sz w:val="28"/>
          <w:szCs w:val="28"/>
        </w:rPr>
        <w:t>Noteikumi par benzīna un dīzeļdegvielas atbilstības novērtēšanu</w:t>
      </w:r>
      <w:r w:rsidR="00331407" w:rsidRPr="00BE0FB0">
        <w:rPr>
          <w:b/>
          <w:sz w:val="28"/>
          <w:szCs w:val="28"/>
        </w:rPr>
        <w:t>"</w:t>
      </w:r>
    </w:p>
    <w:p w14:paraId="6FF059A7" w14:textId="77777777" w:rsidR="009571E0" w:rsidRPr="00BE0FB0" w:rsidRDefault="009571E0" w:rsidP="009571E0">
      <w:pPr>
        <w:pStyle w:val="naislab"/>
        <w:spacing w:before="0" w:after="0"/>
        <w:ind w:firstLine="709"/>
        <w:jc w:val="center"/>
        <w:rPr>
          <w:sz w:val="28"/>
          <w:szCs w:val="28"/>
        </w:rPr>
      </w:pPr>
    </w:p>
    <w:p w14:paraId="4799742B" w14:textId="77777777" w:rsidR="00331407" w:rsidRPr="00BE0FB0" w:rsidRDefault="009571E0" w:rsidP="009571E0">
      <w:pPr>
        <w:pStyle w:val="naislab"/>
        <w:spacing w:before="0" w:after="0"/>
        <w:ind w:left="5670" w:firstLine="709"/>
        <w:rPr>
          <w:sz w:val="28"/>
          <w:szCs w:val="28"/>
        </w:rPr>
      </w:pPr>
      <w:r w:rsidRPr="00BE0FB0">
        <w:rPr>
          <w:sz w:val="28"/>
          <w:szCs w:val="28"/>
        </w:rPr>
        <w:t xml:space="preserve">Izdoti saskaņā </w:t>
      </w:r>
      <w:bookmarkStart w:id="3" w:name="p-317659"/>
      <w:bookmarkStart w:id="4" w:name="p1"/>
      <w:bookmarkEnd w:id="3"/>
      <w:bookmarkEnd w:id="4"/>
      <w:r w:rsidRPr="00BE0FB0">
        <w:rPr>
          <w:sz w:val="28"/>
          <w:szCs w:val="28"/>
        </w:rPr>
        <w:t xml:space="preserve">ar likuma </w:t>
      </w:r>
      <w:r w:rsidR="00331407" w:rsidRPr="00BE0FB0">
        <w:rPr>
          <w:sz w:val="28"/>
          <w:szCs w:val="28"/>
        </w:rPr>
        <w:t>"</w:t>
      </w:r>
      <w:r w:rsidRPr="00BE0FB0">
        <w:rPr>
          <w:sz w:val="28"/>
          <w:szCs w:val="28"/>
        </w:rPr>
        <w:t>Par atbilstības novērtēšanu</w:t>
      </w:r>
      <w:r w:rsidR="00331407" w:rsidRPr="00BE0FB0">
        <w:rPr>
          <w:sz w:val="28"/>
          <w:szCs w:val="28"/>
        </w:rPr>
        <w:t>"</w:t>
      </w:r>
      <w:r w:rsidRPr="00BE0FB0">
        <w:rPr>
          <w:sz w:val="28"/>
          <w:szCs w:val="28"/>
        </w:rPr>
        <w:t xml:space="preserve"> </w:t>
      </w:r>
    </w:p>
    <w:p w14:paraId="72AC4B9C" w14:textId="14E245B9" w:rsidR="009571E0" w:rsidRPr="00BE0FB0" w:rsidRDefault="009571E0" w:rsidP="009571E0">
      <w:pPr>
        <w:pStyle w:val="naislab"/>
        <w:spacing w:before="0" w:after="0"/>
        <w:ind w:left="5670" w:firstLine="709"/>
        <w:rPr>
          <w:sz w:val="28"/>
          <w:szCs w:val="28"/>
        </w:rPr>
      </w:pPr>
      <w:r w:rsidRPr="00BE0FB0">
        <w:rPr>
          <w:sz w:val="28"/>
          <w:szCs w:val="28"/>
        </w:rPr>
        <w:t>7</w:t>
      </w:r>
      <w:r w:rsidR="00331407" w:rsidRPr="00BE0FB0">
        <w:rPr>
          <w:sz w:val="28"/>
          <w:szCs w:val="28"/>
        </w:rPr>
        <w:t>. p</w:t>
      </w:r>
      <w:r w:rsidRPr="00BE0FB0">
        <w:rPr>
          <w:sz w:val="28"/>
          <w:szCs w:val="28"/>
        </w:rPr>
        <w:t>antu</w:t>
      </w:r>
    </w:p>
    <w:p w14:paraId="56DD87E5" w14:textId="77777777" w:rsidR="009571E0" w:rsidRPr="00BE0FB0" w:rsidRDefault="009571E0" w:rsidP="009571E0">
      <w:pPr>
        <w:pStyle w:val="naislab"/>
        <w:spacing w:before="0" w:after="0"/>
        <w:ind w:firstLine="709"/>
        <w:rPr>
          <w:sz w:val="28"/>
          <w:szCs w:val="28"/>
        </w:rPr>
      </w:pPr>
    </w:p>
    <w:p w14:paraId="0BB34F82" w14:textId="26060C3A" w:rsidR="009571E0" w:rsidRPr="00BE0FB0" w:rsidRDefault="009571E0" w:rsidP="009571E0">
      <w:pPr>
        <w:spacing w:before="60" w:after="60"/>
        <w:ind w:firstLine="709"/>
        <w:jc w:val="both"/>
        <w:rPr>
          <w:rFonts w:cs="Times New Roman"/>
          <w:b/>
          <w:szCs w:val="28"/>
        </w:rPr>
      </w:pPr>
      <w:bookmarkStart w:id="5" w:name="p-317661"/>
      <w:bookmarkStart w:id="6" w:name="p3"/>
      <w:bookmarkEnd w:id="1"/>
      <w:bookmarkEnd w:id="2"/>
      <w:bookmarkEnd w:id="5"/>
      <w:bookmarkEnd w:id="6"/>
      <w:r w:rsidRPr="00BE0FB0">
        <w:rPr>
          <w:rFonts w:cs="Times New Roman"/>
          <w:szCs w:val="28"/>
        </w:rPr>
        <w:t>1. Izdarīt Ministru kabineta 2000</w:t>
      </w:r>
      <w:r w:rsidR="00331407" w:rsidRPr="00BE0FB0">
        <w:rPr>
          <w:rFonts w:cs="Times New Roman"/>
          <w:szCs w:val="28"/>
        </w:rPr>
        <w:t>. g</w:t>
      </w:r>
      <w:r w:rsidRPr="00BE0FB0">
        <w:rPr>
          <w:rFonts w:cs="Times New Roman"/>
          <w:szCs w:val="28"/>
        </w:rPr>
        <w:t>ada 26</w:t>
      </w:r>
      <w:r w:rsidR="00331407" w:rsidRPr="00BE0FB0">
        <w:rPr>
          <w:rFonts w:cs="Times New Roman"/>
          <w:szCs w:val="28"/>
        </w:rPr>
        <w:t>. s</w:t>
      </w:r>
      <w:r w:rsidRPr="00BE0FB0">
        <w:rPr>
          <w:rFonts w:cs="Times New Roman"/>
          <w:szCs w:val="28"/>
        </w:rPr>
        <w:t>eptembra</w:t>
      </w:r>
      <w:r w:rsidRPr="00BE0FB0">
        <w:rPr>
          <w:rFonts w:cs="Times New Roman"/>
          <w:b/>
          <w:szCs w:val="28"/>
        </w:rPr>
        <w:t xml:space="preserve"> </w:t>
      </w:r>
      <w:r w:rsidRPr="00BE0FB0">
        <w:rPr>
          <w:rFonts w:cs="Times New Roman"/>
          <w:szCs w:val="28"/>
        </w:rPr>
        <w:t>noteikumos Nr.</w:t>
      </w:r>
      <w:r w:rsidR="00D15E71">
        <w:rPr>
          <w:rFonts w:cs="Times New Roman"/>
          <w:szCs w:val="28"/>
        </w:rPr>
        <w:t> </w:t>
      </w:r>
      <w:r w:rsidRPr="00BE0FB0">
        <w:rPr>
          <w:rFonts w:cs="Times New Roman"/>
          <w:szCs w:val="28"/>
        </w:rPr>
        <w:t xml:space="preserve">332 </w:t>
      </w:r>
      <w:r w:rsidR="00331407" w:rsidRPr="00BE0FB0">
        <w:rPr>
          <w:rFonts w:cs="Times New Roman"/>
          <w:szCs w:val="28"/>
        </w:rPr>
        <w:t>"</w:t>
      </w:r>
      <w:r w:rsidRPr="00BE0FB0">
        <w:rPr>
          <w:rFonts w:cs="Times New Roman"/>
          <w:szCs w:val="28"/>
        </w:rPr>
        <w:t>Noteikumi par benzīna un dīzeļdegvielas atbilstības novērtēšanu</w:t>
      </w:r>
      <w:r w:rsidR="00331407" w:rsidRPr="00BE0FB0">
        <w:rPr>
          <w:rFonts w:cs="Times New Roman"/>
          <w:szCs w:val="28"/>
        </w:rPr>
        <w:t>"</w:t>
      </w:r>
      <w:r w:rsidRPr="00BE0FB0">
        <w:rPr>
          <w:rFonts w:cs="Times New Roman"/>
          <w:szCs w:val="28"/>
        </w:rPr>
        <w:t xml:space="preserve"> </w:t>
      </w:r>
      <w:proofErr w:type="gramStart"/>
      <w:r w:rsidRPr="00BE0FB0">
        <w:rPr>
          <w:rFonts w:cs="Times New Roman"/>
          <w:szCs w:val="28"/>
        </w:rPr>
        <w:t>(</w:t>
      </w:r>
      <w:proofErr w:type="gramEnd"/>
      <w:r w:rsidRPr="00BE0FB0">
        <w:rPr>
          <w:rFonts w:cs="Times New Roman"/>
          <w:szCs w:val="28"/>
        </w:rPr>
        <w:t>Latvijas Vēstnesis, 2000, 341./343. nr.; 2002, 111. nr.; 2003, 45., 180. nr.; 2004, 69., 204.</w:t>
      </w:r>
      <w:r w:rsidR="00B96ADE">
        <w:rPr>
          <w:rFonts w:cs="Times New Roman"/>
          <w:szCs w:val="28"/>
        </w:rPr>
        <w:t> </w:t>
      </w:r>
      <w:r w:rsidRPr="00BE0FB0">
        <w:rPr>
          <w:rFonts w:cs="Times New Roman"/>
          <w:szCs w:val="28"/>
        </w:rPr>
        <w:t>nr.; 2005, 24. nr.; 2009, 102., 179. nr.; 2011, 102. nr.; 2012, 81. nr.; 2014, 67. nr.) šādus grozījumus:</w:t>
      </w:r>
      <w:r w:rsidRPr="00BE0FB0">
        <w:rPr>
          <w:rFonts w:cs="Times New Roman"/>
          <w:b/>
          <w:szCs w:val="28"/>
        </w:rPr>
        <w:t xml:space="preserve"> </w:t>
      </w:r>
    </w:p>
    <w:p w14:paraId="41EA83FB" w14:textId="79A90203" w:rsidR="009571E0" w:rsidRPr="00BE0FB0" w:rsidRDefault="009571E0" w:rsidP="009571E0">
      <w:pPr>
        <w:shd w:val="clear" w:color="auto" w:fill="FFFFFF"/>
        <w:ind w:firstLine="709"/>
        <w:jc w:val="both"/>
        <w:rPr>
          <w:rFonts w:cs="Times New Roman"/>
          <w:b/>
          <w:szCs w:val="28"/>
        </w:rPr>
      </w:pPr>
      <w:r w:rsidRPr="00BE0FB0">
        <w:rPr>
          <w:rFonts w:cs="Times New Roman"/>
          <w:szCs w:val="28"/>
        </w:rPr>
        <w:t>1.1. aizstāt 1.</w:t>
      </w:r>
      <w:r w:rsidRPr="00BE0FB0">
        <w:rPr>
          <w:rFonts w:cs="Times New Roman"/>
          <w:szCs w:val="28"/>
          <w:vertAlign w:val="superscript"/>
        </w:rPr>
        <w:t>4</w:t>
      </w:r>
      <w:r w:rsidRPr="00BE0FB0">
        <w:rPr>
          <w:rFonts w:cs="Times New Roman"/>
          <w:szCs w:val="28"/>
        </w:rPr>
        <w:t xml:space="preserve"> punktā skaitli </w:t>
      </w:r>
      <w:r w:rsidR="00331407" w:rsidRPr="00BE0FB0">
        <w:rPr>
          <w:rFonts w:cs="Times New Roman"/>
          <w:szCs w:val="28"/>
        </w:rPr>
        <w:t>"</w:t>
      </w:r>
      <w:r w:rsidRPr="00BE0FB0">
        <w:rPr>
          <w:rFonts w:cs="Times New Roman"/>
          <w:szCs w:val="28"/>
        </w:rPr>
        <w:t>5</w:t>
      </w:r>
      <w:r w:rsidR="00331407" w:rsidRPr="00BE0FB0">
        <w:rPr>
          <w:rFonts w:cs="Times New Roman"/>
          <w:szCs w:val="28"/>
        </w:rPr>
        <w:t>"</w:t>
      </w:r>
      <w:r w:rsidRPr="00BE0FB0">
        <w:rPr>
          <w:rFonts w:cs="Times New Roman"/>
          <w:szCs w:val="28"/>
        </w:rPr>
        <w:t xml:space="preserve"> ar skaitli </w:t>
      </w:r>
      <w:r w:rsidR="00331407" w:rsidRPr="00BE0FB0">
        <w:rPr>
          <w:rFonts w:cs="Times New Roman"/>
          <w:szCs w:val="28"/>
        </w:rPr>
        <w:t>"</w:t>
      </w:r>
      <w:r w:rsidRPr="00BE0FB0">
        <w:rPr>
          <w:rFonts w:cs="Times New Roman"/>
          <w:szCs w:val="28"/>
        </w:rPr>
        <w:t>7</w:t>
      </w:r>
      <w:r w:rsidR="00331407" w:rsidRPr="00BE0FB0">
        <w:rPr>
          <w:rFonts w:cs="Times New Roman"/>
          <w:szCs w:val="28"/>
        </w:rPr>
        <w:t>"</w:t>
      </w:r>
      <w:r w:rsidRPr="00BE0FB0">
        <w:rPr>
          <w:rFonts w:cs="Times New Roman"/>
          <w:szCs w:val="28"/>
        </w:rPr>
        <w:t>;</w:t>
      </w:r>
    </w:p>
    <w:p w14:paraId="1B018C90" w14:textId="5DF4D658" w:rsidR="009571E0" w:rsidRPr="00BE0FB0" w:rsidRDefault="009571E0" w:rsidP="009571E0">
      <w:pPr>
        <w:shd w:val="clear" w:color="auto" w:fill="FFFFFF"/>
        <w:ind w:firstLine="709"/>
        <w:jc w:val="both"/>
        <w:rPr>
          <w:rFonts w:cs="Times New Roman"/>
          <w:szCs w:val="28"/>
        </w:rPr>
      </w:pPr>
      <w:r w:rsidRPr="00BE0FB0">
        <w:rPr>
          <w:rFonts w:cs="Times New Roman"/>
          <w:szCs w:val="28"/>
        </w:rPr>
        <w:t xml:space="preserve">1.2. papildināt </w:t>
      </w:r>
      <w:r w:rsidR="00463B2F">
        <w:rPr>
          <w:rFonts w:cs="Times New Roman"/>
          <w:szCs w:val="28"/>
        </w:rPr>
        <w:t>I nodaļu</w:t>
      </w:r>
      <w:r w:rsidRPr="00BE0FB0">
        <w:rPr>
          <w:rFonts w:cs="Times New Roman"/>
          <w:szCs w:val="28"/>
        </w:rPr>
        <w:t xml:space="preserve"> ar 1.</w:t>
      </w:r>
      <w:r w:rsidRPr="00BE0FB0">
        <w:rPr>
          <w:rFonts w:cs="Times New Roman"/>
          <w:szCs w:val="28"/>
          <w:vertAlign w:val="superscript"/>
        </w:rPr>
        <w:t>5</w:t>
      </w:r>
      <w:r w:rsidRPr="00BE0FB0">
        <w:rPr>
          <w:rFonts w:cs="Times New Roman"/>
          <w:szCs w:val="28"/>
        </w:rPr>
        <w:t xml:space="preserve"> punktu šādā redakcijā: </w:t>
      </w:r>
    </w:p>
    <w:p w14:paraId="257A207E" w14:textId="77777777" w:rsidR="009571E0" w:rsidRPr="00BE0FB0" w:rsidRDefault="009571E0" w:rsidP="009571E0">
      <w:pPr>
        <w:shd w:val="clear" w:color="auto" w:fill="FFFFFF"/>
        <w:ind w:firstLine="709"/>
        <w:jc w:val="both"/>
        <w:rPr>
          <w:rFonts w:cs="Times New Roman"/>
          <w:szCs w:val="28"/>
        </w:rPr>
      </w:pPr>
    </w:p>
    <w:p w14:paraId="593D53BE" w14:textId="1B75AFBD" w:rsidR="009571E0" w:rsidRPr="00BE0FB0" w:rsidRDefault="00331407" w:rsidP="009571E0">
      <w:pPr>
        <w:shd w:val="clear" w:color="auto" w:fill="FFFFFF"/>
        <w:ind w:firstLine="709"/>
        <w:jc w:val="both"/>
        <w:rPr>
          <w:rFonts w:cs="Times New Roman"/>
          <w:szCs w:val="28"/>
        </w:rPr>
      </w:pPr>
      <w:r w:rsidRPr="00BE0FB0">
        <w:rPr>
          <w:rFonts w:cs="Times New Roman"/>
          <w:szCs w:val="28"/>
        </w:rPr>
        <w:t>"</w:t>
      </w:r>
      <w:r w:rsidR="009571E0" w:rsidRPr="00BE0FB0">
        <w:rPr>
          <w:rFonts w:cs="Times New Roman"/>
          <w:szCs w:val="28"/>
        </w:rPr>
        <w:t>1.</w:t>
      </w:r>
      <w:r w:rsidR="009571E0" w:rsidRPr="00BE0FB0">
        <w:rPr>
          <w:rFonts w:cs="Times New Roman"/>
          <w:szCs w:val="28"/>
          <w:vertAlign w:val="superscript"/>
        </w:rPr>
        <w:t>5</w:t>
      </w:r>
      <w:r w:rsidR="009571E0" w:rsidRPr="00BE0FB0">
        <w:rPr>
          <w:rFonts w:cs="Times New Roman"/>
          <w:szCs w:val="28"/>
        </w:rPr>
        <w:t xml:space="preserve"> </w:t>
      </w:r>
      <w:proofErr w:type="spellStart"/>
      <w:r w:rsidR="009571E0" w:rsidRPr="00BE0FB0">
        <w:rPr>
          <w:rFonts w:cs="Times New Roman"/>
          <w:szCs w:val="28"/>
        </w:rPr>
        <w:t>Parafinizēta</w:t>
      </w:r>
      <w:proofErr w:type="spellEnd"/>
      <w:r w:rsidR="009571E0" w:rsidRPr="00BE0FB0">
        <w:rPr>
          <w:rFonts w:cs="Times New Roman"/>
          <w:szCs w:val="28"/>
        </w:rPr>
        <w:t xml:space="preserve"> dīzeļdegviela ir degviela, kuru iegūst sintētiski vai ar </w:t>
      </w:r>
      <w:proofErr w:type="spellStart"/>
      <w:r w:rsidR="009571E0" w:rsidRPr="00BE0FB0">
        <w:rPr>
          <w:rFonts w:cs="Times New Roman"/>
          <w:szCs w:val="28"/>
        </w:rPr>
        <w:t>hidroattīrīšanas</w:t>
      </w:r>
      <w:proofErr w:type="spellEnd"/>
      <w:r w:rsidR="009571E0" w:rsidRPr="00BE0FB0">
        <w:rPr>
          <w:rFonts w:cs="Times New Roman"/>
          <w:szCs w:val="28"/>
        </w:rPr>
        <w:t xml:space="preserve"> paņēmienu un kuras kvalitātes prasības atbilst standartam LVS EN 15940:2016 </w:t>
      </w:r>
      <w:r w:rsidRPr="00BE0FB0">
        <w:rPr>
          <w:rFonts w:cs="Times New Roman"/>
          <w:szCs w:val="28"/>
        </w:rPr>
        <w:t>"</w:t>
      </w:r>
      <w:r w:rsidR="009571E0" w:rsidRPr="00BE0FB0">
        <w:rPr>
          <w:rFonts w:cs="Times New Roman"/>
          <w:szCs w:val="28"/>
        </w:rPr>
        <w:t xml:space="preserve">Automobiļu degviela. Sintētiski vai ar </w:t>
      </w:r>
      <w:proofErr w:type="spellStart"/>
      <w:r w:rsidR="009571E0" w:rsidRPr="00BE0FB0">
        <w:rPr>
          <w:rFonts w:cs="Times New Roman"/>
          <w:szCs w:val="28"/>
        </w:rPr>
        <w:t>hidroattīrīšanas</w:t>
      </w:r>
      <w:proofErr w:type="spellEnd"/>
      <w:r w:rsidR="009571E0" w:rsidRPr="00BE0FB0">
        <w:rPr>
          <w:rFonts w:cs="Times New Roman"/>
          <w:szCs w:val="28"/>
        </w:rPr>
        <w:t xml:space="preserve"> paņēmienu iegūta </w:t>
      </w:r>
      <w:proofErr w:type="spellStart"/>
      <w:r w:rsidR="009571E0" w:rsidRPr="00BE0FB0">
        <w:rPr>
          <w:rFonts w:cs="Times New Roman"/>
          <w:szCs w:val="28"/>
        </w:rPr>
        <w:t>parafinizētā</w:t>
      </w:r>
      <w:proofErr w:type="spellEnd"/>
      <w:r w:rsidR="009571E0" w:rsidRPr="00BE0FB0">
        <w:rPr>
          <w:rFonts w:cs="Times New Roman"/>
          <w:szCs w:val="28"/>
        </w:rPr>
        <w:t xml:space="preserve"> dīzeļdegviela. Prasības un testēšanas metodes</w:t>
      </w:r>
      <w:r w:rsidRPr="00BE0FB0">
        <w:rPr>
          <w:rFonts w:cs="Times New Roman"/>
          <w:szCs w:val="28"/>
        </w:rPr>
        <w:t>"</w:t>
      </w:r>
      <w:r w:rsidR="00D15E71">
        <w:rPr>
          <w:rFonts w:cs="Times New Roman"/>
          <w:szCs w:val="28"/>
        </w:rPr>
        <w:t>.</w:t>
      </w:r>
      <w:r w:rsidRPr="00BE0FB0">
        <w:rPr>
          <w:rFonts w:cs="Times New Roman"/>
          <w:szCs w:val="28"/>
        </w:rPr>
        <w:t>"</w:t>
      </w:r>
      <w:r w:rsidR="009571E0" w:rsidRPr="00BE0FB0">
        <w:rPr>
          <w:rFonts w:cs="Times New Roman"/>
          <w:szCs w:val="28"/>
        </w:rPr>
        <w:t>;</w:t>
      </w:r>
    </w:p>
    <w:p w14:paraId="20C2954A" w14:textId="77777777" w:rsidR="009571E0" w:rsidRPr="00BE0FB0" w:rsidRDefault="009571E0" w:rsidP="009571E0">
      <w:pPr>
        <w:shd w:val="clear" w:color="auto" w:fill="FFFFFF"/>
        <w:ind w:firstLine="709"/>
        <w:jc w:val="both"/>
        <w:rPr>
          <w:rFonts w:cs="Times New Roman"/>
          <w:szCs w:val="28"/>
        </w:rPr>
      </w:pPr>
    </w:p>
    <w:p w14:paraId="63E5F59F" w14:textId="77777777" w:rsidR="009571E0" w:rsidRPr="00BE0FB0" w:rsidRDefault="009571E0" w:rsidP="009571E0">
      <w:pPr>
        <w:shd w:val="clear" w:color="auto" w:fill="FFFFFF"/>
        <w:ind w:firstLine="709"/>
        <w:jc w:val="both"/>
        <w:rPr>
          <w:rFonts w:cs="Times New Roman"/>
          <w:szCs w:val="28"/>
        </w:rPr>
      </w:pPr>
      <w:r w:rsidRPr="00BE0FB0">
        <w:rPr>
          <w:rFonts w:cs="Times New Roman"/>
          <w:szCs w:val="28"/>
        </w:rPr>
        <w:t>1.3. izteikt 8.</w:t>
      </w:r>
      <w:r w:rsidRPr="00BE0FB0">
        <w:rPr>
          <w:rFonts w:cs="Times New Roman"/>
          <w:szCs w:val="28"/>
          <w:vertAlign w:val="superscript"/>
        </w:rPr>
        <w:t>1</w:t>
      </w:r>
      <w:r w:rsidRPr="00BE0FB0">
        <w:rPr>
          <w:rFonts w:cs="Times New Roman"/>
          <w:szCs w:val="28"/>
        </w:rPr>
        <w:t xml:space="preserve"> punktu šādā redakcijā:</w:t>
      </w:r>
      <w:proofErr w:type="gramStart"/>
      <w:r w:rsidRPr="00BE0FB0">
        <w:rPr>
          <w:rFonts w:cs="Times New Roman"/>
          <w:szCs w:val="28"/>
        </w:rPr>
        <w:t xml:space="preserve">  </w:t>
      </w:r>
      <w:proofErr w:type="gramEnd"/>
    </w:p>
    <w:p w14:paraId="080CC861" w14:textId="77777777" w:rsidR="009571E0" w:rsidRPr="00BE0FB0" w:rsidRDefault="009571E0" w:rsidP="009571E0">
      <w:pPr>
        <w:shd w:val="clear" w:color="auto" w:fill="FFFFFF"/>
        <w:ind w:firstLine="709"/>
        <w:jc w:val="both"/>
        <w:rPr>
          <w:rFonts w:cs="Times New Roman"/>
          <w:szCs w:val="28"/>
        </w:rPr>
      </w:pPr>
    </w:p>
    <w:p w14:paraId="6D6FEF20" w14:textId="39D6F79A" w:rsidR="009571E0" w:rsidRPr="00BE0FB0" w:rsidRDefault="00331407" w:rsidP="009571E0">
      <w:pPr>
        <w:shd w:val="clear" w:color="auto" w:fill="FFFFFF"/>
        <w:ind w:firstLine="709"/>
        <w:jc w:val="both"/>
        <w:rPr>
          <w:rFonts w:cs="Times New Roman"/>
          <w:szCs w:val="28"/>
        </w:rPr>
      </w:pPr>
      <w:r w:rsidRPr="00BE0FB0">
        <w:rPr>
          <w:rFonts w:cs="Times New Roman"/>
          <w:szCs w:val="28"/>
        </w:rPr>
        <w:t>"</w:t>
      </w:r>
      <w:r w:rsidR="009571E0" w:rsidRPr="00BE0FB0">
        <w:rPr>
          <w:rFonts w:cs="Times New Roman"/>
          <w:szCs w:val="28"/>
        </w:rPr>
        <w:t>8.</w:t>
      </w:r>
      <w:r w:rsidR="009571E0" w:rsidRPr="00BE0FB0">
        <w:rPr>
          <w:rFonts w:cs="Times New Roman"/>
          <w:szCs w:val="28"/>
          <w:vertAlign w:val="superscript"/>
        </w:rPr>
        <w:t>1</w:t>
      </w:r>
      <w:r w:rsidR="009571E0" w:rsidRPr="00BE0FB0">
        <w:rPr>
          <w:rFonts w:cs="Times New Roman"/>
          <w:szCs w:val="28"/>
        </w:rPr>
        <w:t xml:space="preserve"> Bezsvina benzīnu, kura pētnieciskais oktānskaitlis (POS) ir 95 vai lielāks, bet mazāks par 98, un motora oktānskaitlis (MOS) ir 85 vai lielāks, bet mazāks par 89, alkēni (</w:t>
      </w:r>
      <w:proofErr w:type="spellStart"/>
      <w:r w:rsidR="009571E0" w:rsidRPr="00BE0FB0">
        <w:rPr>
          <w:rFonts w:cs="Times New Roman"/>
          <w:szCs w:val="28"/>
        </w:rPr>
        <w:t>olefīni</w:t>
      </w:r>
      <w:proofErr w:type="spellEnd"/>
      <w:r w:rsidR="009571E0" w:rsidRPr="00BE0FB0">
        <w:rPr>
          <w:rFonts w:cs="Times New Roman"/>
          <w:szCs w:val="28"/>
        </w:rPr>
        <w:t xml:space="preserve">) nepārsniedz 18 % no kopējā benzīna tilpuma </w:t>
      </w:r>
      <w:proofErr w:type="gramStart"/>
      <w:r w:rsidR="009571E0" w:rsidRPr="00BE0FB0">
        <w:rPr>
          <w:rFonts w:cs="Times New Roman"/>
          <w:szCs w:val="28"/>
        </w:rPr>
        <w:t>(</w:t>
      </w:r>
      <w:proofErr w:type="gramEnd"/>
      <w:r w:rsidR="009571E0" w:rsidRPr="00BE0FB0">
        <w:rPr>
          <w:rFonts w:cs="Times New Roman"/>
          <w:szCs w:val="28"/>
        </w:rPr>
        <w:t>95</w:t>
      </w:r>
      <w:r w:rsidRPr="00BE0FB0">
        <w:rPr>
          <w:rFonts w:cs="Times New Roman"/>
          <w:szCs w:val="28"/>
        </w:rPr>
        <w:t>.</w:t>
      </w:r>
      <w:r w:rsidR="00463B2F">
        <w:rPr>
          <w:rFonts w:cs="Times New Roman"/>
          <w:szCs w:val="28"/>
        </w:rPr>
        <w:t> </w:t>
      </w:r>
      <w:r w:rsidRPr="00BE0FB0">
        <w:rPr>
          <w:rFonts w:cs="Times New Roman"/>
          <w:szCs w:val="28"/>
        </w:rPr>
        <w:t>m</w:t>
      </w:r>
      <w:r w:rsidR="009571E0" w:rsidRPr="00BE0FB0">
        <w:rPr>
          <w:rFonts w:cs="Times New Roman"/>
          <w:szCs w:val="28"/>
        </w:rPr>
        <w:t xml:space="preserve">arkas benzīns), atļauts realizēt tikai tad, ja tam </w:t>
      </w:r>
      <w:r w:rsidR="00B96ADE" w:rsidRPr="00BE0FB0">
        <w:rPr>
          <w:rFonts w:cs="Times New Roman"/>
          <w:szCs w:val="28"/>
        </w:rPr>
        <w:t xml:space="preserve">4,5–5 tilpumprocentu apjomā no kopējā maisījuma tilpuma </w:t>
      </w:r>
      <w:r w:rsidR="009571E0" w:rsidRPr="00BE0FB0">
        <w:rPr>
          <w:rFonts w:cs="Times New Roman"/>
          <w:szCs w:val="28"/>
        </w:rPr>
        <w:t xml:space="preserve">ir pievienots </w:t>
      </w:r>
      <w:r w:rsidR="00B96ADE" w:rsidRPr="00BE0FB0">
        <w:rPr>
          <w:rFonts w:cs="Times New Roman"/>
          <w:szCs w:val="28"/>
        </w:rPr>
        <w:t>bioetanols</w:t>
      </w:r>
      <w:r w:rsidR="00B96ADE">
        <w:rPr>
          <w:rFonts w:cs="Times New Roman"/>
          <w:szCs w:val="28"/>
        </w:rPr>
        <w:t>, kas</w:t>
      </w:r>
      <w:r w:rsidR="00B96ADE" w:rsidRPr="00BE0FB0">
        <w:rPr>
          <w:rFonts w:cs="Times New Roman"/>
          <w:szCs w:val="28"/>
        </w:rPr>
        <w:t xml:space="preserve"> atbilst </w:t>
      </w:r>
      <w:r w:rsidR="009571E0" w:rsidRPr="00BE0FB0">
        <w:rPr>
          <w:rFonts w:cs="Times New Roman"/>
          <w:szCs w:val="28"/>
        </w:rPr>
        <w:t>normatīvajiem aktiem par biodegvielu un bioloģisko šķidro kurināmo ilgtspējas kritērijiem, to ieviešanas mehānismu un uzraudzības un kontroles kārtību (ja nepieciešams, bioetanolu saturošam benzīnam pievieno stabilizatorus).</w:t>
      </w:r>
      <w:r w:rsidRPr="00BE0FB0">
        <w:rPr>
          <w:rFonts w:eastAsiaTheme="minorEastAsia" w:cs="Times New Roman"/>
          <w:szCs w:val="28"/>
        </w:rPr>
        <w:t>"</w:t>
      </w:r>
      <w:r w:rsidR="009571E0" w:rsidRPr="00BE0FB0">
        <w:rPr>
          <w:rFonts w:cs="Times New Roman"/>
          <w:szCs w:val="28"/>
        </w:rPr>
        <w:t xml:space="preserve">; </w:t>
      </w:r>
    </w:p>
    <w:p w14:paraId="7A35A02C" w14:textId="77777777" w:rsidR="009571E0" w:rsidRPr="00BE0FB0" w:rsidRDefault="009571E0" w:rsidP="009571E0">
      <w:pPr>
        <w:shd w:val="clear" w:color="auto" w:fill="FFFFFF"/>
        <w:ind w:firstLine="709"/>
        <w:jc w:val="both"/>
        <w:rPr>
          <w:rFonts w:cs="Times New Roman"/>
          <w:szCs w:val="28"/>
        </w:rPr>
      </w:pPr>
    </w:p>
    <w:p w14:paraId="764EBA6E" w14:textId="77777777" w:rsidR="009571E0" w:rsidRPr="00BE0FB0" w:rsidRDefault="009571E0" w:rsidP="009571E0">
      <w:pPr>
        <w:shd w:val="clear" w:color="auto" w:fill="FFFFFF"/>
        <w:ind w:firstLine="709"/>
        <w:jc w:val="both"/>
        <w:rPr>
          <w:rFonts w:cs="Times New Roman"/>
          <w:szCs w:val="28"/>
        </w:rPr>
      </w:pPr>
      <w:r w:rsidRPr="00BE0FB0">
        <w:rPr>
          <w:rFonts w:cs="Times New Roman"/>
          <w:szCs w:val="28"/>
        </w:rPr>
        <w:t>1.4. izteikt 9.</w:t>
      </w:r>
      <w:r w:rsidRPr="00BE0FB0">
        <w:rPr>
          <w:rFonts w:cs="Times New Roman"/>
          <w:szCs w:val="28"/>
          <w:vertAlign w:val="superscript"/>
        </w:rPr>
        <w:t>1</w:t>
      </w:r>
      <w:r w:rsidRPr="00BE0FB0">
        <w:rPr>
          <w:rFonts w:cs="Times New Roman"/>
          <w:szCs w:val="28"/>
        </w:rPr>
        <w:t xml:space="preserve"> punktu šādā redakcijā:</w:t>
      </w:r>
      <w:proofErr w:type="gramStart"/>
      <w:r w:rsidRPr="00BE0FB0">
        <w:rPr>
          <w:rFonts w:cs="Times New Roman"/>
          <w:szCs w:val="28"/>
        </w:rPr>
        <w:t xml:space="preserve">  </w:t>
      </w:r>
      <w:proofErr w:type="gramEnd"/>
    </w:p>
    <w:p w14:paraId="4553174E" w14:textId="77777777" w:rsidR="009571E0" w:rsidRPr="00BE0FB0" w:rsidRDefault="009571E0" w:rsidP="009571E0">
      <w:pPr>
        <w:shd w:val="clear" w:color="auto" w:fill="FFFFFF"/>
        <w:ind w:firstLine="709"/>
        <w:jc w:val="both"/>
        <w:rPr>
          <w:rFonts w:cs="Times New Roman"/>
          <w:szCs w:val="28"/>
        </w:rPr>
      </w:pPr>
    </w:p>
    <w:p w14:paraId="1FB1E33B" w14:textId="47EFFCD9" w:rsidR="009571E0" w:rsidRPr="00BE0FB0" w:rsidRDefault="00331407" w:rsidP="009571E0">
      <w:pPr>
        <w:shd w:val="clear" w:color="auto" w:fill="FFFFFF"/>
        <w:ind w:firstLine="709"/>
        <w:jc w:val="both"/>
        <w:rPr>
          <w:rFonts w:cs="Times New Roman"/>
          <w:szCs w:val="28"/>
        </w:rPr>
      </w:pPr>
      <w:r w:rsidRPr="00BE0FB0">
        <w:rPr>
          <w:rFonts w:cs="Times New Roman"/>
          <w:szCs w:val="28"/>
        </w:rPr>
        <w:lastRenderedPageBreak/>
        <w:t>"</w:t>
      </w:r>
      <w:r w:rsidR="009571E0" w:rsidRPr="00BE0FB0">
        <w:rPr>
          <w:rFonts w:cs="Times New Roman"/>
          <w:szCs w:val="28"/>
        </w:rPr>
        <w:t>9.</w:t>
      </w:r>
      <w:r w:rsidR="009571E0" w:rsidRPr="00BE0FB0">
        <w:rPr>
          <w:rFonts w:cs="Times New Roman"/>
          <w:szCs w:val="28"/>
          <w:vertAlign w:val="superscript"/>
        </w:rPr>
        <w:t>1</w:t>
      </w:r>
      <w:r w:rsidR="009571E0" w:rsidRPr="00BE0FB0">
        <w:rPr>
          <w:rFonts w:cs="Times New Roman"/>
          <w:szCs w:val="28"/>
        </w:rPr>
        <w:t xml:space="preserve"> Latvijā atļauts realizēt dīzeļdegvielu, tai skaitā mērenā klimata apstākļos izmantojamu A, B, C, D, E, F kategorijas dīzeļdegvielu</w:t>
      </w:r>
      <w:r w:rsidR="00D15E71">
        <w:rPr>
          <w:rFonts w:cs="Times New Roman"/>
          <w:szCs w:val="28"/>
        </w:rPr>
        <w:t>,</w:t>
      </w:r>
      <w:r w:rsidR="009571E0" w:rsidRPr="00BE0FB0">
        <w:rPr>
          <w:rFonts w:cs="Times New Roman"/>
          <w:szCs w:val="28"/>
        </w:rPr>
        <w:t xml:space="preserve"> </w:t>
      </w:r>
      <w:proofErr w:type="gramStart"/>
      <w:r w:rsidR="009571E0" w:rsidRPr="00BE0FB0">
        <w:rPr>
          <w:rFonts w:cs="Times New Roman"/>
          <w:szCs w:val="28"/>
        </w:rPr>
        <w:t>atbilstoši standartam LVS</w:t>
      </w:r>
      <w:proofErr w:type="gramEnd"/>
      <w:r w:rsidR="009571E0" w:rsidRPr="00BE0FB0">
        <w:rPr>
          <w:rFonts w:cs="Times New Roman"/>
          <w:szCs w:val="28"/>
        </w:rPr>
        <w:t xml:space="preserve"> EN 590+A1:2017 </w:t>
      </w:r>
      <w:r w:rsidRPr="00BE0FB0">
        <w:rPr>
          <w:rFonts w:cs="Times New Roman"/>
          <w:szCs w:val="28"/>
        </w:rPr>
        <w:t>"</w:t>
      </w:r>
      <w:r w:rsidR="009571E0" w:rsidRPr="00BE0FB0">
        <w:rPr>
          <w:rFonts w:cs="Times New Roman"/>
          <w:szCs w:val="28"/>
        </w:rPr>
        <w:t>Automobiļu degvielas. Dīzeļdegviela. Prasības un testēšanas metodes</w:t>
      </w:r>
      <w:r w:rsidRPr="00BE0FB0">
        <w:rPr>
          <w:rFonts w:cs="Times New Roman"/>
          <w:szCs w:val="28"/>
        </w:rPr>
        <w:t>"</w:t>
      </w:r>
      <w:r w:rsidR="009571E0" w:rsidRPr="00BE0FB0">
        <w:rPr>
          <w:rFonts w:cs="Times New Roman"/>
          <w:szCs w:val="28"/>
        </w:rPr>
        <w:t xml:space="preserve">, ja dīzeļdegvielai ir pievienota </w:t>
      </w:r>
      <w:r w:rsidR="00A606F1">
        <w:rPr>
          <w:rFonts w:cs="Times New Roman"/>
          <w:szCs w:val="28"/>
        </w:rPr>
        <w:t>kāda no šādām</w:t>
      </w:r>
      <w:r w:rsidR="00A606F1" w:rsidRPr="00BE0FB0">
        <w:rPr>
          <w:rFonts w:cs="Times New Roman"/>
          <w:szCs w:val="28"/>
        </w:rPr>
        <w:t xml:space="preserve"> </w:t>
      </w:r>
      <w:r w:rsidR="00B96ADE" w:rsidRPr="00BE0FB0">
        <w:rPr>
          <w:rFonts w:cs="Times New Roman"/>
          <w:szCs w:val="28"/>
        </w:rPr>
        <w:t>degviel</w:t>
      </w:r>
      <w:r w:rsidR="00B96ADE">
        <w:rPr>
          <w:rFonts w:cs="Times New Roman"/>
          <w:szCs w:val="28"/>
        </w:rPr>
        <w:t>ām, kas atbilst</w:t>
      </w:r>
      <w:r w:rsidR="00B96ADE" w:rsidRPr="00BE0FB0">
        <w:rPr>
          <w:rFonts w:cs="Times New Roman"/>
          <w:szCs w:val="28"/>
        </w:rPr>
        <w:t xml:space="preserve"> </w:t>
      </w:r>
      <w:r w:rsidR="009571E0" w:rsidRPr="00BE0FB0">
        <w:rPr>
          <w:rFonts w:cs="Times New Roman"/>
          <w:szCs w:val="28"/>
        </w:rPr>
        <w:t xml:space="preserve">normatīvajiem aktiem par biodegvielu un bioloģisko šķidro kurināmo ilgtspējas kritērijiem, to ieviešanas mehānismu un uzraudzības un kontroles kārtību: </w:t>
      </w:r>
    </w:p>
    <w:p w14:paraId="06670463" w14:textId="6375EC25" w:rsidR="009571E0" w:rsidRPr="00BE0FB0" w:rsidRDefault="009571E0" w:rsidP="009571E0">
      <w:pPr>
        <w:shd w:val="clear" w:color="auto" w:fill="FFFFFF"/>
        <w:ind w:firstLine="709"/>
        <w:jc w:val="both"/>
        <w:rPr>
          <w:rFonts w:cs="Times New Roman"/>
          <w:szCs w:val="28"/>
        </w:rPr>
      </w:pPr>
      <w:r w:rsidRPr="00BE0FB0">
        <w:rPr>
          <w:rFonts w:cs="Times New Roman"/>
          <w:szCs w:val="28"/>
        </w:rPr>
        <w:t>9.</w:t>
      </w:r>
      <w:r w:rsidRPr="00BE0FB0">
        <w:rPr>
          <w:rFonts w:cs="Times New Roman"/>
          <w:szCs w:val="28"/>
          <w:vertAlign w:val="superscript"/>
        </w:rPr>
        <w:t>1</w:t>
      </w:r>
      <w:r w:rsidR="00463B2F">
        <w:rPr>
          <w:rFonts w:cs="Times New Roman"/>
          <w:szCs w:val="28"/>
          <w:vertAlign w:val="superscript"/>
        </w:rPr>
        <w:t> </w:t>
      </w:r>
      <w:r w:rsidRPr="00BE0FB0">
        <w:rPr>
          <w:rFonts w:cs="Times New Roman"/>
          <w:szCs w:val="28"/>
        </w:rPr>
        <w:t>1.</w:t>
      </w:r>
      <w:r w:rsidR="00463B2F">
        <w:rPr>
          <w:rFonts w:cs="Times New Roman"/>
          <w:szCs w:val="28"/>
        </w:rPr>
        <w:t> </w:t>
      </w:r>
      <w:r w:rsidRPr="00BE0FB0">
        <w:rPr>
          <w:rFonts w:cs="Times New Roman"/>
          <w:szCs w:val="28"/>
        </w:rPr>
        <w:t>biodīzeļdegviela, kas iegūta no rapšu sēklu eļļas, 4,5–7</w:t>
      </w:r>
      <w:r w:rsidR="00463B2F">
        <w:rPr>
          <w:rFonts w:cs="Times New Roman"/>
          <w:szCs w:val="28"/>
        </w:rPr>
        <w:t> </w:t>
      </w:r>
      <w:r w:rsidRPr="00BE0FB0">
        <w:rPr>
          <w:rFonts w:cs="Times New Roman"/>
          <w:szCs w:val="28"/>
        </w:rPr>
        <w:t>tilpumprocentu apjomā no kopējā maisījuma tilpuma;</w:t>
      </w:r>
    </w:p>
    <w:p w14:paraId="391FF50D" w14:textId="6FF0EACA" w:rsidR="009571E0" w:rsidRPr="00BE0FB0" w:rsidRDefault="009571E0" w:rsidP="009571E0">
      <w:pPr>
        <w:shd w:val="clear" w:color="auto" w:fill="FFFFFF"/>
        <w:ind w:firstLine="709"/>
        <w:jc w:val="both"/>
        <w:rPr>
          <w:rFonts w:cs="Times New Roman"/>
          <w:szCs w:val="28"/>
        </w:rPr>
      </w:pPr>
      <w:r w:rsidRPr="00BE0FB0">
        <w:rPr>
          <w:rFonts w:cs="Times New Roman"/>
          <w:szCs w:val="28"/>
        </w:rPr>
        <w:t>9.</w:t>
      </w:r>
      <w:r w:rsidRPr="00BE0FB0">
        <w:rPr>
          <w:rFonts w:cs="Times New Roman"/>
          <w:szCs w:val="28"/>
          <w:vertAlign w:val="superscript"/>
        </w:rPr>
        <w:t>1</w:t>
      </w:r>
      <w:r w:rsidR="00463B2F">
        <w:rPr>
          <w:rFonts w:cs="Times New Roman"/>
          <w:szCs w:val="28"/>
          <w:vertAlign w:val="superscript"/>
        </w:rPr>
        <w:t> </w:t>
      </w:r>
      <w:r w:rsidRPr="00BE0FB0">
        <w:rPr>
          <w:rFonts w:cs="Times New Roman"/>
          <w:szCs w:val="28"/>
        </w:rPr>
        <w:t>2.</w:t>
      </w:r>
      <w:r w:rsidR="00463B2F">
        <w:rPr>
          <w:rFonts w:cs="Times New Roman"/>
          <w:szCs w:val="28"/>
        </w:rPr>
        <w:t> </w:t>
      </w:r>
      <w:proofErr w:type="spellStart"/>
      <w:r w:rsidRPr="00BE0FB0">
        <w:rPr>
          <w:rFonts w:cs="Times New Roman"/>
          <w:szCs w:val="28"/>
        </w:rPr>
        <w:t>parafinizēta</w:t>
      </w:r>
      <w:proofErr w:type="spellEnd"/>
      <w:r w:rsidRPr="00BE0FB0">
        <w:rPr>
          <w:rFonts w:cs="Times New Roman"/>
          <w:szCs w:val="28"/>
        </w:rPr>
        <w:t xml:space="preserve"> dīzeļdegviela, kas iegūta no biomasas, vismaz 4,5</w:t>
      </w:r>
      <w:r w:rsidR="00463B2F">
        <w:rPr>
          <w:rFonts w:cs="Times New Roman"/>
          <w:szCs w:val="28"/>
        </w:rPr>
        <w:t> </w:t>
      </w:r>
      <w:r w:rsidRPr="00BE0FB0">
        <w:rPr>
          <w:rFonts w:cs="Times New Roman"/>
          <w:szCs w:val="28"/>
        </w:rPr>
        <w:t>tilpumprocentu apjomā no kopējā maisījuma tilpuma.</w:t>
      </w:r>
      <w:r w:rsidR="00331407" w:rsidRPr="00BE0FB0">
        <w:rPr>
          <w:rFonts w:eastAsiaTheme="minorEastAsia" w:cs="Times New Roman"/>
          <w:szCs w:val="28"/>
        </w:rPr>
        <w:t>"</w:t>
      </w:r>
      <w:r w:rsidRPr="00BE0FB0">
        <w:rPr>
          <w:rFonts w:cs="Times New Roman"/>
          <w:szCs w:val="28"/>
        </w:rPr>
        <w:t xml:space="preserve">; </w:t>
      </w:r>
    </w:p>
    <w:p w14:paraId="1A08B836" w14:textId="77777777" w:rsidR="009571E0" w:rsidRPr="00BE0FB0" w:rsidRDefault="009571E0" w:rsidP="009571E0">
      <w:pPr>
        <w:shd w:val="clear" w:color="auto" w:fill="FFFFFF"/>
        <w:ind w:firstLine="709"/>
        <w:jc w:val="both"/>
        <w:rPr>
          <w:rFonts w:cs="Times New Roman"/>
          <w:szCs w:val="28"/>
        </w:rPr>
      </w:pPr>
    </w:p>
    <w:p w14:paraId="5B8FA3D7" w14:textId="3C9D7E74" w:rsidR="009571E0" w:rsidRPr="00BE0FB0" w:rsidRDefault="009571E0" w:rsidP="009571E0">
      <w:pPr>
        <w:shd w:val="clear" w:color="auto" w:fill="FFFFFF"/>
        <w:tabs>
          <w:tab w:val="right" w:pos="9071"/>
        </w:tabs>
        <w:ind w:firstLine="709"/>
        <w:jc w:val="both"/>
        <w:rPr>
          <w:rFonts w:cs="Times New Roman"/>
          <w:szCs w:val="28"/>
        </w:rPr>
      </w:pPr>
      <w:r w:rsidRPr="00BE0FB0">
        <w:rPr>
          <w:rFonts w:cs="Times New Roman"/>
          <w:szCs w:val="28"/>
        </w:rPr>
        <w:t>1.5. izteikt 9.</w:t>
      </w:r>
      <w:r w:rsidRPr="00BE0FB0">
        <w:rPr>
          <w:rFonts w:cs="Times New Roman"/>
          <w:szCs w:val="28"/>
          <w:vertAlign w:val="superscript"/>
        </w:rPr>
        <w:t>2</w:t>
      </w:r>
      <w:r w:rsidR="00463B2F">
        <w:rPr>
          <w:rFonts w:cs="Times New Roman"/>
          <w:szCs w:val="28"/>
          <w:vertAlign w:val="superscript"/>
        </w:rPr>
        <w:t> </w:t>
      </w:r>
      <w:r w:rsidRPr="00BE0FB0">
        <w:rPr>
          <w:rFonts w:cs="Times New Roman"/>
          <w:szCs w:val="28"/>
        </w:rPr>
        <w:t>3</w:t>
      </w:r>
      <w:r w:rsidR="00331407" w:rsidRPr="00BE0FB0">
        <w:rPr>
          <w:rFonts w:cs="Times New Roman"/>
          <w:szCs w:val="28"/>
        </w:rPr>
        <w:t>. a</w:t>
      </w:r>
      <w:r w:rsidRPr="00BE0FB0">
        <w:rPr>
          <w:rFonts w:cs="Times New Roman"/>
          <w:szCs w:val="28"/>
        </w:rPr>
        <w:t>pakšpunktu šādā redakcijā:</w:t>
      </w:r>
    </w:p>
    <w:p w14:paraId="308D6019" w14:textId="77777777" w:rsidR="009571E0" w:rsidRPr="00BE0FB0" w:rsidRDefault="009571E0" w:rsidP="009571E0">
      <w:pPr>
        <w:shd w:val="clear" w:color="auto" w:fill="FFFFFF"/>
        <w:tabs>
          <w:tab w:val="right" w:pos="9071"/>
        </w:tabs>
        <w:ind w:firstLine="709"/>
        <w:jc w:val="both"/>
        <w:rPr>
          <w:rFonts w:cs="Times New Roman"/>
          <w:szCs w:val="28"/>
        </w:rPr>
      </w:pPr>
      <w:r w:rsidRPr="00BE0FB0">
        <w:rPr>
          <w:rFonts w:cs="Times New Roman"/>
          <w:szCs w:val="28"/>
        </w:rPr>
        <w:tab/>
      </w:r>
    </w:p>
    <w:p w14:paraId="3AAC75A0" w14:textId="07CCB77B" w:rsidR="009571E0" w:rsidRPr="00BE0FB0" w:rsidRDefault="00331407" w:rsidP="009571E0">
      <w:pPr>
        <w:shd w:val="clear" w:color="auto" w:fill="FFFFFF"/>
        <w:ind w:firstLine="709"/>
        <w:jc w:val="both"/>
        <w:rPr>
          <w:rFonts w:cs="Times New Roman"/>
          <w:szCs w:val="28"/>
        </w:rPr>
      </w:pPr>
      <w:r w:rsidRPr="00BE0FB0">
        <w:rPr>
          <w:rFonts w:cs="Times New Roman"/>
          <w:szCs w:val="28"/>
        </w:rPr>
        <w:t>"</w:t>
      </w:r>
      <w:r w:rsidR="009571E0" w:rsidRPr="00BE0FB0">
        <w:rPr>
          <w:rFonts w:cs="Times New Roman"/>
          <w:szCs w:val="28"/>
        </w:rPr>
        <w:t>9.</w:t>
      </w:r>
      <w:r w:rsidR="009571E0" w:rsidRPr="00BE0FB0">
        <w:rPr>
          <w:rFonts w:cs="Times New Roman"/>
          <w:szCs w:val="28"/>
          <w:vertAlign w:val="superscript"/>
        </w:rPr>
        <w:t>2</w:t>
      </w:r>
      <w:r w:rsidR="00463B2F">
        <w:rPr>
          <w:rFonts w:cs="Times New Roman"/>
          <w:szCs w:val="28"/>
          <w:vertAlign w:val="superscript"/>
        </w:rPr>
        <w:t> </w:t>
      </w:r>
      <w:proofErr w:type="gramStart"/>
      <w:r w:rsidR="009571E0" w:rsidRPr="00BE0FB0">
        <w:rPr>
          <w:rFonts w:cs="Times New Roman"/>
          <w:szCs w:val="28"/>
        </w:rPr>
        <w:t>3. arktiskos un bargos ziemas apstākļos</w:t>
      </w:r>
      <w:proofErr w:type="gramEnd"/>
      <w:r w:rsidR="009571E0" w:rsidRPr="00BE0FB0">
        <w:rPr>
          <w:rFonts w:cs="Times New Roman"/>
          <w:szCs w:val="28"/>
        </w:rPr>
        <w:t xml:space="preserve"> izmantojamu 0., 1., 2., 3. un 4</w:t>
      </w:r>
      <w:r w:rsidRPr="00BE0FB0">
        <w:rPr>
          <w:rFonts w:cs="Times New Roman"/>
          <w:szCs w:val="28"/>
        </w:rPr>
        <w:t>.</w:t>
      </w:r>
      <w:r w:rsidR="00463B2F">
        <w:rPr>
          <w:rFonts w:cs="Times New Roman"/>
          <w:szCs w:val="28"/>
        </w:rPr>
        <w:t> </w:t>
      </w:r>
      <w:r w:rsidRPr="00BE0FB0">
        <w:rPr>
          <w:rFonts w:cs="Times New Roman"/>
          <w:szCs w:val="28"/>
        </w:rPr>
        <w:t>k</w:t>
      </w:r>
      <w:r w:rsidR="009571E0" w:rsidRPr="00BE0FB0">
        <w:rPr>
          <w:rFonts w:cs="Times New Roman"/>
          <w:szCs w:val="28"/>
        </w:rPr>
        <w:t xml:space="preserve">lases dīzeļdegvielu atbilstoši standartam LVS EN 590+A1:2017 </w:t>
      </w:r>
      <w:r w:rsidRPr="00BE0FB0">
        <w:rPr>
          <w:rFonts w:cs="Times New Roman"/>
          <w:szCs w:val="28"/>
        </w:rPr>
        <w:t>"</w:t>
      </w:r>
      <w:r w:rsidR="009571E0" w:rsidRPr="00BE0FB0">
        <w:rPr>
          <w:rFonts w:cs="Times New Roman"/>
          <w:szCs w:val="28"/>
        </w:rPr>
        <w:t>Automobiļu degvielas. Dīzeļdegviela. Prasības un testēšanas metodes</w:t>
      </w:r>
      <w:r w:rsidRPr="00BE0FB0">
        <w:rPr>
          <w:rFonts w:cs="Times New Roman"/>
          <w:szCs w:val="28"/>
        </w:rPr>
        <w:t>"</w:t>
      </w:r>
      <w:r w:rsidR="009571E0" w:rsidRPr="00BE0FB0">
        <w:rPr>
          <w:rFonts w:cs="Times New Roman"/>
          <w:szCs w:val="28"/>
        </w:rPr>
        <w:t>, kura tiek realizēta:</w:t>
      </w:r>
    </w:p>
    <w:p w14:paraId="05294D1A" w14:textId="2014688E" w:rsidR="009571E0" w:rsidRPr="00BE0FB0" w:rsidRDefault="009571E0" w:rsidP="009571E0">
      <w:pPr>
        <w:shd w:val="clear" w:color="auto" w:fill="FFFFFF"/>
        <w:ind w:firstLine="709"/>
        <w:jc w:val="both"/>
        <w:rPr>
          <w:rFonts w:cs="Times New Roman"/>
          <w:szCs w:val="28"/>
        </w:rPr>
      </w:pPr>
      <w:r w:rsidRPr="00BE0FB0">
        <w:rPr>
          <w:rFonts w:cs="Times New Roman"/>
          <w:szCs w:val="28"/>
        </w:rPr>
        <w:t>9.</w:t>
      </w:r>
      <w:r w:rsidRPr="00BE0FB0">
        <w:rPr>
          <w:rFonts w:cs="Times New Roman"/>
          <w:szCs w:val="28"/>
          <w:vertAlign w:val="superscript"/>
        </w:rPr>
        <w:t>2</w:t>
      </w:r>
      <w:r w:rsidR="00463B2F">
        <w:rPr>
          <w:rFonts w:cs="Times New Roman"/>
          <w:szCs w:val="28"/>
          <w:vertAlign w:val="superscript"/>
        </w:rPr>
        <w:t> </w:t>
      </w:r>
      <w:r w:rsidRPr="00BE0FB0">
        <w:rPr>
          <w:rFonts w:cs="Times New Roman"/>
          <w:szCs w:val="28"/>
        </w:rPr>
        <w:t>3.1. mazumtirdzniecībā, ja degvielas mazumtirgotājs realizē no degvielas vairumtirgotāja saņemto degvielu;</w:t>
      </w:r>
    </w:p>
    <w:p w14:paraId="1C7F86FC" w14:textId="45063FEF" w:rsidR="009571E0" w:rsidRPr="00BE0FB0" w:rsidRDefault="009571E0" w:rsidP="009571E0">
      <w:pPr>
        <w:shd w:val="clear" w:color="auto" w:fill="FFFFFF"/>
        <w:ind w:firstLine="709"/>
        <w:jc w:val="both"/>
        <w:rPr>
          <w:rFonts w:cs="Times New Roman"/>
          <w:szCs w:val="28"/>
        </w:rPr>
      </w:pPr>
      <w:r w:rsidRPr="00BE0FB0">
        <w:rPr>
          <w:rFonts w:cs="Times New Roman"/>
          <w:szCs w:val="28"/>
        </w:rPr>
        <w:t>9.</w:t>
      </w:r>
      <w:r w:rsidRPr="00BE0FB0">
        <w:rPr>
          <w:rFonts w:cs="Times New Roman"/>
          <w:szCs w:val="28"/>
          <w:vertAlign w:val="superscript"/>
        </w:rPr>
        <w:t>2</w:t>
      </w:r>
      <w:r w:rsidR="00463B2F">
        <w:rPr>
          <w:rFonts w:cs="Times New Roman"/>
          <w:szCs w:val="28"/>
          <w:vertAlign w:val="superscript"/>
        </w:rPr>
        <w:t> </w:t>
      </w:r>
      <w:r w:rsidRPr="00BE0FB0">
        <w:rPr>
          <w:rFonts w:cs="Times New Roman"/>
          <w:szCs w:val="28"/>
        </w:rPr>
        <w:t xml:space="preserve">3.2. mazumtirdzniecībā, </w:t>
      </w:r>
      <w:proofErr w:type="gramStart"/>
      <w:r w:rsidRPr="00BE0FB0">
        <w:rPr>
          <w:rFonts w:cs="Times New Roman"/>
          <w:szCs w:val="28"/>
        </w:rPr>
        <w:t xml:space="preserve">ja degvielas mazumtirgotājs </w:t>
      </w:r>
      <w:r w:rsidR="00A606F1" w:rsidRPr="00BE0FB0">
        <w:rPr>
          <w:rFonts w:cs="Times New Roman"/>
          <w:szCs w:val="28"/>
        </w:rPr>
        <w:t xml:space="preserve">realizē </w:t>
      </w:r>
      <w:r w:rsidR="003B1DDD" w:rsidRPr="00BE0FB0">
        <w:rPr>
          <w:rFonts w:cs="Times New Roman"/>
          <w:szCs w:val="28"/>
        </w:rPr>
        <w:t>laikp</w:t>
      </w:r>
      <w:r w:rsidR="003B1DDD">
        <w:rPr>
          <w:rFonts w:cs="Times New Roman"/>
          <w:szCs w:val="28"/>
        </w:rPr>
        <w:t>osmā</w:t>
      </w:r>
      <w:r w:rsidR="003B1DDD" w:rsidRPr="00BE0FB0">
        <w:rPr>
          <w:rFonts w:cs="Times New Roman"/>
          <w:szCs w:val="28"/>
        </w:rPr>
        <w:t xml:space="preserve"> no 1.</w:t>
      </w:r>
      <w:r w:rsidR="003B1DDD">
        <w:rPr>
          <w:rFonts w:cs="Times New Roman"/>
          <w:szCs w:val="28"/>
        </w:rPr>
        <w:t> </w:t>
      </w:r>
      <w:r w:rsidR="003B1DDD" w:rsidRPr="00BE0FB0">
        <w:rPr>
          <w:rFonts w:cs="Times New Roman"/>
          <w:szCs w:val="28"/>
        </w:rPr>
        <w:t>novembra</w:t>
      </w:r>
      <w:proofErr w:type="gramEnd"/>
      <w:r w:rsidR="003B1DDD" w:rsidRPr="00BE0FB0">
        <w:rPr>
          <w:rFonts w:cs="Times New Roman"/>
          <w:szCs w:val="28"/>
        </w:rPr>
        <w:t xml:space="preserve"> līdz 15.</w:t>
      </w:r>
      <w:r w:rsidR="003B1DDD">
        <w:rPr>
          <w:rFonts w:cs="Times New Roman"/>
          <w:szCs w:val="28"/>
        </w:rPr>
        <w:t> </w:t>
      </w:r>
      <w:r w:rsidR="003B1DDD" w:rsidRPr="00BE0FB0">
        <w:rPr>
          <w:rFonts w:cs="Times New Roman"/>
          <w:szCs w:val="28"/>
        </w:rPr>
        <w:t xml:space="preserve">aprīlim </w:t>
      </w:r>
      <w:r w:rsidRPr="00BE0FB0">
        <w:rPr>
          <w:rFonts w:cs="Times New Roman"/>
          <w:szCs w:val="28"/>
        </w:rPr>
        <w:t xml:space="preserve">paša importēto vai no Eiropas Savienības dalībvalsts ievesto degvielu; </w:t>
      </w:r>
    </w:p>
    <w:p w14:paraId="636A2F49" w14:textId="74745773" w:rsidR="009571E0" w:rsidRPr="00BE0FB0" w:rsidRDefault="009571E0" w:rsidP="009571E0">
      <w:pPr>
        <w:shd w:val="clear" w:color="auto" w:fill="FFFFFF"/>
        <w:ind w:firstLine="709"/>
        <w:jc w:val="both"/>
        <w:rPr>
          <w:rFonts w:eastAsiaTheme="minorEastAsia" w:cs="Times New Roman"/>
          <w:szCs w:val="28"/>
        </w:rPr>
      </w:pPr>
      <w:r w:rsidRPr="00BE0FB0">
        <w:rPr>
          <w:rFonts w:cs="Times New Roman"/>
          <w:szCs w:val="28"/>
        </w:rPr>
        <w:t>9.</w:t>
      </w:r>
      <w:r w:rsidRPr="00BE0FB0">
        <w:rPr>
          <w:rFonts w:cs="Times New Roman"/>
          <w:szCs w:val="28"/>
          <w:vertAlign w:val="superscript"/>
        </w:rPr>
        <w:t>2</w:t>
      </w:r>
      <w:r w:rsidR="00463B2F">
        <w:rPr>
          <w:rFonts w:cs="Times New Roman"/>
          <w:szCs w:val="28"/>
          <w:vertAlign w:val="superscript"/>
        </w:rPr>
        <w:t> </w:t>
      </w:r>
      <w:r w:rsidRPr="00BE0FB0">
        <w:rPr>
          <w:rFonts w:cs="Times New Roman"/>
          <w:szCs w:val="28"/>
        </w:rPr>
        <w:t xml:space="preserve">3.3. vairumtirdzniecībā, </w:t>
      </w:r>
      <w:r w:rsidR="00A606F1">
        <w:rPr>
          <w:rFonts w:cs="Times New Roman"/>
          <w:szCs w:val="28"/>
        </w:rPr>
        <w:t xml:space="preserve">ja </w:t>
      </w:r>
      <w:r w:rsidR="001233E8" w:rsidRPr="00BE0FB0">
        <w:rPr>
          <w:rFonts w:cs="Times New Roman"/>
          <w:szCs w:val="28"/>
        </w:rPr>
        <w:t>laikp</w:t>
      </w:r>
      <w:r w:rsidR="001233E8">
        <w:rPr>
          <w:rFonts w:cs="Times New Roman"/>
          <w:szCs w:val="28"/>
        </w:rPr>
        <w:t>osmā</w:t>
      </w:r>
      <w:r w:rsidR="001233E8" w:rsidRPr="00BE0FB0">
        <w:rPr>
          <w:rFonts w:cs="Times New Roman"/>
          <w:szCs w:val="28"/>
        </w:rPr>
        <w:t xml:space="preserve"> no 1.</w:t>
      </w:r>
      <w:r w:rsidR="001233E8">
        <w:rPr>
          <w:rFonts w:cs="Times New Roman"/>
          <w:szCs w:val="28"/>
        </w:rPr>
        <w:t> </w:t>
      </w:r>
      <w:r w:rsidR="001233E8" w:rsidRPr="00BE0FB0">
        <w:rPr>
          <w:rFonts w:cs="Times New Roman"/>
          <w:szCs w:val="28"/>
        </w:rPr>
        <w:t>novembra līdz 15.</w:t>
      </w:r>
      <w:r w:rsidR="001233E8">
        <w:rPr>
          <w:rFonts w:cs="Times New Roman"/>
          <w:szCs w:val="28"/>
        </w:rPr>
        <w:t> </w:t>
      </w:r>
      <w:r w:rsidR="001233E8" w:rsidRPr="00BE0FB0">
        <w:rPr>
          <w:rFonts w:cs="Times New Roman"/>
          <w:szCs w:val="28"/>
        </w:rPr>
        <w:t xml:space="preserve">aprīlim </w:t>
      </w:r>
      <w:r w:rsidR="001233E8">
        <w:rPr>
          <w:rFonts w:cs="Times New Roman"/>
          <w:szCs w:val="28"/>
        </w:rPr>
        <w:t>to</w:t>
      </w:r>
      <w:r w:rsidR="001233E8" w:rsidRPr="00BE0FB0">
        <w:rPr>
          <w:rFonts w:cs="Times New Roman"/>
          <w:szCs w:val="28"/>
        </w:rPr>
        <w:t xml:space="preserve"> realizē </w:t>
      </w:r>
      <w:r w:rsidRPr="00BE0FB0">
        <w:rPr>
          <w:rFonts w:cs="Times New Roman"/>
          <w:szCs w:val="28"/>
        </w:rPr>
        <w:t>komersanti, kuriem ir speciāla atļauja (licence) degvielas vairumtirdzniecībai vai speciāla atļauja (licence) apstiprināta noliktavas turētāja darbībai, vai speciāla atļauja (licence) reģistrēta saņēmēja darbībai (izņemot realizāciju atliktā akcīzes nodokļa maksāšanas režīmā).</w:t>
      </w:r>
      <w:r w:rsidR="00331407" w:rsidRPr="00BE0FB0">
        <w:rPr>
          <w:rFonts w:eastAsiaTheme="minorEastAsia" w:cs="Times New Roman"/>
          <w:szCs w:val="28"/>
        </w:rPr>
        <w:t>"</w:t>
      </w:r>
      <w:r w:rsidRPr="00BE0FB0">
        <w:rPr>
          <w:rFonts w:eastAsiaTheme="minorEastAsia" w:cs="Times New Roman"/>
          <w:szCs w:val="28"/>
        </w:rPr>
        <w:t>;</w:t>
      </w:r>
    </w:p>
    <w:p w14:paraId="7BA4F721" w14:textId="77777777" w:rsidR="009571E0" w:rsidRPr="00BE0FB0" w:rsidRDefault="009571E0" w:rsidP="009571E0">
      <w:pPr>
        <w:shd w:val="clear" w:color="auto" w:fill="FFFFFF"/>
        <w:ind w:firstLine="709"/>
        <w:jc w:val="both"/>
        <w:rPr>
          <w:rFonts w:eastAsiaTheme="minorEastAsia" w:cs="Times New Roman"/>
          <w:szCs w:val="28"/>
        </w:rPr>
      </w:pPr>
    </w:p>
    <w:p w14:paraId="02A9B79C" w14:textId="77777777" w:rsidR="009571E0" w:rsidRPr="00BE0FB0" w:rsidRDefault="009571E0" w:rsidP="009571E0">
      <w:pPr>
        <w:shd w:val="clear" w:color="auto" w:fill="FFFFFF"/>
        <w:ind w:firstLine="709"/>
        <w:jc w:val="both"/>
        <w:rPr>
          <w:rFonts w:cs="Times New Roman"/>
          <w:szCs w:val="28"/>
        </w:rPr>
      </w:pPr>
      <w:r w:rsidRPr="00BE0FB0">
        <w:rPr>
          <w:rFonts w:cs="Times New Roman"/>
          <w:szCs w:val="28"/>
        </w:rPr>
        <w:t>1.6. izteikt 13.</w:t>
      </w:r>
      <w:r w:rsidRPr="00BE0FB0">
        <w:rPr>
          <w:rFonts w:cs="Times New Roman"/>
          <w:szCs w:val="28"/>
          <w:vertAlign w:val="superscript"/>
        </w:rPr>
        <w:t xml:space="preserve">1 </w:t>
      </w:r>
      <w:r w:rsidRPr="00BE0FB0">
        <w:rPr>
          <w:rFonts w:cs="Times New Roman"/>
          <w:szCs w:val="28"/>
        </w:rPr>
        <w:t>punktu šādā redakcijā:</w:t>
      </w:r>
    </w:p>
    <w:p w14:paraId="43F590A5" w14:textId="77777777" w:rsidR="009571E0" w:rsidRPr="00BE0FB0" w:rsidRDefault="009571E0" w:rsidP="009571E0">
      <w:pPr>
        <w:shd w:val="clear" w:color="auto" w:fill="FFFFFF"/>
        <w:ind w:firstLine="709"/>
        <w:jc w:val="both"/>
        <w:rPr>
          <w:rFonts w:eastAsiaTheme="minorEastAsia" w:cs="Times New Roman"/>
          <w:szCs w:val="28"/>
        </w:rPr>
      </w:pPr>
    </w:p>
    <w:p w14:paraId="3EBAF3E5" w14:textId="15B0BF93" w:rsidR="009571E0" w:rsidRPr="00BE0FB0" w:rsidRDefault="00331407" w:rsidP="009571E0">
      <w:pPr>
        <w:shd w:val="clear" w:color="auto" w:fill="FFFFFF"/>
        <w:ind w:firstLine="709"/>
        <w:jc w:val="both"/>
        <w:rPr>
          <w:rFonts w:eastAsiaTheme="minorEastAsia" w:cs="Times New Roman"/>
          <w:szCs w:val="28"/>
        </w:rPr>
      </w:pPr>
      <w:r w:rsidRPr="00BE0FB0">
        <w:rPr>
          <w:rFonts w:cs="Times New Roman"/>
          <w:szCs w:val="28"/>
        </w:rPr>
        <w:t>"</w:t>
      </w:r>
      <w:r w:rsidR="009571E0" w:rsidRPr="00BE0FB0">
        <w:rPr>
          <w:rFonts w:cs="Times New Roman"/>
          <w:szCs w:val="28"/>
        </w:rPr>
        <w:t>13.</w:t>
      </w:r>
      <w:r w:rsidR="009571E0" w:rsidRPr="00BE0FB0">
        <w:rPr>
          <w:rFonts w:cs="Times New Roman"/>
          <w:szCs w:val="28"/>
          <w:vertAlign w:val="superscript"/>
        </w:rPr>
        <w:t>1</w:t>
      </w:r>
      <w:r w:rsidR="009571E0" w:rsidRPr="00BE0FB0">
        <w:rPr>
          <w:rFonts w:cs="Times New Roman"/>
          <w:szCs w:val="28"/>
        </w:rPr>
        <w:t xml:space="preserve"> Degvielas atbilstību šo noteikumu prasībām apliecina atbilstības sertifikāts, kas izsniegts, pamatojoties uz testēšanas pārskatu. Degvielas mazumtirdzniecības vietās uz degvielas uzpildes staciju tehnoloģiskajām iekārtām (degvielas uzpildes automātiem) no 1</w:t>
      </w:r>
      <w:r w:rsidRPr="00BE0FB0">
        <w:rPr>
          <w:rFonts w:cs="Times New Roman"/>
          <w:szCs w:val="28"/>
        </w:rPr>
        <w:t>. n</w:t>
      </w:r>
      <w:r w:rsidR="009571E0" w:rsidRPr="00BE0FB0">
        <w:rPr>
          <w:rFonts w:cs="Times New Roman"/>
          <w:szCs w:val="28"/>
        </w:rPr>
        <w:t>ovembra līdz 15</w:t>
      </w:r>
      <w:r w:rsidRPr="00BE0FB0">
        <w:rPr>
          <w:rFonts w:cs="Times New Roman"/>
          <w:szCs w:val="28"/>
        </w:rPr>
        <w:t>. a</w:t>
      </w:r>
      <w:r w:rsidR="009571E0" w:rsidRPr="00BE0FB0">
        <w:rPr>
          <w:rFonts w:cs="Times New Roman"/>
          <w:szCs w:val="28"/>
        </w:rPr>
        <w:t xml:space="preserve">prīlim patērētājam labi redzamā vietā norāda dīzeļdegvielas aukstā filtra nosprostošanās punktu (grādos pēc Celsija) un degvielas klasi atbilstoši standartam LVS EN 590+A1:2017 </w:t>
      </w:r>
      <w:r w:rsidRPr="00BE0FB0">
        <w:rPr>
          <w:rFonts w:cs="Times New Roman"/>
          <w:szCs w:val="28"/>
        </w:rPr>
        <w:t>"</w:t>
      </w:r>
      <w:r w:rsidR="009571E0" w:rsidRPr="00BE0FB0">
        <w:rPr>
          <w:rFonts w:cs="Times New Roman"/>
          <w:szCs w:val="28"/>
        </w:rPr>
        <w:t>Automobiļu degvielas. Dīzeļdegviela. Prasības un testēšanas metodes</w:t>
      </w:r>
      <w:r w:rsidRPr="00BE0FB0">
        <w:rPr>
          <w:rFonts w:cs="Times New Roman"/>
          <w:szCs w:val="28"/>
        </w:rPr>
        <w:t>"</w:t>
      </w:r>
      <w:r w:rsidR="009571E0" w:rsidRPr="00BE0FB0">
        <w:rPr>
          <w:rFonts w:cs="Times New Roman"/>
          <w:szCs w:val="28"/>
        </w:rPr>
        <w:t>.</w:t>
      </w:r>
      <w:r w:rsidRPr="00BE0FB0">
        <w:rPr>
          <w:rFonts w:eastAsiaTheme="minorEastAsia" w:cs="Times New Roman"/>
          <w:szCs w:val="28"/>
        </w:rPr>
        <w:t>"</w:t>
      </w:r>
      <w:r w:rsidR="009571E0" w:rsidRPr="00BE0FB0">
        <w:rPr>
          <w:rFonts w:eastAsiaTheme="minorEastAsia" w:cs="Times New Roman"/>
          <w:szCs w:val="28"/>
        </w:rPr>
        <w:t xml:space="preserve">; </w:t>
      </w:r>
    </w:p>
    <w:p w14:paraId="252B5C87" w14:textId="77777777" w:rsidR="009571E0" w:rsidRPr="00BE0FB0" w:rsidRDefault="009571E0" w:rsidP="009571E0">
      <w:pPr>
        <w:shd w:val="clear" w:color="auto" w:fill="FFFFFF"/>
        <w:ind w:firstLine="709"/>
        <w:jc w:val="both"/>
        <w:rPr>
          <w:rFonts w:eastAsiaTheme="minorEastAsia" w:cs="Times New Roman"/>
          <w:szCs w:val="28"/>
        </w:rPr>
      </w:pPr>
    </w:p>
    <w:p w14:paraId="0B8973B3" w14:textId="77777777" w:rsidR="009571E0" w:rsidRPr="00BE0FB0" w:rsidRDefault="009571E0" w:rsidP="009571E0">
      <w:pPr>
        <w:shd w:val="clear" w:color="auto" w:fill="FFFFFF"/>
        <w:ind w:firstLine="709"/>
        <w:jc w:val="both"/>
        <w:rPr>
          <w:rFonts w:cs="Times New Roman"/>
          <w:szCs w:val="28"/>
        </w:rPr>
      </w:pPr>
      <w:r w:rsidRPr="00BE0FB0">
        <w:rPr>
          <w:rFonts w:cs="Times New Roman"/>
          <w:szCs w:val="28"/>
        </w:rPr>
        <w:t>1.7. izteikt 15.</w:t>
      </w:r>
      <w:r w:rsidRPr="00BE0FB0">
        <w:rPr>
          <w:rFonts w:cs="Times New Roman"/>
          <w:szCs w:val="28"/>
          <w:vertAlign w:val="superscript"/>
        </w:rPr>
        <w:t xml:space="preserve"> </w:t>
      </w:r>
      <w:r w:rsidRPr="00BE0FB0">
        <w:rPr>
          <w:rFonts w:cs="Times New Roman"/>
          <w:szCs w:val="28"/>
        </w:rPr>
        <w:t>punktu šādā redakcijā:</w:t>
      </w:r>
    </w:p>
    <w:p w14:paraId="33284689" w14:textId="77777777" w:rsidR="009571E0" w:rsidRPr="00BE0FB0" w:rsidRDefault="009571E0" w:rsidP="009571E0">
      <w:pPr>
        <w:shd w:val="clear" w:color="auto" w:fill="FFFFFF"/>
        <w:ind w:firstLine="709"/>
        <w:jc w:val="both"/>
        <w:rPr>
          <w:rFonts w:eastAsiaTheme="minorEastAsia" w:cs="Times New Roman"/>
          <w:szCs w:val="28"/>
        </w:rPr>
      </w:pPr>
    </w:p>
    <w:p w14:paraId="2B26CB90" w14:textId="28948C7E" w:rsidR="009571E0" w:rsidRPr="00BE0FB0" w:rsidRDefault="00331407" w:rsidP="009571E0">
      <w:pPr>
        <w:shd w:val="clear" w:color="auto" w:fill="FFFFFF"/>
        <w:ind w:firstLine="709"/>
        <w:jc w:val="both"/>
        <w:rPr>
          <w:rFonts w:eastAsiaTheme="minorEastAsia" w:cs="Times New Roman"/>
          <w:szCs w:val="28"/>
        </w:rPr>
      </w:pPr>
      <w:r w:rsidRPr="00BE0FB0">
        <w:rPr>
          <w:rFonts w:cs="Times New Roman"/>
          <w:szCs w:val="28"/>
        </w:rPr>
        <w:t>"</w:t>
      </w:r>
      <w:r w:rsidR="009571E0" w:rsidRPr="00BE0FB0">
        <w:rPr>
          <w:rFonts w:eastAsiaTheme="minorEastAsia" w:cs="Times New Roman"/>
          <w:szCs w:val="28"/>
        </w:rPr>
        <w:t xml:space="preserve">15. Degvielas tirgus uzraudzību </w:t>
      </w:r>
      <w:r w:rsidR="001233E8">
        <w:rPr>
          <w:rFonts w:eastAsiaTheme="minorEastAsia" w:cs="Times New Roman"/>
          <w:szCs w:val="28"/>
        </w:rPr>
        <w:t>atbilstoši</w:t>
      </w:r>
      <w:r w:rsidR="001233E8" w:rsidRPr="00BE0FB0">
        <w:rPr>
          <w:rFonts w:eastAsiaTheme="minorEastAsia" w:cs="Times New Roman"/>
          <w:szCs w:val="28"/>
        </w:rPr>
        <w:t xml:space="preserve"> kompetence</w:t>
      </w:r>
      <w:r w:rsidR="001233E8">
        <w:rPr>
          <w:rFonts w:eastAsiaTheme="minorEastAsia" w:cs="Times New Roman"/>
          <w:szCs w:val="28"/>
        </w:rPr>
        <w:t>i</w:t>
      </w:r>
      <w:r w:rsidR="001233E8" w:rsidRPr="00BE0FB0">
        <w:rPr>
          <w:rFonts w:eastAsiaTheme="minorEastAsia" w:cs="Times New Roman"/>
          <w:szCs w:val="28"/>
        </w:rPr>
        <w:t xml:space="preserve"> </w:t>
      </w:r>
      <w:r w:rsidR="009571E0" w:rsidRPr="00BE0FB0">
        <w:rPr>
          <w:rFonts w:eastAsiaTheme="minorEastAsia" w:cs="Times New Roman"/>
          <w:szCs w:val="28"/>
        </w:rPr>
        <w:t xml:space="preserve">veic Valsts ieņēmumu dienests. Veicot degvielas tirgus uzraudzību, Valsts ieņēmumu </w:t>
      </w:r>
      <w:r w:rsidR="009571E0" w:rsidRPr="00BE0FB0">
        <w:rPr>
          <w:rFonts w:eastAsiaTheme="minorEastAsia" w:cs="Times New Roman"/>
          <w:szCs w:val="28"/>
        </w:rPr>
        <w:lastRenderedPageBreak/>
        <w:t xml:space="preserve">dienests ievēro </w:t>
      </w:r>
      <w:r w:rsidR="009571E0" w:rsidRPr="00BE0FB0">
        <w:rPr>
          <w:rFonts w:cs="Times New Roman"/>
          <w:szCs w:val="28"/>
        </w:rPr>
        <w:t xml:space="preserve">standartā LVS EN 14274:2013 </w:t>
      </w:r>
      <w:r w:rsidRPr="00BE0FB0">
        <w:rPr>
          <w:rFonts w:cs="Times New Roman"/>
          <w:szCs w:val="28"/>
        </w:rPr>
        <w:t>"</w:t>
      </w:r>
      <w:r w:rsidR="009571E0" w:rsidRPr="00BE0FB0">
        <w:rPr>
          <w:rFonts w:cs="Times New Roman"/>
          <w:szCs w:val="28"/>
        </w:rPr>
        <w:t>Automobiļu degvielas. Benzīna un dīzeļdegvielas kvalitātes novērtēšana. Degvielas kvalitātes monitoringa sistēma (FQMS)</w:t>
      </w:r>
      <w:r w:rsidRPr="00BE0FB0">
        <w:rPr>
          <w:rFonts w:eastAsiaTheme="minorEastAsia" w:cs="Times New Roman"/>
          <w:szCs w:val="28"/>
        </w:rPr>
        <w:t>"</w:t>
      </w:r>
      <w:r w:rsidR="009571E0" w:rsidRPr="00BE0FB0">
        <w:rPr>
          <w:rFonts w:eastAsiaTheme="minorEastAsia" w:cs="Times New Roman"/>
          <w:szCs w:val="28"/>
        </w:rPr>
        <w:t xml:space="preserve"> ietvertās prasības.</w:t>
      </w:r>
      <w:r w:rsidRPr="00BE0FB0">
        <w:rPr>
          <w:rFonts w:eastAsiaTheme="minorEastAsia" w:cs="Times New Roman"/>
          <w:szCs w:val="28"/>
        </w:rPr>
        <w:t>"</w:t>
      </w:r>
      <w:r w:rsidR="009571E0" w:rsidRPr="00BE0FB0">
        <w:rPr>
          <w:rFonts w:eastAsiaTheme="minorEastAsia" w:cs="Times New Roman"/>
          <w:szCs w:val="28"/>
        </w:rPr>
        <w:t>;</w:t>
      </w:r>
    </w:p>
    <w:p w14:paraId="0A5C2C55" w14:textId="77777777" w:rsidR="009571E0" w:rsidRPr="00BE0FB0" w:rsidRDefault="009571E0" w:rsidP="009571E0">
      <w:pPr>
        <w:shd w:val="clear" w:color="auto" w:fill="FFFFFF"/>
        <w:jc w:val="both"/>
        <w:rPr>
          <w:rFonts w:eastAsiaTheme="minorEastAsia" w:cs="Times New Roman"/>
          <w:szCs w:val="28"/>
        </w:rPr>
      </w:pPr>
      <w:r w:rsidRPr="00BE0FB0">
        <w:rPr>
          <w:rFonts w:eastAsiaTheme="minorEastAsia" w:cs="Times New Roman"/>
          <w:szCs w:val="28"/>
        </w:rPr>
        <w:t xml:space="preserve"> </w:t>
      </w:r>
    </w:p>
    <w:p w14:paraId="0D1D6444" w14:textId="77777777" w:rsidR="009571E0" w:rsidRPr="00BE0FB0" w:rsidRDefault="009571E0" w:rsidP="009571E0">
      <w:pPr>
        <w:shd w:val="clear" w:color="auto" w:fill="FFFFFF"/>
        <w:ind w:firstLine="709"/>
        <w:jc w:val="both"/>
        <w:rPr>
          <w:rFonts w:cs="Times New Roman"/>
          <w:szCs w:val="28"/>
        </w:rPr>
      </w:pPr>
      <w:r w:rsidRPr="00BE0FB0">
        <w:rPr>
          <w:rFonts w:cs="Times New Roman"/>
          <w:szCs w:val="28"/>
        </w:rPr>
        <w:t>1.8. izteikt 15.</w:t>
      </w:r>
      <w:r w:rsidRPr="00BE0FB0">
        <w:rPr>
          <w:rFonts w:cs="Times New Roman"/>
          <w:szCs w:val="28"/>
          <w:vertAlign w:val="superscript"/>
        </w:rPr>
        <w:t xml:space="preserve">1 </w:t>
      </w:r>
      <w:r w:rsidRPr="00BE0FB0">
        <w:rPr>
          <w:rFonts w:cs="Times New Roman"/>
          <w:szCs w:val="28"/>
        </w:rPr>
        <w:t>punktu šādā redakcijā:</w:t>
      </w:r>
    </w:p>
    <w:p w14:paraId="3B9C3EB3" w14:textId="77777777" w:rsidR="009571E0" w:rsidRPr="00BE0FB0" w:rsidRDefault="009571E0" w:rsidP="009571E0">
      <w:pPr>
        <w:shd w:val="clear" w:color="auto" w:fill="FFFFFF"/>
        <w:ind w:firstLine="709"/>
        <w:jc w:val="both"/>
        <w:rPr>
          <w:rFonts w:cs="Times New Roman"/>
          <w:szCs w:val="28"/>
        </w:rPr>
      </w:pPr>
    </w:p>
    <w:p w14:paraId="741E2321" w14:textId="6CA15C95" w:rsidR="009571E0" w:rsidRPr="00BE0FB0" w:rsidRDefault="00331407" w:rsidP="009571E0">
      <w:pPr>
        <w:shd w:val="clear" w:color="auto" w:fill="FFFFFF"/>
        <w:ind w:firstLine="709"/>
        <w:jc w:val="both"/>
        <w:rPr>
          <w:rFonts w:eastAsiaTheme="minorEastAsia" w:cs="Times New Roman"/>
          <w:szCs w:val="28"/>
        </w:rPr>
      </w:pPr>
      <w:r w:rsidRPr="00BE0FB0">
        <w:rPr>
          <w:rFonts w:cs="Times New Roman"/>
          <w:szCs w:val="28"/>
        </w:rPr>
        <w:t>"</w:t>
      </w:r>
      <w:r w:rsidR="009571E0" w:rsidRPr="00BE0FB0">
        <w:rPr>
          <w:rFonts w:cs="Times New Roman"/>
          <w:szCs w:val="28"/>
        </w:rPr>
        <w:t>15.</w:t>
      </w:r>
      <w:r w:rsidR="009571E0" w:rsidRPr="00BE0FB0">
        <w:rPr>
          <w:rFonts w:cs="Times New Roman"/>
          <w:szCs w:val="28"/>
          <w:vertAlign w:val="superscript"/>
        </w:rPr>
        <w:t>1</w:t>
      </w:r>
      <w:r w:rsidR="009571E0" w:rsidRPr="00BE0FB0">
        <w:rPr>
          <w:rFonts w:cs="Times New Roman"/>
          <w:szCs w:val="28"/>
        </w:rPr>
        <w:t xml:space="preserve"> Degvielas atbilstības uzraudzību Valsts ieņēmumu dienests veic atbilstoši testēšanas metodēm, kas noteiktas standartos LVS EN 228+A1:2017 </w:t>
      </w:r>
      <w:r w:rsidRPr="00BE0FB0">
        <w:rPr>
          <w:rFonts w:cs="Times New Roman"/>
          <w:szCs w:val="28"/>
        </w:rPr>
        <w:t>"</w:t>
      </w:r>
      <w:r w:rsidR="009571E0" w:rsidRPr="00BE0FB0">
        <w:rPr>
          <w:rFonts w:cs="Times New Roman"/>
          <w:szCs w:val="28"/>
        </w:rPr>
        <w:t>Automobiļu degvielas. Bezsvina benzīns. Prasības un testa metodes</w:t>
      </w:r>
      <w:r w:rsidRPr="00BE0FB0">
        <w:rPr>
          <w:rFonts w:cs="Times New Roman"/>
          <w:szCs w:val="28"/>
        </w:rPr>
        <w:t>"</w:t>
      </w:r>
      <w:r w:rsidR="009571E0" w:rsidRPr="00BE0FB0">
        <w:rPr>
          <w:rFonts w:cs="Times New Roman"/>
          <w:szCs w:val="28"/>
        </w:rPr>
        <w:t xml:space="preserve">, LVS EN 590+A1:2017 </w:t>
      </w:r>
      <w:r w:rsidRPr="00BE0FB0">
        <w:rPr>
          <w:rFonts w:cs="Times New Roman"/>
          <w:szCs w:val="28"/>
        </w:rPr>
        <w:t>"</w:t>
      </w:r>
      <w:r w:rsidR="009571E0" w:rsidRPr="00BE0FB0">
        <w:rPr>
          <w:rFonts w:cs="Times New Roman"/>
          <w:szCs w:val="28"/>
        </w:rPr>
        <w:t>Automobiļu degvielas. Dīzeļdegviela. Prasības un testēšanas metodes</w:t>
      </w:r>
      <w:r w:rsidRPr="00BE0FB0">
        <w:rPr>
          <w:rFonts w:cs="Times New Roman"/>
          <w:szCs w:val="28"/>
        </w:rPr>
        <w:t>"</w:t>
      </w:r>
      <w:r w:rsidR="009571E0" w:rsidRPr="00BE0FB0">
        <w:rPr>
          <w:rFonts w:cs="Times New Roman"/>
          <w:szCs w:val="28"/>
        </w:rPr>
        <w:t xml:space="preserve"> un LVS EN 16640:2017 </w:t>
      </w:r>
      <w:r w:rsidRPr="00BE0FB0">
        <w:rPr>
          <w:rFonts w:cs="Times New Roman"/>
          <w:szCs w:val="28"/>
        </w:rPr>
        <w:t>"</w:t>
      </w:r>
      <w:r w:rsidR="009571E0" w:rsidRPr="00BE0FB0">
        <w:rPr>
          <w:rFonts w:cs="Times New Roman"/>
          <w:szCs w:val="28"/>
        </w:rPr>
        <w:t>Bioloģiskas izcelsmes produkti. Bioloģiskas izcelsmes oglekļa saturs. Bioloģiskas izcelsmes oglekļa satura noteikšana ar radioaktīvā oglekļa metodi</w:t>
      </w:r>
      <w:r w:rsidRPr="00BE0FB0">
        <w:rPr>
          <w:rFonts w:cs="Times New Roman"/>
          <w:szCs w:val="28"/>
        </w:rPr>
        <w:t>"</w:t>
      </w:r>
      <w:r w:rsidR="009571E0" w:rsidRPr="00BE0FB0">
        <w:rPr>
          <w:rFonts w:cs="Times New Roman"/>
          <w:szCs w:val="28"/>
        </w:rPr>
        <w:t>, kā arī šajos noteikumos noteiktajām prasībām.</w:t>
      </w:r>
      <w:r w:rsidRPr="00BE0FB0">
        <w:rPr>
          <w:rFonts w:eastAsiaTheme="minorEastAsia" w:cs="Times New Roman"/>
          <w:szCs w:val="28"/>
        </w:rPr>
        <w:t>"</w:t>
      </w:r>
      <w:r w:rsidR="009571E0" w:rsidRPr="00BE0FB0">
        <w:rPr>
          <w:rFonts w:eastAsiaTheme="minorEastAsia" w:cs="Times New Roman"/>
          <w:szCs w:val="28"/>
        </w:rPr>
        <w:t xml:space="preserve">; </w:t>
      </w:r>
    </w:p>
    <w:p w14:paraId="43369B7B" w14:textId="77777777" w:rsidR="009571E0" w:rsidRPr="00BE0FB0" w:rsidRDefault="009571E0" w:rsidP="009571E0">
      <w:pPr>
        <w:shd w:val="clear" w:color="auto" w:fill="FFFFFF"/>
        <w:ind w:firstLine="709"/>
        <w:jc w:val="both"/>
        <w:rPr>
          <w:rFonts w:eastAsiaTheme="minorEastAsia" w:cs="Times New Roman"/>
          <w:szCs w:val="28"/>
        </w:rPr>
      </w:pPr>
    </w:p>
    <w:p w14:paraId="20F78624" w14:textId="77777777" w:rsidR="009571E0" w:rsidRPr="00BE0FB0" w:rsidRDefault="009571E0" w:rsidP="009571E0">
      <w:pPr>
        <w:shd w:val="clear" w:color="auto" w:fill="FFFFFF"/>
        <w:ind w:firstLine="709"/>
        <w:jc w:val="both"/>
        <w:rPr>
          <w:rFonts w:cs="Times New Roman"/>
          <w:szCs w:val="28"/>
        </w:rPr>
      </w:pPr>
      <w:r w:rsidRPr="00BE0FB0">
        <w:rPr>
          <w:rFonts w:cs="Times New Roman"/>
          <w:szCs w:val="28"/>
        </w:rPr>
        <w:t>1.9. svītrot 16.</w:t>
      </w:r>
      <w:r w:rsidRPr="00BE0FB0">
        <w:rPr>
          <w:rFonts w:cs="Times New Roman"/>
          <w:szCs w:val="28"/>
          <w:vertAlign w:val="superscript"/>
        </w:rPr>
        <w:t xml:space="preserve"> </w:t>
      </w:r>
      <w:r w:rsidRPr="00BE0FB0">
        <w:rPr>
          <w:rFonts w:cs="Times New Roman"/>
          <w:szCs w:val="28"/>
        </w:rPr>
        <w:t xml:space="preserve">punktu; </w:t>
      </w:r>
    </w:p>
    <w:p w14:paraId="3E427C74" w14:textId="16F2C24F" w:rsidR="009571E0" w:rsidRPr="00BE0FB0" w:rsidRDefault="009571E0" w:rsidP="009571E0">
      <w:pPr>
        <w:shd w:val="clear" w:color="auto" w:fill="FFFFFF"/>
        <w:ind w:firstLine="709"/>
        <w:jc w:val="both"/>
        <w:rPr>
          <w:rFonts w:cs="Times New Roman"/>
          <w:szCs w:val="28"/>
        </w:rPr>
      </w:pPr>
      <w:r w:rsidRPr="00BE0FB0">
        <w:rPr>
          <w:rFonts w:cs="Times New Roman"/>
          <w:szCs w:val="28"/>
        </w:rPr>
        <w:t>1.10. izteikt 17. un 18</w:t>
      </w:r>
      <w:r w:rsidR="00331407" w:rsidRPr="00BE0FB0">
        <w:rPr>
          <w:rFonts w:cs="Times New Roman"/>
          <w:szCs w:val="28"/>
        </w:rPr>
        <w:t>. p</w:t>
      </w:r>
      <w:r w:rsidRPr="00BE0FB0">
        <w:rPr>
          <w:rFonts w:cs="Times New Roman"/>
          <w:szCs w:val="28"/>
        </w:rPr>
        <w:t>unktu šādā redakcijā:</w:t>
      </w:r>
    </w:p>
    <w:p w14:paraId="17AD322E" w14:textId="77777777" w:rsidR="009571E0" w:rsidRPr="00BE0FB0" w:rsidRDefault="009571E0" w:rsidP="009571E0">
      <w:pPr>
        <w:shd w:val="clear" w:color="auto" w:fill="FFFFFF"/>
        <w:ind w:firstLine="709"/>
        <w:jc w:val="both"/>
        <w:rPr>
          <w:rFonts w:cs="Times New Roman"/>
          <w:szCs w:val="28"/>
        </w:rPr>
      </w:pPr>
    </w:p>
    <w:p w14:paraId="6A6ABF7D" w14:textId="4523ED47" w:rsidR="009571E0" w:rsidRPr="00BE0FB0" w:rsidRDefault="00331407" w:rsidP="009571E0">
      <w:pPr>
        <w:shd w:val="clear" w:color="auto" w:fill="FFFFFF"/>
        <w:ind w:firstLine="709"/>
        <w:jc w:val="both"/>
        <w:rPr>
          <w:rFonts w:cs="Times New Roman"/>
          <w:szCs w:val="28"/>
        </w:rPr>
      </w:pPr>
      <w:r w:rsidRPr="00BE0FB0">
        <w:rPr>
          <w:rFonts w:cs="Times New Roman"/>
          <w:szCs w:val="28"/>
        </w:rPr>
        <w:t>"</w:t>
      </w:r>
      <w:r w:rsidR="009571E0" w:rsidRPr="00BE0FB0">
        <w:rPr>
          <w:rFonts w:cs="Times New Roman"/>
          <w:szCs w:val="28"/>
        </w:rPr>
        <w:t>17. Degvielas importētājs, ražotājs, vairumtirgotājs vai mazumtirgotājs pēc Valsts ieņēmumu dienesta pieprasījuma uzrāda degvielas atbilstību apliecinošus dokumentus.</w:t>
      </w:r>
      <w:r w:rsidR="009571E0" w:rsidRPr="00BE0FB0">
        <w:rPr>
          <w:rFonts w:eastAsiaTheme="minorEastAsia" w:cs="Times New Roman"/>
          <w:szCs w:val="28"/>
        </w:rPr>
        <w:t xml:space="preserve"> </w:t>
      </w:r>
    </w:p>
    <w:p w14:paraId="1C4101C4" w14:textId="77777777" w:rsidR="009571E0" w:rsidRPr="00BE0FB0" w:rsidRDefault="009571E0" w:rsidP="009571E0">
      <w:pPr>
        <w:shd w:val="clear" w:color="auto" w:fill="FFFFFF"/>
        <w:ind w:firstLine="709"/>
        <w:jc w:val="both"/>
        <w:rPr>
          <w:rFonts w:eastAsiaTheme="minorEastAsia" w:cs="Times New Roman"/>
          <w:szCs w:val="28"/>
        </w:rPr>
      </w:pPr>
    </w:p>
    <w:p w14:paraId="04ED9080" w14:textId="1263AB46" w:rsidR="009571E0" w:rsidRPr="00BE0FB0" w:rsidRDefault="009571E0" w:rsidP="009571E0">
      <w:pPr>
        <w:shd w:val="clear" w:color="auto" w:fill="FFFFFF"/>
        <w:ind w:firstLine="709"/>
        <w:jc w:val="both"/>
        <w:rPr>
          <w:rFonts w:cs="Times New Roman"/>
          <w:szCs w:val="28"/>
        </w:rPr>
      </w:pPr>
      <w:r w:rsidRPr="00BE0FB0">
        <w:rPr>
          <w:rFonts w:cs="Times New Roman"/>
          <w:szCs w:val="28"/>
        </w:rPr>
        <w:t>18. Visus ar degvielas atbilstības uzraudzību saistītos izdevumus sedz no Valsts ieņēmumu dienesta līdzekļiem, bet, ja tiek konstatēts, ka degviela neatbilst šajos noteikumos noteiktajām prasībām, minētos izdevumus sedz attiecīgais degvielas īpašnieks vai valdītājs</w:t>
      </w:r>
      <w:r w:rsidRPr="00BE0FB0">
        <w:rPr>
          <w:rFonts w:eastAsiaTheme="minorEastAsia" w:cs="Times New Roman"/>
          <w:szCs w:val="28"/>
        </w:rPr>
        <w:t xml:space="preserve"> piecu darbdienu laikā pēc rēķina saņemšanas no Valsts ieņēmumu dienesta.</w:t>
      </w:r>
      <w:r w:rsidR="00331407" w:rsidRPr="00BE0FB0">
        <w:rPr>
          <w:rFonts w:eastAsiaTheme="minorEastAsia" w:cs="Times New Roman"/>
          <w:szCs w:val="28"/>
        </w:rPr>
        <w:t>"</w:t>
      </w:r>
      <w:r w:rsidRPr="00BE0FB0">
        <w:rPr>
          <w:rFonts w:eastAsiaTheme="minorEastAsia" w:cs="Times New Roman"/>
          <w:szCs w:val="28"/>
        </w:rPr>
        <w:t>;</w:t>
      </w:r>
    </w:p>
    <w:p w14:paraId="28CD3F3D" w14:textId="77777777" w:rsidR="009571E0" w:rsidRPr="00BE0FB0" w:rsidRDefault="009571E0" w:rsidP="009571E0">
      <w:pPr>
        <w:shd w:val="clear" w:color="auto" w:fill="FFFFFF"/>
        <w:ind w:firstLine="709"/>
        <w:jc w:val="both"/>
        <w:rPr>
          <w:rFonts w:eastAsiaTheme="minorEastAsia" w:cs="Times New Roman"/>
          <w:szCs w:val="28"/>
        </w:rPr>
      </w:pPr>
    </w:p>
    <w:p w14:paraId="64FFDE99" w14:textId="77777777" w:rsidR="009571E0" w:rsidRPr="00BE0FB0" w:rsidRDefault="009571E0" w:rsidP="009571E0">
      <w:pPr>
        <w:shd w:val="clear" w:color="auto" w:fill="FFFFFF"/>
        <w:ind w:firstLine="709"/>
        <w:jc w:val="both"/>
        <w:rPr>
          <w:rFonts w:cs="Times New Roman"/>
          <w:szCs w:val="28"/>
        </w:rPr>
      </w:pPr>
      <w:r w:rsidRPr="00BE0FB0">
        <w:rPr>
          <w:rFonts w:cs="Times New Roman"/>
          <w:szCs w:val="28"/>
        </w:rPr>
        <w:t>1.11. svītrot 19.</w:t>
      </w:r>
      <w:r w:rsidRPr="00BE0FB0">
        <w:rPr>
          <w:rFonts w:cs="Times New Roman"/>
          <w:szCs w:val="28"/>
          <w:vertAlign w:val="superscript"/>
        </w:rPr>
        <w:t xml:space="preserve"> </w:t>
      </w:r>
      <w:r w:rsidRPr="00BE0FB0">
        <w:rPr>
          <w:rFonts w:cs="Times New Roman"/>
          <w:szCs w:val="28"/>
        </w:rPr>
        <w:t xml:space="preserve">punktu; </w:t>
      </w:r>
    </w:p>
    <w:p w14:paraId="220BF960" w14:textId="5E8EBD63" w:rsidR="009571E0" w:rsidRPr="00BE0FB0" w:rsidRDefault="009571E0" w:rsidP="009571E0">
      <w:pPr>
        <w:shd w:val="clear" w:color="auto" w:fill="FFFFFF"/>
        <w:ind w:firstLine="709"/>
        <w:jc w:val="both"/>
        <w:rPr>
          <w:rFonts w:eastAsiaTheme="minorEastAsia" w:cs="Times New Roman"/>
          <w:szCs w:val="28"/>
        </w:rPr>
      </w:pPr>
      <w:r w:rsidRPr="00BE0FB0">
        <w:rPr>
          <w:rFonts w:eastAsiaTheme="minorEastAsia" w:cs="Times New Roman"/>
          <w:szCs w:val="28"/>
        </w:rPr>
        <w:t>1.12. aizstāt 22.</w:t>
      </w:r>
      <w:r w:rsidRPr="00BE0FB0">
        <w:rPr>
          <w:rFonts w:eastAsiaTheme="minorEastAsia" w:cs="Times New Roman"/>
          <w:szCs w:val="28"/>
          <w:vertAlign w:val="superscript"/>
        </w:rPr>
        <w:t xml:space="preserve">1 </w:t>
      </w:r>
      <w:r w:rsidRPr="00BE0FB0">
        <w:rPr>
          <w:rFonts w:eastAsiaTheme="minorEastAsia" w:cs="Times New Roman"/>
          <w:szCs w:val="28"/>
        </w:rPr>
        <w:t xml:space="preserve">punktā vārdus </w:t>
      </w:r>
      <w:r w:rsidR="00331407" w:rsidRPr="00BE0FB0">
        <w:rPr>
          <w:rFonts w:eastAsiaTheme="minorEastAsia" w:cs="Times New Roman"/>
          <w:szCs w:val="28"/>
        </w:rPr>
        <w:t>"</w:t>
      </w:r>
      <w:r w:rsidRPr="00BE0FB0">
        <w:rPr>
          <w:rFonts w:eastAsiaTheme="minorEastAsia" w:cs="Times New Roman"/>
          <w:szCs w:val="28"/>
        </w:rPr>
        <w:t>Vides ministrija</w:t>
      </w:r>
      <w:r w:rsidR="00331407" w:rsidRPr="00BE0FB0">
        <w:rPr>
          <w:rFonts w:eastAsiaTheme="minorEastAsia" w:cs="Times New Roman"/>
          <w:szCs w:val="28"/>
        </w:rPr>
        <w:t>"</w:t>
      </w:r>
      <w:r w:rsidRPr="00BE0FB0">
        <w:rPr>
          <w:rFonts w:eastAsiaTheme="minorEastAsia" w:cs="Times New Roman"/>
          <w:szCs w:val="28"/>
        </w:rPr>
        <w:t xml:space="preserve"> ar vārdiem </w:t>
      </w:r>
      <w:r w:rsidR="00331407" w:rsidRPr="00BE0FB0">
        <w:rPr>
          <w:rFonts w:eastAsiaTheme="minorEastAsia" w:cs="Times New Roman"/>
          <w:szCs w:val="28"/>
        </w:rPr>
        <w:t>"</w:t>
      </w:r>
      <w:r w:rsidRPr="00BE0FB0">
        <w:rPr>
          <w:rFonts w:eastAsiaTheme="minorEastAsia" w:cs="Times New Roman"/>
          <w:szCs w:val="28"/>
        </w:rPr>
        <w:t>Vides aizsardzības un reģionālās attīstības ministrija</w:t>
      </w:r>
      <w:r w:rsidR="00331407" w:rsidRPr="00BE0FB0">
        <w:rPr>
          <w:rFonts w:eastAsiaTheme="minorEastAsia" w:cs="Times New Roman"/>
          <w:szCs w:val="28"/>
        </w:rPr>
        <w:t>"</w:t>
      </w:r>
      <w:r w:rsidRPr="00BE0FB0">
        <w:rPr>
          <w:rFonts w:eastAsiaTheme="minorEastAsia" w:cs="Times New Roman"/>
          <w:szCs w:val="28"/>
        </w:rPr>
        <w:t>;</w:t>
      </w:r>
    </w:p>
    <w:p w14:paraId="54A713E4" w14:textId="77777777" w:rsidR="009571E0" w:rsidRPr="00BE0FB0" w:rsidRDefault="009571E0" w:rsidP="009571E0">
      <w:pPr>
        <w:shd w:val="clear" w:color="auto" w:fill="FFFFFF"/>
        <w:ind w:firstLine="709"/>
        <w:jc w:val="both"/>
        <w:rPr>
          <w:rFonts w:eastAsiaTheme="minorEastAsia" w:cs="Times New Roman"/>
          <w:szCs w:val="28"/>
        </w:rPr>
      </w:pPr>
      <w:r w:rsidRPr="00BE0FB0">
        <w:rPr>
          <w:rFonts w:eastAsiaTheme="minorEastAsia" w:cs="Times New Roman"/>
          <w:szCs w:val="28"/>
        </w:rPr>
        <w:t xml:space="preserve">1.13. </w:t>
      </w:r>
      <w:r w:rsidRPr="00BE0FB0">
        <w:rPr>
          <w:rFonts w:cs="Times New Roman"/>
          <w:szCs w:val="28"/>
        </w:rPr>
        <w:t>izteikt</w:t>
      </w:r>
      <w:r w:rsidRPr="00BE0FB0">
        <w:rPr>
          <w:rFonts w:eastAsiaTheme="minorEastAsia" w:cs="Times New Roman"/>
          <w:szCs w:val="28"/>
        </w:rPr>
        <w:t xml:space="preserve"> 22.</w:t>
      </w:r>
      <w:r w:rsidRPr="00BE0FB0">
        <w:rPr>
          <w:rFonts w:eastAsiaTheme="minorEastAsia" w:cs="Times New Roman"/>
          <w:szCs w:val="28"/>
          <w:vertAlign w:val="superscript"/>
        </w:rPr>
        <w:t xml:space="preserve">2 </w:t>
      </w:r>
      <w:r w:rsidRPr="00BE0FB0">
        <w:rPr>
          <w:rFonts w:eastAsiaTheme="minorEastAsia" w:cs="Times New Roman"/>
          <w:szCs w:val="28"/>
        </w:rPr>
        <w:t>punktu šādā redakcijā:</w:t>
      </w:r>
    </w:p>
    <w:p w14:paraId="28B2E500" w14:textId="77777777" w:rsidR="009571E0" w:rsidRPr="00BE0FB0" w:rsidRDefault="009571E0" w:rsidP="009571E0">
      <w:pPr>
        <w:shd w:val="clear" w:color="auto" w:fill="FFFFFF"/>
        <w:ind w:firstLine="709"/>
        <w:jc w:val="both"/>
        <w:rPr>
          <w:rFonts w:eastAsiaTheme="minorEastAsia" w:cs="Times New Roman"/>
          <w:szCs w:val="28"/>
        </w:rPr>
      </w:pPr>
    </w:p>
    <w:p w14:paraId="7207FC4D" w14:textId="6AF4A87A" w:rsidR="009571E0" w:rsidRPr="00BE0FB0" w:rsidRDefault="00331407" w:rsidP="009571E0">
      <w:pPr>
        <w:shd w:val="clear" w:color="auto" w:fill="FFFFFF"/>
        <w:ind w:firstLine="709"/>
        <w:jc w:val="both"/>
        <w:rPr>
          <w:rFonts w:eastAsiaTheme="minorEastAsia" w:cs="Times New Roman"/>
          <w:szCs w:val="28"/>
        </w:rPr>
      </w:pPr>
      <w:r w:rsidRPr="00BE0FB0">
        <w:rPr>
          <w:rFonts w:cs="Times New Roman"/>
          <w:szCs w:val="28"/>
        </w:rPr>
        <w:t>"</w:t>
      </w:r>
      <w:r w:rsidR="009571E0" w:rsidRPr="00BE0FB0">
        <w:rPr>
          <w:rFonts w:eastAsiaTheme="minorEastAsia" w:cs="Times New Roman"/>
          <w:szCs w:val="28"/>
        </w:rPr>
        <w:t>22.</w:t>
      </w:r>
      <w:r w:rsidR="009571E0" w:rsidRPr="00BE0FB0">
        <w:rPr>
          <w:rFonts w:eastAsiaTheme="minorEastAsia" w:cs="Times New Roman"/>
          <w:szCs w:val="28"/>
          <w:vertAlign w:val="superscript"/>
        </w:rPr>
        <w:t>2</w:t>
      </w:r>
      <w:r w:rsidR="009571E0" w:rsidRPr="00BE0FB0">
        <w:rPr>
          <w:rFonts w:eastAsiaTheme="minorEastAsia" w:cs="Times New Roman"/>
          <w:szCs w:val="28"/>
        </w:rPr>
        <w:t xml:space="preserve"> Katru gadu līdz 1</w:t>
      </w:r>
      <w:r w:rsidRPr="00BE0FB0">
        <w:rPr>
          <w:rFonts w:eastAsiaTheme="minorEastAsia" w:cs="Times New Roman"/>
          <w:szCs w:val="28"/>
        </w:rPr>
        <w:t>.</w:t>
      </w:r>
      <w:r w:rsidR="001233E8">
        <w:rPr>
          <w:rFonts w:eastAsiaTheme="minorEastAsia" w:cs="Times New Roman"/>
          <w:szCs w:val="28"/>
        </w:rPr>
        <w:t> </w:t>
      </w:r>
      <w:r w:rsidRPr="00BE0FB0">
        <w:rPr>
          <w:rFonts w:eastAsiaTheme="minorEastAsia" w:cs="Times New Roman"/>
          <w:szCs w:val="28"/>
        </w:rPr>
        <w:t>j</w:t>
      </w:r>
      <w:r w:rsidR="009571E0" w:rsidRPr="00BE0FB0">
        <w:rPr>
          <w:rFonts w:eastAsiaTheme="minorEastAsia" w:cs="Times New Roman"/>
          <w:szCs w:val="28"/>
        </w:rPr>
        <w:t>ūnijam Valsts ieņēmumu dienests iesniedz Ekonomikas ministrij</w:t>
      </w:r>
      <w:r w:rsidR="001233E8">
        <w:rPr>
          <w:rFonts w:eastAsiaTheme="minorEastAsia" w:cs="Times New Roman"/>
          <w:szCs w:val="28"/>
        </w:rPr>
        <w:t>ā</w:t>
      </w:r>
      <w:r w:rsidR="009571E0" w:rsidRPr="00BE0FB0">
        <w:rPr>
          <w:rFonts w:eastAsiaTheme="minorEastAsia" w:cs="Times New Roman"/>
          <w:szCs w:val="28"/>
        </w:rPr>
        <w:t xml:space="preserve"> degvielas kvalitātes ziņojumu par iepriekšējo gadu. Ekonomikas ministrija šo informāciju līdz 31</w:t>
      </w:r>
      <w:r w:rsidRPr="00BE0FB0">
        <w:rPr>
          <w:rFonts w:eastAsiaTheme="minorEastAsia" w:cs="Times New Roman"/>
          <w:szCs w:val="28"/>
        </w:rPr>
        <w:t>.</w:t>
      </w:r>
      <w:r w:rsidR="00D0744C">
        <w:rPr>
          <w:rFonts w:eastAsiaTheme="minorEastAsia" w:cs="Times New Roman"/>
          <w:szCs w:val="28"/>
        </w:rPr>
        <w:t> </w:t>
      </w:r>
      <w:r w:rsidRPr="00BE0FB0">
        <w:rPr>
          <w:rFonts w:eastAsiaTheme="minorEastAsia" w:cs="Times New Roman"/>
          <w:szCs w:val="28"/>
        </w:rPr>
        <w:t>a</w:t>
      </w:r>
      <w:r w:rsidR="009571E0" w:rsidRPr="00BE0FB0">
        <w:rPr>
          <w:rFonts w:eastAsiaTheme="minorEastAsia" w:cs="Times New Roman"/>
          <w:szCs w:val="28"/>
        </w:rPr>
        <w:t>ugustam iesniedz Eiropas Komisij</w:t>
      </w:r>
      <w:r w:rsidR="00D0744C">
        <w:rPr>
          <w:rFonts w:eastAsiaTheme="minorEastAsia" w:cs="Times New Roman"/>
          <w:szCs w:val="28"/>
        </w:rPr>
        <w:t>ā</w:t>
      </w:r>
      <w:r w:rsidR="009571E0" w:rsidRPr="00BE0FB0">
        <w:rPr>
          <w:rFonts w:eastAsiaTheme="minorEastAsia" w:cs="Times New Roman"/>
          <w:szCs w:val="28"/>
        </w:rPr>
        <w:t>.</w:t>
      </w:r>
      <w:r w:rsidRPr="00BE0FB0">
        <w:rPr>
          <w:rFonts w:cs="Times New Roman"/>
          <w:szCs w:val="28"/>
        </w:rPr>
        <w:t>"</w:t>
      </w:r>
      <w:r w:rsidR="009571E0" w:rsidRPr="00BE0FB0">
        <w:rPr>
          <w:rFonts w:cs="Times New Roman"/>
          <w:szCs w:val="28"/>
        </w:rPr>
        <w:t>;</w:t>
      </w:r>
    </w:p>
    <w:p w14:paraId="376704DE" w14:textId="77777777" w:rsidR="009571E0" w:rsidRPr="00BE0FB0" w:rsidRDefault="009571E0" w:rsidP="009571E0">
      <w:pPr>
        <w:shd w:val="clear" w:color="auto" w:fill="FFFFFF"/>
        <w:ind w:firstLine="709"/>
        <w:jc w:val="both"/>
        <w:rPr>
          <w:rFonts w:eastAsiaTheme="minorEastAsia" w:cs="Times New Roman"/>
          <w:szCs w:val="28"/>
        </w:rPr>
      </w:pPr>
    </w:p>
    <w:p w14:paraId="06328BE6" w14:textId="5403E60A" w:rsidR="009571E0" w:rsidRPr="00BE0FB0" w:rsidRDefault="009571E0" w:rsidP="009571E0">
      <w:pPr>
        <w:shd w:val="clear" w:color="auto" w:fill="FFFFFF"/>
        <w:ind w:firstLine="709"/>
        <w:jc w:val="both"/>
        <w:rPr>
          <w:rFonts w:cs="Times New Roman"/>
          <w:szCs w:val="28"/>
        </w:rPr>
      </w:pPr>
      <w:r w:rsidRPr="00BE0FB0">
        <w:rPr>
          <w:rFonts w:eastAsiaTheme="minorEastAsia" w:cs="Times New Roman"/>
          <w:szCs w:val="28"/>
        </w:rPr>
        <w:t xml:space="preserve">1.14. papildināt </w:t>
      </w:r>
      <w:r w:rsidRPr="00BE0FB0">
        <w:rPr>
          <w:rFonts w:cs="Times New Roman"/>
          <w:szCs w:val="28"/>
        </w:rPr>
        <w:t>informatīvo atsauci uz Eiropas Savienības direktīvām ar 7.</w:t>
      </w:r>
      <w:r w:rsidR="00D0744C">
        <w:rPr>
          <w:rFonts w:cs="Times New Roman"/>
          <w:szCs w:val="28"/>
        </w:rPr>
        <w:t> </w:t>
      </w:r>
      <w:r w:rsidRPr="00BE0FB0">
        <w:rPr>
          <w:rFonts w:cs="Times New Roman"/>
          <w:szCs w:val="28"/>
        </w:rPr>
        <w:t xml:space="preserve">un 8. punktu šādā redakcijā: </w:t>
      </w:r>
    </w:p>
    <w:p w14:paraId="5C2DA276" w14:textId="77777777" w:rsidR="009571E0" w:rsidRPr="00BE0FB0" w:rsidRDefault="009571E0" w:rsidP="009571E0">
      <w:pPr>
        <w:shd w:val="clear" w:color="auto" w:fill="FFFFFF"/>
        <w:ind w:firstLine="709"/>
        <w:jc w:val="both"/>
        <w:rPr>
          <w:rFonts w:cs="Times New Roman"/>
          <w:szCs w:val="28"/>
        </w:rPr>
      </w:pPr>
    </w:p>
    <w:p w14:paraId="5DBE73A3" w14:textId="3F2B67DB" w:rsidR="009571E0" w:rsidRPr="00BE0FB0" w:rsidRDefault="00331407" w:rsidP="009571E0">
      <w:pPr>
        <w:ind w:firstLine="709"/>
        <w:jc w:val="both"/>
        <w:rPr>
          <w:rFonts w:eastAsiaTheme="minorEastAsia" w:cs="Times New Roman"/>
          <w:szCs w:val="28"/>
        </w:rPr>
      </w:pPr>
      <w:r w:rsidRPr="00BE0FB0">
        <w:rPr>
          <w:rFonts w:cs="Times New Roman"/>
          <w:szCs w:val="28"/>
        </w:rPr>
        <w:t>"</w:t>
      </w:r>
      <w:r w:rsidR="009571E0" w:rsidRPr="00BE0FB0">
        <w:rPr>
          <w:rFonts w:eastAsiaTheme="minorEastAsia" w:cs="Times New Roman"/>
          <w:szCs w:val="28"/>
        </w:rPr>
        <w:t xml:space="preserve">7) Komisijas 2014. gada 10. jūnija Direktīvas 2014/77/ES, ar kuru groza Eiropas Parlamenta un Padomes Direktīvas 98/70/EK I un II pielikumu, kas attiecas uz benzīna un dīzeļdegvielu kvalitāti; </w:t>
      </w:r>
    </w:p>
    <w:p w14:paraId="6E672E32" w14:textId="49AAE209" w:rsidR="009571E0" w:rsidRPr="00BE0FB0" w:rsidRDefault="009571E0" w:rsidP="009571E0">
      <w:pPr>
        <w:shd w:val="clear" w:color="auto" w:fill="FFFFFF"/>
        <w:ind w:firstLine="709"/>
        <w:jc w:val="both"/>
        <w:rPr>
          <w:rFonts w:cs="Times New Roman"/>
          <w:szCs w:val="28"/>
        </w:rPr>
      </w:pPr>
      <w:r w:rsidRPr="00BE0FB0">
        <w:rPr>
          <w:rFonts w:eastAsiaTheme="minorEastAsia" w:cs="Times New Roman"/>
          <w:szCs w:val="28"/>
        </w:rPr>
        <w:lastRenderedPageBreak/>
        <w:t>8) Eiropas Parlamenta un Padomes 2015</w:t>
      </w:r>
      <w:r w:rsidR="00331407" w:rsidRPr="00BE0FB0">
        <w:rPr>
          <w:rFonts w:eastAsiaTheme="minorEastAsia" w:cs="Times New Roman"/>
          <w:szCs w:val="28"/>
        </w:rPr>
        <w:t>. g</w:t>
      </w:r>
      <w:r w:rsidRPr="00BE0FB0">
        <w:rPr>
          <w:rFonts w:eastAsiaTheme="minorEastAsia" w:cs="Times New Roman"/>
          <w:szCs w:val="28"/>
        </w:rPr>
        <w:t>ada 9</w:t>
      </w:r>
      <w:r w:rsidR="00331407" w:rsidRPr="00BE0FB0">
        <w:rPr>
          <w:rFonts w:eastAsiaTheme="minorEastAsia" w:cs="Times New Roman"/>
          <w:szCs w:val="28"/>
        </w:rPr>
        <w:t>. s</w:t>
      </w:r>
      <w:r w:rsidRPr="00BE0FB0">
        <w:rPr>
          <w:rFonts w:eastAsiaTheme="minorEastAsia" w:cs="Times New Roman"/>
          <w:szCs w:val="28"/>
        </w:rPr>
        <w:t xml:space="preserve">eptembra Direktīvas (ES) 2015/1513, ar kuru groza Direktīvu 98/70/EK, </w:t>
      </w:r>
      <w:proofErr w:type="gramStart"/>
      <w:r w:rsidRPr="00BE0FB0">
        <w:rPr>
          <w:rFonts w:eastAsiaTheme="minorEastAsia" w:cs="Times New Roman"/>
          <w:szCs w:val="28"/>
        </w:rPr>
        <w:t>kas attiecas uz benzīna</w:t>
      </w:r>
      <w:proofErr w:type="gramEnd"/>
      <w:r w:rsidRPr="00BE0FB0">
        <w:rPr>
          <w:rFonts w:eastAsiaTheme="minorEastAsia" w:cs="Times New Roman"/>
          <w:szCs w:val="28"/>
        </w:rPr>
        <w:t xml:space="preserve"> un dīzeļdegvielu kvalitāti, un Direktīvu 2009/28/EK par atjaunojamo energoresursu izmantošanas veicināšanu.</w:t>
      </w:r>
      <w:r w:rsidR="00331407" w:rsidRPr="00BE0FB0">
        <w:rPr>
          <w:rFonts w:cs="Times New Roman"/>
          <w:szCs w:val="28"/>
        </w:rPr>
        <w:t>"</w:t>
      </w:r>
      <w:r w:rsidRPr="00BE0FB0">
        <w:rPr>
          <w:rFonts w:cs="Times New Roman"/>
          <w:szCs w:val="28"/>
        </w:rPr>
        <w:t>;</w:t>
      </w:r>
    </w:p>
    <w:p w14:paraId="00738CDD" w14:textId="77777777" w:rsidR="00331407" w:rsidRPr="00BE0FB0" w:rsidRDefault="00331407" w:rsidP="009571E0">
      <w:pPr>
        <w:shd w:val="clear" w:color="auto" w:fill="FFFFFF"/>
        <w:ind w:firstLine="709"/>
        <w:jc w:val="both"/>
        <w:rPr>
          <w:rFonts w:cs="Times New Roman"/>
          <w:szCs w:val="28"/>
        </w:rPr>
      </w:pPr>
    </w:p>
    <w:p w14:paraId="28905F0A" w14:textId="5B518750" w:rsidR="009571E0" w:rsidRDefault="009571E0" w:rsidP="00D15E71">
      <w:pPr>
        <w:shd w:val="clear" w:color="auto" w:fill="FFFFFF"/>
        <w:ind w:firstLine="709"/>
        <w:jc w:val="both"/>
        <w:rPr>
          <w:rFonts w:cs="Times New Roman"/>
          <w:szCs w:val="28"/>
        </w:rPr>
      </w:pPr>
      <w:r w:rsidRPr="00BE0FB0">
        <w:rPr>
          <w:rFonts w:cs="Times New Roman"/>
          <w:szCs w:val="28"/>
        </w:rPr>
        <w:t>1.15. izteikt 1</w:t>
      </w:r>
      <w:r w:rsidR="00331407" w:rsidRPr="00BE0FB0">
        <w:rPr>
          <w:rFonts w:cs="Times New Roman"/>
          <w:szCs w:val="28"/>
        </w:rPr>
        <w:t>. p</w:t>
      </w:r>
      <w:r w:rsidRPr="00BE0FB0">
        <w:rPr>
          <w:rFonts w:cs="Times New Roman"/>
          <w:szCs w:val="28"/>
        </w:rPr>
        <w:t>ielikuma piezīmes šādā redakcijā:</w:t>
      </w:r>
    </w:p>
    <w:p w14:paraId="61C0ECEA" w14:textId="77777777" w:rsidR="00D15E71" w:rsidRPr="00BE0FB0" w:rsidRDefault="00D15E71" w:rsidP="00D15E71">
      <w:pPr>
        <w:shd w:val="clear" w:color="auto" w:fill="FFFFFF"/>
        <w:ind w:firstLine="709"/>
        <w:jc w:val="both"/>
        <w:rPr>
          <w:rFonts w:cs="Times New Roman"/>
          <w:szCs w:val="28"/>
        </w:rPr>
      </w:pPr>
    </w:p>
    <w:p w14:paraId="459AB8BB" w14:textId="63711932" w:rsidR="009571E0" w:rsidRPr="00717B85" w:rsidRDefault="00331407" w:rsidP="00D15E71">
      <w:pPr>
        <w:pStyle w:val="Default"/>
        <w:ind w:firstLine="709"/>
        <w:jc w:val="both"/>
        <w:rPr>
          <w:rFonts w:ascii="Times New Roman" w:hAnsi="Times New Roman" w:cs="Times New Roman"/>
          <w:lang w:val="lv-LV"/>
        </w:rPr>
      </w:pPr>
      <w:r w:rsidRPr="00717B85">
        <w:rPr>
          <w:rFonts w:ascii="Times New Roman" w:hAnsi="Times New Roman" w:cs="Times New Roman"/>
          <w:lang w:val="lv-LV"/>
        </w:rPr>
        <w:t>"</w:t>
      </w:r>
      <w:r w:rsidR="009571E0" w:rsidRPr="00717B85">
        <w:rPr>
          <w:rFonts w:ascii="Times New Roman" w:hAnsi="Times New Roman" w:cs="Times New Roman"/>
          <w:lang w:val="lv-LV"/>
        </w:rPr>
        <w:t>Piezīmes.</w:t>
      </w:r>
    </w:p>
    <w:p w14:paraId="5BADBD51" w14:textId="4765C9B6" w:rsidR="009571E0" w:rsidRPr="00717B85" w:rsidRDefault="009571E0" w:rsidP="00D0744C">
      <w:pPr>
        <w:pStyle w:val="Default"/>
        <w:spacing w:before="120" w:after="120"/>
        <w:ind w:firstLine="709"/>
        <w:jc w:val="both"/>
        <w:rPr>
          <w:rFonts w:ascii="Times New Roman" w:hAnsi="Times New Roman" w:cs="Times New Roman"/>
          <w:lang w:val="lv-LV"/>
        </w:rPr>
      </w:pPr>
      <w:r w:rsidRPr="00717B85">
        <w:rPr>
          <w:rFonts w:ascii="Times New Roman" w:hAnsi="Times New Roman" w:cs="Times New Roman"/>
          <w:vertAlign w:val="superscript"/>
          <w:lang w:val="lv-LV"/>
        </w:rPr>
        <w:t xml:space="preserve">1 </w:t>
      </w:r>
      <w:r w:rsidRPr="00717B85">
        <w:rPr>
          <w:rFonts w:ascii="Times New Roman" w:hAnsi="Times New Roman" w:cs="Times New Roman"/>
          <w:lang w:val="lv-LV"/>
        </w:rPr>
        <w:t xml:space="preserve">Lieto testēšanas metodes, kas norādītas standartā LVS EN 228+A1:2017 </w:t>
      </w:r>
      <w:r w:rsidR="00331407" w:rsidRPr="00717B85">
        <w:rPr>
          <w:rStyle w:val="Emphasis"/>
          <w:rFonts w:ascii="Times New Roman" w:hAnsi="Times New Roman" w:cs="Times New Roman"/>
          <w:i w:val="0"/>
          <w:lang w:val="lv-LV"/>
        </w:rPr>
        <w:t>"</w:t>
      </w:r>
      <w:r w:rsidRPr="00717B85">
        <w:rPr>
          <w:rStyle w:val="Emphasis"/>
          <w:rFonts w:ascii="Times New Roman" w:hAnsi="Times New Roman" w:cs="Times New Roman"/>
          <w:i w:val="0"/>
          <w:lang w:val="lv-LV"/>
        </w:rPr>
        <w:t>Automobiļu degvielas. Bezsvina benzīns. Prasības un testa metodes</w:t>
      </w:r>
      <w:r w:rsidR="00331407" w:rsidRPr="00717B85">
        <w:rPr>
          <w:rFonts w:ascii="Times New Roman" w:hAnsi="Times New Roman" w:cs="Times New Roman"/>
          <w:color w:val="414142"/>
          <w:shd w:val="clear" w:color="auto" w:fill="FFFFFF"/>
          <w:lang w:val="lv-LV"/>
        </w:rPr>
        <w:t>"</w:t>
      </w:r>
      <w:r w:rsidRPr="00717B85">
        <w:rPr>
          <w:rFonts w:ascii="Times New Roman" w:hAnsi="Times New Roman" w:cs="Times New Roman"/>
          <w:lang w:val="lv-LV"/>
        </w:rPr>
        <w:t xml:space="preserve">. Pēc vajadzības var pieņemt analītiskās metodes, kas noteiktas LVS EN 228+A1:2017 </w:t>
      </w:r>
      <w:r w:rsidR="00D15E71" w:rsidRPr="00717B85">
        <w:rPr>
          <w:rFonts w:ascii="Times New Roman" w:hAnsi="Times New Roman" w:cs="Times New Roman"/>
          <w:color w:val="414142"/>
          <w:shd w:val="clear" w:color="auto" w:fill="FFFFFF"/>
          <w:lang w:val="lv-LV"/>
        </w:rPr>
        <w:t>"</w:t>
      </w:r>
      <w:r w:rsidRPr="00717B85">
        <w:rPr>
          <w:rStyle w:val="Emphasis"/>
          <w:rFonts w:ascii="Times New Roman" w:hAnsi="Times New Roman" w:cs="Times New Roman"/>
          <w:i w:val="0"/>
          <w:lang w:val="lv-LV"/>
        </w:rPr>
        <w:t>Automobiļu degvielas. Bezsvina benzīns. Prasības un testa metodes</w:t>
      </w:r>
      <w:r w:rsidR="00331407" w:rsidRPr="00717B85">
        <w:rPr>
          <w:rStyle w:val="Emphasis"/>
          <w:rFonts w:ascii="Times New Roman" w:hAnsi="Times New Roman" w:cs="Times New Roman"/>
          <w:i w:val="0"/>
          <w:lang w:val="lv-LV"/>
        </w:rPr>
        <w:t>"</w:t>
      </w:r>
      <w:r w:rsidRPr="00717B85">
        <w:rPr>
          <w:rStyle w:val="Emphasis"/>
          <w:rFonts w:ascii="Times New Roman" w:hAnsi="Times New Roman" w:cs="Times New Roman"/>
          <w:i w:val="0"/>
          <w:lang w:val="lv-LV"/>
        </w:rPr>
        <w:t xml:space="preserve"> </w:t>
      </w:r>
      <w:r w:rsidRPr="00717B85">
        <w:rPr>
          <w:rFonts w:ascii="Times New Roman" w:hAnsi="Times New Roman" w:cs="Times New Roman"/>
          <w:lang w:val="lv-LV"/>
        </w:rPr>
        <w:t xml:space="preserve">standartu aizvietošanai, ja tās var nodrošināt vismaz tādu pašu pareizību un vismaz tādu pašu precizitāti kā ar analītisko metodi, ko šī metode aizvieto.  </w:t>
      </w:r>
    </w:p>
    <w:p w14:paraId="3344AF08" w14:textId="0991BAB6" w:rsidR="009571E0" w:rsidRPr="00717B85" w:rsidRDefault="009571E0" w:rsidP="00D0744C">
      <w:pPr>
        <w:pStyle w:val="Default"/>
        <w:spacing w:before="120" w:after="120"/>
        <w:ind w:firstLine="709"/>
        <w:jc w:val="both"/>
        <w:rPr>
          <w:rFonts w:ascii="Times New Roman" w:hAnsi="Times New Roman" w:cs="Times New Roman"/>
          <w:lang w:val="lv-LV"/>
        </w:rPr>
      </w:pPr>
      <w:r w:rsidRPr="00717B85">
        <w:rPr>
          <w:rFonts w:ascii="Times New Roman" w:hAnsi="Times New Roman" w:cs="Times New Roman"/>
          <w:vertAlign w:val="superscript"/>
          <w:lang w:val="lv-LV"/>
        </w:rPr>
        <w:t xml:space="preserve">2 </w:t>
      </w:r>
      <w:r w:rsidRPr="00717B85">
        <w:rPr>
          <w:rFonts w:ascii="Times New Roman" w:hAnsi="Times New Roman" w:cs="Times New Roman"/>
          <w:lang w:val="lv-LV"/>
        </w:rPr>
        <w:t xml:space="preserve">Specifikācijās norādītas </w:t>
      </w:r>
      <w:r w:rsidR="00331407" w:rsidRPr="00717B85">
        <w:rPr>
          <w:rFonts w:ascii="Times New Roman" w:hAnsi="Times New Roman" w:cs="Times New Roman"/>
          <w:lang w:val="lv-LV"/>
        </w:rPr>
        <w:t>"</w:t>
      </w:r>
      <w:r w:rsidRPr="00717B85">
        <w:rPr>
          <w:rFonts w:ascii="Times New Roman" w:hAnsi="Times New Roman" w:cs="Times New Roman"/>
          <w:lang w:val="lv-LV"/>
        </w:rPr>
        <w:t>patiesās vērtības</w:t>
      </w:r>
      <w:r w:rsidR="00331407" w:rsidRPr="00717B85">
        <w:rPr>
          <w:rFonts w:ascii="Times New Roman" w:hAnsi="Times New Roman" w:cs="Times New Roman"/>
          <w:lang w:val="lv-LV"/>
        </w:rPr>
        <w:t>"</w:t>
      </w:r>
      <w:r w:rsidRPr="00717B85">
        <w:rPr>
          <w:rFonts w:ascii="Times New Roman" w:hAnsi="Times New Roman" w:cs="Times New Roman"/>
          <w:lang w:val="lv-LV"/>
        </w:rPr>
        <w:t xml:space="preserve">. To robežvērtības noteiktas saskaņā ar standartu LVS EN ISO 4259:2007 </w:t>
      </w:r>
      <w:r w:rsidR="00331407" w:rsidRPr="00717B85">
        <w:rPr>
          <w:rFonts w:ascii="Times New Roman" w:hAnsi="Times New Roman" w:cs="Times New Roman"/>
          <w:color w:val="414142"/>
          <w:shd w:val="clear" w:color="auto" w:fill="FFFFFF"/>
          <w:lang w:val="lv-LV"/>
        </w:rPr>
        <w:t>"</w:t>
      </w:r>
      <w:r w:rsidRPr="00717B85">
        <w:rPr>
          <w:rFonts w:ascii="Times New Roman" w:hAnsi="Times New Roman" w:cs="Times New Roman"/>
          <w:lang w:val="lv-LV"/>
        </w:rPr>
        <w:t>Naftas produkti. Datu precizitātes noteikšana un lietošana testēšanas metodēs</w:t>
      </w:r>
      <w:r w:rsidR="00331407" w:rsidRPr="00717B85">
        <w:rPr>
          <w:rFonts w:ascii="Times New Roman" w:hAnsi="Times New Roman" w:cs="Times New Roman"/>
          <w:color w:val="414142"/>
          <w:shd w:val="clear" w:color="auto" w:fill="FFFFFF"/>
          <w:lang w:val="lv-LV"/>
        </w:rPr>
        <w:t>"</w:t>
      </w:r>
      <w:r w:rsidRPr="00717B85">
        <w:rPr>
          <w:rFonts w:ascii="Times New Roman" w:hAnsi="Times New Roman" w:cs="Times New Roman"/>
          <w:lang w:val="lv-LV"/>
        </w:rPr>
        <w:t xml:space="preserve">, un minimālā vērtība noteikta 2R virs nulles (R = reproducējamība). Atsevišķu mērījumu rezultātus interpretē, pamatojoties uz standartā LVS EN ISO 4259:2007 aprakstītajiem kritērijiem. </w:t>
      </w:r>
    </w:p>
    <w:p w14:paraId="6CFBA13E" w14:textId="23D9D6B4" w:rsidR="009571E0" w:rsidRPr="00717B85" w:rsidRDefault="009571E0" w:rsidP="00D0744C">
      <w:pPr>
        <w:pStyle w:val="Default"/>
        <w:spacing w:before="120" w:after="120"/>
        <w:ind w:firstLine="709"/>
        <w:jc w:val="both"/>
        <w:rPr>
          <w:rFonts w:ascii="Times New Roman" w:hAnsi="Times New Roman" w:cs="Times New Roman"/>
          <w:lang w:val="lv-LV"/>
        </w:rPr>
      </w:pPr>
      <w:r w:rsidRPr="00717B85">
        <w:rPr>
          <w:rFonts w:ascii="Times New Roman" w:hAnsi="Times New Roman" w:cs="Times New Roman"/>
          <w:bCs/>
          <w:vertAlign w:val="superscript"/>
          <w:lang w:val="lv-LV" w:eastAsia="lv-LV"/>
        </w:rPr>
        <w:t xml:space="preserve">3 </w:t>
      </w:r>
      <w:r w:rsidRPr="00717B85">
        <w:rPr>
          <w:rFonts w:ascii="Times New Roman" w:hAnsi="Times New Roman" w:cs="Times New Roman"/>
          <w:lang w:val="lv-LV"/>
        </w:rPr>
        <w:t>Vasaras periods sākas ne vēlāk par 1. jūniju un ilgst vismaz līdz 31. augustam. Tvaika spiediens no 1</w:t>
      </w:r>
      <w:r w:rsidR="00331407" w:rsidRPr="00717B85">
        <w:rPr>
          <w:rFonts w:ascii="Times New Roman" w:hAnsi="Times New Roman" w:cs="Times New Roman"/>
          <w:lang w:val="lv-LV"/>
        </w:rPr>
        <w:t>. s</w:t>
      </w:r>
      <w:r w:rsidRPr="00717B85">
        <w:rPr>
          <w:rFonts w:ascii="Times New Roman" w:hAnsi="Times New Roman" w:cs="Times New Roman"/>
          <w:lang w:val="lv-LV"/>
        </w:rPr>
        <w:t>eptembra līdz 31</w:t>
      </w:r>
      <w:r w:rsidR="00331407" w:rsidRPr="00717B85">
        <w:rPr>
          <w:rFonts w:ascii="Times New Roman" w:hAnsi="Times New Roman" w:cs="Times New Roman"/>
          <w:lang w:val="lv-LV"/>
        </w:rPr>
        <w:t>. m</w:t>
      </w:r>
      <w:r w:rsidRPr="00717B85">
        <w:rPr>
          <w:rFonts w:ascii="Times New Roman" w:hAnsi="Times New Roman" w:cs="Times New Roman"/>
          <w:lang w:val="lv-LV"/>
        </w:rPr>
        <w:t xml:space="preserve">aijam nedrīkst pārsniegt 100 </w:t>
      </w:r>
      <w:proofErr w:type="spellStart"/>
      <w:r w:rsidRPr="00717B85">
        <w:rPr>
          <w:rFonts w:ascii="Times New Roman" w:hAnsi="Times New Roman" w:cs="Times New Roman"/>
          <w:lang w:val="lv-LV"/>
        </w:rPr>
        <w:t>kPa</w:t>
      </w:r>
      <w:proofErr w:type="spellEnd"/>
      <w:r w:rsidRPr="00717B85">
        <w:rPr>
          <w:rFonts w:ascii="Times New Roman" w:hAnsi="Times New Roman" w:cs="Times New Roman"/>
          <w:lang w:val="lv-LV"/>
        </w:rPr>
        <w:t>.</w:t>
      </w:r>
    </w:p>
    <w:p w14:paraId="0C65B17A" w14:textId="45D22398" w:rsidR="009571E0" w:rsidRPr="00717B85" w:rsidRDefault="009571E0" w:rsidP="00D0744C">
      <w:pPr>
        <w:pStyle w:val="Default"/>
        <w:spacing w:before="120"/>
        <w:ind w:firstLine="709"/>
        <w:jc w:val="both"/>
        <w:rPr>
          <w:rFonts w:ascii="Times New Roman" w:hAnsi="Times New Roman" w:cs="Times New Roman"/>
          <w:lang w:val="lv-LV"/>
        </w:rPr>
      </w:pPr>
      <w:r w:rsidRPr="00717B85">
        <w:rPr>
          <w:rFonts w:ascii="Times New Roman" w:hAnsi="Times New Roman" w:cs="Times New Roman"/>
          <w:bCs/>
          <w:vertAlign w:val="superscript"/>
          <w:lang w:val="lv-LV" w:eastAsia="lv-LV"/>
        </w:rPr>
        <w:t xml:space="preserve">4 </w:t>
      </w:r>
      <w:proofErr w:type="gramStart"/>
      <w:r w:rsidRPr="00717B85">
        <w:rPr>
          <w:rFonts w:ascii="Times New Roman" w:hAnsi="Times New Roman" w:cs="Times New Roman"/>
          <w:lang w:val="lv-LV"/>
        </w:rPr>
        <w:t>Citi vienvērtīgie spirti</w:t>
      </w:r>
      <w:proofErr w:type="gramEnd"/>
      <w:r w:rsidRPr="00717B85">
        <w:rPr>
          <w:rFonts w:ascii="Times New Roman" w:hAnsi="Times New Roman" w:cs="Times New Roman"/>
          <w:lang w:val="lv-LV"/>
        </w:rPr>
        <w:t xml:space="preserve"> un ēteri, kuru viršanas beigu punkts nepārsniedz standartā LVS EN 228+A1:2017 </w:t>
      </w:r>
      <w:r w:rsidR="00331407" w:rsidRPr="00717B85">
        <w:rPr>
          <w:rStyle w:val="Emphasis"/>
          <w:rFonts w:ascii="Times New Roman" w:hAnsi="Times New Roman" w:cs="Times New Roman"/>
          <w:i w:val="0"/>
          <w:lang w:val="lv-LV"/>
        </w:rPr>
        <w:t>"</w:t>
      </w:r>
      <w:r w:rsidRPr="00717B85">
        <w:rPr>
          <w:rStyle w:val="Emphasis"/>
          <w:rFonts w:ascii="Times New Roman" w:hAnsi="Times New Roman" w:cs="Times New Roman"/>
          <w:i w:val="0"/>
          <w:lang w:val="lv-LV"/>
        </w:rPr>
        <w:t>Automobiļu degvielas. Bezsvina benzīns. Prasības un testa metodes</w:t>
      </w:r>
      <w:r w:rsidR="00331407" w:rsidRPr="00717B85">
        <w:rPr>
          <w:rFonts w:ascii="Times New Roman" w:hAnsi="Times New Roman" w:cs="Times New Roman"/>
          <w:color w:val="414142"/>
          <w:shd w:val="clear" w:color="auto" w:fill="FFFFFF"/>
          <w:lang w:val="lv-LV"/>
        </w:rPr>
        <w:t>"</w:t>
      </w:r>
      <w:r w:rsidRPr="00717B85">
        <w:rPr>
          <w:rFonts w:ascii="Times New Roman" w:hAnsi="Times New Roman" w:cs="Times New Roman"/>
          <w:lang w:val="lv-LV"/>
        </w:rPr>
        <w:t xml:space="preserve"> noteikto.</w:t>
      </w:r>
      <w:r w:rsidR="00331407" w:rsidRPr="00717B85">
        <w:rPr>
          <w:rFonts w:ascii="Times New Roman" w:hAnsi="Times New Roman" w:cs="Times New Roman"/>
          <w:lang w:val="lv-LV"/>
        </w:rPr>
        <w:t>"</w:t>
      </w:r>
      <w:r w:rsidRPr="00717B85">
        <w:rPr>
          <w:rFonts w:ascii="Times New Roman" w:hAnsi="Times New Roman" w:cs="Times New Roman"/>
          <w:lang w:val="lv-LV"/>
        </w:rPr>
        <w:t>;</w:t>
      </w:r>
    </w:p>
    <w:p w14:paraId="420D732E" w14:textId="77777777" w:rsidR="000C2256" w:rsidRPr="00717B85" w:rsidRDefault="000C2256" w:rsidP="009571E0">
      <w:pPr>
        <w:shd w:val="clear" w:color="auto" w:fill="FFFFFF"/>
        <w:ind w:firstLine="709"/>
        <w:jc w:val="both"/>
        <w:rPr>
          <w:rFonts w:cs="Times New Roman"/>
          <w:sz w:val="24"/>
          <w:szCs w:val="24"/>
        </w:rPr>
      </w:pPr>
    </w:p>
    <w:p w14:paraId="6C4D9620" w14:textId="447E72F8" w:rsidR="009571E0" w:rsidRPr="00717B85" w:rsidRDefault="009571E0" w:rsidP="009571E0">
      <w:pPr>
        <w:shd w:val="clear" w:color="auto" w:fill="FFFFFF"/>
        <w:ind w:firstLine="709"/>
        <w:jc w:val="both"/>
        <w:rPr>
          <w:rFonts w:cs="Times New Roman"/>
          <w:szCs w:val="28"/>
        </w:rPr>
      </w:pPr>
      <w:r w:rsidRPr="00717B85">
        <w:rPr>
          <w:rFonts w:cs="Times New Roman"/>
          <w:szCs w:val="28"/>
        </w:rPr>
        <w:t>1.16. izteikt 2</w:t>
      </w:r>
      <w:r w:rsidR="00331407" w:rsidRPr="00717B85">
        <w:rPr>
          <w:rFonts w:cs="Times New Roman"/>
          <w:szCs w:val="28"/>
        </w:rPr>
        <w:t>. p</w:t>
      </w:r>
      <w:r w:rsidRPr="00717B85">
        <w:rPr>
          <w:rFonts w:cs="Times New Roman"/>
          <w:szCs w:val="28"/>
        </w:rPr>
        <w:t>ielikumu šādā redakcijā:</w:t>
      </w:r>
    </w:p>
    <w:p w14:paraId="778539CA" w14:textId="77777777" w:rsidR="009571E0" w:rsidRPr="00717B85" w:rsidRDefault="009571E0" w:rsidP="009571E0">
      <w:pPr>
        <w:shd w:val="clear" w:color="auto" w:fill="FFFFFF"/>
        <w:ind w:firstLine="709"/>
        <w:jc w:val="both"/>
        <w:rPr>
          <w:rFonts w:cs="Times New Roman"/>
          <w:szCs w:val="28"/>
        </w:rPr>
      </w:pPr>
    </w:p>
    <w:p w14:paraId="4D06F770" w14:textId="1AF3CCB8" w:rsidR="009571E0" w:rsidRPr="00717B85" w:rsidRDefault="00331407" w:rsidP="009571E0">
      <w:pPr>
        <w:pStyle w:val="naisf"/>
        <w:spacing w:before="0" w:after="0"/>
        <w:jc w:val="right"/>
        <w:rPr>
          <w:bCs/>
          <w:sz w:val="28"/>
          <w:szCs w:val="28"/>
        </w:rPr>
      </w:pPr>
      <w:r w:rsidRPr="00717B85">
        <w:rPr>
          <w:bCs/>
          <w:sz w:val="28"/>
          <w:szCs w:val="28"/>
        </w:rPr>
        <w:t>"</w:t>
      </w:r>
      <w:r w:rsidR="009571E0" w:rsidRPr="00717B85">
        <w:rPr>
          <w:bCs/>
          <w:sz w:val="28"/>
          <w:szCs w:val="28"/>
        </w:rPr>
        <w:t>2</w:t>
      </w:r>
      <w:r w:rsidRPr="00717B85">
        <w:rPr>
          <w:bCs/>
          <w:sz w:val="28"/>
          <w:szCs w:val="28"/>
        </w:rPr>
        <w:t>. p</w:t>
      </w:r>
      <w:r w:rsidR="009571E0" w:rsidRPr="00717B85">
        <w:rPr>
          <w:bCs/>
          <w:sz w:val="28"/>
          <w:szCs w:val="28"/>
        </w:rPr>
        <w:t>ielikums</w:t>
      </w:r>
    </w:p>
    <w:p w14:paraId="1F4F63AC" w14:textId="2988F492" w:rsidR="009571E0" w:rsidRPr="00717B85" w:rsidRDefault="009571E0" w:rsidP="009571E0">
      <w:pPr>
        <w:pStyle w:val="naisf"/>
        <w:spacing w:before="0" w:after="0"/>
        <w:jc w:val="right"/>
        <w:rPr>
          <w:bCs/>
          <w:sz w:val="28"/>
          <w:szCs w:val="28"/>
        </w:rPr>
      </w:pPr>
      <w:r w:rsidRPr="00717B85">
        <w:rPr>
          <w:sz w:val="28"/>
          <w:szCs w:val="28"/>
        </w:rPr>
        <w:t xml:space="preserve">Ministru kabineta </w:t>
      </w:r>
      <w:r w:rsidRPr="00717B85">
        <w:rPr>
          <w:sz w:val="28"/>
          <w:szCs w:val="28"/>
        </w:rPr>
        <w:br/>
        <w:t>2000</w:t>
      </w:r>
      <w:r w:rsidR="00331407" w:rsidRPr="00717B85">
        <w:rPr>
          <w:sz w:val="28"/>
          <w:szCs w:val="28"/>
        </w:rPr>
        <w:t>. g</w:t>
      </w:r>
      <w:r w:rsidRPr="00717B85">
        <w:rPr>
          <w:sz w:val="28"/>
          <w:szCs w:val="28"/>
        </w:rPr>
        <w:t>ada 26</w:t>
      </w:r>
      <w:r w:rsidR="00331407" w:rsidRPr="00717B85">
        <w:rPr>
          <w:sz w:val="28"/>
          <w:szCs w:val="28"/>
        </w:rPr>
        <w:t>. s</w:t>
      </w:r>
      <w:r w:rsidRPr="00717B85">
        <w:rPr>
          <w:sz w:val="28"/>
          <w:szCs w:val="28"/>
        </w:rPr>
        <w:t xml:space="preserve">eptembra </w:t>
      </w:r>
      <w:r w:rsidRPr="00717B85">
        <w:rPr>
          <w:sz w:val="28"/>
          <w:szCs w:val="28"/>
        </w:rPr>
        <w:br/>
        <w:t>noteikumiem Nr.332</w:t>
      </w:r>
    </w:p>
    <w:p w14:paraId="43AF8B1C" w14:textId="77777777" w:rsidR="009571E0" w:rsidRPr="00717B85" w:rsidRDefault="009571E0" w:rsidP="009571E0">
      <w:pPr>
        <w:pStyle w:val="naisf"/>
        <w:spacing w:before="0" w:after="0"/>
        <w:jc w:val="center"/>
        <w:rPr>
          <w:b/>
          <w:bCs/>
          <w:sz w:val="28"/>
          <w:szCs w:val="28"/>
        </w:rPr>
      </w:pPr>
    </w:p>
    <w:p w14:paraId="407891E8" w14:textId="77777777" w:rsidR="009571E0" w:rsidRPr="00717B85" w:rsidRDefault="009571E0" w:rsidP="009571E0">
      <w:pPr>
        <w:pStyle w:val="naisf"/>
        <w:spacing w:before="0" w:after="0"/>
        <w:jc w:val="center"/>
        <w:rPr>
          <w:bCs/>
          <w:sz w:val="28"/>
          <w:szCs w:val="28"/>
        </w:rPr>
      </w:pPr>
      <w:r w:rsidRPr="00717B85">
        <w:rPr>
          <w:b/>
          <w:bCs/>
          <w:sz w:val="28"/>
          <w:szCs w:val="28"/>
        </w:rPr>
        <w:t xml:space="preserve">Kvalitātes prasības dīzeļdegvielai </w:t>
      </w:r>
    </w:p>
    <w:p w14:paraId="6C8237DC" w14:textId="77777777" w:rsidR="009571E0" w:rsidRPr="00C7632C" w:rsidRDefault="009571E0" w:rsidP="009571E0">
      <w:pPr>
        <w:pStyle w:val="naisf"/>
        <w:spacing w:before="0" w:after="0"/>
        <w:rPr>
          <w:bCs/>
          <w:sz w:val="26"/>
          <w:szCs w:val="26"/>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8"/>
        <w:gridCol w:w="1559"/>
        <w:gridCol w:w="1559"/>
        <w:gridCol w:w="1666"/>
      </w:tblGrid>
      <w:tr w:rsidR="009571E0" w:rsidRPr="00C7632C" w14:paraId="43DB69F4" w14:textId="77777777" w:rsidTr="00565E1D">
        <w:tc>
          <w:tcPr>
            <w:tcW w:w="675" w:type="dxa"/>
            <w:vMerge w:val="restart"/>
          </w:tcPr>
          <w:p w14:paraId="5AA5F72B" w14:textId="52D45F88" w:rsidR="009571E0" w:rsidRPr="00C7632C" w:rsidRDefault="009571E0" w:rsidP="00565E1D">
            <w:pPr>
              <w:pStyle w:val="naisf"/>
              <w:spacing w:before="0" w:after="0"/>
              <w:ind w:firstLine="0"/>
              <w:jc w:val="center"/>
              <w:rPr>
                <w:sz w:val="26"/>
                <w:szCs w:val="26"/>
              </w:rPr>
            </w:pPr>
            <w:r w:rsidRPr="00C7632C">
              <w:rPr>
                <w:sz w:val="26"/>
                <w:szCs w:val="26"/>
              </w:rPr>
              <w:t>Nr</w:t>
            </w:r>
            <w:r w:rsidR="00331407">
              <w:rPr>
                <w:sz w:val="26"/>
                <w:szCs w:val="26"/>
              </w:rPr>
              <w:t>. p. k</w:t>
            </w:r>
            <w:r w:rsidRPr="00C7632C">
              <w:rPr>
                <w:sz w:val="26"/>
                <w:szCs w:val="26"/>
              </w:rPr>
              <w:t>.</w:t>
            </w:r>
          </w:p>
        </w:tc>
        <w:tc>
          <w:tcPr>
            <w:tcW w:w="3828" w:type="dxa"/>
            <w:vMerge w:val="restart"/>
          </w:tcPr>
          <w:p w14:paraId="2C081D64" w14:textId="77777777" w:rsidR="009571E0" w:rsidRPr="00C7632C" w:rsidRDefault="009571E0" w:rsidP="00565E1D">
            <w:pPr>
              <w:pStyle w:val="naisf"/>
              <w:spacing w:before="0" w:after="0"/>
              <w:ind w:firstLine="0"/>
              <w:jc w:val="center"/>
              <w:rPr>
                <w:sz w:val="26"/>
                <w:szCs w:val="26"/>
              </w:rPr>
            </w:pPr>
            <w:r w:rsidRPr="00C7632C">
              <w:rPr>
                <w:sz w:val="26"/>
                <w:szCs w:val="26"/>
              </w:rPr>
              <w:t>Parametrs</w:t>
            </w:r>
            <w:r w:rsidRPr="00C7632C">
              <w:rPr>
                <w:sz w:val="26"/>
                <w:szCs w:val="26"/>
                <w:vertAlign w:val="superscript"/>
              </w:rPr>
              <w:t>1</w:t>
            </w:r>
          </w:p>
        </w:tc>
        <w:tc>
          <w:tcPr>
            <w:tcW w:w="1559" w:type="dxa"/>
            <w:vMerge w:val="restart"/>
          </w:tcPr>
          <w:p w14:paraId="4E5C46F7" w14:textId="77777777" w:rsidR="009571E0" w:rsidRPr="00C7632C" w:rsidRDefault="009571E0" w:rsidP="00565E1D">
            <w:pPr>
              <w:pStyle w:val="naisf"/>
              <w:spacing w:before="0" w:after="0"/>
              <w:ind w:firstLine="0"/>
              <w:jc w:val="center"/>
              <w:rPr>
                <w:sz w:val="26"/>
                <w:szCs w:val="26"/>
              </w:rPr>
            </w:pPr>
            <w:r w:rsidRPr="00C7632C">
              <w:rPr>
                <w:sz w:val="26"/>
                <w:szCs w:val="26"/>
              </w:rPr>
              <w:t>Mērvienība</w:t>
            </w:r>
          </w:p>
        </w:tc>
        <w:tc>
          <w:tcPr>
            <w:tcW w:w="3225" w:type="dxa"/>
            <w:gridSpan w:val="2"/>
          </w:tcPr>
          <w:p w14:paraId="451B5011" w14:textId="77777777" w:rsidR="009571E0" w:rsidRPr="00C7632C" w:rsidRDefault="009571E0" w:rsidP="00565E1D">
            <w:pPr>
              <w:pStyle w:val="naisf"/>
              <w:spacing w:before="0" w:after="0"/>
              <w:ind w:firstLine="0"/>
              <w:jc w:val="center"/>
              <w:rPr>
                <w:sz w:val="26"/>
                <w:szCs w:val="26"/>
              </w:rPr>
            </w:pPr>
            <w:r w:rsidRPr="00C7632C">
              <w:rPr>
                <w:sz w:val="26"/>
                <w:szCs w:val="26"/>
              </w:rPr>
              <w:t>Robežvērtība</w:t>
            </w:r>
            <w:r w:rsidRPr="00C7632C">
              <w:rPr>
                <w:sz w:val="26"/>
                <w:szCs w:val="26"/>
                <w:vertAlign w:val="superscript"/>
              </w:rPr>
              <w:t>2</w:t>
            </w:r>
          </w:p>
        </w:tc>
      </w:tr>
      <w:tr w:rsidR="009571E0" w:rsidRPr="00C7632C" w14:paraId="3431B583" w14:textId="77777777" w:rsidTr="00565E1D">
        <w:tc>
          <w:tcPr>
            <w:tcW w:w="675" w:type="dxa"/>
            <w:vMerge/>
          </w:tcPr>
          <w:p w14:paraId="537C7DF2" w14:textId="77777777" w:rsidR="009571E0" w:rsidRPr="00C7632C" w:rsidRDefault="009571E0" w:rsidP="00565E1D">
            <w:pPr>
              <w:pStyle w:val="naisf"/>
              <w:spacing w:before="0" w:after="0"/>
              <w:ind w:firstLine="0"/>
              <w:jc w:val="center"/>
              <w:rPr>
                <w:sz w:val="26"/>
                <w:szCs w:val="26"/>
              </w:rPr>
            </w:pPr>
          </w:p>
        </w:tc>
        <w:tc>
          <w:tcPr>
            <w:tcW w:w="3828" w:type="dxa"/>
            <w:vMerge/>
          </w:tcPr>
          <w:p w14:paraId="69F8919E" w14:textId="77777777" w:rsidR="009571E0" w:rsidRPr="00C7632C" w:rsidRDefault="009571E0" w:rsidP="00565E1D">
            <w:pPr>
              <w:pStyle w:val="naisf"/>
              <w:spacing w:before="0" w:after="0"/>
              <w:ind w:firstLine="0"/>
              <w:jc w:val="center"/>
              <w:rPr>
                <w:sz w:val="26"/>
                <w:szCs w:val="26"/>
              </w:rPr>
            </w:pPr>
          </w:p>
        </w:tc>
        <w:tc>
          <w:tcPr>
            <w:tcW w:w="1559" w:type="dxa"/>
            <w:vMerge/>
          </w:tcPr>
          <w:p w14:paraId="7FF73907" w14:textId="77777777" w:rsidR="009571E0" w:rsidRPr="00C7632C" w:rsidRDefault="009571E0" w:rsidP="00565E1D">
            <w:pPr>
              <w:pStyle w:val="naisf"/>
              <w:spacing w:before="0" w:after="0"/>
              <w:ind w:firstLine="0"/>
              <w:jc w:val="center"/>
              <w:rPr>
                <w:sz w:val="26"/>
                <w:szCs w:val="26"/>
              </w:rPr>
            </w:pPr>
          </w:p>
        </w:tc>
        <w:tc>
          <w:tcPr>
            <w:tcW w:w="1559" w:type="dxa"/>
          </w:tcPr>
          <w:p w14:paraId="4A53D18E" w14:textId="77777777" w:rsidR="009571E0" w:rsidRPr="00C7632C" w:rsidRDefault="009571E0" w:rsidP="00565E1D">
            <w:pPr>
              <w:pStyle w:val="naisf"/>
              <w:spacing w:before="0" w:after="0"/>
              <w:ind w:firstLine="0"/>
              <w:jc w:val="center"/>
              <w:rPr>
                <w:sz w:val="26"/>
                <w:szCs w:val="26"/>
              </w:rPr>
            </w:pPr>
            <w:r w:rsidRPr="00C7632C">
              <w:rPr>
                <w:sz w:val="26"/>
                <w:szCs w:val="26"/>
              </w:rPr>
              <w:t>minimālā</w:t>
            </w:r>
          </w:p>
        </w:tc>
        <w:tc>
          <w:tcPr>
            <w:tcW w:w="1666" w:type="dxa"/>
          </w:tcPr>
          <w:p w14:paraId="0C9B12ED" w14:textId="77777777" w:rsidR="009571E0" w:rsidRPr="00C7632C" w:rsidRDefault="009571E0" w:rsidP="00565E1D">
            <w:pPr>
              <w:pStyle w:val="naisf"/>
              <w:spacing w:before="0" w:after="0"/>
              <w:ind w:firstLine="0"/>
              <w:jc w:val="center"/>
              <w:rPr>
                <w:sz w:val="26"/>
                <w:szCs w:val="26"/>
              </w:rPr>
            </w:pPr>
            <w:r w:rsidRPr="00C7632C">
              <w:rPr>
                <w:sz w:val="26"/>
                <w:szCs w:val="26"/>
              </w:rPr>
              <w:t>maksimālā</w:t>
            </w:r>
          </w:p>
        </w:tc>
      </w:tr>
      <w:tr w:rsidR="009571E0" w:rsidRPr="00C7632C" w14:paraId="6D8EF09F" w14:textId="77777777" w:rsidTr="00565E1D">
        <w:tc>
          <w:tcPr>
            <w:tcW w:w="675" w:type="dxa"/>
          </w:tcPr>
          <w:p w14:paraId="720D2AE5" w14:textId="77777777" w:rsidR="009571E0" w:rsidRPr="00C7632C" w:rsidRDefault="009571E0" w:rsidP="00565E1D">
            <w:pPr>
              <w:pStyle w:val="naisf"/>
              <w:spacing w:before="0" w:after="0"/>
              <w:ind w:firstLine="0"/>
              <w:rPr>
                <w:sz w:val="26"/>
                <w:szCs w:val="26"/>
              </w:rPr>
            </w:pPr>
            <w:r w:rsidRPr="00C7632C">
              <w:rPr>
                <w:sz w:val="26"/>
                <w:szCs w:val="26"/>
              </w:rPr>
              <w:t>1.</w:t>
            </w:r>
          </w:p>
        </w:tc>
        <w:tc>
          <w:tcPr>
            <w:tcW w:w="3828" w:type="dxa"/>
          </w:tcPr>
          <w:p w14:paraId="7E3377E4" w14:textId="77777777" w:rsidR="009571E0" w:rsidRPr="00C7632C" w:rsidRDefault="009571E0" w:rsidP="00565E1D">
            <w:pPr>
              <w:pStyle w:val="naisf"/>
              <w:spacing w:before="0" w:after="0"/>
              <w:ind w:firstLine="0"/>
              <w:rPr>
                <w:sz w:val="26"/>
                <w:szCs w:val="26"/>
                <w:vertAlign w:val="superscript"/>
              </w:rPr>
            </w:pPr>
            <w:r w:rsidRPr="00C7632C">
              <w:rPr>
                <w:sz w:val="26"/>
                <w:szCs w:val="26"/>
              </w:rPr>
              <w:t>Cetānskaitlis</w:t>
            </w:r>
          </w:p>
        </w:tc>
        <w:tc>
          <w:tcPr>
            <w:tcW w:w="1559" w:type="dxa"/>
          </w:tcPr>
          <w:p w14:paraId="178B6AD4" w14:textId="77777777" w:rsidR="009571E0" w:rsidRPr="00C7632C" w:rsidRDefault="009571E0" w:rsidP="00565E1D">
            <w:pPr>
              <w:pStyle w:val="naisf"/>
              <w:spacing w:before="0" w:after="0"/>
              <w:ind w:firstLine="0"/>
              <w:jc w:val="center"/>
              <w:rPr>
                <w:sz w:val="26"/>
                <w:szCs w:val="26"/>
              </w:rPr>
            </w:pPr>
          </w:p>
        </w:tc>
        <w:tc>
          <w:tcPr>
            <w:tcW w:w="1559" w:type="dxa"/>
          </w:tcPr>
          <w:p w14:paraId="5A8E0A60" w14:textId="77777777" w:rsidR="009571E0" w:rsidRPr="00C7632C" w:rsidRDefault="009571E0" w:rsidP="00565E1D">
            <w:pPr>
              <w:pStyle w:val="naisf"/>
              <w:spacing w:before="0" w:after="0"/>
              <w:ind w:firstLine="0"/>
              <w:jc w:val="center"/>
              <w:rPr>
                <w:sz w:val="26"/>
                <w:szCs w:val="26"/>
              </w:rPr>
            </w:pPr>
            <w:r w:rsidRPr="00C7632C">
              <w:rPr>
                <w:sz w:val="26"/>
                <w:szCs w:val="26"/>
              </w:rPr>
              <w:t>51,0</w:t>
            </w:r>
          </w:p>
        </w:tc>
        <w:tc>
          <w:tcPr>
            <w:tcW w:w="1666" w:type="dxa"/>
          </w:tcPr>
          <w:p w14:paraId="1630EA08" w14:textId="3FD10B9C" w:rsidR="009571E0" w:rsidRPr="00C7632C" w:rsidRDefault="00D15E71" w:rsidP="00565E1D">
            <w:pPr>
              <w:pStyle w:val="naisf"/>
              <w:spacing w:before="0" w:after="0"/>
              <w:ind w:firstLine="0"/>
              <w:jc w:val="center"/>
              <w:rPr>
                <w:sz w:val="26"/>
                <w:szCs w:val="26"/>
              </w:rPr>
            </w:pPr>
            <w:r>
              <w:rPr>
                <w:sz w:val="26"/>
                <w:szCs w:val="26"/>
              </w:rPr>
              <w:t>–</w:t>
            </w:r>
          </w:p>
        </w:tc>
      </w:tr>
      <w:tr w:rsidR="009571E0" w:rsidRPr="00C7632C" w14:paraId="316BEACF" w14:textId="77777777" w:rsidTr="00565E1D">
        <w:tc>
          <w:tcPr>
            <w:tcW w:w="675" w:type="dxa"/>
          </w:tcPr>
          <w:p w14:paraId="1FB1FB0D" w14:textId="77777777" w:rsidR="009571E0" w:rsidRPr="00C7632C" w:rsidRDefault="009571E0" w:rsidP="00565E1D">
            <w:pPr>
              <w:pStyle w:val="naisf"/>
              <w:spacing w:before="0" w:after="0"/>
              <w:ind w:firstLine="0"/>
              <w:rPr>
                <w:sz w:val="26"/>
                <w:szCs w:val="26"/>
              </w:rPr>
            </w:pPr>
            <w:r w:rsidRPr="00C7632C">
              <w:rPr>
                <w:sz w:val="26"/>
                <w:szCs w:val="26"/>
              </w:rPr>
              <w:t>2.</w:t>
            </w:r>
          </w:p>
        </w:tc>
        <w:tc>
          <w:tcPr>
            <w:tcW w:w="3828" w:type="dxa"/>
          </w:tcPr>
          <w:p w14:paraId="09F8DBCC" w14:textId="6BA70E38" w:rsidR="009571E0" w:rsidRPr="00C7632C" w:rsidRDefault="009571E0" w:rsidP="00565E1D">
            <w:pPr>
              <w:pStyle w:val="naisf"/>
              <w:spacing w:before="0" w:after="0"/>
              <w:ind w:firstLine="0"/>
              <w:rPr>
                <w:sz w:val="26"/>
                <w:szCs w:val="26"/>
              </w:rPr>
            </w:pPr>
            <w:r w:rsidRPr="00C7632C">
              <w:rPr>
                <w:sz w:val="26"/>
                <w:szCs w:val="26"/>
              </w:rPr>
              <w:t>Blīvums 15</w:t>
            </w:r>
            <w:r w:rsidR="00D15E71">
              <w:rPr>
                <w:sz w:val="26"/>
                <w:szCs w:val="26"/>
              </w:rPr>
              <w:t xml:space="preserve"> </w:t>
            </w:r>
            <w:r w:rsidRPr="00C7632C">
              <w:rPr>
                <w:sz w:val="26"/>
                <w:szCs w:val="26"/>
              </w:rPr>
              <w:t>°C temperatūrā</w:t>
            </w:r>
          </w:p>
        </w:tc>
        <w:tc>
          <w:tcPr>
            <w:tcW w:w="1559" w:type="dxa"/>
          </w:tcPr>
          <w:p w14:paraId="2B14CBD2" w14:textId="77777777" w:rsidR="009571E0" w:rsidRPr="00C7632C" w:rsidRDefault="009571E0" w:rsidP="00565E1D">
            <w:pPr>
              <w:pStyle w:val="naisf"/>
              <w:spacing w:before="0" w:after="0"/>
              <w:ind w:firstLine="0"/>
              <w:jc w:val="center"/>
              <w:rPr>
                <w:sz w:val="26"/>
                <w:szCs w:val="26"/>
              </w:rPr>
            </w:pPr>
            <w:r w:rsidRPr="00C7632C">
              <w:rPr>
                <w:sz w:val="26"/>
                <w:szCs w:val="26"/>
              </w:rPr>
              <w:t>kg/m</w:t>
            </w:r>
            <w:r w:rsidRPr="00C7632C">
              <w:rPr>
                <w:sz w:val="26"/>
                <w:szCs w:val="26"/>
                <w:vertAlign w:val="superscript"/>
              </w:rPr>
              <w:t>3</w:t>
            </w:r>
          </w:p>
        </w:tc>
        <w:tc>
          <w:tcPr>
            <w:tcW w:w="1559" w:type="dxa"/>
          </w:tcPr>
          <w:p w14:paraId="57DBFF4B" w14:textId="50D1EE36" w:rsidR="009571E0" w:rsidRPr="00C7632C" w:rsidRDefault="00D15E71" w:rsidP="00565E1D">
            <w:pPr>
              <w:pStyle w:val="naisf"/>
              <w:spacing w:before="0" w:after="0"/>
              <w:ind w:firstLine="0"/>
              <w:jc w:val="center"/>
              <w:rPr>
                <w:sz w:val="26"/>
                <w:szCs w:val="26"/>
              </w:rPr>
            </w:pPr>
            <w:r>
              <w:rPr>
                <w:sz w:val="26"/>
                <w:szCs w:val="26"/>
              </w:rPr>
              <w:t>–</w:t>
            </w:r>
          </w:p>
        </w:tc>
        <w:tc>
          <w:tcPr>
            <w:tcW w:w="1666" w:type="dxa"/>
          </w:tcPr>
          <w:p w14:paraId="2DDDCF71" w14:textId="77777777" w:rsidR="009571E0" w:rsidRPr="00C7632C" w:rsidRDefault="009571E0" w:rsidP="00565E1D">
            <w:pPr>
              <w:pStyle w:val="naisf"/>
              <w:spacing w:before="0" w:after="0"/>
              <w:ind w:firstLine="0"/>
              <w:jc w:val="center"/>
              <w:rPr>
                <w:sz w:val="26"/>
                <w:szCs w:val="26"/>
              </w:rPr>
            </w:pPr>
            <w:r w:rsidRPr="00C7632C">
              <w:rPr>
                <w:sz w:val="26"/>
                <w:szCs w:val="26"/>
              </w:rPr>
              <w:t>845,0</w:t>
            </w:r>
          </w:p>
        </w:tc>
      </w:tr>
      <w:tr w:rsidR="009571E0" w:rsidRPr="00C7632C" w14:paraId="43ABC1F4" w14:textId="77777777" w:rsidTr="00565E1D">
        <w:tc>
          <w:tcPr>
            <w:tcW w:w="675" w:type="dxa"/>
          </w:tcPr>
          <w:p w14:paraId="141BC8FD" w14:textId="77777777" w:rsidR="009571E0" w:rsidRPr="00C7632C" w:rsidRDefault="009571E0" w:rsidP="00565E1D">
            <w:pPr>
              <w:pStyle w:val="naisf"/>
              <w:spacing w:before="0" w:after="0"/>
              <w:ind w:firstLine="0"/>
              <w:rPr>
                <w:sz w:val="26"/>
                <w:szCs w:val="26"/>
              </w:rPr>
            </w:pPr>
            <w:r w:rsidRPr="00C7632C">
              <w:rPr>
                <w:sz w:val="26"/>
                <w:szCs w:val="26"/>
              </w:rPr>
              <w:t>3.</w:t>
            </w:r>
          </w:p>
        </w:tc>
        <w:tc>
          <w:tcPr>
            <w:tcW w:w="3828" w:type="dxa"/>
          </w:tcPr>
          <w:p w14:paraId="08FA57D2" w14:textId="77777777" w:rsidR="009571E0" w:rsidRPr="00C7632C" w:rsidRDefault="009571E0" w:rsidP="00565E1D">
            <w:pPr>
              <w:pStyle w:val="naisf"/>
              <w:spacing w:before="0" w:after="0"/>
              <w:ind w:firstLine="0"/>
              <w:rPr>
                <w:sz w:val="26"/>
                <w:szCs w:val="26"/>
              </w:rPr>
            </w:pPr>
            <w:r w:rsidRPr="00C7632C">
              <w:rPr>
                <w:sz w:val="26"/>
                <w:szCs w:val="26"/>
              </w:rPr>
              <w:t>Destilācija:</w:t>
            </w:r>
          </w:p>
          <w:p w14:paraId="0707D8D4" w14:textId="2F588253" w:rsidR="009571E0" w:rsidRPr="00C7632C" w:rsidRDefault="009571E0" w:rsidP="00565E1D">
            <w:pPr>
              <w:pStyle w:val="naisf"/>
              <w:spacing w:before="0" w:after="0"/>
              <w:ind w:firstLine="0"/>
              <w:rPr>
                <w:sz w:val="26"/>
                <w:szCs w:val="26"/>
              </w:rPr>
            </w:pPr>
            <w:r w:rsidRPr="00C7632C">
              <w:rPr>
                <w:sz w:val="26"/>
                <w:szCs w:val="26"/>
              </w:rPr>
              <w:t xml:space="preserve">- temperatūra, kad </w:t>
            </w:r>
            <w:proofErr w:type="gramStart"/>
            <w:r w:rsidRPr="00C7632C">
              <w:rPr>
                <w:sz w:val="26"/>
                <w:szCs w:val="26"/>
              </w:rPr>
              <w:t>iztvaicēts 95</w:t>
            </w:r>
            <w:r w:rsidR="00D0744C">
              <w:rPr>
                <w:sz w:val="26"/>
                <w:szCs w:val="26"/>
              </w:rPr>
              <w:t> </w:t>
            </w:r>
            <w:r w:rsidRPr="00C7632C">
              <w:rPr>
                <w:sz w:val="26"/>
                <w:szCs w:val="26"/>
              </w:rPr>
              <w:t>% V/V degvielas</w:t>
            </w:r>
            <w:proofErr w:type="gramEnd"/>
          </w:p>
        </w:tc>
        <w:tc>
          <w:tcPr>
            <w:tcW w:w="1559" w:type="dxa"/>
          </w:tcPr>
          <w:p w14:paraId="5315DFB5" w14:textId="77777777" w:rsidR="009571E0" w:rsidRPr="00C7632C" w:rsidRDefault="009571E0" w:rsidP="00565E1D">
            <w:pPr>
              <w:pStyle w:val="naisf"/>
              <w:spacing w:before="0" w:after="0"/>
              <w:ind w:firstLine="0"/>
              <w:jc w:val="center"/>
              <w:rPr>
                <w:sz w:val="26"/>
                <w:szCs w:val="26"/>
              </w:rPr>
            </w:pPr>
          </w:p>
          <w:p w14:paraId="0934006B" w14:textId="56C844EA" w:rsidR="009571E0" w:rsidRPr="00C7632C" w:rsidRDefault="009571E0" w:rsidP="00565E1D">
            <w:pPr>
              <w:pStyle w:val="naisf"/>
              <w:spacing w:before="0" w:after="0"/>
              <w:ind w:firstLine="0"/>
              <w:jc w:val="center"/>
              <w:rPr>
                <w:sz w:val="26"/>
                <w:szCs w:val="26"/>
              </w:rPr>
            </w:pPr>
            <w:r w:rsidRPr="00C7632C">
              <w:rPr>
                <w:sz w:val="26"/>
                <w:szCs w:val="26"/>
              </w:rPr>
              <w:t>°C</w:t>
            </w:r>
          </w:p>
        </w:tc>
        <w:tc>
          <w:tcPr>
            <w:tcW w:w="1559" w:type="dxa"/>
          </w:tcPr>
          <w:p w14:paraId="2B00BE4C" w14:textId="77777777" w:rsidR="009571E0" w:rsidRPr="00C7632C" w:rsidRDefault="009571E0" w:rsidP="00565E1D">
            <w:pPr>
              <w:pStyle w:val="naisf"/>
              <w:spacing w:before="0" w:after="0"/>
              <w:ind w:firstLine="0"/>
              <w:jc w:val="center"/>
              <w:rPr>
                <w:sz w:val="26"/>
                <w:szCs w:val="26"/>
              </w:rPr>
            </w:pPr>
          </w:p>
          <w:p w14:paraId="569130A4" w14:textId="2BFCB91A" w:rsidR="009571E0" w:rsidRPr="00C7632C" w:rsidRDefault="00D15E71" w:rsidP="00565E1D">
            <w:pPr>
              <w:pStyle w:val="naisf"/>
              <w:spacing w:before="0" w:after="0"/>
              <w:ind w:firstLine="0"/>
              <w:jc w:val="center"/>
              <w:rPr>
                <w:sz w:val="26"/>
                <w:szCs w:val="26"/>
              </w:rPr>
            </w:pPr>
            <w:r>
              <w:rPr>
                <w:sz w:val="26"/>
                <w:szCs w:val="26"/>
              </w:rPr>
              <w:t>–</w:t>
            </w:r>
          </w:p>
        </w:tc>
        <w:tc>
          <w:tcPr>
            <w:tcW w:w="1666" w:type="dxa"/>
          </w:tcPr>
          <w:p w14:paraId="1B03E4EA" w14:textId="77777777" w:rsidR="009571E0" w:rsidRPr="00C7632C" w:rsidRDefault="009571E0" w:rsidP="00565E1D">
            <w:pPr>
              <w:pStyle w:val="naisf"/>
              <w:spacing w:before="0" w:after="0"/>
              <w:ind w:firstLine="0"/>
              <w:jc w:val="center"/>
              <w:rPr>
                <w:sz w:val="26"/>
                <w:szCs w:val="26"/>
              </w:rPr>
            </w:pPr>
          </w:p>
          <w:p w14:paraId="7F71969B" w14:textId="77777777" w:rsidR="009571E0" w:rsidRPr="00C7632C" w:rsidRDefault="009571E0" w:rsidP="00565E1D">
            <w:pPr>
              <w:pStyle w:val="naisf"/>
              <w:spacing w:before="0" w:after="0"/>
              <w:ind w:firstLine="0"/>
              <w:jc w:val="center"/>
              <w:rPr>
                <w:sz w:val="26"/>
                <w:szCs w:val="26"/>
              </w:rPr>
            </w:pPr>
            <w:r w:rsidRPr="00C7632C">
              <w:rPr>
                <w:sz w:val="26"/>
                <w:szCs w:val="26"/>
              </w:rPr>
              <w:t>360,0</w:t>
            </w:r>
          </w:p>
        </w:tc>
      </w:tr>
      <w:tr w:rsidR="009571E0" w:rsidRPr="00C7632C" w14:paraId="6A2E5368" w14:textId="77777777" w:rsidTr="00565E1D">
        <w:tc>
          <w:tcPr>
            <w:tcW w:w="675" w:type="dxa"/>
          </w:tcPr>
          <w:p w14:paraId="2F3C7B0B" w14:textId="77777777" w:rsidR="009571E0" w:rsidRPr="00C7632C" w:rsidRDefault="009571E0" w:rsidP="00565E1D">
            <w:pPr>
              <w:pStyle w:val="naisf"/>
              <w:spacing w:before="0" w:after="0"/>
              <w:ind w:firstLine="0"/>
              <w:rPr>
                <w:sz w:val="26"/>
                <w:szCs w:val="26"/>
              </w:rPr>
            </w:pPr>
            <w:r w:rsidRPr="00C7632C">
              <w:rPr>
                <w:sz w:val="26"/>
                <w:szCs w:val="26"/>
              </w:rPr>
              <w:t>4.</w:t>
            </w:r>
          </w:p>
        </w:tc>
        <w:tc>
          <w:tcPr>
            <w:tcW w:w="3828" w:type="dxa"/>
          </w:tcPr>
          <w:p w14:paraId="3E4920D3" w14:textId="77777777" w:rsidR="009571E0" w:rsidRPr="00C7632C" w:rsidRDefault="009571E0" w:rsidP="00565E1D">
            <w:pPr>
              <w:pStyle w:val="naisf"/>
              <w:spacing w:before="0" w:after="0"/>
              <w:ind w:firstLine="0"/>
              <w:jc w:val="left"/>
              <w:rPr>
                <w:sz w:val="26"/>
                <w:szCs w:val="26"/>
              </w:rPr>
            </w:pPr>
            <w:r w:rsidRPr="00C7632C">
              <w:rPr>
                <w:sz w:val="26"/>
                <w:szCs w:val="26"/>
              </w:rPr>
              <w:t>Policikliskie aromātiskie ogļūdeņraži</w:t>
            </w:r>
          </w:p>
        </w:tc>
        <w:tc>
          <w:tcPr>
            <w:tcW w:w="1559" w:type="dxa"/>
          </w:tcPr>
          <w:p w14:paraId="167D119A" w14:textId="77777777" w:rsidR="009571E0" w:rsidRPr="00C7632C" w:rsidRDefault="009571E0" w:rsidP="00565E1D">
            <w:pPr>
              <w:pStyle w:val="naisf"/>
              <w:spacing w:before="0" w:after="0"/>
              <w:ind w:firstLine="0"/>
              <w:jc w:val="center"/>
              <w:rPr>
                <w:sz w:val="26"/>
                <w:szCs w:val="26"/>
              </w:rPr>
            </w:pPr>
            <w:r w:rsidRPr="00C7632C">
              <w:rPr>
                <w:sz w:val="26"/>
                <w:szCs w:val="26"/>
              </w:rPr>
              <w:t>% m/m</w:t>
            </w:r>
          </w:p>
        </w:tc>
        <w:tc>
          <w:tcPr>
            <w:tcW w:w="1559" w:type="dxa"/>
          </w:tcPr>
          <w:p w14:paraId="5718F758" w14:textId="77321880" w:rsidR="009571E0" w:rsidRPr="00C7632C" w:rsidRDefault="00D15E71" w:rsidP="00565E1D">
            <w:pPr>
              <w:pStyle w:val="naisf"/>
              <w:spacing w:before="0" w:after="0"/>
              <w:ind w:firstLine="0"/>
              <w:jc w:val="center"/>
              <w:rPr>
                <w:sz w:val="26"/>
                <w:szCs w:val="26"/>
              </w:rPr>
            </w:pPr>
            <w:r>
              <w:rPr>
                <w:sz w:val="26"/>
                <w:szCs w:val="26"/>
              </w:rPr>
              <w:t>–</w:t>
            </w:r>
          </w:p>
        </w:tc>
        <w:tc>
          <w:tcPr>
            <w:tcW w:w="1666" w:type="dxa"/>
          </w:tcPr>
          <w:p w14:paraId="73D5BFDC" w14:textId="77777777" w:rsidR="009571E0" w:rsidRPr="00C7632C" w:rsidRDefault="009571E0" w:rsidP="00565E1D">
            <w:pPr>
              <w:pStyle w:val="naisf"/>
              <w:spacing w:before="0" w:after="0"/>
              <w:ind w:firstLine="0"/>
              <w:jc w:val="center"/>
              <w:rPr>
                <w:sz w:val="26"/>
                <w:szCs w:val="26"/>
              </w:rPr>
            </w:pPr>
            <w:r w:rsidRPr="00C7632C">
              <w:rPr>
                <w:sz w:val="26"/>
                <w:szCs w:val="26"/>
              </w:rPr>
              <w:t>8,0</w:t>
            </w:r>
          </w:p>
        </w:tc>
      </w:tr>
      <w:tr w:rsidR="009571E0" w:rsidRPr="00C7632C" w14:paraId="06AA9E77" w14:textId="77777777" w:rsidTr="00565E1D">
        <w:tc>
          <w:tcPr>
            <w:tcW w:w="675" w:type="dxa"/>
          </w:tcPr>
          <w:p w14:paraId="0E42999F" w14:textId="77777777" w:rsidR="009571E0" w:rsidRPr="00C7632C" w:rsidRDefault="009571E0" w:rsidP="00565E1D">
            <w:pPr>
              <w:pStyle w:val="naisf"/>
              <w:spacing w:before="0" w:after="0"/>
              <w:ind w:firstLine="0"/>
              <w:rPr>
                <w:sz w:val="26"/>
                <w:szCs w:val="26"/>
              </w:rPr>
            </w:pPr>
            <w:r w:rsidRPr="00C7632C">
              <w:rPr>
                <w:sz w:val="26"/>
                <w:szCs w:val="26"/>
              </w:rPr>
              <w:t>5.</w:t>
            </w:r>
          </w:p>
        </w:tc>
        <w:tc>
          <w:tcPr>
            <w:tcW w:w="3828" w:type="dxa"/>
          </w:tcPr>
          <w:p w14:paraId="2C0C1E43" w14:textId="77777777" w:rsidR="009571E0" w:rsidRPr="00C7632C" w:rsidRDefault="009571E0" w:rsidP="00565E1D">
            <w:pPr>
              <w:pStyle w:val="naisf"/>
              <w:spacing w:before="0" w:after="0"/>
              <w:ind w:firstLine="0"/>
              <w:rPr>
                <w:sz w:val="26"/>
                <w:szCs w:val="26"/>
              </w:rPr>
            </w:pPr>
            <w:r w:rsidRPr="00C7632C">
              <w:rPr>
                <w:sz w:val="26"/>
                <w:szCs w:val="26"/>
              </w:rPr>
              <w:t>Sēra saturs</w:t>
            </w:r>
          </w:p>
        </w:tc>
        <w:tc>
          <w:tcPr>
            <w:tcW w:w="1559" w:type="dxa"/>
          </w:tcPr>
          <w:p w14:paraId="67F1BE57" w14:textId="77777777" w:rsidR="009571E0" w:rsidRPr="00C7632C" w:rsidRDefault="009571E0" w:rsidP="00565E1D">
            <w:pPr>
              <w:pStyle w:val="naisf"/>
              <w:spacing w:before="0" w:after="0"/>
              <w:ind w:firstLine="0"/>
              <w:jc w:val="center"/>
              <w:rPr>
                <w:sz w:val="26"/>
                <w:szCs w:val="26"/>
              </w:rPr>
            </w:pPr>
            <w:r w:rsidRPr="00C7632C">
              <w:rPr>
                <w:sz w:val="26"/>
                <w:szCs w:val="26"/>
              </w:rPr>
              <w:t>mg/kg</w:t>
            </w:r>
          </w:p>
        </w:tc>
        <w:tc>
          <w:tcPr>
            <w:tcW w:w="1559" w:type="dxa"/>
          </w:tcPr>
          <w:p w14:paraId="401FECD1" w14:textId="161F1377" w:rsidR="009571E0" w:rsidRPr="00C7632C" w:rsidRDefault="00D15E71" w:rsidP="00565E1D">
            <w:pPr>
              <w:pStyle w:val="naisf"/>
              <w:spacing w:before="0" w:after="0"/>
              <w:ind w:firstLine="0"/>
              <w:jc w:val="center"/>
              <w:rPr>
                <w:sz w:val="26"/>
                <w:szCs w:val="26"/>
              </w:rPr>
            </w:pPr>
            <w:r>
              <w:rPr>
                <w:sz w:val="26"/>
                <w:szCs w:val="26"/>
              </w:rPr>
              <w:t>–</w:t>
            </w:r>
          </w:p>
        </w:tc>
        <w:tc>
          <w:tcPr>
            <w:tcW w:w="1666" w:type="dxa"/>
          </w:tcPr>
          <w:p w14:paraId="23CCE645" w14:textId="77777777" w:rsidR="009571E0" w:rsidRPr="00C7632C" w:rsidRDefault="009571E0" w:rsidP="00565E1D">
            <w:pPr>
              <w:pStyle w:val="naisf"/>
              <w:spacing w:before="0" w:after="0"/>
              <w:ind w:firstLine="0"/>
              <w:jc w:val="center"/>
              <w:rPr>
                <w:sz w:val="26"/>
                <w:szCs w:val="26"/>
              </w:rPr>
            </w:pPr>
            <w:r w:rsidRPr="00C7632C">
              <w:rPr>
                <w:sz w:val="26"/>
                <w:szCs w:val="26"/>
              </w:rPr>
              <w:t>10,0</w:t>
            </w:r>
          </w:p>
        </w:tc>
      </w:tr>
      <w:tr w:rsidR="009571E0" w:rsidRPr="00C7632C" w14:paraId="6E0B4106" w14:textId="77777777" w:rsidTr="00565E1D">
        <w:tc>
          <w:tcPr>
            <w:tcW w:w="675" w:type="dxa"/>
          </w:tcPr>
          <w:p w14:paraId="5A8DF3F3" w14:textId="77777777" w:rsidR="009571E0" w:rsidRPr="00C7632C" w:rsidRDefault="009571E0" w:rsidP="00565E1D">
            <w:pPr>
              <w:pStyle w:val="naisf"/>
              <w:spacing w:before="0" w:after="0"/>
              <w:ind w:firstLine="0"/>
              <w:rPr>
                <w:sz w:val="26"/>
                <w:szCs w:val="26"/>
              </w:rPr>
            </w:pPr>
            <w:r w:rsidRPr="00C7632C">
              <w:rPr>
                <w:sz w:val="26"/>
                <w:szCs w:val="26"/>
              </w:rPr>
              <w:t>6.</w:t>
            </w:r>
          </w:p>
        </w:tc>
        <w:tc>
          <w:tcPr>
            <w:tcW w:w="3828" w:type="dxa"/>
          </w:tcPr>
          <w:p w14:paraId="12D49E60" w14:textId="77777777" w:rsidR="009571E0" w:rsidRPr="00C7632C" w:rsidRDefault="009571E0" w:rsidP="00565E1D">
            <w:pPr>
              <w:pStyle w:val="naisf"/>
              <w:spacing w:before="0" w:after="0"/>
              <w:ind w:firstLine="0"/>
              <w:rPr>
                <w:sz w:val="26"/>
                <w:szCs w:val="26"/>
              </w:rPr>
            </w:pPr>
            <w:r w:rsidRPr="00C7632C">
              <w:rPr>
                <w:sz w:val="26"/>
                <w:szCs w:val="26"/>
              </w:rPr>
              <w:t>Taukskābju metilestera saturs</w:t>
            </w:r>
            <w:r w:rsidRPr="00C7632C">
              <w:rPr>
                <w:sz w:val="26"/>
                <w:szCs w:val="26"/>
                <w:vertAlign w:val="superscript"/>
              </w:rPr>
              <w:t>3</w:t>
            </w:r>
          </w:p>
        </w:tc>
        <w:tc>
          <w:tcPr>
            <w:tcW w:w="1559" w:type="dxa"/>
          </w:tcPr>
          <w:p w14:paraId="01CC8E56" w14:textId="77777777" w:rsidR="009571E0" w:rsidRPr="00C7632C" w:rsidRDefault="009571E0" w:rsidP="00565E1D">
            <w:pPr>
              <w:pStyle w:val="naisf"/>
              <w:spacing w:before="0" w:after="0"/>
              <w:ind w:firstLine="0"/>
              <w:jc w:val="center"/>
              <w:rPr>
                <w:sz w:val="26"/>
                <w:szCs w:val="26"/>
              </w:rPr>
            </w:pPr>
            <w:r w:rsidRPr="00C7632C">
              <w:rPr>
                <w:sz w:val="26"/>
                <w:szCs w:val="26"/>
              </w:rPr>
              <w:t>% V/V</w:t>
            </w:r>
          </w:p>
        </w:tc>
        <w:tc>
          <w:tcPr>
            <w:tcW w:w="1559" w:type="dxa"/>
          </w:tcPr>
          <w:p w14:paraId="1F7D3B55" w14:textId="1B819ED3" w:rsidR="009571E0" w:rsidRPr="00C7632C" w:rsidRDefault="00D15E71" w:rsidP="00565E1D">
            <w:pPr>
              <w:pStyle w:val="naisf"/>
              <w:spacing w:before="0" w:after="0"/>
              <w:ind w:firstLine="0"/>
              <w:jc w:val="center"/>
              <w:rPr>
                <w:sz w:val="26"/>
                <w:szCs w:val="26"/>
              </w:rPr>
            </w:pPr>
            <w:r>
              <w:rPr>
                <w:sz w:val="26"/>
                <w:szCs w:val="26"/>
              </w:rPr>
              <w:t>–</w:t>
            </w:r>
          </w:p>
        </w:tc>
        <w:tc>
          <w:tcPr>
            <w:tcW w:w="1666" w:type="dxa"/>
          </w:tcPr>
          <w:p w14:paraId="2259E74D" w14:textId="77777777" w:rsidR="009571E0" w:rsidRPr="00C7632C" w:rsidRDefault="009571E0" w:rsidP="00565E1D">
            <w:pPr>
              <w:pStyle w:val="naisf"/>
              <w:spacing w:before="0" w:after="0"/>
              <w:ind w:firstLine="0"/>
              <w:jc w:val="center"/>
              <w:rPr>
                <w:sz w:val="26"/>
                <w:szCs w:val="26"/>
                <w:vertAlign w:val="superscript"/>
              </w:rPr>
            </w:pPr>
            <w:r w:rsidRPr="00C7632C">
              <w:rPr>
                <w:sz w:val="26"/>
                <w:szCs w:val="26"/>
              </w:rPr>
              <w:t>7,0</w:t>
            </w:r>
          </w:p>
        </w:tc>
      </w:tr>
      <w:tr w:rsidR="009571E0" w:rsidRPr="00C7632C" w14:paraId="635E4CE0" w14:textId="77777777" w:rsidTr="00565E1D">
        <w:tc>
          <w:tcPr>
            <w:tcW w:w="675" w:type="dxa"/>
          </w:tcPr>
          <w:p w14:paraId="40CA6B08" w14:textId="77777777" w:rsidR="009571E0" w:rsidRPr="00C7632C" w:rsidRDefault="009571E0" w:rsidP="00565E1D">
            <w:pPr>
              <w:pStyle w:val="naisf"/>
              <w:spacing w:before="0" w:after="0"/>
              <w:ind w:firstLine="0"/>
              <w:rPr>
                <w:sz w:val="26"/>
                <w:szCs w:val="26"/>
              </w:rPr>
            </w:pPr>
            <w:r w:rsidRPr="00C7632C">
              <w:rPr>
                <w:sz w:val="26"/>
                <w:szCs w:val="26"/>
              </w:rPr>
              <w:t>7.</w:t>
            </w:r>
          </w:p>
        </w:tc>
        <w:tc>
          <w:tcPr>
            <w:tcW w:w="3828" w:type="dxa"/>
          </w:tcPr>
          <w:p w14:paraId="3078E275" w14:textId="77777777" w:rsidR="009571E0" w:rsidRPr="00C7632C" w:rsidRDefault="009571E0" w:rsidP="00565E1D">
            <w:pPr>
              <w:pStyle w:val="naisf"/>
              <w:spacing w:before="0" w:after="0"/>
              <w:ind w:firstLine="0"/>
              <w:rPr>
                <w:sz w:val="26"/>
                <w:szCs w:val="26"/>
                <w:vertAlign w:val="superscript"/>
              </w:rPr>
            </w:pPr>
            <w:r w:rsidRPr="00C7632C">
              <w:rPr>
                <w:sz w:val="26"/>
                <w:szCs w:val="26"/>
              </w:rPr>
              <w:t xml:space="preserve">No biomasas iegūtas </w:t>
            </w:r>
            <w:proofErr w:type="spellStart"/>
            <w:r w:rsidRPr="00C7632C">
              <w:rPr>
                <w:sz w:val="26"/>
                <w:szCs w:val="26"/>
              </w:rPr>
              <w:t>parafinizētas</w:t>
            </w:r>
            <w:proofErr w:type="spellEnd"/>
            <w:r w:rsidRPr="00C7632C">
              <w:rPr>
                <w:sz w:val="26"/>
                <w:szCs w:val="26"/>
              </w:rPr>
              <w:t xml:space="preserve"> </w:t>
            </w:r>
            <w:r w:rsidRPr="00C7632C">
              <w:rPr>
                <w:sz w:val="26"/>
                <w:szCs w:val="26"/>
              </w:rPr>
              <w:lastRenderedPageBreak/>
              <w:t>dīzeļdegvielas saturs</w:t>
            </w:r>
            <w:r w:rsidRPr="00C7632C">
              <w:rPr>
                <w:sz w:val="26"/>
                <w:szCs w:val="26"/>
                <w:vertAlign w:val="superscript"/>
              </w:rPr>
              <w:t>4</w:t>
            </w:r>
          </w:p>
        </w:tc>
        <w:tc>
          <w:tcPr>
            <w:tcW w:w="1559" w:type="dxa"/>
          </w:tcPr>
          <w:p w14:paraId="28946019" w14:textId="77777777" w:rsidR="009571E0" w:rsidRPr="00C7632C" w:rsidRDefault="009571E0" w:rsidP="00565E1D">
            <w:pPr>
              <w:pStyle w:val="naisf"/>
              <w:spacing w:before="0" w:after="0"/>
              <w:ind w:firstLine="0"/>
              <w:jc w:val="center"/>
              <w:rPr>
                <w:sz w:val="26"/>
                <w:szCs w:val="26"/>
              </w:rPr>
            </w:pPr>
            <w:r w:rsidRPr="00C7632C">
              <w:rPr>
                <w:sz w:val="26"/>
                <w:szCs w:val="26"/>
              </w:rPr>
              <w:lastRenderedPageBreak/>
              <w:t>% V/V</w:t>
            </w:r>
          </w:p>
        </w:tc>
        <w:tc>
          <w:tcPr>
            <w:tcW w:w="1559" w:type="dxa"/>
          </w:tcPr>
          <w:p w14:paraId="5F375E65" w14:textId="77777777" w:rsidR="009571E0" w:rsidRPr="00C7632C" w:rsidRDefault="009571E0" w:rsidP="00565E1D">
            <w:pPr>
              <w:pStyle w:val="naisf"/>
              <w:spacing w:before="0" w:after="0"/>
              <w:ind w:firstLine="0"/>
              <w:jc w:val="center"/>
              <w:rPr>
                <w:sz w:val="26"/>
                <w:szCs w:val="26"/>
              </w:rPr>
            </w:pPr>
            <w:r w:rsidRPr="00C7632C">
              <w:rPr>
                <w:sz w:val="26"/>
                <w:szCs w:val="26"/>
              </w:rPr>
              <w:t>4,5</w:t>
            </w:r>
          </w:p>
        </w:tc>
        <w:tc>
          <w:tcPr>
            <w:tcW w:w="1666" w:type="dxa"/>
          </w:tcPr>
          <w:p w14:paraId="6A2D352F" w14:textId="0F42ACEB" w:rsidR="009571E0" w:rsidRPr="00C7632C" w:rsidRDefault="00D15E71" w:rsidP="00565E1D">
            <w:pPr>
              <w:pStyle w:val="naisf"/>
              <w:spacing w:before="0" w:after="0"/>
              <w:ind w:firstLine="0"/>
              <w:jc w:val="center"/>
              <w:rPr>
                <w:sz w:val="26"/>
                <w:szCs w:val="26"/>
              </w:rPr>
            </w:pPr>
            <w:r>
              <w:rPr>
                <w:sz w:val="26"/>
                <w:szCs w:val="26"/>
              </w:rPr>
              <w:t>–</w:t>
            </w:r>
          </w:p>
        </w:tc>
      </w:tr>
    </w:tbl>
    <w:p w14:paraId="289EC13D" w14:textId="218BDCEF" w:rsidR="00D15E71" w:rsidRDefault="00D15E71">
      <w:pPr>
        <w:rPr>
          <w:rFonts w:eastAsia="Calibri" w:cs="Times New Roman"/>
          <w:color w:val="000000"/>
          <w:sz w:val="24"/>
          <w:szCs w:val="24"/>
        </w:rPr>
      </w:pPr>
    </w:p>
    <w:p w14:paraId="33B8106E" w14:textId="0496CF63" w:rsidR="009571E0" w:rsidRPr="00717B85" w:rsidRDefault="009571E0" w:rsidP="00D0744C">
      <w:pPr>
        <w:pStyle w:val="Default"/>
        <w:spacing w:before="120" w:after="120"/>
        <w:ind w:firstLine="709"/>
        <w:jc w:val="both"/>
        <w:rPr>
          <w:rFonts w:ascii="Times New Roman" w:hAnsi="Times New Roman" w:cs="Times New Roman"/>
          <w:lang w:val="lv-LV"/>
        </w:rPr>
      </w:pPr>
      <w:r w:rsidRPr="00717B85">
        <w:rPr>
          <w:rFonts w:ascii="Times New Roman" w:hAnsi="Times New Roman" w:cs="Times New Roman"/>
          <w:lang w:val="lv-LV"/>
        </w:rPr>
        <w:t>Piezīmes.</w:t>
      </w:r>
    </w:p>
    <w:p w14:paraId="375B2ABF" w14:textId="57F9D65A" w:rsidR="009571E0" w:rsidRPr="00717B85" w:rsidRDefault="009571E0" w:rsidP="00D0744C">
      <w:pPr>
        <w:pStyle w:val="Default"/>
        <w:spacing w:before="120" w:after="120"/>
        <w:ind w:firstLine="709"/>
        <w:jc w:val="both"/>
        <w:rPr>
          <w:rFonts w:ascii="Times New Roman" w:hAnsi="Times New Roman" w:cs="Times New Roman"/>
          <w:lang w:val="lv-LV"/>
        </w:rPr>
      </w:pPr>
      <w:r w:rsidRPr="00717B85">
        <w:rPr>
          <w:rFonts w:ascii="Times New Roman" w:hAnsi="Times New Roman" w:cs="Times New Roman"/>
          <w:vertAlign w:val="superscript"/>
          <w:lang w:val="lv-LV"/>
        </w:rPr>
        <w:t>1</w:t>
      </w:r>
      <w:r w:rsidRPr="00717B85">
        <w:rPr>
          <w:rFonts w:ascii="Times New Roman" w:hAnsi="Times New Roman" w:cs="Times New Roman"/>
          <w:lang w:val="lv-LV"/>
        </w:rPr>
        <w:t xml:space="preserve"> Tiek lietotas testēšanas metodes, kas norādītas standartā LVS EN 590+A1:2017 </w:t>
      </w:r>
      <w:r w:rsidR="00331407" w:rsidRPr="00717B85">
        <w:rPr>
          <w:rFonts w:ascii="Times New Roman" w:hAnsi="Times New Roman" w:cs="Times New Roman"/>
          <w:lang w:val="lv-LV"/>
        </w:rPr>
        <w:t>"</w:t>
      </w:r>
      <w:r w:rsidRPr="00717B85">
        <w:rPr>
          <w:rFonts w:ascii="Times New Roman" w:hAnsi="Times New Roman" w:cs="Times New Roman"/>
          <w:lang w:val="lv-LV"/>
        </w:rPr>
        <w:t>Automobiļu degvielas. Dīzeļdegviela. Prasības un testēšanas metodes</w:t>
      </w:r>
      <w:r w:rsidR="00331407" w:rsidRPr="00717B85">
        <w:rPr>
          <w:rFonts w:ascii="Times New Roman" w:hAnsi="Times New Roman" w:cs="Times New Roman"/>
          <w:lang w:val="lv-LV"/>
        </w:rPr>
        <w:t>"</w:t>
      </w:r>
      <w:r w:rsidRPr="00717B85">
        <w:rPr>
          <w:rFonts w:ascii="Times New Roman" w:hAnsi="Times New Roman" w:cs="Times New Roman"/>
          <w:lang w:val="lv-LV"/>
        </w:rPr>
        <w:t xml:space="preserve"> un </w:t>
      </w:r>
      <w:r w:rsidRPr="00717B85">
        <w:rPr>
          <w:rFonts w:ascii="Times New Roman" w:hAnsi="Times New Roman" w:cs="Times New Roman"/>
          <w:bCs/>
          <w:lang w:val="lv-LV" w:eastAsia="lv-LV"/>
        </w:rPr>
        <w:t xml:space="preserve">LVS EN 16640:2017 </w:t>
      </w:r>
      <w:r w:rsidR="00331407" w:rsidRPr="00717B85">
        <w:rPr>
          <w:rFonts w:ascii="Times New Roman" w:hAnsi="Times New Roman" w:cs="Times New Roman"/>
          <w:bCs/>
          <w:lang w:val="lv-LV" w:eastAsia="lv-LV"/>
        </w:rPr>
        <w:t>"</w:t>
      </w:r>
      <w:r w:rsidRPr="00717B85">
        <w:rPr>
          <w:rFonts w:ascii="Times New Roman" w:hAnsi="Times New Roman" w:cs="Times New Roman"/>
          <w:bCs/>
          <w:lang w:val="lv-LV" w:eastAsia="lv-LV"/>
        </w:rPr>
        <w:t>Bioloģiskas izcelsmes produkti. Bioloģiskas izcelsmes oglekļa saturs. Bioloģiskas izcelsmes oglekļa satura noteikšana ar radioaktīvā oglekļa metodi</w:t>
      </w:r>
      <w:r w:rsidR="00331407" w:rsidRPr="00717B85">
        <w:rPr>
          <w:rFonts w:ascii="Times New Roman" w:hAnsi="Times New Roman" w:cs="Times New Roman"/>
          <w:bCs/>
          <w:lang w:val="lv-LV" w:eastAsia="lv-LV"/>
        </w:rPr>
        <w:t>"</w:t>
      </w:r>
      <w:r w:rsidRPr="00717B85">
        <w:rPr>
          <w:rFonts w:ascii="Times New Roman" w:hAnsi="Times New Roman" w:cs="Times New Roman"/>
          <w:lang w:val="lv-LV"/>
        </w:rPr>
        <w:t xml:space="preserve">. Var pieņemt analītisko metodi, kas noteikta standartu </w:t>
      </w:r>
      <w:r w:rsidRPr="00717B85">
        <w:rPr>
          <w:rFonts w:ascii="Times New Roman" w:hAnsi="Times New Roman" w:cs="Times New Roman"/>
          <w:bCs/>
          <w:lang w:val="lv-LV" w:eastAsia="lv-LV"/>
        </w:rPr>
        <w:t xml:space="preserve">LVS EN 16640:2017 </w:t>
      </w:r>
      <w:r w:rsidR="00331407" w:rsidRPr="00717B85">
        <w:rPr>
          <w:rFonts w:ascii="Times New Roman" w:hAnsi="Times New Roman" w:cs="Times New Roman"/>
          <w:bCs/>
          <w:lang w:val="lv-LV" w:eastAsia="lv-LV"/>
        </w:rPr>
        <w:t>"</w:t>
      </w:r>
      <w:r w:rsidRPr="00717B85">
        <w:rPr>
          <w:rFonts w:ascii="Times New Roman" w:hAnsi="Times New Roman" w:cs="Times New Roman"/>
          <w:bCs/>
          <w:lang w:val="lv-LV" w:eastAsia="lv-LV"/>
        </w:rPr>
        <w:t>Bioloģiskas izcelsmes produkti. Bioloģiskas izcelsmes oglekļa saturs. Bioloģiskas izcelsmes oglekļa satura noteikšana ar radioaktīvā oglekļa metodi</w:t>
      </w:r>
      <w:r w:rsidR="00331407" w:rsidRPr="00717B85">
        <w:rPr>
          <w:rFonts w:ascii="Times New Roman" w:hAnsi="Times New Roman" w:cs="Times New Roman"/>
          <w:bCs/>
          <w:lang w:val="lv-LV" w:eastAsia="lv-LV"/>
        </w:rPr>
        <w:t>"</w:t>
      </w:r>
      <w:r w:rsidRPr="00717B85">
        <w:rPr>
          <w:rFonts w:ascii="Times New Roman" w:hAnsi="Times New Roman" w:cs="Times New Roman"/>
          <w:lang w:val="lv-LV"/>
        </w:rPr>
        <w:t xml:space="preserve"> un LVS EN 590+A1:2017 </w:t>
      </w:r>
      <w:r w:rsidR="00331407" w:rsidRPr="00717B85">
        <w:rPr>
          <w:rFonts w:ascii="Times New Roman" w:hAnsi="Times New Roman" w:cs="Times New Roman"/>
          <w:lang w:val="lv-LV"/>
        </w:rPr>
        <w:t>"</w:t>
      </w:r>
      <w:r w:rsidRPr="00717B85">
        <w:rPr>
          <w:rFonts w:ascii="Times New Roman" w:hAnsi="Times New Roman" w:cs="Times New Roman"/>
          <w:lang w:val="lv-LV"/>
        </w:rPr>
        <w:t>Automobiļu degvielas. Dīzeļdegviela. Prasības un testēšanas metodes</w:t>
      </w:r>
      <w:r w:rsidR="00331407" w:rsidRPr="00717B85">
        <w:rPr>
          <w:rFonts w:ascii="Times New Roman" w:hAnsi="Times New Roman" w:cs="Times New Roman"/>
          <w:lang w:val="lv-LV"/>
        </w:rPr>
        <w:t>"</w:t>
      </w:r>
      <w:r w:rsidRPr="00717B85">
        <w:rPr>
          <w:rFonts w:ascii="Times New Roman" w:hAnsi="Times New Roman" w:cs="Times New Roman"/>
          <w:lang w:val="lv-LV"/>
        </w:rPr>
        <w:t xml:space="preserve"> aizvietošanai, ja var pierādīt, ka ar to var nodrošināt vismaz tādu pašu pareizību un vismaz tādu pašu precizitāti kā ar aizvietoto analītisko metodi.</w:t>
      </w:r>
    </w:p>
    <w:p w14:paraId="3F83B29C" w14:textId="7BDDB090" w:rsidR="009571E0" w:rsidRPr="00717B85" w:rsidRDefault="009571E0" w:rsidP="00D0744C">
      <w:pPr>
        <w:pStyle w:val="Default"/>
        <w:spacing w:before="120" w:after="120"/>
        <w:ind w:firstLine="709"/>
        <w:jc w:val="both"/>
        <w:rPr>
          <w:rFonts w:ascii="Times New Roman" w:hAnsi="Times New Roman" w:cs="Times New Roman"/>
          <w:lang w:val="lv-LV"/>
        </w:rPr>
      </w:pPr>
      <w:r w:rsidRPr="00717B85">
        <w:rPr>
          <w:rFonts w:ascii="Times New Roman" w:hAnsi="Times New Roman" w:cs="Times New Roman"/>
          <w:vertAlign w:val="superscript"/>
          <w:lang w:val="lv-LV"/>
        </w:rPr>
        <w:t>2</w:t>
      </w:r>
      <w:r w:rsidRPr="00717B85">
        <w:rPr>
          <w:rFonts w:ascii="Times New Roman" w:hAnsi="Times New Roman" w:cs="Times New Roman"/>
          <w:lang w:val="lv-LV"/>
        </w:rPr>
        <w:t xml:space="preserve"> Specifikācijās norādītas </w:t>
      </w:r>
      <w:r w:rsidR="00331407" w:rsidRPr="00717B85">
        <w:rPr>
          <w:rFonts w:ascii="Times New Roman" w:hAnsi="Times New Roman" w:cs="Times New Roman"/>
          <w:lang w:val="lv-LV"/>
        </w:rPr>
        <w:t>"</w:t>
      </w:r>
      <w:r w:rsidRPr="00717B85">
        <w:rPr>
          <w:rFonts w:ascii="Times New Roman" w:hAnsi="Times New Roman" w:cs="Times New Roman"/>
          <w:lang w:val="lv-LV"/>
        </w:rPr>
        <w:t>patiesās vērtības</w:t>
      </w:r>
      <w:r w:rsidR="00331407" w:rsidRPr="00717B85">
        <w:rPr>
          <w:rFonts w:ascii="Times New Roman" w:hAnsi="Times New Roman" w:cs="Times New Roman"/>
          <w:lang w:val="lv-LV"/>
        </w:rPr>
        <w:t>"</w:t>
      </w:r>
      <w:r w:rsidRPr="00717B85">
        <w:rPr>
          <w:rFonts w:ascii="Times New Roman" w:hAnsi="Times New Roman" w:cs="Times New Roman"/>
          <w:lang w:val="lv-LV"/>
        </w:rPr>
        <w:t xml:space="preserve">. To robežvērtības noteiktas saskaņā ar standartu LVS EN ISO 4259:2007 </w:t>
      </w:r>
      <w:r w:rsidR="00331407" w:rsidRPr="00717B85">
        <w:rPr>
          <w:rFonts w:ascii="Times New Roman" w:hAnsi="Times New Roman" w:cs="Times New Roman"/>
          <w:lang w:val="lv-LV"/>
        </w:rPr>
        <w:t>"</w:t>
      </w:r>
      <w:r w:rsidRPr="00717B85">
        <w:rPr>
          <w:rFonts w:ascii="Times New Roman" w:hAnsi="Times New Roman" w:cs="Times New Roman"/>
          <w:lang w:val="lv-LV"/>
        </w:rPr>
        <w:t>Naftas produkti. Datu precizitātes noteikšana un lietošana testēšanas metodēs</w:t>
      </w:r>
      <w:r w:rsidR="00331407" w:rsidRPr="00717B85">
        <w:rPr>
          <w:rFonts w:ascii="Times New Roman" w:hAnsi="Times New Roman" w:cs="Times New Roman"/>
          <w:lang w:val="lv-LV"/>
        </w:rPr>
        <w:t>"</w:t>
      </w:r>
      <w:r w:rsidRPr="00717B85">
        <w:rPr>
          <w:rFonts w:ascii="Times New Roman" w:hAnsi="Times New Roman" w:cs="Times New Roman"/>
          <w:lang w:val="lv-LV"/>
        </w:rPr>
        <w:t xml:space="preserve">, un minimālā vērtība noteikta 2R virs nulles (R = reproducējamība). Atsevišķu mērījumu rezultātus interpretē, pamatojoties uz standartā LVS EN ISO 4259:2007 aprakstītajiem kritērijiem. </w:t>
      </w:r>
    </w:p>
    <w:p w14:paraId="3A67E09E" w14:textId="551E89F9" w:rsidR="009571E0" w:rsidRPr="00717B85" w:rsidRDefault="009571E0" w:rsidP="00D0744C">
      <w:pPr>
        <w:pStyle w:val="Default"/>
        <w:spacing w:before="120" w:after="120"/>
        <w:ind w:firstLine="709"/>
        <w:jc w:val="both"/>
        <w:rPr>
          <w:rFonts w:ascii="Times New Roman" w:hAnsi="Times New Roman" w:cs="Times New Roman"/>
          <w:bCs/>
          <w:lang w:val="lv-LV" w:eastAsia="lv-LV"/>
        </w:rPr>
      </w:pPr>
      <w:r w:rsidRPr="00717B85">
        <w:rPr>
          <w:rFonts w:ascii="Times New Roman" w:hAnsi="Times New Roman" w:cs="Times New Roman"/>
          <w:bCs/>
          <w:vertAlign w:val="superscript"/>
          <w:lang w:val="lv-LV" w:eastAsia="lv-LV"/>
        </w:rPr>
        <w:t>3</w:t>
      </w:r>
      <w:r w:rsidRPr="00717B85">
        <w:rPr>
          <w:rFonts w:ascii="Times New Roman" w:hAnsi="Times New Roman" w:cs="Times New Roman"/>
          <w:bCs/>
          <w:lang w:val="lv-LV" w:eastAsia="lv-LV"/>
        </w:rPr>
        <w:t xml:space="preserve"> Taukskābju metilesteri atbilst standartam LVS EN 14214+A1:2014</w:t>
      </w:r>
      <w:r w:rsidRPr="00717B85">
        <w:rPr>
          <w:rFonts w:ascii="Times New Roman" w:hAnsi="Times New Roman" w:cs="Times New Roman"/>
          <w:lang w:val="lv-LV"/>
        </w:rPr>
        <w:t xml:space="preserve"> </w:t>
      </w:r>
      <w:r w:rsidR="00331407" w:rsidRPr="00717B85">
        <w:rPr>
          <w:rFonts w:ascii="Times New Roman" w:hAnsi="Times New Roman" w:cs="Times New Roman"/>
          <w:lang w:val="lv-LV"/>
        </w:rPr>
        <w:t>"</w:t>
      </w:r>
      <w:r w:rsidRPr="00717B85">
        <w:rPr>
          <w:rFonts w:ascii="Times New Roman" w:hAnsi="Times New Roman" w:cs="Times New Roman"/>
          <w:bCs/>
          <w:lang w:val="lv-LV" w:eastAsia="lv-LV"/>
        </w:rPr>
        <w:t>Šķidrie naftas produkti. Taukskābju metilesteri (FAME) dīzeļdzinējiem un apkurei. Prasības un testa metodes</w:t>
      </w:r>
      <w:r w:rsidR="00331407" w:rsidRPr="00717B85">
        <w:rPr>
          <w:rFonts w:ascii="Times New Roman" w:hAnsi="Times New Roman" w:cs="Times New Roman"/>
          <w:bCs/>
          <w:lang w:val="lv-LV" w:eastAsia="lv-LV"/>
        </w:rPr>
        <w:t>"</w:t>
      </w:r>
      <w:r w:rsidRPr="00717B85">
        <w:rPr>
          <w:rFonts w:ascii="Times New Roman" w:hAnsi="Times New Roman" w:cs="Times New Roman"/>
          <w:bCs/>
          <w:lang w:val="lv-LV" w:eastAsia="lv-LV"/>
        </w:rPr>
        <w:t>.</w:t>
      </w:r>
    </w:p>
    <w:p w14:paraId="3E20CDFD" w14:textId="1EF6759A" w:rsidR="009571E0" w:rsidRPr="00717B85" w:rsidRDefault="009571E0" w:rsidP="00D0744C">
      <w:pPr>
        <w:pStyle w:val="Default"/>
        <w:spacing w:before="120" w:after="120"/>
        <w:ind w:firstLine="709"/>
        <w:jc w:val="both"/>
        <w:rPr>
          <w:rFonts w:ascii="Times New Roman" w:hAnsi="Times New Roman" w:cs="Times New Roman"/>
          <w:bCs/>
          <w:lang w:val="lv-LV" w:eastAsia="lv-LV"/>
        </w:rPr>
      </w:pPr>
      <w:r w:rsidRPr="00717B85">
        <w:rPr>
          <w:rFonts w:ascii="Times New Roman" w:hAnsi="Times New Roman" w:cs="Times New Roman"/>
          <w:bCs/>
          <w:vertAlign w:val="superscript"/>
          <w:lang w:val="lv-LV" w:eastAsia="lv-LV"/>
        </w:rPr>
        <w:t>4</w:t>
      </w:r>
      <w:r w:rsidRPr="00717B85">
        <w:rPr>
          <w:rFonts w:ascii="Times New Roman" w:hAnsi="Times New Roman" w:cs="Times New Roman"/>
          <w:bCs/>
          <w:lang w:val="lv-LV" w:eastAsia="lv-LV"/>
        </w:rPr>
        <w:t xml:space="preserve"> Nosaka tikai gadījumos, kad dīzeļdegvielai ir pievienota no biomasas iegūta </w:t>
      </w:r>
      <w:proofErr w:type="spellStart"/>
      <w:r w:rsidRPr="00717B85">
        <w:rPr>
          <w:rFonts w:ascii="Times New Roman" w:hAnsi="Times New Roman" w:cs="Times New Roman"/>
          <w:bCs/>
          <w:lang w:val="lv-LV" w:eastAsia="lv-LV"/>
        </w:rPr>
        <w:t>parafinizēta</w:t>
      </w:r>
      <w:proofErr w:type="spellEnd"/>
      <w:r w:rsidRPr="00717B85">
        <w:rPr>
          <w:rFonts w:ascii="Times New Roman" w:hAnsi="Times New Roman" w:cs="Times New Roman"/>
          <w:bCs/>
          <w:lang w:val="lv-LV" w:eastAsia="lv-LV"/>
        </w:rPr>
        <w:t xml:space="preserve"> dīzeļdegviela.</w:t>
      </w:r>
      <w:r w:rsidR="00331407" w:rsidRPr="00717B85">
        <w:rPr>
          <w:rFonts w:ascii="Times New Roman" w:hAnsi="Times New Roman" w:cs="Times New Roman"/>
          <w:bCs/>
          <w:lang w:val="lv-LV" w:eastAsia="lv-LV"/>
        </w:rPr>
        <w:t>"</w:t>
      </w:r>
    </w:p>
    <w:p w14:paraId="39AFFD25" w14:textId="77777777" w:rsidR="000C2256" w:rsidRPr="00717B85" w:rsidRDefault="000C2256" w:rsidP="00331407">
      <w:pPr>
        <w:pStyle w:val="Default"/>
        <w:spacing w:before="120" w:after="120"/>
        <w:ind w:firstLine="709"/>
        <w:jc w:val="both"/>
        <w:rPr>
          <w:rFonts w:ascii="Times New Roman" w:eastAsiaTheme="minorEastAsia" w:hAnsi="Times New Roman" w:cs="Times New Roman"/>
          <w:lang w:val="lv-LV"/>
        </w:rPr>
      </w:pPr>
    </w:p>
    <w:p w14:paraId="7533BF9D" w14:textId="7F09E555" w:rsidR="009571E0" w:rsidRPr="00717B85" w:rsidRDefault="009571E0" w:rsidP="00331407">
      <w:pPr>
        <w:pStyle w:val="Default"/>
        <w:spacing w:before="120" w:after="120"/>
        <w:ind w:firstLine="709"/>
        <w:jc w:val="both"/>
        <w:rPr>
          <w:rFonts w:ascii="Times New Roman" w:eastAsiaTheme="minorEastAsia" w:hAnsi="Times New Roman" w:cs="Times New Roman"/>
          <w:sz w:val="28"/>
          <w:szCs w:val="28"/>
          <w:lang w:val="lv-LV"/>
        </w:rPr>
      </w:pPr>
      <w:r w:rsidRPr="00717B85">
        <w:rPr>
          <w:rFonts w:ascii="Times New Roman" w:eastAsiaTheme="minorEastAsia" w:hAnsi="Times New Roman" w:cs="Times New Roman"/>
          <w:sz w:val="28"/>
          <w:szCs w:val="28"/>
          <w:lang w:val="lv-LV"/>
        </w:rPr>
        <w:t>2. Noteikumi stājas spēkā 2018</w:t>
      </w:r>
      <w:r w:rsidR="00331407" w:rsidRPr="00717B85">
        <w:rPr>
          <w:rFonts w:ascii="Times New Roman" w:eastAsiaTheme="minorEastAsia" w:hAnsi="Times New Roman" w:cs="Times New Roman"/>
          <w:sz w:val="28"/>
          <w:szCs w:val="28"/>
          <w:lang w:val="lv-LV"/>
        </w:rPr>
        <w:t>. g</w:t>
      </w:r>
      <w:r w:rsidRPr="00717B85">
        <w:rPr>
          <w:rFonts w:ascii="Times New Roman" w:eastAsiaTheme="minorEastAsia" w:hAnsi="Times New Roman" w:cs="Times New Roman"/>
          <w:sz w:val="28"/>
          <w:szCs w:val="28"/>
          <w:lang w:val="lv-LV"/>
        </w:rPr>
        <w:t>ada 1. aprīlī.</w:t>
      </w:r>
    </w:p>
    <w:p w14:paraId="5D4AD375" w14:textId="6356C503" w:rsidR="009571E0" w:rsidRPr="00717B85" w:rsidRDefault="009571E0" w:rsidP="009571E0">
      <w:pPr>
        <w:jc w:val="both"/>
        <w:rPr>
          <w:rFonts w:cs="Times New Roman"/>
          <w:szCs w:val="28"/>
        </w:rPr>
      </w:pPr>
    </w:p>
    <w:p w14:paraId="12D0EC2B" w14:textId="77777777" w:rsidR="00331407" w:rsidRPr="00717B85" w:rsidRDefault="00331407" w:rsidP="009571E0">
      <w:pPr>
        <w:jc w:val="both"/>
        <w:rPr>
          <w:rFonts w:cs="Times New Roman"/>
          <w:szCs w:val="28"/>
        </w:rPr>
      </w:pPr>
    </w:p>
    <w:p w14:paraId="5BC2CF84" w14:textId="77777777" w:rsidR="00331407" w:rsidRPr="00717B85" w:rsidRDefault="00331407" w:rsidP="00EC0E7F">
      <w:pPr>
        <w:contextualSpacing/>
        <w:jc w:val="both"/>
        <w:rPr>
          <w:szCs w:val="28"/>
        </w:rPr>
      </w:pPr>
    </w:p>
    <w:p w14:paraId="5B9FE6C6" w14:textId="77777777" w:rsidR="00331407" w:rsidRPr="00717B85" w:rsidRDefault="00331407" w:rsidP="00D711C2">
      <w:pPr>
        <w:pStyle w:val="naisf"/>
        <w:tabs>
          <w:tab w:val="left" w:pos="6237"/>
          <w:tab w:val="right" w:pos="8820"/>
        </w:tabs>
        <w:spacing w:before="0" w:after="0"/>
        <w:ind w:firstLine="709"/>
        <w:rPr>
          <w:sz w:val="28"/>
          <w:szCs w:val="28"/>
        </w:rPr>
      </w:pPr>
      <w:r w:rsidRPr="00717B85">
        <w:rPr>
          <w:sz w:val="28"/>
          <w:szCs w:val="28"/>
        </w:rPr>
        <w:t xml:space="preserve">Ministru prezidents, </w:t>
      </w:r>
    </w:p>
    <w:p w14:paraId="20652262" w14:textId="77777777" w:rsidR="00331407" w:rsidRPr="00717B85" w:rsidRDefault="00331407" w:rsidP="00D711C2">
      <w:pPr>
        <w:pStyle w:val="naisf"/>
        <w:tabs>
          <w:tab w:val="left" w:pos="6237"/>
          <w:tab w:val="right" w:pos="8820"/>
        </w:tabs>
        <w:spacing w:before="0" w:after="0"/>
        <w:ind w:firstLine="709"/>
        <w:rPr>
          <w:sz w:val="28"/>
          <w:szCs w:val="28"/>
        </w:rPr>
      </w:pPr>
      <w:r w:rsidRPr="00717B85">
        <w:rPr>
          <w:sz w:val="28"/>
          <w:szCs w:val="28"/>
        </w:rPr>
        <w:t>veselības ministra</w:t>
      </w:r>
    </w:p>
    <w:p w14:paraId="62E4C505" w14:textId="77777777" w:rsidR="00331407" w:rsidRPr="00717B85" w:rsidRDefault="00331407" w:rsidP="00331407">
      <w:pPr>
        <w:pStyle w:val="naisf"/>
        <w:tabs>
          <w:tab w:val="left" w:pos="6521"/>
          <w:tab w:val="right" w:pos="8820"/>
        </w:tabs>
        <w:spacing w:before="0" w:after="0"/>
        <w:ind w:firstLine="709"/>
        <w:rPr>
          <w:sz w:val="28"/>
          <w:szCs w:val="28"/>
        </w:rPr>
      </w:pPr>
      <w:r w:rsidRPr="00717B85">
        <w:rPr>
          <w:sz w:val="28"/>
          <w:szCs w:val="28"/>
        </w:rPr>
        <w:t>pienākumu izpildītājs</w:t>
      </w:r>
      <w:r w:rsidRPr="00717B85">
        <w:rPr>
          <w:sz w:val="28"/>
          <w:szCs w:val="28"/>
        </w:rPr>
        <w:tab/>
        <w:t xml:space="preserve">Māris Kučinskis </w:t>
      </w:r>
    </w:p>
    <w:p w14:paraId="699A7FE1" w14:textId="77777777" w:rsidR="00331407" w:rsidRPr="00717B85" w:rsidRDefault="00331407" w:rsidP="00D17485">
      <w:pPr>
        <w:ind w:firstLine="709"/>
        <w:jc w:val="both"/>
        <w:rPr>
          <w:rFonts w:eastAsia="Calibri"/>
          <w:szCs w:val="28"/>
        </w:rPr>
      </w:pPr>
    </w:p>
    <w:p w14:paraId="6728D638" w14:textId="77777777" w:rsidR="00331407" w:rsidRPr="00717B85" w:rsidRDefault="00331407" w:rsidP="00D17485">
      <w:pPr>
        <w:ind w:firstLine="709"/>
        <w:jc w:val="both"/>
        <w:rPr>
          <w:rFonts w:eastAsia="Calibri"/>
          <w:szCs w:val="28"/>
        </w:rPr>
      </w:pPr>
    </w:p>
    <w:p w14:paraId="24AF095F" w14:textId="77777777" w:rsidR="00331407" w:rsidRPr="00717B85" w:rsidRDefault="00331407" w:rsidP="00D17485">
      <w:pPr>
        <w:ind w:firstLine="709"/>
        <w:jc w:val="both"/>
        <w:rPr>
          <w:rFonts w:eastAsia="Calibri"/>
          <w:szCs w:val="28"/>
        </w:rPr>
      </w:pPr>
    </w:p>
    <w:p w14:paraId="6A0751FC" w14:textId="77777777" w:rsidR="00331407" w:rsidRPr="00717B85" w:rsidRDefault="00331407" w:rsidP="00D17485">
      <w:pPr>
        <w:ind w:firstLine="709"/>
        <w:jc w:val="both"/>
        <w:rPr>
          <w:rFonts w:eastAsia="Calibri"/>
          <w:szCs w:val="28"/>
        </w:rPr>
      </w:pPr>
      <w:r w:rsidRPr="00717B85">
        <w:rPr>
          <w:rFonts w:eastAsia="Calibri"/>
          <w:szCs w:val="28"/>
        </w:rPr>
        <w:t>Ministru prezidenta biedrs,</w:t>
      </w:r>
    </w:p>
    <w:p w14:paraId="35E10D89" w14:textId="77777777" w:rsidR="00331407" w:rsidRPr="00717B85" w:rsidRDefault="00331407" w:rsidP="00331407">
      <w:pPr>
        <w:tabs>
          <w:tab w:val="left" w:pos="6521"/>
        </w:tabs>
        <w:ind w:firstLine="709"/>
        <w:jc w:val="both"/>
        <w:rPr>
          <w:rFonts w:eastAsia="Calibri"/>
          <w:szCs w:val="28"/>
        </w:rPr>
      </w:pPr>
      <w:r w:rsidRPr="00717B85">
        <w:rPr>
          <w:rFonts w:eastAsia="Calibri"/>
          <w:szCs w:val="28"/>
        </w:rPr>
        <w:t>ekonomikas ministrs</w:t>
      </w:r>
      <w:r w:rsidRPr="00717B85">
        <w:rPr>
          <w:rFonts w:eastAsia="Calibri"/>
          <w:szCs w:val="28"/>
        </w:rPr>
        <w:tab/>
        <w:t xml:space="preserve">Arvils </w:t>
      </w:r>
      <w:proofErr w:type="spellStart"/>
      <w:r w:rsidRPr="00717B85">
        <w:rPr>
          <w:rFonts w:eastAsia="Calibri"/>
          <w:szCs w:val="28"/>
        </w:rPr>
        <w:t>Ašeradens</w:t>
      </w:r>
      <w:proofErr w:type="spellEnd"/>
    </w:p>
    <w:sectPr w:rsidR="00331407" w:rsidRPr="00717B85" w:rsidSect="00331407">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0A88A" w14:textId="77777777" w:rsidR="00C02F5A" w:rsidRDefault="00C02F5A" w:rsidP="009D281C">
      <w:r>
        <w:separator/>
      </w:r>
    </w:p>
  </w:endnote>
  <w:endnote w:type="continuationSeparator" w:id="0">
    <w:p w14:paraId="3C3541BB" w14:textId="77777777" w:rsidR="00C02F5A" w:rsidRDefault="00C02F5A" w:rsidP="009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7854" w14:textId="6C9F4B5B" w:rsidR="00331407" w:rsidRPr="00331407" w:rsidRDefault="00331407">
    <w:pPr>
      <w:pStyle w:val="Footer"/>
      <w:rPr>
        <w:sz w:val="16"/>
        <w:szCs w:val="16"/>
      </w:rPr>
    </w:pPr>
    <w:r>
      <w:rPr>
        <w:sz w:val="16"/>
        <w:szCs w:val="16"/>
      </w:rPr>
      <w:t>N2810_7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C67B" w14:textId="77777777" w:rsidR="00331407" w:rsidRPr="00331407" w:rsidRDefault="00331407" w:rsidP="00331407">
    <w:pPr>
      <w:pStyle w:val="Footer"/>
      <w:rPr>
        <w:sz w:val="16"/>
        <w:szCs w:val="16"/>
      </w:rPr>
    </w:pPr>
    <w:r>
      <w:rPr>
        <w:sz w:val="16"/>
        <w:szCs w:val="16"/>
      </w:rPr>
      <w:t>N2810_7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8E4C6" w14:textId="77777777" w:rsidR="00C02F5A" w:rsidRDefault="00C02F5A" w:rsidP="009D281C">
      <w:r>
        <w:separator/>
      </w:r>
    </w:p>
  </w:footnote>
  <w:footnote w:type="continuationSeparator" w:id="0">
    <w:p w14:paraId="2CC95538" w14:textId="77777777" w:rsidR="00C02F5A" w:rsidRDefault="00C02F5A" w:rsidP="009D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10702"/>
      <w:docPartObj>
        <w:docPartGallery w:val="Page Numbers (Top of Page)"/>
        <w:docPartUnique/>
      </w:docPartObj>
    </w:sdtPr>
    <w:sdtEndPr>
      <w:rPr>
        <w:noProof/>
        <w:sz w:val="24"/>
        <w:szCs w:val="24"/>
      </w:rPr>
    </w:sdtEndPr>
    <w:sdtContent>
      <w:p w14:paraId="4F8A047B" w14:textId="2D254212" w:rsidR="00331407" w:rsidRPr="00331407" w:rsidRDefault="00331407">
        <w:pPr>
          <w:pStyle w:val="Header"/>
          <w:jc w:val="center"/>
          <w:rPr>
            <w:sz w:val="24"/>
            <w:szCs w:val="24"/>
          </w:rPr>
        </w:pPr>
        <w:r w:rsidRPr="00331407">
          <w:rPr>
            <w:sz w:val="24"/>
            <w:szCs w:val="24"/>
          </w:rPr>
          <w:fldChar w:fldCharType="begin"/>
        </w:r>
        <w:r w:rsidRPr="00331407">
          <w:rPr>
            <w:sz w:val="24"/>
            <w:szCs w:val="24"/>
          </w:rPr>
          <w:instrText xml:space="preserve"> PAGE   \* MERGEFORMAT </w:instrText>
        </w:r>
        <w:r w:rsidRPr="00331407">
          <w:rPr>
            <w:sz w:val="24"/>
            <w:szCs w:val="24"/>
          </w:rPr>
          <w:fldChar w:fldCharType="separate"/>
        </w:r>
        <w:r w:rsidR="00563D0C">
          <w:rPr>
            <w:noProof/>
            <w:sz w:val="24"/>
            <w:szCs w:val="24"/>
          </w:rPr>
          <w:t>2</w:t>
        </w:r>
        <w:r w:rsidRPr="00331407">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F99F1" w14:textId="70E2DE86" w:rsidR="00331407" w:rsidRDefault="00331407">
    <w:pPr>
      <w:pStyle w:val="Header"/>
      <w:rPr>
        <w:sz w:val="24"/>
        <w:szCs w:val="24"/>
      </w:rPr>
    </w:pPr>
  </w:p>
  <w:p w14:paraId="08050A88" w14:textId="50146B8A" w:rsidR="00331407" w:rsidRPr="00A142D0" w:rsidRDefault="00331407" w:rsidP="00501350">
    <w:pPr>
      <w:pStyle w:val="Header"/>
    </w:pPr>
    <w:r>
      <w:rPr>
        <w:noProof/>
        <w:lang w:eastAsia="lv-LV"/>
      </w:rPr>
      <w:drawing>
        <wp:inline distT="0" distB="0" distL="0" distR="0" wp14:anchorId="675376E5" wp14:editId="1CA3B99D">
          <wp:extent cx="5916295" cy="1036955"/>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2C0E"/>
    <w:multiLevelType w:val="hybridMultilevel"/>
    <w:tmpl w:val="554478E8"/>
    <w:lvl w:ilvl="0" w:tplc="E9BEABBC">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238B48C0"/>
    <w:multiLevelType w:val="hybridMultilevel"/>
    <w:tmpl w:val="F16A0BD2"/>
    <w:lvl w:ilvl="0" w:tplc="E7F8D7B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2DC35741"/>
    <w:multiLevelType w:val="hybridMultilevel"/>
    <w:tmpl w:val="773EFF0C"/>
    <w:lvl w:ilvl="0" w:tplc="FDFE881C">
      <w:start w:val="1"/>
      <w:numFmt w:val="decimal"/>
      <w:lvlText w:val="%1."/>
      <w:lvlJc w:val="left"/>
      <w:pPr>
        <w:ind w:left="786" w:hanging="360"/>
      </w:pPr>
      <w:rPr>
        <w:rFonts w:hint="default"/>
        <w:sz w:val="28"/>
        <w:szCs w:val="2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start w:val="1"/>
      <w:numFmt w:val="bullet"/>
      <w:lvlText w:val="o"/>
      <w:lvlJc w:val="left"/>
      <w:pPr>
        <w:ind w:left="1494" w:hanging="360"/>
      </w:pPr>
      <w:rPr>
        <w:rFonts w:ascii="Courier New" w:hAnsi="Courier New" w:cs="Courier New" w:hint="default"/>
      </w:rPr>
    </w:lvl>
    <w:lvl w:ilvl="2" w:tplc="04260005">
      <w:start w:val="1"/>
      <w:numFmt w:val="bullet"/>
      <w:lvlText w:val=""/>
      <w:lvlJc w:val="left"/>
      <w:pPr>
        <w:ind w:left="2214" w:hanging="360"/>
      </w:pPr>
      <w:rPr>
        <w:rFonts w:ascii="Wingdings" w:hAnsi="Wingdings" w:hint="default"/>
      </w:rPr>
    </w:lvl>
    <w:lvl w:ilvl="3" w:tplc="04260001">
      <w:start w:val="1"/>
      <w:numFmt w:val="bullet"/>
      <w:lvlText w:val=""/>
      <w:lvlJc w:val="left"/>
      <w:pPr>
        <w:ind w:left="2934" w:hanging="360"/>
      </w:pPr>
      <w:rPr>
        <w:rFonts w:ascii="Symbol" w:hAnsi="Symbol" w:hint="default"/>
      </w:rPr>
    </w:lvl>
    <w:lvl w:ilvl="4" w:tplc="04260003">
      <w:start w:val="1"/>
      <w:numFmt w:val="bullet"/>
      <w:lvlText w:val="o"/>
      <w:lvlJc w:val="left"/>
      <w:pPr>
        <w:ind w:left="3654" w:hanging="360"/>
      </w:pPr>
      <w:rPr>
        <w:rFonts w:ascii="Courier New" w:hAnsi="Courier New" w:cs="Courier New" w:hint="default"/>
      </w:rPr>
    </w:lvl>
    <w:lvl w:ilvl="5" w:tplc="04260005">
      <w:start w:val="1"/>
      <w:numFmt w:val="bullet"/>
      <w:lvlText w:val=""/>
      <w:lvlJc w:val="left"/>
      <w:pPr>
        <w:ind w:left="4374" w:hanging="360"/>
      </w:pPr>
      <w:rPr>
        <w:rFonts w:ascii="Wingdings" w:hAnsi="Wingdings" w:hint="default"/>
      </w:rPr>
    </w:lvl>
    <w:lvl w:ilvl="6" w:tplc="04260001">
      <w:start w:val="1"/>
      <w:numFmt w:val="bullet"/>
      <w:lvlText w:val=""/>
      <w:lvlJc w:val="left"/>
      <w:pPr>
        <w:ind w:left="5094" w:hanging="360"/>
      </w:pPr>
      <w:rPr>
        <w:rFonts w:ascii="Symbol" w:hAnsi="Symbol" w:hint="default"/>
      </w:rPr>
    </w:lvl>
    <w:lvl w:ilvl="7" w:tplc="04260003">
      <w:start w:val="1"/>
      <w:numFmt w:val="bullet"/>
      <w:lvlText w:val="o"/>
      <w:lvlJc w:val="left"/>
      <w:pPr>
        <w:ind w:left="5814" w:hanging="360"/>
      </w:pPr>
      <w:rPr>
        <w:rFonts w:ascii="Courier New" w:hAnsi="Courier New" w:cs="Courier New" w:hint="default"/>
      </w:rPr>
    </w:lvl>
    <w:lvl w:ilvl="8" w:tplc="04260005">
      <w:start w:val="1"/>
      <w:numFmt w:val="bullet"/>
      <w:lvlText w:val=""/>
      <w:lvlJc w:val="left"/>
      <w:pPr>
        <w:ind w:left="6534" w:hanging="360"/>
      </w:pPr>
      <w:rPr>
        <w:rFonts w:ascii="Wingdings" w:hAnsi="Wingdings" w:hint="default"/>
      </w:rPr>
    </w:lvl>
  </w:abstractNum>
  <w:abstractNum w:abstractNumId="4">
    <w:nsid w:val="419F4085"/>
    <w:multiLevelType w:val="hybridMultilevel"/>
    <w:tmpl w:val="79DC59DE"/>
    <w:lvl w:ilvl="0" w:tplc="DB468BCC">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4C0A4EF9"/>
    <w:multiLevelType w:val="hybridMultilevel"/>
    <w:tmpl w:val="01EE6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0F759FA"/>
    <w:multiLevelType w:val="hybridMultilevel"/>
    <w:tmpl w:val="98A8E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29F61C4"/>
    <w:multiLevelType w:val="hybridMultilevel"/>
    <w:tmpl w:val="9E7C93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C1F6D09"/>
    <w:multiLevelType w:val="hybridMultilevel"/>
    <w:tmpl w:val="EA78A444"/>
    <w:lvl w:ilvl="0" w:tplc="77521E18">
      <w:start w:val="1"/>
      <w:numFmt w:val="decimal"/>
      <w:lvlText w:val="%1."/>
      <w:lvlJc w:val="left"/>
      <w:pPr>
        <w:ind w:left="768" w:hanging="408"/>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237798D"/>
    <w:multiLevelType w:val="hybridMultilevel"/>
    <w:tmpl w:val="B7A267EA"/>
    <w:lvl w:ilvl="0" w:tplc="A05ED0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nsid w:val="776E13A9"/>
    <w:multiLevelType w:val="hybridMultilevel"/>
    <w:tmpl w:val="638C8A88"/>
    <w:lvl w:ilvl="0" w:tplc="C9B6E616">
      <w:start w:val="1"/>
      <w:numFmt w:val="decimal"/>
      <w:lvlText w:val="%1."/>
      <w:lvlJc w:val="left"/>
      <w:pPr>
        <w:ind w:left="660" w:hanging="360"/>
      </w:pPr>
      <w:rPr>
        <w:rFonts w:eastAsiaTheme="minorHAnsi" w:cstheme="minorBid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2">
    <w:nsid w:val="786042FF"/>
    <w:multiLevelType w:val="hybridMultilevel"/>
    <w:tmpl w:val="3FE48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12"/>
  </w:num>
  <w:num w:numId="6">
    <w:abstractNumId w:val="8"/>
  </w:num>
  <w:num w:numId="7">
    <w:abstractNumId w:val="9"/>
  </w:num>
  <w:num w:numId="8">
    <w:abstractNumId w:val="3"/>
  </w:num>
  <w:num w:numId="9">
    <w:abstractNumId w:val="6"/>
  </w:num>
  <w:num w:numId="10">
    <w:abstractNumId w:val="4"/>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7D"/>
    <w:rsid w:val="00000202"/>
    <w:rsid w:val="00006567"/>
    <w:rsid w:val="00006CCA"/>
    <w:rsid w:val="00007EA4"/>
    <w:rsid w:val="00010BD0"/>
    <w:rsid w:val="00011522"/>
    <w:rsid w:val="00013933"/>
    <w:rsid w:val="00016616"/>
    <w:rsid w:val="000167FC"/>
    <w:rsid w:val="0002052C"/>
    <w:rsid w:val="0002063A"/>
    <w:rsid w:val="0002434F"/>
    <w:rsid w:val="00024AE4"/>
    <w:rsid w:val="00030D70"/>
    <w:rsid w:val="00031058"/>
    <w:rsid w:val="000311E2"/>
    <w:rsid w:val="000320B3"/>
    <w:rsid w:val="00033C75"/>
    <w:rsid w:val="00037FD7"/>
    <w:rsid w:val="0004047F"/>
    <w:rsid w:val="00040EC6"/>
    <w:rsid w:val="00053C0D"/>
    <w:rsid w:val="00057A37"/>
    <w:rsid w:val="000649A3"/>
    <w:rsid w:val="00074081"/>
    <w:rsid w:val="00076E28"/>
    <w:rsid w:val="00077B1E"/>
    <w:rsid w:val="00096FF9"/>
    <w:rsid w:val="000A0702"/>
    <w:rsid w:val="000A123C"/>
    <w:rsid w:val="000A31D8"/>
    <w:rsid w:val="000A3782"/>
    <w:rsid w:val="000A40D1"/>
    <w:rsid w:val="000A7F47"/>
    <w:rsid w:val="000B0BE7"/>
    <w:rsid w:val="000B0DE8"/>
    <w:rsid w:val="000C2256"/>
    <w:rsid w:val="000D053D"/>
    <w:rsid w:val="000D312C"/>
    <w:rsid w:val="000D4050"/>
    <w:rsid w:val="000E33D5"/>
    <w:rsid w:val="000F049E"/>
    <w:rsid w:val="000F1DF7"/>
    <w:rsid w:val="000F2AF1"/>
    <w:rsid w:val="000F519D"/>
    <w:rsid w:val="00105456"/>
    <w:rsid w:val="00110FF3"/>
    <w:rsid w:val="001145FB"/>
    <w:rsid w:val="001148DB"/>
    <w:rsid w:val="0011566B"/>
    <w:rsid w:val="001215B1"/>
    <w:rsid w:val="001233E8"/>
    <w:rsid w:val="0012373F"/>
    <w:rsid w:val="00126036"/>
    <w:rsid w:val="0012626A"/>
    <w:rsid w:val="00127CAA"/>
    <w:rsid w:val="0013425F"/>
    <w:rsid w:val="00135ED8"/>
    <w:rsid w:val="00137F51"/>
    <w:rsid w:val="001423CC"/>
    <w:rsid w:val="00155809"/>
    <w:rsid w:val="00156F1F"/>
    <w:rsid w:val="00165459"/>
    <w:rsid w:val="0017255C"/>
    <w:rsid w:val="00172F2F"/>
    <w:rsid w:val="00180FFB"/>
    <w:rsid w:val="00184CE0"/>
    <w:rsid w:val="00186E07"/>
    <w:rsid w:val="00192593"/>
    <w:rsid w:val="00196169"/>
    <w:rsid w:val="001A0152"/>
    <w:rsid w:val="001A3F65"/>
    <w:rsid w:val="001B01A1"/>
    <w:rsid w:val="001B2CDE"/>
    <w:rsid w:val="001C155B"/>
    <w:rsid w:val="001C161E"/>
    <w:rsid w:val="001C717D"/>
    <w:rsid w:val="001C71B4"/>
    <w:rsid w:val="001C7979"/>
    <w:rsid w:val="001C7BB3"/>
    <w:rsid w:val="001D0874"/>
    <w:rsid w:val="001D0919"/>
    <w:rsid w:val="001E69E1"/>
    <w:rsid w:val="001F1A69"/>
    <w:rsid w:val="001F5A35"/>
    <w:rsid w:val="00202049"/>
    <w:rsid w:val="00203108"/>
    <w:rsid w:val="00203C97"/>
    <w:rsid w:val="002043DE"/>
    <w:rsid w:val="0021788A"/>
    <w:rsid w:val="00224C61"/>
    <w:rsid w:val="0022582B"/>
    <w:rsid w:val="00225FDC"/>
    <w:rsid w:val="002311C1"/>
    <w:rsid w:val="00234E9A"/>
    <w:rsid w:val="00240066"/>
    <w:rsid w:val="00242752"/>
    <w:rsid w:val="00242C43"/>
    <w:rsid w:val="00253760"/>
    <w:rsid w:val="002540CB"/>
    <w:rsid w:val="0025436A"/>
    <w:rsid w:val="00260ADD"/>
    <w:rsid w:val="002649C9"/>
    <w:rsid w:val="00264C1A"/>
    <w:rsid w:val="00265201"/>
    <w:rsid w:val="00265E57"/>
    <w:rsid w:val="00275025"/>
    <w:rsid w:val="00275454"/>
    <w:rsid w:val="00277F32"/>
    <w:rsid w:val="00280C34"/>
    <w:rsid w:val="00282F29"/>
    <w:rsid w:val="00285722"/>
    <w:rsid w:val="00292505"/>
    <w:rsid w:val="00295ABF"/>
    <w:rsid w:val="002A247F"/>
    <w:rsid w:val="002B2CCE"/>
    <w:rsid w:val="002B41EB"/>
    <w:rsid w:val="002B76EF"/>
    <w:rsid w:val="002C075C"/>
    <w:rsid w:val="002C1DDD"/>
    <w:rsid w:val="002C3548"/>
    <w:rsid w:val="002C3B5A"/>
    <w:rsid w:val="002E025A"/>
    <w:rsid w:val="002E24B2"/>
    <w:rsid w:val="002E3157"/>
    <w:rsid w:val="002E5405"/>
    <w:rsid w:val="002F52C9"/>
    <w:rsid w:val="002F68E4"/>
    <w:rsid w:val="0030003B"/>
    <w:rsid w:val="00302478"/>
    <w:rsid w:val="00310E58"/>
    <w:rsid w:val="00312C6B"/>
    <w:rsid w:val="00315E29"/>
    <w:rsid w:val="00317FE5"/>
    <w:rsid w:val="0032067F"/>
    <w:rsid w:val="0032378D"/>
    <w:rsid w:val="00325E0C"/>
    <w:rsid w:val="00331407"/>
    <w:rsid w:val="00333AB9"/>
    <w:rsid w:val="0034137D"/>
    <w:rsid w:val="00344FFF"/>
    <w:rsid w:val="00353488"/>
    <w:rsid w:val="00356D00"/>
    <w:rsid w:val="00356E88"/>
    <w:rsid w:val="00356F66"/>
    <w:rsid w:val="003704EE"/>
    <w:rsid w:val="00372D57"/>
    <w:rsid w:val="00374A76"/>
    <w:rsid w:val="00374A96"/>
    <w:rsid w:val="00375D46"/>
    <w:rsid w:val="00380645"/>
    <w:rsid w:val="00382539"/>
    <w:rsid w:val="00383440"/>
    <w:rsid w:val="003842E0"/>
    <w:rsid w:val="00390BC0"/>
    <w:rsid w:val="0039253F"/>
    <w:rsid w:val="0039326B"/>
    <w:rsid w:val="003A0F1A"/>
    <w:rsid w:val="003A2117"/>
    <w:rsid w:val="003A355B"/>
    <w:rsid w:val="003A76CB"/>
    <w:rsid w:val="003A77D1"/>
    <w:rsid w:val="003B1DDD"/>
    <w:rsid w:val="003B2264"/>
    <w:rsid w:val="003C136C"/>
    <w:rsid w:val="003C419B"/>
    <w:rsid w:val="003D21E0"/>
    <w:rsid w:val="003D6B7B"/>
    <w:rsid w:val="003E2AF9"/>
    <w:rsid w:val="003E3242"/>
    <w:rsid w:val="003E6A9A"/>
    <w:rsid w:val="003E7091"/>
    <w:rsid w:val="003F4939"/>
    <w:rsid w:val="00401473"/>
    <w:rsid w:val="0040161C"/>
    <w:rsid w:val="0040447F"/>
    <w:rsid w:val="00407630"/>
    <w:rsid w:val="004116C3"/>
    <w:rsid w:val="00413A14"/>
    <w:rsid w:val="00423889"/>
    <w:rsid w:val="00426DCB"/>
    <w:rsid w:val="004275B4"/>
    <w:rsid w:val="0043163E"/>
    <w:rsid w:val="0044512F"/>
    <w:rsid w:val="004527E3"/>
    <w:rsid w:val="004566D1"/>
    <w:rsid w:val="004567AC"/>
    <w:rsid w:val="00457CBD"/>
    <w:rsid w:val="004602ED"/>
    <w:rsid w:val="00463B2F"/>
    <w:rsid w:val="00464526"/>
    <w:rsid w:val="00465117"/>
    <w:rsid w:val="00466924"/>
    <w:rsid w:val="00470133"/>
    <w:rsid w:val="00473299"/>
    <w:rsid w:val="00474DA0"/>
    <w:rsid w:val="00483736"/>
    <w:rsid w:val="0049215E"/>
    <w:rsid w:val="004923AB"/>
    <w:rsid w:val="004963BC"/>
    <w:rsid w:val="0049703F"/>
    <w:rsid w:val="004A0E33"/>
    <w:rsid w:val="004A281B"/>
    <w:rsid w:val="004B0CE7"/>
    <w:rsid w:val="004B1309"/>
    <w:rsid w:val="004B3761"/>
    <w:rsid w:val="004B6A46"/>
    <w:rsid w:val="004C34BE"/>
    <w:rsid w:val="004C51D0"/>
    <w:rsid w:val="004C74CC"/>
    <w:rsid w:val="004D2F94"/>
    <w:rsid w:val="004D31A6"/>
    <w:rsid w:val="004E055C"/>
    <w:rsid w:val="004E1D3A"/>
    <w:rsid w:val="004E4492"/>
    <w:rsid w:val="004F0D60"/>
    <w:rsid w:val="004F1A9F"/>
    <w:rsid w:val="004F3874"/>
    <w:rsid w:val="004F483F"/>
    <w:rsid w:val="005015B6"/>
    <w:rsid w:val="005072C5"/>
    <w:rsid w:val="0052373D"/>
    <w:rsid w:val="005304FC"/>
    <w:rsid w:val="00532B29"/>
    <w:rsid w:val="0053361B"/>
    <w:rsid w:val="0053790C"/>
    <w:rsid w:val="00542BE9"/>
    <w:rsid w:val="00547BA9"/>
    <w:rsid w:val="0055071B"/>
    <w:rsid w:val="00551771"/>
    <w:rsid w:val="00553B7F"/>
    <w:rsid w:val="00554181"/>
    <w:rsid w:val="005545FC"/>
    <w:rsid w:val="005621FB"/>
    <w:rsid w:val="00563D0C"/>
    <w:rsid w:val="00563DC4"/>
    <w:rsid w:val="005652A4"/>
    <w:rsid w:val="005652EF"/>
    <w:rsid w:val="005710D3"/>
    <w:rsid w:val="00572698"/>
    <w:rsid w:val="00576C68"/>
    <w:rsid w:val="005805E2"/>
    <w:rsid w:val="0058707F"/>
    <w:rsid w:val="0058766D"/>
    <w:rsid w:val="00592873"/>
    <w:rsid w:val="0059685D"/>
    <w:rsid w:val="005A52A9"/>
    <w:rsid w:val="005A6937"/>
    <w:rsid w:val="005B5519"/>
    <w:rsid w:val="005B7CFB"/>
    <w:rsid w:val="005C0C31"/>
    <w:rsid w:val="005C295B"/>
    <w:rsid w:val="005C50E7"/>
    <w:rsid w:val="005D029D"/>
    <w:rsid w:val="005D0328"/>
    <w:rsid w:val="005D0959"/>
    <w:rsid w:val="005D0C07"/>
    <w:rsid w:val="005D2B7A"/>
    <w:rsid w:val="005D3255"/>
    <w:rsid w:val="005D6D73"/>
    <w:rsid w:val="005D7DAD"/>
    <w:rsid w:val="005E3F9E"/>
    <w:rsid w:val="005E7EBC"/>
    <w:rsid w:val="005F5238"/>
    <w:rsid w:val="005F5C9B"/>
    <w:rsid w:val="00600D90"/>
    <w:rsid w:val="00602F38"/>
    <w:rsid w:val="00610EBB"/>
    <w:rsid w:val="00615072"/>
    <w:rsid w:val="006203A9"/>
    <w:rsid w:val="006221E4"/>
    <w:rsid w:val="00626C8C"/>
    <w:rsid w:val="00637CC6"/>
    <w:rsid w:val="00647822"/>
    <w:rsid w:val="006545F2"/>
    <w:rsid w:val="00661D58"/>
    <w:rsid w:val="0066779C"/>
    <w:rsid w:val="00672B76"/>
    <w:rsid w:val="0068327D"/>
    <w:rsid w:val="00684D9C"/>
    <w:rsid w:val="0068612A"/>
    <w:rsid w:val="0069079E"/>
    <w:rsid w:val="0069278E"/>
    <w:rsid w:val="00692A67"/>
    <w:rsid w:val="006A1DE0"/>
    <w:rsid w:val="006A6C44"/>
    <w:rsid w:val="006B4043"/>
    <w:rsid w:val="006C2E81"/>
    <w:rsid w:val="006C70BD"/>
    <w:rsid w:val="006D4189"/>
    <w:rsid w:val="006E191D"/>
    <w:rsid w:val="006E1C93"/>
    <w:rsid w:val="006E35AD"/>
    <w:rsid w:val="006E6E1B"/>
    <w:rsid w:val="006E74C0"/>
    <w:rsid w:val="006F1465"/>
    <w:rsid w:val="006F2A3E"/>
    <w:rsid w:val="006F4FAF"/>
    <w:rsid w:val="00700E1A"/>
    <w:rsid w:val="00700F3A"/>
    <w:rsid w:val="00704054"/>
    <w:rsid w:val="00706DCF"/>
    <w:rsid w:val="00710669"/>
    <w:rsid w:val="007132F2"/>
    <w:rsid w:val="00714CCC"/>
    <w:rsid w:val="00717B85"/>
    <w:rsid w:val="00723E78"/>
    <w:rsid w:val="00724B1D"/>
    <w:rsid w:val="007250BF"/>
    <w:rsid w:val="0072557E"/>
    <w:rsid w:val="00725D79"/>
    <w:rsid w:val="0073199A"/>
    <w:rsid w:val="007343D2"/>
    <w:rsid w:val="00734B1B"/>
    <w:rsid w:val="0074039F"/>
    <w:rsid w:val="00741554"/>
    <w:rsid w:val="00747D2B"/>
    <w:rsid w:val="0075164F"/>
    <w:rsid w:val="0075231C"/>
    <w:rsid w:val="0075283C"/>
    <w:rsid w:val="00753018"/>
    <w:rsid w:val="00754A95"/>
    <w:rsid w:val="00761897"/>
    <w:rsid w:val="00775A4C"/>
    <w:rsid w:val="007760A0"/>
    <w:rsid w:val="0077680D"/>
    <w:rsid w:val="00785827"/>
    <w:rsid w:val="00790597"/>
    <w:rsid w:val="00792436"/>
    <w:rsid w:val="00794CDB"/>
    <w:rsid w:val="00796355"/>
    <w:rsid w:val="0079671E"/>
    <w:rsid w:val="007A0480"/>
    <w:rsid w:val="007A28B9"/>
    <w:rsid w:val="007A3614"/>
    <w:rsid w:val="007A37BB"/>
    <w:rsid w:val="007A4892"/>
    <w:rsid w:val="007A5F34"/>
    <w:rsid w:val="007A7435"/>
    <w:rsid w:val="007B0B31"/>
    <w:rsid w:val="007B0EDE"/>
    <w:rsid w:val="007B4262"/>
    <w:rsid w:val="007B5BC0"/>
    <w:rsid w:val="007B5EDA"/>
    <w:rsid w:val="007B5F68"/>
    <w:rsid w:val="007C2502"/>
    <w:rsid w:val="007C642B"/>
    <w:rsid w:val="007D12A0"/>
    <w:rsid w:val="007D40A8"/>
    <w:rsid w:val="007D4158"/>
    <w:rsid w:val="007D59F2"/>
    <w:rsid w:val="007D62C3"/>
    <w:rsid w:val="007E2F96"/>
    <w:rsid w:val="007E425E"/>
    <w:rsid w:val="007E6D5E"/>
    <w:rsid w:val="007E7F62"/>
    <w:rsid w:val="008006B2"/>
    <w:rsid w:val="00804C51"/>
    <w:rsid w:val="008103DA"/>
    <w:rsid w:val="00811925"/>
    <w:rsid w:val="00816BB9"/>
    <w:rsid w:val="008237DF"/>
    <w:rsid w:val="008417CE"/>
    <w:rsid w:val="00844C54"/>
    <w:rsid w:val="0085135A"/>
    <w:rsid w:val="008533B8"/>
    <w:rsid w:val="00854C2A"/>
    <w:rsid w:val="00865DFA"/>
    <w:rsid w:val="00870C42"/>
    <w:rsid w:val="00872F4F"/>
    <w:rsid w:val="008831D9"/>
    <w:rsid w:val="00885A3C"/>
    <w:rsid w:val="00892970"/>
    <w:rsid w:val="008955D1"/>
    <w:rsid w:val="008A1046"/>
    <w:rsid w:val="008A341F"/>
    <w:rsid w:val="008A5D46"/>
    <w:rsid w:val="008B06F5"/>
    <w:rsid w:val="008B074C"/>
    <w:rsid w:val="008B2078"/>
    <w:rsid w:val="008B6F12"/>
    <w:rsid w:val="008C0A52"/>
    <w:rsid w:val="008C31A6"/>
    <w:rsid w:val="008D3FFE"/>
    <w:rsid w:val="008D60D6"/>
    <w:rsid w:val="008D778C"/>
    <w:rsid w:val="008E0212"/>
    <w:rsid w:val="008E067B"/>
    <w:rsid w:val="008E0E66"/>
    <w:rsid w:val="008E35BE"/>
    <w:rsid w:val="008F2765"/>
    <w:rsid w:val="008F7FDF"/>
    <w:rsid w:val="009029AD"/>
    <w:rsid w:val="009059A9"/>
    <w:rsid w:val="009124E5"/>
    <w:rsid w:val="00913207"/>
    <w:rsid w:val="009138FA"/>
    <w:rsid w:val="009164D6"/>
    <w:rsid w:val="009179BC"/>
    <w:rsid w:val="00934FC5"/>
    <w:rsid w:val="00935AEC"/>
    <w:rsid w:val="0093720F"/>
    <w:rsid w:val="00942B19"/>
    <w:rsid w:val="009440A7"/>
    <w:rsid w:val="00952581"/>
    <w:rsid w:val="009571E0"/>
    <w:rsid w:val="00957C0B"/>
    <w:rsid w:val="009602DA"/>
    <w:rsid w:val="00961D6B"/>
    <w:rsid w:val="009626DE"/>
    <w:rsid w:val="0097134D"/>
    <w:rsid w:val="00972B71"/>
    <w:rsid w:val="00973E75"/>
    <w:rsid w:val="009810E4"/>
    <w:rsid w:val="00981752"/>
    <w:rsid w:val="009852FF"/>
    <w:rsid w:val="00986926"/>
    <w:rsid w:val="00987509"/>
    <w:rsid w:val="009877DD"/>
    <w:rsid w:val="009A71C5"/>
    <w:rsid w:val="009B075F"/>
    <w:rsid w:val="009B16A6"/>
    <w:rsid w:val="009B3B8A"/>
    <w:rsid w:val="009C0FC3"/>
    <w:rsid w:val="009C133F"/>
    <w:rsid w:val="009C135E"/>
    <w:rsid w:val="009C6AA3"/>
    <w:rsid w:val="009D0998"/>
    <w:rsid w:val="009D281C"/>
    <w:rsid w:val="009E7EA8"/>
    <w:rsid w:val="009F5602"/>
    <w:rsid w:val="009F59B8"/>
    <w:rsid w:val="00A07EE7"/>
    <w:rsid w:val="00A13BC5"/>
    <w:rsid w:val="00A1669E"/>
    <w:rsid w:val="00A21983"/>
    <w:rsid w:val="00A26072"/>
    <w:rsid w:val="00A274BB"/>
    <w:rsid w:val="00A32428"/>
    <w:rsid w:val="00A354E4"/>
    <w:rsid w:val="00A37BAA"/>
    <w:rsid w:val="00A40AA8"/>
    <w:rsid w:val="00A42DA1"/>
    <w:rsid w:val="00A43537"/>
    <w:rsid w:val="00A4530C"/>
    <w:rsid w:val="00A45BA8"/>
    <w:rsid w:val="00A47305"/>
    <w:rsid w:val="00A51395"/>
    <w:rsid w:val="00A55C4E"/>
    <w:rsid w:val="00A6011C"/>
    <w:rsid w:val="00A606F1"/>
    <w:rsid w:val="00A64FEE"/>
    <w:rsid w:val="00A74CD3"/>
    <w:rsid w:val="00A77F00"/>
    <w:rsid w:val="00A80494"/>
    <w:rsid w:val="00A81DE3"/>
    <w:rsid w:val="00A87313"/>
    <w:rsid w:val="00A908FB"/>
    <w:rsid w:val="00A94BD1"/>
    <w:rsid w:val="00A95CEF"/>
    <w:rsid w:val="00AA3FB7"/>
    <w:rsid w:val="00AA6F91"/>
    <w:rsid w:val="00AB1782"/>
    <w:rsid w:val="00AB1FF7"/>
    <w:rsid w:val="00AB4012"/>
    <w:rsid w:val="00AC080B"/>
    <w:rsid w:val="00AC1057"/>
    <w:rsid w:val="00AC33DF"/>
    <w:rsid w:val="00AC57A2"/>
    <w:rsid w:val="00AD2561"/>
    <w:rsid w:val="00AD6EB8"/>
    <w:rsid w:val="00AE1052"/>
    <w:rsid w:val="00AF3A15"/>
    <w:rsid w:val="00B0245B"/>
    <w:rsid w:val="00B039DC"/>
    <w:rsid w:val="00B058A4"/>
    <w:rsid w:val="00B07CA0"/>
    <w:rsid w:val="00B10E55"/>
    <w:rsid w:val="00B1527A"/>
    <w:rsid w:val="00B24AA4"/>
    <w:rsid w:val="00B25A01"/>
    <w:rsid w:val="00B30294"/>
    <w:rsid w:val="00B400AF"/>
    <w:rsid w:val="00B401D0"/>
    <w:rsid w:val="00B42C3B"/>
    <w:rsid w:val="00B5259B"/>
    <w:rsid w:val="00B673AE"/>
    <w:rsid w:val="00B73F9A"/>
    <w:rsid w:val="00B74911"/>
    <w:rsid w:val="00B8090E"/>
    <w:rsid w:val="00B82F92"/>
    <w:rsid w:val="00B834CA"/>
    <w:rsid w:val="00B869D9"/>
    <w:rsid w:val="00B93A45"/>
    <w:rsid w:val="00B96ADE"/>
    <w:rsid w:val="00BA1DB0"/>
    <w:rsid w:val="00BA5E71"/>
    <w:rsid w:val="00BA684A"/>
    <w:rsid w:val="00BA6B96"/>
    <w:rsid w:val="00BB00C4"/>
    <w:rsid w:val="00BB3397"/>
    <w:rsid w:val="00BC1BBE"/>
    <w:rsid w:val="00BD2329"/>
    <w:rsid w:val="00BD2CC3"/>
    <w:rsid w:val="00BD5960"/>
    <w:rsid w:val="00BD6296"/>
    <w:rsid w:val="00BE00BA"/>
    <w:rsid w:val="00BE0FB0"/>
    <w:rsid w:val="00BF2B29"/>
    <w:rsid w:val="00BF2BCC"/>
    <w:rsid w:val="00BF7361"/>
    <w:rsid w:val="00C02F5A"/>
    <w:rsid w:val="00C04108"/>
    <w:rsid w:val="00C07B41"/>
    <w:rsid w:val="00C131AC"/>
    <w:rsid w:val="00C14873"/>
    <w:rsid w:val="00C16A25"/>
    <w:rsid w:val="00C23730"/>
    <w:rsid w:val="00C23D74"/>
    <w:rsid w:val="00C244CE"/>
    <w:rsid w:val="00C279F1"/>
    <w:rsid w:val="00C33CED"/>
    <w:rsid w:val="00C36D14"/>
    <w:rsid w:val="00C41F97"/>
    <w:rsid w:val="00C43B3E"/>
    <w:rsid w:val="00C47109"/>
    <w:rsid w:val="00C51577"/>
    <w:rsid w:val="00C562FE"/>
    <w:rsid w:val="00C57225"/>
    <w:rsid w:val="00C61E88"/>
    <w:rsid w:val="00C7632C"/>
    <w:rsid w:val="00C76820"/>
    <w:rsid w:val="00C769ED"/>
    <w:rsid w:val="00C77DE1"/>
    <w:rsid w:val="00C80896"/>
    <w:rsid w:val="00C8489E"/>
    <w:rsid w:val="00C859D3"/>
    <w:rsid w:val="00C85E64"/>
    <w:rsid w:val="00C901C2"/>
    <w:rsid w:val="00C905A0"/>
    <w:rsid w:val="00C932AD"/>
    <w:rsid w:val="00CA2DE8"/>
    <w:rsid w:val="00CA5A90"/>
    <w:rsid w:val="00CA5DAA"/>
    <w:rsid w:val="00CA773D"/>
    <w:rsid w:val="00CA7F48"/>
    <w:rsid w:val="00CB156D"/>
    <w:rsid w:val="00CB2A36"/>
    <w:rsid w:val="00CC0D60"/>
    <w:rsid w:val="00CC1360"/>
    <w:rsid w:val="00CC1383"/>
    <w:rsid w:val="00CC1CF3"/>
    <w:rsid w:val="00CC1DDE"/>
    <w:rsid w:val="00CC22F9"/>
    <w:rsid w:val="00CC5FE8"/>
    <w:rsid w:val="00CD2840"/>
    <w:rsid w:val="00CD645E"/>
    <w:rsid w:val="00CE43B1"/>
    <w:rsid w:val="00CE6C2A"/>
    <w:rsid w:val="00CF05BB"/>
    <w:rsid w:val="00CF3AF8"/>
    <w:rsid w:val="00CF5A06"/>
    <w:rsid w:val="00CF5EC2"/>
    <w:rsid w:val="00CF7D8F"/>
    <w:rsid w:val="00D0744C"/>
    <w:rsid w:val="00D075C3"/>
    <w:rsid w:val="00D15E71"/>
    <w:rsid w:val="00D233B1"/>
    <w:rsid w:val="00D24273"/>
    <w:rsid w:val="00D30A7E"/>
    <w:rsid w:val="00D34F97"/>
    <w:rsid w:val="00D441A1"/>
    <w:rsid w:val="00D44726"/>
    <w:rsid w:val="00D52F98"/>
    <w:rsid w:val="00D5362C"/>
    <w:rsid w:val="00D64311"/>
    <w:rsid w:val="00D652F0"/>
    <w:rsid w:val="00D66147"/>
    <w:rsid w:val="00D7020D"/>
    <w:rsid w:val="00D80F73"/>
    <w:rsid w:val="00D81527"/>
    <w:rsid w:val="00D82019"/>
    <w:rsid w:val="00D849E6"/>
    <w:rsid w:val="00D873E7"/>
    <w:rsid w:val="00D928CA"/>
    <w:rsid w:val="00DA22A2"/>
    <w:rsid w:val="00DA67D7"/>
    <w:rsid w:val="00DB52F5"/>
    <w:rsid w:val="00DC2464"/>
    <w:rsid w:val="00DC78D1"/>
    <w:rsid w:val="00DC7A44"/>
    <w:rsid w:val="00DD275B"/>
    <w:rsid w:val="00DD48B3"/>
    <w:rsid w:val="00DD7208"/>
    <w:rsid w:val="00DE2F27"/>
    <w:rsid w:val="00DE31E4"/>
    <w:rsid w:val="00DE4B76"/>
    <w:rsid w:val="00DF0C13"/>
    <w:rsid w:val="00DF155C"/>
    <w:rsid w:val="00DF2D12"/>
    <w:rsid w:val="00DF50F5"/>
    <w:rsid w:val="00DF5404"/>
    <w:rsid w:val="00DF5FF0"/>
    <w:rsid w:val="00DF6602"/>
    <w:rsid w:val="00DF7613"/>
    <w:rsid w:val="00E14726"/>
    <w:rsid w:val="00E208A1"/>
    <w:rsid w:val="00E22CA5"/>
    <w:rsid w:val="00E2412E"/>
    <w:rsid w:val="00E25667"/>
    <w:rsid w:val="00E26E0D"/>
    <w:rsid w:val="00E300AE"/>
    <w:rsid w:val="00E31BFF"/>
    <w:rsid w:val="00E350DE"/>
    <w:rsid w:val="00E422AC"/>
    <w:rsid w:val="00E426F6"/>
    <w:rsid w:val="00E44ED5"/>
    <w:rsid w:val="00E50D06"/>
    <w:rsid w:val="00E51383"/>
    <w:rsid w:val="00E63DD2"/>
    <w:rsid w:val="00E67956"/>
    <w:rsid w:val="00E734F7"/>
    <w:rsid w:val="00E81279"/>
    <w:rsid w:val="00E8256B"/>
    <w:rsid w:val="00E82E3D"/>
    <w:rsid w:val="00E849DE"/>
    <w:rsid w:val="00E86055"/>
    <w:rsid w:val="00E87E61"/>
    <w:rsid w:val="00E90AA5"/>
    <w:rsid w:val="00E9604B"/>
    <w:rsid w:val="00E96639"/>
    <w:rsid w:val="00EA5B7A"/>
    <w:rsid w:val="00EB3ABA"/>
    <w:rsid w:val="00EB4EDC"/>
    <w:rsid w:val="00EB5A2B"/>
    <w:rsid w:val="00EC13C9"/>
    <w:rsid w:val="00EC1A63"/>
    <w:rsid w:val="00EC2E81"/>
    <w:rsid w:val="00EC7661"/>
    <w:rsid w:val="00ED03C9"/>
    <w:rsid w:val="00ED52D3"/>
    <w:rsid w:val="00EE460D"/>
    <w:rsid w:val="00EE5027"/>
    <w:rsid w:val="00EF03B8"/>
    <w:rsid w:val="00EF1724"/>
    <w:rsid w:val="00EF187F"/>
    <w:rsid w:val="00EF2B6B"/>
    <w:rsid w:val="00EF33E5"/>
    <w:rsid w:val="00EF34C6"/>
    <w:rsid w:val="00EF723D"/>
    <w:rsid w:val="00F01361"/>
    <w:rsid w:val="00F04411"/>
    <w:rsid w:val="00F049D4"/>
    <w:rsid w:val="00F0556E"/>
    <w:rsid w:val="00F05BCF"/>
    <w:rsid w:val="00F15075"/>
    <w:rsid w:val="00F15C7D"/>
    <w:rsid w:val="00F15DC8"/>
    <w:rsid w:val="00F1708D"/>
    <w:rsid w:val="00F1757D"/>
    <w:rsid w:val="00F20541"/>
    <w:rsid w:val="00F21AC6"/>
    <w:rsid w:val="00F232B0"/>
    <w:rsid w:val="00F23B31"/>
    <w:rsid w:val="00F303B1"/>
    <w:rsid w:val="00F32A62"/>
    <w:rsid w:val="00F33965"/>
    <w:rsid w:val="00F35426"/>
    <w:rsid w:val="00F46C3B"/>
    <w:rsid w:val="00F507B3"/>
    <w:rsid w:val="00F51123"/>
    <w:rsid w:val="00F53F62"/>
    <w:rsid w:val="00F56087"/>
    <w:rsid w:val="00F604D5"/>
    <w:rsid w:val="00F60BEA"/>
    <w:rsid w:val="00F635AE"/>
    <w:rsid w:val="00F73AE7"/>
    <w:rsid w:val="00F76FFA"/>
    <w:rsid w:val="00F804BA"/>
    <w:rsid w:val="00F8229C"/>
    <w:rsid w:val="00F84134"/>
    <w:rsid w:val="00F868C9"/>
    <w:rsid w:val="00F90B0B"/>
    <w:rsid w:val="00F90DD2"/>
    <w:rsid w:val="00F936D7"/>
    <w:rsid w:val="00F947B4"/>
    <w:rsid w:val="00FA6990"/>
    <w:rsid w:val="00FA7944"/>
    <w:rsid w:val="00FB0AE8"/>
    <w:rsid w:val="00FC401B"/>
    <w:rsid w:val="00FC44C0"/>
    <w:rsid w:val="00FC7475"/>
    <w:rsid w:val="00FD647E"/>
    <w:rsid w:val="00FE1565"/>
    <w:rsid w:val="00FE2C7B"/>
    <w:rsid w:val="00FE3731"/>
    <w:rsid w:val="00FE52F1"/>
    <w:rsid w:val="00FE691F"/>
    <w:rsid w:val="00FF085E"/>
    <w:rsid w:val="00FF16EC"/>
    <w:rsid w:val="00FF5461"/>
    <w:rsid w:val="00FF5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A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nhideWhenUsed/>
    <w:rsid w:val="00000202"/>
    <w:pPr>
      <w:tabs>
        <w:tab w:val="center" w:pos="4153"/>
        <w:tab w:val="right" w:pos="8306"/>
      </w:tabs>
    </w:pPr>
  </w:style>
  <w:style w:type="character" w:customStyle="1" w:styleId="HeaderChar">
    <w:name w:val="Header Char"/>
    <w:basedOn w:val="DefaultParagraphFont"/>
    <w:link w:val="Header"/>
    <w:rsid w:val="00000202"/>
  </w:style>
  <w:style w:type="paragraph" w:styleId="Footer">
    <w:name w:val="footer"/>
    <w:basedOn w:val="Normal"/>
    <w:link w:val="FooterChar"/>
    <w:uiPriority w:val="99"/>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 w:type="character" w:customStyle="1" w:styleId="Mention">
    <w:name w:val="Mention"/>
    <w:basedOn w:val="DefaultParagraphFont"/>
    <w:uiPriority w:val="99"/>
    <w:semiHidden/>
    <w:unhideWhenUsed/>
    <w:rsid w:val="00700F3A"/>
    <w:rPr>
      <w:color w:val="2B579A"/>
      <w:shd w:val="clear" w:color="auto" w:fill="E6E6E6"/>
    </w:rPr>
  </w:style>
  <w:style w:type="paragraph" w:customStyle="1" w:styleId="Normal1">
    <w:name w:val="Normal1"/>
    <w:basedOn w:val="Normal"/>
    <w:rsid w:val="00E26E0D"/>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E26E0D"/>
  </w:style>
  <w:style w:type="paragraph" w:customStyle="1" w:styleId="naisf">
    <w:name w:val="naisf"/>
    <w:basedOn w:val="Normal"/>
    <w:rsid w:val="00EF187F"/>
    <w:pPr>
      <w:spacing w:before="75" w:after="75"/>
      <w:ind w:firstLine="375"/>
      <w:jc w:val="both"/>
    </w:pPr>
    <w:rPr>
      <w:rFonts w:eastAsia="Times New Roman" w:cs="Times New Roman"/>
      <w:sz w:val="24"/>
      <w:szCs w:val="24"/>
      <w:lang w:eastAsia="lv-LV"/>
    </w:rPr>
  </w:style>
  <w:style w:type="paragraph" w:customStyle="1" w:styleId="Default">
    <w:name w:val="Default"/>
    <w:rsid w:val="00EF187F"/>
    <w:pPr>
      <w:autoSpaceDE w:val="0"/>
      <w:autoSpaceDN w:val="0"/>
      <w:adjustRightInd w:val="0"/>
    </w:pPr>
    <w:rPr>
      <w:rFonts w:ascii="EUAlbertina" w:eastAsia="Calibri" w:hAnsi="EUAlbertina" w:cs="EUAlberti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nhideWhenUsed/>
    <w:rsid w:val="00000202"/>
    <w:pPr>
      <w:tabs>
        <w:tab w:val="center" w:pos="4153"/>
        <w:tab w:val="right" w:pos="8306"/>
      </w:tabs>
    </w:pPr>
  </w:style>
  <w:style w:type="character" w:customStyle="1" w:styleId="HeaderChar">
    <w:name w:val="Header Char"/>
    <w:basedOn w:val="DefaultParagraphFont"/>
    <w:link w:val="Header"/>
    <w:rsid w:val="00000202"/>
  </w:style>
  <w:style w:type="paragraph" w:styleId="Footer">
    <w:name w:val="footer"/>
    <w:basedOn w:val="Normal"/>
    <w:link w:val="FooterChar"/>
    <w:uiPriority w:val="99"/>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 w:type="character" w:customStyle="1" w:styleId="Mention">
    <w:name w:val="Mention"/>
    <w:basedOn w:val="DefaultParagraphFont"/>
    <w:uiPriority w:val="99"/>
    <w:semiHidden/>
    <w:unhideWhenUsed/>
    <w:rsid w:val="00700F3A"/>
    <w:rPr>
      <w:color w:val="2B579A"/>
      <w:shd w:val="clear" w:color="auto" w:fill="E6E6E6"/>
    </w:rPr>
  </w:style>
  <w:style w:type="paragraph" w:customStyle="1" w:styleId="Normal1">
    <w:name w:val="Normal1"/>
    <w:basedOn w:val="Normal"/>
    <w:rsid w:val="00E26E0D"/>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E26E0D"/>
  </w:style>
  <w:style w:type="paragraph" w:customStyle="1" w:styleId="naisf">
    <w:name w:val="naisf"/>
    <w:basedOn w:val="Normal"/>
    <w:rsid w:val="00EF187F"/>
    <w:pPr>
      <w:spacing w:before="75" w:after="75"/>
      <w:ind w:firstLine="375"/>
      <w:jc w:val="both"/>
    </w:pPr>
    <w:rPr>
      <w:rFonts w:eastAsia="Times New Roman" w:cs="Times New Roman"/>
      <w:sz w:val="24"/>
      <w:szCs w:val="24"/>
      <w:lang w:eastAsia="lv-LV"/>
    </w:rPr>
  </w:style>
  <w:style w:type="paragraph" w:customStyle="1" w:styleId="Default">
    <w:name w:val="Default"/>
    <w:rsid w:val="00EF187F"/>
    <w:pPr>
      <w:autoSpaceDE w:val="0"/>
      <w:autoSpaceDN w:val="0"/>
      <w:adjustRightInd w:val="0"/>
    </w:pPr>
    <w:rPr>
      <w:rFonts w:ascii="EUAlbertina" w:eastAsia="Calibri" w:hAnsi="EUAlbertina" w:cs="EUAlberti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92">
      <w:bodyDiv w:val="1"/>
      <w:marLeft w:val="0"/>
      <w:marRight w:val="0"/>
      <w:marTop w:val="0"/>
      <w:marBottom w:val="0"/>
      <w:divBdr>
        <w:top w:val="none" w:sz="0" w:space="0" w:color="auto"/>
        <w:left w:val="none" w:sz="0" w:space="0" w:color="auto"/>
        <w:bottom w:val="none" w:sz="0" w:space="0" w:color="auto"/>
        <w:right w:val="none" w:sz="0" w:space="0" w:color="auto"/>
      </w:divBdr>
    </w:div>
    <w:div w:id="28385242">
      <w:bodyDiv w:val="1"/>
      <w:marLeft w:val="0"/>
      <w:marRight w:val="0"/>
      <w:marTop w:val="0"/>
      <w:marBottom w:val="0"/>
      <w:divBdr>
        <w:top w:val="none" w:sz="0" w:space="0" w:color="auto"/>
        <w:left w:val="none" w:sz="0" w:space="0" w:color="auto"/>
        <w:bottom w:val="none" w:sz="0" w:space="0" w:color="auto"/>
        <w:right w:val="none" w:sz="0" w:space="0" w:color="auto"/>
      </w:divBdr>
    </w:div>
    <w:div w:id="123156979">
      <w:bodyDiv w:val="1"/>
      <w:marLeft w:val="0"/>
      <w:marRight w:val="0"/>
      <w:marTop w:val="0"/>
      <w:marBottom w:val="0"/>
      <w:divBdr>
        <w:top w:val="none" w:sz="0" w:space="0" w:color="auto"/>
        <w:left w:val="none" w:sz="0" w:space="0" w:color="auto"/>
        <w:bottom w:val="none" w:sz="0" w:space="0" w:color="auto"/>
        <w:right w:val="none" w:sz="0" w:space="0" w:color="auto"/>
      </w:divBdr>
    </w:div>
    <w:div w:id="137723019">
      <w:bodyDiv w:val="1"/>
      <w:marLeft w:val="0"/>
      <w:marRight w:val="0"/>
      <w:marTop w:val="0"/>
      <w:marBottom w:val="0"/>
      <w:divBdr>
        <w:top w:val="none" w:sz="0" w:space="0" w:color="auto"/>
        <w:left w:val="none" w:sz="0" w:space="0" w:color="auto"/>
        <w:bottom w:val="none" w:sz="0" w:space="0" w:color="auto"/>
        <w:right w:val="none" w:sz="0" w:space="0" w:color="auto"/>
      </w:divBdr>
    </w:div>
    <w:div w:id="200172216">
      <w:bodyDiv w:val="1"/>
      <w:marLeft w:val="0"/>
      <w:marRight w:val="0"/>
      <w:marTop w:val="0"/>
      <w:marBottom w:val="0"/>
      <w:divBdr>
        <w:top w:val="none" w:sz="0" w:space="0" w:color="auto"/>
        <w:left w:val="none" w:sz="0" w:space="0" w:color="auto"/>
        <w:bottom w:val="none" w:sz="0" w:space="0" w:color="auto"/>
        <w:right w:val="none" w:sz="0" w:space="0" w:color="auto"/>
      </w:divBdr>
    </w:div>
    <w:div w:id="523714105">
      <w:bodyDiv w:val="1"/>
      <w:marLeft w:val="0"/>
      <w:marRight w:val="0"/>
      <w:marTop w:val="0"/>
      <w:marBottom w:val="0"/>
      <w:divBdr>
        <w:top w:val="none" w:sz="0" w:space="0" w:color="auto"/>
        <w:left w:val="none" w:sz="0" w:space="0" w:color="auto"/>
        <w:bottom w:val="none" w:sz="0" w:space="0" w:color="auto"/>
        <w:right w:val="none" w:sz="0" w:space="0" w:color="auto"/>
      </w:divBdr>
    </w:div>
    <w:div w:id="628098500">
      <w:bodyDiv w:val="1"/>
      <w:marLeft w:val="0"/>
      <w:marRight w:val="0"/>
      <w:marTop w:val="0"/>
      <w:marBottom w:val="0"/>
      <w:divBdr>
        <w:top w:val="none" w:sz="0" w:space="0" w:color="auto"/>
        <w:left w:val="none" w:sz="0" w:space="0" w:color="auto"/>
        <w:bottom w:val="none" w:sz="0" w:space="0" w:color="auto"/>
        <w:right w:val="none" w:sz="0" w:space="0" w:color="auto"/>
      </w:divBdr>
      <w:divsChild>
        <w:div w:id="915671545">
          <w:marLeft w:val="0"/>
          <w:marRight w:val="0"/>
          <w:marTop w:val="480"/>
          <w:marBottom w:val="0"/>
          <w:divBdr>
            <w:top w:val="none" w:sz="0" w:space="0" w:color="auto"/>
            <w:left w:val="none" w:sz="0" w:space="0" w:color="auto"/>
            <w:bottom w:val="none" w:sz="0" w:space="0" w:color="auto"/>
            <w:right w:val="none" w:sz="0" w:space="0" w:color="auto"/>
          </w:divBdr>
        </w:div>
      </w:divsChild>
    </w:div>
    <w:div w:id="689716980">
      <w:bodyDiv w:val="1"/>
      <w:marLeft w:val="0"/>
      <w:marRight w:val="0"/>
      <w:marTop w:val="0"/>
      <w:marBottom w:val="0"/>
      <w:divBdr>
        <w:top w:val="none" w:sz="0" w:space="0" w:color="auto"/>
        <w:left w:val="none" w:sz="0" w:space="0" w:color="auto"/>
        <w:bottom w:val="none" w:sz="0" w:space="0" w:color="auto"/>
        <w:right w:val="none" w:sz="0" w:space="0" w:color="auto"/>
      </w:divBdr>
    </w:div>
    <w:div w:id="775297562">
      <w:bodyDiv w:val="1"/>
      <w:marLeft w:val="0"/>
      <w:marRight w:val="0"/>
      <w:marTop w:val="0"/>
      <w:marBottom w:val="0"/>
      <w:divBdr>
        <w:top w:val="none" w:sz="0" w:space="0" w:color="auto"/>
        <w:left w:val="none" w:sz="0" w:space="0" w:color="auto"/>
        <w:bottom w:val="none" w:sz="0" w:space="0" w:color="auto"/>
        <w:right w:val="none" w:sz="0" w:space="0" w:color="auto"/>
      </w:divBdr>
    </w:div>
    <w:div w:id="809830054">
      <w:bodyDiv w:val="1"/>
      <w:marLeft w:val="0"/>
      <w:marRight w:val="0"/>
      <w:marTop w:val="0"/>
      <w:marBottom w:val="0"/>
      <w:divBdr>
        <w:top w:val="none" w:sz="0" w:space="0" w:color="auto"/>
        <w:left w:val="none" w:sz="0" w:space="0" w:color="auto"/>
        <w:bottom w:val="none" w:sz="0" w:space="0" w:color="auto"/>
        <w:right w:val="none" w:sz="0" w:space="0" w:color="auto"/>
      </w:divBdr>
      <w:divsChild>
        <w:div w:id="296648169">
          <w:marLeft w:val="150"/>
          <w:marRight w:val="150"/>
          <w:marTop w:val="480"/>
          <w:marBottom w:val="0"/>
          <w:divBdr>
            <w:top w:val="single" w:sz="6" w:space="28" w:color="D4D4D4"/>
            <w:left w:val="none" w:sz="0" w:space="0" w:color="auto"/>
            <w:bottom w:val="none" w:sz="0" w:space="0" w:color="auto"/>
            <w:right w:val="none" w:sz="0" w:space="0" w:color="auto"/>
          </w:divBdr>
        </w:div>
        <w:div w:id="1918050357">
          <w:marLeft w:val="0"/>
          <w:marRight w:val="0"/>
          <w:marTop w:val="400"/>
          <w:marBottom w:val="0"/>
          <w:divBdr>
            <w:top w:val="none" w:sz="0" w:space="0" w:color="auto"/>
            <w:left w:val="none" w:sz="0" w:space="0" w:color="auto"/>
            <w:bottom w:val="none" w:sz="0" w:space="0" w:color="auto"/>
            <w:right w:val="none" w:sz="0" w:space="0" w:color="auto"/>
          </w:divBdr>
        </w:div>
      </w:divsChild>
    </w:div>
    <w:div w:id="859128851">
      <w:bodyDiv w:val="1"/>
      <w:marLeft w:val="0"/>
      <w:marRight w:val="0"/>
      <w:marTop w:val="0"/>
      <w:marBottom w:val="0"/>
      <w:divBdr>
        <w:top w:val="none" w:sz="0" w:space="0" w:color="auto"/>
        <w:left w:val="none" w:sz="0" w:space="0" w:color="auto"/>
        <w:bottom w:val="none" w:sz="0" w:space="0" w:color="auto"/>
        <w:right w:val="none" w:sz="0" w:space="0" w:color="auto"/>
      </w:divBdr>
    </w:div>
    <w:div w:id="889612679">
      <w:bodyDiv w:val="1"/>
      <w:marLeft w:val="0"/>
      <w:marRight w:val="0"/>
      <w:marTop w:val="0"/>
      <w:marBottom w:val="0"/>
      <w:divBdr>
        <w:top w:val="none" w:sz="0" w:space="0" w:color="auto"/>
        <w:left w:val="none" w:sz="0" w:space="0" w:color="auto"/>
        <w:bottom w:val="none" w:sz="0" w:space="0" w:color="auto"/>
        <w:right w:val="none" w:sz="0" w:space="0" w:color="auto"/>
      </w:divBdr>
      <w:divsChild>
        <w:div w:id="1205020514">
          <w:marLeft w:val="0"/>
          <w:marRight w:val="0"/>
          <w:marTop w:val="400"/>
          <w:marBottom w:val="0"/>
          <w:divBdr>
            <w:top w:val="none" w:sz="0" w:space="0" w:color="auto"/>
            <w:left w:val="none" w:sz="0" w:space="0" w:color="auto"/>
            <w:bottom w:val="none" w:sz="0" w:space="0" w:color="auto"/>
            <w:right w:val="none" w:sz="0" w:space="0" w:color="auto"/>
          </w:divBdr>
        </w:div>
        <w:div w:id="674039499">
          <w:marLeft w:val="0"/>
          <w:marRight w:val="0"/>
          <w:marTop w:val="240"/>
          <w:marBottom w:val="0"/>
          <w:divBdr>
            <w:top w:val="none" w:sz="0" w:space="0" w:color="auto"/>
            <w:left w:val="none" w:sz="0" w:space="0" w:color="auto"/>
            <w:bottom w:val="none" w:sz="0" w:space="0" w:color="auto"/>
            <w:right w:val="none" w:sz="0" w:space="0" w:color="auto"/>
          </w:divBdr>
        </w:div>
      </w:divsChild>
    </w:div>
    <w:div w:id="1063330822">
      <w:bodyDiv w:val="1"/>
      <w:marLeft w:val="0"/>
      <w:marRight w:val="0"/>
      <w:marTop w:val="0"/>
      <w:marBottom w:val="0"/>
      <w:divBdr>
        <w:top w:val="none" w:sz="0" w:space="0" w:color="auto"/>
        <w:left w:val="none" w:sz="0" w:space="0" w:color="auto"/>
        <w:bottom w:val="none" w:sz="0" w:space="0" w:color="auto"/>
        <w:right w:val="none" w:sz="0" w:space="0" w:color="auto"/>
      </w:divBdr>
    </w:div>
    <w:div w:id="1142845971">
      <w:bodyDiv w:val="1"/>
      <w:marLeft w:val="0"/>
      <w:marRight w:val="0"/>
      <w:marTop w:val="0"/>
      <w:marBottom w:val="0"/>
      <w:divBdr>
        <w:top w:val="none" w:sz="0" w:space="0" w:color="auto"/>
        <w:left w:val="none" w:sz="0" w:space="0" w:color="auto"/>
        <w:bottom w:val="none" w:sz="0" w:space="0" w:color="auto"/>
        <w:right w:val="none" w:sz="0" w:space="0" w:color="auto"/>
      </w:divBdr>
    </w:div>
    <w:div w:id="1163740038">
      <w:bodyDiv w:val="1"/>
      <w:marLeft w:val="0"/>
      <w:marRight w:val="0"/>
      <w:marTop w:val="0"/>
      <w:marBottom w:val="0"/>
      <w:divBdr>
        <w:top w:val="none" w:sz="0" w:space="0" w:color="auto"/>
        <w:left w:val="none" w:sz="0" w:space="0" w:color="auto"/>
        <w:bottom w:val="none" w:sz="0" w:space="0" w:color="auto"/>
        <w:right w:val="none" w:sz="0" w:space="0" w:color="auto"/>
      </w:divBdr>
    </w:div>
    <w:div w:id="1230842970">
      <w:bodyDiv w:val="1"/>
      <w:marLeft w:val="0"/>
      <w:marRight w:val="0"/>
      <w:marTop w:val="0"/>
      <w:marBottom w:val="0"/>
      <w:divBdr>
        <w:top w:val="none" w:sz="0" w:space="0" w:color="auto"/>
        <w:left w:val="none" w:sz="0" w:space="0" w:color="auto"/>
        <w:bottom w:val="none" w:sz="0" w:space="0" w:color="auto"/>
        <w:right w:val="none" w:sz="0" w:space="0" w:color="auto"/>
      </w:divBdr>
    </w:div>
    <w:div w:id="1262760311">
      <w:bodyDiv w:val="1"/>
      <w:marLeft w:val="0"/>
      <w:marRight w:val="0"/>
      <w:marTop w:val="0"/>
      <w:marBottom w:val="0"/>
      <w:divBdr>
        <w:top w:val="none" w:sz="0" w:space="0" w:color="auto"/>
        <w:left w:val="none" w:sz="0" w:space="0" w:color="auto"/>
        <w:bottom w:val="none" w:sz="0" w:space="0" w:color="auto"/>
        <w:right w:val="none" w:sz="0" w:space="0" w:color="auto"/>
      </w:divBdr>
    </w:div>
    <w:div w:id="1351492680">
      <w:bodyDiv w:val="1"/>
      <w:marLeft w:val="0"/>
      <w:marRight w:val="0"/>
      <w:marTop w:val="0"/>
      <w:marBottom w:val="0"/>
      <w:divBdr>
        <w:top w:val="none" w:sz="0" w:space="0" w:color="auto"/>
        <w:left w:val="none" w:sz="0" w:space="0" w:color="auto"/>
        <w:bottom w:val="none" w:sz="0" w:space="0" w:color="auto"/>
        <w:right w:val="none" w:sz="0" w:space="0" w:color="auto"/>
      </w:divBdr>
    </w:div>
    <w:div w:id="1380322933">
      <w:bodyDiv w:val="1"/>
      <w:marLeft w:val="0"/>
      <w:marRight w:val="0"/>
      <w:marTop w:val="0"/>
      <w:marBottom w:val="0"/>
      <w:divBdr>
        <w:top w:val="none" w:sz="0" w:space="0" w:color="auto"/>
        <w:left w:val="none" w:sz="0" w:space="0" w:color="auto"/>
        <w:bottom w:val="none" w:sz="0" w:space="0" w:color="auto"/>
        <w:right w:val="none" w:sz="0" w:space="0" w:color="auto"/>
      </w:divBdr>
    </w:div>
    <w:div w:id="1485664749">
      <w:bodyDiv w:val="1"/>
      <w:marLeft w:val="0"/>
      <w:marRight w:val="0"/>
      <w:marTop w:val="0"/>
      <w:marBottom w:val="0"/>
      <w:divBdr>
        <w:top w:val="none" w:sz="0" w:space="0" w:color="auto"/>
        <w:left w:val="none" w:sz="0" w:space="0" w:color="auto"/>
        <w:bottom w:val="none" w:sz="0" w:space="0" w:color="auto"/>
        <w:right w:val="none" w:sz="0" w:space="0" w:color="auto"/>
      </w:divBdr>
    </w:div>
    <w:div w:id="1495301098">
      <w:bodyDiv w:val="1"/>
      <w:marLeft w:val="0"/>
      <w:marRight w:val="0"/>
      <w:marTop w:val="0"/>
      <w:marBottom w:val="0"/>
      <w:divBdr>
        <w:top w:val="none" w:sz="0" w:space="0" w:color="auto"/>
        <w:left w:val="none" w:sz="0" w:space="0" w:color="auto"/>
        <w:bottom w:val="none" w:sz="0" w:space="0" w:color="auto"/>
        <w:right w:val="none" w:sz="0" w:space="0" w:color="auto"/>
      </w:divBdr>
    </w:div>
    <w:div w:id="1605649163">
      <w:bodyDiv w:val="1"/>
      <w:marLeft w:val="0"/>
      <w:marRight w:val="0"/>
      <w:marTop w:val="0"/>
      <w:marBottom w:val="0"/>
      <w:divBdr>
        <w:top w:val="none" w:sz="0" w:space="0" w:color="auto"/>
        <w:left w:val="none" w:sz="0" w:space="0" w:color="auto"/>
        <w:bottom w:val="none" w:sz="0" w:space="0" w:color="auto"/>
        <w:right w:val="none" w:sz="0" w:space="0" w:color="auto"/>
      </w:divBdr>
    </w:div>
    <w:div w:id="1712267672">
      <w:bodyDiv w:val="1"/>
      <w:marLeft w:val="0"/>
      <w:marRight w:val="0"/>
      <w:marTop w:val="0"/>
      <w:marBottom w:val="0"/>
      <w:divBdr>
        <w:top w:val="none" w:sz="0" w:space="0" w:color="auto"/>
        <w:left w:val="none" w:sz="0" w:space="0" w:color="auto"/>
        <w:bottom w:val="none" w:sz="0" w:space="0" w:color="auto"/>
        <w:right w:val="none" w:sz="0" w:space="0" w:color="auto"/>
      </w:divBdr>
    </w:div>
    <w:div w:id="1927306851">
      <w:bodyDiv w:val="1"/>
      <w:marLeft w:val="0"/>
      <w:marRight w:val="0"/>
      <w:marTop w:val="0"/>
      <w:marBottom w:val="0"/>
      <w:divBdr>
        <w:top w:val="none" w:sz="0" w:space="0" w:color="auto"/>
        <w:left w:val="none" w:sz="0" w:space="0" w:color="auto"/>
        <w:bottom w:val="none" w:sz="0" w:space="0" w:color="auto"/>
        <w:right w:val="none" w:sz="0" w:space="0" w:color="auto"/>
      </w:divBdr>
    </w:div>
    <w:div w:id="1974938673">
      <w:bodyDiv w:val="1"/>
      <w:marLeft w:val="0"/>
      <w:marRight w:val="0"/>
      <w:marTop w:val="0"/>
      <w:marBottom w:val="0"/>
      <w:divBdr>
        <w:top w:val="none" w:sz="0" w:space="0" w:color="auto"/>
        <w:left w:val="none" w:sz="0" w:space="0" w:color="auto"/>
        <w:bottom w:val="none" w:sz="0" w:space="0" w:color="auto"/>
        <w:right w:val="none" w:sz="0" w:space="0" w:color="auto"/>
      </w:divBdr>
    </w:div>
    <w:div w:id="2066562466">
      <w:bodyDiv w:val="1"/>
      <w:marLeft w:val="0"/>
      <w:marRight w:val="0"/>
      <w:marTop w:val="0"/>
      <w:marBottom w:val="0"/>
      <w:divBdr>
        <w:top w:val="none" w:sz="0" w:space="0" w:color="auto"/>
        <w:left w:val="none" w:sz="0" w:space="0" w:color="auto"/>
        <w:bottom w:val="none" w:sz="0" w:space="0" w:color="auto"/>
        <w:right w:val="none" w:sz="0" w:space="0" w:color="auto"/>
      </w:divBdr>
    </w:div>
    <w:div w:id="21296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5404-D10A-4DFD-8CE2-89583C0E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6322</Words>
  <Characters>3604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dc:description/>
  <cp:lastModifiedBy>Leontīne Babkina</cp:lastModifiedBy>
  <cp:revision>12</cp:revision>
  <cp:lastPrinted>2018-01-10T11:24:00Z</cp:lastPrinted>
  <dcterms:created xsi:type="dcterms:W3CDTF">2018-01-02T13:17:00Z</dcterms:created>
  <dcterms:modified xsi:type="dcterms:W3CDTF">2018-01-24T09:06:00Z</dcterms:modified>
</cp:coreProperties>
</file>