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C31F12" w:rsidRPr="00C31F12" w:rsidP="00C31F12">
      <w:pPr>
        <w:ind w:left="2410"/>
        <w:jc w:val="right"/>
        <w:rPr>
          <w:sz w:val="28"/>
          <w:szCs w:val="28"/>
          <w:lang w:val="de-DE"/>
        </w:rPr>
      </w:pPr>
      <w:bookmarkStart w:id="0" w:name="OLE_LINK3"/>
      <w:bookmarkStart w:id="1" w:name="OLE_LINK4"/>
      <w:bookmarkStart w:id="2" w:name="OLE_LINK5"/>
      <w:bookmarkStart w:id="3" w:name="OLE_LINK1"/>
      <w:bookmarkStart w:id="4" w:name="OLE_LINK2"/>
      <w:r w:rsidRPr="00C31F12">
        <w:rPr>
          <w:sz w:val="28"/>
          <w:szCs w:val="28"/>
          <w:lang w:val="de-DE"/>
        </w:rPr>
        <w:t>Pielikums</w:t>
      </w:r>
      <w:r w:rsidRPr="00C31F12">
        <w:rPr>
          <w:sz w:val="28"/>
          <w:szCs w:val="28"/>
          <w:lang w:val="de-DE"/>
        </w:rPr>
        <w:t xml:space="preserve"> </w:t>
      </w:r>
    </w:p>
    <w:p w:rsidR="00C31F12" w:rsidRPr="002D5E9E" w:rsidP="002D5E9E">
      <w:pPr>
        <w:pStyle w:val="naislab"/>
        <w:spacing w:before="0" w:after="0"/>
        <w:ind w:left="2410"/>
        <w:outlineLvl w:val="0"/>
        <w:rPr>
          <w:b/>
          <w:sz w:val="28"/>
          <w:szCs w:val="28"/>
        </w:rPr>
      </w:pPr>
      <w:r w:rsidRPr="00C31F12">
        <w:rPr>
          <w:sz w:val="28"/>
          <w:szCs w:val="28"/>
        </w:rPr>
        <w:t>Ministru kabineta noteikumu projekta „Grozījumi Ministru kabineta 2014.gada 30.septembra noteikumos Nr. 573 “Elektroenerģijas ražošanas, pārvades un sadales būvju būvnoteikumi””</w:t>
      </w:r>
      <w:r w:rsidRPr="00C31F12">
        <w:rPr>
          <w:b/>
          <w:sz w:val="28"/>
          <w:szCs w:val="28"/>
        </w:rPr>
        <w:t xml:space="preserve"> </w:t>
      </w:r>
      <w:r w:rsidRPr="00C31F12">
        <w:rPr>
          <w:b/>
          <w:bCs/>
          <w:sz w:val="28"/>
          <w:szCs w:val="28"/>
        </w:rPr>
        <w:t xml:space="preserve">sākotnējās ietekmes novērtējuma ziņojumam </w:t>
      </w:r>
      <w:r w:rsidRPr="00C31F12">
        <w:rPr>
          <w:b/>
          <w:sz w:val="28"/>
          <w:szCs w:val="28"/>
        </w:rPr>
        <w:t>(anotācijai)</w:t>
      </w:r>
      <w:bookmarkEnd w:id="0"/>
      <w:bookmarkEnd w:id="1"/>
      <w:bookmarkEnd w:id="2"/>
      <w:bookmarkEnd w:id="3"/>
      <w:bookmarkEnd w:id="4"/>
    </w:p>
    <w:p w:rsidR="00C31F12" w:rsidRPr="00076A82" w:rsidP="00C31F12">
      <w:pPr>
        <w:pStyle w:val="naisf"/>
        <w:spacing w:before="0" w:after="0"/>
        <w:ind w:left="142" w:right="141" w:firstLine="0"/>
        <w:rPr>
          <w:b/>
          <w:iCs/>
          <w:sz w:val="28"/>
          <w:szCs w:val="28"/>
          <w:u w:val="single"/>
        </w:rPr>
      </w:pPr>
    </w:p>
    <w:tbl>
      <w:tblPr>
        <w:tblStyle w:val="TableGrid"/>
        <w:tblW w:w="0" w:type="auto"/>
        <w:tblInd w:w="142" w:type="dxa"/>
        <w:tblLayout w:type="fixed"/>
        <w:tblLook w:val="04A0"/>
      </w:tblPr>
      <w:tblGrid>
        <w:gridCol w:w="4106"/>
        <w:gridCol w:w="4813"/>
      </w:tblGrid>
      <w:tr w:rsidTr="00D17245">
        <w:tblPrEx>
          <w:tblW w:w="0" w:type="auto"/>
          <w:tblInd w:w="142" w:type="dxa"/>
          <w:tblLayout w:type="fixed"/>
          <w:tblLook w:val="04A0"/>
        </w:tblPrEx>
        <w:tc>
          <w:tcPr>
            <w:tcW w:w="8919" w:type="dxa"/>
            <w:gridSpan w:val="2"/>
          </w:tcPr>
          <w:p w:rsidR="002D5E9E" w:rsidP="00C31F12">
            <w:pPr>
              <w:pStyle w:val="naisf"/>
              <w:spacing w:before="0" w:after="0"/>
              <w:ind w:right="141" w:firstLine="0"/>
              <w:rPr>
                <w:noProof/>
                <w:color w:val="000000"/>
              </w:rPr>
            </w:pPr>
          </w:p>
          <w:p w:rsidR="002D5E9E" w:rsidRPr="00076A82" w:rsidP="002D5E9E">
            <w:pPr>
              <w:pStyle w:val="naisf"/>
              <w:spacing w:before="0" w:after="0"/>
              <w:ind w:left="142" w:right="141" w:firstLine="0"/>
              <w:jc w:val="center"/>
              <w:rPr>
                <w:iCs/>
                <w:sz w:val="28"/>
                <w:szCs w:val="28"/>
                <w:u w:val="single"/>
              </w:rPr>
            </w:pPr>
            <w:r w:rsidRPr="00076A82">
              <w:rPr>
                <w:iCs/>
                <w:sz w:val="28"/>
                <w:szCs w:val="28"/>
                <w:u w:val="single"/>
              </w:rPr>
              <w:t>Sadalņu</w:t>
            </w:r>
            <w:r w:rsidRPr="00076A82">
              <w:rPr>
                <w:iCs/>
                <w:sz w:val="28"/>
                <w:szCs w:val="28"/>
                <w:u w:val="single"/>
              </w:rPr>
              <w:t xml:space="preserve"> iekalšanas risinājum</w:t>
            </w:r>
            <w:r>
              <w:rPr>
                <w:iCs/>
                <w:sz w:val="28"/>
                <w:szCs w:val="28"/>
                <w:u w:val="single"/>
              </w:rPr>
              <w:t>i</w:t>
            </w:r>
            <w:r w:rsidRPr="00076A82">
              <w:rPr>
                <w:iCs/>
                <w:sz w:val="28"/>
                <w:szCs w:val="28"/>
                <w:u w:val="single"/>
              </w:rPr>
              <w:t>:</w:t>
            </w:r>
          </w:p>
          <w:p w:rsidR="002D5E9E" w:rsidRPr="00C31F12" w:rsidP="00C31F12">
            <w:pPr>
              <w:pStyle w:val="naisf"/>
              <w:spacing w:before="0" w:after="0"/>
              <w:ind w:right="141" w:firstLine="0"/>
              <w:rPr>
                <w:noProof/>
                <w:color w:val="000000"/>
              </w:rPr>
            </w:pPr>
          </w:p>
        </w:tc>
      </w:tr>
      <w:tr w:rsidTr="00076A82">
        <w:tblPrEx>
          <w:tblW w:w="0" w:type="auto"/>
          <w:tblInd w:w="142" w:type="dxa"/>
          <w:tblLayout w:type="fixed"/>
          <w:tblLook w:val="04A0"/>
        </w:tblPrEx>
        <w:tc>
          <w:tcPr>
            <w:tcW w:w="4106" w:type="dxa"/>
          </w:tcPr>
          <w:p w:rsidR="00C31F12" w:rsidRPr="00C31F12" w:rsidP="00C31F12">
            <w:pPr>
              <w:autoSpaceDE w:val="0"/>
              <w:autoSpaceDN w:val="0"/>
              <w:adjustRightInd w:val="0"/>
              <w:ind w:left="137" w:right="147"/>
              <w:jc w:val="both"/>
              <w:rPr>
                <w:color w:val="000000"/>
              </w:rPr>
            </w:pPr>
            <w:r w:rsidRPr="00C31F12">
              <w:rPr>
                <w:color w:val="000000"/>
              </w:rPr>
              <w:t xml:space="preserve">1. Sienā tiek iekalta viena </w:t>
            </w:r>
            <w:r w:rsidRPr="00C31F12">
              <w:rPr>
                <w:color w:val="000000"/>
              </w:rPr>
              <w:t>sadalne</w:t>
            </w:r>
            <w:r w:rsidRPr="00C31F12">
              <w:rPr>
                <w:color w:val="000000"/>
              </w:rPr>
              <w:t xml:space="preserve">. Virs plānotās izkaļamās ailes veikt nesošas tērauda sijas iekalšanu un nostiprināšanu sienā. </w:t>
            </w:r>
          </w:p>
          <w:p w:rsidR="00C31F12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</w:p>
        </w:tc>
        <w:tc>
          <w:tcPr>
            <w:tcW w:w="4813" w:type="dxa"/>
          </w:tcPr>
          <w:p w:rsidR="00C31F12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  <w:r w:rsidRPr="00C31F12">
              <w:rPr>
                <w:noProof/>
                <w:color w:val="000000"/>
              </w:rPr>
              <w:drawing>
                <wp:inline distT="0" distB="0" distL="0" distR="0">
                  <wp:extent cx="1485746" cy="1542402"/>
                  <wp:effectExtent l="0" t="0" r="635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77950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25" cy="1575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E9E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</w:p>
        </w:tc>
      </w:tr>
      <w:tr w:rsidTr="00076A82">
        <w:tblPrEx>
          <w:tblW w:w="0" w:type="auto"/>
          <w:tblInd w:w="142" w:type="dxa"/>
          <w:tblLayout w:type="fixed"/>
          <w:tblLook w:val="04A0"/>
        </w:tblPrEx>
        <w:tc>
          <w:tcPr>
            <w:tcW w:w="4106" w:type="dxa"/>
          </w:tcPr>
          <w:p w:rsidR="00C31F12" w:rsidRPr="00C31F12" w:rsidP="00C31F12">
            <w:pPr>
              <w:autoSpaceDE w:val="0"/>
              <w:autoSpaceDN w:val="0"/>
              <w:adjustRightInd w:val="0"/>
              <w:ind w:left="60" w:right="147"/>
              <w:jc w:val="both"/>
              <w:rPr>
                <w:color w:val="000000"/>
              </w:rPr>
            </w:pPr>
            <w:r w:rsidRPr="00C31F12">
              <w:rPr>
                <w:color w:val="000000"/>
              </w:rPr>
              <w:t xml:space="preserve">2. Sienā tiek iekaltas divas blakus stāvošas </w:t>
            </w:r>
            <w:r w:rsidRPr="00C31F12">
              <w:rPr>
                <w:color w:val="000000"/>
              </w:rPr>
              <w:t>sadalnes</w:t>
            </w:r>
            <w:r w:rsidRPr="00C31F12">
              <w:rPr>
                <w:color w:val="000000"/>
              </w:rPr>
              <w:t xml:space="preserve">. Virs plānotās izkaļamās ailes veikt nesošas tērauda sijas iekalšanu un nostiprināšanu sienā, pastiprinot horizontālo tērauda siju ar vertikāliem tērauda balstiem starp plānotajām </w:t>
            </w:r>
            <w:r w:rsidRPr="00C31F12">
              <w:rPr>
                <w:color w:val="000000"/>
              </w:rPr>
              <w:t>sadalnēm</w:t>
            </w:r>
            <w:r w:rsidRPr="00C31F12">
              <w:rPr>
                <w:color w:val="000000"/>
              </w:rPr>
              <w:t xml:space="preserve"> un abās ailes malās. </w:t>
            </w:r>
          </w:p>
          <w:p w:rsidR="00C31F12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</w:p>
        </w:tc>
        <w:tc>
          <w:tcPr>
            <w:tcW w:w="4813" w:type="dxa"/>
          </w:tcPr>
          <w:p w:rsidR="00C31F12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  <w:r w:rsidRPr="00C31F12">
              <w:rPr>
                <w:noProof/>
                <w:color w:val="000000"/>
              </w:rPr>
              <w:drawing>
                <wp:inline distT="0" distB="0" distL="0" distR="0">
                  <wp:extent cx="2000513" cy="1637276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55945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435" cy="167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E9E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</w:p>
        </w:tc>
      </w:tr>
      <w:tr w:rsidTr="00076A82">
        <w:tblPrEx>
          <w:tblW w:w="0" w:type="auto"/>
          <w:tblInd w:w="142" w:type="dxa"/>
          <w:tblLayout w:type="fixed"/>
          <w:tblLook w:val="04A0"/>
        </w:tblPrEx>
        <w:tc>
          <w:tcPr>
            <w:tcW w:w="4106" w:type="dxa"/>
          </w:tcPr>
          <w:p w:rsidR="00C31F12" w:rsidRPr="00C31F12" w:rsidP="00C31F12">
            <w:pPr>
              <w:autoSpaceDE w:val="0"/>
              <w:autoSpaceDN w:val="0"/>
              <w:adjustRightInd w:val="0"/>
              <w:ind w:left="137" w:right="147"/>
              <w:jc w:val="both"/>
              <w:rPr>
                <w:color w:val="000000"/>
              </w:rPr>
            </w:pPr>
            <w:r w:rsidRPr="00C31F12">
              <w:rPr>
                <w:color w:val="000000"/>
              </w:rPr>
              <w:t xml:space="preserve">3. Sienā tiek iebūvētas trīs blakus stāvošas </w:t>
            </w:r>
            <w:r w:rsidRPr="00C31F12">
              <w:rPr>
                <w:color w:val="000000"/>
              </w:rPr>
              <w:t>sadalnes</w:t>
            </w:r>
            <w:r w:rsidRPr="00C31F12">
              <w:rPr>
                <w:color w:val="000000"/>
              </w:rPr>
              <w:t xml:space="preserve">. Virs plānotās izkaļamās ailes veikt nesošas tērauda sijas iekalšanu un nostiprināšanu sienā, pastiprinot horizontālo tērauda siju ar vertikāliem tērauda balstiem starp plānotajām </w:t>
            </w:r>
            <w:r w:rsidRPr="00C31F12">
              <w:rPr>
                <w:color w:val="000000"/>
              </w:rPr>
              <w:t>sadalnēm</w:t>
            </w:r>
            <w:r w:rsidRPr="00C31F12">
              <w:rPr>
                <w:color w:val="000000"/>
              </w:rPr>
              <w:t xml:space="preserve"> un abās ailes malās.  </w:t>
            </w:r>
          </w:p>
          <w:p w:rsidR="00C31F12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</w:p>
        </w:tc>
        <w:tc>
          <w:tcPr>
            <w:tcW w:w="4813" w:type="dxa"/>
          </w:tcPr>
          <w:p w:rsidR="00C31F12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  <w:r w:rsidRPr="00C31F12">
              <w:rPr>
                <w:noProof/>
              </w:rPr>
              <w:drawing>
                <wp:inline distT="0" distB="0" distL="0" distR="0">
                  <wp:extent cx="2106069" cy="1369801"/>
                  <wp:effectExtent l="0" t="0" r="889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59264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238" cy="138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076A82">
        <w:tblPrEx>
          <w:tblW w:w="0" w:type="auto"/>
          <w:tblInd w:w="142" w:type="dxa"/>
          <w:tblLayout w:type="fixed"/>
          <w:tblLook w:val="04A0"/>
        </w:tblPrEx>
        <w:tc>
          <w:tcPr>
            <w:tcW w:w="4106" w:type="dxa"/>
          </w:tcPr>
          <w:p w:rsidR="00C31F12" w:rsidRPr="00C31F12" w:rsidP="00C31F12">
            <w:pPr>
              <w:autoSpaceDE w:val="0"/>
              <w:autoSpaceDN w:val="0"/>
              <w:adjustRightInd w:val="0"/>
              <w:ind w:left="137" w:right="147"/>
              <w:jc w:val="both"/>
              <w:rPr>
                <w:color w:val="000000"/>
              </w:rPr>
            </w:pPr>
            <w:r w:rsidRPr="00C31F12">
              <w:rPr>
                <w:color w:val="000000"/>
              </w:rPr>
              <w:t xml:space="preserve">4. Ja nepieciešams izbūvēt vairāk par trīs </w:t>
            </w:r>
            <w:r w:rsidRPr="00C31F12">
              <w:rPr>
                <w:color w:val="000000"/>
              </w:rPr>
              <w:t>sadalnēm</w:t>
            </w:r>
            <w:r w:rsidRPr="00C31F12">
              <w:rPr>
                <w:color w:val="000000"/>
              </w:rPr>
              <w:t xml:space="preserve">, kur vienas ailes kopējais platums pārsniedz L=3.00m, ievēro minimālo attālumu starp ailēm </w:t>
            </w:r>
            <w:r w:rsidRPr="00C31F12">
              <w:rPr>
                <w:color w:val="000000"/>
              </w:rPr>
              <w:t>L</w:t>
            </w:r>
            <w:r w:rsidRPr="00C31F12">
              <w:rPr>
                <w:color w:val="000000"/>
                <w:vertAlign w:val="subscript"/>
              </w:rPr>
              <w:t>min</w:t>
            </w:r>
            <w:r w:rsidRPr="00C31F12">
              <w:rPr>
                <w:color w:val="000000"/>
              </w:rPr>
              <w:t>=1.00m</w:t>
            </w:r>
          </w:p>
          <w:p w:rsidR="007F03CE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</w:p>
          <w:p w:rsidR="007F03CE" w:rsidRPr="007F03CE" w:rsidP="007F03CE"/>
          <w:p w:rsidR="007F03CE" w:rsidRPr="007F03CE" w:rsidP="007F03CE"/>
          <w:p w:rsidR="004204D6" w:rsidP="007F03CE">
            <w:pPr>
              <w:jc w:val="center"/>
            </w:pPr>
          </w:p>
          <w:p w:rsidR="004204D6" w:rsidRPr="004204D6" w:rsidP="004204D6"/>
          <w:p w:rsidR="00C31F12" w:rsidRPr="004204D6" w:rsidP="004204D6">
            <w:pPr>
              <w:tabs>
                <w:tab w:val="left" w:pos="2475"/>
              </w:tabs>
            </w:pPr>
            <w:bookmarkStart w:id="5" w:name="_GoBack"/>
            <w:bookmarkEnd w:id="5"/>
            <w:r>
              <w:tab/>
            </w:r>
          </w:p>
        </w:tc>
        <w:tc>
          <w:tcPr>
            <w:tcW w:w="4813" w:type="dxa"/>
          </w:tcPr>
          <w:p w:rsidR="00C31F12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  <w:r w:rsidRPr="00C31F12">
              <w:rPr>
                <w:noProof/>
                <w:color w:val="000000"/>
              </w:rPr>
              <w:drawing>
                <wp:inline distT="0" distB="0" distL="0" distR="0">
                  <wp:extent cx="2861033" cy="1336757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69056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270" cy="1356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076A82">
        <w:tblPrEx>
          <w:tblW w:w="0" w:type="auto"/>
          <w:tblInd w:w="142" w:type="dxa"/>
          <w:tblLayout w:type="fixed"/>
          <w:tblLook w:val="04A0"/>
        </w:tblPrEx>
        <w:tc>
          <w:tcPr>
            <w:tcW w:w="4106" w:type="dxa"/>
          </w:tcPr>
          <w:p w:rsidR="00C31F12" w:rsidRPr="002D5E9E" w:rsidP="002D5E9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5E9E">
              <w:rPr>
                <w:color w:val="000000"/>
              </w:rPr>
              <w:t xml:space="preserve">5. Dažāda augstumu </w:t>
            </w:r>
            <w:r w:rsidRPr="002D5E9E">
              <w:rPr>
                <w:color w:val="000000"/>
              </w:rPr>
              <w:t>sadalņu</w:t>
            </w:r>
            <w:r w:rsidRPr="002D5E9E">
              <w:rPr>
                <w:color w:val="000000"/>
              </w:rPr>
              <w:t xml:space="preserve"> iekalšana. </w:t>
            </w:r>
          </w:p>
          <w:p w:rsidR="00C31F12" w:rsidRPr="00C31F12" w:rsidP="00C31F12">
            <w:pPr>
              <w:pStyle w:val="ListParagraph"/>
              <w:widowControl/>
              <w:suppressAutoHyphens w:val="0"/>
              <w:autoSpaceDE w:val="0"/>
              <w:autoSpaceDN w:val="0"/>
              <w:adjustRightInd w:val="0"/>
              <w:ind w:left="137" w:right="147"/>
              <w:jc w:val="both"/>
              <w:rPr>
                <w:color w:val="000000"/>
              </w:rPr>
            </w:pPr>
            <w:r w:rsidRPr="00C31F12">
              <w:rPr>
                <w:color w:val="000000"/>
              </w:rPr>
              <w:t xml:space="preserve">Izmanto augstāk minētos tipveida risinājumus, papildus virs zemākās </w:t>
            </w:r>
            <w:r w:rsidRPr="00C31F12">
              <w:rPr>
                <w:color w:val="000000"/>
              </w:rPr>
              <w:t>sadalnes</w:t>
            </w:r>
            <w:r w:rsidRPr="00C31F12">
              <w:rPr>
                <w:color w:val="000000"/>
              </w:rPr>
              <w:t xml:space="preserve"> izbūvējot papildus tērauda pārsedzi uz kuras balstīt atjaunojamās sienas fragmenta konstrukciju.</w:t>
            </w:r>
          </w:p>
          <w:p w:rsidR="00C31F12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</w:p>
        </w:tc>
        <w:tc>
          <w:tcPr>
            <w:tcW w:w="4813" w:type="dxa"/>
          </w:tcPr>
          <w:p w:rsidR="002D5E9E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  <w:r w:rsidRPr="00C31F12">
              <w:rPr>
                <w:noProof/>
                <w:color w:val="000000"/>
              </w:rPr>
              <w:drawing>
                <wp:inline distT="0" distB="0" distL="0" distR="0">
                  <wp:extent cx="1840599" cy="1382804"/>
                  <wp:effectExtent l="0" t="0" r="7620" b="825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76842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492" cy="1390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E9E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</w:p>
        </w:tc>
      </w:tr>
      <w:tr w:rsidTr="00076A82">
        <w:tblPrEx>
          <w:tblW w:w="0" w:type="auto"/>
          <w:tblInd w:w="142" w:type="dxa"/>
          <w:tblLayout w:type="fixed"/>
          <w:tblLook w:val="04A0"/>
        </w:tblPrEx>
        <w:tc>
          <w:tcPr>
            <w:tcW w:w="4106" w:type="dxa"/>
          </w:tcPr>
          <w:p w:rsidR="00C31F12" w:rsidRPr="00C31F12" w:rsidP="00C31F12">
            <w:pPr>
              <w:autoSpaceDE w:val="0"/>
              <w:autoSpaceDN w:val="0"/>
              <w:adjustRightInd w:val="0"/>
              <w:ind w:left="137" w:right="147"/>
              <w:jc w:val="both"/>
              <w:rPr>
                <w:color w:val="000000"/>
              </w:rPr>
            </w:pPr>
            <w:r w:rsidRPr="00C31F12">
              <w:rPr>
                <w:color w:val="000000"/>
              </w:rPr>
              <w:t xml:space="preserve">6. </w:t>
            </w:r>
            <w:r w:rsidRPr="00C31F12">
              <w:rPr>
                <w:color w:val="000000"/>
              </w:rPr>
              <w:t>Sadalnēm</w:t>
            </w:r>
            <w:r w:rsidRPr="00C31F12">
              <w:rPr>
                <w:color w:val="000000"/>
              </w:rPr>
              <w:t xml:space="preserve"> bez kabeļu </w:t>
            </w:r>
            <w:r w:rsidRPr="00C31F12">
              <w:rPr>
                <w:color w:val="000000"/>
              </w:rPr>
              <w:t>izvadiem</w:t>
            </w:r>
            <w:r w:rsidRPr="00C31F12">
              <w:rPr>
                <w:color w:val="000000"/>
              </w:rPr>
              <w:t xml:space="preserve"> uz augšu, ailu pastiprinošo pārsedzi iestrādāt sienā, atstājot  minimālo </w:t>
            </w:r>
            <w:r w:rsidRPr="00C31F12">
              <w:rPr>
                <w:color w:val="000000"/>
              </w:rPr>
              <w:t>sadalnes</w:t>
            </w:r>
            <w:r w:rsidRPr="00C31F12">
              <w:rPr>
                <w:color w:val="000000"/>
              </w:rPr>
              <w:t xml:space="preserve"> montāžai nepieciešamo atstatumu.</w:t>
            </w:r>
          </w:p>
          <w:p w:rsidR="00C31F12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</w:p>
        </w:tc>
        <w:tc>
          <w:tcPr>
            <w:tcW w:w="4813" w:type="dxa"/>
          </w:tcPr>
          <w:p w:rsidR="00C31F12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</w:p>
        </w:tc>
      </w:tr>
      <w:tr w:rsidTr="00076A82">
        <w:tblPrEx>
          <w:tblW w:w="0" w:type="auto"/>
          <w:tblInd w:w="142" w:type="dxa"/>
          <w:tblLayout w:type="fixed"/>
          <w:tblLook w:val="04A0"/>
        </w:tblPrEx>
        <w:tc>
          <w:tcPr>
            <w:tcW w:w="4106" w:type="dxa"/>
          </w:tcPr>
          <w:p w:rsidR="00C31F12" w:rsidRPr="00C31F12" w:rsidP="00C31F12">
            <w:pPr>
              <w:autoSpaceDE w:val="0"/>
              <w:autoSpaceDN w:val="0"/>
              <w:adjustRightInd w:val="0"/>
              <w:ind w:left="137" w:right="147"/>
              <w:jc w:val="both"/>
              <w:rPr>
                <w:color w:val="000000"/>
              </w:rPr>
            </w:pPr>
            <w:r w:rsidRPr="00C31F12">
              <w:rPr>
                <w:color w:val="000000"/>
              </w:rPr>
              <w:t xml:space="preserve">7. </w:t>
            </w:r>
            <w:r w:rsidRPr="00C31F12">
              <w:rPr>
                <w:color w:val="000000"/>
              </w:rPr>
              <w:t>Sadalnēm</w:t>
            </w:r>
            <w:r w:rsidRPr="00C31F12">
              <w:rPr>
                <w:color w:val="000000"/>
              </w:rPr>
              <w:t xml:space="preserve"> ar kabeļu </w:t>
            </w:r>
            <w:r w:rsidRPr="00C31F12">
              <w:rPr>
                <w:color w:val="000000"/>
              </w:rPr>
              <w:t>izvadiem</w:t>
            </w:r>
            <w:r w:rsidRPr="00C31F12">
              <w:rPr>
                <w:color w:val="000000"/>
              </w:rPr>
              <w:t xml:space="preserve"> uz augšu, ailu pastiprinošo pārsedzi iestrādāt sienā minimums L=100mm atstatumā no </w:t>
            </w:r>
            <w:r w:rsidRPr="00C31F12">
              <w:rPr>
                <w:color w:val="000000"/>
              </w:rPr>
              <w:t>sadalnes</w:t>
            </w:r>
            <w:r w:rsidRPr="00C31F12">
              <w:rPr>
                <w:color w:val="000000"/>
              </w:rPr>
              <w:t>.</w:t>
            </w:r>
          </w:p>
          <w:p w:rsidR="00C31F12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</w:p>
        </w:tc>
        <w:tc>
          <w:tcPr>
            <w:tcW w:w="4813" w:type="dxa"/>
          </w:tcPr>
          <w:p w:rsidR="00C31F12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  <w:r w:rsidRPr="00C31F12">
              <w:rPr>
                <w:noProof/>
                <w:color w:val="000000"/>
              </w:rPr>
              <w:drawing>
                <wp:inline distT="0" distB="0" distL="0" distR="0">
                  <wp:extent cx="808212" cy="1363972"/>
                  <wp:effectExtent l="0" t="0" r="0" b="825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839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473" cy="141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E9E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</w:p>
        </w:tc>
      </w:tr>
      <w:tr w:rsidTr="00C31F12">
        <w:tblPrEx>
          <w:tblW w:w="0" w:type="auto"/>
          <w:tblInd w:w="142" w:type="dxa"/>
          <w:tblLayout w:type="fixed"/>
          <w:tblLook w:val="04A0"/>
        </w:tblPrEx>
        <w:tc>
          <w:tcPr>
            <w:tcW w:w="8919" w:type="dxa"/>
            <w:gridSpan w:val="2"/>
          </w:tcPr>
          <w:p w:rsidR="002D5E9E" w:rsidP="00C31F12">
            <w:pPr>
              <w:autoSpaceDE w:val="0"/>
              <w:autoSpaceDN w:val="0"/>
              <w:adjustRightInd w:val="0"/>
              <w:ind w:left="137" w:right="147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:rsidR="00C31F12" w:rsidP="002D5E9E">
            <w:pPr>
              <w:autoSpaceDE w:val="0"/>
              <w:autoSpaceDN w:val="0"/>
              <w:adjustRightInd w:val="0"/>
              <w:ind w:left="137" w:right="147"/>
              <w:jc w:val="center"/>
              <w:rPr>
                <w:rFonts w:eastAsia="Lucida Sans Unicode"/>
                <w:color w:val="000000"/>
                <w:sz w:val="28"/>
                <w:szCs w:val="28"/>
                <w:u w:val="single"/>
              </w:rPr>
            </w:pPr>
            <w:r w:rsidRPr="00C31F12">
              <w:rPr>
                <w:color w:val="000000"/>
                <w:sz w:val="28"/>
                <w:szCs w:val="28"/>
                <w:u w:val="single"/>
              </w:rPr>
              <w:t>P</w:t>
            </w:r>
            <w:r w:rsidRPr="00C31F12">
              <w:rPr>
                <w:rFonts w:eastAsia="Lucida Sans Unicode"/>
                <w:color w:val="000000"/>
                <w:sz w:val="28"/>
                <w:szCs w:val="28"/>
                <w:u w:val="single"/>
              </w:rPr>
              <w:t xml:space="preserve">ārsedze urbumiem standarta kabeļu </w:t>
            </w:r>
            <w:r w:rsidRPr="00C31F12">
              <w:rPr>
                <w:rFonts w:eastAsia="Lucida Sans Unicode"/>
                <w:color w:val="000000"/>
                <w:sz w:val="28"/>
                <w:szCs w:val="28"/>
                <w:u w:val="single"/>
              </w:rPr>
              <w:t>aizsargcauruļu</w:t>
            </w:r>
            <w:r w:rsidRPr="00C31F12">
              <w:rPr>
                <w:rFonts w:eastAsia="Lucida Sans Unicode"/>
                <w:color w:val="000000"/>
                <w:sz w:val="28"/>
                <w:szCs w:val="28"/>
                <w:u w:val="single"/>
              </w:rPr>
              <w:t xml:space="preserve"> ievietošanai</w:t>
            </w:r>
          </w:p>
          <w:p w:rsidR="002D5E9E" w:rsidRPr="00C31F12" w:rsidP="00C31F12">
            <w:pPr>
              <w:autoSpaceDE w:val="0"/>
              <w:autoSpaceDN w:val="0"/>
              <w:adjustRightInd w:val="0"/>
              <w:ind w:left="137" w:right="147"/>
              <w:jc w:val="both"/>
              <w:rPr>
                <w:rFonts w:eastAsia="Lucida Sans Unicode"/>
                <w:color w:val="000000"/>
                <w:sz w:val="28"/>
                <w:szCs w:val="28"/>
                <w:u w:val="single"/>
              </w:rPr>
            </w:pPr>
          </w:p>
        </w:tc>
      </w:tr>
      <w:tr w:rsidTr="00076A82">
        <w:tblPrEx>
          <w:tblW w:w="0" w:type="auto"/>
          <w:tblInd w:w="142" w:type="dxa"/>
          <w:tblLayout w:type="fixed"/>
          <w:tblLook w:val="04A0"/>
        </w:tblPrEx>
        <w:tc>
          <w:tcPr>
            <w:tcW w:w="4106" w:type="dxa"/>
          </w:tcPr>
          <w:p w:rsidR="00C31F12" w:rsidRPr="00C31F12" w:rsidP="00C31F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31F12">
              <w:rPr>
                <w:color w:val="000000"/>
              </w:rPr>
              <w:t>Veicot urbumus sienā vertikāli vienu zem otra ailu pastiprinoša sija virs tā nav nepieciešama;</w:t>
            </w:r>
          </w:p>
          <w:p w:rsidR="00C31F12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</w:p>
        </w:tc>
        <w:tc>
          <w:tcPr>
            <w:tcW w:w="4813" w:type="dxa"/>
          </w:tcPr>
          <w:p w:rsidR="00C31F12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  <w:r w:rsidRPr="00C31F12">
              <w:rPr>
                <w:noProof/>
                <w:color w:val="000000"/>
              </w:rPr>
              <w:drawing>
                <wp:inline distT="0" distB="0" distL="0" distR="0">
                  <wp:extent cx="814111" cy="855986"/>
                  <wp:effectExtent l="0" t="0" r="5080" b="127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6261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798" cy="877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076A82">
        <w:tblPrEx>
          <w:tblW w:w="0" w:type="auto"/>
          <w:tblInd w:w="142" w:type="dxa"/>
          <w:tblLayout w:type="fixed"/>
          <w:tblLook w:val="04A0"/>
        </w:tblPrEx>
        <w:tc>
          <w:tcPr>
            <w:tcW w:w="4106" w:type="dxa"/>
          </w:tcPr>
          <w:p w:rsidR="00C31F12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</w:p>
          <w:p w:rsidR="00C31F12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  <w:r w:rsidRPr="00C31F12">
              <w:rPr>
                <w:color w:val="000000"/>
              </w:rPr>
              <w:t>Veicot urbumus sienā horizontāli rindā trīs un vairāk, virs tiem ir nepieciešams izbūvēt ailu pastiprinošu pārsedzi.</w:t>
            </w:r>
          </w:p>
        </w:tc>
        <w:tc>
          <w:tcPr>
            <w:tcW w:w="4813" w:type="dxa"/>
          </w:tcPr>
          <w:p w:rsidR="00C31F12" w:rsidP="00C31F12">
            <w:pPr>
              <w:pStyle w:val="naisf"/>
              <w:spacing w:before="0" w:after="0"/>
              <w:ind w:right="141" w:firstLine="0"/>
              <w:rPr>
                <w:iCs/>
                <w:sz w:val="28"/>
                <w:szCs w:val="28"/>
                <w:u w:val="single"/>
              </w:rPr>
            </w:pPr>
            <w:r w:rsidRPr="00C31F12">
              <w:rPr>
                <w:noProof/>
                <w:color w:val="000000"/>
              </w:rPr>
              <w:drawing>
                <wp:inline distT="0" distB="0" distL="0" distR="0">
                  <wp:extent cx="1822450" cy="1105868"/>
                  <wp:effectExtent l="0" t="0" r="635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582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322" cy="1134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1F12" w:rsidRPr="00C31F12" w:rsidP="00C31F12">
      <w:pPr>
        <w:pStyle w:val="naisf"/>
        <w:spacing w:before="0" w:after="0"/>
        <w:ind w:left="142" w:right="141" w:firstLine="0"/>
        <w:rPr>
          <w:iCs/>
          <w:sz w:val="28"/>
          <w:szCs w:val="28"/>
          <w:u w:val="single"/>
        </w:rPr>
      </w:pPr>
    </w:p>
    <w:p w:rsidR="00A529DE" w:rsidRPr="00C31F12" w:rsidP="00C31F12">
      <w:pPr>
        <w:pStyle w:val="ListParagraph"/>
        <w:autoSpaceDE w:val="0"/>
        <w:autoSpaceDN w:val="0"/>
        <w:adjustRightInd w:val="0"/>
        <w:ind w:left="792"/>
        <w:rPr>
          <w:color w:val="000000"/>
        </w:rPr>
      </w:pPr>
      <w:r w:rsidRPr="00C31F12">
        <w:rPr>
          <w:color w:val="000000"/>
        </w:rPr>
        <w:t xml:space="preserve">              </w:t>
      </w:r>
    </w:p>
    <w:p w:rsidR="00AE69A0" w:rsidRPr="00C31F12" w:rsidP="00C85464">
      <w:pPr>
        <w:rPr>
          <w:bCs/>
          <w:sz w:val="28"/>
          <w:szCs w:val="28"/>
        </w:rPr>
      </w:pPr>
      <w:r w:rsidRPr="00C31F12">
        <w:rPr>
          <w:bCs/>
          <w:sz w:val="28"/>
          <w:szCs w:val="28"/>
        </w:rPr>
        <w:t>Ministru prezidenta biedrs</w:t>
      </w:r>
    </w:p>
    <w:p w:rsidR="00C85464" w:rsidRPr="00C31F12" w:rsidP="00C85464">
      <w:pPr>
        <w:rPr>
          <w:bCs/>
          <w:sz w:val="28"/>
          <w:szCs w:val="28"/>
        </w:rPr>
      </w:pPr>
      <w:r w:rsidRPr="00C31F12">
        <w:rPr>
          <w:bCs/>
          <w:sz w:val="28"/>
          <w:szCs w:val="28"/>
        </w:rPr>
        <w:t>e</w:t>
      </w:r>
      <w:r w:rsidRPr="00C31F12">
        <w:rPr>
          <w:bCs/>
          <w:sz w:val="28"/>
          <w:szCs w:val="28"/>
        </w:rPr>
        <w:t>kon</w:t>
      </w:r>
      <w:r w:rsidRPr="00C31F12" w:rsidR="00E508EC">
        <w:rPr>
          <w:bCs/>
          <w:sz w:val="28"/>
          <w:szCs w:val="28"/>
        </w:rPr>
        <w:t xml:space="preserve">omikas ministrs </w:t>
      </w:r>
      <w:r w:rsidRPr="00C31F12" w:rsidR="00CB1330">
        <w:rPr>
          <w:bCs/>
          <w:sz w:val="28"/>
          <w:szCs w:val="28"/>
        </w:rPr>
        <w:tab/>
      </w:r>
      <w:r w:rsidRPr="00C31F12" w:rsidR="00CB1330">
        <w:rPr>
          <w:bCs/>
          <w:sz w:val="28"/>
          <w:szCs w:val="28"/>
        </w:rPr>
        <w:tab/>
      </w:r>
      <w:r w:rsidRPr="00C31F12" w:rsidR="00CB1330">
        <w:rPr>
          <w:bCs/>
          <w:sz w:val="28"/>
          <w:szCs w:val="28"/>
        </w:rPr>
        <w:tab/>
      </w:r>
      <w:r w:rsidRPr="00C31F12" w:rsidR="00CB1330">
        <w:rPr>
          <w:bCs/>
          <w:sz w:val="28"/>
          <w:szCs w:val="28"/>
        </w:rPr>
        <w:tab/>
      </w:r>
      <w:r w:rsidRPr="00C31F12" w:rsidR="00CB1330">
        <w:rPr>
          <w:bCs/>
          <w:sz w:val="28"/>
          <w:szCs w:val="28"/>
        </w:rPr>
        <w:tab/>
        <w:t xml:space="preserve">          </w:t>
      </w:r>
      <w:r w:rsidRPr="00C31F12" w:rsidR="002A297A">
        <w:rPr>
          <w:bCs/>
          <w:sz w:val="28"/>
          <w:szCs w:val="28"/>
        </w:rPr>
        <w:t xml:space="preserve">         </w:t>
      </w:r>
      <w:r w:rsidRPr="00C31F12" w:rsidR="00CB1330">
        <w:rPr>
          <w:bCs/>
          <w:sz w:val="28"/>
          <w:szCs w:val="28"/>
        </w:rPr>
        <w:t xml:space="preserve">  </w:t>
      </w:r>
      <w:r w:rsidRPr="00C31F12" w:rsidR="00314378">
        <w:rPr>
          <w:bCs/>
          <w:sz w:val="28"/>
          <w:szCs w:val="28"/>
        </w:rPr>
        <w:t>A.Ašeradens</w:t>
      </w:r>
    </w:p>
    <w:p w:rsidR="00CB1330" w:rsidRPr="00C31F12" w:rsidP="00C85464">
      <w:pPr>
        <w:rPr>
          <w:bCs/>
          <w:sz w:val="28"/>
          <w:szCs w:val="28"/>
        </w:rPr>
      </w:pPr>
    </w:p>
    <w:p w:rsidR="000E4899" w:rsidRPr="00C31F12" w:rsidP="00C85464">
      <w:pPr>
        <w:rPr>
          <w:sz w:val="28"/>
          <w:szCs w:val="28"/>
        </w:rPr>
      </w:pPr>
    </w:p>
    <w:p w:rsidR="000E4899" w:rsidRPr="00C31F12" w:rsidP="00C85464">
      <w:pPr>
        <w:rPr>
          <w:sz w:val="28"/>
          <w:szCs w:val="28"/>
        </w:rPr>
      </w:pPr>
    </w:p>
    <w:p w:rsidR="00A25C67" w:rsidRPr="00C31F12" w:rsidP="00A25C67">
      <w:pPr>
        <w:rPr>
          <w:color w:val="000000"/>
          <w:sz w:val="20"/>
          <w:szCs w:val="20"/>
        </w:rPr>
      </w:pPr>
      <w:r w:rsidRPr="00C31F12">
        <w:rPr>
          <w:color w:val="000000"/>
          <w:sz w:val="20"/>
          <w:szCs w:val="20"/>
        </w:rPr>
        <w:t xml:space="preserve">Rēpele, </w:t>
      </w:r>
    </w:p>
    <w:p w:rsidR="00A25C67" w:rsidRPr="00C31F12" w:rsidP="00A25C67">
      <w:pPr>
        <w:rPr>
          <w:sz w:val="20"/>
          <w:szCs w:val="20"/>
        </w:rPr>
      </w:pPr>
      <w:r w:rsidRPr="00C31F12">
        <w:rPr>
          <w:noProof/>
          <w:sz w:val="20"/>
          <w:szCs w:val="20"/>
        </w:rPr>
        <w:t>67013033</w:t>
      </w:r>
      <w:r w:rsidRPr="00C31F12">
        <w:rPr>
          <w:color w:val="000000"/>
          <w:sz w:val="20"/>
          <w:szCs w:val="20"/>
        </w:rPr>
        <w:t xml:space="preserve">, </w:t>
      </w:r>
      <w:r>
        <w:fldChar w:fldCharType="begin"/>
      </w:r>
      <w:r>
        <w:instrText xml:space="preserve"> HYPERLINK "mailto:Gunta.Repele@em.gov.lv" </w:instrText>
      </w:r>
      <w:r>
        <w:fldChar w:fldCharType="separate"/>
      </w:r>
      <w:r w:rsidRPr="00C31F12">
        <w:rPr>
          <w:rStyle w:val="Hyperlink"/>
          <w:sz w:val="20"/>
          <w:szCs w:val="20"/>
        </w:rPr>
        <w:t>Gunta.Repele@em.gov.lv</w:t>
      </w:r>
      <w:r>
        <w:fldChar w:fldCharType="end"/>
      </w:r>
      <w:r w:rsidRPr="00C31F12">
        <w:rPr>
          <w:color w:val="000000"/>
          <w:sz w:val="20"/>
          <w:szCs w:val="20"/>
        </w:rPr>
        <w:t xml:space="preserve"> </w:t>
      </w:r>
    </w:p>
    <w:p w:rsidR="00256388" w:rsidRPr="00C31F12">
      <w:pPr>
        <w:rPr>
          <w:sz w:val="28"/>
          <w:szCs w:val="28"/>
        </w:rPr>
      </w:pPr>
    </w:p>
    <w:sectPr w:rsidSect="00DF3EF3">
      <w:headerReference w:type="default" r:id="rId13"/>
      <w:footerReference w:type="default" r:id="rId14"/>
      <w:footerReference w:type="first" r:id="rId15"/>
      <w:pgSz w:w="11906" w:h="16838"/>
      <w:pgMar w:top="1135" w:right="1134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323B" w:rsidRPr="00256388" w:rsidP="0080323B">
    <w:pPr>
      <w:jc w:val="both"/>
      <w:rPr>
        <w:sz w:val="20"/>
        <w:szCs w:val="20"/>
      </w:rPr>
    </w:pPr>
    <w:r w:rsidRPr="00256388">
      <w:rPr>
        <w:sz w:val="20"/>
        <w:szCs w:val="20"/>
      </w:rPr>
      <w:fldChar w:fldCharType="begin"/>
    </w:r>
    <w:r w:rsidRPr="00256388">
      <w:rPr>
        <w:sz w:val="20"/>
        <w:szCs w:val="20"/>
      </w:rPr>
      <w:instrText xml:space="preserve"> FILENAME   \* MERGEFORMAT </w:instrText>
    </w:r>
    <w:r w:rsidRPr="00256388">
      <w:rPr>
        <w:sz w:val="20"/>
        <w:szCs w:val="20"/>
      </w:rPr>
      <w:fldChar w:fldCharType="separate"/>
    </w:r>
    <w:r w:rsidRPr="00256388">
      <w:rPr>
        <w:sz w:val="20"/>
        <w:szCs w:val="20"/>
      </w:rPr>
      <w:fldChar w:fldCharType="end"/>
    </w:r>
    <w:r w:rsidRPr="00256388">
      <w:rPr>
        <w:sz w:val="20"/>
        <w:szCs w:val="20"/>
      </w:rPr>
      <w:t xml:space="preserve"> </w:t>
    </w:r>
  </w:p>
  <w:p w:rsidR="00256388">
    <w:pPr>
      <w:pStyle w:val="Footer"/>
    </w:pPr>
  </w:p>
  <w:p w:rsidR="003B6427" w:rsidRPr="00C85464" w:rsidP="00C85464">
    <w:pPr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6427" w:rsidRPr="00256388" w:rsidP="00C85464">
    <w:pPr>
      <w:jc w:val="both"/>
      <w:rPr>
        <w:sz w:val="20"/>
        <w:szCs w:val="20"/>
      </w:rPr>
    </w:pPr>
    <w:r w:rsidRPr="00256388">
      <w:rPr>
        <w:sz w:val="20"/>
        <w:szCs w:val="20"/>
      </w:rPr>
      <w:fldChar w:fldCharType="begin"/>
    </w:r>
    <w:r w:rsidRPr="00256388">
      <w:rPr>
        <w:sz w:val="20"/>
        <w:szCs w:val="20"/>
      </w:rPr>
      <w:instrText xml:space="preserve"> FILENAME   \* MERGEFORMAT </w:instrText>
    </w:r>
    <w:r w:rsidRPr="00256388">
      <w:rPr>
        <w:sz w:val="20"/>
        <w:szCs w:val="20"/>
      </w:rPr>
      <w:fldChar w:fldCharType="separate"/>
    </w:r>
    <w:r w:rsidRPr="00256388">
      <w:rPr>
        <w:sz w:val="20"/>
        <w:szCs w:val="20"/>
      </w:rPr>
      <w:fldChar w:fldCharType="end"/>
    </w:r>
    <w:r w:rsidRPr="00256388" w:rsidR="00C31F12">
      <w:rPr>
        <w:sz w:val="20"/>
        <w:szCs w:val="20"/>
      </w:rPr>
      <w:t xml:space="preserve"> </w:t>
    </w:r>
    <w:r w:rsidRPr="00256388" w:rsidR="0080323B">
      <w:rPr>
        <w:sz w:val="20"/>
        <w:szCs w:val="20"/>
      </w:rPr>
      <w:t xml:space="preserve"> </w:t>
    </w:r>
  </w:p>
  <w:p w:rsidR="00256388" w:rsidRPr="00C85464" w:rsidP="00C85464">
    <w:pPr>
      <w:jc w:val="both"/>
      <w:rPr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21166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B642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B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6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32C605E"/>
    <w:multiLevelType w:val="hybridMultilevel"/>
    <w:tmpl w:val="D11483D2"/>
    <w:lvl w:ilvl="0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72" w:hanging="360"/>
      </w:pPr>
    </w:lvl>
    <w:lvl w:ilvl="2" w:tentative="1">
      <w:start w:val="1"/>
      <w:numFmt w:val="lowerRoman"/>
      <w:lvlText w:val="%3."/>
      <w:lvlJc w:val="right"/>
      <w:pPr>
        <w:ind w:left="2592" w:hanging="180"/>
      </w:pPr>
    </w:lvl>
    <w:lvl w:ilvl="3" w:tentative="1">
      <w:start w:val="1"/>
      <w:numFmt w:val="decimal"/>
      <w:lvlText w:val="%4."/>
      <w:lvlJc w:val="left"/>
      <w:pPr>
        <w:ind w:left="3312" w:hanging="360"/>
      </w:pPr>
    </w:lvl>
    <w:lvl w:ilvl="4" w:tentative="1">
      <w:start w:val="1"/>
      <w:numFmt w:val="lowerLetter"/>
      <w:lvlText w:val="%5."/>
      <w:lvlJc w:val="left"/>
      <w:pPr>
        <w:ind w:left="4032" w:hanging="360"/>
      </w:pPr>
    </w:lvl>
    <w:lvl w:ilvl="5" w:tentative="1">
      <w:start w:val="1"/>
      <w:numFmt w:val="lowerRoman"/>
      <w:lvlText w:val="%6."/>
      <w:lvlJc w:val="right"/>
      <w:pPr>
        <w:ind w:left="4752" w:hanging="180"/>
      </w:pPr>
    </w:lvl>
    <w:lvl w:ilvl="6" w:tentative="1">
      <w:start w:val="1"/>
      <w:numFmt w:val="decimal"/>
      <w:lvlText w:val="%7."/>
      <w:lvlJc w:val="left"/>
      <w:pPr>
        <w:ind w:left="5472" w:hanging="360"/>
      </w:pPr>
    </w:lvl>
    <w:lvl w:ilvl="7" w:tentative="1">
      <w:start w:val="1"/>
      <w:numFmt w:val="lowerLetter"/>
      <w:lvlText w:val="%8."/>
      <w:lvlJc w:val="left"/>
      <w:pPr>
        <w:ind w:left="6192" w:hanging="360"/>
      </w:pPr>
    </w:lvl>
    <w:lvl w:ilvl="8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1">
    <w:nsid w:val="123E107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20102CED"/>
    <w:multiLevelType w:val="hybridMultilevel"/>
    <w:tmpl w:val="C4D49866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1">
    <w:nsid w:val="20AC1034"/>
    <w:multiLevelType w:val="hybridMultilevel"/>
    <w:tmpl w:val="048855C0"/>
    <w:lvl w:ilvl="0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04" w:hanging="360"/>
      </w:pPr>
    </w:lvl>
    <w:lvl w:ilvl="2" w:tentative="1">
      <w:start w:val="1"/>
      <w:numFmt w:val="lowerRoman"/>
      <w:lvlText w:val="%3."/>
      <w:lvlJc w:val="right"/>
      <w:pPr>
        <w:ind w:left="2424" w:hanging="180"/>
      </w:pPr>
    </w:lvl>
    <w:lvl w:ilvl="3" w:tentative="1">
      <w:start w:val="1"/>
      <w:numFmt w:val="decimal"/>
      <w:lvlText w:val="%4."/>
      <w:lvlJc w:val="left"/>
      <w:pPr>
        <w:ind w:left="3144" w:hanging="360"/>
      </w:pPr>
    </w:lvl>
    <w:lvl w:ilvl="4" w:tentative="1">
      <w:start w:val="1"/>
      <w:numFmt w:val="lowerLetter"/>
      <w:lvlText w:val="%5."/>
      <w:lvlJc w:val="left"/>
      <w:pPr>
        <w:ind w:left="3864" w:hanging="360"/>
      </w:pPr>
    </w:lvl>
    <w:lvl w:ilvl="5" w:tentative="1">
      <w:start w:val="1"/>
      <w:numFmt w:val="lowerRoman"/>
      <w:lvlText w:val="%6."/>
      <w:lvlJc w:val="right"/>
      <w:pPr>
        <w:ind w:left="4584" w:hanging="180"/>
      </w:pPr>
    </w:lvl>
    <w:lvl w:ilvl="6" w:tentative="1">
      <w:start w:val="1"/>
      <w:numFmt w:val="decimal"/>
      <w:lvlText w:val="%7."/>
      <w:lvlJc w:val="left"/>
      <w:pPr>
        <w:ind w:left="5304" w:hanging="360"/>
      </w:pPr>
    </w:lvl>
    <w:lvl w:ilvl="7" w:tentative="1">
      <w:start w:val="1"/>
      <w:numFmt w:val="lowerLetter"/>
      <w:lvlText w:val="%8."/>
      <w:lvlJc w:val="left"/>
      <w:pPr>
        <w:ind w:left="6024" w:hanging="360"/>
      </w:pPr>
    </w:lvl>
    <w:lvl w:ilvl="8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1">
    <w:nsid w:val="32CD23F1"/>
    <w:multiLevelType w:val="hybridMultilevel"/>
    <w:tmpl w:val="10921FC2"/>
    <w:lvl w:ilvl="0">
      <w:start w:val="2"/>
      <w:numFmt w:val="decimal"/>
      <w:lvlText w:val="%1."/>
      <w:lvlJc w:val="left"/>
      <w:pPr>
        <w:ind w:left="49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17" w:hanging="360"/>
      </w:pPr>
    </w:lvl>
    <w:lvl w:ilvl="2" w:tentative="1">
      <w:start w:val="1"/>
      <w:numFmt w:val="lowerRoman"/>
      <w:lvlText w:val="%3."/>
      <w:lvlJc w:val="right"/>
      <w:pPr>
        <w:ind w:left="1937" w:hanging="180"/>
      </w:pPr>
    </w:lvl>
    <w:lvl w:ilvl="3" w:tentative="1">
      <w:start w:val="1"/>
      <w:numFmt w:val="decimal"/>
      <w:lvlText w:val="%4."/>
      <w:lvlJc w:val="left"/>
      <w:pPr>
        <w:ind w:left="2657" w:hanging="360"/>
      </w:pPr>
    </w:lvl>
    <w:lvl w:ilvl="4" w:tentative="1">
      <w:start w:val="1"/>
      <w:numFmt w:val="lowerLetter"/>
      <w:lvlText w:val="%5."/>
      <w:lvlJc w:val="left"/>
      <w:pPr>
        <w:ind w:left="3377" w:hanging="360"/>
      </w:pPr>
    </w:lvl>
    <w:lvl w:ilvl="5" w:tentative="1">
      <w:start w:val="1"/>
      <w:numFmt w:val="lowerRoman"/>
      <w:lvlText w:val="%6."/>
      <w:lvlJc w:val="right"/>
      <w:pPr>
        <w:ind w:left="4097" w:hanging="180"/>
      </w:pPr>
    </w:lvl>
    <w:lvl w:ilvl="6" w:tentative="1">
      <w:start w:val="1"/>
      <w:numFmt w:val="decimal"/>
      <w:lvlText w:val="%7."/>
      <w:lvlJc w:val="left"/>
      <w:pPr>
        <w:ind w:left="4817" w:hanging="360"/>
      </w:pPr>
    </w:lvl>
    <w:lvl w:ilvl="7" w:tentative="1">
      <w:start w:val="1"/>
      <w:numFmt w:val="lowerLetter"/>
      <w:lvlText w:val="%8."/>
      <w:lvlJc w:val="left"/>
      <w:pPr>
        <w:ind w:left="5537" w:hanging="360"/>
      </w:pPr>
    </w:lvl>
    <w:lvl w:ilvl="8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5" w15:restartNumberingAfterBreak="1">
    <w:nsid w:val="74750EC2"/>
    <w:multiLevelType w:val="hybridMultilevel"/>
    <w:tmpl w:val="B3925B1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DE"/>
    <w:rsid w:val="0000375F"/>
    <w:rsid w:val="00016BB5"/>
    <w:rsid w:val="000441B5"/>
    <w:rsid w:val="0004499C"/>
    <w:rsid w:val="00050033"/>
    <w:rsid w:val="00051650"/>
    <w:rsid w:val="000534FB"/>
    <w:rsid w:val="00074145"/>
    <w:rsid w:val="00075229"/>
    <w:rsid w:val="00076A82"/>
    <w:rsid w:val="00082785"/>
    <w:rsid w:val="00085A1A"/>
    <w:rsid w:val="00087182"/>
    <w:rsid w:val="00090238"/>
    <w:rsid w:val="000916C0"/>
    <w:rsid w:val="000A0641"/>
    <w:rsid w:val="000A2FB2"/>
    <w:rsid w:val="000A4BCE"/>
    <w:rsid w:val="000B6074"/>
    <w:rsid w:val="000C306F"/>
    <w:rsid w:val="000D1C5E"/>
    <w:rsid w:val="000D381A"/>
    <w:rsid w:val="000D443D"/>
    <w:rsid w:val="000D463B"/>
    <w:rsid w:val="000D4D4C"/>
    <w:rsid w:val="000E4899"/>
    <w:rsid w:val="000E4EEA"/>
    <w:rsid w:val="0010348D"/>
    <w:rsid w:val="00105D3F"/>
    <w:rsid w:val="00114045"/>
    <w:rsid w:val="00115991"/>
    <w:rsid w:val="001172D4"/>
    <w:rsid w:val="00120735"/>
    <w:rsid w:val="00131AE6"/>
    <w:rsid w:val="0014710A"/>
    <w:rsid w:val="001479AA"/>
    <w:rsid w:val="00153630"/>
    <w:rsid w:val="0015535C"/>
    <w:rsid w:val="00161469"/>
    <w:rsid w:val="00161751"/>
    <w:rsid w:val="00164D32"/>
    <w:rsid w:val="001730E6"/>
    <w:rsid w:val="00175047"/>
    <w:rsid w:val="00184A74"/>
    <w:rsid w:val="00187900"/>
    <w:rsid w:val="001B0CC3"/>
    <w:rsid w:val="001B1E06"/>
    <w:rsid w:val="001B4201"/>
    <w:rsid w:val="001C691F"/>
    <w:rsid w:val="001D2BCF"/>
    <w:rsid w:val="001E0D01"/>
    <w:rsid w:val="001E1C9A"/>
    <w:rsid w:val="001E41A1"/>
    <w:rsid w:val="001E5986"/>
    <w:rsid w:val="001E7E9D"/>
    <w:rsid w:val="001F5E2E"/>
    <w:rsid w:val="0022079A"/>
    <w:rsid w:val="00221C4C"/>
    <w:rsid w:val="0022477B"/>
    <w:rsid w:val="0022537F"/>
    <w:rsid w:val="002365B1"/>
    <w:rsid w:val="0024305D"/>
    <w:rsid w:val="00243F82"/>
    <w:rsid w:val="00244BEE"/>
    <w:rsid w:val="00246F04"/>
    <w:rsid w:val="002500E2"/>
    <w:rsid w:val="0025069B"/>
    <w:rsid w:val="002539E0"/>
    <w:rsid w:val="00256388"/>
    <w:rsid w:val="002607A4"/>
    <w:rsid w:val="00265CA9"/>
    <w:rsid w:val="002663AE"/>
    <w:rsid w:val="0026744D"/>
    <w:rsid w:val="00271E97"/>
    <w:rsid w:val="002918D3"/>
    <w:rsid w:val="002A1FAD"/>
    <w:rsid w:val="002A297A"/>
    <w:rsid w:val="002A66BC"/>
    <w:rsid w:val="002B1D4E"/>
    <w:rsid w:val="002B2704"/>
    <w:rsid w:val="002B7A5E"/>
    <w:rsid w:val="002C42C6"/>
    <w:rsid w:val="002C5657"/>
    <w:rsid w:val="002C585F"/>
    <w:rsid w:val="002D1AC1"/>
    <w:rsid w:val="002D203E"/>
    <w:rsid w:val="002D20FB"/>
    <w:rsid w:val="002D3186"/>
    <w:rsid w:val="002D5E9E"/>
    <w:rsid w:val="002E0008"/>
    <w:rsid w:val="002E0926"/>
    <w:rsid w:val="002F3CBE"/>
    <w:rsid w:val="00301C5F"/>
    <w:rsid w:val="0030668F"/>
    <w:rsid w:val="0031241B"/>
    <w:rsid w:val="00314378"/>
    <w:rsid w:val="00331ABB"/>
    <w:rsid w:val="003337AF"/>
    <w:rsid w:val="00343AE1"/>
    <w:rsid w:val="003467E0"/>
    <w:rsid w:val="003508A4"/>
    <w:rsid w:val="0035282B"/>
    <w:rsid w:val="00357244"/>
    <w:rsid w:val="00363C11"/>
    <w:rsid w:val="00383615"/>
    <w:rsid w:val="00383EE6"/>
    <w:rsid w:val="00397A9C"/>
    <w:rsid w:val="00397C0D"/>
    <w:rsid w:val="003A11F0"/>
    <w:rsid w:val="003A4846"/>
    <w:rsid w:val="003B048F"/>
    <w:rsid w:val="003B6427"/>
    <w:rsid w:val="003C4B6C"/>
    <w:rsid w:val="003C5FB6"/>
    <w:rsid w:val="003C6DC9"/>
    <w:rsid w:val="003D0587"/>
    <w:rsid w:val="003D0A16"/>
    <w:rsid w:val="003D1DFA"/>
    <w:rsid w:val="003F1893"/>
    <w:rsid w:val="003F3D95"/>
    <w:rsid w:val="003F734A"/>
    <w:rsid w:val="003F7E30"/>
    <w:rsid w:val="00400463"/>
    <w:rsid w:val="004006B7"/>
    <w:rsid w:val="004204D6"/>
    <w:rsid w:val="00425EAE"/>
    <w:rsid w:val="00431BC0"/>
    <w:rsid w:val="00435496"/>
    <w:rsid w:val="00436A33"/>
    <w:rsid w:val="00451660"/>
    <w:rsid w:val="00453D97"/>
    <w:rsid w:val="00461095"/>
    <w:rsid w:val="00472857"/>
    <w:rsid w:val="00477EC1"/>
    <w:rsid w:val="00485052"/>
    <w:rsid w:val="004860AE"/>
    <w:rsid w:val="004A3CB5"/>
    <w:rsid w:val="004B0BD4"/>
    <w:rsid w:val="004D10AA"/>
    <w:rsid w:val="004D2F9A"/>
    <w:rsid w:val="004E6151"/>
    <w:rsid w:val="004E676A"/>
    <w:rsid w:val="004F0703"/>
    <w:rsid w:val="0050258B"/>
    <w:rsid w:val="00505ED2"/>
    <w:rsid w:val="00515D83"/>
    <w:rsid w:val="00521F59"/>
    <w:rsid w:val="005256AD"/>
    <w:rsid w:val="00536B07"/>
    <w:rsid w:val="00552A7D"/>
    <w:rsid w:val="00553DA2"/>
    <w:rsid w:val="005558B5"/>
    <w:rsid w:val="00574702"/>
    <w:rsid w:val="00582AA1"/>
    <w:rsid w:val="0059257F"/>
    <w:rsid w:val="00592D16"/>
    <w:rsid w:val="005939F2"/>
    <w:rsid w:val="00595F29"/>
    <w:rsid w:val="005A331C"/>
    <w:rsid w:val="005C656E"/>
    <w:rsid w:val="005D5A4B"/>
    <w:rsid w:val="005D7FC3"/>
    <w:rsid w:val="005F727C"/>
    <w:rsid w:val="00602648"/>
    <w:rsid w:val="00605EFE"/>
    <w:rsid w:val="00610FB6"/>
    <w:rsid w:val="00617013"/>
    <w:rsid w:val="0062176A"/>
    <w:rsid w:val="00621FE9"/>
    <w:rsid w:val="00625A7F"/>
    <w:rsid w:val="00627231"/>
    <w:rsid w:val="00635A33"/>
    <w:rsid w:val="00646321"/>
    <w:rsid w:val="00647029"/>
    <w:rsid w:val="006477E9"/>
    <w:rsid w:val="00651AEF"/>
    <w:rsid w:val="00654AF3"/>
    <w:rsid w:val="00655472"/>
    <w:rsid w:val="00672549"/>
    <w:rsid w:val="006822B6"/>
    <w:rsid w:val="006868BE"/>
    <w:rsid w:val="006A5D50"/>
    <w:rsid w:val="006B74BA"/>
    <w:rsid w:val="006C2CAA"/>
    <w:rsid w:val="006C5374"/>
    <w:rsid w:val="006D1413"/>
    <w:rsid w:val="006D3327"/>
    <w:rsid w:val="006D384C"/>
    <w:rsid w:val="006E2CD9"/>
    <w:rsid w:val="006E3F72"/>
    <w:rsid w:val="006E5578"/>
    <w:rsid w:val="006E77FD"/>
    <w:rsid w:val="006F0200"/>
    <w:rsid w:val="006F2B3B"/>
    <w:rsid w:val="006F5085"/>
    <w:rsid w:val="006F7829"/>
    <w:rsid w:val="006F7E5D"/>
    <w:rsid w:val="00701352"/>
    <w:rsid w:val="00702A15"/>
    <w:rsid w:val="00716F13"/>
    <w:rsid w:val="00720822"/>
    <w:rsid w:val="007253B4"/>
    <w:rsid w:val="00737611"/>
    <w:rsid w:val="0074468F"/>
    <w:rsid w:val="00747A61"/>
    <w:rsid w:val="00751777"/>
    <w:rsid w:val="007749C8"/>
    <w:rsid w:val="00783F1D"/>
    <w:rsid w:val="007854DB"/>
    <w:rsid w:val="00787290"/>
    <w:rsid w:val="0079686D"/>
    <w:rsid w:val="007A03BD"/>
    <w:rsid w:val="007A47E2"/>
    <w:rsid w:val="007A6DA2"/>
    <w:rsid w:val="007B38DF"/>
    <w:rsid w:val="007C3AC3"/>
    <w:rsid w:val="007C5E67"/>
    <w:rsid w:val="007C7A52"/>
    <w:rsid w:val="007D1623"/>
    <w:rsid w:val="007D4391"/>
    <w:rsid w:val="007E73E0"/>
    <w:rsid w:val="007F03CE"/>
    <w:rsid w:val="007F088F"/>
    <w:rsid w:val="007F3E33"/>
    <w:rsid w:val="0080323B"/>
    <w:rsid w:val="00805F68"/>
    <w:rsid w:val="00807908"/>
    <w:rsid w:val="00816F5D"/>
    <w:rsid w:val="00822EEF"/>
    <w:rsid w:val="00826101"/>
    <w:rsid w:val="00826BB8"/>
    <w:rsid w:val="00831052"/>
    <w:rsid w:val="008317E5"/>
    <w:rsid w:val="008373B2"/>
    <w:rsid w:val="00837C74"/>
    <w:rsid w:val="00840EE3"/>
    <w:rsid w:val="00846E3F"/>
    <w:rsid w:val="00854EFC"/>
    <w:rsid w:val="00861818"/>
    <w:rsid w:val="008815AD"/>
    <w:rsid w:val="00887977"/>
    <w:rsid w:val="00893085"/>
    <w:rsid w:val="008A0427"/>
    <w:rsid w:val="008A2301"/>
    <w:rsid w:val="008A646E"/>
    <w:rsid w:val="008B6550"/>
    <w:rsid w:val="008C1FF2"/>
    <w:rsid w:val="008C6728"/>
    <w:rsid w:val="008D5058"/>
    <w:rsid w:val="008D5FEA"/>
    <w:rsid w:val="008E272C"/>
    <w:rsid w:val="008E2E58"/>
    <w:rsid w:val="008F3D12"/>
    <w:rsid w:val="008F7D39"/>
    <w:rsid w:val="00905CEA"/>
    <w:rsid w:val="009064E3"/>
    <w:rsid w:val="00911448"/>
    <w:rsid w:val="009156AA"/>
    <w:rsid w:val="00916366"/>
    <w:rsid w:val="0092649A"/>
    <w:rsid w:val="00930878"/>
    <w:rsid w:val="009378B9"/>
    <w:rsid w:val="00950F44"/>
    <w:rsid w:val="0095706E"/>
    <w:rsid w:val="009609D1"/>
    <w:rsid w:val="00961D24"/>
    <w:rsid w:val="0096235B"/>
    <w:rsid w:val="00965F1B"/>
    <w:rsid w:val="0097154F"/>
    <w:rsid w:val="00972BF6"/>
    <w:rsid w:val="0097542A"/>
    <w:rsid w:val="00977983"/>
    <w:rsid w:val="00981FB9"/>
    <w:rsid w:val="00986F11"/>
    <w:rsid w:val="009A0301"/>
    <w:rsid w:val="009C3BE7"/>
    <w:rsid w:val="009C752F"/>
    <w:rsid w:val="009D4A00"/>
    <w:rsid w:val="009D7B3C"/>
    <w:rsid w:val="009E7496"/>
    <w:rsid w:val="009F1340"/>
    <w:rsid w:val="009F6F86"/>
    <w:rsid w:val="00A01186"/>
    <w:rsid w:val="00A01A32"/>
    <w:rsid w:val="00A0397A"/>
    <w:rsid w:val="00A03F27"/>
    <w:rsid w:val="00A12C32"/>
    <w:rsid w:val="00A14B9B"/>
    <w:rsid w:val="00A20ECE"/>
    <w:rsid w:val="00A25C67"/>
    <w:rsid w:val="00A34FBC"/>
    <w:rsid w:val="00A35E14"/>
    <w:rsid w:val="00A408C3"/>
    <w:rsid w:val="00A41E34"/>
    <w:rsid w:val="00A469E0"/>
    <w:rsid w:val="00A4783F"/>
    <w:rsid w:val="00A529DE"/>
    <w:rsid w:val="00A55309"/>
    <w:rsid w:val="00A75614"/>
    <w:rsid w:val="00A85B5E"/>
    <w:rsid w:val="00A92A5A"/>
    <w:rsid w:val="00A94FCC"/>
    <w:rsid w:val="00A96663"/>
    <w:rsid w:val="00AA540F"/>
    <w:rsid w:val="00AB08FF"/>
    <w:rsid w:val="00AB588F"/>
    <w:rsid w:val="00AC30AA"/>
    <w:rsid w:val="00AC7536"/>
    <w:rsid w:val="00AD7B15"/>
    <w:rsid w:val="00AE69A0"/>
    <w:rsid w:val="00AF0705"/>
    <w:rsid w:val="00AF32A0"/>
    <w:rsid w:val="00AF43B1"/>
    <w:rsid w:val="00AF73A7"/>
    <w:rsid w:val="00AF78A5"/>
    <w:rsid w:val="00B0357F"/>
    <w:rsid w:val="00B0429F"/>
    <w:rsid w:val="00B06093"/>
    <w:rsid w:val="00B0734E"/>
    <w:rsid w:val="00B17DCC"/>
    <w:rsid w:val="00B2639D"/>
    <w:rsid w:val="00B44438"/>
    <w:rsid w:val="00B51064"/>
    <w:rsid w:val="00B574B2"/>
    <w:rsid w:val="00B5773C"/>
    <w:rsid w:val="00B630C6"/>
    <w:rsid w:val="00B63BBF"/>
    <w:rsid w:val="00B6642C"/>
    <w:rsid w:val="00BA1091"/>
    <w:rsid w:val="00BA46C3"/>
    <w:rsid w:val="00BB5420"/>
    <w:rsid w:val="00BC49AC"/>
    <w:rsid w:val="00BD5132"/>
    <w:rsid w:val="00BF18D3"/>
    <w:rsid w:val="00BF5EBB"/>
    <w:rsid w:val="00C02EFB"/>
    <w:rsid w:val="00C04D6A"/>
    <w:rsid w:val="00C05486"/>
    <w:rsid w:val="00C05FF6"/>
    <w:rsid w:val="00C07320"/>
    <w:rsid w:val="00C1141F"/>
    <w:rsid w:val="00C179B5"/>
    <w:rsid w:val="00C20E8F"/>
    <w:rsid w:val="00C31F12"/>
    <w:rsid w:val="00C44CD3"/>
    <w:rsid w:val="00C47634"/>
    <w:rsid w:val="00C53C1F"/>
    <w:rsid w:val="00C63F19"/>
    <w:rsid w:val="00C75F4D"/>
    <w:rsid w:val="00C83A8F"/>
    <w:rsid w:val="00C85464"/>
    <w:rsid w:val="00C87970"/>
    <w:rsid w:val="00C90616"/>
    <w:rsid w:val="00C92B67"/>
    <w:rsid w:val="00C92EFE"/>
    <w:rsid w:val="00C947CD"/>
    <w:rsid w:val="00CA182B"/>
    <w:rsid w:val="00CA3BD2"/>
    <w:rsid w:val="00CB1330"/>
    <w:rsid w:val="00CB4860"/>
    <w:rsid w:val="00CB5776"/>
    <w:rsid w:val="00CC16B2"/>
    <w:rsid w:val="00CC5042"/>
    <w:rsid w:val="00CD2CDD"/>
    <w:rsid w:val="00CD70CC"/>
    <w:rsid w:val="00CE3595"/>
    <w:rsid w:val="00CE7B39"/>
    <w:rsid w:val="00CF1D25"/>
    <w:rsid w:val="00CF511F"/>
    <w:rsid w:val="00D02751"/>
    <w:rsid w:val="00D034FB"/>
    <w:rsid w:val="00D12DE1"/>
    <w:rsid w:val="00D1334F"/>
    <w:rsid w:val="00D1389D"/>
    <w:rsid w:val="00D259CF"/>
    <w:rsid w:val="00D26EDE"/>
    <w:rsid w:val="00D35543"/>
    <w:rsid w:val="00D45D25"/>
    <w:rsid w:val="00D50F4D"/>
    <w:rsid w:val="00D52FA9"/>
    <w:rsid w:val="00D66F1C"/>
    <w:rsid w:val="00D672A6"/>
    <w:rsid w:val="00D81A68"/>
    <w:rsid w:val="00D929BF"/>
    <w:rsid w:val="00D94639"/>
    <w:rsid w:val="00D96A97"/>
    <w:rsid w:val="00DA5727"/>
    <w:rsid w:val="00DB4300"/>
    <w:rsid w:val="00DB4AD1"/>
    <w:rsid w:val="00DB71F8"/>
    <w:rsid w:val="00DE3B6D"/>
    <w:rsid w:val="00DE6D7C"/>
    <w:rsid w:val="00DE702F"/>
    <w:rsid w:val="00DE76C2"/>
    <w:rsid w:val="00DF0979"/>
    <w:rsid w:val="00DF3EF3"/>
    <w:rsid w:val="00DF5795"/>
    <w:rsid w:val="00E02AF7"/>
    <w:rsid w:val="00E07534"/>
    <w:rsid w:val="00E15E57"/>
    <w:rsid w:val="00E16E54"/>
    <w:rsid w:val="00E213E9"/>
    <w:rsid w:val="00E21DDA"/>
    <w:rsid w:val="00E24E53"/>
    <w:rsid w:val="00E300CE"/>
    <w:rsid w:val="00E33916"/>
    <w:rsid w:val="00E340CC"/>
    <w:rsid w:val="00E3452E"/>
    <w:rsid w:val="00E36D73"/>
    <w:rsid w:val="00E3785F"/>
    <w:rsid w:val="00E41870"/>
    <w:rsid w:val="00E44AEF"/>
    <w:rsid w:val="00E508EC"/>
    <w:rsid w:val="00E50CFC"/>
    <w:rsid w:val="00E5112E"/>
    <w:rsid w:val="00E63B8B"/>
    <w:rsid w:val="00E726CC"/>
    <w:rsid w:val="00E75C1E"/>
    <w:rsid w:val="00E868C5"/>
    <w:rsid w:val="00E91D8B"/>
    <w:rsid w:val="00E9502F"/>
    <w:rsid w:val="00E962AF"/>
    <w:rsid w:val="00E96FDD"/>
    <w:rsid w:val="00EB7F35"/>
    <w:rsid w:val="00ED0920"/>
    <w:rsid w:val="00EE4AB0"/>
    <w:rsid w:val="00EF19DC"/>
    <w:rsid w:val="00F00A81"/>
    <w:rsid w:val="00F0491E"/>
    <w:rsid w:val="00F13ACF"/>
    <w:rsid w:val="00F22FC7"/>
    <w:rsid w:val="00F26B10"/>
    <w:rsid w:val="00F31A44"/>
    <w:rsid w:val="00F44B76"/>
    <w:rsid w:val="00F471AB"/>
    <w:rsid w:val="00F53A18"/>
    <w:rsid w:val="00F63B96"/>
    <w:rsid w:val="00F651D8"/>
    <w:rsid w:val="00F73ABF"/>
    <w:rsid w:val="00F756A6"/>
    <w:rsid w:val="00F90C19"/>
    <w:rsid w:val="00F91211"/>
    <w:rsid w:val="00F9209A"/>
    <w:rsid w:val="00FA47F3"/>
    <w:rsid w:val="00FA7CCC"/>
    <w:rsid w:val="00FB2F03"/>
    <w:rsid w:val="00FC017A"/>
    <w:rsid w:val="00FD2F23"/>
    <w:rsid w:val="00FE3718"/>
    <w:rsid w:val="00FE7B2A"/>
  </w:rsids>
  <m:mathPr>
    <m:mathFont m:val="Cambria Math"/>
    <m:smallFrac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FEB382B-A339-4CC7-A050-ADEBE537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DE"/>
    <w:rPr>
      <w:rFonts w:eastAsia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A529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29D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naisf">
    <w:name w:val="naisf"/>
    <w:basedOn w:val="Normal"/>
    <w:link w:val="naisfChar"/>
    <w:rsid w:val="00A529DE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A529DE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A529DE"/>
    <w:pPr>
      <w:spacing w:before="75" w:after="75"/>
    </w:pPr>
  </w:style>
  <w:style w:type="paragraph" w:styleId="ListParagraph">
    <w:name w:val="List Paragraph"/>
    <w:basedOn w:val="Normal"/>
    <w:uiPriority w:val="34"/>
    <w:qFormat/>
    <w:rsid w:val="00A529DE"/>
    <w:pPr>
      <w:widowControl w:val="0"/>
      <w:suppressAutoHyphens/>
      <w:ind w:left="720"/>
      <w:contextualSpacing/>
    </w:pPr>
    <w:rPr>
      <w:rFonts w:eastAsia="Lucida Sans Unicode"/>
      <w:kern w:val="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29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9DE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529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9DE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A529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DE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2131">
    <w:name w:val="tv2131"/>
    <w:basedOn w:val="Normal"/>
    <w:rsid w:val="008A230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Style">
    <w:name w:val="Style"/>
    <w:basedOn w:val="Normal"/>
    <w:rsid w:val="000916C0"/>
    <w:pPr>
      <w:autoSpaceDE w:val="0"/>
      <w:autoSpaceDN w:val="0"/>
    </w:pPr>
    <w:rPr>
      <w:rFonts w:eastAsiaTheme="minorHAnsi"/>
      <w:lang w:eastAsia="en-US"/>
    </w:rPr>
  </w:style>
  <w:style w:type="paragraph" w:customStyle="1" w:styleId="RakstzCharChar">
    <w:name w:val="Rakstz. Char Char"/>
    <w:basedOn w:val="Normal"/>
    <w:rsid w:val="00F0491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link w:val="NormalWebChar"/>
    <w:rsid w:val="00477EC1"/>
    <w:pPr>
      <w:spacing w:before="100" w:beforeAutospacing="1" w:after="100" w:afterAutospacing="1"/>
    </w:pPr>
    <w:rPr>
      <w:rFonts w:eastAsia="Calibri"/>
    </w:rPr>
  </w:style>
  <w:style w:type="character" w:customStyle="1" w:styleId="NormalWebChar">
    <w:name w:val="Normal (Web) Char"/>
    <w:basedOn w:val="DefaultParagraphFont"/>
    <w:link w:val="NormalWeb"/>
    <w:rsid w:val="00477EC1"/>
    <w:rPr>
      <w:rFonts w:eastAsia="Calibri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59257F"/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6D384C"/>
    <w:rPr>
      <w:b/>
      <w:bCs/>
    </w:rPr>
  </w:style>
  <w:style w:type="character" w:styleId="Emphasis">
    <w:name w:val="Emphasis"/>
    <w:basedOn w:val="DefaultParagraphFont"/>
    <w:uiPriority w:val="20"/>
    <w:qFormat/>
    <w:rsid w:val="006D384C"/>
    <w:rPr>
      <w:i/>
      <w:iCs/>
    </w:rPr>
  </w:style>
  <w:style w:type="paragraph" w:customStyle="1" w:styleId="tvhtml">
    <w:name w:val="tv_html"/>
    <w:basedOn w:val="Normal"/>
    <w:rsid w:val="000D4D4C"/>
    <w:pPr>
      <w:spacing w:before="100" w:beforeAutospacing="1" w:after="100" w:afterAutospacing="1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E02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AF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AF7"/>
    <w:rPr>
      <w:rFonts w:asciiTheme="minorHAnsi" w:hAnsiTheme="minorHAnsi"/>
      <w:sz w:val="20"/>
      <w:szCs w:val="20"/>
    </w:rPr>
  </w:style>
  <w:style w:type="table" w:styleId="TableGrid">
    <w:name w:val="Table Grid"/>
    <w:basedOn w:val="TableNormal"/>
    <w:uiPriority w:val="59"/>
    <w:rsid w:val="007F3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C31F12"/>
    <w:rPr>
      <w:rFonts w:eastAsia="Times New Roman" w:cs="Times New Roman"/>
      <w:sz w:val="20"/>
      <w:szCs w:val="20"/>
      <w:lang w:val="en-AU" w:eastAsia="lv-LV"/>
    </w:rPr>
  </w:style>
  <w:style w:type="paragraph" w:customStyle="1" w:styleId="naislab">
    <w:name w:val="naislab"/>
    <w:basedOn w:val="Normal"/>
    <w:rsid w:val="00C31F12"/>
    <w:pPr>
      <w:spacing w:before="75" w:after="7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header" Target="header1.xm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A2B7-73DE-4BEC-8E4E-CB10AEB1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Gunta.Repele@em.gov.lv</dc:creator>
  <cp:lastModifiedBy>Gunta Rēpele</cp:lastModifiedBy>
  <cp:revision>35</cp:revision>
  <cp:lastPrinted>2017-11-22T10:19:00Z</cp:lastPrinted>
  <dcterms:created xsi:type="dcterms:W3CDTF">2017-11-21T07:00:00Z</dcterms:created>
  <dcterms:modified xsi:type="dcterms:W3CDTF">2018-01-04T13:39:00Z</dcterms:modified>
</cp:coreProperties>
</file>