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25CD" w14:textId="77777777" w:rsidR="00945843" w:rsidRDefault="00945843" w:rsidP="00945843">
      <w:pPr>
        <w:rPr>
          <w:i/>
        </w:rPr>
      </w:pPr>
    </w:p>
    <w:p w14:paraId="5A7FBC91" w14:textId="3AEFAFA9" w:rsidR="00745BDB" w:rsidRDefault="00745BDB" w:rsidP="00703009">
      <w:pPr>
        <w:rPr>
          <w:sz w:val="28"/>
          <w:szCs w:val="28"/>
        </w:rPr>
      </w:pPr>
    </w:p>
    <w:p w14:paraId="1832C362" w14:textId="77777777" w:rsidR="00703009" w:rsidRPr="004E0AEB" w:rsidRDefault="00703009" w:rsidP="00703009">
      <w:pPr>
        <w:rPr>
          <w:sz w:val="28"/>
          <w:szCs w:val="28"/>
        </w:rPr>
      </w:pPr>
    </w:p>
    <w:p w14:paraId="0D7B65C6" w14:textId="77777777" w:rsidR="00703009" w:rsidRPr="00114170" w:rsidRDefault="00703009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703009" w:rsidRPr="009021FB" w14:paraId="77DCD01E" w14:textId="77777777" w:rsidTr="009021FB">
        <w:trPr>
          <w:cantSplit/>
        </w:trPr>
        <w:tc>
          <w:tcPr>
            <w:tcW w:w="4148" w:type="dxa"/>
            <w:hideMark/>
          </w:tcPr>
          <w:p w14:paraId="51FC2310" w14:textId="77777777" w:rsidR="00703009" w:rsidRPr="009021FB" w:rsidRDefault="00703009" w:rsidP="009021FB">
            <w:pPr>
              <w:ind w:left="-76"/>
              <w:rPr>
                <w:sz w:val="28"/>
                <w:szCs w:val="24"/>
              </w:rPr>
            </w:pPr>
            <w:r w:rsidRPr="009021FB">
              <w:rPr>
                <w:sz w:val="28"/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0D9F740" w14:textId="77777777" w:rsidR="00703009" w:rsidRPr="009021FB" w:rsidRDefault="00703009" w:rsidP="009021FB">
            <w:pPr>
              <w:rPr>
                <w:sz w:val="28"/>
                <w:szCs w:val="24"/>
              </w:rPr>
            </w:pPr>
            <w:r w:rsidRPr="009021FB">
              <w:rPr>
                <w:sz w:val="28"/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54EF354E" w14:textId="77777777" w:rsidR="00703009" w:rsidRPr="009021FB" w:rsidRDefault="00703009" w:rsidP="009021FB">
            <w:pPr>
              <w:jc w:val="center"/>
              <w:rPr>
                <w:sz w:val="28"/>
                <w:szCs w:val="24"/>
              </w:rPr>
            </w:pPr>
            <w:r w:rsidRPr="009021FB">
              <w:rPr>
                <w:sz w:val="28"/>
                <w:szCs w:val="24"/>
              </w:rPr>
              <w:t xml:space="preserve">2018. gada </w:t>
            </w:r>
          </w:p>
        </w:tc>
      </w:tr>
    </w:tbl>
    <w:p w14:paraId="6D29067B" w14:textId="77777777" w:rsidR="00703009" w:rsidRPr="009021FB" w:rsidRDefault="00703009" w:rsidP="009021FB">
      <w:pPr>
        <w:jc w:val="both"/>
        <w:rPr>
          <w:sz w:val="28"/>
          <w:szCs w:val="24"/>
          <w:lang w:val="de-DE"/>
        </w:rPr>
      </w:pPr>
    </w:p>
    <w:p w14:paraId="17FC08F0" w14:textId="77777777" w:rsidR="00703009" w:rsidRPr="009021FB" w:rsidRDefault="00703009" w:rsidP="009021FB">
      <w:pPr>
        <w:jc w:val="center"/>
        <w:rPr>
          <w:sz w:val="28"/>
          <w:szCs w:val="24"/>
        </w:rPr>
      </w:pPr>
      <w:r w:rsidRPr="009021FB">
        <w:rPr>
          <w:b/>
          <w:bCs/>
          <w:sz w:val="28"/>
          <w:szCs w:val="24"/>
        </w:rPr>
        <w:t>. §</w:t>
      </w:r>
    </w:p>
    <w:p w14:paraId="63857BB7" w14:textId="77777777" w:rsidR="00745BDB" w:rsidRPr="004E0AEB" w:rsidRDefault="00745BDB" w:rsidP="00745BDB">
      <w:pPr>
        <w:jc w:val="center"/>
        <w:rPr>
          <w:rFonts w:cs="Times New Roman"/>
          <w:sz w:val="28"/>
          <w:szCs w:val="28"/>
        </w:rPr>
      </w:pPr>
    </w:p>
    <w:p w14:paraId="6ACBD927" w14:textId="3DEDE6C8" w:rsidR="00745BDB" w:rsidRDefault="00745BDB" w:rsidP="00745BDB">
      <w:pPr>
        <w:jc w:val="center"/>
        <w:rPr>
          <w:rFonts w:cs="Times New Roman"/>
          <w:b/>
          <w:sz w:val="28"/>
          <w:szCs w:val="28"/>
        </w:rPr>
      </w:pPr>
      <w:r w:rsidRPr="00E131BB">
        <w:rPr>
          <w:rFonts w:cs="Times New Roman"/>
          <w:b/>
          <w:sz w:val="28"/>
          <w:szCs w:val="28"/>
        </w:rPr>
        <w:t xml:space="preserve">Par Ministru kabineta </w:t>
      </w:r>
      <w:r>
        <w:rPr>
          <w:rFonts w:cs="Times New Roman"/>
          <w:b/>
          <w:sz w:val="28"/>
          <w:szCs w:val="28"/>
        </w:rPr>
        <w:t>2016</w:t>
      </w:r>
      <w:r w:rsidRPr="00E131B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 </w:t>
      </w:r>
      <w:r w:rsidRPr="00E131BB">
        <w:rPr>
          <w:rFonts w:cs="Times New Roman"/>
          <w:b/>
          <w:sz w:val="28"/>
          <w:szCs w:val="28"/>
        </w:rPr>
        <w:t xml:space="preserve">gada </w:t>
      </w:r>
      <w:r>
        <w:rPr>
          <w:rFonts w:cs="Times New Roman"/>
          <w:b/>
          <w:sz w:val="28"/>
          <w:szCs w:val="28"/>
        </w:rPr>
        <w:t>11. oktobra</w:t>
      </w:r>
      <w:r w:rsidRPr="00E131BB">
        <w:rPr>
          <w:rFonts w:cs="Times New Roman"/>
          <w:b/>
          <w:sz w:val="28"/>
          <w:szCs w:val="28"/>
        </w:rPr>
        <w:t xml:space="preserve"> sēdes protokol</w:t>
      </w:r>
      <w:r w:rsidR="006249B6">
        <w:rPr>
          <w:rFonts w:cs="Times New Roman"/>
          <w:b/>
          <w:sz w:val="28"/>
          <w:szCs w:val="28"/>
        </w:rPr>
        <w:t>lēmuma</w:t>
      </w:r>
      <w:r w:rsidRPr="00E131BB">
        <w:rPr>
          <w:rFonts w:cs="Times New Roman"/>
          <w:b/>
          <w:sz w:val="28"/>
          <w:szCs w:val="28"/>
        </w:rPr>
        <w:t xml:space="preserve"> </w:t>
      </w:r>
      <w:r w:rsidR="006249B6">
        <w:rPr>
          <w:rFonts w:cs="Times New Roman"/>
          <w:b/>
          <w:sz w:val="28"/>
          <w:szCs w:val="28"/>
        </w:rPr>
        <w:t>(prot. </w:t>
      </w:r>
      <w:r w:rsidRPr="00E131BB">
        <w:rPr>
          <w:rFonts w:cs="Times New Roman"/>
          <w:b/>
          <w:sz w:val="28"/>
          <w:szCs w:val="28"/>
        </w:rPr>
        <w:t>Nr.</w:t>
      </w:r>
      <w:r>
        <w:rPr>
          <w:rFonts w:cs="Times New Roman"/>
          <w:b/>
          <w:sz w:val="28"/>
          <w:szCs w:val="28"/>
        </w:rPr>
        <w:t> 52</w:t>
      </w:r>
      <w:r w:rsidRPr="00E131B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61</w:t>
      </w:r>
      <w:r w:rsidRPr="00E131BB">
        <w:rPr>
          <w:rFonts w:cs="Times New Roman"/>
          <w:b/>
          <w:sz w:val="28"/>
          <w:szCs w:val="28"/>
        </w:rPr>
        <w:t>.</w:t>
      </w:r>
      <w:r w:rsidR="006249B6">
        <w:rPr>
          <w:rFonts w:cs="Times New Roman"/>
          <w:b/>
          <w:sz w:val="28"/>
          <w:szCs w:val="28"/>
        </w:rPr>
        <w:t> </w:t>
      </w:r>
      <w:r w:rsidRPr="00E131BB">
        <w:rPr>
          <w:rFonts w:cs="Times New Roman"/>
          <w:b/>
          <w:sz w:val="28"/>
          <w:szCs w:val="28"/>
        </w:rPr>
        <w:t>§</w:t>
      </w:r>
      <w:r w:rsidR="006249B6"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sz w:val="28"/>
          <w:szCs w:val="28"/>
        </w:rPr>
        <w:t xml:space="preserve"> </w:t>
      </w:r>
      <w:r w:rsidR="00703009">
        <w:rPr>
          <w:rFonts w:cs="Times New Roman"/>
          <w:b/>
          <w:sz w:val="28"/>
          <w:szCs w:val="28"/>
        </w:rPr>
        <w:t>"</w:t>
      </w:r>
      <w:r>
        <w:rPr>
          <w:rFonts w:cs="Times New Roman"/>
          <w:b/>
          <w:sz w:val="28"/>
          <w:szCs w:val="28"/>
        </w:rPr>
        <w:t xml:space="preserve">Informatīvais ziņojums </w:t>
      </w:r>
      <w:r w:rsidR="00703009">
        <w:rPr>
          <w:rFonts w:cs="Times New Roman"/>
          <w:b/>
          <w:sz w:val="28"/>
          <w:szCs w:val="28"/>
        </w:rPr>
        <w:t>"</w:t>
      </w:r>
      <w:r>
        <w:rPr>
          <w:rFonts w:cs="Times New Roman"/>
          <w:b/>
          <w:sz w:val="28"/>
          <w:szCs w:val="28"/>
        </w:rPr>
        <w:t>Par Latvijas Republikas 2015.</w:t>
      </w:r>
      <w:r w:rsidR="00703009">
        <w:rPr>
          <w:rFonts w:cs="Times New Roman"/>
          <w:b/>
          <w:sz w:val="28"/>
          <w:szCs w:val="28"/>
        </w:rPr>
        <w:t> </w:t>
      </w:r>
      <w:r>
        <w:rPr>
          <w:rFonts w:cs="Times New Roman"/>
          <w:b/>
          <w:sz w:val="28"/>
          <w:szCs w:val="28"/>
        </w:rPr>
        <w:t>gada pārskatu par valsts budžeta izpildi un pašvaldību budžetiem</w:t>
      </w:r>
      <w:r w:rsidR="00703009">
        <w:rPr>
          <w:rFonts w:cs="Times New Roman"/>
          <w:b/>
          <w:sz w:val="28"/>
          <w:szCs w:val="28"/>
        </w:rPr>
        <w:t>""</w:t>
      </w:r>
      <w:r w:rsidRPr="00E131B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8</w:t>
      </w:r>
      <w:r w:rsidRPr="00E131B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 </w:t>
      </w:r>
      <w:r w:rsidRPr="00E131BB">
        <w:rPr>
          <w:rFonts w:cs="Times New Roman"/>
          <w:b/>
          <w:sz w:val="28"/>
          <w:szCs w:val="28"/>
        </w:rPr>
        <w:t>punktā dotā uzdevuma izpildi</w:t>
      </w:r>
    </w:p>
    <w:p w14:paraId="472537F1" w14:textId="744B2959" w:rsidR="00703009" w:rsidRPr="00703009" w:rsidRDefault="00703009" w:rsidP="00703009">
      <w:pPr>
        <w:ind w:firstLine="709"/>
        <w:rPr>
          <w:rFonts w:cs="Times New Roman"/>
          <w:b/>
          <w:szCs w:val="28"/>
        </w:rPr>
      </w:pPr>
      <w:r w:rsidRPr="00703009">
        <w:rPr>
          <w:rFonts w:cs="Times New Roman"/>
          <w:b/>
          <w:szCs w:val="28"/>
        </w:rPr>
        <w:t>TA-</w:t>
      </w:r>
    </w:p>
    <w:p w14:paraId="2956A069" w14:textId="2A6DE3EC" w:rsidR="00745BDB" w:rsidRPr="00703009" w:rsidRDefault="00745BDB" w:rsidP="00745BDB">
      <w:pPr>
        <w:jc w:val="center"/>
        <w:rPr>
          <w:rFonts w:cs="Times New Roman"/>
          <w:szCs w:val="28"/>
        </w:rPr>
      </w:pPr>
      <w:r w:rsidRPr="00703009">
        <w:rPr>
          <w:rFonts w:cs="Times New Roman"/>
          <w:szCs w:val="28"/>
        </w:rPr>
        <w:t>____________________________________________________</w:t>
      </w:r>
      <w:r w:rsidR="00703009">
        <w:rPr>
          <w:rFonts w:cs="Times New Roman"/>
          <w:szCs w:val="28"/>
        </w:rPr>
        <w:t>_______</w:t>
      </w:r>
    </w:p>
    <w:p w14:paraId="7B549DB4" w14:textId="77777777" w:rsidR="00745BDB" w:rsidRPr="00703009" w:rsidRDefault="00745BDB" w:rsidP="00745BDB">
      <w:pPr>
        <w:jc w:val="center"/>
        <w:rPr>
          <w:szCs w:val="28"/>
        </w:rPr>
      </w:pPr>
      <w:r w:rsidRPr="00703009">
        <w:rPr>
          <w:szCs w:val="28"/>
        </w:rPr>
        <w:t>(…)</w:t>
      </w:r>
    </w:p>
    <w:p w14:paraId="5798774F" w14:textId="77777777" w:rsidR="00745BDB" w:rsidRPr="004E0AEB" w:rsidRDefault="00745BDB" w:rsidP="00745BDB">
      <w:pPr>
        <w:jc w:val="center"/>
        <w:rPr>
          <w:b/>
          <w:sz w:val="28"/>
          <w:szCs w:val="28"/>
        </w:rPr>
      </w:pPr>
    </w:p>
    <w:p w14:paraId="0F25E7A5" w14:textId="77777777" w:rsidR="00745BDB" w:rsidRDefault="00745BDB" w:rsidP="00745BDB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1.</w:t>
      </w:r>
      <w:r w:rsidRPr="00AB30E5">
        <w:rPr>
          <w:rStyle w:val="spelle"/>
          <w:sz w:val="28"/>
          <w:szCs w:val="28"/>
        </w:rPr>
        <w:t xml:space="preserve"> </w:t>
      </w:r>
      <w:r w:rsidRPr="00C71F3C">
        <w:rPr>
          <w:rStyle w:val="spelle"/>
          <w:sz w:val="28"/>
          <w:szCs w:val="28"/>
        </w:rPr>
        <w:t>Pieņemt zināšanai finanšu ministra iesniegto informāciju.</w:t>
      </w:r>
    </w:p>
    <w:p w14:paraId="3C346588" w14:textId="1D1AE9F7" w:rsidR="00745BDB" w:rsidRDefault="00745BDB" w:rsidP="00745BDB">
      <w:pPr>
        <w:ind w:firstLine="720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 xml:space="preserve">2. Atzīt </w:t>
      </w:r>
      <w:r w:rsidRPr="00525ACC">
        <w:rPr>
          <w:rStyle w:val="spelle"/>
          <w:sz w:val="28"/>
          <w:szCs w:val="28"/>
        </w:rPr>
        <w:t xml:space="preserve">Ministru kabineta </w:t>
      </w:r>
      <w:r>
        <w:rPr>
          <w:sz w:val="28"/>
          <w:szCs w:val="28"/>
        </w:rPr>
        <w:t>2016</w:t>
      </w:r>
      <w:r w:rsidRPr="00525A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 xml:space="preserve">gada </w:t>
      </w:r>
      <w:r>
        <w:rPr>
          <w:sz w:val="28"/>
          <w:szCs w:val="28"/>
        </w:rPr>
        <w:t>11. oktobra</w:t>
      </w:r>
      <w:r w:rsidRPr="00525ACC">
        <w:rPr>
          <w:sz w:val="28"/>
          <w:szCs w:val="28"/>
        </w:rPr>
        <w:t xml:space="preserve"> sēdes protokollēmuma (prot.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>Nr.</w:t>
      </w:r>
      <w:r>
        <w:rPr>
          <w:sz w:val="28"/>
          <w:szCs w:val="28"/>
        </w:rPr>
        <w:t> 52 61</w:t>
      </w:r>
      <w:r w:rsidRPr="00525A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 xml:space="preserve">§) </w:t>
      </w:r>
      <w:r w:rsidR="00703009">
        <w:rPr>
          <w:sz w:val="28"/>
          <w:szCs w:val="28"/>
        </w:rPr>
        <w:t>"</w:t>
      </w:r>
      <w:r>
        <w:rPr>
          <w:sz w:val="28"/>
          <w:szCs w:val="28"/>
        </w:rPr>
        <w:t xml:space="preserve">Informatīvais ziņojums </w:t>
      </w:r>
      <w:r w:rsidR="00703009">
        <w:rPr>
          <w:sz w:val="28"/>
          <w:szCs w:val="28"/>
        </w:rPr>
        <w:t>"</w:t>
      </w:r>
      <w:r>
        <w:rPr>
          <w:sz w:val="28"/>
          <w:szCs w:val="28"/>
        </w:rPr>
        <w:t>Par Latvijas Republikas 2015.</w:t>
      </w:r>
      <w:r w:rsidR="00703009">
        <w:rPr>
          <w:sz w:val="28"/>
          <w:szCs w:val="28"/>
        </w:rPr>
        <w:t> </w:t>
      </w:r>
      <w:r>
        <w:rPr>
          <w:sz w:val="28"/>
          <w:szCs w:val="28"/>
        </w:rPr>
        <w:t>gada pārskatu par valsts budžeta izpildi un pašvaldību budžetiem</w:t>
      </w:r>
      <w:r w:rsidR="00703009">
        <w:rPr>
          <w:sz w:val="28"/>
          <w:szCs w:val="28"/>
        </w:rPr>
        <w:t>""</w:t>
      </w:r>
      <w:r>
        <w:rPr>
          <w:sz w:val="28"/>
          <w:szCs w:val="28"/>
        </w:rPr>
        <w:t xml:space="preserve"> 8</w:t>
      </w:r>
      <w:r w:rsidRPr="00525A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>punktā</w:t>
      </w:r>
      <w:r w:rsidRPr="00525ACC">
        <w:rPr>
          <w:b/>
          <w:sz w:val="28"/>
          <w:szCs w:val="28"/>
        </w:rPr>
        <w:t xml:space="preserve"> </w:t>
      </w:r>
      <w:r>
        <w:rPr>
          <w:rStyle w:val="spelle"/>
          <w:sz w:val="28"/>
          <w:szCs w:val="28"/>
        </w:rPr>
        <w:t>doto uzdevumu par aktualitāti zaudējušu</w:t>
      </w:r>
      <w:r w:rsidRPr="00525ACC">
        <w:rPr>
          <w:sz w:val="28"/>
          <w:szCs w:val="28"/>
        </w:rPr>
        <w:t>.</w:t>
      </w:r>
    </w:p>
    <w:p w14:paraId="4127DBE9" w14:textId="7FA66A64" w:rsidR="00745BDB" w:rsidRDefault="00036C73" w:rsidP="00745BDB">
      <w:pPr>
        <w:ind w:firstLine="720"/>
        <w:jc w:val="both"/>
        <w:rPr>
          <w:rStyle w:val="spelle"/>
          <w:sz w:val="28"/>
          <w:szCs w:val="28"/>
        </w:rPr>
      </w:pPr>
      <w:bookmarkStart w:id="0" w:name="_Hlk503880023"/>
      <w:r>
        <w:rPr>
          <w:rStyle w:val="spelle"/>
          <w:sz w:val="28"/>
          <w:szCs w:val="28"/>
        </w:rPr>
        <w:t>3</w:t>
      </w:r>
      <w:r w:rsidR="00745BDB">
        <w:rPr>
          <w:rStyle w:val="spelle"/>
          <w:sz w:val="28"/>
          <w:szCs w:val="28"/>
        </w:rPr>
        <w:t xml:space="preserve">. </w:t>
      </w:r>
      <w:r w:rsidR="00745BDB" w:rsidRPr="004203FC">
        <w:rPr>
          <w:rStyle w:val="spelle"/>
          <w:sz w:val="28"/>
          <w:szCs w:val="28"/>
        </w:rPr>
        <w:t xml:space="preserve">Lai nodrošinātu izpratni par iekšējās kontroles </w:t>
      </w:r>
      <w:r w:rsidR="00745BDB" w:rsidRPr="00C71F3C">
        <w:rPr>
          <w:rStyle w:val="spelle"/>
          <w:sz w:val="28"/>
          <w:szCs w:val="28"/>
        </w:rPr>
        <w:t>sistēmu kopumā un saistībā</w:t>
      </w:r>
      <w:r w:rsidR="00745BDB">
        <w:rPr>
          <w:rStyle w:val="spelle"/>
          <w:sz w:val="28"/>
          <w:szCs w:val="28"/>
        </w:rPr>
        <w:t xml:space="preserve"> ar gada pārskata sagatavošanu, </w:t>
      </w:r>
      <w:r w:rsidR="00745BDB" w:rsidRPr="004B31DC">
        <w:rPr>
          <w:rStyle w:val="spelle"/>
          <w:sz w:val="28"/>
          <w:szCs w:val="28"/>
        </w:rPr>
        <w:t xml:space="preserve">Valsts kancelejai </w:t>
      </w:r>
      <w:r w:rsidR="00815249">
        <w:rPr>
          <w:rStyle w:val="spelle"/>
          <w:sz w:val="28"/>
          <w:szCs w:val="28"/>
        </w:rPr>
        <w:t>(</w:t>
      </w:r>
      <w:r w:rsidR="00745BDB" w:rsidRPr="004B31DC">
        <w:rPr>
          <w:rStyle w:val="spelle"/>
          <w:sz w:val="28"/>
          <w:szCs w:val="28"/>
        </w:rPr>
        <w:t>Valsts administrācijas skolai</w:t>
      </w:r>
      <w:r w:rsidR="00815249">
        <w:rPr>
          <w:rStyle w:val="spelle"/>
          <w:sz w:val="28"/>
          <w:szCs w:val="28"/>
        </w:rPr>
        <w:t>)</w:t>
      </w:r>
      <w:r w:rsidR="00745BDB" w:rsidRPr="004B31DC">
        <w:rPr>
          <w:rStyle w:val="spelle"/>
          <w:sz w:val="28"/>
          <w:szCs w:val="28"/>
        </w:rPr>
        <w:t xml:space="preserve"> sadarbībā ar Finanšu ministriju, Valsts kasi, Vides aizsardzības un reģionālās attīstības ministriju un Latvijas Pašvaldību savienību:</w:t>
      </w:r>
      <w:r w:rsidR="00745BDB">
        <w:rPr>
          <w:rStyle w:val="spelle"/>
          <w:sz w:val="28"/>
          <w:szCs w:val="28"/>
        </w:rPr>
        <w:t xml:space="preserve"> </w:t>
      </w:r>
    </w:p>
    <w:p w14:paraId="312C5AC1" w14:textId="70FFB6F6" w:rsidR="00745BDB" w:rsidRDefault="00036C73" w:rsidP="00745BDB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3</w:t>
      </w:r>
      <w:r w:rsidR="00745BDB">
        <w:rPr>
          <w:rStyle w:val="spelle"/>
          <w:sz w:val="28"/>
          <w:szCs w:val="28"/>
        </w:rPr>
        <w:t xml:space="preserve">.1. </w:t>
      </w:r>
      <w:bookmarkStart w:id="1" w:name="_Hlk503880381"/>
      <w:r w:rsidR="00745BDB">
        <w:rPr>
          <w:rStyle w:val="spelle"/>
          <w:sz w:val="28"/>
          <w:szCs w:val="28"/>
        </w:rPr>
        <w:t xml:space="preserve">līdz </w:t>
      </w:r>
      <w:r w:rsidR="00745BDB" w:rsidRPr="00036C73">
        <w:rPr>
          <w:rStyle w:val="spelle"/>
          <w:sz w:val="28"/>
          <w:szCs w:val="28"/>
        </w:rPr>
        <w:t>2018.</w:t>
      </w:r>
      <w:r w:rsidR="00703009">
        <w:rPr>
          <w:rStyle w:val="spelle"/>
          <w:sz w:val="28"/>
          <w:szCs w:val="28"/>
        </w:rPr>
        <w:t> </w:t>
      </w:r>
      <w:r w:rsidR="00745BDB" w:rsidRPr="00036C73">
        <w:rPr>
          <w:rStyle w:val="spelle"/>
          <w:sz w:val="28"/>
          <w:szCs w:val="28"/>
        </w:rPr>
        <w:t xml:space="preserve">gada </w:t>
      </w:r>
      <w:r w:rsidR="00745BDB" w:rsidRPr="00815249">
        <w:rPr>
          <w:rStyle w:val="spelle"/>
          <w:sz w:val="28"/>
          <w:szCs w:val="28"/>
        </w:rPr>
        <w:t>1.</w:t>
      </w:r>
      <w:r w:rsidR="00703009">
        <w:rPr>
          <w:rStyle w:val="spelle"/>
          <w:sz w:val="28"/>
          <w:szCs w:val="28"/>
        </w:rPr>
        <w:t> </w:t>
      </w:r>
      <w:r w:rsidRPr="00815249">
        <w:rPr>
          <w:rStyle w:val="spelle"/>
          <w:sz w:val="28"/>
          <w:szCs w:val="28"/>
        </w:rPr>
        <w:t>aprīlim</w:t>
      </w:r>
      <w:r w:rsidR="00745BDB" w:rsidRPr="00815249">
        <w:rPr>
          <w:rStyle w:val="spelle"/>
          <w:sz w:val="28"/>
          <w:szCs w:val="28"/>
        </w:rPr>
        <w:t xml:space="preserve"> </w:t>
      </w:r>
      <w:bookmarkEnd w:id="1"/>
      <w:r w:rsidR="00745BDB">
        <w:rPr>
          <w:rStyle w:val="spelle"/>
          <w:sz w:val="28"/>
          <w:szCs w:val="28"/>
        </w:rPr>
        <w:t xml:space="preserve">organizēt atvērto lekciju pašvaldību augstākā un vidējā līmeņa vadītājiem par iekšējās kontroles sistēmas ietvaru un pamatprincipiem; </w:t>
      </w:r>
    </w:p>
    <w:p w14:paraId="0DA2612D" w14:textId="0FE212D7" w:rsidR="00745BDB" w:rsidRDefault="00036C73" w:rsidP="00745BDB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3</w:t>
      </w:r>
      <w:r w:rsidR="00745BDB">
        <w:rPr>
          <w:rStyle w:val="spelle"/>
          <w:sz w:val="28"/>
          <w:szCs w:val="28"/>
        </w:rPr>
        <w:t>.2. izveidot mācību kursu par iekšējās kontroles sistēmas jautājumiem.</w:t>
      </w:r>
    </w:p>
    <w:bookmarkEnd w:id="0"/>
    <w:p w14:paraId="2976C4A1" w14:textId="3FC4DD74" w:rsidR="00745BDB" w:rsidRDefault="00036C73" w:rsidP="00745BDB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4</w:t>
      </w:r>
      <w:r w:rsidR="00745BDB">
        <w:rPr>
          <w:rStyle w:val="spelle"/>
          <w:sz w:val="28"/>
          <w:szCs w:val="28"/>
        </w:rPr>
        <w:t xml:space="preserve">. </w:t>
      </w:r>
      <w:r w:rsidR="00745BDB" w:rsidRPr="004B31DC">
        <w:rPr>
          <w:rStyle w:val="spelle"/>
          <w:sz w:val="28"/>
          <w:szCs w:val="28"/>
        </w:rPr>
        <w:t>Vides aizsardzības un reģionālās attīstības ministrij</w:t>
      </w:r>
      <w:r w:rsidR="00745BDB">
        <w:rPr>
          <w:rStyle w:val="spelle"/>
          <w:sz w:val="28"/>
          <w:szCs w:val="28"/>
        </w:rPr>
        <w:t>ai</w:t>
      </w:r>
      <w:r w:rsidR="00745BDB" w:rsidRPr="004B31DC">
        <w:rPr>
          <w:rStyle w:val="spelle"/>
          <w:sz w:val="28"/>
          <w:szCs w:val="28"/>
        </w:rPr>
        <w:t xml:space="preserve"> </w:t>
      </w:r>
      <w:r w:rsidR="00745BDB">
        <w:rPr>
          <w:rStyle w:val="spelle"/>
          <w:sz w:val="28"/>
          <w:szCs w:val="28"/>
        </w:rPr>
        <w:t xml:space="preserve">sadarbībā ar </w:t>
      </w:r>
      <w:r w:rsidR="00745BDB" w:rsidRPr="004B31DC">
        <w:rPr>
          <w:rStyle w:val="spelle"/>
          <w:sz w:val="28"/>
          <w:szCs w:val="28"/>
        </w:rPr>
        <w:t>Latvijas Pašvaldību savienīb</w:t>
      </w:r>
      <w:r w:rsidR="00745BDB">
        <w:rPr>
          <w:rStyle w:val="spelle"/>
          <w:sz w:val="28"/>
          <w:szCs w:val="28"/>
        </w:rPr>
        <w:t xml:space="preserve">u </w:t>
      </w:r>
      <w:r w:rsidR="00745BDB" w:rsidRPr="00E31CC9">
        <w:rPr>
          <w:rStyle w:val="spelle"/>
          <w:sz w:val="28"/>
          <w:szCs w:val="28"/>
        </w:rPr>
        <w:t>metodiski</w:t>
      </w:r>
      <w:r w:rsidR="00C71332" w:rsidRPr="00E31CC9">
        <w:rPr>
          <w:rStyle w:val="spelle"/>
          <w:sz w:val="28"/>
          <w:szCs w:val="28"/>
        </w:rPr>
        <w:t xml:space="preserve"> </w:t>
      </w:r>
      <w:r w:rsidR="00745BDB" w:rsidRPr="00E31CC9">
        <w:rPr>
          <w:rStyle w:val="spelle"/>
          <w:sz w:val="28"/>
          <w:szCs w:val="28"/>
        </w:rPr>
        <w:t>konsultatīv</w:t>
      </w:r>
      <w:r w:rsidR="00E31CC9" w:rsidRPr="00E31CC9">
        <w:rPr>
          <w:rStyle w:val="spelle"/>
          <w:sz w:val="28"/>
          <w:szCs w:val="28"/>
        </w:rPr>
        <w:t>o</w:t>
      </w:r>
      <w:r w:rsidR="00745BDB" w:rsidRPr="00E31CC9">
        <w:rPr>
          <w:rStyle w:val="spelle"/>
          <w:sz w:val="28"/>
          <w:szCs w:val="28"/>
        </w:rPr>
        <w:t xml:space="preserve"> atbalst</w:t>
      </w:r>
      <w:r w:rsidR="00E31CC9" w:rsidRPr="00E31CC9">
        <w:rPr>
          <w:rStyle w:val="spelle"/>
          <w:sz w:val="28"/>
          <w:szCs w:val="28"/>
        </w:rPr>
        <w:t>u</w:t>
      </w:r>
      <w:r w:rsidR="00745BDB" w:rsidRPr="00E31CC9">
        <w:rPr>
          <w:rStyle w:val="spelle"/>
          <w:sz w:val="28"/>
          <w:szCs w:val="28"/>
        </w:rPr>
        <w:t xml:space="preserve"> </w:t>
      </w:r>
      <w:r w:rsidR="00E31CC9" w:rsidRPr="00E31CC9">
        <w:rPr>
          <w:rStyle w:val="spelle"/>
          <w:sz w:val="28"/>
          <w:szCs w:val="28"/>
        </w:rPr>
        <w:t>papildināt</w:t>
      </w:r>
      <w:r w:rsidR="00745BDB">
        <w:rPr>
          <w:rStyle w:val="spelle"/>
          <w:sz w:val="28"/>
          <w:szCs w:val="28"/>
        </w:rPr>
        <w:t xml:space="preserve"> </w:t>
      </w:r>
      <w:r w:rsidR="00E31CC9">
        <w:rPr>
          <w:rStyle w:val="spelle"/>
          <w:sz w:val="28"/>
          <w:szCs w:val="28"/>
        </w:rPr>
        <w:t xml:space="preserve">ar </w:t>
      </w:r>
      <w:r w:rsidR="00745BDB">
        <w:rPr>
          <w:rStyle w:val="spelle"/>
          <w:sz w:val="28"/>
          <w:szCs w:val="28"/>
        </w:rPr>
        <w:t>jautājum</w:t>
      </w:r>
      <w:r w:rsidR="00E31CC9">
        <w:rPr>
          <w:rStyle w:val="spelle"/>
          <w:sz w:val="28"/>
          <w:szCs w:val="28"/>
        </w:rPr>
        <w:t>iem</w:t>
      </w:r>
      <w:r w:rsidR="00745BDB">
        <w:rPr>
          <w:rStyle w:val="spelle"/>
          <w:sz w:val="28"/>
          <w:szCs w:val="28"/>
        </w:rPr>
        <w:t xml:space="preserve"> par iekšējās kontroles sistēmu. </w:t>
      </w:r>
    </w:p>
    <w:p w14:paraId="4C6220B1" w14:textId="25C1C3AB" w:rsidR="00745BDB" w:rsidRDefault="00036C73" w:rsidP="00745BDB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5</w:t>
      </w:r>
      <w:r w:rsidR="00745BDB">
        <w:rPr>
          <w:rStyle w:val="spelle"/>
          <w:sz w:val="28"/>
          <w:szCs w:val="28"/>
        </w:rPr>
        <w:t xml:space="preserve">. Lai sekmētu efektīvākas iekšējās kontroles sistēmas ieviešanu pašvaldībās un publiskas personas kapitālsabiedrībās, </w:t>
      </w:r>
      <w:r w:rsidR="00745BDB" w:rsidRPr="004B31DC">
        <w:rPr>
          <w:rStyle w:val="spelle"/>
          <w:sz w:val="28"/>
          <w:szCs w:val="28"/>
        </w:rPr>
        <w:t>Finanšu ministrij</w:t>
      </w:r>
      <w:r w:rsidR="00745BDB">
        <w:rPr>
          <w:rStyle w:val="spelle"/>
          <w:sz w:val="28"/>
          <w:szCs w:val="28"/>
        </w:rPr>
        <w:t>ai</w:t>
      </w:r>
      <w:r w:rsidR="00745BDB" w:rsidRPr="004B31DC">
        <w:rPr>
          <w:rStyle w:val="spelle"/>
          <w:sz w:val="28"/>
          <w:szCs w:val="28"/>
        </w:rPr>
        <w:t>, Valsts kas</w:t>
      </w:r>
      <w:r w:rsidR="00745BDB">
        <w:rPr>
          <w:rStyle w:val="spelle"/>
          <w:sz w:val="28"/>
          <w:szCs w:val="28"/>
        </w:rPr>
        <w:t>e</w:t>
      </w:r>
      <w:r w:rsidR="00745BDB" w:rsidRPr="004B31DC">
        <w:rPr>
          <w:rStyle w:val="spelle"/>
          <w:sz w:val="28"/>
          <w:szCs w:val="28"/>
        </w:rPr>
        <w:t>i</w:t>
      </w:r>
      <w:r w:rsidR="00745BDB">
        <w:rPr>
          <w:rStyle w:val="spelle"/>
          <w:sz w:val="28"/>
          <w:szCs w:val="28"/>
        </w:rPr>
        <w:t xml:space="preserve">, </w:t>
      </w:r>
      <w:r w:rsidR="00745BDB" w:rsidRPr="004B31DC">
        <w:rPr>
          <w:rStyle w:val="spelle"/>
          <w:sz w:val="28"/>
          <w:szCs w:val="28"/>
        </w:rPr>
        <w:t>Valsts kancelejai</w:t>
      </w:r>
      <w:r w:rsidR="00745BDB">
        <w:rPr>
          <w:rStyle w:val="spelle"/>
          <w:sz w:val="28"/>
          <w:szCs w:val="28"/>
        </w:rPr>
        <w:t xml:space="preserve">, </w:t>
      </w:r>
      <w:proofErr w:type="spellStart"/>
      <w:r w:rsidR="00745BDB">
        <w:rPr>
          <w:rStyle w:val="spelle"/>
          <w:sz w:val="28"/>
          <w:szCs w:val="28"/>
        </w:rPr>
        <w:t>Pārresoru</w:t>
      </w:r>
      <w:proofErr w:type="spellEnd"/>
      <w:r w:rsidR="00745BDB">
        <w:rPr>
          <w:rStyle w:val="spelle"/>
          <w:sz w:val="28"/>
          <w:szCs w:val="28"/>
        </w:rPr>
        <w:t xml:space="preserve"> koordinācijas centram, </w:t>
      </w:r>
      <w:r w:rsidR="00745BDB" w:rsidRPr="004B31DC">
        <w:rPr>
          <w:rStyle w:val="spelle"/>
          <w:sz w:val="28"/>
          <w:szCs w:val="28"/>
        </w:rPr>
        <w:t>Vides aizsardzības un reģionālās attīstības ministrij</w:t>
      </w:r>
      <w:r w:rsidR="00745BDB">
        <w:rPr>
          <w:rStyle w:val="spelle"/>
          <w:sz w:val="28"/>
          <w:szCs w:val="28"/>
        </w:rPr>
        <w:t>ai sadarbībā ar</w:t>
      </w:r>
      <w:r w:rsidR="00745BDB" w:rsidRPr="004B31DC">
        <w:rPr>
          <w:rStyle w:val="spelle"/>
          <w:sz w:val="28"/>
          <w:szCs w:val="28"/>
        </w:rPr>
        <w:t xml:space="preserve"> Latvijas Pašvaldību savienību</w:t>
      </w:r>
      <w:r w:rsidR="00745BDB">
        <w:rPr>
          <w:rStyle w:val="spelle"/>
          <w:sz w:val="28"/>
          <w:szCs w:val="28"/>
        </w:rPr>
        <w:t xml:space="preserve"> līdz </w:t>
      </w:r>
      <w:r w:rsidR="00745BDB" w:rsidRPr="00815249">
        <w:rPr>
          <w:rStyle w:val="spelle"/>
          <w:sz w:val="28"/>
          <w:szCs w:val="28"/>
        </w:rPr>
        <w:t>2019.</w:t>
      </w:r>
      <w:r w:rsidR="00C71332">
        <w:rPr>
          <w:rStyle w:val="spelle"/>
          <w:sz w:val="28"/>
          <w:szCs w:val="28"/>
        </w:rPr>
        <w:t> </w:t>
      </w:r>
      <w:r w:rsidR="00745BDB" w:rsidRPr="00815249">
        <w:rPr>
          <w:rStyle w:val="spelle"/>
          <w:sz w:val="28"/>
          <w:szCs w:val="28"/>
        </w:rPr>
        <w:t>gada 30.</w:t>
      </w:r>
      <w:r w:rsidR="00C71332">
        <w:rPr>
          <w:rStyle w:val="spelle"/>
          <w:sz w:val="28"/>
          <w:szCs w:val="28"/>
        </w:rPr>
        <w:t> </w:t>
      </w:r>
      <w:r w:rsidR="00745BDB" w:rsidRPr="00815249">
        <w:rPr>
          <w:rStyle w:val="spelle"/>
          <w:sz w:val="28"/>
          <w:szCs w:val="28"/>
        </w:rPr>
        <w:t>novembrim</w:t>
      </w:r>
      <w:r w:rsidR="00745BDB">
        <w:rPr>
          <w:rStyle w:val="spelle"/>
          <w:sz w:val="28"/>
          <w:szCs w:val="28"/>
        </w:rPr>
        <w:t xml:space="preserve"> sagatavot skaidrojumus (vadlīnijas) par pašvaldību un publiskas personas kapitālsabiedrību iekšējās kontroles sistēmu, lai gūtu pārliecību par gada pārskata sagatavošanas pareizību.</w:t>
      </w:r>
    </w:p>
    <w:p w14:paraId="6CF03F18" w14:textId="77777777" w:rsidR="00703009" w:rsidRDefault="00703009">
      <w:pPr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br w:type="page"/>
      </w:r>
    </w:p>
    <w:p w14:paraId="6B8CF5B9" w14:textId="6E23B20D" w:rsidR="00745BDB" w:rsidRDefault="00FC3D5E" w:rsidP="00745BDB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lastRenderedPageBreak/>
        <w:t>6</w:t>
      </w:r>
      <w:r w:rsidR="00745BDB">
        <w:rPr>
          <w:rStyle w:val="spelle"/>
          <w:sz w:val="28"/>
          <w:szCs w:val="28"/>
        </w:rPr>
        <w:t xml:space="preserve">. </w:t>
      </w:r>
      <w:r w:rsidR="00745BDB" w:rsidRPr="00DE2B9F">
        <w:rPr>
          <w:sz w:val="28"/>
          <w:szCs w:val="28"/>
        </w:rPr>
        <w:t xml:space="preserve">Finanšu ministrijai apkopot informāciju par šā protokollēmuma </w:t>
      </w:r>
      <w:r w:rsidR="00815249">
        <w:rPr>
          <w:sz w:val="28"/>
          <w:szCs w:val="28"/>
        </w:rPr>
        <w:t>3</w:t>
      </w:r>
      <w:r w:rsidR="00745BDB" w:rsidRPr="00DE2B9F">
        <w:rPr>
          <w:sz w:val="28"/>
          <w:szCs w:val="28"/>
        </w:rPr>
        <w:t xml:space="preserve">., </w:t>
      </w:r>
      <w:r w:rsidR="00815249">
        <w:rPr>
          <w:sz w:val="28"/>
          <w:szCs w:val="28"/>
        </w:rPr>
        <w:t>4</w:t>
      </w:r>
      <w:r w:rsidR="00745BDB" w:rsidRPr="00DE2B9F">
        <w:rPr>
          <w:sz w:val="28"/>
          <w:szCs w:val="28"/>
        </w:rPr>
        <w:t>.</w:t>
      </w:r>
      <w:r w:rsidR="00C71332">
        <w:rPr>
          <w:sz w:val="28"/>
          <w:szCs w:val="28"/>
        </w:rPr>
        <w:t xml:space="preserve"> un</w:t>
      </w:r>
      <w:r w:rsidR="00745BDB" w:rsidRPr="00DE2B9F">
        <w:rPr>
          <w:sz w:val="28"/>
          <w:szCs w:val="28"/>
        </w:rPr>
        <w:t xml:space="preserve"> </w:t>
      </w:r>
      <w:r w:rsidR="00815249">
        <w:rPr>
          <w:sz w:val="28"/>
          <w:szCs w:val="28"/>
        </w:rPr>
        <w:t>5</w:t>
      </w:r>
      <w:r w:rsidR="00745BDB" w:rsidRPr="00DE2B9F">
        <w:rPr>
          <w:sz w:val="28"/>
          <w:szCs w:val="28"/>
        </w:rPr>
        <w:t>.</w:t>
      </w:r>
      <w:r w:rsidR="00C71332">
        <w:rPr>
          <w:sz w:val="28"/>
          <w:szCs w:val="28"/>
        </w:rPr>
        <w:t> </w:t>
      </w:r>
      <w:r w:rsidR="00745BDB" w:rsidRPr="00DE2B9F">
        <w:rPr>
          <w:sz w:val="28"/>
          <w:szCs w:val="28"/>
        </w:rPr>
        <w:t xml:space="preserve">punktā minēto uzdevumu izpildi un iesniegt </w:t>
      </w:r>
      <w:r w:rsidR="00C71332">
        <w:rPr>
          <w:sz w:val="28"/>
          <w:szCs w:val="28"/>
        </w:rPr>
        <w:t xml:space="preserve">to </w:t>
      </w:r>
      <w:r w:rsidR="00745BDB" w:rsidRPr="00DE2B9F">
        <w:rPr>
          <w:sz w:val="28"/>
          <w:szCs w:val="28"/>
        </w:rPr>
        <w:t xml:space="preserve">Valsts </w:t>
      </w:r>
      <w:r w:rsidR="00745BDB">
        <w:rPr>
          <w:sz w:val="28"/>
          <w:szCs w:val="28"/>
        </w:rPr>
        <w:t>kontrolei</w:t>
      </w:r>
      <w:r w:rsidR="00745BDB" w:rsidRPr="00ED7D49">
        <w:rPr>
          <w:sz w:val="28"/>
          <w:szCs w:val="28"/>
        </w:rPr>
        <w:t>. </w:t>
      </w:r>
    </w:p>
    <w:p w14:paraId="19BBA8BB" w14:textId="77777777" w:rsidR="00745BDB" w:rsidRDefault="00745BDB" w:rsidP="00745BDB">
      <w:pPr>
        <w:jc w:val="both"/>
        <w:rPr>
          <w:sz w:val="28"/>
          <w:szCs w:val="28"/>
        </w:rPr>
      </w:pPr>
    </w:p>
    <w:p w14:paraId="4F44BE69" w14:textId="2C8E601B" w:rsidR="00745BDB" w:rsidRDefault="00745BDB" w:rsidP="00745BDB">
      <w:pPr>
        <w:tabs>
          <w:tab w:val="left" w:pos="0"/>
          <w:tab w:val="right" w:pos="9071"/>
        </w:tabs>
        <w:jc w:val="both"/>
        <w:rPr>
          <w:sz w:val="28"/>
          <w:szCs w:val="28"/>
        </w:rPr>
      </w:pPr>
      <w:bookmarkStart w:id="2" w:name="_GoBack"/>
      <w:bookmarkEnd w:id="2"/>
    </w:p>
    <w:p w14:paraId="6D09A833" w14:textId="77777777" w:rsidR="00703009" w:rsidRDefault="00703009" w:rsidP="00745BDB">
      <w:pPr>
        <w:tabs>
          <w:tab w:val="left" w:pos="0"/>
          <w:tab w:val="right" w:pos="9071"/>
        </w:tabs>
        <w:jc w:val="both"/>
        <w:rPr>
          <w:sz w:val="28"/>
          <w:szCs w:val="28"/>
        </w:rPr>
      </w:pPr>
    </w:p>
    <w:p w14:paraId="589CDF0C" w14:textId="77777777" w:rsidR="00703009" w:rsidRPr="0022291D" w:rsidRDefault="0070300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1525A9F3" w14:textId="77777777" w:rsidR="00703009" w:rsidRPr="0022291D" w:rsidRDefault="0070300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60F599E7" w14:textId="77777777" w:rsidR="00703009" w:rsidRPr="0022291D" w:rsidRDefault="0070300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74F161B0" w14:textId="2F1BCD39" w:rsidR="00745BDB" w:rsidRDefault="00745BDB" w:rsidP="00745BDB">
      <w:pPr>
        <w:jc w:val="both"/>
        <w:rPr>
          <w:sz w:val="28"/>
          <w:szCs w:val="28"/>
        </w:rPr>
      </w:pPr>
    </w:p>
    <w:p w14:paraId="6B3D828A" w14:textId="491E2FD3" w:rsidR="00745BDB" w:rsidRDefault="00745BDB" w:rsidP="00745BDB">
      <w:pPr>
        <w:jc w:val="both"/>
        <w:rPr>
          <w:sz w:val="28"/>
          <w:szCs w:val="28"/>
        </w:rPr>
      </w:pPr>
    </w:p>
    <w:p w14:paraId="261D83A0" w14:textId="77777777" w:rsidR="00703009" w:rsidRPr="004E0AEB" w:rsidRDefault="00703009" w:rsidP="00745BDB">
      <w:pPr>
        <w:jc w:val="both"/>
        <w:rPr>
          <w:sz w:val="28"/>
          <w:szCs w:val="28"/>
        </w:rPr>
      </w:pPr>
    </w:p>
    <w:p w14:paraId="31C5CDA9" w14:textId="0D5C714E" w:rsidR="00745BDB" w:rsidRDefault="00745BDB" w:rsidP="0070300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4E0AEB">
        <w:rPr>
          <w:sz w:val="28"/>
          <w:szCs w:val="28"/>
        </w:rPr>
        <w:t xml:space="preserve">Valsts </w:t>
      </w:r>
      <w:r w:rsidRPr="00703009">
        <w:rPr>
          <w:sz w:val="28"/>
        </w:rPr>
        <w:t>kancelejas</w:t>
      </w:r>
      <w:r w:rsidRPr="004E0AEB">
        <w:rPr>
          <w:sz w:val="28"/>
          <w:szCs w:val="28"/>
        </w:rPr>
        <w:t xml:space="preserve"> direktors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1F03">
        <w:rPr>
          <w:sz w:val="28"/>
          <w:szCs w:val="28"/>
        </w:rPr>
        <w:t xml:space="preserve">Jānis </w:t>
      </w:r>
      <w:proofErr w:type="spellStart"/>
      <w:r w:rsidRPr="00050D2E">
        <w:rPr>
          <w:sz w:val="28"/>
          <w:szCs w:val="28"/>
        </w:rPr>
        <w:t>Citskovskis</w:t>
      </w:r>
      <w:proofErr w:type="spellEnd"/>
    </w:p>
    <w:p w14:paraId="0C6FAB08" w14:textId="77777777" w:rsidR="00745BDB" w:rsidRDefault="00745BDB" w:rsidP="00745BDB">
      <w:pPr>
        <w:tabs>
          <w:tab w:val="right" w:pos="9071"/>
        </w:tabs>
        <w:jc w:val="both"/>
        <w:rPr>
          <w:sz w:val="28"/>
          <w:szCs w:val="28"/>
        </w:rPr>
      </w:pPr>
    </w:p>
    <w:p w14:paraId="33011531" w14:textId="77777777" w:rsidR="00745BDB" w:rsidRDefault="00745BDB" w:rsidP="00745BDB">
      <w:pPr>
        <w:tabs>
          <w:tab w:val="right" w:pos="9071"/>
        </w:tabs>
        <w:jc w:val="both"/>
        <w:rPr>
          <w:sz w:val="28"/>
          <w:szCs w:val="28"/>
        </w:rPr>
      </w:pPr>
    </w:p>
    <w:p w14:paraId="6113014C" w14:textId="77777777" w:rsidR="00745BDB" w:rsidRDefault="00745BDB" w:rsidP="00745BDB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</w:p>
    <w:p w14:paraId="3125A4A4" w14:textId="77777777" w:rsidR="00745BDB" w:rsidRDefault="00745BDB" w:rsidP="00745BDB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</w:p>
    <w:p w14:paraId="0C29EDDD" w14:textId="77777777" w:rsidR="00745BDB" w:rsidRDefault="00745BDB" w:rsidP="00745BDB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</w:p>
    <w:p w14:paraId="5D0A2E5D" w14:textId="77777777" w:rsidR="007D0223" w:rsidRPr="00745BDB" w:rsidRDefault="007D0223" w:rsidP="00745BDB"/>
    <w:sectPr w:rsidR="007D0223" w:rsidRPr="00745BDB" w:rsidSect="006249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A6F2" w14:textId="77777777" w:rsidR="00F96642" w:rsidRDefault="009D30E5">
      <w:r>
        <w:separator/>
      </w:r>
    </w:p>
  </w:endnote>
  <w:endnote w:type="continuationSeparator" w:id="0">
    <w:p w14:paraId="7F3E6D22" w14:textId="77777777" w:rsidR="00F96642" w:rsidRDefault="009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E64A" w14:textId="02435EEB" w:rsidR="003818ED" w:rsidRPr="00703009" w:rsidRDefault="00703009" w:rsidP="00703009">
    <w:pPr>
      <w:pStyle w:val="Footer"/>
      <w:jc w:val="both"/>
      <w:rPr>
        <w:sz w:val="16"/>
        <w:szCs w:val="16"/>
      </w:rPr>
    </w:pPr>
    <w:r w:rsidRPr="00703009">
      <w:rPr>
        <w:sz w:val="16"/>
        <w:szCs w:val="16"/>
      </w:rPr>
      <w:t>2813z7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E584" w14:textId="3587B93D" w:rsidR="00815249" w:rsidRPr="00703009" w:rsidRDefault="00703009" w:rsidP="00050D2E">
    <w:pPr>
      <w:pStyle w:val="Footer"/>
      <w:jc w:val="both"/>
      <w:rPr>
        <w:sz w:val="16"/>
        <w:szCs w:val="16"/>
      </w:rPr>
    </w:pPr>
    <w:r w:rsidRPr="00703009">
      <w:rPr>
        <w:sz w:val="16"/>
        <w:szCs w:val="16"/>
      </w:rPr>
      <w:t>2813z7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CE95" w14:textId="77777777" w:rsidR="00F96642" w:rsidRDefault="009D30E5">
      <w:r>
        <w:separator/>
      </w:r>
    </w:p>
  </w:footnote>
  <w:footnote w:type="continuationSeparator" w:id="0">
    <w:p w14:paraId="541C6DFB" w14:textId="77777777" w:rsidR="00F96642" w:rsidRDefault="009D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7684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0D8771" w14:textId="393CA8DE" w:rsidR="006249B6" w:rsidRDefault="006249B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B2916" w14:textId="77777777" w:rsidR="006249B6" w:rsidRDefault="006249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4E42" w14:textId="77777777" w:rsidR="00703009" w:rsidRPr="009A2305" w:rsidRDefault="00703009">
    <w:pPr>
      <w:pStyle w:val="Header"/>
      <w:rPr>
        <w:szCs w:val="28"/>
      </w:rPr>
    </w:pPr>
  </w:p>
  <w:p w14:paraId="4B10F851" w14:textId="77777777" w:rsidR="00703009" w:rsidRPr="00703009" w:rsidRDefault="00703009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703009">
      <w:rPr>
        <w:b/>
        <w:bCs/>
        <w:sz w:val="28"/>
        <w:szCs w:val="28"/>
      </w:rPr>
      <w:t>MINISTRU KABINETA SĒDES PROTOKOLLĒMUMS</w:t>
    </w:r>
  </w:p>
  <w:p w14:paraId="65131A0F" w14:textId="77777777" w:rsidR="00703009" w:rsidRDefault="00703009">
    <w:pPr>
      <w:pStyle w:val="Header"/>
    </w:pPr>
  </w:p>
  <w:p w14:paraId="3D7C7DA4" w14:textId="3A3EF88F" w:rsidR="00703009" w:rsidRDefault="00703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17"/>
    <w:rsid w:val="00036C73"/>
    <w:rsid w:val="00081F03"/>
    <w:rsid w:val="000F5D17"/>
    <w:rsid w:val="002B6A85"/>
    <w:rsid w:val="003818ED"/>
    <w:rsid w:val="005327BD"/>
    <w:rsid w:val="00572B81"/>
    <w:rsid w:val="006249B6"/>
    <w:rsid w:val="00703009"/>
    <w:rsid w:val="00745BDB"/>
    <w:rsid w:val="007D0223"/>
    <w:rsid w:val="00815249"/>
    <w:rsid w:val="008E07BE"/>
    <w:rsid w:val="009200B2"/>
    <w:rsid w:val="00945843"/>
    <w:rsid w:val="009D30E5"/>
    <w:rsid w:val="00C71332"/>
    <w:rsid w:val="00E31CC9"/>
    <w:rsid w:val="00F37027"/>
    <w:rsid w:val="00F96642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E773"/>
  <w15:chartTrackingRefBased/>
  <w15:docId w15:val="{E3C07630-6658-4D73-B3A2-EB9CC80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D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17"/>
  </w:style>
  <w:style w:type="paragraph" w:styleId="Footer">
    <w:name w:val="footer"/>
    <w:basedOn w:val="Normal"/>
    <w:link w:val="FooterChar"/>
    <w:uiPriority w:val="99"/>
    <w:unhideWhenUsed/>
    <w:rsid w:val="000F5D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17"/>
  </w:style>
  <w:style w:type="character" w:customStyle="1" w:styleId="spelle">
    <w:name w:val="spelle"/>
    <w:rsid w:val="000F5D17"/>
    <w:rPr>
      <w:rFonts w:ascii="Times New Roman" w:hAnsi="Times New Roman" w:cs="Times New Roman" w:hint="default"/>
    </w:rPr>
  </w:style>
  <w:style w:type="paragraph" w:customStyle="1" w:styleId="naisf">
    <w:name w:val="naisf"/>
    <w:basedOn w:val="Normal"/>
    <w:rsid w:val="000F5D17"/>
    <w:pPr>
      <w:spacing w:before="84" w:after="84"/>
      <w:ind w:firstLine="419"/>
      <w:jc w:val="both"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 gada 11. oktobra sēdes protokola Nr. 52 61.§ “Informatīvais ziņojums “Par Latvijas Republikas 2015.gada pārskatu par valsts budžeta izpildi un pašvaldību budžetiem”” 8. punktā dotā</vt:lpstr>
    </vt:vector>
  </TitlesOfParts>
  <Company>Finanšu ministrija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 gada 11. oktobra sēdes protokola Nr. 52 61.§ “Informatīvais ziņojums “Par Latvijas Republikas 2015.gada pārskatu par valsts budžeta izpildi un pašvaldību budžetiem”” 8. punktā dotā</dc:title>
  <dc:subject>MK protokollēmuma projekts</dc:subject>
  <dc:creator>Gita Mežupa</dc:creator>
  <cp:keywords>IKS</cp:keywords>
  <dc:description>Mežupa 67095579
gita.mezupa@fm.gov.lv</dc:description>
  <cp:lastModifiedBy>Aija Talmane</cp:lastModifiedBy>
  <cp:revision>12</cp:revision>
  <cp:lastPrinted>2018-01-18T07:33:00Z</cp:lastPrinted>
  <dcterms:created xsi:type="dcterms:W3CDTF">2017-12-14T09:52:00Z</dcterms:created>
  <dcterms:modified xsi:type="dcterms:W3CDTF">2018-01-18T07:35:00Z</dcterms:modified>
</cp:coreProperties>
</file>